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A179" w14:textId="2E76C7CE" w:rsidR="00B570E8" w:rsidRDefault="00B570E8" w:rsidP="00D45C54">
      <w:pPr>
        <w:pStyle w:val="Body1"/>
      </w:pPr>
    </w:p>
    <w:p w14:paraId="1E7BF09C" w14:textId="47A93917" w:rsidR="00B570E8" w:rsidRDefault="00B570E8" w:rsidP="00AD58A9">
      <w:pPr>
        <w:pStyle w:val="Heading2"/>
        <w:numPr>
          <w:ilvl w:val="0"/>
          <w:numId w:val="0"/>
        </w:numPr>
        <w:jc w:val="center"/>
      </w:pPr>
    </w:p>
    <w:p w14:paraId="53BEBF4B" w14:textId="1DDBEE66" w:rsidR="00B570E8" w:rsidRDefault="001A2988" w:rsidP="00AD58A9">
      <w:pPr>
        <w:pStyle w:val="Heading2"/>
        <w:numPr>
          <w:ilvl w:val="0"/>
          <w:numId w:val="0"/>
        </w:numPr>
        <w:jc w:val="center"/>
      </w:pPr>
      <w:r>
        <w:rPr>
          <w:noProof/>
        </w:rPr>
        <w:drawing>
          <wp:anchor distT="0" distB="0" distL="114300" distR="114300" simplePos="0" relativeHeight="251658240" behindDoc="1" locked="0" layoutInCell="1" allowOverlap="1" wp14:anchorId="51822BAD" wp14:editId="2FD85C5B">
            <wp:simplePos x="0" y="0"/>
            <wp:positionH relativeFrom="margin">
              <wp:posOffset>2224405</wp:posOffset>
            </wp:positionH>
            <wp:positionV relativeFrom="paragraph">
              <wp:posOffset>67945</wp:posOffset>
            </wp:positionV>
            <wp:extent cx="3735709"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amp; Scarborough Logo (Colour).jpg"/>
                    <pic:cNvPicPr/>
                  </pic:nvPicPr>
                  <pic:blipFill rotWithShape="1">
                    <a:blip r:embed="rId12" cstate="print">
                      <a:extLst>
                        <a:ext uri="{28A0092B-C50C-407E-A947-70E740481C1C}">
                          <a14:useLocalDpi xmlns:a14="http://schemas.microsoft.com/office/drawing/2010/main" val="0"/>
                        </a:ext>
                      </a:extLst>
                    </a:blip>
                    <a:srcRect l="11255" t="26034" r="10867" b="31762"/>
                    <a:stretch/>
                  </pic:blipFill>
                  <pic:spPr bwMode="auto">
                    <a:xfrm>
                      <a:off x="0" y="0"/>
                      <a:ext cx="3735709"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6ED643" w14:textId="289DA952" w:rsidR="00B570E8" w:rsidRDefault="00B570E8" w:rsidP="00AD58A9">
      <w:pPr>
        <w:pStyle w:val="Heading2"/>
        <w:numPr>
          <w:ilvl w:val="0"/>
          <w:numId w:val="0"/>
        </w:numPr>
        <w:jc w:val="center"/>
      </w:pPr>
    </w:p>
    <w:p w14:paraId="142FD3B1" w14:textId="09D8ECD8" w:rsidR="00B570E8" w:rsidRDefault="00B570E8" w:rsidP="00AD58A9">
      <w:pPr>
        <w:pStyle w:val="Heading2"/>
        <w:numPr>
          <w:ilvl w:val="0"/>
          <w:numId w:val="0"/>
        </w:numPr>
        <w:jc w:val="center"/>
      </w:pPr>
    </w:p>
    <w:p w14:paraId="6202CF24" w14:textId="20D18C85" w:rsidR="00B570E8" w:rsidRDefault="00B570E8" w:rsidP="00AD58A9">
      <w:pPr>
        <w:pStyle w:val="Heading2"/>
        <w:numPr>
          <w:ilvl w:val="0"/>
          <w:numId w:val="0"/>
        </w:numPr>
        <w:jc w:val="center"/>
      </w:pPr>
    </w:p>
    <w:p w14:paraId="22088822" w14:textId="29A77CDA" w:rsidR="00B570E8" w:rsidRDefault="00B570E8" w:rsidP="00AD58A9">
      <w:pPr>
        <w:pStyle w:val="Heading2"/>
        <w:numPr>
          <w:ilvl w:val="0"/>
          <w:numId w:val="0"/>
        </w:numPr>
        <w:jc w:val="center"/>
      </w:pPr>
    </w:p>
    <w:p w14:paraId="16C8452D" w14:textId="1C12848D" w:rsidR="00B570E8" w:rsidRDefault="00B570E8" w:rsidP="00AD58A9">
      <w:pPr>
        <w:pStyle w:val="Heading2"/>
        <w:numPr>
          <w:ilvl w:val="0"/>
          <w:numId w:val="0"/>
        </w:numPr>
        <w:jc w:val="center"/>
      </w:pPr>
    </w:p>
    <w:p w14:paraId="0D73C75A" w14:textId="4BE29C3C" w:rsidR="00B570E8" w:rsidRDefault="00B570E8" w:rsidP="00AD58A9">
      <w:pPr>
        <w:pStyle w:val="Heading2"/>
        <w:numPr>
          <w:ilvl w:val="0"/>
          <w:numId w:val="0"/>
        </w:numPr>
        <w:jc w:val="center"/>
      </w:pPr>
    </w:p>
    <w:p w14:paraId="4F90911F" w14:textId="781C3E9B" w:rsidR="00CB7AF8" w:rsidRDefault="00CB7AF8" w:rsidP="00AD58A9">
      <w:pPr>
        <w:pStyle w:val="Heading2"/>
        <w:numPr>
          <w:ilvl w:val="0"/>
          <w:numId w:val="0"/>
        </w:numPr>
        <w:jc w:val="center"/>
      </w:pPr>
    </w:p>
    <w:p w14:paraId="6E9AB32C" w14:textId="3FD88A5B" w:rsidR="00CB7AF8" w:rsidRDefault="00CB7AF8" w:rsidP="00AD58A9">
      <w:pPr>
        <w:pStyle w:val="Heading2"/>
        <w:numPr>
          <w:ilvl w:val="0"/>
          <w:numId w:val="0"/>
        </w:numPr>
        <w:jc w:val="center"/>
      </w:pPr>
    </w:p>
    <w:p w14:paraId="7140AA22" w14:textId="77777777" w:rsidR="00CB7AF8" w:rsidRDefault="00CB7AF8" w:rsidP="00AD58A9">
      <w:pPr>
        <w:pStyle w:val="Heading2"/>
        <w:numPr>
          <w:ilvl w:val="0"/>
          <w:numId w:val="0"/>
        </w:numPr>
        <w:jc w:val="center"/>
      </w:pPr>
    </w:p>
    <w:p w14:paraId="20C737F7" w14:textId="6F2EEDA3" w:rsidR="00200E60" w:rsidRDefault="0099542A" w:rsidP="00AD58A9">
      <w:pPr>
        <w:pStyle w:val="Heading2"/>
        <w:numPr>
          <w:ilvl w:val="0"/>
          <w:numId w:val="0"/>
        </w:numPr>
        <w:jc w:val="center"/>
      </w:pPr>
      <w:r>
        <w:t>ITT A</w:t>
      </w:r>
    </w:p>
    <w:p w14:paraId="20C737F9" w14:textId="77777777" w:rsidR="00200E60" w:rsidRDefault="00200E60" w:rsidP="00200E60">
      <w:pPr>
        <w:pStyle w:val="Heading2"/>
        <w:numPr>
          <w:ilvl w:val="0"/>
          <w:numId w:val="0"/>
        </w:numPr>
        <w:jc w:val="center"/>
      </w:pPr>
    </w:p>
    <w:p w14:paraId="20C737FB" w14:textId="5A741D09" w:rsidR="00200E60" w:rsidRDefault="00CC36F3" w:rsidP="00200E60">
      <w:pPr>
        <w:pStyle w:val="Heading2"/>
        <w:numPr>
          <w:ilvl w:val="0"/>
          <w:numId w:val="0"/>
        </w:numPr>
        <w:jc w:val="center"/>
      </w:pPr>
      <w:r w:rsidRPr="00AD2940">
        <w:rPr>
          <w:iCs/>
          <w:color w:val="auto"/>
        </w:rPr>
        <w:t>York and Scarborough Teaching Hospitals NHS Foundation Trust</w:t>
      </w:r>
    </w:p>
    <w:p w14:paraId="20C737FC" w14:textId="6AAB61DA" w:rsidR="00B45130" w:rsidRDefault="00B45130" w:rsidP="00200E60">
      <w:pPr>
        <w:pStyle w:val="Heading2"/>
        <w:numPr>
          <w:ilvl w:val="0"/>
          <w:numId w:val="0"/>
        </w:numPr>
        <w:jc w:val="center"/>
      </w:pPr>
    </w:p>
    <w:p w14:paraId="4BD5D032" w14:textId="77777777" w:rsidR="005810B3" w:rsidRDefault="005810B3" w:rsidP="00200E60">
      <w:pPr>
        <w:pStyle w:val="Heading2"/>
        <w:numPr>
          <w:ilvl w:val="0"/>
          <w:numId w:val="0"/>
        </w:numPr>
        <w:jc w:val="center"/>
      </w:pPr>
    </w:p>
    <w:p w14:paraId="20C737FD" w14:textId="059B9602" w:rsidR="00200E60" w:rsidRPr="009D5F0B" w:rsidRDefault="00FC39E4" w:rsidP="00200E60">
      <w:pPr>
        <w:pStyle w:val="Heading2"/>
        <w:numPr>
          <w:ilvl w:val="0"/>
          <w:numId w:val="0"/>
        </w:numPr>
        <w:jc w:val="center"/>
      </w:pPr>
      <w:r>
        <w:t xml:space="preserve">Invitation to </w:t>
      </w:r>
      <w:r w:rsidR="005810B3">
        <w:t>T</w:t>
      </w:r>
      <w:r>
        <w:t>ender for</w:t>
      </w:r>
      <w:r w:rsidR="00200E60">
        <w:t xml:space="preserve"> the </w:t>
      </w:r>
      <w:r w:rsidR="00CC36F3" w:rsidRPr="00CC36F3">
        <w:t xml:space="preserve">Funeral Service Provision – Lot 1. York &amp; Lot 2. Scarborough  </w:t>
      </w:r>
      <w:r w:rsidR="009D5F0B" w:rsidRPr="009A5AE5">
        <w:rPr>
          <w:shd w:val="clear" w:color="auto" w:fill="FFFFFF" w:themeFill="background1"/>
        </w:rPr>
        <w:t xml:space="preserve"> </w:t>
      </w:r>
    </w:p>
    <w:p w14:paraId="20C737FE" w14:textId="77777777" w:rsidR="00200E60" w:rsidRDefault="00200E60" w:rsidP="00200E60">
      <w:pPr>
        <w:pStyle w:val="Heading2"/>
        <w:numPr>
          <w:ilvl w:val="0"/>
          <w:numId w:val="0"/>
        </w:numPr>
        <w:jc w:val="center"/>
      </w:pPr>
    </w:p>
    <w:p w14:paraId="20C737FF" w14:textId="77777777" w:rsidR="00B45130" w:rsidRDefault="00B45130" w:rsidP="00200E60">
      <w:pPr>
        <w:pStyle w:val="Heading2"/>
        <w:numPr>
          <w:ilvl w:val="0"/>
          <w:numId w:val="0"/>
        </w:numPr>
        <w:jc w:val="center"/>
      </w:pPr>
    </w:p>
    <w:p w14:paraId="20C73801" w14:textId="1A88A086" w:rsidR="00200E60" w:rsidRDefault="002532E6" w:rsidP="00200E60">
      <w:pPr>
        <w:pStyle w:val="Heading2"/>
        <w:numPr>
          <w:ilvl w:val="0"/>
          <w:numId w:val="0"/>
        </w:numPr>
        <w:jc w:val="center"/>
      </w:pPr>
      <w:r w:rsidRPr="001A2988">
        <w:t>FTS</w:t>
      </w:r>
      <w:r w:rsidR="00200E60" w:rsidRPr="001A2988">
        <w:t xml:space="preserve"> Number: </w:t>
      </w:r>
      <w:r w:rsidR="00CB7AF8" w:rsidRPr="001A2988">
        <w:t>00</w:t>
      </w:r>
      <w:r w:rsidR="000951D5" w:rsidRPr="001A2988">
        <w:t>8384</w:t>
      </w:r>
    </w:p>
    <w:p w14:paraId="0682FC9D" w14:textId="6A21D4E5" w:rsidR="00384A29" w:rsidRDefault="00384A29" w:rsidP="00200E60">
      <w:pPr>
        <w:pStyle w:val="Heading2"/>
        <w:numPr>
          <w:ilvl w:val="0"/>
          <w:numId w:val="0"/>
        </w:numPr>
        <w:jc w:val="center"/>
      </w:pPr>
    </w:p>
    <w:p w14:paraId="2EF1486F" w14:textId="46C6BE56" w:rsidR="00384A29" w:rsidRPr="00384A29" w:rsidRDefault="00384A29" w:rsidP="00384A29">
      <w:pPr>
        <w:pStyle w:val="Heading2"/>
        <w:numPr>
          <w:ilvl w:val="0"/>
          <w:numId w:val="0"/>
        </w:numPr>
        <w:jc w:val="center"/>
        <w:rPr>
          <w:i/>
          <w:color w:val="000000"/>
          <w:shd w:val="clear" w:color="auto" w:fill="FFFF66"/>
        </w:rPr>
      </w:pPr>
      <w:r>
        <w:t>The Authority Reference Number: ML/23/1528</w:t>
      </w:r>
    </w:p>
    <w:p w14:paraId="20C73802" w14:textId="77777777" w:rsidR="00B45130" w:rsidRDefault="00B45130" w:rsidP="00200E60">
      <w:pPr>
        <w:pStyle w:val="Heading2"/>
        <w:numPr>
          <w:ilvl w:val="0"/>
          <w:numId w:val="0"/>
        </w:numPr>
        <w:jc w:val="center"/>
      </w:pPr>
    </w:p>
    <w:p w14:paraId="20C73803" w14:textId="6196519F" w:rsidR="00200E60" w:rsidRPr="00CB7AF8" w:rsidRDefault="00200E60" w:rsidP="00200E60">
      <w:pPr>
        <w:pStyle w:val="Heading2"/>
        <w:numPr>
          <w:ilvl w:val="0"/>
          <w:numId w:val="0"/>
        </w:numPr>
        <w:jc w:val="center"/>
      </w:pPr>
      <w:r w:rsidRPr="00CB7AF8">
        <w:t xml:space="preserve">Deadline for </w:t>
      </w:r>
      <w:r w:rsidR="005D7098" w:rsidRPr="00CB7AF8">
        <w:t>Tenders</w:t>
      </w:r>
      <w:r w:rsidR="004E51D1" w:rsidRPr="00CB7AF8">
        <w:t xml:space="preserve"> to be </w:t>
      </w:r>
      <w:r w:rsidR="004E51D1" w:rsidRPr="001A2988">
        <w:t>received</w:t>
      </w:r>
      <w:r w:rsidR="00FD601C" w:rsidRPr="001A2988">
        <w:t xml:space="preserve">: </w:t>
      </w:r>
      <w:r w:rsidR="00CC539E" w:rsidRPr="001A2988">
        <w:t xml:space="preserve">12:00:00 </w:t>
      </w:r>
      <w:r w:rsidR="00CC539E" w:rsidRPr="00CB7AF8">
        <w:t xml:space="preserve">AM on </w:t>
      </w:r>
      <w:proofErr w:type="gramStart"/>
      <w:r w:rsidR="00CB7AF8" w:rsidRPr="001A2988">
        <w:t>11</w:t>
      </w:r>
      <w:r w:rsidR="00CC539E" w:rsidRPr="001A2988">
        <w:t>/</w:t>
      </w:r>
      <w:r w:rsidR="00CB7AF8" w:rsidRPr="001A2988">
        <w:t>09</w:t>
      </w:r>
      <w:r w:rsidR="00CC539E" w:rsidRPr="001A2988">
        <w:t>/2023</w:t>
      </w:r>
      <w:proofErr w:type="gramEnd"/>
    </w:p>
    <w:p w14:paraId="20C73804" w14:textId="77777777" w:rsidR="00B45130" w:rsidRDefault="00B45130" w:rsidP="00200E60">
      <w:pPr>
        <w:pStyle w:val="Heading2"/>
        <w:numPr>
          <w:ilvl w:val="0"/>
          <w:numId w:val="0"/>
        </w:numPr>
        <w:jc w:val="center"/>
      </w:pPr>
    </w:p>
    <w:p w14:paraId="20C73805" w14:textId="77777777" w:rsidR="00B45130" w:rsidRDefault="00B45130" w:rsidP="00200E60">
      <w:pPr>
        <w:pStyle w:val="Heading2"/>
        <w:numPr>
          <w:ilvl w:val="0"/>
          <w:numId w:val="0"/>
        </w:numPr>
        <w:jc w:val="center"/>
      </w:pPr>
    </w:p>
    <w:p w14:paraId="0C5E5D94" w14:textId="77777777" w:rsidR="00190DB0" w:rsidRDefault="00190DB0" w:rsidP="00200E60">
      <w:pPr>
        <w:pStyle w:val="Heading2"/>
        <w:numPr>
          <w:ilvl w:val="0"/>
          <w:numId w:val="0"/>
        </w:numPr>
        <w:jc w:val="center"/>
        <w:rPr>
          <w:b/>
        </w:rPr>
      </w:pPr>
    </w:p>
    <w:p w14:paraId="6AAAFE61" w14:textId="77777777" w:rsidR="00190DB0" w:rsidRDefault="00190DB0" w:rsidP="00200E60">
      <w:pPr>
        <w:pStyle w:val="Heading2"/>
        <w:numPr>
          <w:ilvl w:val="0"/>
          <w:numId w:val="0"/>
        </w:numPr>
        <w:jc w:val="center"/>
        <w:rPr>
          <w:b/>
        </w:rPr>
      </w:pPr>
    </w:p>
    <w:p w14:paraId="07B810B2" w14:textId="77777777" w:rsidR="00190DB0" w:rsidRDefault="00190DB0" w:rsidP="00200E60">
      <w:pPr>
        <w:pStyle w:val="Heading2"/>
        <w:numPr>
          <w:ilvl w:val="0"/>
          <w:numId w:val="0"/>
        </w:numPr>
        <w:jc w:val="center"/>
        <w:rPr>
          <w:b/>
        </w:rPr>
      </w:pPr>
    </w:p>
    <w:p w14:paraId="343F6363" w14:textId="77777777" w:rsidR="00190DB0" w:rsidRDefault="00190DB0" w:rsidP="00200E60">
      <w:pPr>
        <w:pStyle w:val="Heading2"/>
        <w:numPr>
          <w:ilvl w:val="0"/>
          <w:numId w:val="0"/>
        </w:numPr>
        <w:jc w:val="center"/>
        <w:rPr>
          <w:b/>
        </w:rPr>
      </w:pPr>
    </w:p>
    <w:p w14:paraId="50C8AA23" w14:textId="22675B73" w:rsidR="00190DB0" w:rsidRDefault="00190DB0" w:rsidP="00200E60">
      <w:pPr>
        <w:pStyle w:val="Heading2"/>
        <w:numPr>
          <w:ilvl w:val="0"/>
          <w:numId w:val="0"/>
        </w:numPr>
        <w:jc w:val="center"/>
        <w:rPr>
          <w:b/>
        </w:rPr>
      </w:pPr>
    </w:p>
    <w:p w14:paraId="722C0931" w14:textId="77777777" w:rsidR="00B570E8" w:rsidRDefault="00B570E8" w:rsidP="00200E60">
      <w:pPr>
        <w:pStyle w:val="Heading2"/>
        <w:numPr>
          <w:ilvl w:val="0"/>
          <w:numId w:val="0"/>
        </w:numPr>
        <w:jc w:val="center"/>
        <w:rPr>
          <w:b/>
        </w:rPr>
      </w:pPr>
    </w:p>
    <w:p w14:paraId="07DA4C3B" w14:textId="77777777" w:rsidR="00190DB0" w:rsidRDefault="00190DB0" w:rsidP="00200E60">
      <w:pPr>
        <w:pStyle w:val="Heading2"/>
        <w:numPr>
          <w:ilvl w:val="0"/>
          <w:numId w:val="0"/>
        </w:numPr>
        <w:jc w:val="center"/>
        <w:rPr>
          <w:b/>
        </w:rPr>
      </w:pPr>
    </w:p>
    <w:p w14:paraId="2D2308C4" w14:textId="2B78F386" w:rsidR="00190DB0" w:rsidRDefault="00190DB0" w:rsidP="00200E60">
      <w:pPr>
        <w:pStyle w:val="Heading2"/>
        <w:numPr>
          <w:ilvl w:val="0"/>
          <w:numId w:val="0"/>
        </w:numPr>
        <w:jc w:val="center"/>
        <w:rPr>
          <w:b/>
        </w:rPr>
      </w:pPr>
    </w:p>
    <w:p w14:paraId="20C73808" w14:textId="0F7C1286" w:rsidR="000F79D6" w:rsidRDefault="00AD0C96" w:rsidP="00190DB0">
      <w:pPr>
        <w:pStyle w:val="Heading2"/>
        <w:numPr>
          <w:ilvl w:val="0"/>
          <w:numId w:val="0"/>
        </w:numPr>
        <w:jc w:val="center"/>
      </w:pPr>
      <w:r>
        <w:rPr>
          <w:b/>
        </w:rPr>
        <w:t>SECTION</w:t>
      </w:r>
      <w:r w:rsidR="00B45130">
        <w:rPr>
          <w:b/>
        </w:rPr>
        <w:t xml:space="preserve"> A – INSTRUCTIONS </w:t>
      </w:r>
      <w:r w:rsidR="00647144">
        <w:rPr>
          <w:b/>
        </w:rPr>
        <w:t>AND INFORMATION</w:t>
      </w:r>
    </w:p>
    <w:p w14:paraId="20C73809" w14:textId="77777777" w:rsidR="005B59B7" w:rsidRDefault="005B59B7" w:rsidP="004270D9">
      <w:pPr>
        <w:pStyle w:val="TOC1"/>
      </w:pPr>
      <w:r w:rsidRPr="005B59B7">
        <w:t>TABLE OF CONTENTS</w:t>
      </w:r>
    </w:p>
    <w:p w14:paraId="20C7380A" w14:textId="0C4D344E"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D47A0D">
          <w:rPr>
            <w:rStyle w:val="Hyperlink"/>
            <w:b w:val="0"/>
            <w:noProof/>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AB7EA4">
          <w:rPr>
            <w:b w:val="0"/>
            <w:noProof/>
            <w:webHidden/>
          </w:rPr>
          <w:t>1</w:t>
        </w:r>
        <w:r w:rsidRPr="00520787">
          <w:rPr>
            <w:b w:val="0"/>
            <w:noProof/>
            <w:webHidden/>
          </w:rPr>
          <w:fldChar w:fldCharType="end"/>
        </w:r>
      </w:hyperlink>
    </w:p>
    <w:p w14:paraId="20C7380B" w14:textId="66869030" w:rsidR="00520787" w:rsidRPr="00520787" w:rsidRDefault="00F84D51"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D47A0D">
          <w:rPr>
            <w:rStyle w:val="Hyperlink"/>
            <w:b w:val="0"/>
            <w:noProof/>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_Toc412715222 \h </w:instrText>
        </w:r>
        <w:r w:rsidR="00520787" w:rsidRPr="00520787">
          <w:rPr>
            <w:b w:val="0"/>
            <w:noProof/>
            <w:webHidden/>
          </w:rPr>
        </w:r>
        <w:r w:rsidR="00520787" w:rsidRPr="00520787">
          <w:rPr>
            <w:b w:val="0"/>
            <w:noProof/>
            <w:webHidden/>
          </w:rPr>
          <w:fldChar w:fldCharType="separate"/>
        </w:r>
        <w:r w:rsidR="00AB7EA4">
          <w:rPr>
            <w:b w:val="0"/>
            <w:noProof/>
            <w:webHidden/>
          </w:rPr>
          <w:t>3</w:t>
        </w:r>
        <w:r w:rsidR="00520787" w:rsidRPr="00520787">
          <w:rPr>
            <w:b w:val="0"/>
            <w:noProof/>
            <w:webHidden/>
          </w:rPr>
          <w:fldChar w:fldCharType="end"/>
        </w:r>
      </w:hyperlink>
    </w:p>
    <w:p w14:paraId="20C7380C" w14:textId="33ECD979" w:rsidR="00520787" w:rsidRPr="00520787" w:rsidRDefault="00F84D51"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D47A0D">
          <w:rPr>
            <w:rStyle w:val="Hyperlink"/>
            <w:b w:val="0"/>
            <w:noProof/>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_Toc412715223 \h </w:instrText>
        </w:r>
        <w:r w:rsidR="00520787" w:rsidRPr="00520787">
          <w:rPr>
            <w:b w:val="0"/>
            <w:noProof/>
            <w:webHidden/>
          </w:rPr>
        </w:r>
        <w:r w:rsidR="00520787" w:rsidRPr="00520787">
          <w:rPr>
            <w:b w:val="0"/>
            <w:noProof/>
            <w:webHidden/>
          </w:rPr>
          <w:fldChar w:fldCharType="separate"/>
        </w:r>
        <w:r w:rsidR="00AB7EA4">
          <w:rPr>
            <w:b w:val="0"/>
            <w:noProof/>
            <w:webHidden/>
          </w:rPr>
          <w:t>5</w:t>
        </w:r>
        <w:r w:rsidR="00520787" w:rsidRPr="00520787">
          <w:rPr>
            <w:b w:val="0"/>
            <w:noProof/>
            <w:webHidden/>
          </w:rPr>
          <w:fldChar w:fldCharType="end"/>
        </w:r>
      </w:hyperlink>
    </w:p>
    <w:p w14:paraId="20C7380D" w14:textId="16081D3A" w:rsidR="00520787" w:rsidRPr="00520787" w:rsidRDefault="00F84D51"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D47A0D">
          <w:rPr>
            <w:rStyle w:val="Hyperlink"/>
            <w:b w:val="0"/>
            <w:noProof/>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_Toc412715224 \h </w:instrText>
        </w:r>
        <w:r w:rsidR="00520787" w:rsidRPr="00520787">
          <w:rPr>
            <w:b w:val="0"/>
            <w:noProof/>
            <w:webHidden/>
          </w:rPr>
        </w:r>
        <w:r w:rsidR="00520787" w:rsidRPr="00520787">
          <w:rPr>
            <w:b w:val="0"/>
            <w:noProof/>
            <w:webHidden/>
          </w:rPr>
          <w:fldChar w:fldCharType="separate"/>
        </w:r>
        <w:r w:rsidR="00AB7EA4">
          <w:rPr>
            <w:b w:val="0"/>
            <w:noProof/>
            <w:webHidden/>
          </w:rPr>
          <w:t>11</w:t>
        </w:r>
        <w:r w:rsidR="00520787" w:rsidRPr="00520787">
          <w:rPr>
            <w:b w:val="0"/>
            <w:noProof/>
            <w:webHidden/>
          </w:rPr>
          <w:fldChar w:fldCharType="end"/>
        </w:r>
      </w:hyperlink>
    </w:p>
    <w:p w14:paraId="20C7380F" w14:textId="0A8CD0C9" w:rsidR="00520787" w:rsidRPr="00520787" w:rsidRDefault="00F84D51" w:rsidP="008A00B3">
      <w:pPr>
        <w:pStyle w:val="TOC1"/>
        <w:spacing w:line="240" w:lineRule="atLeast"/>
        <w:rPr>
          <w:rFonts w:asciiTheme="minorHAnsi" w:eastAsiaTheme="minorEastAsia" w:hAnsiTheme="minorHAnsi" w:cstheme="minorBidi"/>
          <w:b w:val="0"/>
          <w:noProof/>
          <w:color w:val="auto"/>
          <w:sz w:val="22"/>
          <w:szCs w:val="22"/>
        </w:rPr>
      </w:pP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AB7EA4">
          <w:rPr>
            <w:b w:val="0"/>
            <w:noProof/>
            <w:webHidden/>
          </w:rPr>
          <w:t>14</w:t>
        </w:r>
        <w:r w:rsidR="00520787" w:rsidRPr="00520787">
          <w:rPr>
            <w:b w:val="0"/>
            <w:noProof/>
            <w:webHidden/>
          </w:rPr>
          <w:fldChar w:fldCharType="end"/>
        </w:r>
      </w:hyperlink>
    </w:p>
    <w:p w14:paraId="20C73811" w14:textId="77777777" w:rsidR="00AD0C96" w:rsidRPr="001F110F" w:rsidRDefault="00520787" w:rsidP="008A00B3">
      <w:pPr>
        <w:pStyle w:val="Heading2"/>
        <w:numPr>
          <w:ilvl w:val="0"/>
          <w:numId w:val="0"/>
        </w:numPr>
        <w:spacing w:line="240" w:lineRule="atLeast"/>
      </w:pPr>
      <w:r w:rsidRPr="00520787">
        <w:fldChar w:fldCharType="end"/>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3"/>
          <w:footerReference w:type="first" r:id="rId14"/>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4270D9">
      <w:pPr>
        <w:pStyle w:val="MRNumberedHeading1"/>
        <w:ind w:hanging="798"/>
        <w:jc w:val="both"/>
        <w:rPr>
          <w:sz w:val="20"/>
          <w:szCs w:val="20"/>
        </w:rPr>
      </w:pPr>
      <w:bookmarkStart w:id="0" w:name="_Toc403556501"/>
      <w:bookmarkStart w:id="1" w:name="_Toc403556506"/>
      <w:bookmarkStart w:id="2" w:name="_Toc406674969"/>
      <w:bookmarkStart w:id="3" w:name="_Toc412621211"/>
      <w:bookmarkStart w:id="4" w:name="_Toc412715221"/>
      <w:r w:rsidRPr="008F3D2C">
        <w:rPr>
          <w:sz w:val="20"/>
          <w:szCs w:val="20"/>
        </w:rPr>
        <w:lastRenderedPageBreak/>
        <w:t>INTRODUCTION AND BACKGROUND</w:t>
      </w:r>
      <w:bookmarkEnd w:id="0"/>
      <w:bookmarkEnd w:id="1"/>
      <w:bookmarkEnd w:id="2"/>
      <w:bookmarkEnd w:id="3"/>
      <w:bookmarkEnd w:id="4"/>
    </w:p>
    <w:p w14:paraId="22751FDF" w14:textId="7CA52DA0" w:rsidR="00CC36F3" w:rsidRDefault="003E3276" w:rsidP="003575A1">
      <w:pPr>
        <w:pStyle w:val="MRNumberedHeading2"/>
      </w:pPr>
      <w:bookmarkStart w:id="5" w:name="_Toc403555077"/>
      <w:r w:rsidRPr="007724D1">
        <w:t xml:space="preserve">The </w:t>
      </w:r>
      <w:r w:rsidR="00CC36F3" w:rsidRPr="00CC36F3">
        <w:rPr>
          <w:iCs/>
        </w:rPr>
        <w:t>York and Scarborough Teaching Hospitals NHS Foundation Trust</w:t>
      </w:r>
      <w:r w:rsidR="00CC36F3" w:rsidRPr="00AD2940">
        <w:t xml:space="preserve"> </w:t>
      </w:r>
      <w:r w:rsidRPr="007724D1">
        <w:t>(the "</w:t>
      </w:r>
      <w:r w:rsidRPr="00CC36F3">
        <w:rPr>
          <w:b/>
        </w:rPr>
        <w:t>Authority</w:t>
      </w:r>
      <w:r w:rsidR="004F02F9">
        <w:t>") is issuing this invitation to t</w:t>
      </w:r>
      <w:r w:rsidRPr="007724D1">
        <w:t>ender ("</w:t>
      </w:r>
      <w:r w:rsidRPr="00CC36F3">
        <w:rPr>
          <w:b/>
        </w:rPr>
        <w:t>ITT</w:t>
      </w:r>
      <w:r w:rsidRPr="007724D1">
        <w:t xml:space="preserve">") in connection with the competitive procurement of </w:t>
      </w:r>
      <w:r w:rsidR="00744CA5" w:rsidRPr="00CC36F3">
        <w:rPr>
          <w:rFonts w:cs="Arial"/>
        </w:rPr>
        <w:t>Funeral Service Provision – Lot 1. York &amp; Lot 2. Scarborough</w:t>
      </w:r>
      <w:r w:rsidRPr="00CC36F3">
        <w:rPr>
          <w:rFonts w:cs="Arial"/>
        </w:rPr>
        <w:t>.</w:t>
      </w:r>
      <w:r w:rsidRPr="007724D1">
        <w:t xml:space="preserve"> </w:t>
      </w:r>
      <w:bookmarkStart w:id="6" w:name="_Toc403555078"/>
      <w:bookmarkEnd w:id="5"/>
    </w:p>
    <w:p w14:paraId="20C7381A" w14:textId="7A22C1E3" w:rsidR="003E3276" w:rsidRPr="007724D1" w:rsidRDefault="003E3276" w:rsidP="003575A1">
      <w:pPr>
        <w:pStyle w:val="MRNumberedHeading2"/>
      </w:pPr>
      <w:r w:rsidRPr="007724D1">
        <w:t xml:space="preserve">This ITT Section A contains further </w:t>
      </w:r>
      <w:r w:rsidRPr="003E3276">
        <w:t>information</w:t>
      </w:r>
      <w:r w:rsidRPr="007724D1">
        <w:t xml:space="preserve"> about the procurement process.</w:t>
      </w:r>
      <w:bookmarkEnd w:id="6"/>
      <w:r w:rsidRPr="007724D1">
        <w:t xml:space="preserve">  </w:t>
      </w:r>
    </w:p>
    <w:p w14:paraId="20C7381B" w14:textId="318617EB" w:rsidR="003E3276" w:rsidRDefault="00C516F4" w:rsidP="004270D9">
      <w:pPr>
        <w:pStyle w:val="MRNumberedHeading2"/>
      </w:pPr>
      <w:bookmarkStart w:id="7" w:name="_Toc403555079"/>
      <w:r>
        <w:t xml:space="preserve">Bidders must complete the Eligibility Questions (as referred to in </w:t>
      </w:r>
      <w:r w:rsidR="006913A2">
        <w:t>Section</w:t>
      </w:r>
      <w:r>
        <w:t xml:space="preserve">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7"/>
    </w:p>
    <w:p w14:paraId="20C7381C" w14:textId="5A2DBD14" w:rsidR="003E3276" w:rsidRPr="00FB2FE9" w:rsidRDefault="0034181A" w:rsidP="004270D9">
      <w:pPr>
        <w:pStyle w:val="MRNumberedHeading2"/>
      </w:pPr>
      <w:bookmarkStart w:id="8"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8"/>
    </w:p>
    <w:p w14:paraId="20C7381E" w14:textId="77777777" w:rsidR="00247F0F" w:rsidRPr="003E3276" w:rsidRDefault="00247F0F" w:rsidP="004270D9">
      <w:pPr>
        <w:pStyle w:val="Heading1"/>
        <w:spacing w:before="240" w:after="0"/>
        <w:ind w:left="851"/>
        <w:rPr>
          <w:rFonts w:eastAsiaTheme="minorHAnsi"/>
        </w:rPr>
      </w:pPr>
      <w:bookmarkStart w:id="9" w:name="_Toc403555082"/>
      <w:r w:rsidRPr="003E3276">
        <w:rPr>
          <w:rFonts w:eastAsiaTheme="minorHAnsi"/>
        </w:rPr>
        <w:t>Contents of the ITT</w:t>
      </w:r>
      <w:bookmarkEnd w:id="9"/>
      <w:r w:rsidRPr="003E3276">
        <w:rPr>
          <w:rFonts w:eastAsiaTheme="minorHAnsi"/>
        </w:rPr>
        <w:t xml:space="preserve"> </w:t>
      </w:r>
    </w:p>
    <w:p w14:paraId="20C7381F" w14:textId="77777777" w:rsidR="00AD3446" w:rsidRPr="003E3276" w:rsidRDefault="00AD3446" w:rsidP="004270D9">
      <w:pPr>
        <w:pStyle w:val="MRNumberedHeading2"/>
        <w:rPr>
          <w:b/>
        </w:rPr>
      </w:pPr>
      <w:bookmarkStart w:id="10" w:name="_Toc403555083"/>
      <w:bookmarkStart w:id="11" w:name="_Ref405452631"/>
      <w:r>
        <w:t>This ITT document consists of:</w:t>
      </w:r>
      <w:bookmarkEnd w:id="10"/>
      <w:bookmarkEnd w:id="11"/>
    </w:p>
    <w:p w14:paraId="20C73820"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03"/>
        <w:gridCol w:w="5602"/>
        <w:gridCol w:w="2225"/>
      </w:tblGrid>
      <w:tr w:rsidR="00653DCC" w14:paraId="20C73822" w14:textId="77777777" w:rsidTr="00CC36F3">
        <w:trPr>
          <w:gridAfter w:val="1"/>
          <w:wAfter w:w="2225" w:type="dxa"/>
        </w:trPr>
        <w:tc>
          <w:tcPr>
            <w:tcW w:w="6705" w:type="dxa"/>
            <w:gridSpan w:val="2"/>
            <w:shd w:val="clear" w:color="auto" w:fill="BFBFBF" w:themeFill="background1" w:themeFillShade="BF"/>
          </w:tcPr>
          <w:p w14:paraId="20C73821" w14:textId="1D847310" w:rsidR="005957B2" w:rsidRPr="00953B6C" w:rsidRDefault="00AD0C96" w:rsidP="00AD3446">
            <w:pPr>
              <w:pStyle w:val="Heading2"/>
              <w:numPr>
                <w:ilvl w:val="0"/>
                <w:numId w:val="0"/>
              </w:numPr>
              <w:rPr>
                <w:b/>
              </w:rPr>
            </w:pPr>
            <w:r>
              <w:rPr>
                <w:b/>
              </w:rPr>
              <w:t>Section</w:t>
            </w:r>
            <w:r w:rsidR="00653DCC" w:rsidRPr="00953B6C">
              <w:rPr>
                <w:b/>
              </w:rPr>
              <w:t xml:space="preserve"> A</w:t>
            </w:r>
            <w:r w:rsidR="00953B6C" w:rsidRPr="00953B6C">
              <w:rPr>
                <w:b/>
              </w:rPr>
              <w:t xml:space="preserve"> – Instructions and </w:t>
            </w:r>
            <w:r w:rsidR="005810B3">
              <w:rPr>
                <w:b/>
              </w:rPr>
              <w:t>I</w:t>
            </w:r>
            <w:r w:rsidR="00953B6C" w:rsidRPr="00953B6C">
              <w:rPr>
                <w:b/>
              </w:rPr>
              <w:t>nformation</w:t>
            </w:r>
          </w:p>
        </w:tc>
      </w:tr>
      <w:tr w:rsidR="00653DCC" w14:paraId="20C73826" w14:textId="77777777" w:rsidTr="00CC36F3">
        <w:trPr>
          <w:gridAfter w:val="1"/>
          <w:wAfter w:w="2225" w:type="dxa"/>
        </w:trPr>
        <w:tc>
          <w:tcPr>
            <w:tcW w:w="1103" w:type="dxa"/>
          </w:tcPr>
          <w:p w14:paraId="20C73823" w14:textId="77777777" w:rsidR="00653DCC" w:rsidRDefault="00653DCC" w:rsidP="00AD3446">
            <w:pPr>
              <w:pStyle w:val="Heading2"/>
              <w:numPr>
                <w:ilvl w:val="0"/>
                <w:numId w:val="0"/>
              </w:numPr>
              <w:jc w:val="center"/>
            </w:pPr>
            <w:r>
              <w:t>1</w:t>
            </w:r>
          </w:p>
        </w:tc>
        <w:tc>
          <w:tcPr>
            <w:tcW w:w="5602" w:type="dxa"/>
          </w:tcPr>
          <w:p w14:paraId="20C73824" w14:textId="2821D5B4" w:rsidR="00653DCC" w:rsidRDefault="00653DCC" w:rsidP="00AD3446">
            <w:pPr>
              <w:pStyle w:val="Heading2"/>
              <w:numPr>
                <w:ilvl w:val="0"/>
                <w:numId w:val="0"/>
              </w:numPr>
            </w:pPr>
            <w:r>
              <w:t xml:space="preserve">Introduction and </w:t>
            </w:r>
            <w:r w:rsidR="005810B3">
              <w:t>B</w:t>
            </w:r>
            <w:r>
              <w:t>ackground</w:t>
            </w:r>
          </w:p>
          <w:p w14:paraId="20C73825" w14:textId="77777777" w:rsidR="009464EA" w:rsidRDefault="009464EA" w:rsidP="00AD3446">
            <w:pPr>
              <w:pStyle w:val="Heading2"/>
              <w:numPr>
                <w:ilvl w:val="0"/>
                <w:numId w:val="0"/>
              </w:numPr>
            </w:pPr>
          </w:p>
        </w:tc>
      </w:tr>
      <w:tr w:rsidR="00653DCC" w14:paraId="20C7382A" w14:textId="77777777" w:rsidTr="00CC36F3">
        <w:trPr>
          <w:gridAfter w:val="1"/>
          <w:wAfter w:w="2225" w:type="dxa"/>
        </w:trPr>
        <w:tc>
          <w:tcPr>
            <w:tcW w:w="1103" w:type="dxa"/>
          </w:tcPr>
          <w:p w14:paraId="20C73827" w14:textId="77777777" w:rsidR="00653DCC" w:rsidRPr="00CC36F3" w:rsidRDefault="00653DCC" w:rsidP="00AD3446">
            <w:pPr>
              <w:pStyle w:val="Heading2"/>
              <w:numPr>
                <w:ilvl w:val="0"/>
                <w:numId w:val="0"/>
              </w:numPr>
              <w:jc w:val="center"/>
            </w:pPr>
            <w:r w:rsidRPr="00CC36F3">
              <w:t>2</w:t>
            </w:r>
          </w:p>
        </w:tc>
        <w:tc>
          <w:tcPr>
            <w:tcW w:w="5602" w:type="dxa"/>
          </w:tcPr>
          <w:p w14:paraId="20C73828" w14:textId="45E4F8D1" w:rsidR="00653DCC" w:rsidRDefault="00653DCC" w:rsidP="00AD3446">
            <w:pPr>
              <w:pStyle w:val="Heading2"/>
              <w:numPr>
                <w:ilvl w:val="0"/>
                <w:numId w:val="0"/>
              </w:numPr>
            </w:pPr>
            <w:r w:rsidRPr="00CC36F3">
              <w:t xml:space="preserve">Tender </w:t>
            </w:r>
            <w:r w:rsidR="005810B3">
              <w:t>T</w:t>
            </w:r>
            <w:r w:rsidRPr="00CC36F3">
              <w:t>imetable</w:t>
            </w:r>
            <w:r w:rsidR="00A57D02">
              <w:t xml:space="preserve"> </w:t>
            </w:r>
          </w:p>
          <w:p w14:paraId="20C73829" w14:textId="77777777" w:rsidR="009464EA" w:rsidRDefault="009464EA" w:rsidP="00AD3446">
            <w:pPr>
              <w:pStyle w:val="Heading2"/>
              <w:numPr>
                <w:ilvl w:val="0"/>
                <w:numId w:val="0"/>
              </w:numPr>
            </w:pPr>
          </w:p>
        </w:tc>
      </w:tr>
      <w:tr w:rsidR="00653DCC" w14:paraId="20C7382E" w14:textId="77777777" w:rsidTr="00CC36F3">
        <w:trPr>
          <w:gridAfter w:val="1"/>
          <w:wAfter w:w="2225" w:type="dxa"/>
        </w:trPr>
        <w:tc>
          <w:tcPr>
            <w:tcW w:w="1103" w:type="dxa"/>
          </w:tcPr>
          <w:p w14:paraId="20C7382B" w14:textId="77777777" w:rsidR="00653DCC" w:rsidRDefault="00653DCC" w:rsidP="00AD3446">
            <w:pPr>
              <w:pStyle w:val="Heading2"/>
              <w:numPr>
                <w:ilvl w:val="0"/>
                <w:numId w:val="0"/>
              </w:numPr>
              <w:jc w:val="center"/>
            </w:pPr>
            <w:r>
              <w:t>3</w:t>
            </w:r>
          </w:p>
        </w:tc>
        <w:tc>
          <w:tcPr>
            <w:tcW w:w="5602" w:type="dxa"/>
          </w:tcPr>
          <w:p w14:paraId="20C7382C" w14:textId="77777777" w:rsidR="00653DCC" w:rsidRDefault="00223555" w:rsidP="00AD3446">
            <w:pPr>
              <w:pStyle w:val="Heading2"/>
              <w:numPr>
                <w:ilvl w:val="0"/>
                <w:numId w:val="0"/>
              </w:numPr>
            </w:pPr>
            <w:r>
              <w:t xml:space="preserve">Instructions to </w:t>
            </w:r>
            <w:r w:rsidR="00E7163F">
              <w:t>Bidders</w:t>
            </w:r>
            <w:r>
              <w:t xml:space="preserve"> </w:t>
            </w:r>
          </w:p>
          <w:p w14:paraId="20C7382D" w14:textId="40B3C6C3" w:rsidR="009464EA" w:rsidRDefault="009464EA" w:rsidP="00AD3446">
            <w:pPr>
              <w:pStyle w:val="Heading2"/>
              <w:numPr>
                <w:ilvl w:val="0"/>
                <w:numId w:val="0"/>
              </w:numPr>
            </w:pPr>
          </w:p>
        </w:tc>
      </w:tr>
      <w:tr w:rsidR="00653DCC" w14:paraId="20C73832" w14:textId="77777777" w:rsidTr="00CC36F3">
        <w:trPr>
          <w:gridAfter w:val="1"/>
          <w:wAfter w:w="2225" w:type="dxa"/>
        </w:trPr>
        <w:tc>
          <w:tcPr>
            <w:tcW w:w="1103" w:type="dxa"/>
          </w:tcPr>
          <w:p w14:paraId="20C7382F" w14:textId="77777777" w:rsidR="00653DCC" w:rsidRDefault="00653DCC" w:rsidP="00AD3446">
            <w:pPr>
              <w:pStyle w:val="Heading2"/>
              <w:numPr>
                <w:ilvl w:val="0"/>
                <w:numId w:val="0"/>
              </w:numPr>
              <w:jc w:val="center"/>
            </w:pPr>
            <w:r>
              <w:t>4</w:t>
            </w:r>
          </w:p>
        </w:tc>
        <w:tc>
          <w:tcPr>
            <w:tcW w:w="5602" w:type="dxa"/>
          </w:tcPr>
          <w:p w14:paraId="20C73830" w14:textId="1F0F6589" w:rsidR="009464EA" w:rsidRDefault="008731E8" w:rsidP="00AD3446">
            <w:pPr>
              <w:pStyle w:val="Heading2"/>
              <w:numPr>
                <w:ilvl w:val="0"/>
                <w:numId w:val="0"/>
              </w:numPr>
            </w:pPr>
            <w:r>
              <w:t xml:space="preserve">Tender </w:t>
            </w:r>
            <w:r w:rsidR="005810B3">
              <w:t>E</w:t>
            </w:r>
            <w:r>
              <w:t xml:space="preserve">valuation </w:t>
            </w:r>
            <w:r w:rsidR="005810B3">
              <w:t>M</w:t>
            </w:r>
            <w:r>
              <w:t xml:space="preserve">ethodology and </w:t>
            </w:r>
            <w:r w:rsidR="005810B3">
              <w:t>C</w:t>
            </w:r>
            <w:r>
              <w:t>riteria</w:t>
            </w:r>
          </w:p>
          <w:p w14:paraId="20C73831" w14:textId="77777777" w:rsidR="00653DCC" w:rsidRDefault="008731E8" w:rsidP="00AD3446">
            <w:pPr>
              <w:pStyle w:val="Heading2"/>
              <w:numPr>
                <w:ilvl w:val="0"/>
                <w:numId w:val="0"/>
              </w:numPr>
            </w:pPr>
            <w:r>
              <w:t xml:space="preserve"> </w:t>
            </w:r>
          </w:p>
        </w:tc>
      </w:tr>
      <w:tr w:rsidR="00953B6C" w14:paraId="20C7383A" w14:textId="77777777" w:rsidTr="00CC36F3">
        <w:trPr>
          <w:gridAfter w:val="1"/>
          <w:wAfter w:w="2225" w:type="dxa"/>
        </w:trPr>
        <w:tc>
          <w:tcPr>
            <w:tcW w:w="1103" w:type="dxa"/>
          </w:tcPr>
          <w:p w14:paraId="20C73837" w14:textId="2BD22D35" w:rsidR="00953B6C" w:rsidRDefault="00953B6C" w:rsidP="00AD3446">
            <w:pPr>
              <w:pStyle w:val="Heading2"/>
              <w:numPr>
                <w:ilvl w:val="0"/>
                <w:numId w:val="0"/>
              </w:numPr>
              <w:jc w:val="center"/>
            </w:pPr>
            <w:bookmarkStart w:id="12" w:name="_Ref405453364"/>
            <w:r>
              <w:t xml:space="preserve">Annex </w:t>
            </w:r>
            <w:r w:rsidR="006E3892">
              <w:t>A</w:t>
            </w:r>
            <w:r>
              <w:t>1</w:t>
            </w:r>
            <w:bookmarkEnd w:id="12"/>
          </w:p>
        </w:tc>
        <w:tc>
          <w:tcPr>
            <w:tcW w:w="5602" w:type="dxa"/>
          </w:tcPr>
          <w:p w14:paraId="20C73838" w14:textId="77777777" w:rsidR="009464EA" w:rsidRDefault="006E3892" w:rsidP="00AD3446">
            <w:pPr>
              <w:pStyle w:val="Heading2"/>
              <w:numPr>
                <w:ilvl w:val="0"/>
                <w:numId w:val="0"/>
              </w:numPr>
            </w:pPr>
            <w:r>
              <w:t xml:space="preserve">NHS Terms and Conditions </w:t>
            </w:r>
          </w:p>
          <w:p w14:paraId="20C73839" w14:textId="77777777" w:rsidR="006E3892" w:rsidRDefault="006E3892" w:rsidP="00AD3446">
            <w:pPr>
              <w:pStyle w:val="Heading2"/>
              <w:numPr>
                <w:ilvl w:val="0"/>
                <w:numId w:val="0"/>
              </w:numPr>
            </w:pPr>
          </w:p>
        </w:tc>
      </w:tr>
      <w:tr w:rsidR="00953B6C" w14:paraId="20C73840" w14:textId="77777777" w:rsidTr="00CC36F3">
        <w:trPr>
          <w:gridAfter w:val="1"/>
          <w:wAfter w:w="2225" w:type="dxa"/>
        </w:trPr>
        <w:tc>
          <w:tcPr>
            <w:tcW w:w="6705" w:type="dxa"/>
            <w:gridSpan w:val="2"/>
            <w:shd w:val="clear" w:color="auto" w:fill="BFBFBF" w:themeFill="background1" w:themeFillShade="BF"/>
          </w:tcPr>
          <w:p w14:paraId="20C7383F" w14:textId="77777777" w:rsidR="005957B2" w:rsidRPr="00953B6C" w:rsidRDefault="00AD0C96" w:rsidP="00AD3446">
            <w:pPr>
              <w:pStyle w:val="Heading2"/>
              <w:numPr>
                <w:ilvl w:val="0"/>
                <w:numId w:val="0"/>
              </w:numPr>
              <w:rPr>
                <w:b/>
              </w:rPr>
            </w:pPr>
            <w:r w:rsidRPr="00CC36F3">
              <w:rPr>
                <w:b/>
              </w:rPr>
              <w:t>Section</w:t>
            </w:r>
            <w:r w:rsidR="00953B6C" w:rsidRPr="00CC36F3">
              <w:rPr>
                <w:b/>
              </w:rPr>
              <w:t xml:space="preserve"> B – Tender Schedules (to be returned by </w:t>
            </w:r>
            <w:r w:rsidR="00C52D6B" w:rsidRPr="00CC36F3">
              <w:rPr>
                <w:b/>
              </w:rPr>
              <w:t>B</w:t>
            </w:r>
            <w:r w:rsidR="00CF6B32" w:rsidRPr="00CC36F3">
              <w:rPr>
                <w:b/>
              </w:rPr>
              <w:t>idder</w:t>
            </w:r>
            <w:r w:rsidR="00953B6C" w:rsidRPr="00CC36F3">
              <w:rPr>
                <w:b/>
              </w:rPr>
              <w:t>s)</w:t>
            </w:r>
          </w:p>
        </w:tc>
      </w:tr>
      <w:tr w:rsidR="00953B6C" w14:paraId="20C73844" w14:textId="77777777" w:rsidTr="00CC36F3">
        <w:trPr>
          <w:gridAfter w:val="1"/>
          <w:wAfter w:w="2225" w:type="dxa"/>
        </w:trPr>
        <w:tc>
          <w:tcPr>
            <w:tcW w:w="1103" w:type="dxa"/>
            <w:shd w:val="clear" w:color="auto" w:fill="auto"/>
          </w:tcPr>
          <w:p w14:paraId="0133F5EE" w14:textId="77777777" w:rsidR="00953B6C" w:rsidRDefault="00A855BE" w:rsidP="00AD3446">
            <w:pPr>
              <w:pStyle w:val="Heading2"/>
              <w:numPr>
                <w:ilvl w:val="0"/>
                <w:numId w:val="0"/>
              </w:numPr>
              <w:jc w:val="center"/>
            </w:pPr>
            <w:r>
              <w:t>Annex B1</w:t>
            </w:r>
          </w:p>
          <w:p w14:paraId="20C73841" w14:textId="56BF3A7F" w:rsidR="00A855BE" w:rsidRDefault="00A855BE" w:rsidP="00AD3446">
            <w:pPr>
              <w:pStyle w:val="Heading2"/>
              <w:numPr>
                <w:ilvl w:val="0"/>
                <w:numId w:val="0"/>
              </w:numPr>
              <w:jc w:val="center"/>
            </w:pPr>
          </w:p>
        </w:tc>
        <w:tc>
          <w:tcPr>
            <w:tcW w:w="5602" w:type="dxa"/>
          </w:tcPr>
          <w:p w14:paraId="20C73843" w14:textId="265B9B29" w:rsidR="009464EA" w:rsidRDefault="00B70AD8" w:rsidP="00AD3446">
            <w:pPr>
              <w:pStyle w:val="Heading2"/>
              <w:numPr>
                <w:ilvl w:val="0"/>
                <w:numId w:val="0"/>
              </w:numPr>
            </w:pPr>
            <w:r>
              <w:t>Standard Selection Questionnaire</w:t>
            </w:r>
          </w:p>
        </w:tc>
      </w:tr>
      <w:tr w:rsidR="00C573A4" w14:paraId="20C73848" w14:textId="77777777" w:rsidTr="00CC36F3">
        <w:trPr>
          <w:gridAfter w:val="1"/>
          <w:wAfter w:w="2225" w:type="dxa"/>
        </w:trPr>
        <w:tc>
          <w:tcPr>
            <w:tcW w:w="1103" w:type="dxa"/>
          </w:tcPr>
          <w:p w14:paraId="20C73845" w14:textId="77777777" w:rsidR="00C573A4" w:rsidRDefault="006E3892" w:rsidP="00AD3446">
            <w:pPr>
              <w:pStyle w:val="Heading2"/>
              <w:numPr>
                <w:ilvl w:val="0"/>
                <w:numId w:val="0"/>
              </w:numPr>
              <w:jc w:val="center"/>
            </w:pPr>
            <w:r>
              <w:t>Annex B</w:t>
            </w:r>
            <w:r w:rsidR="00C573A4">
              <w:t>2</w:t>
            </w:r>
          </w:p>
        </w:tc>
        <w:tc>
          <w:tcPr>
            <w:tcW w:w="5602" w:type="dxa"/>
          </w:tcPr>
          <w:p w14:paraId="20C73846" w14:textId="77777777" w:rsidR="009464EA" w:rsidRDefault="00636468" w:rsidP="00AD3446">
            <w:pPr>
              <w:pStyle w:val="Heading2"/>
              <w:numPr>
                <w:ilvl w:val="0"/>
                <w:numId w:val="0"/>
              </w:numPr>
            </w:pPr>
            <w:r>
              <w:t>S</w:t>
            </w:r>
            <w:r w:rsidR="006E3892">
              <w:t>pecification</w:t>
            </w:r>
          </w:p>
          <w:p w14:paraId="20C73847" w14:textId="77777777" w:rsidR="009464EA" w:rsidRDefault="009464EA" w:rsidP="00AD3446">
            <w:pPr>
              <w:pStyle w:val="Heading2"/>
              <w:numPr>
                <w:ilvl w:val="0"/>
                <w:numId w:val="0"/>
              </w:numPr>
            </w:pPr>
          </w:p>
        </w:tc>
      </w:tr>
      <w:tr w:rsidR="00C573A4" w14:paraId="20C7384C" w14:textId="77777777" w:rsidTr="00CC36F3">
        <w:trPr>
          <w:gridAfter w:val="1"/>
          <w:wAfter w:w="2225" w:type="dxa"/>
        </w:trPr>
        <w:tc>
          <w:tcPr>
            <w:tcW w:w="1103" w:type="dxa"/>
          </w:tcPr>
          <w:p w14:paraId="20C73849" w14:textId="77777777" w:rsidR="00C573A4" w:rsidRDefault="006E3892" w:rsidP="00AD3446">
            <w:pPr>
              <w:pStyle w:val="Heading2"/>
              <w:numPr>
                <w:ilvl w:val="0"/>
                <w:numId w:val="0"/>
              </w:numPr>
              <w:jc w:val="center"/>
            </w:pPr>
            <w:r>
              <w:t>Annex B3</w:t>
            </w:r>
          </w:p>
        </w:tc>
        <w:tc>
          <w:tcPr>
            <w:tcW w:w="5602" w:type="dxa"/>
          </w:tcPr>
          <w:p w14:paraId="20C7384A" w14:textId="77777777" w:rsidR="00C573A4" w:rsidRDefault="0035766D" w:rsidP="00AD3446">
            <w:pPr>
              <w:pStyle w:val="Heading2"/>
              <w:numPr>
                <w:ilvl w:val="0"/>
                <w:numId w:val="0"/>
              </w:numPr>
            </w:pPr>
            <w:r>
              <w:t>Tender Response Do</w:t>
            </w:r>
            <w:r w:rsidR="00A66B5D">
              <w:t>cument</w:t>
            </w:r>
          </w:p>
          <w:p w14:paraId="20C7384B" w14:textId="77777777" w:rsidR="009464EA" w:rsidRDefault="009464EA" w:rsidP="00AD3446">
            <w:pPr>
              <w:pStyle w:val="Heading2"/>
              <w:numPr>
                <w:ilvl w:val="0"/>
                <w:numId w:val="0"/>
              </w:numPr>
            </w:pPr>
          </w:p>
        </w:tc>
      </w:tr>
      <w:tr w:rsidR="00C573A4" w14:paraId="20C73850" w14:textId="77777777" w:rsidTr="00CC36F3">
        <w:trPr>
          <w:gridAfter w:val="1"/>
          <w:wAfter w:w="2225" w:type="dxa"/>
        </w:trPr>
        <w:tc>
          <w:tcPr>
            <w:tcW w:w="1103" w:type="dxa"/>
          </w:tcPr>
          <w:p w14:paraId="20C7384D" w14:textId="77777777" w:rsidR="00C573A4" w:rsidRDefault="006E3892" w:rsidP="00AD3446">
            <w:pPr>
              <w:pStyle w:val="Heading2"/>
              <w:numPr>
                <w:ilvl w:val="0"/>
                <w:numId w:val="0"/>
              </w:numPr>
              <w:jc w:val="center"/>
            </w:pPr>
            <w:r>
              <w:t>Annex B</w:t>
            </w:r>
            <w:r w:rsidR="00C573A4">
              <w:t>4</w:t>
            </w:r>
          </w:p>
        </w:tc>
        <w:tc>
          <w:tcPr>
            <w:tcW w:w="5602" w:type="dxa"/>
            <w:tcBorders>
              <w:bottom w:val="single" w:sz="4" w:space="0" w:color="auto"/>
            </w:tcBorders>
          </w:tcPr>
          <w:p w14:paraId="20C7384E" w14:textId="77777777" w:rsidR="00C573A4" w:rsidRDefault="00490EBA" w:rsidP="00AD3446">
            <w:pPr>
              <w:pStyle w:val="Heading2"/>
              <w:numPr>
                <w:ilvl w:val="0"/>
                <w:numId w:val="0"/>
              </w:numPr>
            </w:pPr>
            <w:r>
              <w:t>Commercial S</w:t>
            </w:r>
            <w:r w:rsidR="00A66B5D">
              <w:t>chedule</w:t>
            </w:r>
          </w:p>
          <w:p w14:paraId="20C7384F" w14:textId="77777777" w:rsidR="009464EA" w:rsidRDefault="009464EA" w:rsidP="00AD3446">
            <w:pPr>
              <w:pStyle w:val="Heading2"/>
              <w:numPr>
                <w:ilvl w:val="0"/>
                <w:numId w:val="0"/>
              </w:numPr>
            </w:pPr>
          </w:p>
        </w:tc>
      </w:tr>
      <w:tr w:rsidR="009A3E29" w14:paraId="20C73855" w14:textId="77777777" w:rsidTr="00CC36F3">
        <w:tc>
          <w:tcPr>
            <w:tcW w:w="1103" w:type="dxa"/>
          </w:tcPr>
          <w:p w14:paraId="20C73851" w14:textId="77777777" w:rsidR="009A3E29" w:rsidRDefault="006E3892" w:rsidP="00AD3446">
            <w:pPr>
              <w:pStyle w:val="Heading2"/>
              <w:numPr>
                <w:ilvl w:val="0"/>
                <w:numId w:val="0"/>
              </w:numPr>
              <w:jc w:val="center"/>
            </w:pPr>
            <w:r>
              <w:t>Annex B</w:t>
            </w:r>
            <w:r w:rsidR="009A3E29">
              <w:t>5</w:t>
            </w:r>
          </w:p>
        </w:tc>
        <w:tc>
          <w:tcPr>
            <w:tcW w:w="5602" w:type="dxa"/>
            <w:tcBorders>
              <w:right w:val="single" w:sz="4" w:space="0" w:color="auto"/>
            </w:tcBorders>
          </w:tcPr>
          <w:p w14:paraId="20C73852" w14:textId="2DBF29F3" w:rsidR="009A3E29" w:rsidRDefault="00A66B5D" w:rsidP="00AD3446">
            <w:pPr>
              <w:pStyle w:val="Heading2"/>
              <w:numPr>
                <w:ilvl w:val="0"/>
                <w:numId w:val="0"/>
              </w:numPr>
            </w:pPr>
            <w:r>
              <w:t xml:space="preserve">Confidential and </w:t>
            </w:r>
            <w:r w:rsidR="005810B3">
              <w:t>C</w:t>
            </w:r>
            <w:r>
              <w:t xml:space="preserve">ommercially </w:t>
            </w:r>
            <w:r w:rsidR="005810B3">
              <w:t>S</w:t>
            </w:r>
            <w:r>
              <w:t xml:space="preserve">ensitive </w:t>
            </w:r>
            <w:r w:rsidR="005810B3">
              <w:t>I</w:t>
            </w:r>
            <w:r>
              <w:t>nformation</w:t>
            </w:r>
          </w:p>
          <w:p w14:paraId="20C73853" w14:textId="77777777" w:rsidR="009A3E29" w:rsidRDefault="009A3E29" w:rsidP="00AD3446">
            <w:pPr>
              <w:pStyle w:val="Heading2"/>
              <w:numPr>
                <w:ilvl w:val="0"/>
                <w:numId w:val="0"/>
              </w:numPr>
            </w:pPr>
          </w:p>
        </w:tc>
        <w:tc>
          <w:tcPr>
            <w:tcW w:w="2225" w:type="dxa"/>
            <w:tcBorders>
              <w:top w:val="nil"/>
              <w:left w:val="single" w:sz="4" w:space="0" w:color="auto"/>
              <w:bottom w:val="nil"/>
              <w:right w:val="nil"/>
            </w:tcBorders>
          </w:tcPr>
          <w:p w14:paraId="20C73854" w14:textId="50D2F54B" w:rsidR="009A3E29" w:rsidRPr="00A52A19" w:rsidRDefault="009A3E29" w:rsidP="00AD3446">
            <w:pPr>
              <w:pStyle w:val="Heading2"/>
              <w:numPr>
                <w:ilvl w:val="0"/>
                <w:numId w:val="0"/>
              </w:numPr>
              <w:jc w:val="right"/>
              <w:rPr>
                <w:rFonts w:ascii="Arial Bold" w:hAnsi="Arial Bold"/>
                <w:color w:val="auto"/>
              </w:rPr>
            </w:pPr>
            <w:bookmarkStart w:id="13" w:name="handonesix"/>
            <w:bookmarkEnd w:id="13"/>
          </w:p>
        </w:tc>
      </w:tr>
      <w:tr w:rsidR="006E3892" w:rsidRPr="00AD58A9" w14:paraId="20C7385A" w14:textId="77777777" w:rsidTr="00CC36F3">
        <w:tc>
          <w:tcPr>
            <w:tcW w:w="1103" w:type="dxa"/>
          </w:tcPr>
          <w:p w14:paraId="20C73856" w14:textId="77777777" w:rsidR="006E3892" w:rsidRPr="00AD58A9" w:rsidRDefault="006E3892" w:rsidP="00AD3446">
            <w:pPr>
              <w:pStyle w:val="Heading2"/>
              <w:numPr>
                <w:ilvl w:val="0"/>
                <w:numId w:val="0"/>
              </w:numPr>
              <w:jc w:val="center"/>
            </w:pPr>
            <w:r w:rsidRPr="00AD58A9">
              <w:t>Annex B6</w:t>
            </w:r>
          </w:p>
          <w:p w14:paraId="20C73857" w14:textId="77777777" w:rsidR="006E3892" w:rsidRPr="00AD58A9" w:rsidRDefault="006E3892" w:rsidP="00AD3446">
            <w:pPr>
              <w:pStyle w:val="Heading2"/>
              <w:numPr>
                <w:ilvl w:val="0"/>
                <w:numId w:val="0"/>
              </w:numPr>
              <w:jc w:val="center"/>
            </w:pPr>
          </w:p>
        </w:tc>
        <w:tc>
          <w:tcPr>
            <w:tcW w:w="5602" w:type="dxa"/>
            <w:tcBorders>
              <w:right w:val="single" w:sz="4" w:space="0" w:color="auto"/>
            </w:tcBorders>
          </w:tcPr>
          <w:p w14:paraId="20C73858" w14:textId="6F658CD4" w:rsidR="006E3892" w:rsidRPr="00AD58A9" w:rsidRDefault="006E3892" w:rsidP="00AD3446">
            <w:pPr>
              <w:pStyle w:val="Heading2"/>
              <w:numPr>
                <w:ilvl w:val="0"/>
                <w:numId w:val="0"/>
              </w:numPr>
            </w:pPr>
            <w:r w:rsidRPr="00AD58A9">
              <w:t xml:space="preserve">Administrative </w:t>
            </w:r>
            <w:r w:rsidR="005810B3">
              <w:t>I</w:t>
            </w:r>
            <w:r w:rsidRPr="00AD58A9">
              <w:t>nstructions</w:t>
            </w:r>
          </w:p>
        </w:tc>
        <w:tc>
          <w:tcPr>
            <w:tcW w:w="2225" w:type="dxa"/>
            <w:tcBorders>
              <w:top w:val="nil"/>
              <w:left w:val="single" w:sz="4" w:space="0" w:color="auto"/>
              <w:bottom w:val="nil"/>
              <w:right w:val="nil"/>
            </w:tcBorders>
          </w:tcPr>
          <w:p w14:paraId="20C73859" w14:textId="77777777" w:rsidR="006E3892" w:rsidRPr="00AD58A9" w:rsidRDefault="006E3892" w:rsidP="00AD3446">
            <w:pPr>
              <w:pStyle w:val="Heading2"/>
              <w:numPr>
                <w:ilvl w:val="0"/>
                <w:numId w:val="0"/>
              </w:numPr>
              <w:jc w:val="right"/>
            </w:pPr>
          </w:p>
        </w:tc>
      </w:tr>
      <w:tr w:rsidR="006E3892" w14:paraId="20C7385F" w14:textId="77777777" w:rsidTr="00CC36F3">
        <w:tc>
          <w:tcPr>
            <w:tcW w:w="1103" w:type="dxa"/>
          </w:tcPr>
          <w:p w14:paraId="20C7385B" w14:textId="77777777" w:rsidR="006E3892" w:rsidRDefault="006E3892" w:rsidP="00AD3446">
            <w:pPr>
              <w:pStyle w:val="Heading2"/>
              <w:numPr>
                <w:ilvl w:val="0"/>
                <w:numId w:val="0"/>
              </w:numPr>
              <w:jc w:val="center"/>
            </w:pPr>
            <w:r>
              <w:t>Annex B7</w:t>
            </w:r>
          </w:p>
          <w:p w14:paraId="20C7385C" w14:textId="77777777" w:rsidR="006E3892" w:rsidRDefault="006E3892" w:rsidP="00AD3446">
            <w:pPr>
              <w:pStyle w:val="Heading2"/>
              <w:numPr>
                <w:ilvl w:val="0"/>
                <w:numId w:val="0"/>
              </w:numPr>
              <w:jc w:val="center"/>
            </w:pPr>
          </w:p>
        </w:tc>
        <w:tc>
          <w:tcPr>
            <w:tcW w:w="5602" w:type="dxa"/>
            <w:tcBorders>
              <w:right w:val="single" w:sz="4" w:space="0" w:color="auto"/>
            </w:tcBorders>
          </w:tcPr>
          <w:p w14:paraId="20C7385D" w14:textId="77777777" w:rsidR="006E3892" w:rsidRDefault="006E3892" w:rsidP="00AD3446">
            <w:pPr>
              <w:pStyle w:val="Heading2"/>
              <w:numPr>
                <w:ilvl w:val="0"/>
                <w:numId w:val="0"/>
              </w:numPr>
            </w:pPr>
            <w:r>
              <w:t>Form of Tender</w:t>
            </w:r>
          </w:p>
        </w:tc>
        <w:tc>
          <w:tcPr>
            <w:tcW w:w="2225" w:type="dxa"/>
            <w:tcBorders>
              <w:top w:val="nil"/>
              <w:left w:val="single" w:sz="4" w:space="0" w:color="auto"/>
              <w:bottom w:val="nil"/>
              <w:right w:val="nil"/>
            </w:tcBorders>
          </w:tcPr>
          <w:p w14:paraId="20C7385E" w14:textId="77777777" w:rsidR="006E3892" w:rsidRDefault="006E3892" w:rsidP="00AD3446">
            <w:pPr>
              <w:pStyle w:val="Heading2"/>
              <w:numPr>
                <w:ilvl w:val="0"/>
                <w:numId w:val="0"/>
              </w:numPr>
              <w:jc w:val="right"/>
            </w:pPr>
          </w:p>
        </w:tc>
      </w:tr>
    </w:tbl>
    <w:p w14:paraId="2FD8D326" w14:textId="60F27BFA" w:rsidR="0099542A" w:rsidRDefault="0099542A" w:rsidP="00932A98">
      <w:pPr>
        <w:pStyle w:val="Heading1"/>
        <w:spacing w:before="240" w:after="0"/>
      </w:pPr>
      <w:bookmarkStart w:id="14" w:name="_Toc403555084"/>
    </w:p>
    <w:p w14:paraId="20C73861" w14:textId="79445C69" w:rsidR="00247F0F" w:rsidRDefault="0099542A" w:rsidP="004270D9">
      <w:pPr>
        <w:pStyle w:val="Heading1"/>
        <w:spacing w:before="240" w:after="0"/>
        <w:ind w:left="851"/>
        <w:rPr>
          <w:b w:val="0"/>
        </w:rPr>
      </w:pPr>
      <w:r>
        <w:t>I</w:t>
      </w:r>
      <w:r w:rsidR="00247F0F">
        <w:t xml:space="preserve">ntroduction to the </w:t>
      </w:r>
      <w:r w:rsidR="00740C0F">
        <w:t>procurement</w:t>
      </w:r>
      <w:bookmarkEnd w:id="14"/>
      <w:r w:rsidR="00247F0F">
        <w:t xml:space="preserve"> </w:t>
      </w:r>
    </w:p>
    <w:p w14:paraId="5128866E" w14:textId="2492ACD6" w:rsidR="009C2E68" w:rsidRPr="009C2E68" w:rsidRDefault="00B47334" w:rsidP="00B47334">
      <w:pPr>
        <w:pStyle w:val="MRNumberedHeading2"/>
      </w:pPr>
      <w:r w:rsidRPr="00B47334">
        <w:rPr>
          <w:rFonts w:eastAsia="Calibri" w:cs="Arial"/>
          <w:bCs/>
          <w:szCs w:val="20"/>
        </w:rPr>
        <w:t>The York</w:t>
      </w:r>
      <w:r>
        <w:rPr>
          <w:rFonts w:eastAsia="Calibri" w:cs="Arial"/>
          <w:bCs/>
          <w:szCs w:val="20"/>
        </w:rPr>
        <w:t xml:space="preserve"> &amp; Scarborough </w:t>
      </w:r>
      <w:r w:rsidRPr="00B47334">
        <w:rPr>
          <w:rFonts w:eastAsia="Calibri" w:cs="Arial"/>
          <w:bCs/>
          <w:szCs w:val="20"/>
        </w:rPr>
        <w:t>Teaching Hospital</w:t>
      </w:r>
      <w:r>
        <w:rPr>
          <w:rFonts w:eastAsia="Calibri" w:cs="Arial"/>
          <w:bCs/>
          <w:szCs w:val="20"/>
        </w:rPr>
        <w:t>s</w:t>
      </w:r>
      <w:r w:rsidRPr="00B47334">
        <w:rPr>
          <w:rFonts w:eastAsia="Calibri" w:cs="Arial"/>
          <w:bCs/>
          <w:szCs w:val="20"/>
        </w:rPr>
        <w:t xml:space="preserve"> NHS Foundation Trust </w:t>
      </w:r>
      <w:r>
        <w:rPr>
          <w:rFonts w:eastAsia="Calibri" w:cs="Arial"/>
          <w:bCs/>
          <w:szCs w:val="20"/>
        </w:rPr>
        <w:t xml:space="preserve">provides </w:t>
      </w:r>
      <w:r w:rsidRPr="00B47334">
        <w:rPr>
          <w:rFonts w:eastAsia="Calibri" w:cs="Arial"/>
          <w:bCs/>
          <w:szCs w:val="20"/>
        </w:rPr>
        <w:t xml:space="preserve">a comprehensive range of acute hospital and specialist healthcare services to approximately 800,000 individuals residing in and around York, North Yorkshire, </w:t>
      </w:r>
      <w:r w:rsidR="00AD58A9" w:rsidRPr="00B47334">
        <w:rPr>
          <w:rFonts w:eastAsia="Calibri" w:cs="Arial"/>
          <w:bCs/>
          <w:szCs w:val="20"/>
        </w:rPr>
        <w:t>Northeast</w:t>
      </w:r>
      <w:r w:rsidRPr="00B47334">
        <w:rPr>
          <w:rFonts w:eastAsia="Calibri" w:cs="Arial"/>
          <w:bCs/>
          <w:szCs w:val="20"/>
        </w:rPr>
        <w:t xml:space="preserve"> </w:t>
      </w:r>
      <w:r w:rsidR="007A571E" w:rsidRPr="00B47334">
        <w:rPr>
          <w:rFonts w:eastAsia="Calibri" w:cs="Arial"/>
          <w:bCs/>
          <w:szCs w:val="20"/>
        </w:rPr>
        <w:t>Yorkshire,</w:t>
      </w:r>
      <w:r w:rsidRPr="00B47334">
        <w:rPr>
          <w:rFonts w:eastAsia="Calibri" w:cs="Arial"/>
          <w:bCs/>
          <w:szCs w:val="20"/>
        </w:rPr>
        <w:t xml:space="preserve"> and Ryedale. </w:t>
      </w:r>
    </w:p>
    <w:p w14:paraId="0A0DFB8C" w14:textId="75441D64" w:rsidR="00B47334" w:rsidRPr="00B47334" w:rsidRDefault="00B47334" w:rsidP="009C2E68">
      <w:pPr>
        <w:pStyle w:val="MRNumberedHeading2"/>
        <w:numPr>
          <w:ilvl w:val="0"/>
          <w:numId w:val="0"/>
        </w:numPr>
        <w:ind w:left="851"/>
      </w:pPr>
      <w:r w:rsidRPr="00B47334">
        <w:rPr>
          <w:rFonts w:eastAsia="Calibri" w:cs="Arial"/>
          <w:bCs/>
          <w:szCs w:val="20"/>
        </w:rPr>
        <w:t xml:space="preserve">Spanning an area covering 3,400 square miles, the Trust is committed to delivering exceptional care that is safe, of high quality, and characterized by compassion. </w:t>
      </w:r>
    </w:p>
    <w:p w14:paraId="6FDCCC6D" w14:textId="696786F9" w:rsidR="00B47334" w:rsidRPr="00B47334" w:rsidRDefault="00B47334" w:rsidP="00B47334">
      <w:pPr>
        <w:pStyle w:val="MRNumberedHeading2"/>
        <w:numPr>
          <w:ilvl w:val="0"/>
          <w:numId w:val="0"/>
        </w:numPr>
        <w:ind w:left="851"/>
        <w:rPr>
          <w:rFonts w:eastAsia="Calibri" w:cs="Arial"/>
          <w:bCs/>
          <w:szCs w:val="20"/>
        </w:rPr>
      </w:pPr>
      <w:r w:rsidRPr="00B47334">
        <w:rPr>
          <w:rFonts w:eastAsia="Calibri" w:cs="Arial"/>
          <w:bCs/>
          <w:szCs w:val="20"/>
        </w:rPr>
        <w:lastRenderedPageBreak/>
        <w:t>Our core values, centred around prioriti</w:t>
      </w:r>
      <w:r>
        <w:rPr>
          <w:rFonts w:eastAsia="Calibri" w:cs="Arial"/>
          <w:bCs/>
          <w:szCs w:val="20"/>
        </w:rPr>
        <w:t>s</w:t>
      </w:r>
      <w:r w:rsidRPr="00B47334">
        <w:rPr>
          <w:rFonts w:eastAsia="Calibri" w:cs="Arial"/>
          <w:bCs/>
          <w:szCs w:val="20"/>
        </w:rPr>
        <w:t>ing patients, delivering outstanding care, demonstrating respect and empathy, fostering teamwork, and striving for excellence, serve as guiding principles for all our actions and decisions.</w:t>
      </w:r>
    </w:p>
    <w:p w14:paraId="00822750" w14:textId="049B5508" w:rsidR="00FC6857" w:rsidRPr="00CE4B87" w:rsidRDefault="00B47334" w:rsidP="00B47334">
      <w:pPr>
        <w:pStyle w:val="MRNumberedHeading2"/>
        <w:numPr>
          <w:ilvl w:val="0"/>
          <w:numId w:val="0"/>
        </w:numPr>
        <w:ind w:left="851"/>
      </w:pPr>
      <w:r w:rsidRPr="00B47334">
        <w:rPr>
          <w:rFonts w:eastAsia="Calibri" w:cs="Arial"/>
          <w:bCs/>
          <w:szCs w:val="20"/>
        </w:rPr>
        <w:t>In line with our vision and values, we seek to align our procurement objectives with solutions that further enhance patient care and safety, provide cost-effectiveness, and ensure efficiency and effectiveness in service delivery. As we value compassion, respect, and teamwork, we aim to collaborate with suppliers who share these principles and can work in close partnership with the Trust to achieve our strategic goals.</w:t>
      </w:r>
    </w:p>
    <w:p w14:paraId="2336C6F2" w14:textId="64F7248E" w:rsidR="00B47334" w:rsidRDefault="00B47334" w:rsidP="00B47334">
      <w:pPr>
        <w:pStyle w:val="MRNumberedHeading2"/>
      </w:pPr>
      <w:r w:rsidRPr="00B47334">
        <w:t xml:space="preserve">The underlying ethos behind the contract between the </w:t>
      </w:r>
      <w:r>
        <w:t>Authority</w:t>
      </w:r>
      <w:r w:rsidRPr="00B47334">
        <w:t xml:space="preserve"> and Funeral Director is the same standard of service </w:t>
      </w:r>
      <w:r>
        <w:t xml:space="preserve">is to be </w:t>
      </w:r>
      <w:r w:rsidRPr="00B47334">
        <w:t xml:space="preserve">offered </w:t>
      </w:r>
      <w:r>
        <w:t>as</w:t>
      </w:r>
      <w:r w:rsidRPr="00B47334">
        <w:t xml:space="preserve"> that of a private funeral throughout the whole process. The same level of service will be expected unless the Contractor identifies those areas where this will not be </w:t>
      </w:r>
      <w:r w:rsidR="00E66DB9">
        <w:t xml:space="preserve">the </w:t>
      </w:r>
      <w:r w:rsidRPr="00B47334">
        <w:t>case.</w:t>
      </w:r>
    </w:p>
    <w:p w14:paraId="272EFA90" w14:textId="36209205" w:rsidR="00B47334" w:rsidRPr="005810B3" w:rsidRDefault="00116790" w:rsidP="00B47334">
      <w:pPr>
        <w:pStyle w:val="MRNumberedHeading2"/>
        <w:numPr>
          <w:ilvl w:val="0"/>
          <w:numId w:val="0"/>
        </w:numPr>
        <w:ind w:left="850"/>
        <w:rPr>
          <w:rFonts w:cs="Arial"/>
          <w:bCs/>
          <w:sz w:val="22"/>
          <w:szCs w:val="22"/>
        </w:rPr>
      </w:pPr>
      <w:r w:rsidRPr="005810B3">
        <w:rPr>
          <w:rFonts w:cs="Arial"/>
          <w:bCs/>
          <w:sz w:val="22"/>
          <w:szCs w:val="22"/>
        </w:rPr>
        <w:t xml:space="preserve">The contract for the funeral service provision is anticipated to commence on </w:t>
      </w:r>
      <w:r w:rsidRPr="005810B3">
        <w:rPr>
          <w:rFonts w:cs="Arial"/>
          <w:bCs/>
          <w:color w:val="000000" w:themeColor="text1"/>
          <w:sz w:val="22"/>
          <w:szCs w:val="22"/>
        </w:rPr>
        <w:t xml:space="preserve">1 </w:t>
      </w:r>
      <w:r w:rsidR="00D528AB">
        <w:rPr>
          <w:rFonts w:cs="Arial"/>
          <w:bCs/>
          <w:color w:val="000000" w:themeColor="text1"/>
          <w:sz w:val="22"/>
          <w:szCs w:val="22"/>
        </w:rPr>
        <w:t>December</w:t>
      </w:r>
      <w:r w:rsidRPr="005810B3">
        <w:rPr>
          <w:rFonts w:cs="Arial"/>
          <w:bCs/>
          <w:color w:val="000000" w:themeColor="text1"/>
          <w:sz w:val="22"/>
          <w:szCs w:val="22"/>
        </w:rPr>
        <w:t xml:space="preserve"> 2023 </w:t>
      </w:r>
      <w:r w:rsidRPr="005810B3">
        <w:rPr>
          <w:rFonts w:cs="Arial"/>
          <w:bCs/>
          <w:sz w:val="22"/>
          <w:szCs w:val="22"/>
        </w:rPr>
        <w:t>for a period of 2 years with 2 further optional extensions of 1 year each. The contract duration will not exceed 4 years.</w:t>
      </w:r>
    </w:p>
    <w:p w14:paraId="20C73864" w14:textId="00CDD2CF" w:rsidR="00603A0D" w:rsidRDefault="00603A0D" w:rsidP="004270D9">
      <w:pPr>
        <w:pStyle w:val="MRNumberedHeading2"/>
      </w:pPr>
      <w:bookmarkStart w:id="15" w:name="_Toc403555087"/>
      <w:r w:rsidRPr="00533CB2">
        <w:t xml:space="preserve">Full details of the Authority's requirements are set out in the Specification in </w:t>
      </w:r>
      <w:r w:rsidR="007F5F02">
        <w:t xml:space="preserve">Annex </w:t>
      </w:r>
      <w:r w:rsidR="00BD5DCC">
        <w:t>B</w:t>
      </w:r>
      <w:r w:rsidR="007F5F02">
        <w:t>2</w:t>
      </w:r>
      <w:r w:rsidR="009D5F0B">
        <w:t xml:space="preserve"> of Section B</w:t>
      </w:r>
      <w:r w:rsidR="007F5F02">
        <w:t>.</w:t>
      </w:r>
      <w:bookmarkEnd w:id="15"/>
      <w:r w:rsidR="007F5F02">
        <w:t xml:space="preserve"> </w:t>
      </w:r>
    </w:p>
    <w:p w14:paraId="20C73869" w14:textId="45032D0D" w:rsidR="005F3F33" w:rsidRDefault="005F3F33" w:rsidP="004270D9">
      <w:pPr>
        <w:pStyle w:val="MRNumberedHeading2"/>
      </w:pPr>
      <w:bookmarkStart w:id="16" w:name="_Toc403555092"/>
      <w:r>
        <w:t>This ITT:</w:t>
      </w:r>
      <w:bookmarkEnd w:id="16"/>
    </w:p>
    <w:p w14:paraId="20C7386A" w14:textId="77777777" w:rsidR="00343763" w:rsidRPr="00343763" w:rsidRDefault="00343763" w:rsidP="001A2988">
      <w:pPr>
        <w:pStyle w:val="MRNumberedHeading3"/>
        <w:numPr>
          <w:ilvl w:val="2"/>
          <w:numId w:val="18"/>
        </w:numPr>
        <w:tabs>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w:t>
      </w:r>
      <w:proofErr w:type="gramStart"/>
      <w:r w:rsidRPr="00343763">
        <w:rPr>
          <w:szCs w:val="20"/>
        </w:rPr>
        <w:t>ITT;</w:t>
      </w:r>
      <w:proofErr w:type="gramEnd"/>
      <w:r w:rsidRPr="00343763">
        <w:rPr>
          <w:szCs w:val="20"/>
        </w:rPr>
        <w:t xml:space="preserve"> </w:t>
      </w:r>
    </w:p>
    <w:p w14:paraId="20C7386B" w14:textId="77777777" w:rsidR="00343763" w:rsidRPr="00343763" w:rsidRDefault="00343763" w:rsidP="001A2988">
      <w:pPr>
        <w:pStyle w:val="MRNumberedHeading3"/>
        <w:numPr>
          <w:ilvl w:val="2"/>
          <w:numId w:val="18"/>
        </w:numPr>
        <w:tabs>
          <w:tab w:val="num" w:pos="1794"/>
        </w:tabs>
        <w:spacing w:line="240" w:lineRule="auto"/>
        <w:ind w:left="1702" w:hanging="851"/>
        <w:jc w:val="both"/>
        <w:rPr>
          <w:szCs w:val="20"/>
        </w:rPr>
      </w:pPr>
      <w:r w:rsidRPr="00343763">
        <w:rPr>
          <w:szCs w:val="20"/>
        </w:rPr>
        <w:t xml:space="preserve">sets out the overall timetable and process for the </w:t>
      </w:r>
      <w:proofErr w:type="gramStart"/>
      <w:r w:rsidRPr="00343763">
        <w:rPr>
          <w:szCs w:val="20"/>
        </w:rPr>
        <w:t>procurement;</w:t>
      </w:r>
      <w:proofErr w:type="gramEnd"/>
      <w:r w:rsidRPr="00343763">
        <w:rPr>
          <w:szCs w:val="20"/>
        </w:rPr>
        <w:t xml:space="preserve"> </w:t>
      </w:r>
    </w:p>
    <w:p w14:paraId="20C7386C" w14:textId="77777777" w:rsidR="00343763" w:rsidRPr="00343763" w:rsidRDefault="00343763" w:rsidP="001A2988">
      <w:pPr>
        <w:pStyle w:val="MRNumberedHeading3"/>
        <w:numPr>
          <w:ilvl w:val="2"/>
          <w:numId w:val="18"/>
        </w:numPr>
        <w:tabs>
          <w:tab w:val="num" w:pos="1794"/>
        </w:tabs>
        <w:spacing w:line="240" w:lineRule="auto"/>
        <w:ind w:left="1702" w:hanging="851"/>
        <w:jc w:val="both"/>
        <w:rPr>
          <w:szCs w:val="20"/>
        </w:rPr>
      </w:pPr>
      <w:r w:rsidRPr="00343763">
        <w:rPr>
          <w:szCs w:val="20"/>
        </w:rPr>
        <w:t xml:space="preserve">provides Bidders with sufficient information to enable them to submit a compliant </w:t>
      </w:r>
      <w:proofErr w:type="gramStart"/>
      <w:r w:rsidRPr="00343763">
        <w:rPr>
          <w:szCs w:val="20"/>
        </w:rPr>
        <w:t>Tender;</w:t>
      </w:r>
      <w:proofErr w:type="gramEnd"/>
      <w:r w:rsidRPr="00343763">
        <w:rPr>
          <w:szCs w:val="20"/>
        </w:rPr>
        <w:t xml:space="preserve"> </w:t>
      </w:r>
    </w:p>
    <w:p w14:paraId="20C7386D" w14:textId="77777777" w:rsidR="00343763" w:rsidRPr="00343763" w:rsidRDefault="00343763" w:rsidP="001A2988">
      <w:pPr>
        <w:pStyle w:val="MRNumberedHeading3"/>
        <w:numPr>
          <w:ilvl w:val="2"/>
          <w:numId w:val="18"/>
        </w:numPr>
        <w:tabs>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20C7386E" w14:textId="77777777" w:rsidR="00343763" w:rsidRPr="00343763" w:rsidRDefault="00343763" w:rsidP="001A2988">
      <w:pPr>
        <w:pStyle w:val="MRNumberedHeading3"/>
        <w:numPr>
          <w:ilvl w:val="2"/>
          <w:numId w:val="18"/>
        </w:numPr>
        <w:tabs>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20C7386F" w14:textId="06D1AC70" w:rsidR="006534CF" w:rsidRDefault="00825FC5" w:rsidP="004270D9">
      <w:pPr>
        <w:pStyle w:val="Heading1"/>
        <w:spacing w:before="240" w:after="0"/>
        <w:ind w:left="851"/>
        <w:rPr>
          <w:b w:val="0"/>
        </w:rPr>
      </w:pPr>
      <w:bookmarkStart w:id="17" w:name="_Toc403555093"/>
      <w:r w:rsidRPr="00276E1B">
        <w:t>Questions</w:t>
      </w:r>
      <w:r>
        <w:rPr>
          <w:b w:val="0"/>
        </w:rPr>
        <w:t xml:space="preserve"> </w:t>
      </w:r>
      <w:r w:rsidRPr="00276E1B">
        <w:t>about this ITT</w:t>
      </w:r>
      <w:bookmarkEnd w:id="17"/>
    </w:p>
    <w:p w14:paraId="7E66BD56" w14:textId="376BACCB" w:rsidR="0013020E" w:rsidRDefault="00825FC5" w:rsidP="004270D9">
      <w:pPr>
        <w:pStyle w:val="MRNumberedHeading2"/>
      </w:pPr>
      <w:bookmarkStart w:id="18" w:name="_Ref478462194"/>
      <w:bookmarkStart w:id="19" w:name="_Toc403555094"/>
      <w:bookmarkStart w:id="20" w:name="_Ref405452872"/>
      <w:r>
        <w:t xml:space="preserve">You may submit, by no later than </w:t>
      </w:r>
      <w:r w:rsidR="00CC539E">
        <w:t xml:space="preserve">12:00:00 AM on </w:t>
      </w:r>
      <w:r w:rsidR="00CB7AF8" w:rsidRPr="005021B1">
        <w:rPr>
          <w:color w:val="000000" w:themeColor="text1"/>
        </w:rPr>
        <w:t>21</w:t>
      </w:r>
      <w:r w:rsidR="00CC539E" w:rsidRPr="005021B1">
        <w:rPr>
          <w:color w:val="000000" w:themeColor="text1"/>
        </w:rPr>
        <w:t>/</w:t>
      </w:r>
      <w:r w:rsidR="00CB7AF8" w:rsidRPr="005021B1">
        <w:rPr>
          <w:color w:val="000000" w:themeColor="text1"/>
        </w:rPr>
        <w:t>08</w:t>
      </w:r>
      <w:r w:rsidR="00CC539E" w:rsidRPr="005021B1">
        <w:rPr>
          <w:color w:val="000000" w:themeColor="text1"/>
        </w:rPr>
        <w:t>/2023</w:t>
      </w:r>
      <w:r w:rsidR="00CC539E" w:rsidRPr="00CB7AF8">
        <w:rPr>
          <w:color w:val="000000" w:themeColor="text1"/>
        </w:rPr>
        <w:t xml:space="preserve"> </w:t>
      </w:r>
      <w:r>
        <w:t xml:space="preserve">any queries that you have relating to this ITT.  </w:t>
      </w:r>
    </w:p>
    <w:p w14:paraId="1F38E998" w14:textId="24ADC0A5" w:rsidR="001C178A" w:rsidRDefault="00D134FB" w:rsidP="00B042B4">
      <w:pPr>
        <w:pStyle w:val="MRNumberedHeading2"/>
      </w:pPr>
      <w:r>
        <w:t xml:space="preserve">The Authority is using </w:t>
      </w:r>
      <w:bookmarkStart w:id="21" w:name="_Toc403555095"/>
      <w:bookmarkStart w:id="22" w:name="_Ref478471427"/>
      <w:bookmarkEnd w:id="18"/>
      <w:bookmarkEnd w:id="19"/>
      <w:bookmarkEnd w:id="20"/>
      <w:r w:rsidR="001C178A">
        <w:t xml:space="preserve">the </w:t>
      </w:r>
      <w:r w:rsidR="001C178A" w:rsidRPr="00D94534">
        <w:t>Atamis</w:t>
      </w:r>
      <w:r w:rsidR="001C178A">
        <w:t xml:space="preserve"> to conduct the procurement process ("</w:t>
      </w:r>
      <w:r w:rsidR="001C178A" w:rsidRPr="00D134FB">
        <w:rPr>
          <w:b/>
        </w:rPr>
        <w:t>The e-Tendering Portal</w:t>
      </w:r>
      <w:r w:rsidR="001C178A">
        <w:t xml:space="preserve">"). The e-Tendering Portal can be accessed via </w:t>
      </w:r>
      <w:r w:rsidR="001C178A">
        <w:rPr>
          <w:rFonts w:ascii="Segoe UI" w:hAnsi="Segoe UI" w:cs="Segoe UI"/>
          <w:color w:val="181818"/>
          <w:sz w:val="21"/>
          <w:szCs w:val="21"/>
          <w:shd w:val="clear" w:color="auto" w:fill="FFFFFF"/>
        </w:rPr>
        <w:t>https://health-family.force.com/s/Welcome</w:t>
      </w:r>
      <w:r w:rsidR="001C178A">
        <w:t xml:space="preserve">. Please, therefore, submit such queries via the e-Tendering Portal. </w:t>
      </w:r>
    </w:p>
    <w:p w14:paraId="20C73871" w14:textId="35D749D9" w:rsidR="00825FC5" w:rsidRDefault="00825FC5" w:rsidP="00B042B4">
      <w:pPr>
        <w:pStyle w:val="MRNumberedHeading2"/>
      </w:pPr>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1"/>
      <w:bookmarkEnd w:id="22"/>
    </w:p>
    <w:p w14:paraId="20C73872" w14:textId="1802A5B1" w:rsidR="004E71FF" w:rsidRPr="005A2E47" w:rsidRDefault="00825FC5" w:rsidP="004270D9">
      <w:pPr>
        <w:pStyle w:val="MRNumberedHeading2"/>
      </w:pPr>
      <w:bookmarkStart w:id="23" w:name="_Toc403555096"/>
      <w:r>
        <w:t xml:space="preserve">Answers to the questions received by the Authority will be circulated to all </w:t>
      </w:r>
      <w:r w:rsidR="00DC0F21">
        <w:t>Bidders</w:t>
      </w:r>
      <w:r w:rsidR="006032F2">
        <w:t xml:space="preserve"> via </w:t>
      </w:r>
      <w:r w:rsidR="008E6DBC">
        <w:t>email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w:t>
      </w:r>
      <w:bookmarkEnd w:id="23"/>
      <w:r w:rsidR="008E6DBC">
        <w:t>.</w:t>
      </w:r>
      <w:r w:rsidR="004E71FF">
        <w:br w:type="page"/>
      </w:r>
    </w:p>
    <w:p w14:paraId="20C73873" w14:textId="77777777" w:rsidR="008D3217" w:rsidRPr="008F3D2C" w:rsidRDefault="008D3217" w:rsidP="004270D9">
      <w:pPr>
        <w:pStyle w:val="MRNumberedHeading1"/>
        <w:ind w:hanging="798"/>
        <w:jc w:val="both"/>
        <w:rPr>
          <w:sz w:val="20"/>
          <w:szCs w:val="20"/>
        </w:rPr>
      </w:pPr>
      <w:bookmarkStart w:id="24" w:name="_Toc403556502"/>
      <w:bookmarkStart w:id="25" w:name="_Toc403556507"/>
      <w:bookmarkStart w:id="26" w:name="_Toc406674970"/>
      <w:bookmarkStart w:id="27" w:name="_Toc412621212"/>
      <w:bookmarkStart w:id="28" w:name="_Toc412715222"/>
      <w:r w:rsidRPr="008F3D2C">
        <w:rPr>
          <w:sz w:val="20"/>
          <w:szCs w:val="20"/>
        </w:rPr>
        <w:lastRenderedPageBreak/>
        <w:t>TENDER TIMETABLE</w:t>
      </w:r>
      <w:bookmarkEnd w:id="24"/>
      <w:bookmarkEnd w:id="25"/>
      <w:bookmarkEnd w:id="26"/>
      <w:bookmarkEnd w:id="27"/>
      <w:bookmarkEnd w:id="28"/>
    </w:p>
    <w:p w14:paraId="20C73874" w14:textId="77777777" w:rsidR="008D3217" w:rsidRPr="00276E1B" w:rsidRDefault="008D3217" w:rsidP="004270D9">
      <w:pPr>
        <w:pStyle w:val="Heading1"/>
        <w:spacing w:before="240" w:after="0"/>
        <w:ind w:left="851"/>
      </w:pPr>
      <w:bookmarkStart w:id="29" w:name="_Toc403555097"/>
      <w:r w:rsidRPr="00276E1B">
        <w:t>Key dates</w:t>
      </w:r>
      <w:bookmarkEnd w:id="29"/>
    </w:p>
    <w:p w14:paraId="20C73875" w14:textId="7C0ED0F6" w:rsidR="008D3217" w:rsidRDefault="008D3217" w:rsidP="004270D9">
      <w:pPr>
        <w:pStyle w:val="MRNumberedHeading2"/>
      </w:pPr>
      <w:bookmarkStart w:id="30" w:name="_Toc403555098"/>
      <w:r>
        <w:t xml:space="preserve">The procurement will follow a clear, </w:t>
      </w:r>
      <w:r w:rsidR="006913A2">
        <w:t>structured,</w:t>
      </w:r>
      <w:r w:rsidR="009C2E68">
        <w:t xml:space="preserve"> </w:t>
      </w:r>
      <w:r>
        <w:t xml:space="preserve">and transparent process to ensure a fair and level playing </w:t>
      </w:r>
      <w:r w:rsidR="0083677A">
        <w:t>field so that</w:t>
      </w:r>
      <w:r w:rsidR="00B46DA5">
        <w:t xml:space="preserve"> all </w:t>
      </w:r>
      <w:r w:rsidR="00E7163F">
        <w:t>Bidders</w:t>
      </w:r>
      <w:r w:rsidR="00B46DA5">
        <w:t xml:space="preserve"> are treated equally.</w:t>
      </w:r>
      <w:bookmarkEnd w:id="30"/>
      <w:r w:rsidR="00B46DA5">
        <w:t xml:space="preserve"> </w:t>
      </w:r>
    </w:p>
    <w:p w14:paraId="20C73876" w14:textId="77777777" w:rsidR="00B46DA5" w:rsidRDefault="00FE07BA" w:rsidP="004270D9">
      <w:pPr>
        <w:pStyle w:val="MRNumberedHeading2"/>
      </w:pPr>
      <w:bookmarkStart w:id="31" w:name="_Toc403555099"/>
      <w:bookmarkStart w:id="32" w:name="_Ref405452883"/>
      <w:bookmarkStart w:id="33" w:name="_Ref406061800"/>
      <w:bookmarkStart w:id="34" w:name="_Ref406062870"/>
      <w:r>
        <w:t>The key dates for this procurement are currently anticipated to be as follows:</w:t>
      </w:r>
      <w:bookmarkEnd w:id="31"/>
      <w:bookmarkEnd w:id="32"/>
      <w:bookmarkEnd w:id="33"/>
      <w:bookmarkEnd w:id="34"/>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5103"/>
        <w:gridCol w:w="2693"/>
      </w:tblGrid>
      <w:tr w:rsidR="00FE07BA" w14:paraId="20C7387A" w14:textId="77777777" w:rsidTr="00FE07BA">
        <w:tc>
          <w:tcPr>
            <w:tcW w:w="5103" w:type="dxa"/>
            <w:shd w:val="clear" w:color="auto" w:fill="BFBFBF" w:themeFill="background1" w:themeFillShade="BF"/>
          </w:tcPr>
          <w:p w14:paraId="20C73878" w14:textId="77777777" w:rsidR="00FE07BA" w:rsidRPr="00FE07BA" w:rsidRDefault="00FE07BA" w:rsidP="00FE07BA">
            <w:pPr>
              <w:pStyle w:val="Heading2"/>
              <w:numPr>
                <w:ilvl w:val="0"/>
                <w:numId w:val="0"/>
              </w:numPr>
              <w:rPr>
                <w:b/>
              </w:rPr>
            </w:pPr>
            <w:r w:rsidRPr="00FE07BA">
              <w:rPr>
                <w:b/>
              </w:rPr>
              <w:t>Event</w:t>
            </w:r>
          </w:p>
        </w:tc>
        <w:tc>
          <w:tcPr>
            <w:tcW w:w="2693" w:type="dxa"/>
            <w:shd w:val="clear" w:color="auto" w:fill="BFBFBF" w:themeFill="background1" w:themeFillShade="BF"/>
          </w:tcPr>
          <w:p w14:paraId="20C73879" w14:textId="77777777" w:rsidR="00FE07BA" w:rsidRPr="002D2E91" w:rsidRDefault="00FE07BA" w:rsidP="00FE07BA">
            <w:pPr>
              <w:pStyle w:val="Heading2"/>
              <w:numPr>
                <w:ilvl w:val="0"/>
                <w:numId w:val="0"/>
              </w:numPr>
              <w:rPr>
                <w:b/>
              </w:rPr>
            </w:pPr>
            <w:r w:rsidRPr="002D2E91">
              <w:rPr>
                <w:b/>
              </w:rPr>
              <w:t>Date</w:t>
            </w:r>
          </w:p>
        </w:tc>
      </w:tr>
      <w:tr w:rsidR="00FE07BA" w14:paraId="20C7387E" w14:textId="77777777" w:rsidTr="00FE07BA">
        <w:tc>
          <w:tcPr>
            <w:tcW w:w="5103" w:type="dxa"/>
          </w:tcPr>
          <w:p w14:paraId="20C7387B" w14:textId="77777777" w:rsidR="00FE07BA" w:rsidRPr="005021B1" w:rsidRDefault="00FE07BA" w:rsidP="00FE07BA">
            <w:pPr>
              <w:pStyle w:val="Heading2"/>
              <w:numPr>
                <w:ilvl w:val="0"/>
                <w:numId w:val="0"/>
              </w:numPr>
            </w:pPr>
            <w:r w:rsidRPr="005021B1">
              <w:t>ITT issued</w:t>
            </w:r>
          </w:p>
        </w:tc>
        <w:tc>
          <w:tcPr>
            <w:tcW w:w="2693" w:type="dxa"/>
          </w:tcPr>
          <w:p w14:paraId="20C7387C" w14:textId="69930C8F" w:rsidR="00FE07BA" w:rsidRPr="005021B1" w:rsidRDefault="00CB7AF8" w:rsidP="00FE07BA">
            <w:pPr>
              <w:pStyle w:val="Heading2"/>
              <w:numPr>
                <w:ilvl w:val="0"/>
                <w:numId w:val="0"/>
              </w:numPr>
            </w:pPr>
            <w:r w:rsidRPr="005021B1">
              <w:t>07/08/2023</w:t>
            </w:r>
          </w:p>
          <w:p w14:paraId="20C7387D" w14:textId="77777777" w:rsidR="003273D3" w:rsidRPr="005021B1" w:rsidRDefault="003273D3" w:rsidP="00FE07BA">
            <w:pPr>
              <w:pStyle w:val="Heading2"/>
              <w:numPr>
                <w:ilvl w:val="0"/>
                <w:numId w:val="0"/>
              </w:numPr>
            </w:pPr>
          </w:p>
        </w:tc>
      </w:tr>
      <w:tr w:rsidR="00FE07BA" w14:paraId="20C73882" w14:textId="77777777" w:rsidTr="00FE07BA">
        <w:tc>
          <w:tcPr>
            <w:tcW w:w="5103" w:type="dxa"/>
          </w:tcPr>
          <w:p w14:paraId="47B108C9" w14:textId="77777777" w:rsidR="00FE07BA" w:rsidRPr="005021B1" w:rsidRDefault="00FE07BA" w:rsidP="00FE07BA">
            <w:pPr>
              <w:pStyle w:val="Heading2"/>
              <w:numPr>
                <w:ilvl w:val="0"/>
                <w:numId w:val="0"/>
              </w:numPr>
            </w:pPr>
            <w:r w:rsidRPr="005021B1">
              <w:t>Deadline for the receipt of clarification questions</w:t>
            </w:r>
          </w:p>
          <w:p w14:paraId="20C7387F" w14:textId="2FB4D736" w:rsidR="003A1B8F" w:rsidRPr="005021B1" w:rsidRDefault="003A1B8F" w:rsidP="00FE07BA">
            <w:pPr>
              <w:pStyle w:val="Heading2"/>
              <w:numPr>
                <w:ilvl w:val="0"/>
                <w:numId w:val="0"/>
              </w:numPr>
            </w:pPr>
          </w:p>
        </w:tc>
        <w:tc>
          <w:tcPr>
            <w:tcW w:w="2693" w:type="dxa"/>
          </w:tcPr>
          <w:p w14:paraId="20C73881" w14:textId="493A46C9" w:rsidR="003273D3" w:rsidRPr="005021B1" w:rsidRDefault="00CC539E" w:rsidP="00CC539E">
            <w:pPr>
              <w:pStyle w:val="Heading2"/>
              <w:numPr>
                <w:ilvl w:val="0"/>
                <w:numId w:val="0"/>
              </w:numPr>
            </w:pPr>
            <w:r w:rsidRPr="005021B1">
              <w:t xml:space="preserve">12:00:00 AM on </w:t>
            </w:r>
            <w:r w:rsidR="00D21A02" w:rsidRPr="005021B1">
              <w:t>21</w:t>
            </w:r>
            <w:r w:rsidRPr="005021B1">
              <w:t>/0</w:t>
            </w:r>
            <w:r w:rsidR="00D21A02" w:rsidRPr="005021B1">
              <w:t>8</w:t>
            </w:r>
            <w:r w:rsidRPr="005021B1">
              <w:t xml:space="preserve">/2023 </w:t>
            </w:r>
          </w:p>
        </w:tc>
      </w:tr>
      <w:tr w:rsidR="00FE07BA" w14:paraId="20C73886" w14:textId="77777777" w:rsidTr="00FE07BA">
        <w:tc>
          <w:tcPr>
            <w:tcW w:w="5103" w:type="dxa"/>
          </w:tcPr>
          <w:p w14:paraId="20C73883" w14:textId="6CAAF986" w:rsidR="00FE07BA" w:rsidRPr="005021B1" w:rsidRDefault="005021B1" w:rsidP="00FE07BA">
            <w:pPr>
              <w:pStyle w:val="Heading2"/>
              <w:numPr>
                <w:ilvl w:val="0"/>
                <w:numId w:val="0"/>
              </w:numPr>
            </w:pPr>
            <w:r>
              <w:t>The target</w:t>
            </w:r>
            <w:r w:rsidR="00FE07BA" w:rsidRPr="005021B1">
              <w:t xml:space="preserve"> date for responses to clarification questions</w:t>
            </w:r>
          </w:p>
        </w:tc>
        <w:tc>
          <w:tcPr>
            <w:tcW w:w="2693" w:type="dxa"/>
          </w:tcPr>
          <w:p w14:paraId="20C73884" w14:textId="11076135" w:rsidR="00FE07BA" w:rsidRPr="005021B1" w:rsidRDefault="00D21A02" w:rsidP="003273D3">
            <w:pPr>
              <w:pStyle w:val="Heading2"/>
              <w:numPr>
                <w:ilvl w:val="0"/>
                <w:numId w:val="0"/>
              </w:numPr>
              <w:tabs>
                <w:tab w:val="left" w:pos="1652"/>
              </w:tabs>
            </w:pPr>
            <w:r w:rsidRPr="005021B1">
              <w:t>04</w:t>
            </w:r>
            <w:r w:rsidR="003A1B8F" w:rsidRPr="005021B1">
              <w:t>/0</w:t>
            </w:r>
            <w:r w:rsidRPr="005021B1">
              <w:t>9</w:t>
            </w:r>
            <w:r w:rsidR="003A1B8F" w:rsidRPr="005021B1">
              <w:t>/2023</w:t>
            </w:r>
            <w:r w:rsidR="003273D3" w:rsidRPr="005021B1">
              <w:tab/>
            </w:r>
          </w:p>
          <w:p w14:paraId="20C73885" w14:textId="77777777" w:rsidR="003273D3" w:rsidRPr="005021B1" w:rsidRDefault="003273D3" w:rsidP="003273D3">
            <w:pPr>
              <w:pStyle w:val="Heading2"/>
              <w:numPr>
                <w:ilvl w:val="0"/>
                <w:numId w:val="0"/>
              </w:numPr>
              <w:tabs>
                <w:tab w:val="left" w:pos="1652"/>
              </w:tabs>
            </w:pPr>
          </w:p>
        </w:tc>
      </w:tr>
      <w:tr w:rsidR="00FE07BA" w14:paraId="20C7388A" w14:textId="77777777" w:rsidTr="00FE07BA">
        <w:tc>
          <w:tcPr>
            <w:tcW w:w="5103" w:type="dxa"/>
          </w:tcPr>
          <w:p w14:paraId="23468BDA" w14:textId="77777777" w:rsidR="00FE07BA" w:rsidRPr="005021B1" w:rsidRDefault="00FE07BA" w:rsidP="00FE07BA">
            <w:pPr>
              <w:pStyle w:val="Heading2"/>
              <w:numPr>
                <w:ilvl w:val="0"/>
                <w:numId w:val="0"/>
              </w:numPr>
            </w:pPr>
            <w:r w:rsidRPr="005021B1">
              <w:t>Deadline for receipt of Tenders</w:t>
            </w:r>
          </w:p>
          <w:p w14:paraId="20C73887" w14:textId="72AAF359" w:rsidR="003A1B8F" w:rsidRPr="005021B1" w:rsidRDefault="003A1B8F" w:rsidP="00FE07BA">
            <w:pPr>
              <w:pStyle w:val="Heading2"/>
              <w:numPr>
                <w:ilvl w:val="0"/>
                <w:numId w:val="0"/>
              </w:numPr>
            </w:pPr>
          </w:p>
        </w:tc>
        <w:tc>
          <w:tcPr>
            <w:tcW w:w="2693" w:type="dxa"/>
          </w:tcPr>
          <w:p w14:paraId="20C73889" w14:textId="0B194A7D" w:rsidR="003273D3" w:rsidRPr="005021B1" w:rsidRDefault="003A1B8F" w:rsidP="00FE07BA">
            <w:pPr>
              <w:pStyle w:val="Heading2"/>
              <w:numPr>
                <w:ilvl w:val="0"/>
                <w:numId w:val="0"/>
              </w:numPr>
            </w:pPr>
            <w:r w:rsidRPr="005021B1">
              <w:t xml:space="preserve">12:00:00 AM on </w:t>
            </w:r>
            <w:r w:rsidR="00D21A02" w:rsidRPr="005021B1">
              <w:t>11</w:t>
            </w:r>
            <w:r w:rsidRPr="005021B1">
              <w:t>/0</w:t>
            </w:r>
            <w:r w:rsidR="00D21A02" w:rsidRPr="005021B1">
              <w:t>9</w:t>
            </w:r>
            <w:r w:rsidRPr="005021B1">
              <w:t>/2023</w:t>
            </w:r>
          </w:p>
        </w:tc>
      </w:tr>
      <w:tr w:rsidR="003D25CF" w:rsidRPr="003D25CF" w14:paraId="20C7388E" w14:textId="77777777" w:rsidTr="00FE07BA">
        <w:tc>
          <w:tcPr>
            <w:tcW w:w="5103" w:type="dxa"/>
          </w:tcPr>
          <w:p w14:paraId="00EE4B11" w14:textId="77777777" w:rsidR="00FE07BA" w:rsidRPr="005021B1" w:rsidRDefault="00FE07BA" w:rsidP="00FE07BA">
            <w:pPr>
              <w:pStyle w:val="Heading2"/>
              <w:numPr>
                <w:ilvl w:val="0"/>
                <w:numId w:val="0"/>
              </w:numPr>
              <w:rPr>
                <w:i/>
                <w:iCs/>
                <w:color w:val="FF0000"/>
              </w:rPr>
            </w:pPr>
            <w:r w:rsidRPr="005021B1">
              <w:rPr>
                <w:i/>
                <w:iCs/>
                <w:color w:val="FF0000"/>
              </w:rPr>
              <w:t>Evaluation of Tenders</w:t>
            </w:r>
          </w:p>
          <w:p w14:paraId="20C7388B" w14:textId="4E31CECE" w:rsidR="003D25CF" w:rsidRPr="00F84D51" w:rsidRDefault="003D25CF" w:rsidP="00FE07BA">
            <w:pPr>
              <w:pStyle w:val="Heading2"/>
              <w:numPr>
                <w:ilvl w:val="0"/>
                <w:numId w:val="0"/>
              </w:numPr>
              <w:rPr>
                <w:i/>
                <w:iCs/>
                <w:color w:val="FF0000"/>
                <w:vertAlign w:val="superscript"/>
              </w:rPr>
            </w:pPr>
            <w:r w:rsidRPr="005021B1">
              <w:rPr>
                <w:i/>
                <w:iCs/>
                <w:color w:val="FF0000"/>
              </w:rPr>
              <w:t>(Site visits will be conducted within this period</w:t>
            </w:r>
            <w:r w:rsidR="005021B1">
              <w:rPr>
                <w:i/>
                <w:iCs/>
                <w:color w:val="FF0000"/>
              </w:rPr>
              <w:t xml:space="preserve">, most likely to occur between </w:t>
            </w:r>
            <w:r w:rsidR="00D528AB">
              <w:rPr>
                <w:i/>
                <w:iCs/>
                <w:color w:val="FF0000"/>
              </w:rPr>
              <w:t>the 9</w:t>
            </w:r>
            <w:r w:rsidR="00D528AB" w:rsidRPr="00D528AB">
              <w:rPr>
                <w:i/>
                <w:iCs/>
                <w:color w:val="FF0000"/>
                <w:vertAlign w:val="superscript"/>
              </w:rPr>
              <w:t>th</w:t>
            </w:r>
            <w:r w:rsidR="00D528AB">
              <w:rPr>
                <w:i/>
                <w:iCs/>
                <w:color w:val="FF0000"/>
              </w:rPr>
              <w:t xml:space="preserve"> to 13</w:t>
            </w:r>
            <w:r w:rsidR="00D528AB" w:rsidRPr="00D528AB">
              <w:rPr>
                <w:i/>
                <w:iCs/>
                <w:color w:val="FF0000"/>
                <w:vertAlign w:val="superscript"/>
              </w:rPr>
              <w:t>th</w:t>
            </w:r>
            <w:r w:rsidR="00F84D51">
              <w:rPr>
                <w:i/>
                <w:iCs/>
                <w:color w:val="FF0000"/>
                <w:vertAlign w:val="superscript"/>
              </w:rPr>
              <w:t xml:space="preserve"> </w:t>
            </w:r>
            <w:r w:rsidR="00F84D51">
              <w:rPr>
                <w:i/>
                <w:iCs/>
                <w:color w:val="FF0000"/>
              </w:rPr>
              <w:t xml:space="preserve">October </w:t>
            </w:r>
            <w:r w:rsidR="00D528AB">
              <w:rPr>
                <w:i/>
                <w:iCs/>
                <w:color w:val="FF0000"/>
              </w:rPr>
              <w:t>of 2023</w:t>
            </w:r>
            <w:r w:rsidRPr="005021B1">
              <w:rPr>
                <w:i/>
                <w:iCs/>
                <w:color w:val="FF0000"/>
              </w:rPr>
              <w:t>)</w:t>
            </w:r>
          </w:p>
        </w:tc>
        <w:tc>
          <w:tcPr>
            <w:tcW w:w="2693" w:type="dxa"/>
          </w:tcPr>
          <w:p w14:paraId="20C7388C" w14:textId="4C3A6ABD" w:rsidR="00FE07BA" w:rsidRPr="005021B1" w:rsidRDefault="00D21A02" w:rsidP="003273D3">
            <w:pPr>
              <w:pStyle w:val="Heading2"/>
              <w:numPr>
                <w:ilvl w:val="0"/>
                <w:numId w:val="0"/>
              </w:numPr>
              <w:rPr>
                <w:i/>
                <w:iCs/>
                <w:color w:val="FF0000"/>
              </w:rPr>
            </w:pPr>
            <w:r w:rsidRPr="005021B1">
              <w:rPr>
                <w:i/>
                <w:iCs/>
                <w:color w:val="FF0000"/>
              </w:rPr>
              <w:t>13</w:t>
            </w:r>
            <w:r w:rsidR="003A1B8F" w:rsidRPr="005021B1">
              <w:rPr>
                <w:i/>
                <w:iCs/>
                <w:color w:val="FF0000"/>
              </w:rPr>
              <w:t>/0</w:t>
            </w:r>
            <w:r w:rsidRPr="005021B1">
              <w:rPr>
                <w:i/>
                <w:iCs/>
                <w:color w:val="FF0000"/>
              </w:rPr>
              <w:t>9</w:t>
            </w:r>
            <w:r w:rsidR="003A1B8F" w:rsidRPr="005021B1">
              <w:rPr>
                <w:i/>
                <w:iCs/>
                <w:color w:val="FF0000"/>
              </w:rPr>
              <w:t xml:space="preserve">/2023 – </w:t>
            </w:r>
            <w:r w:rsidR="00D528AB">
              <w:rPr>
                <w:i/>
                <w:iCs/>
                <w:color w:val="FF0000"/>
              </w:rPr>
              <w:t>20</w:t>
            </w:r>
            <w:r w:rsidR="003A1B8F" w:rsidRPr="005021B1">
              <w:rPr>
                <w:i/>
                <w:iCs/>
                <w:color w:val="FF0000"/>
              </w:rPr>
              <w:t>/</w:t>
            </w:r>
            <w:r w:rsidRPr="005021B1">
              <w:rPr>
                <w:i/>
                <w:iCs/>
                <w:color w:val="FF0000"/>
              </w:rPr>
              <w:t>10</w:t>
            </w:r>
            <w:r w:rsidR="003A1B8F" w:rsidRPr="005021B1">
              <w:rPr>
                <w:i/>
                <w:iCs/>
                <w:color w:val="FF0000"/>
              </w:rPr>
              <w:t>/2023</w:t>
            </w:r>
          </w:p>
          <w:p w14:paraId="20C7388D" w14:textId="77777777" w:rsidR="003273D3" w:rsidRPr="005021B1" w:rsidRDefault="003273D3" w:rsidP="003273D3">
            <w:pPr>
              <w:pStyle w:val="Heading2"/>
              <w:numPr>
                <w:ilvl w:val="0"/>
                <w:numId w:val="0"/>
              </w:numPr>
              <w:rPr>
                <w:i/>
                <w:iCs/>
                <w:color w:val="FF0000"/>
              </w:rPr>
            </w:pPr>
          </w:p>
        </w:tc>
      </w:tr>
      <w:tr w:rsidR="00FE07BA" w14:paraId="20C73892" w14:textId="77777777" w:rsidTr="00FE07BA">
        <w:tc>
          <w:tcPr>
            <w:tcW w:w="5103" w:type="dxa"/>
          </w:tcPr>
          <w:p w14:paraId="20C7388F" w14:textId="77777777" w:rsidR="00FE07BA" w:rsidRPr="005021B1" w:rsidRDefault="00FE07BA" w:rsidP="00FE07BA">
            <w:pPr>
              <w:pStyle w:val="Heading2"/>
              <w:numPr>
                <w:ilvl w:val="0"/>
                <w:numId w:val="0"/>
              </w:numPr>
            </w:pPr>
            <w:r w:rsidRPr="005021B1">
              <w:t>Notification of contract award decision</w:t>
            </w:r>
          </w:p>
        </w:tc>
        <w:tc>
          <w:tcPr>
            <w:tcW w:w="2693" w:type="dxa"/>
          </w:tcPr>
          <w:p w14:paraId="20C73890" w14:textId="20CBCC06" w:rsidR="00FE07BA" w:rsidRPr="005021B1" w:rsidRDefault="00D528AB" w:rsidP="00FE07BA">
            <w:pPr>
              <w:pStyle w:val="Heading2"/>
              <w:numPr>
                <w:ilvl w:val="0"/>
                <w:numId w:val="0"/>
              </w:numPr>
            </w:pPr>
            <w:r>
              <w:t>25</w:t>
            </w:r>
            <w:r w:rsidR="00D21A02" w:rsidRPr="005021B1">
              <w:t>/10</w:t>
            </w:r>
            <w:r w:rsidR="003A1B8F" w:rsidRPr="005021B1">
              <w:t>/2023</w:t>
            </w:r>
          </w:p>
          <w:p w14:paraId="20C73891" w14:textId="77777777" w:rsidR="003273D3" w:rsidRPr="005021B1" w:rsidRDefault="003273D3" w:rsidP="00FE07BA">
            <w:pPr>
              <w:pStyle w:val="Heading2"/>
              <w:numPr>
                <w:ilvl w:val="0"/>
                <w:numId w:val="0"/>
              </w:numPr>
            </w:pPr>
          </w:p>
        </w:tc>
      </w:tr>
      <w:tr w:rsidR="00FE07BA" w14:paraId="20C73895" w14:textId="77777777" w:rsidTr="00FE07BA">
        <w:tc>
          <w:tcPr>
            <w:tcW w:w="5103" w:type="dxa"/>
          </w:tcPr>
          <w:p w14:paraId="20C73893" w14:textId="77777777" w:rsidR="00FE07BA" w:rsidRPr="005021B1" w:rsidRDefault="00FE07BA" w:rsidP="00FE07BA">
            <w:pPr>
              <w:pStyle w:val="Heading2"/>
              <w:numPr>
                <w:ilvl w:val="0"/>
                <w:numId w:val="0"/>
              </w:numPr>
            </w:pPr>
            <w:r w:rsidRPr="005021B1">
              <w:t>Standstill period</w:t>
            </w:r>
          </w:p>
        </w:tc>
        <w:tc>
          <w:tcPr>
            <w:tcW w:w="2693" w:type="dxa"/>
          </w:tcPr>
          <w:p w14:paraId="20C73894" w14:textId="5F6FEAF5" w:rsidR="00FE07BA" w:rsidRPr="005021B1" w:rsidRDefault="00FE07BA" w:rsidP="00FE07BA">
            <w:pPr>
              <w:pStyle w:val="Heading2"/>
              <w:numPr>
                <w:ilvl w:val="0"/>
                <w:numId w:val="0"/>
              </w:numPr>
            </w:pPr>
            <w:r w:rsidRPr="005021B1">
              <w:t xml:space="preserve">From </w:t>
            </w:r>
            <w:r w:rsidR="00D528AB">
              <w:t>27</w:t>
            </w:r>
            <w:r w:rsidR="003A1B8F" w:rsidRPr="005021B1">
              <w:t>/</w:t>
            </w:r>
            <w:r w:rsidR="002F6F32" w:rsidRPr="005021B1">
              <w:t>10</w:t>
            </w:r>
            <w:r w:rsidR="003A1B8F" w:rsidRPr="005021B1">
              <w:t>/2023</w:t>
            </w:r>
            <w:r w:rsidRPr="005021B1">
              <w:t xml:space="preserve"> to </w:t>
            </w:r>
            <w:r w:rsidR="00A60BD1" w:rsidRPr="005021B1">
              <w:t xml:space="preserve">midnight on </w:t>
            </w:r>
            <w:r w:rsidR="00D528AB">
              <w:t>06</w:t>
            </w:r>
            <w:r w:rsidR="003A1B8F" w:rsidRPr="005021B1">
              <w:t>/</w:t>
            </w:r>
            <w:r w:rsidR="002F6F32" w:rsidRPr="005021B1">
              <w:t>1</w:t>
            </w:r>
            <w:r w:rsidR="00D528AB">
              <w:t>1</w:t>
            </w:r>
            <w:r w:rsidR="003A1B8F" w:rsidRPr="005021B1">
              <w:t>/2023</w:t>
            </w:r>
          </w:p>
        </w:tc>
      </w:tr>
      <w:tr w:rsidR="00FE07BA" w14:paraId="20C73899" w14:textId="77777777" w:rsidTr="00FE07BA">
        <w:tc>
          <w:tcPr>
            <w:tcW w:w="5103" w:type="dxa"/>
          </w:tcPr>
          <w:p w14:paraId="20C73896" w14:textId="67D78DC6" w:rsidR="00FE07BA" w:rsidRPr="005021B1" w:rsidRDefault="00623252" w:rsidP="00F84D51">
            <w:pPr>
              <w:pStyle w:val="Heading2"/>
              <w:numPr>
                <w:ilvl w:val="0"/>
                <w:numId w:val="0"/>
              </w:numPr>
              <w:tabs>
                <w:tab w:val="left" w:pos="3960"/>
              </w:tabs>
            </w:pPr>
            <w:r w:rsidRPr="005021B1">
              <w:t>C</w:t>
            </w:r>
            <w:r w:rsidR="00FE07BA" w:rsidRPr="005021B1">
              <w:t>ontract award</w:t>
            </w:r>
            <w:r w:rsidR="00F84D51">
              <w:tab/>
            </w:r>
          </w:p>
        </w:tc>
        <w:tc>
          <w:tcPr>
            <w:tcW w:w="2693" w:type="dxa"/>
          </w:tcPr>
          <w:p w14:paraId="20C73897" w14:textId="7101F3D8" w:rsidR="00FE07BA" w:rsidRPr="005021B1" w:rsidRDefault="002F6F32" w:rsidP="00FE07BA">
            <w:pPr>
              <w:pStyle w:val="Heading2"/>
              <w:numPr>
                <w:ilvl w:val="0"/>
                <w:numId w:val="0"/>
              </w:numPr>
            </w:pPr>
            <w:r w:rsidRPr="005021B1">
              <w:t>2</w:t>
            </w:r>
            <w:r w:rsidR="00D528AB">
              <w:t>4</w:t>
            </w:r>
            <w:r w:rsidR="00A44B3B" w:rsidRPr="005021B1">
              <w:t>/</w:t>
            </w:r>
            <w:r w:rsidRPr="005021B1">
              <w:t>1</w:t>
            </w:r>
            <w:r w:rsidR="00D528AB">
              <w:t>1</w:t>
            </w:r>
            <w:r w:rsidR="00A44B3B" w:rsidRPr="005021B1">
              <w:t>/2023</w:t>
            </w:r>
          </w:p>
          <w:p w14:paraId="20C73898" w14:textId="1D096144" w:rsidR="003273D3" w:rsidRPr="005021B1" w:rsidRDefault="003273D3" w:rsidP="00FE07BA">
            <w:pPr>
              <w:pStyle w:val="Heading2"/>
              <w:numPr>
                <w:ilvl w:val="0"/>
                <w:numId w:val="0"/>
              </w:numPr>
            </w:pPr>
          </w:p>
        </w:tc>
      </w:tr>
      <w:tr w:rsidR="00FE07BA" w14:paraId="20C7389D" w14:textId="77777777" w:rsidTr="00F2262A">
        <w:trPr>
          <w:trHeight w:val="70"/>
        </w:trPr>
        <w:tc>
          <w:tcPr>
            <w:tcW w:w="5103" w:type="dxa"/>
          </w:tcPr>
          <w:p w14:paraId="20C7389A" w14:textId="77777777" w:rsidR="00FE07BA" w:rsidRPr="005021B1" w:rsidRDefault="00FE07BA" w:rsidP="00FE07BA">
            <w:pPr>
              <w:pStyle w:val="Heading2"/>
              <w:numPr>
                <w:ilvl w:val="0"/>
                <w:numId w:val="0"/>
              </w:numPr>
            </w:pPr>
            <w:r w:rsidRPr="005021B1">
              <w:t xml:space="preserve">Contract work starts </w:t>
            </w:r>
          </w:p>
        </w:tc>
        <w:tc>
          <w:tcPr>
            <w:tcW w:w="2693" w:type="dxa"/>
          </w:tcPr>
          <w:p w14:paraId="20C7389B" w14:textId="2EE364E4" w:rsidR="00FE07BA" w:rsidRPr="005021B1" w:rsidRDefault="00A44B3B" w:rsidP="00FE07BA">
            <w:pPr>
              <w:pStyle w:val="Heading2"/>
              <w:numPr>
                <w:ilvl w:val="0"/>
                <w:numId w:val="0"/>
              </w:numPr>
            </w:pPr>
            <w:r w:rsidRPr="005021B1">
              <w:t>0</w:t>
            </w:r>
            <w:r w:rsidR="002F6F32" w:rsidRPr="005021B1">
              <w:t>1</w:t>
            </w:r>
            <w:r w:rsidRPr="005021B1">
              <w:t>/</w:t>
            </w:r>
            <w:r w:rsidR="002F6F32" w:rsidRPr="005021B1">
              <w:t>1</w:t>
            </w:r>
            <w:r w:rsidR="00D528AB">
              <w:t>2</w:t>
            </w:r>
            <w:r w:rsidRPr="005021B1">
              <w:t>/2023</w:t>
            </w:r>
          </w:p>
          <w:p w14:paraId="20C7389C" w14:textId="77777777" w:rsidR="003273D3" w:rsidRPr="005021B1" w:rsidRDefault="003273D3" w:rsidP="00FE07BA">
            <w:pPr>
              <w:pStyle w:val="Heading2"/>
              <w:numPr>
                <w:ilvl w:val="0"/>
                <w:numId w:val="0"/>
              </w:numPr>
            </w:pPr>
          </w:p>
        </w:tc>
      </w:tr>
    </w:tbl>
    <w:p w14:paraId="20C7389E" w14:textId="2D1CEFC4" w:rsidR="009A3E29" w:rsidRPr="009A3E29" w:rsidRDefault="009A3E29" w:rsidP="009A3E29">
      <w:pPr>
        <w:pStyle w:val="Heading2"/>
        <w:numPr>
          <w:ilvl w:val="0"/>
          <w:numId w:val="0"/>
        </w:numPr>
        <w:ind w:left="851"/>
      </w:pPr>
    </w:p>
    <w:p w14:paraId="20C7389F" w14:textId="77777777" w:rsidR="00FE07BA" w:rsidRDefault="00FE07BA" w:rsidP="004270D9">
      <w:pPr>
        <w:pStyle w:val="MRNumberedHeading2"/>
      </w:pPr>
      <w:bookmarkStart w:id="35" w:name="_Toc403555100"/>
      <w:bookmarkStart w:id="36" w:name="_Ref405452899"/>
      <w:r>
        <w:t>Whilst the Authority does not intend to depart from the timetable, it reserves the right to do so at any stage.</w:t>
      </w:r>
      <w:bookmarkEnd w:id="35"/>
      <w:bookmarkEnd w:id="36"/>
      <w:r>
        <w:t xml:space="preserve">  </w:t>
      </w:r>
    </w:p>
    <w:p w14:paraId="20C738A3" w14:textId="77777777" w:rsidR="000831C0" w:rsidRPr="00276E1B" w:rsidRDefault="000E189B" w:rsidP="004270D9">
      <w:pPr>
        <w:pStyle w:val="Heading1"/>
        <w:spacing w:before="240" w:after="0"/>
        <w:ind w:left="851"/>
      </w:pPr>
      <w:bookmarkStart w:id="37" w:name="_Toc403555104"/>
      <w:r w:rsidRPr="00276E1B">
        <w:t>Deadline for receipt of Tenders</w:t>
      </w:r>
      <w:bookmarkEnd w:id="37"/>
      <w:r w:rsidRPr="00276E1B">
        <w:t xml:space="preserve"> </w:t>
      </w:r>
    </w:p>
    <w:p w14:paraId="20C738A4" w14:textId="3AA1D6B6" w:rsidR="000831C0" w:rsidRDefault="0083677A" w:rsidP="004270D9">
      <w:pPr>
        <w:pStyle w:val="MRNumberedHeading2"/>
      </w:pPr>
      <w:bookmarkStart w:id="38" w:name="_Toc403555105"/>
      <w:r>
        <w:t>Bidders must submit their Tenders</w:t>
      </w:r>
      <w:r w:rsidR="00E37725">
        <w:t xml:space="preserve"> in the manner</w:t>
      </w:r>
      <w:r w:rsidR="00807CF7">
        <w:t xml:space="preserve"> prescribed in </w:t>
      </w:r>
      <w:r w:rsidR="00501CD3">
        <w:t>s</w:t>
      </w:r>
      <w:r w:rsidR="00807CF7" w:rsidRPr="009C2E68">
        <w:t>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38"/>
    </w:p>
    <w:p w14:paraId="20C738A5" w14:textId="1D539BD2" w:rsidR="00E37725" w:rsidRDefault="00807CF7" w:rsidP="004270D9">
      <w:pPr>
        <w:pStyle w:val="MRNumberedHeading2"/>
      </w:pPr>
      <w:bookmarkStart w:id="39" w:name="_Toc403555106"/>
      <w:bookmarkStart w:id="40"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w:t>
      </w:r>
      <w:r w:rsidR="00501CD3">
        <w:t>s</w:t>
      </w:r>
      <w:r w:rsidR="007C2491">
        <w:t xml:space="preserve">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 xml:space="preserve">eadline </w:t>
      </w:r>
      <w:r w:rsidR="006913A2">
        <w:t>and, in such circumstances,</w:t>
      </w:r>
      <w:r w:rsidR="00E37725">
        <w:t xml:space="preserve"> the Authority will notify all </w:t>
      </w:r>
      <w:r w:rsidR="00E7163F">
        <w:t>Bidders</w:t>
      </w:r>
      <w:r w:rsidR="00E37725">
        <w:t xml:space="preserve"> of any change.</w:t>
      </w:r>
      <w:bookmarkEnd w:id="39"/>
      <w:bookmarkEnd w:id="40"/>
    </w:p>
    <w:p w14:paraId="6BF5E1D7" w14:textId="04FE3F47" w:rsidR="003035A6" w:rsidRDefault="003035A6" w:rsidP="003035A6">
      <w:pPr>
        <w:pStyle w:val="Heading1"/>
        <w:spacing w:before="240" w:after="0"/>
        <w:ind w:left="851"/>
      </w:pPr>
      <w:r>
        <w:t xml:space="preserve">Site </w:t>
      </w:r>
      <w:r w:rsidR="002E2F4E">
        <w:t>v</w:t>
      </w:r>
      <w:r>
        <w:t>isit</w:t>
      </w:r>
      <w:r w:rsidRPr="00276E1B">
        <w:t xml:space="preserve"> </w:t>
      </w:r>
    </w:p>
    <w:p w14:paraId="13CC1294" w14:textId="1C127FE1" w:rsidR="00891475" w:rsidRPr="00891475" w:rsidRDefault="00891475" w:rsidP="001A2988">
      <w:pPr>
        <w:pStyle w:val="MRNumberedHeading2"/>
        <w:numPr>
          <w:ilvl w:val="1"/>
          <w:numId w:val="18"/>
        </w:numPr>
        <w:rPr>
          <w:color w:val="000000" w:themeColor="text1"/>
        </w:rPr>
      </w:pPr>
      <w:bookmarkStart w:id="41" w:name="_Toc403555108"/>
      <w:bookmarkStart w:id="42" w:name="_Ref405452921"/>
      <w:bookmarkStart w:id="43" w:name="_Toc403555111"/>
      <w:r w:rsidRPr="00891475">
        <w:rPr>
          <w:color w:val="000000" w:themeColor="text1"/>
        </w:rPr>
        <w:t>All Bidders are asked to make available at least one reference site. The reference site visits will be required to verify specific aspects of Bidders' submissions in response to the Specification.</w:t>
      </w:r>
    </w:p>
    <w:p w14:paraId="16F17609" w14:textId="567879EE" w:rsidR="00891475" w:rsidRPr="00891475" w:rsidRDefault="00891475" w:rsidP="001A2988">
      <w:pPr>
        <w:pStyle w:val="MRNumberedHeading2"/>
        <w:numPr>
          <w:ilvl w:val="1"/>
          <w:numId w:val="18"/>
        </w:numPr>
        <w:rPr>
          <w:color w:val="000000" w:themeColor="text1"/>
        </w:rPr>
      </w:pPr>
      <w:bookmarkStart w:id="44" w:name="_Toc403555109"/>
      <w:bookmarkStart w:id="45" w:name="_Ref406062816"/>
      <w:r w:rsidRPr="00891475">
        <w:rPr>
          <w:color w:val="000000" w:themeColor="text1"/>
        </w:rPr>
        <w:t>Reference site visits are scheduled to take place within the Evaluation of Tenders period set out in the timetable. The specific date, time, and location of the site visit will be communicated to all bidders in advance</w:t>
      </w:r>
      <w:bookmarkEnd w:id="44"/>
      <w:bookmarkEnd w:id="45"/>
      <w:r w:rsidR="0087536B">
        <w:rPr>
          <w:color w:val="000000" w:themeColor="text1"/>
        </w:rPr>
        <w:t xml:space="preserve"> via email.</w:t>
      </w:r>
    </w:p>
    <w:p w14:paraId="4849E892" w14:textId="374D11E8" w:rsidR="00891475" w:rsidRPr="00891475" w:rsidRDefault="00891475" w:rsidP="001A2988">
      <w:pPr>
        <w:pStyle w:val="MRNumberedHeading2"/>
        <w:numPr>
          <w:ilvl w:val="1"/>
          <w:numId w:val="18"/>
        </w:numPr>
        <w:rPr>
          <w:color w:val="000000" w:themeColor="text1"/>
        </w:rPr>
      </w:pPr>
      <w:r w:rsidRPr="00891475">
        <w:rPr>
          <w:color w:val="000000" w:themeColor="text1"/>
        </w:rPr>
        <w:t xml:space="preserve">The Authority reserves the right to visit the sites of the top </w:t>
      </w:r>
      <w:r w:rsidR="0087536B">
        <w:rPr>
          <w:color w:val="000000" w:themeColor="text1"/>
        </w:rPr>
        <w:t>2</w:t>
      </w:r>
      <w:r w:rsidRPr="00891475">
        <w:rPr>
          <w:color w:val="000000" w:themeColor="text1"/>
        </w:rPr>
        <w:t xml:space="preserve"> scoring Bidders each Lot or more. However, in cases where the scores are close enough that the evaluation could potentially impact the contract award, the Authority will conduct site visits to all relevant Bidders’ sites.</w:t>
      </w:r>
    </w:p>
    <w:p w14:paraId="029AD7A3" w14:textId="34D03E3A" w:rsidR="00E07FD0" w:rsidRPr="00891475" w:rsidRDefault="00891475" w:rsidP="001A2988">
      <w:pPr>
        <w:pStyle w:val="MRNumberedHeading2"/>
        <w:numPr>
          <w:ilvl w:val="1"/>
          <w:numId w:val="18"/>
        </w:numPr>
        <w:rPr>
          <w:color w:val="000000" w:themeColor="text1"/>
        </w:rPr>
      </w:pPr>
      <w:r w:rsidRPr="00891475">
        <w:rPr>
          <w:color w:val="000000" w:themeColor="text1"/>
        </w:rPr>
        <w:lastRenderedPageBreak/>
        <w:t xml:space="preserve">The Authority, at its discretion, will conduct these site visits to gain a better understanding of the facilities, infrastructure, and operations related to the funeral service being tendered, as well as to seek alignment with the tender answers provided by the Bidders. </w:t>
      </w:r>
      <w:bookmarkEnd w:id="41"/>
      <w:bookmarkEnd w:id="42"/>
    </w:p>
    <w:p w14:paraId="094F41FD" w14:textId="77777777" w:rsidR="00E07FD0" w:rsidRPr="00891475" w:rsidRDefault="00E07FD0" w:rsidP="001A2988">
      <w:pPr>
        <w:pStyle w:val="MRNumberedHeading2"/>
        <w:numPr>
          <w:ilvl w:val="1"/>
          <w:numId w:val="18"/>
        </w:numPr>
        <w:rPr>
          <w:color w:val="000000" w:themeColor="text1"/>
        </w:rPr>
      </w:pPr>
      <w:r w:rsidRPr="00891475">
        <w:rPr>
          <w:color w:val="000000" w:themeColor="text1"/>
        </w:rPr>
        <w:t>Bidders must confirm their attendance in advance and provide the names of the representatives who will be present during the site visit.</w:t>
      </w:r>
    </w:p>
    <w:p w14:paraId="40A33C1D" w14:textId="77777777" w:rsidR="00E07FD0" w:rsidRPr="00891475" w:rsidRDefault="00E07FD0" w:rsidP="001A2988">
      <w:pPr>
        <w:pStyle w:val="MRNumberedHeading2"/>
        <w:numPr>
          <w:ilvl w:val="1"/>
          <w:numId w:val="18"/>
        </w:numPr>
        <w:rPr>
          <w:color w:val="000000" w:themeColor="text1"/>
        </w:rPr>
      </w:pPr>
      <w:r w:rsidRPr="00891475">
        <w:rPr>
          <w:color w:val="000000" w:themeColor="text1"/>
        </w:rPr>
        <w:t xml:space="preserve">Any information or documentation shared during the site visit shall remain confidential and shall not be disclosed to third parties without prior written consent. </w:t>
      </w:r>
    </w:p>
    <w:p w14:paraId="5145EDA8" w14:textId="77777777" w:rsidR="00E07FD0" w:rsidRPr="00891475" w:rsidRDefault="00E07FD0" w:rsidP="001A2988">
      <w:pPr>
        <w:pStyle w:val="MRNumberedHeading2"/>
        <w:numPr>
          <w:ilvl w:val="1"/>
          <w:numId w:val="18"/>
        </w:numPr>
        <w:rPr>
          <w:color w:val="000000" w:themeColor="text1"/>
        </w:rPr>
      </w:pPr>
      <w:r w:rsidRPr="00891475">
        <w:rPr>
          <w:color w:val="000000" w:themeColor="text1"/>
        </w:rPr>
        <w:t>The evaluation panel reserves the right to request further information or clarification based on the findings from the site visit.</w:t>
      </w:r>
    </w:p>
    <w:p w14:paraId="02BB1B61" w14:textId="77777777" w:rsidR="00E07FD0" w:rsidRPr="00452107" w:rsidRDefault="00E07FD0" w:rsidP="001A2988">
      <w:pPr>
        <w:pStyle w:val="MRNumberedHeading2"/>
        <w:numPr>
          <w:ilvl w:val="1"/>
          <w:numId w:val="18"/>
        </w:numPr>
      </w:pPr>
      <w:r w:rsidRPr="00452107">
        <w:t>Failure to participate in the site visit may result in disqualification from the tender process.</w:t>
      </w:r>
    </w:p>
    <w:p w14:paraId="7F8B3C2A" w14:textId="207D65BA" w:rsidR="00452107" w:rsidRPr="00452107" w:rsidRDefault="00452107" w:rsidP="00452107">
      <w:pPr>
        <w:pStyle w:val="Heading1"/>
        <w:spacing w:before="240" w:after="0"/>
        <w:ind w:left="851"/>
      </w:pPr>
      <w:r>
        <w:t>Eligibility evidence</w:t>
      </w:r>
    </w:p>
    <w:p w14:paraId="20C738B3" w14:textId="37DF0F46" w:rsidR="002F1591" w:rsidRDefault="002F1591" w:rsidP="002F1591">
      <w:pPr>
        <w:pStyle w:val="MRNumberedHeading2"/>
        <w:rPr>
          <w:i/>
          <w:color w:val="808080" w:themeColor="background1" w:themeShade="80"/>
        </w:rPr>
      </w:pPr>
      <w:bookmarkStart w:id="46" w:name="_Ref412565042"/>
      <w:bookmarkStart w:id="47" w:name="_Toc403555119"/>
      <w:bookmarkEnd w:id="43"/>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48" w:name="hand217"/>
      <w:bookmarkEnd w:id="48"/>
      <w:r>
        <w:t>as accurate. During the standstill period, the Authority will require the successful Bidder to provide the following:</w:t>
      </w:r>
      <w:bookmarkEnd w:id="46"/>
    </w:p>
    <w:p w14:paraId="3E665463" w14:textId="22B4BACA" w:rsidR="00AD58A9" w:rsidRPr="00AD58A9" w:rsidRDefault="00AD58A9" w:rsidP="001A2988">
      <w:pPr>
        <w:pStyle w:val="MRNumberedHeading2"/>
        <w:numPr>
          <w:ilvl w:val="2"/>
          <w:numId w:val="18"/>
        </w:numPr>
        <w:rPr>
          <w:rFonts w:eastAsia="Arial"/>
        </w:rPr>
      </w:pPr>
      <w:r w:rsidRPr="00AD58A9">
        <w:rPr>
          <w:rFonts w:eastAsia="Arial"/>
        </w:rPr>
        <w:t xml:space="preserve">proof as required in the Public Contracts Regulations 2015, Regulation 60(4) or (5), that none of the mandatory or discretionary grounds of exclusion referred to in the Eligibility </w:t>
      </w:r>
      <w:proofErr w:type="gramStart"/>
      <w:r w:rsidRPr="00AD58A9">
        <w:rPr>
          <w:rFonts w:eastAsia="Arial"/>
        </w:rPr>
        <w:t>Questions;</w:t>
      </w:r>
      <w:proofErr w:type="gramEnd"/>
    </w:p>
    <w:p w14:paraId="76C01F1F" w14:textId="0A6E9221" w:rsidR="00AD58A9" w:rsidRPr="00AD58A9" w:rsidRDefault="00AD58A9" w:rsidP="001A2988">
      <w:pPr>
        <w:pStyle w:val="MRNumberedHeading2"/>
        <w:numPr>
          <w:ilvl w:val="2"/>
          <w:numId w:val="18"/>
        </w:numPr>
        <w:rPr>
          <w:rFonts w:eastAsia="Arial"/>
        </w:rPr>
      </w:pPr>
      <w:r w:rsidRPr="00AD58A9">
        <w:rPr>
          <w:rFonts w:eastAsia="Arial"/>
        </w:rPr>
        <w:t xml:space="preserve">proof as required in the Public Contracts Regulations 2015, Regulation 60(6), that you have the minimum level of economic and financial </w:t>
      </w:r>
      <w:proofErr w:type="gramStart"/>
      <w:r w:rsidRPr="00AD58A9">
        <w:rPr>
          <w:rFonts w:eastAsia="Arial"/>
        </w:rPr>
        <w:t>standing;</w:t>
      </w:r>
      <w:proofErr w:type="gramEnd"/>
    </w:p>
    <w:p w14:paraId="4376DB34" w14:textId="2D248277" w:rsidR="00AD58A9" w:rsidRPr="00AD58A9" w:rsidRDefault="00AD58A9" w:rsidP="001A2988">
      <w:pPr>
        <w:pStyle w:val="MRNumberedHeading2"/>
        <w:numPr>
          <w:ilvl w:val="2"/>
          <w:numId w:val="18"/>
        </w:numPr>
        <w:rPr>
          <w:rFonts w:eastAsia="Arial"/>
        </w:rPr>
      </w:pPr>
      <w:r w:rsidRPr="00AD58A9">
        <w:rPr>
          <w:rFonts w:eastAsia="Arial"/>
        </w:rPr>
        <w:t xml:space="preserve">copies of the required insurance as set out in B.1 of the Eligibility Questions and Responses document found in Annex B1 of Section B of the </w:t>
      </w:r>
      <w:proofErr w:type="gramStart"/>
      <w:r w:rsidRPr="00AD58A9">
        <w:rPr>
          <w:rFonts w:eastAsia="Arial"/>
        </w:rPr>
        <w:t>ITT;</w:t>
      </w:r>
      <w:proofErr w:type="gramEnd"/>
    </w:p>
    <w:p w14:paraId="41C425F1" w14:textId="1F50F80D" w:rsidR="00AD58A9" w:rsidRPr="00AD58A9" w:rsidRDefault="00AD58A9" w:rsidP="001A2988">
      <w:pPr>
        <w:pStyle w:val="MRNumberedHeading2"/>
        <w:numPr>
          <w:ilvl w:val="2"/>
          <w:numId w:val="18"/>
        </w:numPr>
        <w:rPr>
          <w:rFonts w:eastAsia="Arial"/>
        </w:rPr>
      </w:pPr>
      <w:r w:rsidRPr="00AD58A9">
        <w:rPr>
          <w:rFonts w:eastAsia="Arial"/>
        </w:rPr>
        <w:t>a copy of your Health and Safety Policy.</w:t>
      </w:r>
    </w:p>
    <w:p w14:paraId="4379E0F1" w14:textId="77777777" w:rsidR="00AD58A9" w:rsidRPr="00AD58A9" w:rsidRDefault="00AD58A9" w:rsidP="00AD58A9">
      <w:pPr>
        <w:pStyle w:val="MRNumberedHeading3"/>
        <w:numPr>
          <w:ilvl w:val="0"/>
          <w:numId w:val="0"/>
        </w:numPr>
        <w:spacing w:line="240" w:lineRule="auto"/>
        <w:ind w:left="851"/>
        <w:jc w:val="both"/>
        <w:rPr>
          <w:i/>
        </w:rPr>
      </w:pPr>
    </w:p>
    <w:p w14:paraId="20C738B8" w14:textId="0D39DDF3" w:rsidR="008824CC" w:rsidRPr="00AD58A9" w:rsidRDefault="002F1591" w:rsidP="00AD58A9">
      <w:pPr>
        <w:ind w:left="850"/>
        <w:rPr>
          <w:b/>
          <w:bCs/>
        </w:rPr>
      </w:pPr>
      <w:r w:rsidRPr="00AD58A9">
        <w:rPr>
          <w:b/>
          <w:bCs/>
        </w:rPr>
        <w:t>NOTE:  list any other evidence required, such as references (see the Public Contracts Regulations 2015, Regulation 58(16)) or proof of technical and professional ability listed in the Public Contracts Regulations 2015, Regulation 60(9).</w:t>
      </w:r>
      <w:bookmarkEnd w:id="47"/>
      <w:r w:rsidR="00AD58A9" w:rsidRPr="00AD58A9">
        <w:rPr>
          <w:b/>
          <w:bCs/>
        </w:rPr>
        <w:t xml:space="preserve"> </w:t>
      </w:r>
    </w:p>
    <w:p w14:paraId="20C738B9" w14:textId="5AD235AF" w:rsidR="002F1591" w:rsidRPr="002F1591" w:rsidRDefault="00740710" w:rsidP="002F1591">
      <w:pPr>
        <w:pStyle w:val="Header"/>
        <w:spacing w:before="240"/>
        <w:ind w:left="851"/>
        <w:jc w:val="both"/>
        <w:rPr>
          <w:b/>
        </w:rPr>
      </w:pPr>
      <w:bookmarkStart w:id="49" w:name="_Toc403555120"/>
      <w:r>
        <w:rPr>
          <w:b/>
        </w:rPr>
        <w:t>Contract a</w:t>
      </w:r>
      <w:r w:rsidR="002F1591" w:rsidRPr="002F1591">
        <w:rPr>
          <w:b/>
        </w:rPr>
        <w:t>ward</w:t>
      </w:r>
    </w:p>
    <w:p w14:paraId="20C738BA" w14:textId="0AE3CB1A" w:rsidR="00E56F27" w:rsidRDefault="008824CC" w:rsidP="004270D9">
      <w:pPr>
        <w:pStyle w:val="MRNumberedHeading2"/>
      </w:pPr>
      <w:r>
        <w:t xml:space="preserve">Contract award is subject to the formal approval process of the Authority. Until all necessary approvals are </w:t>
      </w:r>
      <w:r w:rsidR="0087536B">
        <w:t>obtained,</w:t>
      </w:r>
      <w:r>
        <w:t xml:space="preserve"> and the s</w:t>
      </w:r>
      <w:r w:rsidR="00E56F27">
        <w:t xml:space="preserve">tandstill period </w:t>
      </w:r>
      <w:r w:rsidR="0087536B">
        <w:t xml:space="preserve">is </w:t>
      </w:r>
      <w:r w:rsidR="00E56F27">
        <w:t>completed, no c</w:t>
      </w:r>
      <w:r>
        <w:t>ontract(s) will be entered into.</w:t>
      </w:r>
      <w:bookmarkEnd w:id="49"/>
    </w:p>
    <w:p w14:paraId="20C738BB" w14:textId="4250BBE3" w:rsidR="004E71FF" w:rsidRPr="005A2E47" w:rsidRDefault="008824CC" w:rsidP="004270D9">
      <w:pPr>
        <w:pStyle w:val="MRNumberedHeading2"/>
      </w:pPr>
      <w:bookmarkStart w:id="50" w:name="_Toc403555121"/>
      <w:bookmarkStart w:id="51"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w:t>
      </w:r>
      <w:proofErr w:type="gramStart"/>
      <w:r w:rsidR="00E56F27">
        <w:t>entering into</w:t>
      </w:r>
      <w:proofErr w:type="gramEnd"/>
      <w:r w:rsidR="00E56F27">
        <w:t xml:space="preserve"> any c</w:t>
      </w:r>
      <w:r>
        <w:t>ontract(s).</w:t>
      </w:r>
      <w:bookmarkEnd w:id="50"/>
      <w:bookmarkEnd w:id="51"/>
      <w:r w:rsidR="004E71FF">
        <w:br w:type="page"/>
      </w:r>
    </w:p>
    <w:p w14:paraId="20C738BC" w14:textId="77777777" w:rsidR="008824CC" w:rsidRPr="008F3D2C" w:rsidRDefault="00A57D02" w:rsidP="00134D04">
      <w:pPr>
        <w:pStyle w:val="MRNumberedHeading1"/>
        <w:tabs>
          <w:tab w:val="num" w:pos="851"/>
        </w:tabs>
        <w:ind w:left="851" w:hanging="851"/>
        <w:jc w:val="both"/>
        <w:rPr>
          <w:sz w:val="20"/>
          <w:szCs w:val="20"/>
        </w:rPr>
      </w:pPr>
      <w:bookmarkStart w:id="52" w:name="_Toc403556503"/>
      <w:bookmarkStart w:id="53" w:name="_Toc403556508"/>
      <w:bookmarkStart w:id="54" w:name="_Toc406674971"/>
      <w:bookmarkStart w:id="55" w:name="_Toc412621213"/>
      <w:bookmarkStart w:id="56" w:name="_Toc412715223"/>
      <w:r w:rsidRPr="008F3D2C">
        <w:rPr>
          <w:sz w:val="20"/>
          <w:szCs w:val="20"/>
        </w:rPr>
        <w:lastRenderedPageBreak/>
        <w:t xml:space="preserve">INSTRUCTIONS TO </w:t>
      </w:r>
      <w:r w:rsidR="00E7163F" w:rsidRPr="008F3D2C">
        <w:rPr>
          <w:sz w:val="20"/>
          <w:szCs w:val="20"/>
        </w:rPr>
        <w:t>BIDDERS</w:t>
      </w:r>
      <w:bookmarkEnd w:id="52"/>
      <w:bookmarkEnd w:id="53"/>
      <w:bookmarkEnd w:id="54"/>
      <w:bookmarkEnd w:id="55"/>
      <w:bookmarkEnd w:id="56"/>
      <w:r w:rsidRPr="008F3D2C">
        <w:rPr>
          <w:sz w:val="20"/>
          <w:szCs w:val="20"/>
        </w:rPr>
        <w:t xml:space="preserve"> </w:t>
      </w:r>
    </w:p>
    <w:p w14:paraId="37687244" w14:textId="5C78FE94" w:rsidR="008644BC" w:rsidRPr="00134D04" w:rsidRDefault="00B70AD8" w:rsidP="00134D04">
      <w:pPr>
        <w:pStyle w:val="MRNumberedHeading2"/>
        <w:numPr>
          <w:ilvl w:val="0"/>
          <w:numId w:val="0"/>
        </w:numPr>
        <w:ind w:left="851"/>
        <w:rPr>
          <w:b/>
        </w:rPr>
      </w:pPr>
      <w:bookmarkStart w:id="57" w:name="_Toc403555124"/>
      <w:r>
        <w:rPr>
          <w:b/>
        </w:rPr>
        <w:t>Standard Selection Questionnaire – Potential Supplier Information and Exclusion Grounds: Part 1 and Part 2.</w:t>
      </w:r>
    </w:p>
    <w:p w14:paraId="53399919" w14:textId="77777777" w:rsidR="00B70AD8" w:rsidRPr="00B70AD8" w:rsidRDefault="00B70AD8" w:rsidP="00B70AD8">
      <w:pPr>
        <w:pStyle w:val="MRNumberedHeading2"/>
      </w:pPr>
      <w:r>
        <w:t>The SQ template includes a self-declaration, made by you (the potential supplier), that none of the grounds for exclusion apply</w:t>
      </w:r>
      <w:r>
        <w:rPr>
          <w:rFonts w:eastAsia="Arial" w:cs="Arial"/>
          <w:color w:val="000000"/>
          <w:szCs w:val="20"/>
          <w:shd w:val="clear" w:color="auto" w:fill="FFFFFF"/>
        </w:rPr>
        <w:t>. If any of the grounds for exclusion do apply, there is an opportunity to explain any measures you have taken to demonstrate your reliability notwithstanding the existence of a ground for exclusion (we call this self-cleaning).</w:t>
      </w:r>
    </w:p>
    <w:p w14:paraId="6E5F8C99" w14:textId="77777777" w:rsidR="00B70AD8" w:rsidRDefault="00B70AD8" w:rsidP="00B70AD8">
      <w:pPr>
        <w:pStyle w:val="MRNumberedHeading2"/>
      </w:pPr>
      <w:r w:rsidRPr="00B70AD8">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11EE5E9B" w14:textId="62A1C5A9" w:rsidR="00134D04" w:rsidRPr="00B70AD8" w:rsidRDefault="00134D04" w:rsidP="00B70AD8">
      <w:pPr>
        <w:pStyle w:val="MRNumberedHeading2"/>
        <w:numPr>
          <w:ilvl w:val="0"/>
          <w:numId w:val="0"/>
        </w:numPr>
      </w:pPr>
      <w:r w:rsidRPr="00B70AD8">
        <w:rPr>
          <w:rFonts w:eastAsia="Arial" w:cs="Arial"/>
          <w:szCs w:val="20"/>
          <w:u w:val="single"/>
        </w:rPr>
        <w:t>Supplier Selection Questions: Part 3</w:t>
      </w:r>
    </w:p>
    <w:p w14:paraId="39767928" w14:textId="3470581D" w:rsidR="00134D04" w:rsidRDefault="00134D04" w:rsidP="001A2988">
      <w:pPr>
        <w:pStyle w:val="Normal1"/>
        <w:numPr>
          <w:ilvl w:val="1"/>
          <w:numId w:val="19"/>
        </w:numPr>
        <w:tabs>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w:t>
      </w:r>
      <w:r w:rsidR="006B06CC" w:rsidRPr="00D67416">
        <w:rPr>
          <w:rFonts w:ascii="Arial" w:eastAsia="Arial" w:hAnsi="Arial" w:cs="Arial"/>
          <w:sz w:val="20"/>
          <w:szCs w:val="20"/>
        </w:rPr>
        <w:t>intend</w:t>
      </w:r>
      <w:r w:rsidRPr="00D67416">
        <w:rPr>
          <w:rFonts w:ascii="Arial" w:eastAsia="Arial" w:hAnsi="Arial" w:cs="Arial"/>
          <w:sz w:val="20"/>
          <w:szCs w:val="20"/>
        </w:rPr>
        <w:t xml:space="preserve"> to use sub-contractors, you should complete </w:t>
      </w:r>
      <w:proofErr w:type="gramStart"/>
      <w:r w:rsidRPr="00D67416">
        <w:rPr>
          <w:rFonts w:ascii="Arial" w:eastAsia="Arial" w:hAnsi="Arial" w:cs="Arial"/>
          <w:sz w:val="20"/>
          <w:szCs w:val="20"/>
        </w:rPr>
        <w:t>all of</w:t>
      </w:r>
      <w:proofErr w:type="gramEnd"/>
      <w:r w:rsidRPr="00D67416">
        <w:rPr>
          <w:rFonts w:ascii="Arial" w:eastAsia="Arial" w:hAnsi="Arial" w:cs="Arial"/>
          <w:sz w:val="20"/>
          <w:szCs w:val="20"/>
        </w:rPr>
        <w:t xml:space="preserve"> the selection questions on behalf of the consortium and/or any sub-contractors.</w:t>
      </w:r>
    </w:p>
    <w:p w14:paraId="2E39BA8D" w14:textId="03F5A5EE" w:rsidR="00134D04"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 xml:space="preserve">in the </w:t>
      </w:r>
      <w:r w:rsidR="00B70AD8">
        <w:rPr>
          <w:rFonts w:ascii="Arial" w:eastAsia="Arial" w:hAnsi="Arial" w:cs="Arial"/>
          <w:sz w:val="20"/>
          <w:szCs w:val="20"/>
        </w:rPr>
        <w:t>Selection Questionnaire</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52579E1B"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756CA0C1" w14:textId="080AA9EA" w:rsidR="00134D04"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w:t>
      </w:r>
      <w:proofErr w:type="gramStart"/>
      <w:r w:rsidRPr="00134D04">
        <w:rPr>
          <w:rFonts w:ascii="Arial" w:eastAsia="Arial" w:hAnsi="Arial" w:cs="Arial"/>
          <w:sz w:val="20"/>
          <w:szCs w:val="20"/>
        </w:rPr>
        <w:t>factual information</w:t>
      </w:r>
      <w:proofErr w:type="gramEnd"/>
      <w:r w:rsidRPr="00134D04">
        <w:rPr>
          <w:rFonts w:ascii="Arial" w:eastAsia="Arial" w:hAnsi="Arial" w:cs="Arial"/>
          <w:sz w:val="20"/>
          <w:szCs w:val="20"/>
        </w:rPr>
        <w:t xml:space="preserve"> in filling in </w:t>
      </w:r>
      <w:r w:rsidR="00BC373F">
        <w:rPr>
          <w:rFonts w:ascii="Arial" w:eastAsia="Arial" w:hAnsi="Arial" w:cs="Arial"/>
          <w:sz w:val="20"/>
          <w:szCs w:val="20"/>
        </w:rPr>
        <w:t xml:space="preserve">the </w:t>
      </w:r>
      <w:r w:rsidR="00B70AD8">
        <w:rPr>
          <w:rFonts w:ascii="Arial" w:eastAsia="Arial" w:hAnsi="Arial" w:cs="Arial"/>
          <w:sz w:val="20"/>
          <w:szCs w:val="20"/>
        </w:rPr>
        <w:t>Selection Questionnaire</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65EE5829"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 xml:space="preserve">Notes for </w:t>
      </w:r>
      <w:proofErr w:type="gramStart"/>
      <w:r w:rsidR="00B70AD8">
        <w:rPr>
          <w:rFonts w:ascii="Arial" w:eastAsia="Arial" w:hAnsi="Arial" w:cs="Arial"/>
          <w:sz w:val="20"/>
          <w:szCs w:val="20"/>
          <w:u w:val="single"/>
        </w:rPr>
        <w:t>completion</w:t>
      </w:r>
      <w:proofErr w:type="gramEnd"/>
    </w:p>
    <w:p w14:paraId="6E452945" w14:textId="7F057D2A" w:rsidR="00B70AD8" w:rsidRPr="00B70AD8" w:rsidRDefault="00B70AD8" w:rsidP="001A2988">
      <w:pPr>
        <w:pStyle w:val="Normal1"/>
        <w:numPr>
          <w:ilvl w:val="1"/>
          <w:numId w:val="19"/>
        </w:numPr>
        <w:tabs>
          <w:tab w:val="num" w:pos="851"/>
        </w:tabs>
        <w:spacing w:before="240"/>
        <w:ind w:left="851" w:right="11" w:hanging="851"/>
        <w:jc w:val="both"/>
        <w:rPr>
          <w:sz w:val="20"/>
          <w:szCs w:val="20"/>
        </w:rPr>
      </w:pPr>
      <w:r w:rsidRPr="00B70AD8">
        <w:rPr>
          <w:rFonts w:ascii="Arial" w:eastAsia="Arial" w:hAnsi="Arial" w:cs="Arial"/>
          <w:sz w:val="20"/>
          <w:szCs w:val="20"/>
        </w:rPr>
        <w:t xml:space="preserve">The “authority” means the contracting authority, or anyone acting on behalf of the contracting authority, that is seeking to invite suitable candidates to participate in this procurement </w:t>
      </w:r>
      <w:proofErr w:type="gramStart"/>
      <w:r w:rsidRPr="00B70AD8">
        <w:rPr>
          <w:rFonts w:ascii="Arial" w:eastAsia="Arial" w:hAnsi="Arial" w:cs="Arial"/>
          <w:sz w:val="20"/>
          <w:szCs w:val="20"/>
        </w:rPr>
        <w:t>process</w:t>
      </w:r>
      <w:proofErr w:type="gramEnd"/>
    </w:p>
    <w:p w14:paraId="10254627" w14:textId="03B9141C" w:rsidR="00134D04"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“You” / “</w:t>
      </w:r>
      <w:proofErr w:type="gramStart"/>
      <w:r w:rsidRPr="00134D04">
        <w:rPr>
          <w:rFonts w:ascii="Arial" w:eastAsia="Arial" w:hAnsi="Arial" w:cs="Arial"/>
          <w:sz w:val="20"/>
          <w:szCs w:val="20"/>
        </w:rPr>
        <w:t>Your</w:t>
      </w:r>
      <w:proofErr w:type="gramEnd"/>
      <w:r w:rsidRPr="00134D04">
        <w:rPr>
          <w:rFonts w:ascii="Arial" w:eastAsia="Arial" w:hAnsi="Arial" w:cs="Arial"/>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97FF2A2" w14:textId="252910FE" w:rsidR="00134D04"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 xml:space="preserve">The Authority recognises that arrangements set out in section 1.2 </w:t>
      </w:r>
      <w:r w:rsidR="00BC373F">
        <w:rPr>
          <w:rFonts w:ascii="Arial" w:eastAsia="Arial" w:hAnsi="Arial" w:cs="Arial"/>
          <w:sz w:val="20"/>
          <w:szCs w:val="20"/>
        </w:rPr>
        <w:t xml:space="preserve">of the </w:t>
      </w:r>
      <w:r w:rsidR="00D64F5A">
        <w:rPr>
          <w:rFonts w:ascii="Arial" w:eastAsia="Arial" w:hAnsi="Arial" w:cs="Arial"/>
          <w:sz w:val="20"/>
          <w:szCs w:val="20"/>
        </w:rPr>
        <w:t>Standard Selection Questionnaire</w:t>
      </w:r>
      <w:r w:rsidRPr="00134D04">
        <w:rPr>
          <w:rFonts w:ascii="Arial" w:eastAsia="Arial" w:hAnsi="Arial" w:cs="Arial"/>
          <w:sz w:val="20"/>
          <w:szCs w:val="20"/>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w:t>
      </w:r>
      <w:r w:rsidR="00C21DD3">
        <w:rPr>
          <w:rFonts w:ascii="Arial" w:eastAsia="Arial" w:hAnsi="Arial" w:cs="Arial"/>
          <w:sz w:val="20"/>
          <w:szCs w:val="20"/>
        </w:rPr>
        <w:t xml:space="preserve"> of </w:t>
      </w:r>
      <w:r w:rsidR="00BC373F">
        <w:rPr>
          <w:rFonts w:ascii="Arial" w:eastAsia="Arial" w:hAnsi="Arial" w:cs="Arial"/>
          <w:sz w:val="20"/>
          <w:szCs w:val="20"/>
        </w:rPr>
        <w:t xml:space="preserve">the </w:t>
      </w:r>
      <w:r w:rsidR="00D64F5A">
        <w:rPr>
          <w:rFonts w:ascii="Arial" w:eastAsia="Arial" w:hAnsi="Arial" w:cs="Arial"/>
          <w:sz w:val="20"/>
          <w:szCs w:val="20"/>
        </w:rPr>
        <w:t>Standard Selection Questionnaire</w:t>
      </w:r>
      <w:r w:rsidRPr="00134D04">
        <w:rPr>
          <w:rFonts w:ascii="Arial" w:eastAsia="Arial" w:hAnsi="Arial" w:cs="Arial"/>
          <w:sz w:val="20"/>
          <w:szCs w:val="20"/>
        </w:rPr>
        <w:t xml:space="preserve"> is submitted for any new organisation relied on to meet the selection criteria. </w:t>
      </w:r>
      <w:r w:rsidRPr="00134D04">
        <w:rPr>
          <w:rFonts w:ascii="Arial" w:eastAsia="Arial" w:hAnsi="Arial" w:cs="Arial"/>
          <w:sz w:val="20"/>
          <w:szCs w:val="20"/>
        </w:rPr>
        <w:lastRenderedPageBreak/>
        <w:t>The authority will make a revised assessment of the submission based on the updated information.</w:t>
      </w:r>
    </w:p>
    <w:p w14:paraId="1819E2FC" w14:textId="75F8B5CE" w:rsidR="00D64F5A" w:rsidRPr="00D64F5A"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For Part 1 and Part 2</w:t>
      </w:r>
      <w:r w:rsidR="00C21DD3">
        <w:rPr>
          <w:rFonts w:ascii="Arial" w:eastAsia="Arial" w:hAnsi="Arial" w:cs="Arial"/>
          <w:sz w:val="20"/>
          <w:szCs w:val="20"/>
        </w:rPr>
        <w:t xml:space="preserve"> of </w:t>
      </w:r>
      <w:r w:rsidR="00BC373F">
        <w:rPr>
          <w:rFonts w:ascii="Arial" w:eastAsia="Arial" w:hAnsi="Arial" w:cs="Arial"/>
          <w:sz w:val="20"/>
          <w:szCs w:val="20"/>
        </w:rPr>
        <w:t xml:space="preserve">the </w:t>
      </w:r>
      <w:r w:rsidR="00D64F5A">
        <w:rPr>
          <w:rFonts w:ascii="Arial" w:eastAsia="Arial" w:hAnsi="Arial" w:cs="Arial"/>
          <w:sz w:val="20"/>
          <w:szCs w:val="20"/>
        </w:rPr>
        <w:t>Standard Selection Questionnaire,</w:t>
      </w:r>
      <w:r w:rsidR="00E07FD0">
        <w:rPr>
          <w:rFonts w:ascii="Arial" w:eastAsia="Arial" w:hAnsi="Arial" w:cs="Arial"/>
          <w:sz w:val="20"/>
          <w:szCs w:val="20"/>
        </w:rPr>
        <w:t xml:space="preserve"> </w:t>
      </w:r>
      <w:r w:rsidR="00D64F5A">
        <w:rPr>
          <w:rFonts w:ascii="Arial" w:eastAsia="Arial" w:hAnsi="Arial" w:cs="Arial"/>
          <w:sz w:val="20"/>
          <w:szCs w:val="20"/>
        </w:rPr>
        <w:t>every</w:t>
      </w:r>
      <w:r w:rsidR="00C21DD3">
        <w:rPr>
          <w:rFonts w:ascii="Arial" w:eastAsia="Arial" w:hAnsi="Arial" w:cs="Arial"/>
          <w:sz w:val="20"/>
          <w:szCs w:val="20"/>
        </w:rPr>
        <w:t xml:space="preserve"> </w:t>
      </w:r>
      <w:r w:rsidR="00D64F5A" w:rsidRPr="00D64F5A">
        <w:rPr>
          <w:rFonts w:ascii="Arial" w:eastAsia="Arial" w:hAnsi="Arial" w:cs="Arial"/>
          <w:sz w:val="20"/>
          <w:szCs w:val="20"/>
        </w:rPr>
        <w:t xml:space="preserve">member of your bidding group/consortium, and any subcontractor that is being relied on to meet the selection criteria, must </w:t>
      </w:r>
      <w:proofErr w:type="gramStart"/>
      <w:r w:rsidR="00D64F5A" w:rsidRPr="00D64F5A">
        <w:rPr>
          <w:rFonts w:ascii="Arial" w:eastAsia="Arial" w:hAnsi="Arial" w:cs="Arial"/>
          <w:sz w:val="20"/>
          <w:szCs w:val="20"/>
        </w:rPr>
        <w:t>complete</w:t>
      </w:r>
      <w:proofErr w:type="gramEnd"/>
      <w:r w:rsidR="00D64F5A" w:rsidRPr="00D64F5A">
        <w:rPr>
          <w:rFonts w:ascii="Arial" w:eastAsia="Arial" w:hAnsi="Arial" w:cs="Arial"/>
          <w:sz w:val="20"/>
          <w:szCs w:val="20"/>
        </w:rPr>
        <w:t xml:space="preserve"> and submit the self-declaration</w:t>
      </w:r>
      <w:r w:rsidRPr="00D64F5A">
        <w:rPr>
          <w:rFonts w:ascii="Arial" w:eastAsia="Arial" w:hAnsi="Arial" w:cs="Arial"/>
          <w:sz w:val="20"/>
          <w:szCs w:val="20"/>
        </w:rPr>
        <w:t xml:space="preserve">. </w:t>
      </w:r>
    </w:p>
    <w:p w14:paraId="438B46A2" w14:textId="41A5FE4F" w:rsidR="00D64F5A" w:rsidRPr="00D64F5A" w:rsidRDefault="00D64F5A" w:rsidP="001A2988">
      <w:pPr>
        <w:pStyle w:val="Normal1"/>
        <w:numPr>
          <w:ilvl w:val="1"/>
          <w:numId w:val="19"/>
        </w:numPr>
        <w:tabs>
          <w:tab w:val="num" w:pos="851"/>
        </w:tabs>
        <w:spacing w:before="240"/>
        <w:ind w:left="851" w:right="11" w:hanging="851"/>
        <w:jc w:val="both"/>
        <w:rPr>
          <w:sz w:val="20"/>
          <w:szCs w:val="20"/>
        </w:rPr>
      </w:pPr>
      <w:r w:rsidRPr="00D64F5A">
        <w:rPr>
          <w:rFonts w:ascii="Arial" w:eastAsia="Arial" w:hAnsi="Arial" w:cs="Arial"/>
          <w:sz w:val="20"/>
          <w:szCs w:val="20"/>
        </w:rPr>
        <w:t>For the mandatory exclusion grounds only (Q2.1(a)), y</w:t>
      </w:r>
      <w:r w:rsidRPr="00D64F5A">
        <w:rPr>
          <w:rFonts w:ascii="Arial" w:eastAsia="Arial" w:hAnsi="Arial" w:cs="Arial"/>
          <w:sz w:val="20"/>
          <w:szCs w:val="20"/>
          <w:shd w:val="clear" w:color="auto" w:fill="FFFFFF"/>
        </w:rPr>
        <w:t>ou must complete the declaration for all relevant persons and entities. There are two categories of persons and entities:</w:t>
      </w:r>
    </w:p>
    <w:p w14:paraId="5121925D" w14:textId="77777777" w:rsidR="00D64F5A" w:rsidRPr="00D64F5A" w:rsidRDefault="00D64F5A" w:rsidP="001A2988">
      <w:pPr>
        <w:pStyle w:val="Standard"/>
        <w:numPr>
          <w:ilvl w:val="0"/>
          <w:numId w:val="23"/>
        </w:numPr>
        <w:ind w:left="566" w:hanging="283"/>
        <w:jc w:val="both"/>
        <w:rPr>
          <w:sz w:val="20"/>
          <w:szCs w:val="20"/>
        </w:rPr>
      </w:pPr>
      <w:r w:rsidRPr="00D64F5A">
        <w:rPr>
          <w:rFonts w:ascii="Arial" w:eastAsia="Arial" w:hAnsi="Arial" w:cs="Arial"/>
          <w:sz w:val="20"/>
          <w:szCs w:val="20"/>
          <w:shd w:val="clear" w:color="auto" w:fill="FFFFFF"/>
        </w:rPr>
        <w:t xml:space="preserve">members of your administrative, management or supervisory board; secondly, entities and persons who have powers of representation, </w:t>
      </w:r>
      <w:proofErr w:type="gramStart"/>
      <w:r w:rsidRPr="00D64F5A">
        <w:rPr>
          <w:rFonts w:ascii="Arial" w:eastAsia="Arial" w:hAnsi="Arial" w:cs="Arial"/>
          <w:sz w:val="20"/>
          <w:szCs w:val="20"/>
          <w:shd w:val="clear" w:color="auto" w:fill="FFFFFF"/>
        </w:rPr>
        <w:t>decision</w:t>
      </w:r>
      <w:proofErr w:type="gramEnd"/>
      <w:r w:rsidRPr="00D64F5A">
        <w:rPr>
          <w:rFonts w:ascii="Arial" w:eastAsia="Arial" w:hAnsi="Arial" w:cs="Arial"/>
          <w:sz w:val="20"/>
          <w:szCs w:val="20"/>
          <w:shd w:val="clear" w:color="auto" w:fill="FFFFFF"/>
        </w:rPr>
        <w:t xml:space="preserve"> or control.  You must decide, depending on the nature and structure of the entity or person who is bidding, which entities and persons this applies to in your </w:t>
      </w:r>
      <w:proofErr w:type="gramStart"/>
      <w:r w:rsidRPr="00D64F5A">
        <w:rPr>
          <w:rFonts w:ascii="Arial" w:eastAsia="Arial" w:hAnsi="Arial" w:cs="Arial"/>
          <w:sz w:val="20"/>
          <w:szCs w:val="20"/>
          <w:shd w:val="clear" w:color="auto" w:fill="FFFFFF"/>
        </w:rPr>
        <w:t>particular circumstances</w:t>
      </w:r>
      <w:proofErr w:type="gramEnd"/>
      <w:r w:rsidRPr="00D64F5A">
        <w:rPr>
          <w:rFonts w:ascii="Arial" w:eastAsia="Arial" w:hAnsi="Arial" w:cs="Arial"/>
          <w:sz w:val="20"/>
          <w:szCs w:val="20"/>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03A3D7ED" w14:textId="317E5826" w:rsidR="00AD58A9" w:rsidRPr="00D64F5A" w:rsidRDefault="00D64F5A" w:rsidP="001A2988">
      <w:pPr>
        <w:pStyle w:val="Standard"/>
        <w:numPr>
          <w:ilvl w:val="0"/>
          <w:numId w:val="22"/>
        </w:numPr>
        <w:spacing w:after="120"/>
        <w:ind w:left="566" w:hanging="283"/>
        <w:jc w:val="both"/>
      </w:pPr>
      <w:r w:rsidRPr="00D64F5A">
        <w:rPr>
          <w:rFonts w:ascii="Arial" w:eastAsia="Arial" w:hAnsi="Arial" w:cs="Arial"/>
          <w:sz w:val="20"/>
          <w:szCs w:val="20"/>
          <w:shd w:val="clear" w:color="auto" w:fill="FFFFFF"/>
        </w:rPr>
        <w:t xml:space="preserve">the second category of those with powers of representation, </w:t>
      </w:r>
      <w:proofErr w:type="gramStart"/>
      <w:r w:rsidRPr="00D64F5A">
        <w:rPr>
          <w:rFonts w:ascii="Arial" w:eastAsia="Arial" w:hAnsi="Arial" w:cs="Arial"/>
          <w:sz w:val="20"/>
          <w:szCs w:val="20"/>
          <w:shd w:val="clear" w:color="auto" w:fill="FFFFFF"/>
        </w:rPr>
        <w:t>decision</w:t>
      </w:r>
      <w:proofErr w:type="gramEnd"/>
      <w:r w:rsidRPr="00D64F5A">
        <w:rPr>
          <w:rFonts w:ascii="Arial" w:eastAsia="Arial" w:hAnsi="Arial" w:cs="Arial"/>
          <w:sz w:val="20"/>
          <w:szCs w:val="20"/>
          <w:shd w:val="clear" w:color="auto" w:fill="FFFFFF"/>
        </w:rPr>
        <w:t xml:space="preserve"> or control, is likely to be more complicated. As an illustration, </w:t>
      </w:r>
      <w:proofErr w:type="gramStart"/>
      <w:r w:rsidRPr="00D64F5A">
        <w:rPr>
          <w:rFonts w:ascii="Arial" w:eastAsia="Arial" w:hAnsi="Arial" w:cs="Arial"/>
          <w:sz w:val="20"/>
          <w:szCs w:val="20"/>
          <w:shd w:val="clear" w:color="auto" w:fill="FFFFFF"/>
        </w:rPr>
        <w:t>entities</w:t>
      </w:r>
      <w:proofErr w:type="gramEnd"/>
      <w:r w:rsidRPr="00D64F5A">
        <w:rPr>
          <w:rFonts w:ascii="Arial" w:eastAsia="Arial" w:hAnsi="Arial" w:cs="Arial"/>
          <w:sz w:val="20"/>
          <w:szCs w:val="20"/>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sidRPr="00D64F5A">
        <w:rPr>
          <w:rFonts w:ascii="Arial" w:eastAsia="Arial" w:hAnsi="Arial" w:cs="Arial"/>
          <w:sz w:val="20"/>
          <w:szCs w:val="20"/>
          <w:shd w:val="clear" w:color="auto" w:fill="FFFFFF"/>
        </w:rPr>
        <w:t>decision</w:t>
      </w:r>
      <w:proofErr w:type="gramEnd"/>
      <w:r w:rsidRPr="00D64F5A">
        <w:rPr>
          <w:rFonts w:ascii="Arial" w:eastAsia="Arial" w:hAnsi="Arial" w:cs="Arial"/>
          <w:sz w:val="20"/>
          <w:szCs w:val="20"/>
          <w:shd w:val="clear" w:color="auto" w:fill="FFFFFF"/>
        </w:rPr>
        <w:t xml:space="preserve"> or control.  Depending on your </w:t>
      </w:r>
      <w:proofErr w:type="gramStart"/>
      <w:r w:rsidRPr="00D64F5A">
        <w:rPr>
          <w:rFonts w:ascii="Arial" w:eastAsia="Arial" w:hAnsi="Arial" w:cs="Arial"/>
          <w:sz w:val="20"/>
          <w:szCs w:val="20"/>
          <w:shd w:val="clear" w:color="auto" w:fill="FFFFFF"/>
        </w:rPr>
        <w:t>particular structure</w:t>
      </w:r>
      <w:proofErr w:type="gramEnd"/>
      <w:r w:rsidRPr="00D64F5A">
        <w:rPr>
          <w:rFonts w:ascii="Arial" w:eastAsia="Arial" w:hAnsi="Arial" w:cs="Arial"/>
          <w:sz w:val="20"/>
          <w:szCs w:val="20"/>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516D098D" w14:textId="049A2D23" w:rsidR="00134D04"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 xml:space="preserve">For answers to Part 3 </w:t>
      </w:r>
      <w:r w:rsidR="00C21DD3">
        <w:rPr>
          <w:rFonts w:ascii="Arial" w:eastAsia="Arial" w:hAnsi="Arial" w:cs="Arial"/>
          <w:sz w:val="20"/>
          <w:szCs w:val="20"/>
        </w:rPr>
        <w:t xml:space="preserve">of </w:t>
      </w:r>
      <w:r w:rsidR="00BC373F">
        <w:rPr>
          <w:rFonts w:ascii="Arial" w:eastAsia="Arial" w:hAnsi="Arial" w:cs="Arial"/>
          <w:sz w:val="20"/>
          <w:szCs w:val="20"/>
        </w:rPr>
        <w:t xml:space="preserve">the </w:t>
      </w:r>
      <w:r w:rsidR="00D64F5A">
        <w:rPr>
          <w:rFonts w:ascii="Arial" w:eastAsia="Arial" w:hAnsi="Arial" w:cs="Arial"/>
          <w:sz w:val="20"/>
          <w:szCs w:val="20"/>
        </w:rPr>
        <w:t>Standard Selection Questionnaire</w:t>
      </w:r>
      <w:r w:rsidR="00BC373F">
        <w:rPr>
          <w:rFonts w:ascii="Arial" w:eastAsia="Arial" w:hAnsi="Arial" w:cs="Arial"/>
          <w:sz w:val="20"/>
          <w:szCs w:val="20"/>
        </w:rPr>
        <w:t xml:space="preserve">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 xml:space="preserve">If you are bidding on behalf of a group, for example, a consortium, or you intend to use sub-contractors, you should complete </w:t>
      </w:r>
      <w:proofErr w:type="gramStart"/>
      <w:r w:rsidRPr="00134D04">
        <w:rPr>
          <w:rFonts w:ascii="Arial" w:eastAsia="Arial" w:hAnsi="Arial" w:cs="Arial"/>
          <w:sz w:val="20"/>
          <w:szCs w:val="20"/>
        </w:rPr>
        <w:t>all of</w:t>
      </w:r>
      <w:proofErr w:type="gramEnd"/>
      <w:r w:rsidRPr="00134D04">
        <w:rPr>
          <w:rFonts w:ascii="Arial" w:eastAsia="Arial" w:hAnsi="Arial" w:cs="Arial"/>
          <w:sz w:val="20"/>
          <w:szCs w:val="20"/>
        </w:rPr>
        <w:t xml:space="preserve"> the questions on behalf of the consortium and/ or any sub-contractors, providing one composite response and declaration</w:t>
      </w:r>
      <w:r w:rsidR="00D47A0D">
        <w:rPr>
          <w:rFonts w:ascii="Arial" w:eastAsia="Arial" w:hAnsi="Arial" w:cs="Arial"/>
          <w:sz w:val="20"/>
          <w:szCs w:val="20"/>
        </w:rPr>
        <w:t>.</w:t>
      </w:r>
    </w:p>
    <w:p w14:paraId="0C93A378" w14:textId="083CBABC" w:rsidR="00C21DD3" w:rsidRDefault="00134D04" w:rsidP="001A2988">
      <w:pPr>
        <w:pStyle w:val="Normal1"/>
        <w:numPr>
          <w:ilvl w:val="1"/>
          <w:numId w:val="19"/>
        </w:numPr>
        <w:tabs>
          <w:tab w:val="num" w:pos="851"/>
        </w:tabs>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58" w:name="_Toc403555122"/>
      <w:r>
        <w:rPr>
          <w:rFonts w:ascii="Arial" w:eastAsia="Arial" w:hAnsi="Arial" w:cs="Arial"/>
          <w:sz w:val="20"/>
          <w:szCs w:val="20"/>
        </w:rPr>
        <w:t>sure</w:t>
      </w:r>
      <w:r w:rsidR="00D47A0D">
        <w:rPr>
          <w:rFonts w:ascii="Arial" w:eastAsia="Arial" w:hAnsi="Arial" w:cs="Arial"/>
          <w:sz w:val="20"/>
          <w:szCs w:val="20"/>
        </w:rPr>
        <w:t>.</w:t>
      </w:r>
    </w:p>
    <w:p w14:paraId="6D8B148F" w14:textId="6610280C"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w:t>
      </w:r>
      <w:r w:rsidR="00D47A0D">
        <w:rPr>
          <w:rFonts w:ascii="Arial" w:hAnsi="Arial" w:cs="Arial"/>
          <w:b/>
          <w:sz w:val="20"/>
          <w:szCs w:val="20"/>
        </w:rPr>
        <w:t>Submission</w:t>
      </w:r>
      <w:r w:rsidRPr="00C21DD3">
        <w:rPr>
          <w:rFonts w:ascii="Arial" w:hAnsi="Arial" w:cs="Arial"/>
          <w:b/>
          <w:sz w:val="20"/>
          <w:szCs w:val="20"/>
        </w:rPr>
        <w:t xml:space="preserve"> of </w:t>
      </w:r>
      <w:r w:rsidR="00F26D49">
        <w:rPr>
          <w:rFonts w:ascii="Arial" w:hAnsi="Arial" w:cs="Arial"/>
          <w:b/>
          <w:sz w:val="20"/>
          <w:szCs w:val="20"/>
        </w:rPr>
        <w:t>Standard Selection Questionnaire</w:t>
      </w:r>
      <w:r w:rsidR="00BC373F">
        <w:rPr>
          <w:rFonts w:ascii="Arial" w:hAnsi="Arial" w:cs="Arial"/>
          <w:b/>
          <w:sz w:val="20"/>
          <w:szCs w:val="20"/>
        </w:rPr>
        <w:t xml:space="preserve"> </w:t>
      </w:r>
    </w:p>
    <w:p w14:paraId="7C86E983" w14:textId="1BDEAD93" w:rsidR="00C21DD3" w:rsidRPr="00BC4757" w:rsidRDefault="00BC4757" w:rsidP="00C21DD3">
      <w:pPr>
        <w:pStyle w:val="MRNumberedHeading2"/>
        <w:shd w:val="clear" w:color="auto" w:fill="FFFFFF"/>
        <w:tabs>
          <w:tab w:val="num" w:pos="851"/>
        </w:tabs>
        <w:rPr>
          <w:rFonts w:eastAsia="Arial" w:cs="Arial"/>
          <w:color w:val="000000"/>
          <w:szCs w:val="20"/>
          <w:lang w:eastAsia="en-US"/>
        </w:rPr>
      </w:pPr>
      <w:bookmarkStart w:id="59" w:name="_Ref478473938"/>
      <w:r>
        <w:rPr>
          <w:rFonts w:eastAsia="Arial" w:cs="Arial"/>
          <w:color w:val="000000"/>
          <w:szCs w:val="20"/>
          <w:lang w:eastAsia="en-US"/>
        </w:rPr>
        <w:t xml:space="preserve"> </w:t>
      </w:r>
      <w:r w:rsidR="00944251" w:rsidRPr="00BC4757">
        <w:rPr>
          <w:rFonts w:eastAsia="Arial" w:cs="Arial"/>
          <w:color w:val="000000"/>
          <w:szCs w:val="20"/>
          <w:lang w:eastAsia="en-US"/>
        </w:rPr>
        <w:t>T</w:t>
      </w:r>
      <w:r w:rsidR="00BC373F" w:rsidRPr="00BC4757">
        <w:rPr>
          <w:rFonts w:eastAsia="Arial" w:cs="Arial"/>
          <w:color w:val="000000"/>
          <w:szCs w:val="20"/>
          <w:lang w:eastAsia="en-US"/>
        </w:rPr>
        <w:t xml:space="preserve">he </w:t>
      </w:r>
      <w:r w:rsidR="00F26D49">
        <w:rPr>
          <w:rFonts w:eastAsia="Arial" w:cs="Arial"/>
          <w:color w:val="000000"/>
          <w:szCs w:val="20"/>
          <w:lang w:eastAsia="en-US"/>
        </w:rPr>
        <w:t>Standard Selection Questionnaire i</w:t>
      </w:r>
      <w:r w:rsidR="00BC373F" w:rsidRPr="00BC4757">
        <w:rPr>
          <w:rFonts w:eastAsia="Arial" w:cs="Arial"/>
          <w:color w:val="000000"/>
          <w:szCs w:val="20"/>
          <w:lang w:eastAsia="en-US"/>
        </w:rPr>
        <w:t>s</w:t>
      </w:r>
      <w:r w:rsidR="00C21DD3" w:rsidRPr="00BC4757">
        <w:rPr>
          <w:rFonts w:eastAsia="Arial" w:cs="Arial"/>
          <w:color w:val="000000"/>
          <w:szCs w:val="20"/>
          <w:lang w:eastAsia="en-US"/>
        </w:rPr>
        <w:t xml:space="preserve"> structured in three separate parts:</w:t>
      </w:r>
      <w:bookmarkEnd w:id="59"/>
    </w:p>
    <w:p w14:paraId="5EB95208" w14:textId="75F3A75F" w:rsidR="00C21DD3" w:rsidRPr="00BC4757" w:rsidRDefault="00C21DD3" w:rsidP="001A2988">
      <w:pPr>
        <w:pStyle w:val="MRNumberedHeading2"/>
        <w:numPr>
          <w:ilvl w:val="2"/>
          <w:numId w:val="19"/>
        </w:numPr>
        <w:shd w:val="clear" w:color="auto" w:fill="FFFFFF"/>
        <w:rPr>
          <w:rFonts w:eastAsia="Arial" w:cs="Arial"/>
          <w:color w:val="000000"/>
          <w:szCs w:val="20"/>
          <w:lang w:eastAsia="en-US"/>
        </w:rPr>
      </w:pPr>
      <w:bookmarkStart w:id="60" w:name="_Ref478474329"/>
      <w:r w:rsidRPr="00BC4757">
        <w:rPr>
          <w:rFonts w:eastAsia="Arial" w:cs="Arial"/>
          <w:color w:val="000000"/>
          <w:szCs w:val="20"/>
          <w:lang w:eastAsia="en-US"/>
        </w:rPr>
        <w:t xml:space="preserve">Part 1: Basic information about the Bidder, including contact details, details of parent companies and group </w:t>
      </w:r>
      <w:proofErr w:type="gramStart"/>
      <w:r w:rsidRPr="00BC4757">
        <w:rPr>
          <w:rFonts w:eastAsia="Arial" w:cs="Arial"/>
          <w:color w:val="000000"/>
          <w:szCs w:val="20"/>
          <w:lang w:eastAsia="en-US"/>
        </w:rPr>
        <w:t>bidding;</w:t>
      </w:r>
      <w:bookmarkEnd w:id="60"/>
      <w:proofErr w:type="gramEnd"/>
    </w:p>
    <w:p w14:paraId="068CD819" w14:textId="4AA3476A" w:rsidR="00C21DD3" w:rsidRPr="00BC4757" w:rsidRDefault="00C21DD3" w:rsidP="001A2988">
      <w:pPr>
        <w:pStyle w:val="MRNumberedHeading2"/>
        <w:numPr>
          <w:ilvl w:val="2"/>
          <w:numId w:val="19"/>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2: Self-declaration regarding </w:t>
      </w:r>
      <w:proofErr w:type="gramStart"/>
      <w:r w:rsidRPr="00BC4757">
        <w:rPr>
          <w:rFonts w:eastAsia="Arial" w:cs="Arial"/>
          <w:color w:val="000000"/>
          <w:szCs w:val="20"/>
          <w:lang w:eastAsia="en-US"/>
        </w:rPr>
        <w:t>whether or not</w:t>
      </w:r>
      <w:proofErr w:type="gramEnd"/>
      <w:r w:rsidRPr="00BC4757">
        <w:rPr>
          <w:rFonts w:eastAsia="Arial" w:cs="Arial"/>
          <w:color w:val="000000"/>
          <w:szCs w:val="20"/>
          <w:lang w:eastAsia="en-US"/>
        </w:rPr>
        <w:t xml:space="preserve"> any of the mandatory or discretionary exclusion grounds apply; and</w:t>
      </w:r>
    </w:p>
    <w:p w14:paraId="72D5836A" w14:textId="6B8EEEB3" w:rsidR="00C21DD3" w:rsidRPr="00556B66" w:rsidRDefault="00C21DD3" w:rsidP="001A2988">
      <w:pPr>
        <w:pStyle w:val="MRNumberedHeading2"/>
        <w:numPr>
          <w:ilvl w:val="2"/>
          <w:numId w:val="19"/>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3: Self-declaration regarding </w:t>
      </w:r>
      <w:proofErr w:type="gramStart"/>
      <w:r w:rsidRPr="00BC4757">
        <w:rPr>
          <w:rFonts w:eastAsia="Arial" w:cs="Arial"/>
          <w:color w:val="000000"/>
          <w:szCs w:val="20"/>
          <w:lang w:eastAsia="en-US"/>
        </w:rPr>
        <w:t>whether or not</w:t>
      </w:r>
      <w:proofErr w:type="gramEnd"/>
      <w:r w:rsidRPr="00BC4757">
        <w:rPr>
          <w:rFonts w:eastAsia="Arial" w:cs="Arial"/>
          <w:color w:val="000000"/>
          <w:szCs w:val="20"/>
          <w:lang w:eastAsia="en-US"/>
        </w:rPr>
        <w:t xml:space="preserve"> you meet the selection criteria in respect of your financial standing and technical capacity.  </w:t>
      </w:r>
      <w:r w:rsidRPr="00556B66">
        <w:rPr>
          <w:i/>
          <w:color w:val="000000"/>
          <w:szCs w:val="20"/>
        </w:rPr>
        <w:t xml:space="preserve"> </w:t>
      </w:r>
    </w:p>
    <w:p w14:paraId="5EAB528F" w14:textId="6496BF2E" w:rsidR="00C21DD3" w:rsidRPr="00453B46" w:rsidRDefault="00C21DD3" w:rsidP="003575A1">
      <w:pPr>
        <w:pStyle w:val="MRNumberedHeading2"/>
        <w:shd w:val="clear" w:color="auto" w:fill="FFFFFF"/>
        <w:tabs>
          <w:tab w:val="num" w:pos="851"/>
        </w:tabs>
        <w:ind w:right="11"/>
        <w:rPr>
          <w:rFonts w:cs="Arial"/>
          <w:b/>
          <w:szCs w:val="20"/>
        </w:rPr>
      </w:pPr>
      <w:r w:rsidRPr="00453B46">
        <w:rPr>
          <w:rFonts w:cs="Arial"/>
          <w:b/>
          <w:szCs w:val="20"/>
        </w:rPr>
        <w:t xml:space="preserve">General </w:t>
      </w:r>
      <w:r w:rsidR="00134D04" w:rsidRPr="00453B46">
        <w:rPr>
          <w:rFonts w:cs="Arial"/>
          <w:b/>
          <w:szCs w:val="20"/>
        </w:rPr>
        <w:t xml:space="preserve">Formalities for </w:t>
      </w:r>
      <w:r w:rsidR="00D47A0D">
        <w:rPr>
          <w:rFonts w:cs="Arial"/>
          <w:b/>
          <w:szCs w:val="20"/>
        </w:rPr>
        <w:t>Submission</w:t>
      </w:r>
      <w:r w:rsidR="00134D04" w:rsidRPr="00453B46">
        <w:rPr>
          <w:rFonts w:cs="Arial"/>
          <w:b/>
          <w:szCs w:val="20"/>
        </w:rPr>
        <w:t xml:space="preserve"> of Tender</w:t>
      </w:r>
      <w:bookmarkEnd w:id="58"/>
      <w:r w:rsidR="00134D04" w:rsidRPr="00453B46">
        <w:rPr>
          <w:rFonts w:cs="Arial"/>
          <w:b/>
          <w:szCs w:val="20"/>
        </w:rPr>
        <w:t xml:space="preserve">s </w:t>
      </w:r>
      <w:bookmarkStart w:id="61" w:name="_Toc403555123"/>
      <w:bookmarkStart w:id="62" w:name="_Ref405452954"/>
      <w:r w:rsidR="00C516F4" w:rsidRPr="00453B46">
        <w:rPr>
          <w:rFonts w:cs="Arial"/>
          <w:b/>
          <w:szCs w:val="20"/>
        </w:rPr>
        <w:t xml:space="preserve">(including the </w:t>
      </w:r>
      <w:r w:rsidR="00A2034F">
        <w:rPr>
          <w:rFonts w:cs="Arial"/>
          <w:b/>
          <w:szCs w:val="20"/>
        </w:rPr>
        <w:t>Standard Selection Questionnaire</w:t>
      </w:r>
      <w:r w:rsidR="00C516F4" w:rsidRPr="00453B46">
        <w:rPr>
          <w:rFonts w:cs="Arial"/>
          <w:b/>
          <w:szCs w:val="20"/>
        </w:rPr>
        <w:t>)</w:t>
      </w:r>
    </w:p>
    <w:bookmarkEnd w:id="61"/>
    <w:bookmarkEnd w:id="62"/>
    <w:p w14:paraId="4DF07846" w14:textId="658430BD" w:rsidR="000F4110" w:rsidRPr="00D47A0D" w:rsidRDefault="000F4110" w:rsidP="00D47A0D">
      <w:pPr>
        <w:pStyle w:val="MRNumberedHeading2"/>
        <w:rPr>
          <w:rFonts w:eastAsia="Arial"/>
        </w:rPr>
      </w:pPr>
      <w:r w:rsidRPr="00D47A0D">
        <w:rPr>
          <w:rFonts w:eastAsia="Arial"/>
        </w:rPr>
        <w:t>Bidders must complete and submit the Annexes to Section B of the ITT. The Annexes must be submitted</w:t>
      </w:r>
      <w:r w:rsidR="00CC701B">
        <w:rPr>
          <w:rFonts w:eastAsia="Arial"/>
        </w:rPr>
        <w:t xml:space="preserve"> as an attached document</w:t>
      </w:r>
      <w:r w:rsidRPr="00D47A0D">
        <w:rPr>
          <w:rFonts w:eastAsia="Arial"/>
        </w:rPr>
        <w:t xml:space="preserve"> </w:t>
      </w:r>
      <w:r w:rsidR="001C178A">
        <w:rPr>
          <w:rFonts w:eastAsia="Arial"/>
        </w:rPr>
        <w:t>using the e-Tendering Portal</w:t>
      </w:r>
      <w:r w:rsidRPr="00D47A0D">
        <w:rPr>
          <w:rFonts w:eastAsia="Arial"/>
        </w:rPr>
        <w:t>.</w:t>
      </w:r>
      <w:r w:rsidR="001C178A">
        <w:rPr>
          <w:rFonts w:eastAsia="Arial"/>
        </w:rPr>
        <w:t xml:space="preserve"> If Bidders have any problems with the e-Tendering Portal ATAMIS, they should contact the helpdesk on 029 2044 4755.</w:t>
      </w:r>
      <w:r w:rsidRPr="00D47A0D">
        <w:rPr>
          <w:rFonts w:eastAsia="Arial"/>
        </w:rPr>
        <w:t xml:space="preserve"> As noted above, any Tender responses received after the deadline may not be considered.</w:t>
      </w:r>
    </w:p>
    <w:p w14:paraId="20C738BF" w14:textId="4A0DE32D" w:rsidR="00E41C42" w:rsidRDefault="000F4110" w:rsidP="004270D9">
      <w:pPr>
        <w:pStyle w:val="MRNumberedHeading2"/>
      </w:pPr>
      <w:r>
        <w:lastRenderedPageBreak/>
        <w:t xml:space="preserve">If the documents that you are submitting are particularly large, you may need to either use a zip file or send </w:t>
      </w:r>
      <w:r w:rsidR="00D47A0D">
        <w:t xml:space="preserve">on </w:t>
      </w:r>
      <w:r>
        <w:t xml:space="preserve">multiple emails. If you are sending multiple emails, please ensure you add how many emails are expected in the subject line </w:t>
      </w:r>
      <w:proofErr w:type="gramStart"/>
      <w:r w:rsidR="00D47A0D">
        <w:t>i.e.</w:t>
      </w:r>
      <w:proofErr w:type="gramEnd"/>
      <w:r>
        <w:t xml:space="preserve"> 1 of 3. This way, the Authority can ensure no detail is missed. I</w:t>
      </w:r>
      <w:r w:rsidR="001B7E88">
        <w:t>t is recommended that</w:t>
      </w:r>
      <w:r w:rsidR="00E41C42">
        <w:t xml:space="preserve"> Bidders allow plenty of time to </w:t>
      </w:r>
      <w:r w:rsidR="00724366">
        <w:t>review the document and email size</w:t>
      </w:r>
      <w:r w:rsidR="00E41C42">
        <w:t>, so they have enough time to resolve any technical difficulties before the deadline.</w:t>
      </w:r>
      <w:bookmarkEnd w:id="57"/>
    </w:p>
    <w:p w14:paraId="20146A94" w14:textId="3889DD36" w:rsidR="00F11DF8" w:rsidRPr="00D47A0D" w:rsidRDefault="00F11DF8" w:rsidP="00F11DF8">
      <w:pPr>
        <w:pStyle w:val="MRNumberedHeading2"/>
        <w:rPr>
          <w:rFonts w:eastAsia="Arial"/>
        </w:rPr>
      </w:pPr>
      <w:bookmarkStart w:id="63" w:name="_Toc403555125"/>
      <w:bookmarkStart w:id="64" w:name="_Ref405453188"/>
      <w:bookmarkStart w:id="65" w:name="_Toc403555126"/>
      <w:r w:rsidRPr="00D47A0D">
        <w:rPr>
          <w:rFonts w:eastAsia="Arial"/>
        </w:rPr>
        <w:t>Bidders must adhere to the following standard requirements when submitting their Tenders:</w:t>
      </w:r>
      <w:bookmarkEnd w:id="63"/>
      <w:bookmarkEnd w:id="64"/>
    </w:p>
    <w:p w14:paraId="4A49791F" w14:textId="11D1219F" w:rsidR="00F11DF8" w:rsidRPr="00D47A0D" w:rsidRDefault="00F11DF8" w:rsidP="001A2988">
      <w:pPr>
        <w:pStyle w:val="MRNumberedHeading3"/>
        <w:numPr>
          <w:ilvl w:val="2"/>
          <w:numId w:val="18"/>
        </w:numPr>
        <w:tabs>
          <w:tab w:val="num" w:pos="1794"/>
        </w:tabs>
        <w:spacing w:line="240" w:lineRule="auto"/>
        <w:ind w:left="1702" w:hanging="851"/>
        <w:jc w:val="both"/>
        <w:rPr>
          <w:rFonts w:eastAsia="Arial"/>
        </w:rPr>
      </w:pPr>
      <w:r w:rsidRPr="00D47A0D">
        <w:rPr>
          <w:rFonts w:eastAsia="Arial"/>
        </w:rPr>
        <w:t>Do not embed documents within other documents. Instead</w:t>
      </w:r>
      <w:r w:rsidR="00D47A0D">
        <w:rPr>
          <w:rFonts w:eastAsia="Arial"/>
        </w:rPr>
        <w:t>,</w:t>
      </w:r>
      <w:r w:rsidRPr="00D47A0D">
        <w:rPr>
          <w:rFonts w:eastAsia="Arial"/>
        </w:rPr>
        <w:t xml:space="preserve"> provide separate electronic copies of the documents, clearly </w:t>
      </w:r>
      <w:proofErr w:type="gramStart"/>
      <w:r w:rsidRPr="00D47A0D">
        <w:rPr>
          <w:rFonts w:eastAsia="Arial"/>
        </w:rPr>
        <w:t>labelled</w:t>
      </w:r>
      <w:proofErr w:type="gramEnd"/>
      <w:r w:rsidRPr="00D47A0D">
        <w:rPr>
          <w:rFonts w:eastAsia="Arial"/>
        </w:rPr>
        <w:t xml:space="preserve"> and referenced if necessary.</w:t>
      </w:r>
    </w:p>
    <w:p w14:paraId="7FB86D6E" w14:textId="0D8D7E59" w:rsidR="00F11DF8" w:rsidRDefault="00F11DF8" w:rsidP="001A2988">
      <w:pPr>
        <w:pStyle w:val="MRNumberedHeading3"/>
        <w:numPr>
          <w:ilvl w:val="2"/>
          <w:numId w:val="18"/>
        </w:numPr>
        <w:tabs>
          <w:tab w:val="num" w:pos="1794"/>
        </w:tabs>
        <w:spacing w:line="240" w:lineRule="auto"/>
        <w:ind w:left="1702" w:hanging="851"/>
        <w:jc w:val="both"/>
        <w:rPr>
          <w:rFonts w:eastAsia="Arial"/>
        </w:rPr>
      </w:pPr>
      <w:r w:rsidRPr="00D47A0D">
        <w:rPr>
          <w:rFonts w:eastAsia="Arial"/>
        </w:rPr>
        <w:t>The Tender must be in English and drafted in accordance with the drafting guidance set out in this ITT.</w:t>
      </w:r>
    </w:p>
    <w:p w14:paraId="0834C878" w14:textId="369CD86D" w:rsidR="00445C8C" w:rsidRPr="00D47A0D" w:rsidRDefault="00445C8C" w:rsidP="001A2988">
      <w:pPr>
        <w:pStyle w:val="MRNumberedHeading3"/>
        <w:numPr>
          <w:ilvl w:val="2"/>
          <w:numId w:val="18"/>
        </w:numPr>
        <w:tabs>
          <w:tab w:val="num" w:pos="1794"/>
        </w:tabs>
        <w:spacing w:line="240" w:lineRule="auto"/>
        <w:ind w:left="1702" w:hanging="851"/>
        <w:jc w:val="both"/>
        <w:rPr>
          <w:rFonts w:eastAsia="Arial"/>
        </w:rPr>
      </w:pPr>
      <w:r>
        <w:rPr>
          <w:rFonts w:eastAsia="Arial"/>
        </w:rPr>
        <w:t>If you would like to bid for both lots, please ensure you submit a tender bid for each.</w:t>
      </w:r>
    </w:p>
    <w:p w14:paraId="614B06A0" w14:textId="0BEF7A97" w:rsidR="00F11DF8" w:rsidRPr="00D47A0D" w:rsidRDefault="00F11DF8" w:rsidP="001A2988">
      <w:pPr>
        <w:pStyle w:val="MRNumberedHeading3"/>
        <w:numPr>
          <w:ilvl w:val="2"/>
          <w:numId w:val="18"/>
        </w:numPr>
        <w:tabs>
          <w:tab w:val="num" w:pos="1794"/>
        </w:tabs>
        <w:spacing w:line="240" w:lineRule="auto"/>
        <w:ind w:left="1702" w:hanging="851"/>
        <w:jc w:val="both"/>
        <w:rPr>
          <w:rFonts w:eastAsia="Arial"/>
        </w:rPr>
      </w:pPr>
      <w:bookmarkStart w:id="66" w:name="_Ref407361268"/>
      <w:r w:rsidRPr="00D47A0D">
        <w:rPr>
          <w:rFonts w:eastAsia="Arial"/>
        </w:rPr>
        <w:t>Each Tender must be uniquely named or referenced.</w:t>
      </w:r>
      <w:bookmarkEnd w:id="66"/>
    </w:p>
    <w:p w14:paraId="3D3D17FA" w14:textId="77777777" w:rsidR="00F11DF8" w:rsidRPr="00D47A0D" w:rsidRDefault="00F11DF8" w:rsidP="001A2988">
      <w:pPr>
        <w:pStyle w:val="MRNumberedHeading3"/>
        <w:numPr>
          <w:ilvl w:val="2"/>
          <w:numId w:val="18"/>
        </w:numPr>
        <w:tabs>
          <w:tab w:val="num" w:pos="1794"/>
        </w:tabs>
        <w:spacing w:line="240" w:lineRule="auto"/>
        <w:ind w:left="1702" w:hanging="851"/>
        <w:jc w:val="both"/>
        <w:rPr>
          <w:rFonts w:eastAsia="Arial"/>
        </w:rPr>
      </w:pPr>
      <w:r w:rsidRPr="00D47A0D">
        <w:rPr>
          <w:rFonts w:eastAsia="Arial"/>
        </w:rPr>
        <w:t>The Tender must be fully cross-referenced and include a table of contents.</w:t>
      </w:r>
    </w:p>
    <w:p w14:paraId="6BCD969A" w14:textId="650ADFF0" w:rsidR="00F11DF8" w:rsidRPr="00D47A0D" w:rsidRDefault="00F11DF8" w:rsidP="001A2988">
      <w:pPr>
        <w:pStyle w:val="MRNumberedHeading3"/>
        <w:numPr>
          <w:ilvl w:val="2"/>
          <w:numId w:val="18"/>
        </w:numPr>
        <w:tabs>
          <w:tab w:val="num" w:pos="1794"/>
        </w:tabs>
        <w:spacing w:line="240" w:lineRule="auto"/>
        <w:ind w:left="1702" w:hanging="851"/>
        <w:jc w:val="both"/>
        <w:rPr>
          <w:rFonts w:eastAsia="Arial"/>
        </w:rPr>
      </w:pPr>
      <w:r w:rsidRPr="00D47A0D">
        <w:rPr>
          <w:rFonts w:eastAsia="Arial"/>
        </w:rPr>
        <w:t xml:space="preserve">The Tender must include a list of all supporting </w:t>
      </w:r>
      <w:r w:rsidR="00D47A0D">
        <w:rPr>
          <w:rFonts w:eastAsia="Arial"/>
        </w:rPr>
        <w:t>materials</w:t>
      </w:r>
      <w:r w:rsidRPr="00D47A0D">
        <w:rPr>
          <w:rFonts w:eastAsia="Arial"/>
        </w:rPr>
        <w:t>.</w:t>
      </w:r>
    </w:p>
    <w:p w14:paraId="49178868" w14:textId="685492FA" w:rsidR="00F11DF8" w:rsidRPr="00D47A0D" w:rsidRDefault="00F11DF8" w:rsidP="001A2988">
      <w:pPr>
        <w:pStyle w:val="MRNumberedHeading3"/>
        <w:numPr>
          <w:ilvl w:val="2"/>
          <w:numId w:val="18"/>
        </w:numPr>
        <w:tabs>
          <w:tab w:val="num" w:pos="1794"/>
        </w:tabs>
        <w:spacing w:line="240" w:lineRule="auto"/>
        <w:ind w:left="1702" w:hanging="851"/>
        <w:jc w:val="both"/>
        <w:rPr>
          <w:rFonts w:eastAsia="Arial"/>
        </w:rPr>
      </w:pPr>
      <w:r w:rsidRPr="00D47A0D">
        <w:rPr>
          <w:rFonts w:eastAsia="Arial"/>
        </w:rPr>
        <w:t>Electronic copies of the Tender shall be in both Microsoft Office and PDF formats.</w:t>
      </w:r>
    </w:p>
    <w:p w14:paraId="20C738CB" w14:textId="77777777" w:rsidR="007B6206" w:rsidRDefault="007B6206" w:rsidP="006B54D6">
      <w:pPr>
        <w:pStyle w:val="MRNumberedHeading2"/>
      </w:pPr>
      <w:r w:rsidRPr="00D47A0D">
        <w:rPr>
          <w:rFonts w:eastAsia="Arial"/>
        </w:rPr>
        <w:t xml:space="preserve">Where a word count limit is specified, Bidders should state how many words their response </w:t>
      </w:r>
      <w:r>
        <w:t>contains. The Authority reserves the right not to consider any part of a response exceeding the word limit. Words included within diagrams or other graphic representations will count towards the word limit.</w:t>
      </w:r>
      <w:bookmarkEnd w:id="65"/>
      <w:r>
        <w:t xml:space="preserve">  </w:t>
      </w:r>
    </w:p>
    <w:p w14:paraId="20C738CC" w14:textId="7D99218C" w:rsidR="00601937" w:rsidRDefault="00C27CC2" w:rsidP="006B54D6">
      <w:pPr>
        <w:pStyle w:val="MRNumberedHeading2"/>
      </w:pPr>
      <w:bookmarkStart w:id="67" w:name="_Toc403555127"/>
      <w:bookmarkStart w:id="68" w:name="_Ref405453197"/>
      <w:r>
        <w:t xml:space="preserve">The Tender must be clear, </w:t>
      </w:r>
      <w:proofErr w:type="gramStart"/>
      <w:r>
        <w:t>concise</w:t>
      </w:r>
      <w:proofErr w:type="gramEnd"/>
      <w:r>
        <w:t xml:space="preserv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67"/>
      <w:bookmarkEnd w:id="68"/>
      <w:r w:rsidR="000E5C37">
        <w:t xml:space="preserve"> </w:t>
      </w:r>
    </w:p>
    <w:p w14:paraId="20C738CD" w14:textId="35A42094" w:rsidR="002471B4" w:rsidRDefault="00C27CC2" w:rsidP="006B54D6">
      <w:pPr>
        <w:pStyle w:val="MRNumberedHeading2"/>
      </w:pPr>
      <w:bookmarkStart w:id="69" w:name="_Toc403555128"/>
      <w:bookmarkStart w:id="70" w:name="_Ref412651999"/>
      <w:r>
        <w:t xml:space="preserve">Tenders will be evaluated </w:t>
      </w:r>
      <w:proofErr w:type="gramStart"/>
      <w:r>
        <w:t>on the basis o</w:t>
      </w:r>
      <w:r w:rsidR="00A7044C">
        <w:t>f</w:t>
      </w:r>
      <w:proofErr w:type="gramEnd"/>
      <w:r w:rsidR="00A7044C">
        <w:t xml:space="preserve"> information submitted by the d</w:t>
      </w:r>
      <w:r>
        <w:t>eadline.</w:t>
      </w:r>
      <w:bookmarkEnd w:id="69"/>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70"/>
    </w:p>
    <w:p w14:paraId="20C738CE" w14:textId="77777777" w:rsidR="00C45A8E" w:rsidRDefault="0017043F" w:rsidP="006B54D6">
      <w:pPr>
        <w:pStyle w:val="MRNumberedHeading2"/>
      </w:pPr>
      <w:bookmarkStart w:id="71" w:name="_Toc403555129"/>
      <w:r>
        <w:t>The</w:t>
      </w:r>
      <w:r w:rsidR="00C27CC2">
        <w:t xml:space="preserve"> Tender must be signed by a duly authorised</w:t>
      </w:r>
      <w:r>
        <w:t xml:space="preserve"> representative of the </w:t>
      </w:r>
      <w:r w:rsidR="00637C62">
        <w:t>Bidder.</w:t>
      </w:r>
      <w:bookmarkEnd w:id="71"/>
      <w:r w:rsidR="00637C62">
        <w:t xml:space="preserve">  </w:t>
      </w:r>
    </w:p>
    <w:p w14:paraId="20C738CF" w14:textId="6EAE8436" w:rsidR="006534CF" w:rsidRPr="00276E1B" w:rsidRDefault="001375C3" w:rsidP="004270D9">
      <w:pPr>
        <w:pStyle w:val="Heading1"/>
        <w:spacing w:before="240" w:after="0"/>
        <w:ind w:left="851"/>
      </w:pPr>
      <w:bookmarkStart w:id="72" w:name="_Toc403555130"/>
      <w:r w:rsidRPr="00276E1B">
        <w:t>Modification and withdrawal of Tenders</w:t>
      </w:r>
      <w:bookmarkEnd w:id="72"/>
    </w:p>
    <w:p w14:paraId="20C738D0" w14:textId="369D3123" w:rsidR="004251F8" w:rsidRDefault="00CF3319" w:rsidP="004270D9">
      <w:pPr>
        <w:pStyle w:val="MRNumberedHeading2"/>
      </w:pPr>
      <w:bookmarkStart w:id="73" w:name="_Toc403555131"/>
      <w:bookmarkStart w:id="74" w:name="_Ref478475788"/>
      <w:r>
        <w:t xml:space="preserve">Except as set out in paragraph </w:t>
      </w:r>
      <w:r w:rsidR="0095006A">
        <w:fldChar w:fldCharType="begin"/>
      </w:r>
      <w:r w:rsidR="0095006A">
        <w:instrText xml:space="preserve"> REF _Ref412651999 \r \h </w:instrText>
      </w:r>
      <w:r w:rsidR="0095006A">
        <w:fldChar w:fldCharType="separate"/>
      </w:r>
      <w:r w:rsidR="00AB7EA4">
        <w:t>3.21</w:t>
      </w:r>
      <w:r w:rsidR="0095006A">
        <w:fldChar w:fldCharType="end"/>
      </w:r>
      <w:r>
        <w:t>, n</w:t>
      </w:r>
      <w:r w:rsidRPr="00A24900">
        <w:t>o</w:t>
      </w:r>
      <w:r w:rsidR="001375C3" w:rsidRPr="00A24900">
        <w:t xml:space="preserve"> </w:t>
      </w:r>
      <w:r w:rsidR="002651E8">
        <w:t>T</w:t>
      </w:r>
      <w:r w:rsidR="001375C3" w:rsidRPr="00A24900">
        <w:t>ender may be modified aft</w:t>
      </w:r>
      <w:r w:rsidR="00CC4072">
        <w:t xml:space="preserve">er the deadline for receipt of </w:t>
      </w:r>
      <w:r w:rsidR="00D47A0D">
        <w:t>Tenders</w:t>
      </w:r>
      <w:r w:rsidR="001375C3" w:rsidRPr="00A24900">
        <w:t>.</w:t>
      </w:r>
      <w:bookmarkEnd w:id="73"/>
      <w:bookmarkEnd w:id="74"/>
    </w:p>
    <w:p w14:paraId="54A3C8A0" w14:textId="7F69BC69" w:rsidR="00D47A0D" w:rsidRDefault="001375C3" w:rsidP="004270D9">
      <w:pPr>
        <w:pStyle w:val="MRNumberedHeading2"/>
      </w:pPr>
      <w:bookmarkStart w:id="75" w:name="_Toc403555132"/>
      <w:bookmarkStart w:id="76" w:name="_Ref405453207"/>
      <w:r w:rsidRPr="00A24900">
        <w:t>Tenders may be withdrawn at any time before the deadlin</w:t>
      </w:r>
      <w:r w:rsidR="00CC4072">
        <w:t>e for receipt of T</w:t>
      </w:r>
      <w:r w:rsidR="002651E8">
        <w:t>enders.  Revised T</w:t>
      </w:r>
      <w:r w:rsidRPr="00A24900">
        <w:t>enders may be submitted up unt</w:t>
      </w:r>
      <w:r w:rsidR="00CC4072">
        <w:t>il the deadline for receipt of T</w:t>
      </w:r>
      <w:r w:rsidRPr="00A24900">
        <w:t xml:space="preserve">enders, </w:t>
      </w:r>
      <w:r w:rsidR="00D47A0D">
        <w:t xml:space="preserve">provided such intention is notified to the Authority </w:t>
      </w:r>
      <w:r w:rsidR="001C178A">
        <w:t>using the e-Tendering Portal or via email at mike.li@nhs.net</w:t>
      </w:r>
      <w:r w:rsidR="00D47A0D">
        <w:t>.</w:t>
      </w:r>
    </w:p>
    <w:p w14:paraId="20C738D4" w14:textId="77777777" w:rsidR="00BA173E" w:rsidRPr="00F11DF8" w:rsidRDefault="00430158" w:rsidP="004270D9">
      <w:pPr>
        <w:pStyle w:val="Heading1"/>
        <w:spacing w:before="240" w:after="0"/>
        <w:ind w:left="851"/>
      </w:pPr>
      <w:bookmarkStart w:id="77" w:name="_Toc403555134"/>
      <w:bookmarkEnd w:id="75"/>
      <w:bookmarkEnd w:id="76"/>
      <w:r w:rsidRPr="00F11DF8">
        <w:rPr>
          <w:bCs/>
        </w:rPr>
        <w:t>Terms and conditions</w:t>
      </w:r>
      <w:bookmarkEnd w:id="77"/>
    </w:p>
    <w:p w14:paraId="20C738D5" w14:textId="7D843EC5" w:rsidR="00B00C70" w:rsidRPr="00BA173E" w:rsidRDefault="00746CCF" w:rsidP="004270D9">
      <w:pPr>
        <w:pStyle w:val="MRNumberedHeading2"/>
        <w:rPr>
          <w:rFonts w:cs="Arial"/>
        </w:rPr>
      </w:pPr>
      <w:bookmarkStart w:id="78"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78"/>
    </w:p>
    <w:p w14:paraId="20C738D6" w14:textId="77777777" w:rsidR="002F23DC" w:rsidRPr="00276E1B" w:rsidRDefault="002F23DC" w:rsidP="004270D9">
      <w:pPr>
        <w:pStyle w:val="Heading1"/>
        <w:spacing w:before="240" w:after="0"/>
        <w:ind w:left="851"/>
      </w:pPr>
      <w:bookmarkStart w:id="79" w:name="_Toc403555136"/>
      <w:r w:rsidRPr="00276E1B">
        <w:lastRenderedPageBreak/>
        <w:t>Consortia and subcontractors</w:t>
      </w:r>
      <w:bookmarkEnd w:id="79"/>
      <w:r w:rsidRPr="00276E1B">
        <w:t xml:space="preserve"> </w:t>
      </w:r>
    </w:p>
    <w:p w14:paraId="20C738D7" w14:textId="27512C09" w:rsidR="00BA173E" w:rsidRDefault="00746CCF" w:rsidP="004270D9">
      <w:pPr>
        <w:pStyle w:val="MRNumberedHeading2"/>
      </w:pPr>
      <w:bookmarkStart w:id="80" w:name="_Toc403555137"/>
      <w:bookmarkStart w:id="81" w:name="_Ref405453227"/>
      <w:r w:rsidRPr="003E3276">
        <w:t>If</w:t>
      </w:r>
      <w:r>
        <w:t xml:space="preserve"> the Bidder is a consortium or will rely on sub-contractors to deliver the contract, it must explain in its Tender precisely which entities will be the supplier.</w:t>
      </w:r>
      <w:bookmarkEnd w:id="80"/>
      <w:bookmarkEnd w:id="81"/>
    </w:p>
    <w:p w14:paraId="20C738D8" w14:textId="77777777" w:rsidR="00BA173E" w:rsidRDefault="002F23DC" w:rsidP="004270D9">
      <w:pPr>
        <w:pStyle w:val="MRNumberedHeading2"/>
      </w:pPr>
      <w:bookmarkStart w:id="82" w:name="_Toc403555138"/>
      <w:r w:rsidRPr="002F23DC">
        <w:t>For the purposes of this ITT, the following terms apply:</w:t>
      </w:r>
      <w:bookmarkEnd w:id="82"/>
    </w:p>
    <w:p w14:paraId="20C738D9" w14:textId="77777777" w:rsidR="00BA173E" w:rsidRDefault="00BA173E" w:rsidP="001A2988">
      <w:pPr>
        <w:pStyle w:val="MRNumberedHeading3"/>
        <w:numPr>
          <w:ilvl w:val="2"/>
          <w:numId w:val="18"/>
        </w:numPr>
        <w:tabs>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20C738DA" w14:textId="2BEA44AA" w:rsidR="002F23DC" w:rsidRPr="002F23DC" w:rsidRDefault="00BA173E" w:rsidP="001A2988">
      <w:pPr>
        <w:pStyle w:val="MRNumberedHeading3"/>
        <w:numPr>
          <w:ilvl w:val="2"/>
          <w:numId w:val="18"/>
        </w:numPr>
        <w:tabs>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r w:rsidR="00D02436">
        <w:t>supplier</w:t>
      </w:r>
      <w:r w:rsidR="00D02436" w:rsidRPr="002F23DC">
        <w:t xml:space="preserve"> but</w:t>
      </w:r>
      <w:r w:rsidR="002F23DC" w:rsidRPr="002F23DC">
        <w:t xml:space="preserve"> envisage that one of their </w:t>
      </w:r>
      <w:r w:rsidR="00D47A0D">
        <w:t>numbers</w:t>
      </w:r>
      <w:r w:rsidR="002F23DC" w:rsidRPr="002F23DC">
        <w:t xml:space="preserve"> will be the </w:t>
      </w:r>
      <w:r w:rsidR="005308BB">
        <w:t>supplier</w:t>
      </w:r>
      <w:r w:rsidR="002F23DC" w:rsidRPr="002F23DC">
        <w:t xml:space="preserve">, the remaining members of that group will be subcontractors to the </w:t>
      </w:r>
      <w:r w:rsidR="005308BB">
        <w:t>supplier</w:t>
      </w:r>
      <w:r w:rsidR="002F23DC" w:rsidRPr="002F23DC">
        <w:t>.</w:t>
      </w:r>
    </w:p>
    <w:p w14:paraId="20C738DB" w14:textId="77777777" w:rsidR="00746CCF" w:rsidRPr="008E6BB3" w:rsidRDefault="00746CCF" w:rsidP="004270D9">
      <w:pPr>
        <w:pStyle w:val="MRNumberedHeading2"/>
      </w:pPr>
      <w:bookmarkStart w:id="83"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83"/>
    </w:p>
    <w:p w14:paraId="20C738DC" w14:textId="77777777" w:rsidR="002F23DC" w:rsidRPr="00276E1B" w:rsidRDefault="002F23DC" w:rsidP="00276E1B">
      <w:pPr>
        <w:pStyle w:val="Heading1"/>
        <w:spacing w:before="240" w:after="0"/>
        <w:ind w:left="851"/>
      </w:pPr>
      <w:bookmarkStart w:id="84" w:name="_Toc403555140"/>
      <w:r w:rsidRPr="00276E1B">
        <w:t>Warnings and disclaimers</w:t>
      </w:r>
      <w:bookmarkEnd w:id="84"/>
    </w:p>
    <w:p w14:paraId="20C738DD" w14:textId="77777777" w:rsidR="001B5F4F" w:rsidRDefault="001B5F4F" w:rsidP="006B54D6">
      <w:pPr>
        <w:pStyle w:val="MRNumberedHeading2"/>
      </w:pPr>
      <w:bookmarkStart w:id="85" w:name="_Toc403555141"/>
      <w:r>
        <w:t xml:space="preserve">While the information contained in this ITT is believed to be correct at the time of issue, neither the Authority, its advisors, nor any other awarding authorities will accept any liability for its accuracy, </w:t>
      </w:r>
      <w:proofErr w:type="gramStart"/>
      <w:r>
        <w:t>adequacy</w:t>
      </w:r>
      <w:proofErr w:type="gramEnd"/>
      <w:r>
        <w:t xml:space="preserve">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5"/>
    </w:p>
    <w:p w14:paraId="20C738DE" w14:textId="77777777" w:rsidR="001B5F4F" w:rsidRDefault="001B5F4F" w:rsidP="004270D9">
      <w:pPr>
        <w:pStyle w:val="MRNumberedHeading2"/>
      </w:pPr>
      <w:bookmarkStart w:id="86" w:name="_Toc403555142"/>
      <w:r>
        <w:t xml:space="preserve">If a </w:t>
      </w:r>
      <w:r w:rsidR="00785DDF">
        <w:t>Bidder</w:t>
      </w:r>
      <w:r w:rsidR="008E6BB3">
        <w:t xml:space="preserve"> proposes to </w:t>
      </w:r>
      <w:proofErr w:type="gramStart"/>
      <w:r w:rsidR="008E6BB3">
        <w:t>enter into</w:t>
      </w:r>
      <w:proofErr w:type="gramEnd"/>
      <w:r w:rsidR="008E6BB3">
        <w:t xml:space="preserve">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6"/>
    </w:p>
    <w:p w14:paraId="20C738DF" w14:textId="77777777" w:rsidR="001B5F4F" w:rsidRDefault="001B5F4F" w:rsidP="006B54D6">
      <w:pPr>
        <w:pStyle w:val="MRNumberedHeading2"/>
      </w:pPr>
      <w:bookmarkStart w:id="87" w:name="_Toc403555143"/>
      <w:r>
        <w:t xml:space="preserve">Neither the issue of this ITT, nor any of the information presented in it, should be regarded as a commitment or representation on the part of the Authority (or any other person) to </w:t>
      </w:r>
      <w:proofErr w:type="gramStart"/>
      <w:r>
        <w:t>enter into</w:t>
      </w:r>
      <w:proofErr w:type="gramEnd"/>
      <w:r>
        <w:t xml:space="preserve"> a contractual arrangement.</w:t>
      </w:r>
      <w:bookmarkEnd w:id="87"/>
    </w:p>
    <w:p w14:paraId="20C738E0" w14:textId="77777777" w:rsidR="002F23DC" w:rsidRPr="00276E1B" w:rsidRDefault="001B5F4F" w:rsidP="00276E1B">
      <w:pPr>
        <w:pStyle w:val="Heading1"/>
        <w:spacing w:before="240" w:after="0"/>
        <w:ind w:left="851"/>
      </w:pPr>
      <w:bookmarkStart w:id="88" w:name="_Toc403555144"/>
      <w:r w:rsidRPr="00276E1B">
        <w:t>Freedom of Information Act 2000</w:t>
      </w:r>
      <w:r w:rsidR="008A56A2" w:rsidRPr="00276E1B">
        <w:t xml:space="preserve"> and Environmental Information Regulations 2004</w:t>
      </w:r>
      <w:bookmarkEnd w:id="88"/>
    </w:p>
    <w:p w14:paraId="20C738E1" w14:textId="77777777" w:rsidR="001664D9" w:rsidRPr="001375C3" w:rsidRDefault="001664D9" w:rsidP="006B54D6">
      <w:pPr>
        <w:pStyle w:val="MRNumberedHeading2"/>
      </w:pPr>
      <w:bookmarkStart w:id="89"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9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9"/>
      <w:r w:rsidRPr="001375C3">
        <w:t xml:space="preserve"> </w:t>
      </w:r>
      <w:bookmarkEnd w:id="90"/>
    </w:p>
    <w:p w14:paraId="20C738E2" w14:textId="77777777" w:rsidR="001664D9" w:rsidRPr="001375C3" w:rsidRDefault="001664D9" w:rsidP="006B54D6">
      <w:pPr>
        <w:pStyle w:val="MRNumberedHeading2"/>
      </w:pPr>
      <w:bookmarkStart w:id="91"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91"/>
    </w:p>
    <w:p w14:paraId="20C738E3" w14:textId="77777777" w:rsidR="001664D9" w:rsidRPr="007301E9" w:rsidRDefault="004C3605" w:rsidP="001A2988">
      <w:pPr>
        <w:pStyle w:val="MRNumberedHeading3"/>
        <w:numPr>
          <w:ilvl w:val="2"/>
          <w:numId w:val="18"/>
        </w:numPr>
        <w:tabs>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w:t>
      </w:r>
      <w:proofErr w:type="gramStart"/>
      <w:r w:rsidR="001664D9" w:rsidRPr="007301E9">
        <w:rPr>
          <w:bCs/>
        </w:rPr>
        <w:t>sensitive;</w:t>
      </w:r>
      <w:proofErr w:type="gramEnd"/>
    </w:p>
    <w:p w14:paraId="20C738E4" w14:textId="77777777" w:rsidR="001664D9" w:rsidRPr="007301E9" w:rsidRDefault="004C3605" w:rsidP="001A2988">
      <w:pPr>
        <w:pStyle w:val="MRNumberedHeading3"/>
        <w:numPr>
          <w:ilvl w:val="2"/>
          <w:numId w:val="18"/>
        </w:numPr>
        <w:tabs>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20C738E5" w14:textId="77777777" w:rsidR="001664D9" w:rsidRPr="007301E9" w:rsidRDefault="004C3605" w:rsidP="001A2988">
      <w:pPr>
        <w:pStyle w:val="MRNumberedHeading3"/>
        <w:numPr>
          <w:ilvl w:val="2"/>
          <w:numId w:val="18"/>
        </w:numPr>
        <w:tabs>
          <w:tab w:val="num" w:pos="1794"/>
        </w:tabs>
        <w:spacing w:line="240" w:lineRule="auto"/>
        <w:ind w:left="1702" w:hanging="851"/>
        <w:jc w:val="both"/>
      </w:pPr>
      <w:r w:rsidRPr="007301E9">
        <w:rPr>
          <w:bCs/>
        </w:rPr>
        <w:t>p</w:t>
      </w:r>
      <w:r w:rsidR="001664D9" w:rsidRPr="007301E9">
        <w:rPr>
          <w:bCs/>
        </w:rPr>
        <w:t xml:space="preserve">rovide a reasoned estimate of the </w:t>
      </w:r>
      <w:proofErr w:type="gramStart"/>
      <w:r w:rsidR="001664D9" w:rsidRPr="007301E9">
        <w:rPr>
          <w:bCs/>
        </w:rPr>
        <w:t>period of time</w:t>
      </w:r>
      <w:proofErr w:type="gramEnd"/>
      <w:r w:rsidR="001664D9" w:rsidRPr="007301E9">
        <w:rPr>
          <w:bCs/>
        </w:rPr>
        <w:t xml:space="preserv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0C738E6" w14:textId="77777777" w:rsidR="001664D9" w:rsidRPr="001375C3" w:rsidRDefault="001664D9" w:rsidP="006B54D6">
      <w:pPr>
        <w:pStyle w:val="MRNumberedHeading2"/>
      </w:pPr>
      <w:bookmarkStart w:id="92"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92"/>
    </w:p>
    <w:p w14:paraId="20C738E7" w14:textId="3C02FCDD" w:rsidR="001664D9" w:rsidRPr="001375C3" w:rsidRDefault="001664D9" w:rsidP="006B54D6">
      <w:pPr>
        <w:pStyle w:val="MRNumberedHeading2"/>
      </w:pPr>
      <w:bookmarkStart w:id="93" w:name="_Ref149547621"/>
      <w:bookmarkStart w:id="94" w:name="_Toc403555148"/>
      <w:r w:rsidRPr="001375C3">
        <w:t xml:space="preserve">Where a </w:t>
      </w:r>
      <w:r w:rsidR="00785DDF">
        <w:t>Bidder</w:t>
      </w:r>
      <w:r w:rsidRPr="001375C3">
        <w:t xml:space="preserve"> identifies </w:t>
      </w:r>
      <w:r w:rsidR="00D47A0D">
        <w:t xml:space="preserve">the </w:t>
      </w:r>
      <w:r w:rsidRPr="001375C3">
        <w:t xml:space="preserve">information as commercially sensitive, the Authority will take those views into account.  </w:t>
      </w:r>
      <w:r w:rsidR="00E7163F">
        <w:t>Bidders</w:t>
      </w:r>
      <w:r w:rsidRPr="001375C3">
        <w:t xml:space="preserve"> should note, however, that, even where information is identified as </w:t>
      </w:r>
      <w:r w:rsidRPr="001375C3">
        <w:lastRenderedPageBreak/>
        <w:t xml:space="preserve">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93"/>
      <w:r w:rsidR="001C747B">
        <w:t>or otherwise exempt.</w:t>
      </w:r>
      <w:bookmarkEnd w:id="94"/>
    </w:p>
    <w:p w14:paraId="20C738E8" w14:textId="77777777" w:rsidR="00491808" w:rsidRPr="00276E1B" w:rsidRDefault="00491808" w:rsidP="00276E1B">
      <w:pPr>
        <w:pStyle w:val="Heading1"/>
        <w:spacing w:before="240" w:after="0"/>
        <w:ind w:left="851"/>
      </w:pPr>
      <w:bookmarkStart w:id="95" w:name="_Toc403555149"/>
      <w:r w:rsidRPr="00276E1B">
        <w:t>Publicity</w:t>
      </w:r>
      <w:bookmarkEnd w:id="95"/>
    </w:p>
    <w:p w14:paraId="20C738E9" w14:textId="77777777" w:rsidR="00491808" w:rsidRPr="00541CDA" w:rsidRDefault="00645517" w:rsidP="006B54D6">
      <w:pPr>
        <w:pStyle w:val="MRNumberedHeading2"/>
      </w:pPr>
      <w:bookmarkStart w:id="96"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96"/>
    </w:p>
    <w:p w14:paraId="20C738EA" w14:textId="77777777" w:rsidR="00491808" w:rsidRPr="00276E1B" w:rsidRDefault="00785DDF" w:rsidP="00276E1B">
      <w:pPr>
        <w:pStyle w:val="Heading1"/>
        <w:spacing w:before="240" w:after="0"/>
        <w:ind w:left="851"/>
      </w:pPr>
      <w:bookmarkStart w:id="97" w:name="a699927"/>
      <w:bookmarkStart w:id="98" w:name="_Toc403555151"/>
      <w:bookmarkEnd w:id="97"/>
      <w:proofErr w:type="gramStart"/>
      <w:r w:rsidRPr="00276E1B">
        <w:t>Bidder</w:t>
      </w:r>
      <w:proofErr w:type="gramEnd"/>
      <w:r w:rsidR="00491808" w:rsidRPr="00276E1B">
        <w:t xml:space="preserve"> conduct and conflicts of interest</w:t>
      </w:r>
      <w:bookmarkEnd w:id="98"/>
    </w:p>
    <w:p w14:paraId="20C738EB" w14:textId="77777777" w:rsidR="00491808" w:rsidRPr="00491808" w:rsidRDefault="00491808" w:rsidP="006B54D6">
      <w:pPr>
        <w:pStyle w:val="MRNumberedHeading2"/>
      </w:pPr>
      <w:bookmarkStart w:id="99"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9"/>
    </w:p>
    <w:p w14:paraId="20C738EC"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w:t>
      </w:r>
      <w:proofErr w:type="gramStart"/>
      <w:r w:rsidRPr="007301E9">
        <w:rPr>
          <w:bCs/>
        </w:rPr>
        <w:t>finance;</w:t>
      </w:r>
      <w:proofErr w:type="gramEnd"/>
      <w:r w:rsidRPr="007301E9">
        <w:rPr>
          <w:bCs/>
        </w:rPr>
        <w:t xml:space="preserve"> </w:t>
      </w:r>
    </w:p>
    <w:p w14:paraId="20C738ED"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w:t>
      </w:r>
      <w:proofErr w:type="gramStart"/>
      <w:r w:rsidR="00CC4072">
        <w:rPr>
          <w:bCs/>
        </w:rPr>
        <w:t>T</w:t>
      </w:r>
      <w:r w:rsidRPr="007301E9">
        <w:rPr>
          <w:bCs/>
        </w:rPr>
        <w:t>ender;</w:t>
      </w:r>
      <w:proofErr w:type="gramEnd"/>
      <w:r w:rsidRPr="007301E9">
        <w:rPr>
          <w:bCs/>
        </w:rPr>
        <w:t xml:space="preserve"> </w:t>
      </w:r>
    </w:p>
    <w:p w14:paraId="20C738EE"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 xml:space="preserve">a </w:t>
      </w:r>
      <w:proofErr w:type="gramStart"/>
      <w:r w:rsidR="00CC4072">
        <w:rPr>
          <w:bCs/>
        </w:rPr>
        <w:t>T</w:t>
      </w:r>
      <w:r w:rsidRPr="007301E9">
        <w:rPr>
          <w:bCs/>
        </w:rPr>
        <w:t>ender;</w:t>
      </w:r>
      <w:proofErr w:type="gramEnd"/>
    </w:p>
    <w:p w14:paraId="20C738EF"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0C738F0" w14:textId="77777777" w:rsidR="00645517"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20C738F1" w14:textId="77777777" w:rsidR="00491808" w:rsidRPr="00645517" w:rsidRDefault="00E7163F" w:rsidP="0035766D">
      <w:pPr>
        <w:pStyle w:val="MRNumberedHeading2"/>
      </w:pPr>
      <w:bookmarkStart w:id="100"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00"/>
      <w:r w:rsidR="007B6206">
        <w:t xml:space="preserve">  </w:t>
      </w:r>
      <w:r w:rsidR="00BD4D8C">
        <w:t xml:space="preserve"> </w:t>
      </w:r>
      <w:r w:rsidR="00E2328D">
        <w:t xml:space="preserve"> </w:t>
      </w:r>
    </w:p>
    <w:p w14:paraId="20C738F2" w14:textId="77777777" w:rsidR="00491808" w:rsidRPr="00491808" w:rsidRDefault="00491808" w:rsidP="0035766D">
      <w:pPr>
        <w:pStyle w:val="Heading1"/>
        <w:spacing w:before="240" w:after="0"/>
        <w:ind w:left="851"/>
      </w:pPr>
      <w:bookmarkStart w:id="101" w:name="a582432"/>
      <w:bookmarkStart w:id="102" w:name="_Toc403555154"/>
      <w:bookmarkEnd w:id="101"/>
      <w:r w:rsidRPr="00491808">
        <w:t>Authority's rights</w:t>
      </w:r>
      <w:bookmarkEnd w:id="102"/>
    </w:p>
    <w:p w14:paraId="20C738F3" w14:textId="77777777" w:rsidR="00491808" w:rsidRPr="00491808" w:rsidRDefault="008D2128" w:rsidP="0035766D">
      <w:pPr>
        <w:pStyle w:val="MRNumberedHeading2"/>
      </w:pPr>
      <w:bookmarkStart w:id="103" w:name="_Toc403555155"/>
      <w:r>
        <w:t xml:space="preserve">Subject to its obligations to act in a transparent, </w:t>
      </w:r>
      <w:proofErr w:type="gramStart"/>
      <w:r>
        <w:t>proportionate</w:t>
      </w:r>
      <w:proofErr w:type="gramEnd"/>
      <w:r>
        <w:t xml:space="preserve"> and non-discriminatory manner, t</w:t>
      </w:r>
      <w:r w:rsidR="00491808" w:rsidRPr="00491808">
        <w:t>he Authority reserves the right to:</w:t>
      </w:r>
      <w:bookmarkEnd w:id="103"/>
    </w:p>
    <w:p w14:paraId="20C738F4"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w</w:t>
      </w:r>
      <w:r w:rsidR="00491808" w:rsidRPr="007301E9">
        <w:rPr>
          <w:bCs/>
        </w:rPr>
        <w:t xml:space="preserve">aive or change the requirements of this ITT from time to </w:t>
      </w:r>
      <w:proofErr w:type="gramStart"/>
      <w:r w:rsidR="00491808" w:rsidRPr="007301E9">
        <w:rPr>
          <w:bCs/>
        </w:rPr>
        <w:t>time</w:t>
      </w:r>
      <w:r w:rsidRPr="007301E9">
        <w:rPr>
          <w:bCs/>
        </w:rPr>
        <w:t>;</w:t>
      </w:r>
      <w:proofErr w:type="gramEnd"/>
    </w:p>
    <w:p w14:paraId="20C738F5"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 xml:space="preserve">'s </w:t>
      </w:r>
      <w:proofErr w:type="gramStart"/>
      <w:r w:rsidRPr="007301E9">
        <w:rPr>
          <w:bCs/>
        </w:rPr>
        <w:t>submission;</w:t>
      </w:r>
      <w:proofErr w:type="gramEnd"/>
    </w:p>
    <w:p w14:paraId="20C738F6"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 xml:space="preserve">th the instructions in this </w:t>
      </w:r>
      <w:proofErr w:type="gramStart"/>
      <w:r w:rsidRPr="007301E9">
        <w:rPr>
          <w:bCs/>
        </w:rPr>
        <w:t>ITT;</w:t>
      </w:r>
      <w:proofErr w:type="gramEnd"/>
    </w:p>
    <w:p w14:paraId="20C738F7"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 xml:space="preserve">ender </w:t>
      </w:r>
      <w:proofErr w:type="gramStart"/>
      <w:r w:rsidRPr="007301E9">
        <w:rPr>
          <w:bCs/>
        </w:rPr>
        <w:t>process;</w:t>
      </w:r>
      <w:proofErr w:type="gramEnd"/>
    </w:p>
    <w:p w14:paraId="20C738F8"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w:t>
      </w:r>
      <w:proofErr w:type="gramStart"/>
      <w:r w:rsidRPr="007301E9">
        <w:rPr>
          <w:bCs/>
        </w:rPr>
        <w:t>basis;</w:t>
      </w:r>
      <w:proofErr w:type="gramEnd"/>
      <w:r w:rsidRPr="007301E9">
        <w:rPr>
          <w:bCs/>
        </w:rPr>
        <w:t xml:space="preserve"> </w:t>
      </w:r>
    </w:p>
    <w:p w14:paraId="20C738F9"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lastRenderedPageBreak/>
        <w:t>choose not to award any c</w:t>
      </w:r>
      <w:r w:rsidR="00491808" w:rsidRPr="007301E9">
        <w:rPr>
          <w:bCs/>
        </w:rPr>
        <w:t xml:space="preserve">ontract </w:t>
      </w:r>
      <w:proofErr w:type="gramStart"/>
      <w:r w:rsidR="00491808" w:rsidRPr="007301E9">
        <w:rPr>
          <w:bCs/>
        </w:rPr>
        <w:t>as a result of</w:t>
      </w:r>
      <w:proofErr w:type="gramEnd"/>
      <w:r w:rsidR="00491808" w:rsidRPr="007301E9">
        <w:rPr>
          <w:bCs/>
        </w:rPr>
        <w:t xml:space="preserve"> the </w:t>
      </w:r>
      <w:r w:rsidRPr="007301E9">
        <w:rPr>
          <w:bCs/>
        </w:rPr>
        <w:t>current procurement process; and</w:t>
      </w:r>
    </w:p>
    <w:p w14:paraId="20C738FA" w14:textId="77777777" w:rsidR="00491808" w:rsidRPr="007301E9" w:rsidRDefault="00645517" w:rsidP="001A2988">
      <w:pPr>
        <w:pStyle w:val="MRNumberedHeading3"/>
        <w:numPr>
          <w:ilvl w:val="2"/>
          <w:numId w:val="18"/>
        </w:numPr>
        <w:tabs>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 xml:space="preserve">imetable, </w:t>
      </w:r>
      <w:proofErr w:type="gramStart"/>
      <w:r w:rsidR="00491808" w:rsidRPr="007301E9">
        <w:rPr>
          <w:bCs/>
        </w:rPr>
        <w:t>structure</w:t>
      </w:r>
      <w:proofErr w:type="gramEnd"/>
      <w:r w:rsidR="00491808" w:rsidRPr="007301E9">
        <w:rPr>
          <w:bCs/>
        </w:rPr>
        <w:t xml:space="preserve"> or content of the procurem</w:t>
      </w:r>
      <w:r w:rsidR="006B3EFA" w:rsidRPr="007301E9">
        <w:rPr>
          <w:bCs/>
        </w:rPr>
        <w:t>ent process</w:t>
      </w:r>
      <w:r w:rsidR="00491808" w:rsidRPr="007301E9">
        <w:rPr>
          <w:bCs/>
        </w:rPr>
        <w:t>.</w:t>
      </w:r>
    </w:p>
    <w:p w14:paraId="20C738FB" w14:textId="77777777" w:rsidR="00491808" w:rsidRPr="00491808" w:rsidRDefault="00491808" w:rsidP="00276E1B">
      <w:pPr>
        <w:pStyle w:val="Heading1"/>
        <w:spacing w:before="240" w:after="0"/>
        <w:ind w:left="851"/>
      </w:pPr>
      <w:bookmarkStart w:id="104" w:name="a934916"/>
      <w:bookmarkStart w:id="105" w:name="_Toc403555156"/>
      <w:bookmarkEnd w:id="104"/>
      <w:r w:rsidRPr="00491808">
        <w:t xml:space="preserve">Bid </w:t>
      </w:r>
      <w:proofErr w:type="gramStart"/>
      <w:r w:rsidRPr="00491808">
        <w:t>costs</w:t>
      </w:r>
      <w:bookmarkEnd w:id="105"/>
      <w:proofErr w:type="gramEnd"/>
    </w:p>
    <w:p w14:paraId="20C738FC" w14:textId="77777777" w:rsidR="0022652F" w:rsidRDefault="00491808" w:rsidP="006B54D6">
      <w:pPr>
        <w:pStyle w:val="MRNumberedHeading2"/>
      </w:pPr>
      <w:bookmarkStart w:id="106" w:name="_Toc403555157"/>
      <w:r w:rsidRPr="00491808">
        <w:t xml:space="preserve">The Authority will not be liable for any bid costs, expenditure, </w:t>
      </w:r>
      <w:proofErr w:type="gramStart"/>
      <w:r w:rsidRPr="00491808">
        <w:t>work</w:t>
      </w:r>
      <w:proofErr w:type="gramEnd"/>
      <w:r w:rsidRPr="00491808">
        <w:t xml:space="preserve"> or effort incurred by a </w:t>
      </w:r>
      <w:r w:rsidR="00785DDF">
        <w:t>Bidder</w:t>
      </w:r>
      <w:r w:rsidRPr="00491808">
        <w:t xml:space="preserve"> in proceeding with or participating in this procurement, including if the procurement process is terminated or amended by the Authority.</w:t>
      </w:r>
      <w:bookmarkEnd w:id="106"/>
    </w:p>
    <w:p w14:paraId="20C738FD" w14:textId="77777777" w:rsidR="00491808" w:rsidRPr="00276E1B" w:rsidRDefault="00491808" w:rsidP="00276E1B">
      <w:pPr>
        <w:pStyle w:val="Heading1"/>
        <w:spacing w:before="240" w:after="0"/>
        <w:ind w:left="851"/>
      </w:pPr>
      <w:bookmarkStart w:id="107" w:name="_Toc403555158"/>
      <w:r w:rsidRPr="00276E1B">
        <w:t>Language</w:t>
      </w:r>
      <w:bookmarkEnd w:id="107"/>
    </w:p>
    <w:p w14:paraId="20C738FE" w14:textId="77777777" w:rsidR="006534CF" w:rsidRDefault="00491808" w:rsidP="006B54D6">
      <w:pPr>
        <w:pStyle w:val="MRNumberedHeading2"/>
      </w:pPr>
      <w:bookmarkStart w:id="108" w:name="_Toc403555159"/>
      <w:r w:rsidRPr="00A24900">
        <w:t xml:space="preserve">Tenders, all documents and all </w:t>
      </w:r>
      <w:r w:rsidR="003219DA">
        <w:t>correspondence relating to the T</w:t>
      </w:r>
      <w:r w:rsidRPr="00A24900">
        <w:t>ender must be written in English.</w:t>
      </w:r>
      <w:bookmarkEnd w:id="108"/>
    </w:p>
    <w:p w14:paraId="20C738FF" w14:textId="4CC04ADB" w:rsidR="00F35E09" w:rsidRPr="00276E1B" w:rsidRDefault="00F35E09" w:rsidP="00276E1B">
      <w:pPr>
        <w:pStyle w:val="Heading1"/>
        <w:spacing w:before="240" w:after="0"/>
        <w:ind w:left="851"/>
      </w:pPr>
      <w:bookmarkStart w:id="109" w:name="_Toc403555160"/>
      <w:r w:rsidRPr="00276E1B">
        <w:t>Transparency</w:t>
      </w:r>
      <w:bookmarkEnd w:id="109"/>
      <w:r w:rsidRPr="00276E1B">
        <w:t xml:space="preserve">  </w:t>
      </w:r>
    </w:p>
    <w:p w14:paraId="20C73900" w14:textId="77777777" w:rsidR="00F35E09" w:rsidRDefault="00F35E09" w:rsidP="006B54D6">
      <w:pPr>
        <w:pStyle w:val="MRNumberedHeading2"/>
      </w:pPr>
      <w:bookmarkStart w:id="110" w:name="_Toc403555161"/>
      <w:bookmarkStart w:id="111"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10"/>
      <w:bookmarkEnd w:id="111"/>
      <w:r w:rsidR="009D5F0B">
        <w:t>'s Contracts Finder portal.</w:t>
      </w:r>
    </w:p>
    <w:p w14:paraId="20C73901" w14:textId="77777777" w:rsidR="00236A55" w:rsidRPr="00276E1B" w:rsidRDefault="00236A55" w:rsidP="00276E1B">
      <w:pPr>
        <w:pStyle w:val="Heading1"/>
        <w:spacing w:before="240" w:after="0"/>
        <w:ind w:left="851"/>
      </w:pPr>
      <w:bookmarkStart w:id="112" w:name="_Toc403555162"/>
      <w:r w:rsidRPr="00276E1B">
        <w:t>Governing Law and Jurisdiction</w:t>
      </w:r>
      <w:bookmarkEnd w:id="112"/>
      <w:r w:rsidRPr="00276E1B">
        <w:t xml:space="preserve"> </w:t>
      </w:r>
    </w:p>
    <w:p w14:paraId="20C73902" w14:textId="77777777" w:rsidR="004E71FF" w:rsidRPr="005A2E47" w:rsidRDefault="00236A55" w:rsidP="006B54D6">
      <w:pPr>
        <w:pStyle w:val="MRNumberedHeading2"/>
      </w:pPr>
      <w:bookmarkStart w:id="113" w:name="_Toc403555163"/>
      <w:r>
        <w:t>This ITT and any dispute concerning it (including non-contractual disputes or claims) shall be governed by English law and subject to the jurisdiction of the English Courts</w:t>
      </w:r>
      <w:bookmarkEnd w:id="113"/>
      <w:r w:rsidR="007A3602">
        <w:t>.</w:t>
      </w:r>
    </w:p>
    <w:p w14:paraId="3F1A371D" w14:textId="77777777" w:rsidR="00181236" w:rsidRDefault="00181236">
      <w:pPr>
        <w:spacing w:after="240"/>
        <w:jc w:val="left"/>
        <w:rPr>
          <w:rFonts w:eastAsia="Calibri" w:cs="Arial"/>
          <w:b/>
          <w:lang w:eastAsia="en-GB"/>
        </w:rPr>
      </w:pPr>
      <w:bookmarkStart w:id="114" w:name="_Toc403556504"/>
      <w:bookmarkStart w:id="115" w:name="_Toc403556509"/>
      <w:bookmarkStart w:id="116" w:name="_Toc406674972"/>
      <w:bookmarkStart w:id="117" w:name="_Toc412621214"/>
      <w:bookmarkStart w:id="118" w:name="_Toc412715224"/>
      <w:r>
        <w:br w:type="page"/>
      </w:r>
    </w:p>
    <w:p w14:paraId="20C73903" w14:textId="4A5BCED2" w:rsidR="008824CC" w:rsidRPr="008F3D2C" w:rsidRDefault="008731E8" w:rsidP="0035766D">
      <w:pPr>
        <w:pStyle w:val="MRNumberedHeading1"/>
        <w:ind w:hanging="798"/>
        <w:jc w:val="both"/>
        <w:rPr>
          <w:sz w:val="20"/>
          <w:szCs w:val="20"/>
        </w:rPr>
      </w:pPr>
      <w:r w:rsidRPr="008F3D2C">
        <w:rPr>
          <w:sz w:val="20"/>
          <w:szCs w:val="20"/>
        </w:rPr>
        <w:lastRenderedPageBreak/>
        <w:t>TENDER EVALUATION METHODOLOGY AND CRITERIA</w:t>
      </w:r>
      <w:bookmarkEnd w:id="114"/>
      <w:bookmarkEnd w:id="115"/>
      <w:bookmarkEnd w:id="116"/>
      <w:bookmarkEnd w:id="117"/>
      <w:bookmarkEnd w:id="118"/>
      <w:r w:rsidRPr="008F3D2C">
        <w:rPr>
          <w:sz w:val="20"/>
          <w:szCs w:val="20"/>
        </w:rPr>
        <w:t xml:space="preserve"> </w:t>
      </w:r>
    </w:p>
    <w:p w14:paraId="20C73904" w14:textId="77777777" w:rsidR="008824CC" w:rsidRDefault="00277BB6" w:rsidP="0035766D">
      <w:pPr>
        <w:pStyle w:val="Heading1"/>
        <w:spacing w:before="240" w:after="0"/>
        <w:ind w:left="851"/>
      </w:pPr>
      <w:bookmarkStart w:id="119" w:name="_Toc403555164"/>
      <w:r>
        <w:t>Overview</w:t>
      </w:r>
      <w:bookmarkEnd w:id="119"/>
    </w:p>
    <w:p w14:paraId="20C73905" w14:textId="77777777" w:rsidR="00BF48A1" w:rsidRDefault="00BF48A1" w:rsidP="0035766D">
      <w:pPr>
        <w:pStyle w:val="MRNumberedHeading2"/>
      </w:pPr>
      <w:bookmarkStart w:id="120" w:name="_Toc403555165"/>
      <w:r>
        <w:t>T</w:t>
      </w:r>
      <w:r w:rsidRPr="003E3276">
        <w:t>h</w:t>
      </w:r>
      <w:r>
        <w:t>is section of the ITT sets out the criteria that the Authority will use to ev</w:t>
      </w:r>
      <w:r w:rsidR="006A3BFB">
        <w:t>aluate Tenders</w:t>
      </w:r>
      <w:r w:rsidR="00FB21E9">
        <w:t>.</w:t>
      </w:r>
      <w:bookmarkEnd w:id="120"/>
    </w:p>
    <w:p w14:paraId="20C73906" w14:textId="77777777" w:rsidR="00FB21E9" w:rsidRDefault="00FB21E9" w:rsidP="0035766D">
      <w:pPr>
        <w:pStyle w:val="MRNumberedHeading2"/>
      </w:pPr>
      <w:bookmarkStart w:id="121"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21"/>
    </w:p>
    <w:p w14:paraId="20C73907" w14:textId="77777777" w:rsidR="00C14AA9" w:rsidRDefault="00C14AA9" w:rsidP="0035766D">
      <w:pPr>
        <w:pStyle w:val="MRNumberedHeading2"/>
      </w:pPr>
      <w:bookmarkStart w:id="122" w:name="_Toc403555167"/>
      <w:r>
        <w:t>The Authority will award the contract to the Tender that scores the highest marks, applying the methodology below. Scoring will be carried out as follows:</w:t>
      </w:r>
      <w:bookmarkEnd w:id="122"/>
      <w:r>
        <w:t xml:space="preserve"> </w:t>
      </w:r>
    </w:p>
    <w:p w14:paraId="20C73908" w14:textId="4299EF07" w:rsidR="00C14AA9" w:rsidRDefault="0001507C" w:rsidP="001A2988">
      <w:pPr>
        <w:pStyle w:val="MRNumberedHeading3"/>
        <w:numPr>
          <w:ilvl w:val="2"/>
          <w:numId w:val="18"/>
        </w:numPr>
        <w:tabs>
          <w:tab w:val="num" w:pos="1794"/>
        </w:tabs>
        <w:spacing w:line="240" w:lineRule="auto"/>
        <w:ind w:left="1702" w:hanging="851"/>
        <w:jc w:val="both"/>
      </w:pPr>
      <w:r>
        <w:t>The Bidder must pass all Eligibility Q</w:t>
      </w:r>
      <w:r w:rsidR="00C14AA9">
        <w:t>uesti</w:t>
      </w:r>
      <w:r>
        <w:t>ons.</w:t>
      </w:r>
    </w:p>
    <w:p w14:paraId="3A08CC90" w14:textId="010E5575" w:rsidR="00D02436" w:rsidRDefault="00D02436" w:rsidP="001A2988">
      <w:pPr>
        <w:pStyle w:val="MRNumberedHeading3"/>
        <w:numPr>
          <w:ilvl w:val="2"/>
          <w:numId w:val="18"/>
        </w:numPr>
        <w:tabs>
          <w:tab w:val="num" w:pos="1794"/>
        </w:tabs>
        <w:spacing w:line="240" w:lineRule="auto"/>
        <w:ind w:left="1702" w:hanging="851"/>
        <w:jc w:val="both"/>
      </w:pPr>
      <w:bookmarkStart w:id="123" w:name="_Ref406761853"/>
      <w:bookmarkStart w:id="124" w:name="_Toc403555168"/>
      <w:r>
        <w:t xml:space="preserve">The Authority will then mark </w:t>
      </w:r>
      <w:r w:rsidRPr="00D47A0D">
        <w:t>Annex B2 of Section B (Specification) and</w:t>
      </w:r>
      <w:r>
        <w:t xml:space="preserve"> Annex B3 of Section B (Tender Response Document) ("</w:t>
      </w:r>
      <w:r w:rsidRPr="004B6544">
        <w:rPr>
          <w:b/>
        </w:rPr>
        <w:t>Scored Questions</w:t>
      </w:r>
      <w:r>
        <w:t>") for all Bidders that pass all the Eligibility Questions.</w:t>
      </w:r>
      <w:bookmarkEnd w:id="123"/>
      <w:r>
        <w:t xml:space="preserve"> </w:t>
      </w:r>
    </w:p>
    <w:p w14:paraId="20C7390A" w14:textId="47EE700D" w:rsidR="00C14AA9" w:rsidRDefault="00C14AA9" w:rsidP="0035766D">
      <w:pPr>
        <w:pStyle w:val="MRNumberedHeading2"/>
      </w:pPr>
      <w:r>
        <w:t xml:space="preserve">The Authority will mark Eligibility Questions as described in paragraphs </w:t>
      </w:r>
      <w:r w:rsidR="00755665">
        <w:t>4.5</w:t>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AB7EA4">
        <w:t>4.7</w:t>
      </w:r>
      <w:r w:rsidR="00A77338">
        <w:fldChar w:fldCharType="end"/>
      </w:r>
      <w:r w:rsidR="00A77338">
        <w:t xml:space="preserve"> </w:t>
      </w:r>
      <w:r>
        <w:t xml:space="preserve">below.  It will mark the Scored Questions as described in paragraphs </w:t>
      </w:r>
      <w:bookmarkEnd w:id="124"/>
      <w:r w:rsidR="00755665">
        <w:t xml:space="preserve">4.8 to </w:t>
      </w:r>
      <w:proofErr w:type="gramStart"/>
      <w:r w:rsidR="00755665">
        <w:t>4.11</w:t>
      </w:r>
      <w:proofErr w:type="gramEnd"/>
    </w:p>
    <w:p w14:paraId="724A97E6" w14:textId="77777777" w:rsidR="00D02436" w:rsidRDefault="00D02436" w:rsidP="00D02436">
      <w:pPr>
        <w:pStyle w:val="Heading1"/>
        <w:spacing w:before="240" w:after="0"/>
        <w:ind w:left="851"/>
      </w:pPr>
      <w:bookmarkStart w:id="125" w:name="_Toc403555169"/>
      <w:bookmarkStart w:id="126" w:name="_Ref403484377"/>
      <w:bookmarkStart w:id="127" w:name="_Toc403555170"/>
      <w:r>
        <w:t>Criteria – Eligibility Questions</w:t>
      </w:r>
      <w:bookmarkEnd w:id="125"/>
    </w:p>
    <w:p w14:paraId="298C4E44" w14:textId="77777777" w:rsidR="00994051" w:rsidRDefault="00C14AA9" w:rsidP="00994051">
      <w:pPr>
        <w:pStyle w:val="MRNumberedHeading2"/>
      </w:pPr>
      <w:r>
        <w:t>The Authority will score Eligibility Questions on the following basis:</w:t>
      </w:r>
      <w:bookmarkEnd w:id="126"/>
      <w:bookmarkEnd w:id="127"/>
    </w:p>
    <w:p w14:paraId="20C7390D" w14:textId="06A35588" w:rsidR="00CF3319" w:rsidRPr="00B44E25" w:rsidRDefault="00CF3319" w:rsidP="009940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838"/>
        <w:gridCol w:w="2788"/>
      </w:tblGrid>
      <w:tr w:rsidR="00505AD7" w:rsidRPr="00440F01" w14:paraId="20C73910" w14:textId="0C88902E" w:rsidTr="00A6028E">
        <w:tc>
          <w:tcPr>
            <w:tcW w:w="2334" w:type="dxa"/>
            <w:shd w:val="clear" w:color="auto" w:fill="A6A6A6"/>
          </w:tcPr>
          <w:p w14:paraId="20C7390E"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838" w:type="dxa"/>
            <w:shd w:val="clear" w:color="auto" w:fill="A6A6A6"/>
          </w:tcPr>
          <w:p w14:paraId="20C7390F" w14:textId="77777777" w:rsidR="00505AD7" w:rsidRPr="00440F01" w:rsidRDefault="00505AD7" w:rsidP="00C14AA9">
            <w:pPr>
              <w:spacing w:after="240"/>
              <w:outlineLvl w:val="2"/>
              <w:rPr>
                <w:color w:val="000000"/>
              </w:rPr>
            </w:pPr>
            <w:r w:rsidRPr="00440F01">
              <w:rPr>
                <w:color w:val="000000"/>
              </w:rPr>
              <w:t>Selection criteria</w:t>
            </w:r>
          </w:p>
        </w:tc>
        <w:tc>
          <w:tcPr>
            <w:tcW w:w="2788" w:type="dxa"/>
            <w:shd w:val="clear" w:color="auto" w:fill="A6A6A6"/>
          </w:tcPr>
          <w:p w14:paraId="6E0FE975" w14:textId="5B65FA9A" w:rsidR="00505AD7" w:rsidRPr="00440F01" w:rsidRDefault="00505AD7" w:rsidP="00C14AA9">
            <w:pPr>
              <w:spacing w:after="240"/>
              <w:outlineLvl w:val="2"/>
              <w:rPr>
                <w:color w:val="000000"/>
              </w:rPr>
            </w:pPr>
            <w:r>
              <w:rPr>
                <w:color w:val="000000"/>
              </w:rPr>
              <w:t>Self-Certify</w:t>
            </w:r>
          </w:p>
        </w:tc>
      </w:tr>
      <w:tr w:rsidR="00505AD7" w:rsidRPr="00440F01" w14:paraId="20C73913" w14:textId="737C28E8" w:rsidTr="00A6028E">
        <w:tc>
          <w:tcPr>
            <w:tcW w:w="2334" w:type="dxa"/>
            <w:shd w:val="clear" w:color="auto" w:fill="auto"/>
          </w:tcPr>
          <w:p w14:paraId="20C73911" w14:textId="3584AEEF" w:rsidR="00505AD7" w:rsidRPr="00994051" w:rsidRDefault="00505AD7" w:rsidP="00994051">
            <w:pPr>
              <w:spacing w:after="240"/>
              <w:outlineLvl w:val="2"/>
              <w:rPr>
                <w:color w:val="000000"/>
              </w:rPr>
            </w:pPr>
            <w:r w:rsidRPr="00994051">
              <w:rPr>
                <w:color w:val="000000"/>
              </w:rPr>
              <w:t>Section 1:</w:t>
            </w:r>
            <w:r>
              <w:rPr>
                <w:color w:val="000000"/>
              </w:rPr>
              <w:t xml:space="preserve"> Potential supplier information</w:t>
            </w:r>
          </w:p>
        </w:tc>
        <w:tc>
          <w:tcPr>
            <w:tcW w:w="2838" w:type="dxa"/>
            <w:shd w:val="clear" w:color="auto" w:fill="auto"/>
          </w:tcPr>
          <w:p w14:paraId="20C73912" w14:textId="77777777" w:rsidR="00505AD7" w:rsidRPr="00440F01" w:rsidRDefault="00505AD7" w:rsidP="00C14AA9">
            <w:pPr>
              <w:spacing w:after="240"/>
              <w:outlineLvl w:val="2"/>
              <w:rPr>
                <w:color w:val="000000"/>
              </w:rPr>
            </w:pPr>
            <w:r>
              <w:rPr>
                <w:color w:val="000000"/>
              </w:rPr>
              <w:t>For information only</w:t>
            </w:r>
          </w:p>
        </w:tc>
        <w:tc>
          <w:tcPr>
            <w:tcW w:w="2788" w:type="dxa"/>
          </w:tcPr>
          <w:p w14:paraId="7D3A52C6" w14:textId="724BC673" w:rsidR="00505AD7" w:rsidRDefault="00505AD7" w:rsidP="00C14AA9">
            <w:pPr>
              <w:spacing w:after="240"/>
              <w:outlineLvl w:val="2"/>
              <w:rPr>
                <w:color w:val="000000"/>
              </w:rPr>
            </w:pPr>
            <w:r>
              <w:rPr>
                <w:color w:val="000000"/>
              </w:rPr>
              <w:t>N/A</w:t>
            </w:r>
          </w:p>
        </w:tc>
      </w:tr>
      <w:tr w:rsidR="00505AD7" w:rsidRPr="00440F01" w14:paraId="20C73916" w14:textId="418677EE" w:rsidTr="00A6028E">
        <w:tc>
          <w:tcPr>
            <w:tcW w:w="2334" w:type="dxa"/>
            <w:shd w:val="clear" w:color="auto" w:fill="auto"/>
          </w:tcPr>
          <w:p w14:paraId="20C73914" w14:textId="4F850F1D" w:rsidR="00505AD7" w:rsidRPr="00994051" w:rsidRDefault="00505AD7" w:rsidP="00994051">
            <w:pPr>
              <w:tabs>
                <w:tab w:val="left" w:pos="317"/>
              </w:tabs>
              <w:spacing w:after="240"/>
              <w:outlineLvl w:val="2"/>
              <w:rPr>
                <w:color w:val="000000"/>
              </w:rPr>
            </w:pPr>
            <w:r>
              <w:rPr>
                <w:color w:val="000000"/>
              </w:rPr>
              <w:t xml:space="preserve">Section 2: </w:t>
            </w:r>
            <w:r w:rsidRPr="00994051">
              <w:rPr>
                <w:color w:val="000000"/>
              </w:rPr>
              <w:t>Grounds for mandatory exclusion</w:t>
            </w:r>
          </w:p>
        </w:tc>
        <w:tc>
          <w:tcPr>
            <w:tcW w:w="2838" w:type="dxa"/>
            <w:shd w:val="clear" w:color="auto" w:fill="auto"/>
          </w:tcPr>
          <w:p w14:paraId="20C73915"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788" w:type="dxa"/>
          </w:tcPr>
          <w:p w14:paraId="5EB3C4FE" w14:textId="6009282E" w:rsidR="00505AD7" w:rsidRPr="00440F01" w:rsidRDefault="00505AD7" w:rsidP="00C14AA9">
            <w:pPr>
              <w:spacing w:after="240"/>
              <w:outlineLvl w:val="2"/>
              <w:rPr>
                <w:color w:val="000000"/>
              </w:rPr>
            </w:pPr>
            <w:r>
              <w:rPr>
                <w:color w:val="000000"/>
              </w:rPr>
              <w:t xml:space="preserve">Yes </w:t>
            </w:r>
          </w:p>
        </w:tc>
      </w:tr>
      <w:tr w:rsidR="00505AD7" w:rsidRPr="00440F01" w14:paraId="20C73919" w14:textId="319934D1" w:rsidTr="00A6028E">
        <w:tc>
          <w:tcPr>
            <w:tcW w:w="2334" w:type="dxa"/>
            <w:shd w:val="clear" w:color="auto" w:fill="auto"/>
          </w:tcPr>
          <w:p w14:paraId="20C73917" w14:textId="29995374" w:rsidR="00505AD7" w:rsidRPr="00994051" w:rsidRDefault="00505AD7" w:rsidP="00994051">
            <w:pPr>
              <w:spacing w:after="240"/>
              <w:outlineLvl w:val="2"/>
              <w:rPr>
                <w:color w:val="000000"/>
              </w:rPr>
            </w:pPr>
            <w:r w:rsidRPr="00994051">
              <w:rPr>
                <w:color w:val="000000"/>
              </w:rPr>
              <w:t xml:space="preserve">Section 3: Grounds for </w:t>
            </w:r>
            <w:r w:rsidR="00755665">
              <w:rPr>
                <w:color w:val="000000"/>
              </w:rPr>
              <w:t xml:space="preserve">Mandatory and </w:t>
            </w:r>
            <w:r w:rsidRPr="00994051">
              <w:rPr>
                <w:color w:val="000000"/>
              </w:rPr>
              <w:t xml:space="preserve">discretionary exclusion </w:t>
            </w:r>
            <w:r w:rsidR="00755665">
              <w:rPr>
                <w:color w:val="000000"/>
              </w:rPr>
              <w:t>relating to the payment of taxes and social security contributions</w:t>
            </w:r>
          </w:p>
        </w:tc>
        <w:tc>
          <w:tcPr>
            <w:tcW w:w="2838" w:type="dxa"/>
            <w:shd w:val="clear" w:color="auto" w:fill="auto"/>
          </w:tcPr>
          <w:p w14:paraId="20C73918"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788" w:type="dxa"/>
          </w:tcPr>
          <w:p w14:paraId="5D8C0905" w14:textId="5A575708" w:rsidR="00505AD7" w:rsidRPr="00440F01" w:rsidRDefault="00505AD7" w:rsidP="00C14AA9">
            <w:pPr>
              <w:spacing w:after="240"/>
              <w:outlineLvl w:val="2"/>
              <w:rPr>
                <w:color w:val="000000"/>
              </w:rPr>
            </w:pPr>
            <w:r>
              <w:rPr>
                <w:color w:val="000000"/>
              </w:rPr>
              <w:t xml:space="preserve">Yes </w:t>
            </w:r>
          </w:p>
        </w:tc>
      </w:tr>
      <w:tr w:rsidR="00755665" w:rsidRPr="00440F01" w14:paraId="05C41046" w14:textId="77777777" w:rsidTr="00A6028E">
        <w:tc>
          <w:tcPr>
            <w:tcW w:w="2334" w:type="dxa"/>
            <w:shd w:val="clear" w:color="auto" w:fill="auto"/>
          </w:tcPr>
          <w:p w14:paraId="394D3B6D" w14:textId="02B99B44" w:rsidR="00755665" w:rsidRPr="00994051" w:rsidRDefault="00755665" w:rsidP="00994051">
            <w:pPr>
              <w:spacing w:after="240"/>
              <w:outlineLvl w:val="2"/>
              <w:rPr>
                <w:color w:val="000000"/>
              </w:rPr>
            </w:pPr>
            <w:r>
              <w:rPr>
                <w:color w:val="000000"/>
              </w:rPr>
              <w:t>Section 4: Grounds for Discretionary Exclusion</w:t>
            </w:r>
          </w:p>
        </w:tc>
        <w:tc>
          <w:tcPr>
            <w:tcW w:w="2838" w:type="dxa"/>
            <w:shd w:val="clear" w:color="auto" w:fill="auto"/>
          </w:tcPr>
          <w:p w14:paraId="62ED8782" w14:textId="0292B192" w:rsidR="00755665" w:rsidRPr="00440F01" w:rsidRDefault="00755665" w:rsidP="00C14AA9">
            <w:pPr>
              <w:spacing w:after="240"/>
              <w:outlineLvl w:val="2"/>
              <w:rPr>
                <w:color w:val="000000"/>
              </w:rPr>
            </w:pPr>
            <w:r>
              <w:rPr>
                <w:color w:val="000000"/>
              </w:rPr>
              <w:t xml:space="preserve">Pass or </w:t>
            </w:r>
            <w:proofErr w:type="gramStart"/>
            <w:r>
              <w:rPr>
                <w:color w:val="000000"/>
              </w:rPr>
              <w:t>Fail</w:t>
            </w:r>
            <w:proofErr w:type="gramEnd"/>
          </w:p>
        </w:tc>
        <w:tc>
          <w:tcPr>
            <w:tcW w:w="2788" w:type="dxa"/>
          </w:tcPr>
          <w:p w14:paraId="4D7467EF" w14:textId="08ADB0B1" w:rsidR="00755665" w:rsidRDefault="00755665" w:rsidP="00C14AA9">
            <w:pPr>
              <w:spacing w:after="240"/>
              <w:outlineLvl w:val="2"/>
              <w:rPr>
                <w:color w:val="000000"/>
              </w:rPr>
            </w:pPr>
            <w:r>
              <w:rPr>
                <w:color w:val="000000"/>
              </w:rPr>
              <w:t>Yes</w:t>
            </w:r>
          </w:p>
        </w:tc>
      </w:tr>
      <w:tr w:rsidR="00505AD7" w:rsidRPr="00440F01" w14:paraId="790AF828" w14:textId="6042EF83" w:rsidTr="00A6028E">
        <w:tc>
          <w:tcPr>
            <w:tcW w:w="2334" w:type="dxa"/>
            <w:shd w:val="clear" w:color="auto" w:fill="auto"/>
          </w:tcPr>
          <w:p w14:paraId="56035A41" w14:textId="0A6018B2" w:rsidR="00505AD7" w:rsidRPr="00994051" w:rsidRDefault="00505AD7" w:rsidP="00994051">
            <w:pPr>
              <w:spacing w:after="240"/>
              <w:outlineLvl w:val="2"/>
              <w:rPr>
                <w:color w:val="000000"/>
              </w:rPr>
            </w:pPr>
            <w:r>
              <w:rPr>
                <w:color w:val="000000"/>
              </w:rPr>
              <w:t>Section 5: Economic and Financial Standing</w:t>
            </w:r>
          </w:p>
        </w:tc>
        <w:tc>
          <w:tcPr>
            <w:tcW w:w="2838" w:type="dxa"/>
            <w:shd w:val="clear" w:color="auto" w:fill="auto"/>
          </w:tcPr>
          <w:p w14:paraId="59AA65A9" w14:textId="691A4889" w:rsidR="00505AD7" w:rsidRPr="00440F01"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788" w:type="dxa"/>
          </w:tcPr>
          <w:p w14:paraId="02EB679C" w14:textId="63B2C471" w:rsidR="00505AD7" w:rsidRPr="00B35665" w:rsidRDefault="00505AD7" w:rsidP="00C14AA9">
            <w:pPr>
              <w:spacing w:after="240"/>
              <w:outlineLvl w:val="2"/>
              <w:rPr>
                <w:color w:val="000000"/>
              </w:rPr>
            </w:pPr>
            <w:r>
              <w:rPr>
                <w:color w:val="000000"/>
              </w:rPr>
              <w:t xml:space="preserve">Yes </w:t>
            </w:r>
          </w:p>
        </w:tc>
      </w:tr>
      <w:tr w:rsidR="00505AD7" w:rsidRPr="00440F01" w14:paraId="0F4C45CF" w14:textId="1BF2782F" w:rsidTr="00A6028E">
        <w:tc>
          <w:tcPr>
            <w:tcW w:w="2334" w:type="dxa"/>
            <w:shd w:val="clear" w:color="auto" w:fill="auto"/>
          </w:tcPr>
          <w:p w14:paraId="66E7970C" w14:textId="7C1ED489" w:rsidR="00505AD7" w:rsidRDefault="00505AD7" w:rsidP="00994051">
            <w:pPr>
              <w:spacing w:after="240"/>
              <w:outlineLvl w:val="2"/>
              <w:rPr>
                <w:color w:val="000000"/>
              </w:rPr>
            </w:pPr>
            <w:r>
              <w:rPr>
                <w:color w:val="000000"/>
              </w:rPr>
              <w:t>Section 6: Technical and Professional Ability</w:t>
            </w:r>
          </w:p>
        </w:tc>
        <w:tc>
          <w:tcPr>
            <w:tcW w:w="2838" w:type="dxa"/>
            <w:shd w:val="clear" w:color="auto" w:fill="auto"/>
          </w:tcPr>
          <w:p w14:paraId="5D9A9B7F" w14:textId="112423F3" w:rsidR="00505AD7"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788" w:type="dxa"/>
          </w:tcPr>
          <w:p w14:paraId="3FF95282" w14:textId="5C270A86" w:rsidR="00505AD7" w:rsidRPr="00B35665" w:rsidRDefault="00505AD7" w:rsidP="00C14AA9">
            <w:pPr>
              <w:spacing w:after="240"/>
              <w:outlineLvl w:val="2"/>
              <w:rPr>
                <w:color w:val="000000"/>
              </w:rPr>
            </w:pPr>
            <w:r>
              <w:rPr>
                <w:color w:val="000000"/>
              </w:rPr>
              <w:t xml:space="preserve">Yes </w:t>
            </w:r>
          </w:p>
        </w:tc>
      </w:tr>
      <w:tr w:rsidR="00755665" w:rsidRPr="00440F01" w14:paraId="37886B27" w14:textId="77777777" w:rsidTr="00A6028E">
        <w:tc>
          <w:tcPr>
            <w:tcW w:w="2334" w:type="dxa"/>
            <w:shd w:val="clear" w:color="auto" w:fill="auto"/>
          </w:tcPr>
          <w:p w14:paraId="26C5AB09" w14:textId="229B73BE" w:rsidR="00755665" w:rsidRDefault="00755665" w:rsidP="00994051">
            <w:pPr>
              <w:spacing w:after="240"/>
              <w:outlineLvl w:val="2"/>
              <w:rPr>
                <w:color w:val="000000"/>
              </w:rPr>
            </w:pPr>
            <w:r>
              <w:rPr>
                <w:color w:val="000000"/>
              </w:rPr>
              <w:t xml:space="preserve">Section 7: Additional Questions including </w:t>
            </w:r>
            <w:r w:rsidR="0011428C">
              <w:rPr>
                <w:color w:val="000000"/>
              </w:rPr>
              <w:t>Project-Specific</w:t>
            </w:r>
            <w:r>
              <w:rPr>
                <w:color w:val="000000"/>
              </w:rPr>
              <w:t xml:space="preserve"> Questions</w:t>
            </w:r>
          </w:p>
        </w:tc>
        <w:tc>
          <w:tcPr>
            <w:tcW w:w="2838" w:type="dxa"/>
            <w:shd w:val="clear" w:color="auto" w:fill="auto"/>
          </w:tcPr>
          <w:p w14:paraId="083F2FA5" w14:textId="7AF994AD" w:rsidR="00755665" w:rsidRPr="00B35665" w:rsidRDefault="00755665" w:rsidP="00C14AA9">
            <w:pPr>
              <w:spacing w:after="240"/>
              <w:outlineLvl w:val="2"/>
              <w:rPr>
                <w:color w:val="000000"/>
              </w:rPr>
            </w:pPr>
            <w:r>
              <w:rPr>
                <w:color w:val="000000"/>
              </w:rPr>
              <w:t xml:space="preserve">Pass or </w:t>
            </w:r>
            <w:proofErr w:type="gramStart"/>
            <w:r>
              <w:rPr>
                <w:color w:val="000000"/>
              </w:rPr>
              <w:t>Fail</w:t>
            </w:r>
            <w:proofErr w:type="gramEnd"/>
          </w:p>
        </w:tc>
        <w:tc>
          <w:tcPr>
            <w:tcW w:w="2788" w:type="dxa"/>
          </w:tcPr>
          <w:p w14:paraId="7B138955" w14:textId="6ABDEEAC" w:rsidR="00755665" w:rsidRDefault="00755665" w:rsidP="00C14AA9">
            <w:pPr>
              <w:spacing w:after="240"/>
              <w:outlineLvl w:val="2"/>
              <w:rPr>
                <w:color w:val="000000"/>
              </w:rPr>
            </w:pPr>
            <w:r>
              <w:rPr>
                <w:color w:val="000000"/>
              </w:rPr>
              <w:t>Yes</w:t>
            </w:r>
          </w:p>
        </w:tc>
      </w:tr>
    </w:tbl>
    <w:p w14:paraId="20C73933" w14:textId="77777777" w:rsidR="00B44E25" w:rsidRDefault="00B44E25" w:rsidP="00B44E25">
      <w:pPr>
        <w:jc w:val="center"/>
        <w:rPr>
          <w:rFonts w:cs="Arial"/>
          <w:b/>
          <w:szCs w:val="22"/>
        </w:rPr>
      </w:pPr>
    </w:p>
    <w:p w14:paraId="06983555" w14:textId="77777777" w:rsidR="00424A57" w:rsidRPr="00424A57" w:rsidRDefault="007C2F2F" w:rsidP="006B54D6">
      <w:pPr>
        <w:pStyle w:val="MRNumberedHeading2"/>
        <w:rPr>
          <w:i/>
        </w:rPr>
      </w:pPr>
      <w:bookmarkStart w:id="128" w:name="_Toc403555171"/>
      <w:r w:rsidRPr="003E3276">
        <w:lastRenderedPageBreak/>
        <w:t>To</w:t>
      </w:r>
      <w:r>
        <w:t xml:space="preserve"> </w:t>
      </w:r>
      <w:r w:rsidR="00424A57">
        <w:t>score a "pass", the Tender must:</w:t>
      </w:r>
    </w:p>
    <w:p w14:paraId="7EE69420" w14:textId="6F8BF33A" w:rsidR="00424A57" w:rsidRPr="00424A57" w:rsidRDefault="00505AD7" w:rsidP="001A2988">
      <w:pPr>
        <w:pStyle w:val="MRNumberedHeading2"/>
        <w:numPr>
          <w:ilvl w:val="2"/>
          <w:numId w:val="18"/>
        </w:numPr>
        <w:tabs>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w:t>
      </w:r>
      <w:r w:rsidR="00D47A0D">
        <w:t>supporting evidence</w:t>
      </w:r>
      <w:r w:rsidR="0077089B">
        <w:t xml:space="preserve"> during the standstill period; and</w:t>
      </w:r>
    </w:p>
    <w:p w14:paraId="20C73934" w14:textId="4581ADF8" w:rsidR="007C2F2F" w:rsidRPr="007C2F2F" w:rsidRDefault="00424A57" w:rsidP="001A2988">
      <w:pPr>
        <w:pStyle w:val="MRNumberedHeading2"/>
        <w:numPr>
          <w:ilvl w:val="2"/>
          <w:numId w:val="18"/>
        </w:numPr>
        <w:tabs>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w:t>
      </w:r>
      <w:r w:rsidR="00D47A0D">
        <w:t>evidence/examples/information</w:t>
      </w:r>
      <w:r w:rsidR="007C2F2F" w:rsidRPr="007C2F2F">
        <w:t>.</w:t>
      </w:r>
      <w:r w:rsidR="007C2F2F">
        <w:t xml:space="preserve">  It must give </w:t>
      </w:r>
      <w:r w:rsidR="007C2F2F" w:rsidRPr="007C2F2F">
        <w:t>a reasonable degree of confidence that the Bidder has the capability,</w:t>
      </w:r>
      <w:r w:rsidR="007C2F2F">
        <w:rPr>
          <w:rFonts w:cs="Arial"/>
        </w:rPr>
        <w:t xml:space="preserve"> </w:t>
      </w:r>
      <w:r w:rsidR="00501CD3">
        <w:rPr>
          <w:rFonts w:cs="Arial"/>
        </w:rPr>
        <w:t>resources,</w:t>
      </w:r>
      <w:r w:rsidR="007C2F2F">
        <w:rPr>
          <w:rFonts w:cs="Arial"/>
        </w:rPr>
        <w:t xml:space="preserve"> and experience to properly perform the contract.</w:t>
      </w:r>
      <w:bookmarkEnd w:id="128"/>
    </w:p>
    <w:p w14:paraId="20C73935" w14:textId="77777777" w:rsidR="00B44E25" w:rsidRPr="00B44E25" w:rsidRDefault="00B44E25" w:rsidP="006B54D6">
      <w:pPr>
        <w:pStyle w:val="MRNumberedHeading2"/>
        <w:rPr>
          <w:i/>
        </w:rPr>
      </w:pPr>
      <w:bookmarkStart w:id="129" w:name="_Ref403484379"/>
      <w:bookmarkStart w:id="130" w:name="_Toc403555172"/>
      <w:r w:rsidRPr="00B44E25">
        <w:t>Where a Bidder scores a "</w:t>
      </w:r>
      <w:proofErr w:type="gramStart"/>
      <w:r w:rsidRPr="00B44E25">
        <w:t>fail</w:t>
      </w:r>
      <w:proofErr w:type="gramEnd"/>
      <w:r w:rsidRPr="00B44E25">
        <w:t xml:space="preserve">" for any question, </w:t>
      </w:r>
      <w:r w:rsidR="00C14AA9">
        <w:t>the Authority will treat the Tender as non-compliant and it will not award a mark for the Scored Questions.</w:t>
      </w:r>
      <w:bookmarkEnd w:id="129"/>
      <w:bookmarkEnd w:id="130"/>
      <w:r w:rsidR="00C14AA9">
        <w:t xml:space="preserve"> </w:t>
      </w:r>
    </w:p>
    <w:p w14:paraId="20C73936" w14:textId="30019D0D" w:rsidR="00BF48A1" w:rsidRPr="007C2F2F" w:rsidRDefault="007C2F2F" w:rsidP="00276E1B">
      <w:pPr>
        <w:pStyle w:val="Heading1"/>
        <w:spacing w:before="240" w:after="0"/>
        <w:ind w:left="851"/>
      </w:pPr>
      <w:bookmarkStart w:id="131" w:name="_Toc403555173"/>
      <w:r w:rsidRPr="007C2F2F">
        <w:t>C</w:t>
      </w:r>
      <w:r w:rsidR="000B1075" w:rsidRPr="007C2F2F">
        <w:t xml:space="preserve">riteria </w:t>
      </w:r>
      <w:r w:rsidRPr="007C2F2F">
        <w:t>– Scored Questions</w:t>
      </w:r>
      <w:bookmarkEnd w:id="131"/>
    </w:p>
    <w:p w14:paraId="20C73938" w14:textId="77777777" w:rsidR="003E3276" w:rsidRPr="000522E2" w:rsidRDefault="003E3276" w:rsidP="000522E2">
      <w:pPr>
        <w:pStyle w:val="MRNumberedHeading2"/>
        <w:rPr>
          <w:strike/>
        </w:rPr>
      </w:pPr>
    </w:p>
    <w:tbl>
      <w:tblPr>
        <w:tblStyle w:val="TableGrid"/>
        <w:tblpPr w:leftFromText="180" w:rightFromText="180" w:vertAnchor="text" w:tblpY="1"/>
        <w:tblOverlap w:val="never"/>
        <w:tblW w:w="7087" w:type="dxa"/>
        <w:tblLayout w:type="fixed"/>
        <w:tblLook w:val="04A0" w:firstRow="1" w:lastRow="0" w:firstColumn="1" w:lastColumn="0" w:noHBand="0" w:noVBand="1"/>
      </w:tblPr>
      <w:tblGrid>
        <w:gridCol w:w="4677"/>
        <w:gridCol w:w="2410"/>
      </w:tblGrid>
      <w:tr w:rsidR="00107AB6" w:rsidRPr="00D47A0D" w14:paraId="20C7393C" w14:textId="198B13A9" w:rsidTr="00B240C9">
        <w:tc>
          <w:tcPr>
            <w:tcW w:w="4677" w:type="dxa"/>
            <w:shd w:val="clear" w:color="auto" w:fill="BFBFBF" w:themeFill="background1" w:themeFillShade="BF"/>
          </w:tcPr>
          <w:p w14:paraId="20C73939" w14:textId="77777777" w:rsidR="00107AB6" w:rsidRPr="00D47A0D" w:rsidRDefault="00107AB6" w:rsidP="00B240C9">
            <w:pPr>
              <w:pStyle w:val="Heading2"/>
              <w:numPr>
                <w:ilvl w:val="0"/>
                <w:numId w:val="0"/>
              </w:numPr>
              <w:rPr>
                <w:b/>
              </w:rPr>
            </w:pPr>
            <w:r w:rsidRPr="00D47A0D">
              <w:rPr>
                <w:b/>
              </w:rPr>
              <w:t>Evaluation criteria</w:t>
            </w:r>
          </w:p>
        </w:tc>
        <w:tc>
          <w:tcPr>
            <w:tcW w:w="2410" w:type="dxa"/>
            <w:shd w:val="clear" w:color="auto" w:fill="BFBFBF" w:themeFill="background1" w:themeFillShade="BF"/>
          </w:tcPr>
          <w:p w14:paraId="20C7393B" w14:textId="77777777" w:rsidR="00107AB6" w:rsidRPr="00D47A0D" w:rsidRDefault="00107AB6" w:rsidP="00B240C9">
            <w:pPr>
              <w:pStyle w:val="Heading2"/>
              <w:numPr>
                <w:ilvl w:val="0"/>
                <w:numId w:val="0"/>
              </w:numPr>
              <w:rPr>
                <w:b/>
              </w:rPr>
            </w:pPr>
            <w:r w:rsidRPr="00D47A0D">
              <w:rPr>
                <w:b/>
              </w:rPr>
              <w:t>Weighting</w:t>
            </w:r>
          </w:p>
        </w:tc>
      </w:tr>
      <w:tr w:rsidR="00107AB6" w:rsidRPr="00D47A0D" w14:paraId="20C73941" w14:textId="05B0CEF6" w:rsidTr="00B240C9">
        <w:tc>
          <w:tcPr>
            <w:tcW w:w="4677" w:type="dxa"/>
          </w:tcPr>
          <w:p w14:paraId="20C7393D" w14:textId="5E8BD1AA" w:rsidR="00107AB6" w:rsidRPr="00A31287" w:rsidRDefault="00A31287" w:rsidP="00B240C9">
            <w:pPr>
              <w:pStyle w:val="Heading2"/>
              <w:numPr>
                <w:ilvl w:val="0"/>
                <w:numId w:val="0"/>
              </w:numPr>
            </w:pPr>
            <w:r w:rsidRPr="00A31287">
              <w:t>Quality and Technical</w:t>
            </w:r>
          </w:p>
          <w:p w14:paraId="20C7393E" w14:textId="62B877F7" w:rsidR="00107AB6" w:rsidRPr="00A31287" w:rsidRDefault="00107AB6" w:rsidP="00B240C9">
            <w:pPr>
              <w:pStyle w:val="Heading2"/>
              <w:numPr>
                <w:ilvl w:val="0"/>
                <w:numId w:val="0"/>
              </w:numPr>
              <w:rPr>
                <w:i/>
                <w:iCs/>
              </w:rPr>
            </w:pPr>
          </w:p>
        </w:tc>
        <w:tc>
          <w:tcPr>
            <w:tcW w:w="2410" w:type="dxa"/>
          </w:tcPr>
          <w:p w14:paraId="20C73940" w14:textId="5F73B40B" w:rsidR="00107AB6" w:rsidRPr="00A31287" w:rsidRDefault="00A31287" w:rsidP="00B240C9">
            <w:pPr>
              <w:pStyle w:val="Heading2"/>
              <w:numPr>
                <w:ilvl w:val="0"/>
                <w:numId w:val="0"/>
              </w:numPr>
            </w:pPr>
            <w:r w:rsidRPr="00A31287">
              <w:t>70%</w:t>
            </w:r>
          </w:p>
        </w:tc>
      </w:tr>
      <w:tr w:rsidR="00107AB6" w:rsidRPr="00D47A0D" w14:paraId="3C287F76" w14:textId="21F00FB8" w:rsidTr="00B240C9">
        <w:tc>
          <w:tcPr>
            <w:tcW w:w="4677" w:type="dxa"/>
          </w:tcPr>
          <w:p w14:paraId="7EDA4319" w14:textId="77777777" w:rsidR="00107AB6" w:rsidRPr="00A31287" w:rsidRDefault="00107AB6" w:rsidP="00B240C9">
            <w:pPr>
              <w:pStyle w:val="Heading2"/>
              <w:numPr>
                <w:ilvl w:val="0"/>
                <w:numId w:val="0"/>
              </w:numPr>
            </w:pPr>
            <w:r w:rsidRPr="00A31287">
              <w:t>Social Value and Net Zero</w:t>
            </w:r>
          </w:p>
          <w:p w14:paraId="166FAE44" w14:textId="45844866" w:rsidR="00107AB6" w:rsidRPr="00A31287" w:rsidRDefault="00107AB6" w:rsidP="00B240C9">
            <w:pPr>
              <w:pStyle w:val="Heading2"/>
              <w:numPr>
                <w:ilvl w:val="0"/>
                <w:numId w:val="0"/>
              </w:numPr>
            </w:pPr>
          </w:p>
        </w:tc>
        <w:tc>
          <w:tcPr>
            <w:tcW w:w="2410" w:type="dxa"/>
          </w:tcPr>
          <w:p w14:paraId="557D1F59" w14:textId="70338D41" w:rsidR="00107AB6" w:rsidRPr="00A31287" w:rsidRDefault="00107AB6" w:rsidP="00B240C9">
            <w:pPr>
              <w:pStyle w:val="Heading2"/>
              <w:numPr>
                <w:ilvl w:val="0"/>
                <w:numId w:val="0"/>
              </w:numPr>
            </w:pPr>
            <w:r w:rsidRPr="00A31287">
              <w:t>10%</w:t>
            </w:r>
          </w:p>
        </w:tc>
      </w:tr>
      <w:tr w:rsidR="00B240C9" w:rsidRPr="00D47A0D" w14:paraId="1374FDB8" w14:textId="77777777" w:rsidTr="00B240C9">
        <w:tc>
          <w:tcPr>
            <w:tcW w:w="4677" w:type="dxa"/>
          </w:tcPr>
          <w:p w14:paraId="773C6588" w14:textId="77777777" w:rsidR="00B240C9" w:rsidRPr="00A31287" w:rsidRDefault="00B240C9" w:rsidP="00B240C9">
            <w:pPr>
              <w:pStyle w:val="Heading2"/>
              <w:numPr>
                <w:ilvl w:val="0"/>
                <w:numId w:val="0"/>
              </w:numPr>
            </w:pPr>
            <w:r w:rsidRPr="00A31287">
              <w:t>Pricing Evaluation</w:t>
            </w:r>
          </w:p>
          <w:p w14:paraId="53CCBA86" w14:textId="77777777" w:rsidR="00B240C9" w:rsidRPr="00A31287" w:rsidRDefault="00B240C9" w:rsidP="00B240C9">
            <w:pPr>
              <w:pStyle w:val="Heading2"/>
              <w:numPr>
                <w:ilvl w:val="0"/>
                <w:numId w:val="0"/>
              </w:numPr>
            </w:pPr>
          </w:p>
        </w:tc>
        <w:tc>
          <w:tcPr>
            <w:tcW w:w="2410" w:type="dxa"/>
          </w:tcPr>
          <w:p w14:paraId="701C945F" w14:textId="631006D8" w:rsidR="00B240C9" w:rsidRPr="00A31287" w:rsidRDefault="00B240C9" w:rsidP="00B240C9">
            <w:pPr>
              <w:pStyle w:val="Heading2"/>
              <w:numPr>
                <w:ilvl w:val="0"/>
                <w:numId w:val="0"/>
              </w:numPr>
            </w:pPr>
            <w:r w:rsidRPr="00A31287">
              <w:t>20%</w:t>
            </w:r>
          </w:p>
        </w:tc>
      </w:tr>
      <w:tr w:rsidR="00B240C9" w:rsidRPr="00BB561E" w14:paraId="20C7395E" w14:textId="08AF824C" w:rsidTr="00B240C9">
        <w:tc>
          <w:tcPr>
            <w:tcW w:w="4677" w:type="dxa"/>
          </w:tcPr>
          <w:p w14:paraId="20C7395B" w14:textId="77777777" w:rsidR="00B240C9" w:rsidRPr="00A31287" w:rsidRDefault="00B240C9" w:rsidP="00B240C9">
            <w:pPr>
              <w:pStyle w:val="Heading2"/>
              <w:numPr>
                <w:ilvl w:val="0"/>
                <w:numId w:val="0"/>
              </w:numPr>
              <w:rPr>
                <w:b/>
              </w:rPr>
            </w:pPr>
            <w:r w:rsidRPr="00A31287">
              <w:rPr>
                <w:b/>
              </w:rPr>
              <w:t>Total</w:t>
            </w:r>
          </w:p>
        </w:tc>
        <w:tc>
          <w:tcPr>
            <w:tcW w:w="2410" w:type="dxa"/>
          </w:tcPr>
          <w:p w14:paraId="20C7395D" w14:textId="27BF5C1B" w:rsidR="00B240C9" w:rsidRPr="00A31287" w:rsidRDefault="00B240C9" w:rsidP="00B240C9">
            <w:pPr>
              <w:pStyle w:val="Heading2"/>
              <w:numPr>
                <w:ilvl w:val="0"/>
                <w:numId w:val="0"/>
              </w:numPr>
            </w:pPr>
            <w:r>
              <w:t>10</w:t>
            </w:r>
            <w:r w:rsidRPr="00A31287">
              <w:t>0%</w:t>
            </w:r>
          </w:p>
        </w:tc>
      </w:tr>
    </w:tbl>
    <w:p w14:paraId="20C7395F" w14:textId="37F6FEFB" w:rsidR="00362AE0" w:rsidRDefault="00B240C9" w:rsidP="0025200C">
      <w:pPr>
        <w:pStyle w:val="Heading2"/>
        <w:numPr>
          <w:ilvl w:val="0"/>
          <w:numId w:val="0"/>
        </w:numPr>
        <w:ind w:firstLine="850"/>
        <w:rPr>
          <w:b/>
        </w:rPr>
      </w:pPr>
      <w:r>
        <w:rPr>
          <w:b/>
        </w:rPr>
        <w:br w:type="textWrapping" w:clear="all"/>
      </w:r>
    </w:p>
    <w:p w14:paraId="20C73960" w14:textId="77777777" w:rsidR="007C2F2F" w:rsidRPr="007C2F2F" w:rsidRDefault="007C2F2F" w:rsidP="00276E1B">
      <w:pPr>
        <w:pStyle w:val="Heading1"/>
        <w:spacing w:before="240" w:after="0"/>
        <w:ind w:left="851"/>
      </w:pPr>
      <w:bookmarkStart w:id="132" w:name="_Toc403555175"/>
      <w:r w:rsidRPr="007C2F2F">
        <w:t>Criteria – Scored Questions</w:t>
      </w:r>
      <w:r>
        <w:t xml:space="preserve">:  pricing </w:t>
      </w:r>
      <w:proofErr w:type="gramStart"/>
      <w:r>
        <w:t>evaluation</w:t>
      </w:r>
      <w:bookmarkEnd w:id="132"/>
      <w:proofErr w:type="gramEnd"/>
    </w:p>
    <w:p w14:paraId="5ED2BA74" w14:textId="45F60283" w:rsidR="00BB561E" w:rsidRPr="00D47A0D" w:rsidRDefault="00BB561E" w:rsidP="00BB561E">
      <w:pPr>
        <w:pStyle w:val="MRNumberedHeading2"/>
      </w:pPr>
      <w:bookmarkStart w:id="133" w:name="_Toc403555176"/>
      <w:bookmarkStart w:id="134" w:name="_Ref405453282"/>
      <w:bookmarkStart w:id="135" w:name="_Toc403555177"/>
      <w:bookmarkStart w:id="136" w:name="_Ref405453293"/>
      <w:r w:rsidRPr="00D47A0D">
        <w:t>Tender prices will be scored on a comparative basis, with the lowest compliant Tender (excluding any Tenders that the Authority rejects as being abnormally low or non-compliant) receiving 100% of the available marks (20% following weighting).  All other Tenders will be compared against that lowest Tender using the formula:</w:t>
      </w:r>
      <w:bookmarkEnd w:id="133"/>
      <w:bookmarkEnd w:id="134"/>
      <w:r w:rsidRPr="00D47A0D">
        <w:t xml:space="preserve"> </w:t>
      </w:r>
    </w:p>
    <w:p w14:paraId="5547D998" w14:textId="77777777" w:rsidR="00BB561E" w:rsidRPr="006C7CDF" w:rsidRDefault="00BB561E" w:rsidP="00BB561E">
      <w:pPr>
        <w:pStyle w:val="Heading2"/>
        <w:numPr>
          <w:ilvl w:val="0"/>
          <w:numId w:val="0"/>
        </w:numPr>
        <w:ind w:left="851" w:firstLine="849"/>
        <w:rPr>
          <w:iCs/>
          <w:color w:val="auto"/>
          <w:szCs w:val="24"/>
          <w:shd w:val="clear" w:color="auto" w:fill="FFFF66"/>
        </w:rPr>
      </w:pPr>
    </w:p>
    <w:p w14:paraId="407373CF" w14:textId="08BDCB1D" w:rsidR="00BB561E" w:rsidRPr="00D47A0D" w:rsidRDefault="00BB561E" w:rsidP="00D47A0D">
      <w:pPr>
        <w:pStyle w:val="MRNumberedHeading2"/>
        <w:numPr>
          <w:ilvl w:val="0"/>
          <w:numId w:val="0"/>
        </w:numPr>
        <w:ind w:left="2550"/>
      </w:pPr>
      <w:r w:rsidRPr="00D47A0D">
        <w:t xml:space="preserve">(A / B) x 20% </w:t>
      </w:r>
    </w:p>
    <w:p w14:paraId="282EB301" w14:textId="77777777" w:rsidR="00BB561E" w:rsidRPr="00D47A0D" w:rsidRDefault="00BB561E" w:rsidP="00D47A0D">
      <w:pPr>
        <w:pStyle w:val="MRNumberedHeading2"/>
        <w:numPr>
          <w:ilvl w:val="0"/>
          <w:numId w:val="0"/>
        </w:numPr>
        <w:ind w:left="2550"/>
      </w:pPr>
      <w:r w:rsidRPr="00D47A0D">
        <w:t>A = price of lowest compliant Tender</w:t>
      </w:r>
    </w:p>
    <w:p w14:paraId="2295E8EF" w14:textId="77777777" w:rsidR="00BB561E" w:rsidRPr="00D47A0D" w:rsidRDefault="00BB561E" w:rsidP="00D47A0D">
      <w:pPr>
        <w:pStyle w:val="MRNumberedHeading2"/>
        <w:numPr>
          <w:ilvl w:val="0"/>
          <w:numId w:val="0"/>
        </w:numPr>
        <w:ind w:left="2550"/>
      </w:pPr>
      <w:r w:rsidRPr="00D47A0D">
        <w:t xml:space="preserve">B = price of the Tender being scored   </w:t>
      </w:r>
    </w:p>
    <w:p w14:paraId="20C73967" w14:textId="57CEA9A3" w:rsidR="007C2F2F" w:rsidRPr="0025200C" w:rsidRDefault="007C2F2F" w:rsidP="006B54D6">
      <w:pPr>
        <w:pStyle w:val="MRNumberedHeading2"/>
      </w:pPr>
      <w:bookmarkStart w:id="137" w:name="_Toc403555178"/>
      <w:bookmarkEnd w:id="135"/>
      <w:bookmarkEnd w:id="136"/>
      <w:r>
        <w:t xml:space="preserve">If it appears to the Authority that any Tender may be abnormally </w:t>
      </w:r>
      <w:r w:rsidR="00D47A0D">
        <w:t>low,</w:t>
      </w:r>
      <w:r>
        <w:t xml:space="preserve"> then the Authority may ask the Bidder to explain its price or costs.  If following the Bidder's </w:t>
      </w:r>
      <w:r w:rsidR="00D47A0D">
        <w:t>explanations,</w:t>
      </w:r>
      <w:r>
        <w:t xml:space="preserve"> the Authority is n</w:t>
      </w:r>
      <w:r w:rsidR="00A77338">
        <w:t>ot satisfied with the Bidder's account for the low level of price or cost in the Tender, the Authority may treat the Tender as non-compliant and reject it.</w:t>
      </w:r>
      <w:bookmarkEnd w:id="137"/>
    </w:p>
    <w:p w14:paraId="20C73968" w14:textId="77777777" w:rsidR="00A77338" w:rsidRPr="007C2F2F" w:rsidRDefault="00A77338" w:rsidP="00276E1B">
      <w:pPr>
        <w:pStyle w:val="Heading1"/>
        <w:spacing w:before="240" w:after="0"/>
        <w:ind w:left="851"/>
      </w:pPr>
      <w:bookmarkStart w:id="138" w:name="_Toc403555179"/>
      <w:r w:rsidRPr="007C2F2F">
        <w:t>Criteria – Scored Questions</w:t>
      </w:r>
      <w:r>
        <w:t xml:space="preserve">:  technical and quality </w:t>
      </w:r>
      <w:proofErr w:type="gramStart"/>
      <w:r>
        <w:t>evaluation</w:t>
      </w:r>
      <w:bookmarkEnd w:id="138"/>
      <w:proofErr w:type="gramEnd"/>
    </w:p>
    <w:p w14:paraId="20C73969" w14:textId="77777777" w:rsidR="006C1E7E" w:rsidRDefault="006C1E7E" w:rsidP="006B54D6">
      <w:pPr>
        <w:pStyle w:val="MRNumberedHeading2"/>
      </w:pPr>
      <w:bookmarkStart w:id="139" w:name="_Toc403555180"/>
      <w:bookmarkStart w:id="140" w:name="_Ref405453301"/>
      <w:r>
        <w:t xml:space="preserve">The </w:t>
      </w:r>
      <w:r w:rsidR="006A7F8F">
        <w:t>technical evaluation will be scored in accordance with the table below:</w:t>
      </w:r>
      <w:bookmarkEnd w:id="139"/>
      <w:bookmarkEnd w:id="140"/>
      <w:r w:rsidR="006A7F8F">
        <w:t xml:space="preserve"> </w:t>
      </w:r>
    </w:p>
    <w:p w14:paraId="20C7396A" w14:textId="77777777" w:rsidR="003E3276" w:rsidRDefault="003E3276" w:rsidP="006B54D6">
      <w:pPr>
        <w:pStyle w:val="MRNumberedHeading2"/>
        <w:numPr>
          <w:ilvl w:val="0"/>
          <w:numId w:val="0"/>
        </w:numPr>
        <w:ind w:left="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6A7F8F" w:rsidRPr="00A24900" w14:paraId="20C7396E" w14:textId="77777777" w:rsidTr="0005222A">
        <w:trPr>
          <w:cantSplit/>
          <w:trHeight w:val="538"/>
        </w:trPr>
        <w:tc>
          <w:tcPr>
            <w:tcW w:w="1701" w:type="dxa"/>
            <w:shd w:val="clear" w:color="auto" w:fill="BFBFBF" w:themeFill="background1" w:themeFillShade="BF"/>
            <w:vAlign w:val="center"/>
          </w:tcPr>
          <w:p w14:paraId="20C7396B" w14:textId="77777777" w:rsidR="006A7F8F" w:rsidRPr="0005222A" w:rsidRDefault="0005222A" w:rsidP="001D5911">
            <w:pPr>
              <w:pStyle w:val="Table"/>
              <w:keepNext/>
              <w:rPr>
                <w:b/>
              </w:rPr>
            </w:pPr>
            <w:r w:rsidRPr="0005222A">
              <w:rPr>
                <w:b/>
              </w:rPr>
              <w:lastRenderedPageBreak/>
              <w:t>Grade label</w:t>
            </w:r>
          </w:p>
        </w:tc>
        <w:tc>
          <w:tcPr>
            <w:tcW w:w="992" w:type="dxa"/>
            <w:shd w:val="clear" w:color="auto" w:fill="BFBFBF" w:themeFill="background1" w:themeFillShade="BF"/>
            <w:vAlign w:val="center"/>
          </w:tcPr>
          <w:p w14:paraId="20C7396C" w14:textId="77777777"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14:paraId="20C7396D" w14:textId="77777777" w:rsidR="006A7F8F" w:rsidRPr="0005222A" w:rsidRDefault="0005222A" w:rsidP="001D5911">
            <w:pPr>
              <w:pStyle w:val="Table"/>
              <w:keepNext/>
              <w:rPr>
                <w:b/>
              </w:rPr>
            </w:pPr>
            <w:r w:rsidRPr="0005222A">
              <w:rPr>
                <w:b/>
              </w:rPr>
              <w:t>Definition of Grade</w:t>
            </w:r>
          </w:p>
        </w:tc>
      </w:tr>
      <w:tr w:rsidR="0005222A" w:rsidRPr="00A24900" w14:paraId="20C73972" w14:textId="77777777" w:rsidTr="0005222A">
        <w:trPr>
          <w:cantSplit/>
          <w:trHeight w:val="860"/>
        </w:trPr>
        <w:tc>
          <w:tcPr>
            <w:tcW w:w="1701" w:type="dxa"/>
            <w:shd w:val="clear" w:color="auto" w:fill="auto"/>
            <w:vAlign w:val="center"/>
          </w:tcPr>
          <w:p w14:paraId="20C7396F" w14:textId="77777777" w:rsidR="0005222A" w:rsidRPr="00A24900" w:rsidRDefault="0005222A" w:rsidP="008E2B30">
            <w:pPr>
              <w:pStyle w:val="Table"/>
              <w:keepNext/>
            </w:pPr>
            <w:r w:rsidRPr="00A24900">
              <w:t>Unacceptable</w:t>
            </w:r>
          </w:p>
        </w:tc>
        <w:tc>
          <w:tcPr>
            <w:tcW w:w="992" w:type="dxa"/>
            <w:shd w:val="clear" w:color="auto" w:fill="auto"/>
            <w:vAlign w:val="center"/>
          </w:tcPr>
          <w:p w14:paraId="20C73970" w14:textId="77777777" w:rsidR="0005222A" w:rsidRPr="00A24900" w:rsidRDefault="0005222A" w:rsidP="008E2B30">
            <w:pPr>
              <w:pStyle w:val="Table"/>
              <w:keepNext/>
              <w:jc w:val="center"/>
            </w:pPr>
            <w:r w:rsidRPr="00A24900">
              <w:t>0</w:t>
            </w:r>
          </w:p>
        </w:tc>
        <w:tc>
          <w:tcPr>
            <w:tcW w:w="5387" w:type="dxa"/>
            <w:shd w:val="clear" w:color="auto" w:fill="auto"/>
            <w:vAlign w:val="center"/>
          </w:tcPr>
          <w:p w14:paraId="20C73971" w14:textId="77777777" w:rsidR="0005222A" w:rsidRPr="00A24900" w:rsidRDefault="000226A1" w:rsidP="00287834">
            <w:pPr>
              <w:pStyle w:val="Table"/>
              <w:keepNext/>
              <w:jc w:val="both"/>
            </w:pPr>
            <w:r>
              <w:t>The proposal c</w:t>
            </w:r>
            <w:r w:rsidR="00287834">
              <w:t xml:space="preserve">ompletely fails to meet </w:t>
            </w:r>
            <w:r w:rsidR="00A242B7">
              <w:t xml:space="preserve">the </w:t>
            </w:r>
            <w:r w:rsidR="00287834">
              <w:t>required standard or does not provide an answer</w:t>
            </w:r>
          </w:p>
        </w:tc>
      </w:tr>
      <w:tr w:rsidR="0005222A" w:rsidRPr="00A24900" w14:paraId="20C73976" w14:textId="77777777" w:rsidTr="0005222A">
        <w:trPr>
          <w:cantSplit/>
          <w:trHeight w:val="861"/>
        </w:trPr>
        <w:tc>
          <w:tcPr>
            <w:tcW w:w="1701" w:type="dxa"/>
            <w:shd w:val="clear" w:color="auto" w:fill="auto"/>
            <w:vAlign w:val="center"/>
          </w:tcPr>
          <w:p w14:paraId="20C73973" w14:textId="77777777" w:rsidR="0005222A" w:rsidRPr="00A24900" w:rsidRDefault="0005222A" w:rsidP="001D5911">
            <w:pPr>
              <w:pStyle w:val="Table"/>
              <w:keepNext/>
            </w:pPr>
            <w:r w:rsidRPr="00A24900">
              <w:t>Weak</w:t>
            </w:r>
          </w:p>
        </w:tc>
        <w:tc>
          <w:tcPr>
            <w:tcW w:w="992" w:type="dxa"/>
            <w:shd w:val="clear" w:color="auto" w:fill="auto"/>
            <w:vAlign w:val="center"/>
          </w:tcPr>
          <w:p w14:paraId="20C73974" w14:textId="77777777" w:rsidR="0005222A" w:rsidRPr="00A24900" w:rsidRDefault="0005222A" w:rsidP="001D5911">
            <w:pPr>
              <w:pStyle w:val="Table"/>
              <w:keepNext/>
              <w:jc w:val="center"/>
            </w:pPr>
            <w:r w:rsidRPr="00A24900">
              <w:t>1</w:t>
            </w:r>
          </w:p>
        </w:tc>
        <w:tc>
          <w:tcPr>
            <w:tcW w:w="5387" w:type="dxa"/>
            <w:shd w:val="clear" w:color="auto" w:fill="auto"/>
            <w:vAlign w:val="center"/>
          </w:tcPr>
          <w:p w14:paraId="20C73975" w14:textId="77777777" w:rsidR="0005222A" w:rsidRPr="00A24900" w:rsidRDefault="000226A1" w:rsidP="00A242B7">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14:paraId="20C7397A" w14:textId="77777777" w:rsidTr="0005222A">
        <w:trPr>
          <w:cantSplit/>
          <w:trHeight w:val="860"/>
        </w:trPr>
        <w:tc>
          <w:tcPr>
            <w:tcW w:w="1701" w:type="dxa"/>
            <w:shd w:val="clear" w:color="auto" w:fill="auto"/>
            <w:vAlign w:val="center"/>
          </w:tcPr>
          <w:p w14:paraId="20C73977" w14:textId="77777777" w:rsidR="0005222A" w:rsidRPr="00A24900" w:rsidRDefault="0005222A" w:rsidP="001D5911">
            <w:pPr>
              <w:pStyle w:val="Table"/>
              <w:keepNext/>
            </w:pPr>
            <w:r w:rsidRPr="00A24900">
              <w:t>Satisfactory</w:t>
            </w:r>
          </w:p>
        </w:tc>
        <w:tc>
          <w:tcPr>
            <w:tcW w:w="992" w:type="dxa"/>
            <w:shd w:val="clear" w:color="auto" w:fill="auto"/>
            <w:vAlign w:val="center"/>
          </w:tcPr>
          <w:p w14:paraId="20C73978" w14:textId="77777777" w:rsidR="0005222A" w:rsidRPr="00A24900" w:rsidRDefault="0005222A" w:rsidP="001D5911">
            <w:pPr>
              <w:pStyle w:val="Table"/>
              <w:keepNext/>
              <w:jc w:val="center"/>
            </w:pPr>
            <w:r w:rsidRPr="00A24900">
              <w:t>2</w:t>
            </w:r>
          </w:p>
        </w:tc>
        <w:tc>
          <w:tcPr>
            <w:tcW w:w="5387" w:type="dxa"/>
            <w:shd w:val="clear" w:color="auto" w:fill="auto"/>
            <w:vAlign w:val="center"/>
          </w:tcPr>
          <w:p w14:paraId="20C73979" w14:textId="77777777" w:rsidR="0005222A" w:rsidRPr="00A24900" w:rsidRDefault="000226A1" w:rsidP="0005222A">
            <w:pPr>
              <w:pStyle w:val="Table"/>
              <w:keepNext/>
              <w:jc w:val="both"/>
            </w:pPr>
            <w:r>
              <w:t>The proposal m</w:t>
            </w:r>
            <w:r w:rsidR="00287834">
              <w:t xml:space="preserve">eets the required standard in most material respects, but is lacking or inconsistent in others </w:t>
            </w:r>
          </w:p>
        </w:tc>
      </w:tr>
      <w:tr w:rsidR="0005222A" w:rsidRPr="00A24900" w14:paraId="20C7397E" w14:textId="77777777" w:rsidTr="0005222A">
        <w:trPr>
          <w:cantSplit/>
          <w:trHeight w:val="861"/>
        </w:trPr>
        <w:tc>
          <w:tcPr>
            <w:tcW w:w="1701" w:type="dxa"/>
            <w:shd w:val="clear" w:color="auto" w:fill="auto"/>
            <w:vAlign w:val="center"/>
          </w:tcPr>
          <w:p w14:paraId="20C7397B" w14:textId="77777777" w:rsidR="0005222A" w:rsidRPr="00A24900" w:rsidRDefault="0005222A" w:rsidP="001D5911">
            <w:pPr>
              <w:pStyle w:val="Table"/>
              <w:keepNext/>
            </w:pPr>
            <w:r w:rsidRPr="00A24900">
              <w:t>Good</w:t>
            </w:r>
          </w:p>
        </w:tc>
        <w:tc>
          <w:tcPr>
            <w:tcW w:w="992" w:type="dxa"/>
            <w:shd w:val="clear" w:color="auto" w:fill="auto"/>
            <w:vAlign w:val="center"/>
          </w:tcPr>
          <w:p w14:paraId="20C7397C" w14:textId="77777777" w:rsidR="0005222A" w:rsidRPr="00A24900" w:rsidRDefault="0005222A" w:rsidP="001D5911">
            <w:pPr>
              <w:pStyle w:val="Table"/>
              <w:keepNext/>
              <w:jc w:val="center"/>
            </w:pPr>
            <w:r w:rsidRPr="00A24900">
              <w:t>3</w:t>
            </w:r>
          </w:p>
        </w:tc>
        <w:tc>
          <w:tcPr>
            <w:tcW w:w="5387" w:type="dxa"/>
            <w:shd w:val="clear" w:color="auto" w:fill="auto"/>
            <w:vAlign w:val="center"/>
          </w:tcPr>
          <w:p w14:paraId="20C7397D" w14:textId="77777777" w:rsidR="0005222A" w:rsidRPr="00A24900" w:rsidRDefault="000226A1" w:rsidP="0005222A">
            <w:pPr>
              <w:pStyle w:val="Table"/>
              <w:keepNext/>
              <w:jc w:val="both"/>
            </w:pPr>
            <w:r>
              <w:t>The proposal m</w:t>
            </w:r>
            <w:r w:rsidR="00287834">
              <w:t>eets the required standard in all material respects</w:t>
            </w:r>
          </w:p>
        </w:tc>
      </w:tr>
    </w:tbl>
    <w:p w14:paraId="20C73986" w14:textId="6E9F5FC6" w:rsidR="00CF6718" w:rsidRPr="003F6B39" w:rsidRDefault="008E7F55" w:rsidP="003F6B39">
      <w:pPr>
        <w:pStyle w:val="Heading2"/>
        <w:numPr>
          <w:ilvl w:val="0"/>
          <w:numId w:val="0"/>
        </w:numPr>
        <w:rPr>
          <w:i/>
          <w:color w:val="808080" w:themeColor="background1" w:themeShade="80"/>
        </w:rPr>
      </w:pPr>
      <w:r w:rsidRPr="00BB561E">
        <w:rPr>
          <w:strike/>
        </w:rPr>
        <w:t xml:space="preserve"> </w:t>
      </w:r>
    </w:p>
    <w:p w14:paraId="20C73991" w14:textId="67056A3C" w:rsidR="00C863F5" w:rsidRPr="003F6B39" w:rsidRDefault="00901017" w:rsidP="003F6B39">
      <w:pPr>
        <w:spacing w:after="240"/>
        <w:rPr>
          <w:rFonts w:eastAsia="Calibri" w:cs="Arial"/>
          <w:b/>
          <w:sz w:val="22"/>
          <w:szCs w:val="22"/>
          <w:lang w:eastAsia="en-GB"/>
        </w:rPr>
      </w:pPr>
      <w:bookmarkStart w:id="141" w:name="_Ref403489615"/>
      <w:r>
        <w:br w:type="page"/>
      </w:r>
      <w:bookmarkEnd w:id="141"/>
    </w:p>
    <w:p w14:paraId="20C73992" w14:textId="77777777" w:rsidR="005E4E9D" w:rsidRPr="00EE57C8" w:rsidRDefault="005E4E9D" w:rsidP="005E4E9D">
      <w:pPr>
        <w:pStyle w:val="Body1"/>
        <w:ind w:left="0"/>
        <w:rPr>
          <w:b/>
        </w:rPr>
      </w:pPr>
    </w:p>
    <w:p w14:paraId="20C73993" w14:textId="108DB4F9" w:rsidR="005E4E9D" w:rsidRPr="005B59B7" w:rsidRDefault="005E4E9D" w:rsidP="00401FF0">
      <w:pPr>
        <w:pStyle w:val="MainHeading"/>
        <w:spacing w:line="480" w:lineRule="auto"/>
        <w:ind w:left="0"/>
        <w:jc w:val="center"/>
        <w:rPr>
          <w:b/>
        </w:rPr>
      </w:pPr>
      <w:bookmarkStart w:id="142" w:name="_Toc403556511"/>
      <w:bookmarkStart w:id="143" w:name="_Toc406674974"/>
      <w:bookmarkStart w:id="144" w:name="_Toc412621216"/>
      <w:bookmarkStart w:id="145" w:name="_Toc412715226"/>
      <w:r w:rsidRPr="005B59B7">
        <w:rPr>
          <w:b/>
        </w:rPr>
        <w:t>ANNEX A1</w:t>
      </w:r>
      <w:r w:rsidR="00E84532" w:rsidRPr="005B59B7">
        <w:rPr>
          <w:b/>
        </w:rPr>
        <w:br/>
      </w:r>
      <w:r w:rsidRPr="005B59B7">
        <w:rPr>
          <w:b/>
        </w:rPr>
        <w:t>NHS TERMS AND CONDITIONS</w:t>
      </w:r>
      <w:bookmarkEnd w:id="142"/>
      <w:bookmarkEnd w:id="143"/>
      <w:bookmarkEnd w:id="144"/>
      <w:bookmarkEnd w:id="145"/>
    </w:p>
    <w:p w14:paraId="20C73994" w14:textId="6345BC49" w:rsidR="005E4E9D" w:rsidRPr="00EE57C8" w:rsidRDefault="005E4E9D" w:rsidP="005E4E9D">
      <w:pPr>
        <w:pStyle w:val="Body1"/>
        <w:ind w:left="0"/>
      </w:pPr>
      <w:r w:rsidRPr="00EE57C8">
        <w:t>The Authority intends to enter into a contract with th</w:t>
      </w:r>
      <w:r w:rsidR="00CC4072">
        <w:t xml:space="preserve">e successful Bidder on the NHS </w:t>
      </w:r>
      <w:r w:rsidR="00BF698B">
        <w:t>Terms and C</w:t>
      </w:r>
      <w:r w:rsidRPr="00EE57C8">
        <w:t xml:space="preserve">onditions </w:t>
      </w:r>
      <w:r w:rsidR="00ED4669" w:rsidRPr="00BB561E">
        <w:rPr>
          <w:i/>
        </w:rPr>
        <w:t>for the Provision of Services (Contract V</w:t>
      </w:r>
      <w:r w:rsidRPr="00BB561E">
        <w:rPr>
          <w:i/>
        </w:rPr>
        <w:t>ersion)</w:t>
      </w:r>
      <w:r w:rsidR="006C7CDF">
        <w:t xml:space="preserve"> which can be found here: </w:t>
      </w:r>
      <w:hyperlink r:id="rId15" w:history="1">
        <w:r w:rsidR="006C7CDF" w:rsidRPr="00C03184">
          <w:rPr>
            <w:rStyle w:val="Hyperlink"/>
          </w:rPr>
          <w:t>https://www.england.nhs.uk/nhs-terms-and-conditions-for-the-procurement-of-non-clinical-goods-and-services/</w:t>
        </w:r>
      </w:hyperlink>
      <w:r w:rsidR="006C7CDF">
        <w:t xml:space="preserve"> </w:t>
      </w:r>
    </w:p>
    <w:p w14:paraId="20C73995" w14:textId="3BD32E90"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w:t>
      </w:r>
      <w:r w:rsidR="00372346">
        <w:t>S</w:t>
      </w:r>
      <w:r>
        <w:t xml:space="preserve">chedules, except </w:t>
      </w:r>
      <w:r w:rsidR="00372346">
        <w:t>Schedule</w:t>
      </w:r>
      <w:r>
        <w:t xml:space="preserve"> 5 (Specification and Tender Response Document) and </w:t>
      </w:r>
      <w:r w:rsidR="00372346">
        <w:t>Schedule</w:t>
      </w:r>
      <w:r>
        <w:t xml:space="preserve"> 6 (Commercial Schedule).  </w:t>
      </w:r>
    </w:p>
    <w:p w14:paraId="20C73996" w14:textId="12584AAF" w:rsidR="005E4E9D" w:rsidRDefault="005E4E9D" w:rsidP="005E4E9D">
      <w:pPr>
        <w:pStyle w:val="Body1"/>
        <w:ind w:left="0"/>
      </w:pPr>
      <w:r>
        <w:t xml:space="preserve">The Specification is set out in Annex B2 of </w:t>
      </w:r>
      <w:r w:rsidR="00D64977">
        <w:t>Section</w:t>
      </w:r>
      <w:r>
        <w:t xml:space="preserve"> B of this ITT.  </w:t>
      </w:r>
    </w:p>
    <w:p w14:paraId="20C73998" w14:textId="68C9E30C" w:rsidR="009D7244" w:rsidRDefault="009D5F0B" w:rsidP="005E4E9D">
      <w:pPr>
        <w:pStyle w:val="Body1"/>
        <w:ind w:left="0"/>
      </w:pPr>
      <w:r>
        <w:t>The Provision</w:t>
      </w:r>
      <w:r w:rsidR="009D7244">
        <w:t xml:space="preserve"> of Services </w:t>
      </w:r>
    </w:p>
    <w:p w14:paraId="20C73999" w14:textId="77777777" w:rsidR="009D7244" w:rsidRPr="009D7244" w:rsidRDefault="009D7244" w:rsidP="005E4E9D">
      <w:pPr>
        <w:pStyle w:val="Body1"/>
        <w:ind w:left="0"/>
      </w:pPr>
      <w:r>
        <w:t xml:space="preserve">Additional Schedules </w:t>
      </w:r>
    </w:p>
    <w:p w14:paraId="20C7399A" w14:textId="77777777" w:rsidR="005E4E9D" w:rsidRDefault="005E4E9D" w:rsidP="005E4E9D">
      <w:pPr>
        <w:pStyle w:val="Body1"/>
        <w:ind w:left="0"/>
        <w:rPr>
          <w:i/>
          <w:color w:val="808080" w:themeColor="background1" w:themeShade="80"/>
        </w:rPr>
      </w:pPr>
      <w:r w:rsidRPr="00EE57C8">
        <w:rPr>
          <w:i/>
          <w:color w:val="808080" w:themeColor="background1" w:themeShade="80"/>
        </w:rPr>
        <w:t xml:space="preserve"> </w:t>
      </w:r>
    </w:p>
    <w:p w14:paraId="20C7399B" w14:textId="77777777" w:rsidR="005E4E9D" w:rsidRDefault="005E4E9D" w:rsidP="005E4E9D">
      <w:pPr>
        <w:pStyle w:val="Body1"/>
        <w:ind w:left="0"/>
        <w:rPr>
          <w:i/>
          <w:color w:val="808080" w:themeColor="background1" w:themeShade="80"/>
        </w:rPr>
      </w:pPr>
    </w:p>
    <w:p w14:paraId="20C7399C" w14:textId="77777777" w:rsidR="005E4E9D" w:rsidRDefault="005E4E9D" w:rsidP="005E4E9D">
      <w:pPr>
        <w:pStyle w:val="Body1"/>
        <w:ind w:left="0"/>
        <w:rPr>
          <w:i/>
          <w:color w:val="808080" w:themeColor="background1" w:themeShade="80"/>
        </w:rPr>
      </w:pPr>
    </w:p>
    <w:p w14:paraId="20C7399D" w14:textId="751131B6" w:rsidR="005E4E9D" w:rsidRPr="00EE57C8" w:rsidRDefault="005E4E9D" w:rsidP="005E4E9D">
      <w:pPr>
        <w:pStyle w:val="Body1"/>
        <w:ind w:left="0"/>
        <w:rPr>
          <w:b/>
        </w:rPr>
      </w:pPr>
    </w:p>
    <w:sectPr w:rsidR="005E4E9D" w:rsidRPr="00EE57C8"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EEE4" w14:textId="77777777" w:rsidR="00D4167D" w:rsidRDefault="00D4167D" w:rsidP="00C82318">
      <w:r>
        <w:separator/>
      </w:r>
    </w:p>
  </w:endnote>
  <w:endnote w:type="continuationSeparator" w:id="0">
    <w:p w14:paraId="7BF80507" w14:textId="77777777" w:rsidR="00D4167D" w:rsidRDefault="00D4167D"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8" w14:textId="55917BAC"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9" w14:textId="77777777" w:rsidR="002532E6" w:rsidRDefault="002532E6">
    <w:pPr>
      <w:pStyle w:val="Footer"/>
      <w:jc w:val="center"/>
    </w:pPr>
  </w:p>
  <w:p w14:paraId="20C739FA" w14:textId="77777777" w:rsidR="002532E6" w:rsidRDefault="002532E6"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C" w14:textId="77777777" w:rsidR="002532E6" w:rsidRDefault="002532E6">
    <w:pPr>
      <w:pStyle w:val="Footer"/>
      <w:jc w:val="center"/>
    </w:pPr>
  </w:p>
  <w:p w14:paraId="20C739FD" w14:textId="77777777" w:rsidR="002532E6" w:rsidRDefault="0025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249746"/>
      <w:docPartObj>
        <w:docPartGallery w:val="Page Numbers (Bottom of Page)"/>
        <w:docPartUnique/>
      </w:docPartObj>
    </w:sdtPr>
    <w:sdtEndPr>
      <w:rPr>
        <w:noProof/>
      </w:rPr>
    </w:sdtEndPr>
    <w:sdtContent>
      <w:p w14:paraId="20C739FE" w14:textId="2CCBEA64"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sidR="009D71FB">
          <w:rPr>
            <w:color w:val="808080" w:themeColor="background1" w:themeShade="80"/>
          </w:rPr>
          <w:t>June 2021</w:t>
        </w:r>
        <w:r>
          <w:rPr>
            <w:color w:val="808080" w:themeColor="background1" w:themeShade="80"/>
          </w:rPr>
          <w:t>/PCR 2015</w:t>
        </w:r>
        <w:r w:rsidRPr="00100953">
          <w:rPr>
            <w:color w:val="808080" w:themeColor="background1" w:themeShade="80"/>
          </w:rPr>
          <w:t>)</w:t>
        </w:r>
      </w:p>
      <w:p w14:paraId="20C739FF" w14:textId="77777777" w:rsidR="002532E6" w:rsidRDefault="002532E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0C73A00" w14:textId="77777777" w:rsidR="002532E6" w:rsidRDefault="002532E6"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96238"/>
      <w:docPartObj>
        <w:docPartGallery w:val="Page Numbers (Bottom of Page)"/>
        <w:docPartUnique/>
      </w:docPartObj>
    </w:sdtPr>
    <w:sdtEndPr>
      <w:rPr>
        <w:noProof/>
      </w:rPr>
    </w:sdtEndPr>
    <w:sdtContent>
      <w:p w14:paraId="20C73A01" w14:textId="63628EB3"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A02" w14:textId="77777777" w:rsidR="002532E6" w:rsidRDefault="002532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C73A03" w14:textId="77777777" w:rsidR="002532E6" w:rsidRDefault="0025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B2F6" w14:textId="77777777" w:rsidR="00D4167D" w:rsidRDefault="00D4167D" w:rsidP="00C82318">
      <w:r>
        <w:separator/>
      </w:r>
    </w:p>
  </w:footnote>
  <w:footnote w:type="continuationSeparator" w:id="0">
    <w:p w14:paraId="7BFAA6C7" w14:textId="77777777" w:rsidR="00D4167D" w:rsidRDefault="00D4167D" w:rsidP="00C8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A86355"/>
    <w:multiLevelType w:val="multilevel"/>
    <w:tmpl w:val="ECAAD8EC"/>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0AFE29D4"/>
    <w:name w:val="Bullet With Space"/>
    <w:lvl w:ilvl="0">
      <w:start w:val="1"/>
      <w:numFmt w:val="bullet"/>
      <w:pStyle w:val="Bullet1"/>
      <w:lvlText w:val=""/>
      <w:lvlJc w:val="left"/>
      <w:rPr>
        <w:rFonts w:ascii="Symbol" w:hAnsi="Symbol" w:hint="default"/>
        <w:caps w:val="0"/>
        <w:strike w:val="0"/>
        <w:dstrike w:val="0"/>
        <w:vanish w:val="0"/>
        <w:color w:val="auto"/>
        <w:sz w:val="21"/>
        <w:vertAlign w:val="baseline"/>
      </w:rPr>
    </w:lvl>
    <w:lvl w:ilvl="1">
      <w:start w:val="1"/>
      <w:numFmt w:val="bullet"/>
      <w:pStyle w:val="Bullet2"/>
      <w:lvlText w:val=""/>
      <w:lvlJc w:val="left"/>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rPr>
        <w:rFonts w:ascii="Symbol" w:hAnsi="Symbol" w:hint="default"/>
        <w:b w:val="0"/>
        <w:i w:val="0"/>
        <w:caps w:val="0"/>
        <w:strike w:val="0"/>
        <w:dstrike w:val="0"/>
        <w:vanish w:val="0"/>
        <w:color w:val="auto"/>
        <w:vertAlign w:val="baseline"/>
      </w:rPr>
    </w:lvl>
    <w:lvl w:ilvl="3">
      <w:start w:val="1"/>
      <w:numFmt w:val="bullet"/>
      <w:pStyle w:val="Bullet4"/>
      <w:lvlText w:val=""/>
      <w:lvlJc w:val="left"/>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rPr>
        <w:rFonts w:ascii="Symbol" w:hAnsi="Symbol" w:cs="Times New Roman" w:hint="default"/>
        <w:caps w:val="0"/>
        <w:strike w:val="0"/>
        <w:dstrike w:val="0"/>
        <w:vanish w:val="0"/>
        <w:color w:val="auto"/>
        <w:vertAlign w:val="baseline"/>
      </w:rPr>
    </w:lvl>
    <w:lvl w:ilvl="6">
      <w:start w:val="1"/>
      <w:numFmt w:val="none"/>
      <w:suff w:val="nothing"/>
      <w:lvlText w:val=""/>
      <w:lvlJc w:val="center"/>
      <w:rPr>
        <w:rFonts w:cs="Times New Roman" w:hint="default"/>
        <w:caps w:val="0"/>
        <w:strike w:val="0"/>
        <w:dstrike w:val="0"/>
        <w:vanish w:val="0"/>
        <w:color w:val="auto"/>
        <w:vertAlign w:val="baseline"/>
      </w:rPr>
    </w:lvl>
    <w:lvl w:ilvl="7">
      <w:start w:val="1"/>
      <w:numFmt w:val="none"/>
      <w:suff w:val="nothing"/>
      <w:lvlText w:val=""/>
      <w:lvlJc w:val="left"/>
      <w:rPr>
        <w:rFonts w:cs="Times New Roman" w:hint="default"/>
        <w:caps w:val="0"/>
        <w:strike w:val="0"/>
        <w:dstrike w:val="0"/>
        <w:color w:val="000000"/>
        <w:vertAlign w:val="baseline"/>
      </w:rPr>
    </w:lvl>
    <w:lvl w:ilvl="8">
      <w:start w:val="1"/>
      <w:numFmt w:val="none"/>
      <w:suff w:val="nothing"/>
      <w:lvlText w:val=""/>
      <w:lvlJc w:val="left"/>
      <w:rPr>
        <w:rFonts w:cs="Times New Roman" w:hint="default"/>
        <w:caps w:val="0"/>
        <w:strike w:val="0"/>
        <w:dstrike w:val="0"/>
        <w:vanish w:val="0"/>
        <w:color w:val="000000"/>
        <w:vertAlign w:val="baseline"/>
      </w:rPr>
    </w:lvl>
  </w:abstractNum>
  <w:abstractNum w:abstractNumId="5"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1EA604E3"/>
    <w:multiLevelType w:val="multilevel"/>
    <w:tmpl w:val="53A08EDC"/>
    <w:name w:val="M&amp;R"/>
    <w:lvl w:ilvl="0">
      <w:start w:val="1"/>
      <w:numFmt w:val="decimal"/>
      <w:pStyle w:val="MRNumberedHeading1"/>
      <w:lvlText w:val="%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MRNumberedHeading2"/>
      <w:lvlText w:val="%1.%2"/>
      <w:lvlJc w:val="left"/>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pPr>
        <w:tabs>
          <w:tab w:val="num" w:pos="1930"/>
        </w:tabs>
        <w:ind w:left="1930"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0"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1" w15:restartNumberingAfterBreak="0">
    <w:nsid w:val="4B5C45F7"/>
    <w:multiLevelType w:val="multilevel"/>
    <w:tmpl w:val="87C0317E"/>
    <w:name w:val="Heading"/>
    <w:lvl w:ilvl="0">
      <w:start w:val="1"/>
      <w:numFmt w:val="decimal"/>
      <w:lvlText w:val="%1"/>
      <w:lvlJc w:val="left"/>
      <w:rPr>
        <w:rFonts w:hint="default"/>
        <w:caps w:val="0"/>
        <w:strike w:val="0"/>
        <w:dstrike w:val="0"/>
        <w:vanish w:val="0"/>
        <w:color w:val="808080" w:themeColor="background1" w:themeShade="80"/>
        <w:vertAlign w:val="baseline"/>
      </w:rPr>
    </w:lvl>
    <w:lvl w:ilvl="1">
      <w:start w:val="1"/>
      <w:numFmt w:val="decimal"/>
      <w:pStyle w:val="Heading2"/>
      <w:lvlText w:val="%1.%2"/>
      <w:lvlJc w:val="left"/>
      <w:rPr>
        <w:rFonts w:hint="default"/>
        <w:b w:val="0"/>
        <w:i w:val="0"/>
        <w:caps w:val="0"/>
        <w:strike w:val="0"/>
        <w:dstrike w:val="0"/>
        <w:vanish w:val="0"/>
        <w:color w:val="808080" w:themeColor="background1" w:themeShade="80"/>
        <w:vertAlign w:val="baseline"/>
      </w:rPr>
    </w:lvl>
    <w:lvl w:ilvl="2">
      <w:start w:val="1"/>
      <w:numFmt w:val="lowerLetter"/>
      <w:pStyle w:val="Heading3"/>
      <w:lvlText w:val="(%3)"/>
      <w:lvlJc w:val="left"/>
      <w:rPr>
        <w:rFonts w:hint="default"/>
        <w:b w:val="0"/>
        <w:i w:val="0"/>
        <w:caps w:val="0"/>
        <w:strike w:val="0"/>
        <w:dstrike w:val="0"/>
        <w:vanish w:val="0"/>
        <w:color w:val="auto"/>
        <w:vertAlign w:val="baseline"/>
      </w:rPr>
    </w:lvl>
    <w:lvl w:ilvl="3">
      <w:start w:val="1"/>
      <w:numFmt w:val="lowerRoman"/>
      <w:pStyle w:val="Heading4"/>
      <w:lvlText w:val="(%4)"/>
      <w:lvlJc w:val="left"/>
      <w:rPr>
        <w:rFonts w:hint="default"/>
        <w:b w:val="0"/>
        <w:i w:val="0"/>
        <w:caps w:val="0"/>
        <w:strike w:val="0"/>
        <w:dstrike w:val="0"/>
        <w:vanish w:val="0"/>
        <w:color w:val="auto"/>
        <w:vertAlign w:val="baseline"/>
      </w:rPr>
    </w:lvl>
    <w:lvl w:ilvl="4">
      <w:start w:val="1"/>
      <w:numFmt w:val="upperLetter"/>
      <w:pStyle w:val="Heading5"/>
      <w:lvlText w:val="(%5)"/>
      <w:lvlJc w:val="left"/>
      <w:rPr>
        <w:rFonts w:hint="default"/>
        <w:b w:val="0"/>
        <w:i w:val="0"/>
        <w:caps w:val="0"/>
        <w:strike w:val="0"/>
        <w:dstrike w:val="0"/>
        <w:vanish w:val="0"/>
        <w:color w:val="auto"/>
        <w:vertAlign w:val="baseline"/>
      </w:rPr>
    </w:lvl>
    <w:lvl w:ilvl="5">
      <w:start w:val="1"/>
      <w:numFmt w:val="upperRoman"/>
      <w:pStyle w:val="Heading6"/>
      <w:lvlText w:val="(%6)"/>
      <w:lvlJc w:val="left"/>
      <w:rPr>
        <w:rFonts w:hint="default"/>
        <w:caps w:val="0"/>
        <w:strike w:val="0"/>
        <w:dstrike w:val="0"/>
        <w:vanish w:val="0"/>
        <w:color w:val="auto"/>
        <w:vertAlign w:val="baseline"/>
      </w:rPr>
    </w:lvl>
    <w:lvl w:ilvl="6">
      <w:start w:val="1"/>
      <w:numFmt w:val="none"/>
      <w:suff w:val="nothing"/>
      <w:lvlText w:val=""/>
      <w:lvlJc w:val="center"/>
      <w:rPr>
        <w:rFonts w:hint="default"/>
        <w:caps w:val="0"/>
        <w:strike w:val="0"/>
        <w:dstrike w:val="0"/>
        <w:vanish w:val="0"/>
        <w:color w:val="auto"/>
        <w:vertAlign w:val="baseline"/>
      </w:rPr>
    </w:lvl>
    <w:lvl w:ilvl="7">
      <w:start w:val="1"/>
      <w:numFmt w:val="none"/>
      <w:suff w:val="nothing"/>
      <w:lvlText w:val=""/>
      <w:lvlJc w:val="left"/>
      <w:rPr>
        <w:rFonts w:hint="default"/>
        <w:caps w:val="0"/>
        <w:strike w:val="0"/>
        <w:dstrike w:val="0"/>
        <w:color w:val="000000"/>
        <w:vertAlign w:val="baseline"/>
      </w:rPr>
    </w:lvl>
    <w:lvl w:ilvl="8">
      <w:start w:val="1"/>
      <w:numFmt w:val="none"/>
      <w:suff w:val="nothing"/>
      <w:lvlText w:val=""/>
      <w:lvlJc w:val="left"/>
      <w:rPr>
        <w:rFonts w:hint="default"/>
        <w:caps w:val="0"/>
        <w:strike w:val="0"/>
        <w:dstrike w:val="0"/>
        <w:vanish w:val="0"/>
        <w:color w:val="000000"/>
        <w:vertAlign w:val="baseline"/>
      </w:rPr>
    </w:lvl>
  </w:abstractNum>
  <w:abstractNum w:abstractNumId="12"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5"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17"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1C31686"/>
    <w:multiLevelType w:val="multilevel"/>
    <w:tmpl w:val="7C54221E"/>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0"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72160003">
    <w:abstractNumId w:val="4"/>
  </w:num>
  <w:num w:numId="2" w16cid:durableId="2126802100">
    <w:abstractNumId w:val="3"/>
  </w:num>
  <w:num w:numId="3" w16cid:durableId="247468327">
    <w:abstractNumId w:val="10"/>
  </w:num>
  <w:num w:numId="4" w16cid:durableId="1580948061">
    <w:abstractNumId w:val="11"/>
  </w:num>
  <w:num w:numId="5" w16cid:durableId="1617180128">
    <w:abstractNumId w:val="2"/>
  </w:num>
  <w:num w:numId="6" w16cid:durableId="1823696865">
    <w:abstractNumId w:val="6"/>
  </w:num>
  <w:num w:numId="7" w16cid:durableId="1302610176">
    <w:abstractNumId w:val="14"/>
  </w:num>
  <w:num w:numId="8" w16cid:durableId="2125880707">
    <w:abstractNumId w:val="0"/>
  </w:num>
  <w:num w:numId="9" w16cid:durableId="189346734">
    <w:abstractNumId w:val="17"/>
  </w:num>
  <w:num w:numId="10" w16cid:durableId="55711139">
    <w:abstractNumId w:val="12"/>
  </w:num>
  <w:num w:numId="11" w16cid:durableId="1232158476">
    <w:abstractNumId w:val="13"/>
  </w:num>
  <w:num w:numId="12" w16cid:durableId="1889564397">
    <w:abstractNumId w:val="16"/>
  </w:num>
  <w:num w:numId="13" w16cid:durableId="167134596">
    <w:abstractNumId w:val="5"/>
  </w:num>
  <w:num w:numId="14" w16cid:durableId="1026558802">
    <w:abstractNumId w:val="7"/>
  </w:num>
  <w:num w:numId="15" w16cid:durableId="382218166">
    <w:abstractNumId w:val="19"/>
  </w:num>
  <w:num w:numId="16" w16cid:durableId="764810192">
    <w:abstractNumId w:val="9"/>
  </w:num>
  <w:num w:numId="17" w16cid:durableId="2002997892">
    <w:abstractNumId w:val="15"/>
  </w:num>
  <w:num w:numId="18" w16cid:durableId="626593835">
    <w:abstractNumId w:val="8"/>
  </w:num>
  <w:num w:numId="19" w16cid:durableId="977959334">
    <w:abstractNumId w:val="8"/>
  </w:num>
  <w:num w:numId="20" w16cid:durableId="2063365539">
    <w:abstractNumId w:val="20"/>
  </w:num>
  <w:num w:numId="21" w16cid:durableId="1425880406">
    <w:abstractNumId w:val="18"/>
  </w:num>
  <w:num w:numId="22" w16cid:durableId="1725251743">
    <w:abstractNumId w:val="1"/>
  </w:num>
  <w:num w:numId="23" w16cid:durableId="172428328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10DCA"/>
    <w:rsid w:val="0001507C"/>
    <w:rsid w:val="00017AD9"/>
    <w:rsid w:val="000226A1"/>
    <w:rsid w:val="00030477"/>
    <w:rsid w:val="00030FC3"/>
    <w:rsid w:val="000320FF"/>
    <w:rsid w:val="000330DE"/>
    <w:rsid w:val="000354F5"/>
    <w:rsid w:val="00036C7D"/>
    <w:rsid w:val="00040181"/>
    <w:rsid w:val="00041C11"/>
    <w:rsid w:val="0005222A"/>
    <w:rsid w:val="000522E2"/>
    <w:rsid w:val="00053672"/>
    <w:rsid w:val="0005415B"/>
    <w:rsid w:val="00060F58"/>
    <w:rsid w:val="000627AD"/>
    <w:rsid w:val="00065291"/>
    <w:rsid w:val="00070790"/>
    <w:rsid w:val="00076883"/>
    <w:rsid w:val="00076CFE"/>
    <w:rsid w:val="000800FA"/>
    <w:rsid w:val="00081B88"/>
    <w:rsid w:val="000831C0"/>
    <w:rsid w:val="00083AC5"/>
    <w:rsid w:val="000849EC"/>
    <w:rsid w:val="00087CBF"/>
    <w:rsid w:val="00094EC7"/>
    <w:rsid w:val="000951D5"/>
    <w:rsid w:val="00097408"/>
    <w:rsid w:val="000974B1"/>
    <w:rsid w:val="000A0DF7"/>
    <w:rsid w:val="000A1883"/>
    <w:rsid w:val="000A4844"/>
    <w:rsid w:val="000A7990"/>
    <w:rsid w:val="000B1075"/>
    <w:rsid w:val="000B31A2"/>
    <w:rsid w:val="000C031E"/>
    <w:rsid w:val="000C4455"/>
    <w:rsid w:val="000C5A46"/>
    <w:rsid w:val="000C7354"/>
    <w:rsid w:val="000D1451"/>
    <w:rsid w:val="000D5CAA"/>
    <w:rsid w:val="000D7C50"/>
    <w:rsid w:val="000E0132"/>
    <w:rsid w:val="000E07E4"/>
    <w:rsid w:val="000E189B"/>
    <w:rsid w:val="000E363E"/>
    <w:rsid w:val="000E408B"/>
    <w:rsid w:val="000E5634"/>
    <w:rsid w:val="000E56A8"/>
    <w:rsid w:val="000E5C37"/>
    <w:rsid w:val="000E7265"/>
    <w:rsid w:val="000E7C13"/>
    <w:rsid w:val="000F4110"/>
    <w:rsid w:val="000F79D6"/>
    <w:rsid w:val="0010037F"/>
    <w:rsid w:val="001039C4"/>
    <w:rsid w:val="00105BDB"/>
    <w:rsid w:val="001065C5"/>
    <w:rsid w:val="00107AB6"/>
    <w:rsid w:val="00112B59"/>
    <w:rsid w:val="00113020"/>
    <w:rsid w:val="0011428C"/>
    <w:rsid w:val="00116790"/>
    <w:rsid w:val="00116860"/>
    <w:rsid w:val="001215FE"/>
    <w:rsid w:val="0012295A"/>
    <w:rsid w:val="00127E19"/>
    <w:rsid w:val="0013020E"/>
    <w:rsid w:val="00130B5F"/>
    <w:rsid w:val="00131271"/>
    <w:rsid w:val="001338B0"/>
    <w:rsid w:val="00134D04"/>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774B9"/>
    <w:rsid w:val="00181236"/>
    <w:rsid w:val="00184371"/>
    <w:rsid w:val="00190DB0"/>
    <w:rsid w:val="00193011"/>
    <w:rsid w:val="001930C3"/>
    <w:rsid w:val="00194490"/>
    <w:rsid w:val="001945BD"/>
    <w:rsid w:val="001A0407"/>
    <w:rsid w:val="001A0E3F"/>
    <w:rsid w:val="001A2988"/>
    <w:rsid w:val="001A3B2A"/>
    <w:rsid w:val="001A504D"/>
    <w:rsid w:val="001A5DF8"/>
    <w:rsid w:val="001A786B"/>
    <w:rsid w:val="001B1C55"/>
    <w:rsid w:val="001B25EC"/>
    <w:rsid w:val="001B5F4F"/>
    <w:rsid w:val="001B7E88"/>
    <w:rsid w:val="001C178A"/>
    <w:rsid w:val="001C30BB"/>
    <w:rsid w:val="001C4CA0"/>
    <w:rsid w:val="001C747B"/>
    <w:rsid w:val="001D1FC8"/>
    <w:rsid w:val="001D268B"/>
    <w:rsid w:val="001D5911"/>
    <w:rsid w:val="001D79DD"/>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51AE"/>
    <w:rsid w:val="0021656B"/>
    <w:rsid w:val="00220C70"/>
    <w:rsid w:val="00223555"/>
    <w:rsid w:val="00223569"/>
    <w:rsid w:val="002236C5"/>
    <w:rsid w:val="00223A3D"/>
    <w:rsid w:val="00223F6E"/>
    <w:rsid w:val="0022652F"/>
    <w:rsid w:val="0022707C"/>
    <w:rsid w:val="002273F5"/>
    <w:rsid w:val="00231397"/>
    <w:rsid w:val="00235829"/>
    <w:rsid w:val="0023694C"/>
    <w:rsid w:val="00236A55"/>
    <w:rsid w:val="002449D5"/>
    <w:rsid w:val="00246BC4"/>
    <w:rsid w:val="00246C62"/>
    <w:rsid w:val="002471B4"/>
    <w:rsid w:val="00247F0F"/>
    <w:rsid w:val="00250427"/>
    <w:rsid w:val="0025200C"/>
    <w:rsid w:val="0025300A"/>
    <w:rsid w:val="002532E6"/>
    <w:rsid w:val="0025411E"/>
    <w:rsid w:val="002556D8"/>
    <w:rsid w:val="002557EB"/>
    <w:rsid w:val="00257686"/>
    <w:rsid w:val="00257EF9"/>
    <w:rsid w:val="0026116A"/>
    <w:rsid w:val="002617DC"/>
    <w:rsid w:val="00262D1B"/>
    <w:rsid w:val="002651E8"/>
    <w:rsid w:val="00270180"/>
    <w:rsid w:val="002705A5"/>
    <w:rsid w:val="002734C0"/>
    <w:rsid w:val="002741B5"/>
    <w:rsid w:val="0027505F"/>
    <w:rsid w:val="00276E1B"/>
    <w:rsid w:val="00277BB6"/>
    <w:rsid w:val="002820AF"/>
    <w:rsid w:val="0028393A"/>
    <w:rsid w:val="002862BE"/>
    <w:rsid w:val="002869D0"/>
    <w:rsid w:val="00287298"/>
    <w:rsid w:val="00287614"/>
    <w:rsid w:val="00287834"/>
    <w:rsid w:val="00296E12"/>
    <w:rsid w:val="002A718A"/>
    <w:rsid w:val="002A73DD"/>
    <w:rsid w:val="002B3866"/>
    <w:rsid w:val="002B7BAF"/>
    <w:rsid w:val="002C0B25"/>
    <w:rsid w:val="002C1FFB"/>
    <w:rsid w:val="002C28D2"/>
    <w:rsid w:val="002C56F6"/>
    <w:rsid w:val="002C6631"/>
    <w:rsid w:val="002D2E91"/>
    <w:rsid w:val="002D35EC"/>
    <w:rsid w:val="002E072D"/>
    <w:rsid w:val="002E0D88"/>
    <w:rsid w:val="002E1DD8"/>
    <w:rsid w:val="002E22B8"/>
    <w:rsid w:val="002E2E62"/>
    <w:rsid w:val="002E2F4E"/>
    <w:rsid w:val="002F1591"/>
    <w:rsid w:val="002F18DD"/>
    <w:rsid w:val="002F23DC"/>
    <w:rsid w:val="002F4080"/>
    <w:rsid w:val="002F6F32"/>
    <w:rsid w:val="003003CB"/>
    <w:rsid w:val="00302870"/>
    <w:rsid w:val="003035A6"/>
    <w:rsid w:val="003039A0"/>
    <w:rsid w:val="00305D5B"/>
    <w:rsid w:val="0030746C"/>
    <w:rsid w:val="00307758"/>
    <w:rsid w:val="00311BD5"/>
    <w:rsid w:val="003219DA"/>
    <w:rsid w:val="00322A20"/>
    <w:rsid w:val="003273D3"/>
    <w:rsid w:val="003318CA"/>
    <w:rsid w:val="00334102"/>
    <w:rsid w:val="00334F1A"/>
    <w:rsid w:val="003369CD"/>
    <w:rsid w:val="00337F61"/>
    <w:rsid w:val="0034181A"/>
    <w:rsid w:val="00342053"/>
    <w:rsid w:val="00343763"/>
    <w:rsid w:val="00345B84"/>
    <w:rsid w:val="00345E83"/>
    <w:rsid w:val="00347CA3"/>
    <w:rsid w:val="003549F4"/>
    <w:rsid w:val="003575A1"/>
    <w:rsid w:val="0035766D"/>
    <w:rsid w:val="00362AE0"/>
    <w:rsid w:val="00366F30"/>
    <w:rsid w:val="003702BE"/>
    <w:rsid w:val="00372346"/>
    <w:rsid w:val="0038098B"/>
    <w:rsid w:val="00384A29"/>
    <w:rsid w:val="00390E8B"/>
    <w:rsid w:val="003A031F"/>
    <w:rsid w:val="003A0A98"/>
    <w:rsid w:val="003A0D57"/>
    <w:rsid w:val="003A1B8F"/>
    <w:rsid w:val="003A1D39"/>
    <w:rsid w:val="003A1E3E"/>
    <w:rsid w:val="003A2543"/>
    <w:rsid w:val="003A5CAB"/>
    <w:rsid w:val="003B0F3B"/>
    <w:rsid w:val="003B7C51"/>
    <w:rsid w:val="003B7E1D"/>
    <w:rsid w:val="003C35CA"/>
    <w:rsid w:val="003C3C19"/>
    <w:rsid w:val="003D25CF"/>
    <w:rsid w:val="003D6B24"/>
    <w:rsid w:val="003E082E"/>
    <w:rsid w:val="003E1425"/>
    <w:rsid w:val="003E3276"/>
    <w:rsid w:val="003E3454"/>
    <w:rsid w:val="003E3EE7"/>
    <w:rsid w:val="003F6B39"/>
    <w:rsid w:val="004010FB"/>
    <w:rsid w:val="00401301"/>
    <w:rsid w:val="00401D33"/>
    <w:rsid w:val="00401FF0"/>
    <w:rsid w:val="0040342C"/>
    <w:rsid w:val="004164C8"/>
    <w:rsid w:val="004230E7"/>
    <w:rsid w:val="00424A57"/>
    <w:rsid w:val="004251F8"/>
    <w:rsid w:val="00425400"/>
    <w:rsid w:val="004270D9"/>
    <w:rsid w:val="00430158"/>
    <w:rsid w:val="004411D8"/>
    <w:rsid w:val="00442895"/>
    <w:rsid w:val="00445C8C"/>
    <w:rsid w:val="00452107"/>
    <w:rsid w:val="00453A99"/>
    <w:rsid w:val="00453B46"/>
    <w:rsid w:val="00456FE6"/>
    <w:rsid w:val="00457D9A"/>
    <w:rsid w:val="00461A05"/>
    <w:rsid w:val="00465EF9"/>
    <w:rsid w:val="004736F8"/>
    <w:rsid w:val="004834F5"/>
    <w:rsid w:val="00486F32"/>
    <w:rsid w:val="004900DB"/>
    <w:rsid w:val="00490EBA"/>
    <w:rsid w:val="00491808"/>
    <w:rsid w:val="00496B53"/>
    <w:rsid w:val="0049790D"/>
    <w:rsid w:val="004B1A24"/>
    <w:rsid w:val="004B6544"/>
    <w:rsid w:val="004C3605"/>
    <w:rsid w:val="004C3B98"/>
    <w:rsid w:val="004C58D8"/>
    <w:rsid w:val="004D1477"/>
    <w:rsid w:val="004D33A7"/>
    <w:rsid w:val="004E1ABD"/>
    <w:rsid w:val="004E51D1"/>
    <w:rsid w:val="004E71FF"/>
    <w:rsid w:val="004E775C"/>
    <w:rsid w:val="004F02F9"/>
    <w:rsid w:val="004F1B68"/>
    <w:rsid w:val="004F391B"/>
    <w:rsid w:val="004F4B39"/>
    <w:rsid w:val="00501CD3"/>
    <w:rsid w:val="005021B1"/>
    <w:rsid w:val="00503BB6"/>
    <w:rsid w:val="00504FA1"/>
    <w:rsid w:val="00505AD7"/>
    <w:rsid w:val="00520787"/>
    <w:rsid w:val="005207B7"/>
    <w:rsid w:val="00523CAB"/>
    <w:rsid w:val="005275E6"/>
    <w:rsid w:val="005308BB"/>
    <w:rsid w:val="00533CB2"/>
    <w:rsid w:val="0053546C"/>
    <w:rsid w:val="00541CDA"/>
    <w:rsid w:val="00547486"/>
    <w:rsid w:val="00550EFF"/>
    <w:rsid w:val="00550F2E"/>
    <w:rsid w:val="00556A0A"/>
    <w:rsid w:val="00556B66"/>
    <w:rsid w:val="00557DBA"/>
    <w:rsid w:val="00561F1C"/>
    <w:rsid w:val="00562B64"/>
    <w:rsid w:val="00570C7F"/>
    <w:rsid w:val="005717F4"/>
    <w:rsid w:val="005810B3"/>
    <w:rsid w:val="00581A29"/>
    <w:rsid w:val="00585FA5"/>
    <w:rsid w:val="00586837"/>
    <w:rsid w:val="005957B2"/>
    <w:rsid w:val="005A16A5"/>
    <w:rsid w:val="005A1CC2"/>
    <w:rsid w:val="005A2E47"/>
    <w:rsid w:val="005A2EA3"/>
    <w:rsid w:val="005A36D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10B8"/>
    <w:rsid w:val="005E16C4"/>
    <w:rsid w:val="005E195E"/>
    <w:rsid w:val="005E4E9D"/>
    <w:rsid w:val="005E7402"/>
    <w:rsid w:val="005F3F33"/>
    <w:rsid w:val="005F42C5"/>
    <w:rsid w:val="005F4C9F"/>
    <w:rsid w:val="00600BCE"/>
    <w:rsid w:val="00601937"/>
    <w:rsid w:val="006032F2"/>
    <w:rsid w:val="00603452"/>
    <w:rsid w:val="00603A0D"/>
    <w:rsid w:val="00610AC8"/>
    <w:rsid w:val="00611712"/>
    <w:rsid w:val="00612B4A"/>
    <w:rsid w:val="00623252"/>
    <w:rsid w:val="00626562"/>
    <w:rsid w:val="00630843"/>
    <w:rsid w:val="00631612"/>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705FE"/>
    <w:rsid w:val="00680879"/>
    <w:rsid w:val="006856A7"/>
    <w:rsid w:val="00690AAF"/>
    <w:rsid w:val="006913A2"/>
    <w:rsid w:val="0069159F"/>
    <w:rsid w:val="00692B07"/>
    <w:rsid w:val="00693E67"/>
    <w:rsid w:val="00694024"/>
    <w:rsid w:val="00696981"/>
    <w:rsid w:val="006A35CB"/>
    <w:rsid w:val="006A3BFB"/>
    <w:rsid w:val="006A3DEC"/>
    <w:rsid w:val="006A7F8F"/>
    <w:rsid w:val="006B06CC"/>
    <w:rsid w:val="006B3EFA"/>
    <w:rsid w:val="006B54D6"/>
    <w:rsid w:val="006B60E4"/>
    <w:rsid w:val="006C158D"/>
    <w:rsid w:val="006C1E7E"/>
    <w:rsid w:val="006C6F4A"/>
    <w:rsid w:val="006C7CDF"/>
    <w:rsid w:val="006D186C"/>
    <w:rsid w:val="006D2CD0"/>
    <w:rsid w:val="006D312E"/>
    <w:rsid w:val="006E2D76"/>
    <w:rsid w:val="006E3892"/>
    <w:rsid w:val="006E500B"/>
    <w:rsid w:val="006E7E7E"/>
    <w:rsid w:val="006F4A5B"/>
    <w:rsid w:val="006F6ABF"/>
    <w:rsid w:val="006F782D"/>
    <w:rsid w:val="0070095E"/>
    <w:rsid w:val="0070356D"/>
    <w:rsid w:val="00703A4B"/>
    <w:rsid w:val="00706A06"/>
    <w:rsid w:val="0071468F"/>
    <w:rsid w:val="00721F4F"/>
    <w:rsid w:val="00724366"/>
    <w:rsid w:val="00727643"/>
    <w:rsid w:val="007301E9"/>
    <w:rsid w:val="00730C14"/>
    <w:rsid w:val="0073556F"/>
    <w:rsid w:val="00737549"/>
    <w:rsid w:val="00740710"/>
    <w:rsid w:val="00740C0F"/>
    <w:rsid w:val="00742A8D"/>
    <w:rsid w:val="00744CA5"/>
    <w:rsid w:val="00746CCF"/>
    <w:rsid w:val="00750F40"/>
    <w:rsid w:val="0075474E"/>
    <w:rsid w:val="0075483B"/>
    <w:rsid w:val="00755665"/>
    <w:rsid w:val="0077089B"/>
    <w:rsid w:val="007724D1"/>
    <w:rsid w:val="007779DB"/>
    <w:rsid w:val="007829E9"/>
    <w:rsid w:val="00785747"/>
    <w:rsid w:val="00785D65"/>
    <w:rsid w:val="00785DDF"/>
    <w:rsid w:val="00786CA9"/>
    <w:rsid w:val="00791CF0"/>
    <w:rsid w:val="0079332F"/>
    <w:rsid w:val="007A3602"/>
    <w:rsid w:val="007A571E"/>
    <w:rsid w:val="007B03E7"/>
    <w:rsid w:val="007B2282"/>
    <w:rsid w:val="007B6206"/>
    <w:rsid w:val="007B74E1"/>
    <w:rsid w:val="007C0526"/>
    <w:rsid w:val="007C198C"/>
    <w:rsid w:val="007C2491"/>
    <w:rsid w:val="007C2F2F"/>
    <w:rsid w:val="007C364A"/>
    <w:rsid w:val="007C3AE6"/>
    <w:rsid w:val="007D560D"/>
    <w:rsid w:val="007D7562"/>
    <w:rsid w:val="007E1147"/>
    <w:rsid w:val="007E124C"/>
    <w:rsid w:val="007E269D"/>
    <w:rsid w:val="007E379F"/>
    <w:rsid w:val="007F5F02"/>
    <w:rsid w:val="00807CF7"/>
    <w:rsid w:val="00811FA0"/>
    <w:rsid w:val="00814588"/>
    <w:rsid w:val="00815813"/>
    <w:rsid w:val="00816028"/>
    <w:rsid w:val="00820AAB"/>
    <w:rsid w:val="00824926"/>
    <w:rsid w:val="00824E99"/>
    <w:rsid w:val="00825FC5"/>
    <w:rsid w:val="008306CC"/>
    <w:rsid w:val="00830FE1"/>
    <w:rsid w:val="00831204"/>
    <w:rsid w:val="00831521"/>
    <w:rsid w:val="008347D9"/>
    <w:rsid w:val="0083677A"/>
    <w:rsid w:val="008371D6"/>
    <w:rsid w:val="008413F3"/>
    <w:rsid w:val="00844254"/>
    <w:rsid w:val="00846B8F"/>
    <w:rsid w:val="008523D8"/>
    <w:rsid w:val="00852A24"/>
    <w:rsid w:val="00852C8E"/>
    <w:rsid w:val="008543D2"/>
    <w:rsid w:val="00861604"/>
    <w:rsid w:val="00863629"/>
    <w:rsid w:val="008644BC"/>
    <w:rsid w:val="0087001B"/>
    <w:rsid w:val="00871C8E"/>
    <w:rsid w:val="008731E8"/>
    <w:rsid w:val="00873854"/>
    <w:rsid w:val="00874EA8"/>
    <w:rsid w:val="0087536B"/>
    <w:rsid w:val="00876C2C"/>
    <w:rsid w:val="008824CC"/>
    <w:rsid w:val="008852C8"/>
    <w:rsid w:val="0088639D"/>
    <w:rsid w:val="00891475"/>
    <w:rsid w:val="00891FFA"/>
    <w:rsid w:val="00893339"/>
    <w:rsid w:val="00897556"/>
    <w:rsid w:val="0089780F"/>
    <w:rsid w:val="008A00B3"/>
    <w:rsid w:val="008A01C3"/>
    <w:rsid w:val="008A56A2"/>
    <w:rsid w:val="008B0CA8"/>
    <w:rsid w:val="008B2936"/>
    <w:rsid w:val="008D2128"/>
    <w:rsid w:val="008D3217"/>
    <w:rsid w:val="008E2B30"/>
    <w:rsid w:val="008E363A"/>
    <w:rsid w:val="008E6BB3"/>
    <w:rsid w:val="008E6DBC"/>
    <w:rsid w:val="008E6EC7"/>
    <w:rsid w:val="008E7E5A"/>
    <w:rsid w:val="008E7F55"/>
    <w:rsid w:val="008F25B4"/>
    <w:rsid w:val="008F3D2C"/>
    <w:rsid w:val="008F6885"/>
    <w:rsid w:val="008F79E8"/>
    <w:rsid w:val="00901017"/>
    <w:rsid w:val="0090173A"/>
    <w:rsid w:val="00905CAE"/>
    <w:rsid w:val="00911444"/>
    <w:rsid w:val="00912243"/>
    <w:rsid w:val="00914926"/>
    <w:rsid w:val="009158CB"/>
    <w:rsid w:val="0092512E"/>
    <w:rsid w:val="0092538F"/>
    <w:rsid w:val="0092698E"/>
    <w:rsid w:val="00932A98"/>
    <w:rsid w:val="0093337B"/>
    <w:rsid w:val="009349DC"/>
    <w:rsid w:val="00935045"/>
    <w:rsid w:val="009353CA"/>
    <w:rsid w:val="009417D7"/>
    <w:rsid w:val="00944251"/>
    <w:rsid w:val="009443CF"/>
    <w:rsid w:val="009464EA"/>
    <w:rsid w:val="00947820"/>
    <w:rsid w:val="0095006A"/>
    <w:rsid w:val="0095142A"/>
    <w:rsid w:val="00951656"/>
    <w:rsid w:val="00951B7E"/>
    <w:rsid w:val="00953953"/>
    <w:rsid w:val="00953B6C"/>
    <w:rsid w:val="00955490"/>
    <w:rsid w:val="00955E7B"/>
    <w:rsid w:val="009570B6"/>
    <w:rsid w:val="0095789C"/>
    <w:rsid w:val="0096561D"/>
    <w:rsid w:val="009675E1"/>
    <w:rsid w:val="009719DE"/>
    <w:rsid w:val="0097584E"/>
    <w:rsid w:val="00982C42"/>
    <w:rsid w:val="009852C1"/>
    <w:rsid w:val="00986ACE"/>
    <w:rsid w:val="00986C82"/>
    <w:rsid w:val="0099091A"/>
    <w:rsid w:val="00990CF5"/>
    <w:rsid w:val="00993534"/>
    <w:rsid w:val="00994051"/>
    <w:rsid w:val="0099542A"/>
    <w:rsid w:val="009A32E3"/>
    <w:rsid w:val="009A3E29"/>
    <w:rsid w:val="009A5AE5"/>
    <w:rsid w:val="009A68B9"/>
    <w:rsid w:val="009A6B8A"/>
    <w:rsid w:val="009B12C4"/>
    <w:rsid w:val="009B2F74"/>
    <w:rsid w:val="009B4115"/>
    <w:rsid w:val="009C2E68"/>
    <w:rsid w:val="009C41C3"/>
    <w:rsid w:val="009C4CA5"/>
    <w:rsid w:val="009C5E46"/>
    <w:rsid w:val="009D5F0B"/>
    <w:rsid w:val="009D71FB"/>
    <w:rsid w:val="009D7244"/>
    <w:rsid w:val="009E25A6"/>
    <w:rsid w:val="009E4D46"/>
    <w:rsid w:val="009E70CC"/>
    <w:rsid w:val="009F2165"/>
    <w:rsid w:val="009F7574"/>
    <w:rsid w:val="009F79AA"/>
    <w:rsid w:val="00A04307"/>
    <w:rsid w:val="00A109FC"/>
    <w:rsid w:val="00A14C3B"/>
    <w:rsid w:val="00A15ADC"/>
    <w:rsid w:val="00A2034F"/>
    <w:rsid w:val="00A21DFB"/>
    <w:rsid w:val="00A242B7"/>
    <w:rsid w:val="00A30764"/>
    <w:rsid w:val="00A3127A"/>
    <w:rsid w:val="00A31287"/>
    <w:rsid w:val="00A34191"/>
    <w:rsid w:val="00A432D4"/>
    <w:rsid w:val="00A4489A"/>
    <w:rsid w:val="00A44B3B"/>
    <w:rsid w:val="00A51144"/>
    <w:rsid w:val="00A52A19"/>
    <w:rsid w:val="00A53B21"/>
    <w:rsid w:val="00A57D02"/>
    <w:rsid w:val="00A6028E"/>
    <w:rsid w:val="00A60BD1"/>
    <w:rsid w:val="00A62099"/>
    <w:rsid w:val="00A6558E"/>
    <w:rsid w:val="00A66B5D"/>
    <w:rsid w:val="00A7044C"/>
    <w:rsid w:val="00A740CF"/>
    <w:rsid w:val="00A7423D"/>
    <w:rsid w:val="00A76E7A"/>
    <w:rsid w:val="00A77338"/>
    <w:rsid w:val="00A80B50"/>
    <w:rsid w:val="00A80F52"/>
    <w:rsid w:val="00A855BE"/>
    <w:rsid w:val="00A858C9"/>
    <w:rsid w:val="00A93755"/>
    <w:rsid w:val="00A93A32"/>
    <w:rsid w:val="00A9537F"/>
    <w:rsid w:val="00AA2C15"/>
    <w:rsid w:val="00AA3CCC"/>
    <w:rsid w:val="00AA402D"/>
    <w:rsid w:val="00AA56AE"/>
    <w:rsid w:val="00AB7050"/>
    <w:rsid w:val="00AB7EA4"/>
    <w:rsid w:val="00AC10C4"/>
    <w:rsid w:val="00AC57DD"/>
    <w:rsid w:val="00AD0C96"/>
    <w:rsid w:val="00AD14A4"/>
    <w:rsid w:val="00AD1926"/>
    <w:rsid w:val="00AD3446"/>
    <w:rsid w:val="00AD4DB1"/>
    <w:rsid w:val="00AD58A9"/>
    <w:rsid w:val="00AE18C1"/>
    <w:rsid w:val="00AE4ABC"/>
    <w:rsid w:val="00AE7ABC"/>
    <w:rsid w:val="00AF3418"/>
    <w:rsid w:val="00AF3925"/>
    <w:rsid w:val="00AF5CF2"/>
    <w:rsid w:val="00AF6234"/>
    <w:rsid w:val="00B00C70"/>
    <w:rsid w:val="00B02442"/>
    <w:rsid w:val="00B12F1E"/>
    <w:rsid w:val="00B240C9"/>
    <w:rsid w:val="00B251AE"/>
    <w:rsid w:val="00B30006"/>
    <w:rsid w:val="00B33B1E"/>
    <w:rsid w:val="00B33EB1"/>
    <w:rsid w:val="00B35665"/>
    <w:rsid w:val="00B42156"/>
    <w:rsid w:val="00B44457"/>
    <w:rsid w:val="00B44E25"/>
    <w:rsid w:val="00B45130"/>
    <w:rsid w:val="00B46DA5"/>
    <w:rsid w:val="00B471B3"/>
    <w:rsid w:val="00B47334"/>
    <w:rsid w:val="00B50EAD"/>
    <w:rsid w:val="00B51C48"/>
    <w:rsid w:val="00B570E8"/>
    <w:rsid w:val="00B61061"/>
    <w:rsid w:val="00B667F9"/>
    <w:rsid w:val="00B70AD8"/>
    <w:rsid w:val="00B80A50"/>
    <w:rsid w:val="00B853EE"/>
    <w:rsid w:val="00B863A2"/>
    <w:rsid w:val="00B97D75"/>
    <w:rsid w:val="00BA0984"/>
    <w:rsid w:val="00BA09A1"/>
    <w:rsid w:val="00BA0AB7"/>
    <w:rsid w:val="00BA173E"/>
    <w:rsid w:val="00BA1850"/>
    <w:rsid w:val="00BB03F9"/>
    <w:rsid w:val="00BB233A"/>
    <w:rsid w:val="00BB561E"/>
    <w:rsid w:val="00BC2A7C"/>
    <w:rsid w:val="00BC373F"/>
    <w:rsid w:val="00BC39C2"/>
    <w:rsid w:val="00BC4757"/>
    <w:rsid w:val="00BC5E86"/>
    <w:rsid w:val="00BC7B51"/>
    <w:rsid w:val="00BD09FF"/>
    <w:rsid w:val="00BD1F42"/>
    <w:rsid w:val="00BD2C5B"/>
    <w:rsid w:val="00BD4D8C"/>
    <w:rsid w:val="00BD53EA"/>
    <w:rsid w:val="00BD5DCC"/>
    <w:rsid w:val="00BD5DF5"/>
    <w:rsid w:val="00BE0FBA"/>
    <w:rsid w:val="00BE10FD"/>
    <w:rsid w:val="00BE38AA"/>
    <w:rsid w:val="00BE3F9E"/>
    <w:rsid w:val="00BE4061"/>
    <w:rsid w:val="00BE4069"/>
    <w:rsid w:val="00BE6503"/>
    <w:rsid w:val="00BF22E3"/>
    <w:rsid w:val="00BF396F"/>
    <w:rsid w:val="00BF48A1"/>
    <w:rsid w:val="00BF698B"/>
    <w:rsid w:val="00C03863"/>
    <w:rsid w:val="00C06438"/>
    <w:rsid w:val="00C07130"/>
    <w:rsid w:val="00C12C7F"/>
    <w:rsid w:val="00C1440D"/>
    <w:rsid w:val="00C14AA9"/>
    <w:rsid w:val="00C14D48"/>
    <w:rsid w:val="00C2061F"/>
    <w:rsid w:val="00C21DD3"/>
    <w:rsid w:val="00C23B02"/>
    <w:rsid w:val="00C259A7"/>
    <w:rsid w:val="00C261A8"/>
    <w:rsid w:val="00C26BAF"/>
    <w:rsid w:val="00C27CC2"/>
    <w:rsid w:val="00C30389"/>
    <w:rsid w:val="00C33C6D"/>
    <w:rsid w:val="00C34D42"/>
    <w:rsid w:val="00C4191F"/>
    <w:rsid w:val="00C41E96"/>
    <w:rsid w:val="00C45A8E"/>
    <w:rsid w:val="00C45B3B"/>
    <w:rsid w:val="00C50E44"/>
    <w:rsid w:val="00C51528"/>
    <w:rsid w:val="00C516F4"/>
    <w:rsid w:val="00C52D6B"/>
    <w:rsid w:val="00C571B3"/>
    <w:rsid w:val="00C573A4"/>
    <w:rsid w:val="00C577E6"/>
    <w:rsid w:val="00C66EE9"/>
    <w:rsid w:val="00C7276F"/>
    <w:rsid w:val="00C76F69"/>
    <w:rsid w:val="00C77F13"/>
    <w:rsid w:val="00C80692"/>
    <w:rsid w:val="00C81A31"/>
    <w:rsid w:val="00C82318"/>
    <w:rsid w:val="00C83805"/>
    <w:rsid w:val="00C863F5"/>
    <w:rsid w:val="00C9108B"/>
    <w:rsid w:val="00C92F81"/>
    <w:rsid w:val="00C95CD4"/>
    <w:rsid w:val="00CA690D"/>
    <w:rsid w:val="00CA6C8A"/>
    <w:rsid w:val="00CB1B63"/>
    <w:rsid w:val="00CB59C3"/>
    <w:rsid w:val="00CB7AF8"/>
    <w:rsid w:val="00CC15CC"/>
    <w:rsid w:val="00CC2B5A"/>
    <w:rsid w:val="00CC36F3"/>
    <w:rsid w:val="00CC3915"/>
    <w:rsid w:val="00CC3C75"/>
    <w:rsid w:val="00CC4072"/>
    <w:rsid w:val="00CC539E"/>
    <w:rsid w:val="00CC6A3C"/>
    <w:rsid w:val="00CC701B"/>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02436"/>
    <w:rsid w:val="00D11BC1"/>
    <w:rsid w:val="00D134FB"/>
    <w:rsid w:val="00D146E1"/>
    <w:rsid w:val="00D21A02"/>
    <w:rsid w:val="00D27579"/>
    <w:rsid w:val="00D27683"/>
    <w:rsid w:val="00D3206D"/>
    <w:rsid w:val="00D3489C"/>
    <w:rsid w:val="00D375C0"/>
    <w:rsid w:val="00D4167D"/>
    <w:rsid w:val="00D4251F"/>
    <w:rsid w:val="00D433DF"/>
    <w:rsid w:val="00D45C54"/>
    <w:rsid w:val="00D47A0D"/>
    <w:rsid w:val="00D528AB"/>
    <w:rsid w:val="00D64977"/>
    <w:rsid w:val="00D64EA9"/>
    <w:rsid w:val="00D64F5A"/>
    <w:rsid w:val="00D66B01"/>
    <w:rsid w:val="00D716B5"/>
    <w:rsid w:val="00D77AFC"/>
    <w:rsid w:val="00D82A34"/>
    <w:rsid w:val="00D91E2C"/>
    <w:rsid w:val="00D92C7C"/>
    <w:rsid w:val="00D938CE"/>
    <w:rsid w:val="00D944E3"/>
    <w:rsid w:val="00D94FBD"/>
    <w:rsid w:val="00D9565A"/>
    <w:rsid w:val="00D95FE4"/>
    <w:rsid w:val="00DA07F4"/>
    <w:rsid w:val="00DA1E23"/>
    <w:rsid w:val="00DA7146"/>
    <w:rsid w:val="00DB5CBF"/>
    <w:rsid w:val="00DB6EAC"/>
    <w:rsid w:val="00DC0F21"/>
    <w:rsid w:val="00DC3206"/>
    <w:rsid w:val="00DC6E9A"/>
    <w:rsid w:val="00DD2147"/>
    <w:rsid w:val="00DD5A7F"/>
    <w:rsid w:val="00DE48E3"/>
    <w:rsid w:val="00DE4917"/>
    <w:rsid w:val="00DE4A99"/>
    <w:rsid w:val="00DE6938"/>
    <w:rsid w:val="00DE72A1"/>
    <w:rsid w:val="00DE7630"/>
    <w:rsid w:val="00DE7A8C"/>
    <w:rsid w:val="00DE7ED9"/>
    <w:rsid w:val="00DF2836"/>
    <w:rsid w:val="00DF5E45"/>
    <w:rsid w:val="00DF6087"/>
    <w:rsid w:val="00E015A3"/>
    <w:rsid w:val="00E017BA"/>
    <w:rsid w:val="00E02618"/>
    <w:rsid w:val="00E0262D"/>
    <w:rsid w:val="00E02FBA"/>
    <w:rsid w:val="00E0408F"/>
    <w:rsid w:val="00E07FD0"/>
    <w:rsid w:val="00E17A66"/>
    <w:rsid w:val="00E20603"/>
    <w:rsid w:val="00E2328D"/>
    <w:rsid w:val="00E23574"/>
    <w:rsid w:val="00E271B9"/>
    <w:rsid w:val="00E27AC2"/>
    <w:rsid w:val="00E30C8C"/>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6DB9"/>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D0968"/>
    <w:rsid w:val="00ED2376"/>
    <w:rsid w:val="00ED4669"/>
    <w:rsid w:val="00EE2543"/>
    <w:rsid w:val="00EE3A88"/>
    <w:rsid w:val="00EE3E27"/>
    <w:rsid w:val="00EE5E83"/>
    <w:rsid w:val="00EE5EB0"/>
    <w:rsid w:val="00EF19F5"/>
    <w:rsid w:val="00EF6D74"/>
    <w:rsid w:val="00EF71DD"/>
    <w:rsid w:val="00F00FE7"/>
    <w:rsid w:val="00F02C90"/>
    <w:rsid w:val="00F03443"/>
    <w:rsid w:val="00F102F0"/>
    <w:rsid w:val="00F10ACE"/>
    <w:rsid w:val="00F11DF8"/>
    <w:rsid w:val="00F204D3"/>
    <w:rsid w:val="00F2262A"/>
    <w:rsid w:val="00F23ECD"/>
    <w:rsid w:val="00F24035"/>
    <w:rsid w:val="00F269B7"/>
    <w:rsid w:val="00F26D49"/>
    <w:rsid w:val="00F30D1D"/>
    <w:rsid w:val="00F3175D"/>
    <w:rsid w:val="00F35E09"/>
    <w:rsid w:val="00F36F19"/>
    <w:rsid w:val="00F36FE2"/>
    <w:rsid w:val="00F370BE"/>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A11"/>
    <w:rsid w:val="00F80535"/>
    <w:rsid w:val="00F81325"/>
    <w:rsid w:val="00F821A1"/>
    <w:rsid w:val="00F84D51"/>
    <w:rsid w:val="00F85C8C"/>
    <w:rsid w:val="00F867C8"/>
    <w:rsid w:val="00F9018D"/>
    <w:rsid w:val="00F91289"/>
    <w:rsid w:val="00F91F7B"/>
    <w:rsid w:val="00F92753"/>
    <w:rsid w:val="00F94E38"/>
    <w:rsid w:val="00F977E8"/>
    <w:rsid w:val="00FA1419"/>
    <w:rsid w:val="00FA504A"/>
    <w:rsid w:val="00FA6C22"/>
    <w:rsid w:val="00FB0878"/>
    <w:rsid w:val="00FB21E9"/>
    <w:rsid w:val="00FB2FE9"/>
    <w:rsid w:val="00FB6821"/>
    <w:rsid w:val="00FB6FA0"/>
    <w:rsid w:val="00FB7F37"/>
    <w:rsid w:val="00FC24F6"/>
    <w:rsid w:val="00FC39E4"/>
    <w:rsid w:val="00FC6857"/>
    <w:rsid w:val="00FD597F"/>
    <w:rsid w:val="00FD601C"/>
    <w:rsid w:val="00FD6702"/>
    <w:rsid w:val="00FD68D3"/>
    <w:rsid w:val="00FE07BA"/>
    <w:rsid w:val="00FF15BE"/>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3684"/>
  <w15:docId w15:val="{37F8D411-7D69-4AB8-82F4-1BBC9ABB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3020E"/>
    <w:rPr>
      <w:color w:val="605E5C"/>
      <w:shd w:val="clear" w:color="auto" w:fill="E1DFDD"/>
    </w:rPr>
  </w:style>
  <w:style w:type="paragraph" w:customStyle="1" w:styleId="Standard">
    <w:name w:val="Standard"/>
    <w:rsid w:val="00B70AD8"/>
    <w:pPr>
      <w:suppressAutoHyphens/>
      <w:autoSpaceDN w:val="0"/>
      <w:spacing w:after="0"/>
      <w:textAlignment w:val="baseline"/>
    </w:pPr>
    <w:rPr>
      <w:rFonts w:ascii="Calibri" w:eastAsia="Linux Libertine G" w:hAnsi="Calibri" w:cs="Linux Libertine G"/>
      <w:sz w:val="24"/>
      <w:szCs w:val="24"/>
      <w:lang w:eastAsia="zh-CN" w:bidi="hi-IN"/>
    </w:rPr>
  </w:style>
  <w:style w:type="numbering" w:customStyle="1" w:styleId="WWNum16">
    <w:name w:val="WWNum16"/>
    <w:basedOn w:val="NoList"/>
    <w:rsid w:val="00D64F5A"/>
    <w:pPr>
      <w:numPr>
        <w:numId w:val="21"/>
      </w:numPr>
    </w:pPr>
  </w:style>
  <w:style w:type="numbering" w:customStyle="1" w:styleId="WWNum22">
    <w:name w:val="WWNum22"/>
    <w:basedOn w:val="NoList"/>
    <w:rsid w:val="00D64F5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5152">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281112502">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england.nhs.uk/nhs-terms-and-conditions-for-the-procurement-of-non-clinical-goods-and-servic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37FC52-54FC-4FA7-B072-6BA8D52248D6}">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lcf76f155ced4ddcb4097134ff3c332f xmlns="c24148e6-17c8-4183-8d69-836cceffce21">
      <Terms xmlns="http://schemas.microsoft.com/office/infopath/2007/PartnerControls"/>
    </lcf76f155ced4ddcb4097134ff3c332f>
    <MediaLengthInSeconds xmlns="c24148e6-17c8-4183-8d69-836cceffc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57D495A67574EB59BED519515C184" ma:contentTypeVersion="11" ma:contentTypeDescription="Create a new document." ma:contentTypeScope="" ma:versionID="467a42cf81d0642cfdd56c20ea3cae25">
  <xsd:schema xmlns:xsd="http://www.w3.org/2001/XMLSchema" xmlns:xs="http://www.w3.org/2001/XMLSchema" xmlns:p="http://schemas.microsoft.com/office/2006/metadata/properties" xmlns:ns2="c24148e6-17c8-4183-8d69-836cceffce21" xmlns:ns3="cccaf3ac-2de9-44d4-aa31-54302fceb5f7" targetNamespace="http://schemas.microsoft.com/office/2006/metadata/properties" ma:root="true" ma:fieldsID="8db9ceb8e41c49cf2c1491a04e8f647a" ns2:_="" ns3:_="">
    <xsd:import namespace="c24148e6-17c8-4183-8d69-836cceffce21"/>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148e6-17c8-4183-8d69-836cceffc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2642A-6164-4493-ACA4-70D94046314C}">
  <ds:schemaRefs>
    <ds:schemaRef ds:uri="http://schemas.openxmlformats.org/officeDocument/2006/bibliography"/>
  </ds:schemaRefs>
</ds:datastoreItem>
</file>

<file path=customXml/itemProps2.xml><?xml version="1.0" encoding="utf-8"?>
<ds:datastoreItem xmlns:ds="http://schemas.openxmlformats.org/officeDocument/2006/customXml" ds:itemID="{2188E6F1-C18B-4462-B4C4-AE0FE48B9F67}">
  <ds:schemaRefs>
    <ds:schemaRef ds:uri="http://schemas.microsoft.com/office/2006/metadata/properties"/>
    <ds:schemaRef ds:uri="http://schemas.microsoft.com/office/infopath/2007/PartnerControls"/>
    <ds:schemaRef ds:uri="cccaf3ac-2de9-44d4-aa31-54302fceb5f7"/>
    <ds:schemaRef ds:uri="c24148e6-17c8-4183-8d69-836cceffce21"/>
  </ds:schemaRefs>
</ds:datastoreItem>
</file>

<file path=customXml/itemProps3.xml><?xml version="1.0" encoding="utf-8"?>
<ds:datastoreItem xmlns:ds="http://schemas.openxmlformats.org/officeDocument/2006/customXml" ds:itemID="{B8846CC9-00F0-4CB2-A01C-AA991B08E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148e6-17c8-4183-8d69-836cceffce2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45BA3-E6F7-4A5A-A840-9698401B9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4945</Words>
  <Characters>28189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 Anstey (MS3)</dc:creator>
  <cp:keywords/>
  <dc:description/>
  <cp:lastModifiedBy>LI, Mike (YORK AND SCARBOROUGH TEACHING HOSPITALS NHS FOUNDATION TRUST)</cp:lastModifiedBy>
  <cp:revision>18</cp:revision>
  <cp:lastPrinted>2023-08-02T08:17:00Z</cp:lastPrinted>
  <dcterms:created xsi:type="dcterms:W3CDTF">2023-07-19T14:52:00Z</dcterms:created>
  <dcterms:modified xsi:type="dcterms:W3CDTF">2023-08-04T11:09:00Z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0x0101005AB57D495A67574EB59BED519515C184</vt:lpwstr>
  </property>
  <property fmtid="{D5CDD505-2E9C-101B-9397-08002B2CF9AE}" pid="11" name="Order">
    <vt:r8>741000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y fmtid="{D5CDD505-2E9C-101B-9397-08002B2CF9AE}" pid="21" name="GrammarlyDocumentId">
    <vt:lpwstr>1ce7b17178df20ba7931655ac0187a8f867c3418d7408de9c840305f8bb315db</vt:lpwstr>
  </property>
</Properties>
</file>