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10FE5" w:rsidR="00610FE5" w:rsidP="00610FE5" w:rsidRDefault="00610FE5" w14:paraId="7E1B5679" w14:textId="1C3A114C">
      <w:pPr>
        <w:pStyle w:val="Heading1"/>
        <w:rPr>
          <w:rFonts w:ascii="Arial" w:hAnsi="Arial" w:cs="Arial"/>
          <w:b/>
          <w:bCs/>
          <w:color w:val="000000" w:themeColor="text1"/>
          <w:sz w:val="20"/>
          <w:szCs w:val="20"/>
        </w:rPr>
      </w:pPr>
      <w:r w:rsidRPr="00610FE5">
        <w:rPr>
          <w:rFonts w:ascii="Arial" w:hAnsi="Arial" w:cs="Arial"/>
          <w:b/>
          <w:bCs/>
          <w:color w:val="000000" w:themeColor="text1"/>
          <w:sz w:val="20"/>
          <w:szCs w:val="20"/>
        </w:rPr>
        <w:t xml:space="preserve">Framework Schedule </w:t>
      </w:r>
      <w:r>
        <w:rPr>
          <w:rFonts w:ascii="Arial" w:hAnsi="Arial" w:cs="Arial"/>
          <w:b/>
          <w:bCs/>
          <w:color w:val="000000" w:themeColor="text1"/>
          <w:sz w:val="20"/>
          <w:szCs w:val="20"/>
        </w:rPr>
        <w:t>10</w:t>
      </w:r>
      <w:r w:rsidRPr="00610FE5">
        <w:rPr>
          <w:rFonts w:ascii="Arial" w:hAnsi="Arial" w:cs="Arial"/>
          <w:b/>
          <w:bCs/>
          <w:color w:val="000000" w:themeColor="text1"/>
          <w:sz w:val="20"/>
          <w:szCs w:val="20"/>
        </w:rPr>
        <w:t xml:space="preserve"> (</w:t>
      </w:r>
      <w:r>
        <w:rPr>
          <w:rFonts w:ascii="Arial" w:hAnsi="Arial" w:cs="Arial"/>
          <w:b/>
          <w:bCs/>
          <w:color w:val="000000" w:themeColor="text1"/>
          <w:sz w:val="20"/>
          <w:szCs w:val="20"/>
        </w:rPr>
        <w:t>Virtual Library</w:t>
      </w:r>
      <w:r w:rsidRPr="00610FE5">
        <w:rPr>
          <w:rFonts w:ascii="Arial" w:hAnsi="Arial" w:cs="Arial"/>
          <w:b/>
          <w:bCs/>
          <w:color w:val="000000" w:themeColor="text1"/>
          <w:sz w:val="20"/>
          <w:szCs w:val="20"/>
        </w:rPr>
        <w:t>)</w:t>
      </w:r>
    </w:p>
    <w:p w:rsidR="00610FE5" w:rsidP="00610FE5" w:rsidRDefault="00610FE5" w14:paraId="027A128B" w14:textId="77777777">
      <w:pPr>
        <w:pBdr>
          <w:top w:val="nil"/>
          <w:left w:val="nil"/>
          <w:bottom w:val="nil"/>
          <w:right w:val="nil"/>
          <w:between w:val="nil"/>
        </w:pBdr>
        <w:spacing w:before="100" w:after="200" w:line="240" w:lineRule="auto"/>
        <w:ind w:left="851"/>
        <w:rPr>
          <w:rFonts w:ascii="Arial" w:hAnsi="Arial" w:eastAsia="Arial" w:cs="Arial"/>
          <w:b/>
          <w:color w:val="000000"/>
          <w:sz w:val="20"/>
          <w:szCs w:val="20"/>
        </w:rPr>
      </w:pPr>
    </w:p>
    <w:p w:rsidRPr="00CC3209" w:rsidR="00B151B4" w:rsidP="00B151B4" w:rsidRDefault="00C71AE6" w14:paraId="2890442E" w14:textId="3D04F6BA">
      <w:pPr>
        <w:numPr>
          <w:ilvl w:val="0"/>
          <w:numId w:val="1"/>
        </w:numPr>
        <w:pBdr>
          <w:top w:val="nil"/>
          <w:left w:val="nil"/>
          <w:bottom w:val="nil"/>
          <w:right w:val="nil"/>
          <w:between w:val="nil"/>
        </w:pBdr>
        <w:spacing w:before="100" w:after="200" w:line="240" w:lineRule="auto"/>
        <w:rPr>
          <w:rFonts w:ascii="Arial" w:hAnsi="Arial" w:eastAsia="Arial" w:cs="Arial"/>
          <w:b/>
          <w:color w:val="000000"/>
          <w:sz w:val="20"/>
          <w:szCs w:val="20"/>
        </w:rPr>
      </w:pPr>
      <w:r w:rsidRPr="00CC3209">
        <w:rPr>
          <w:rFonts w:ascii="Arial" w:hAnsi="Arial" w:eastAsia="Arial" w:cs="Arial"/>
          <w:b/>
          <w:color w:val="000000"/>
          <w:sz w:val="20"/>
          <w:szCs w:val="20"/>
        </w:rPr>
        <w:t>Definitions</w:t>
      </w:r>
    </w:p>
    <w:p w:rsidRPr="00CC3209" w:rsidR="00C71AE6" w:rsidP="00C71AE6" w:rsidRDefault="00C71AE6" w14:paraId="1949C1E9" w14:textId="1906ED52">
      <w:pPr>
        <w:numPr>
          <w:ilvl w:val="1"/>
          <w:numId w:val="1"/>
        </w:numPr>
        <w:pBdr>
          <w:top w:val="nil"/>
          <w:left w:val="nil"/>
          <w:bottom w:val="nil"/>
          <w:right w:val="nil"/>
          <w:between w:val="nil"/>
        </w:pBdr>
        <w:spacing w:before="100" w:after="200" w:line="240" w:lineRule="auto"/>
        <w:rPr>
          <w:rFonts w:ascii="Arial" w:hAnsi="Arial" w:eastAsia="Arial" w:cs="Arial"/>
          <w:bCs/>
          <w:color w:val="000000"/>
          <w:sz w:val="20"/>
          <w:szCs w:val="20"/>
        </w:rPr>
      </w:pPr>
      <w:r w:rsidRPr="00CC3209">
        <w:rPr>
          <w:rFonts w:ascii="Arial" w:hAnsi="Arial" w:eastAsia="Arial" w:cs="Arial"/>
          <w:bCs/>
          <w:color w:val="000000"/>
          <w:sz w:val="20"/>
          <w:szCs w:val="20"/>
        </w:rPr>
        <w:t xml:space="preserve">In </w:t>
      </w:r>
      <w:r w:rsidR="00C917E0">
        <w:rPr>
          <w:rFonts w:ascii="Arial" w:hAnsi="Arial" w:eastAsia="Arial" w:cs="Arial"/>
          <w:bCs/>
          <w:color w:val="000000"/>
          <w:sz w:val="20"/>
          <w:szCs w:val="20"/>
        </w:rPr>
        <w:t>this Framework Schedule</w:t>
      </w:r>
      <w:r w:rsidRPr="00CC3209">
        <w:rPr>
          <w:rFonts w:ascii="Arial" w:hAnsi="Arial" w:eastAsia="Arial" w:cs="Arial"/>
          <w:bCs/>
          <w:color w:val="000000"/>
          <w:sz w:val="20"/>
          <w:szCs w:val="20"/>
        </w:rPr>
        <w:t xml:space="preserve"> the following words shall have the following meanings and they shall supplement Joint Schedule 1 (Definitions</w:t>
      </w:r>
      <w:proofErr w:type="gramStart"/>
      <w:r w:rsidRPr="00CC3209">
        <w:rPr>
          <w:rFonts w:ascii="Arial" w:hAnsi="Arial" w:eastAsia="Arial" w:cs="Arial"/>
          <w:bCs/>
          <w:color w:val="000000"/>
          <w:sz w:val="20"/>
          <w:szCs w:val="20"/>
        </w:rPr>
        <w:t>);</w:t>
      </w:r>
      <w:proofErr w:type="gramEnd"/>
    </w:p>
    <w:tbl>
      <w:tblPr>
        <w:tblStyle w:val="TableGrid"/>
        <w:tblW w:w="0" w:type="auto"/>
        <w:tblInd w:w="6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42"/>
        <w:gridCol w:w="4856"/>
      </w:tblGrid>
      <w:tr w:rsidRPr="00CC3209" w:rsidR="00C71AE6" w:rsidTr="51F21F37" w14:paraId="756AF58C" w14:textId="77777777">
        <w:trPr>
          <w:trHeight w:val="20"/>
        </w:trPr>
        <w:tc>
          <w:tcPr>
            <w:tcW w:w="3342" w:type="dxa"/>
            <w:tcMar/>
          </w:tcPr>
          <w:p w:rsidRPr="00CC3209" w:rsidR="00C71AE6" w:rsidP="00B55AE5" w:rsidRDefault="00C71AE6" w14:paraId="6270A066" w14:textId="16775641">
            <w:pPr>
              <w:pStyle w:val="GPSL2Numbered"/>
              <w:ind w:firstLine="0"/>
              <w:rPr>
                <w:rFonts w:ascii="Arial" w:hAnsi="Arial"/>
                <w:b/>
                <w:sz w:val="20"/>
                <w:szCs w:val="20"/>
              </w:rPr>
            </w:pPr>
            <w:r w:rsidRPr="00CC3209">
              <w:rPr>
                <w:rFonts w:ascii="Arial" w:hAnsi="Arial"/>
                <w:b/>
                <w:sz w:val="20"/>
                <w:szCs w:val="20"/>
              </w:rPr>
              <w:t>"</w:t>
            </w:r>
            <w:r w:rsidRPr="00CC3209">
              <w:rPr>
                <w:rFonts w:ascii="Arial" w:hAnsi="Arial" w:eastAsia="Arial"/>
                <w:color w:val="000000"/>
                <w:sz w:val="20"/>
                <w:szCs w:val="20"/>
              </w:rPr>
              <w:t xml:space="preserve"> </w:t>
            </w:r>
            <w:r w:rsidRPr="00CC3209">
              <w:rPr>
                <w:rFonts w:ascii="Arial" w:hAnsi="Arial" w:eastAsia="Arial"/>
                <w:b/>
                <w:bCs/>
                <w:color w:val="000000"/>
                <w:sz w:val="20"/>
                <w:szCs w:val="20"/>
              </w:rPr>
              <w:t>Access Permission</w:t>
            </w:r>
            <w:r w:rsidRPr="00CC3209">
              <w:rPr>
                <w:rFonts w:ascii="Arial" w:hAnsi="Arial"/>
                <w:b/>
                <w:sz w:val="20"/>
                <w:szCs w:val="20"/>
              </w:rPr>
              <w:t>"</w:t>
            </w:r>
          </w:p>
        </w:tc>
        <w:tc>
          <w:tcPr>
            <w:tcW w:w="4856" w:type="dxa"/>
            <w:tcMar/>
          </w:tcPr>
          <w:p w:rsidRPr="00CC3209" w:rsidR="00C71AE6" w:rsidP="00B55AE5" w:rsidRDefault="00C71AE6" w14:paraId="15C659AD" w14:textId="6F6F906C">
            <w:pPr>
              <w:pStyle w:val="GPSL2Numbered"/>
              <w:ind w:firstLine="0"/>
              <w:rPr>
                <w:rFonts w:ascii="Arial" w:hAnsi="Arial"/>
                <w:sz w:val="20"/>
                <w:szCs w:val="20"/>
              </w:rPr>
            </w:pPr>
            <w:r w:rsidRPr="00CC3209">
              <w:rPr>
                <w:rFonts w:ascii="Arial" w:hAnsi="Arial"/>
                <w:sz w:val="20"/>
                <w:szCs w:val="20"/>
              </w:rPr>
              <w:t>the rights of the Authority to access information in the Virtual Library as more specifically set out in column 6 to Annex 1 of th</w:t>
            </w:r>
            <w:r w:rsidRPr="00610FE5">
              <w:rPr>
                <w:rFonts w:ascii="Arial" w:hAnsi="Arial"/>
                <w:sz w:val="20"/>
                <w:szCs w:val="20"/>
              </w:rPr>
              <w:t xml:space="preserve">is </w:t>
            </w:r>
            <w:r w:rsidRPr="00610FE5">
              <w:rPr>
                <w:rFonts w:ascii="Arial" w:hAnsi="Arial" w:eastAsia="Arial"/>
                <w:bCs/>
                <w:color w:val="000000"/>
                <w:sz w:val="20"/>
                <w:szCs w:val="20"/>
              </w:rPr>
              <w:t>Framework Schedule</w:t>
            </w:r>
            <w:r w:rsidRPr="00610FE5">
              <w:rPr>
                <w:rFonts w:ascii="Arial" w:hAnsi="Arial"/>
                <w:sz w:val="20"/>
                <w:szCs w:val="20"/>
              </w:rPr>
              <w:t>;</w:t>
            </w:r>
            <w:r w:rsidRPr="00CC3209">
              <w:rPr>
                <w:rFonts w:ascii="Arial" w:hAnsi="Arial"/>
                <w:sz w:val="20"/>
                <w:szCs w:val="20"/>
              </w:rPr>
              <w:t xml:space="preserve"> </w:t>
            </w:r>
          </w:p>
        </w:tc>
      </w:tr>
      <w:tr w:rsidRPr="00CC3209" w:rsidR="00C917E0" w:rsidTr="51F21F37" w14:paraId="6A78E9CB" w14:textId="77777777">
        <w:trPr>
          <w:trHeight w:val="20"/>
        </w:trPr>
        <w:tc>
          <w:tcPr>
            <w:tcW w:w="3342" w:type="dxa"/>
            <w:tcMar/>
          </w:tcPr>
          <w:p w:rsidRPr="00CC3209" w:rsidR="00C917E0" w:rsidP="00B55AE5" w:rsidRDefault="00C917E0" w14:paraId="2C511BBE" w14:textId="73217755">
            <w:pPr>
              <w:pStyle w:val="GPSL2Numbered"/>
              <w:ind w:firstLine="0"/>
              <w:rPr>
                <w:rFonts w:ascii="Arial" w:hAnsi="Arial"/>
                <w:b/>
                <w:sz w:val="20"/>
                <w:szCs w:val="20"/>
              </w:rPr>
            </w:pPr>
            <w:r>
              <w:rPr>
                <w:rFonts w:ascii="Arial" w:hAnsi="Arial"/>
                <w:b/>
                <w:sz w:val="20"/>
                <w:szCs w:val="20"/>
              </w:rPr>
              <w:t>“Framework Supplier”</w:t>
            </w:r>
          </w:p>
        </w:tc>
        <w:tc>
          <w:tcPr>
            <w:tcW w:w="4856" w:type="dxa"/>
            <w:tcMar/>
          </w:tcPr>
          <w:p w:rsidRPr="00CC3209" w:rsidR="00C917E0" w:rsidP="00B55AE5" w:rsidRDefault="00C917E0" w14:paraId="3EA21127" w14:textId="2055A375">
            <w:pPr>
              <w:pStyle w:val="GPSL2Numbered"/>
              <w:ind w:firstLine="0"/>
              <w:rPr>
                <w:rFonts w:ascii="Arial" w:hAnsi="Arial" w:eastAsia="Arial"/>
                <w:color w:val="000000"/>
                <w:sz w:val="20"/>
                <w:szCs w:val="20"/>
                <w:highlight w:val="yellow"/>
              </w:rPr>
            </w:pPr>
            <w:r w:rsidRPr="00C917E0">
              <w:rPr>
                <w:rFonts w:ascii="Arial" w:hAnsi="Arial" w:eastAsia="Arial"/>
                <w:color w:val="000000"/>
                <w:sz w:val="20"/>
                <w:szCs w:val="20"/>
              </w:rPr>
              <w:t>a provider that is appointed to any lot of the Framework Agreement;</w:t>
            </w:r>
          </w:p>
        </w:tc>
      </w:tr>
      <w:tr w:rsidRPr="00CC3209" w:rsidR="00C71AE6" w:rsidTr="51F21F37" w14:paraId="1A7E4756" w14:textId="77777777">
        <w:trPr>
          <w:trHeight w:val="20"/>
        </w:trPr>
        <w:tc>
          <w:tcPr>
            <w:tcW w:w="3342" w:type="dxa"/>
            <w:tcMar/>
          </w:tcPr>
          <w:p w:rsidRPr="00CC3209" w:rsidR="00C71AE6" w:rsidP="00B55AE5" w:rsidRDefault="00C71AE6" w14:paraId="3FA88D1D" w14:textId="0F7E9CCF">
            <w:pPr>
              <w:pStyle w:val="GPSL2Numbered"/>
              <w:ind w:firstLine="0"/>
              <w:rPr>
                <w:rFonts w:ascii="Arial" w:hAnsi="Arial"/>
                <w:b/>
                <w:sz w:val="20"/>
                <w:szCs w:val="20"/>
              </w:rPr>
            </w:pPr>
            <w:r w:rsidRPr="00CC3209">
              <w:rPr>
                <w:rFonts w:ascii="Arial" w:hAnsi="Arial"/>
                <w:b/>
                <w:sz w:val="20"/>
                <w:szCs w:val="20"/>
              </w:rPr>
              <w:t>“Initial Upload Date”</w:t>
            </w:r>
          </w:p>
        </w:tc>
        <w:tc>
          <w:tcPr>
            <w:tcW w:w="4856" w:type="dxa"/>
            <w:tcMar/>
          </w:tcPr>
          <w:p w:rsidRPr="00CC3209" w:rsidR="00C71AE6" w:rsidP="51F21F37" w:rsidRDefault="00C71AE6" w14:paraId="403A5FE9" w14:textId="3E730370">
            <w:pPr>
              <w:spacing w:before="0" w:beforeAutospacing="off" w:after="0" w:afterAutospacing="off"/>
              <w:ind/>
            </w:pPr>
            <w:r w:rsidRPr="51F21F37" w:rsidR="4F1489F3">
              <w:rPr>
                <w:rFonts w:ascii="Arial" w:hAnsi="Arial" w:eastAsia="Arial" w:cs="Arial"/>
                <w:noProof w:val="0"/>
                <w:sz w:val="20"/>
                <w:szCs w:val="20"/>
                <w:lang w:val="en-GB"/>
              </w:rPr>
              <w:t xml:space="preserve">means the occurrence of an event detailed in Annex 1 which requires the Supplier to provide its </w:t>
            </w:r>
            <w:r w:rsidRPr="51F21F37" w:rsidR="4F1489F3">
              <w:rPr>
                <w:rFonts w:ascii="Arial" w:hAnsi="Arial" w:eastAsia="Arial" w:cs="Arial"/>
                <w:noProof w:val="0"/>
                <w:sz w:val="20"/>
                <w:szCs w:val="20"/>
                <w:lang w:val="en-GB"/>
              </w:rPr>
              <w:t>initial</w:t>
            </w:r>
            <w:r w:rsidRPr="51F21F37" w:rsidR="4F1489F3">
              <w:rPr>
                <w:rFonts w:ascii="Arial" w:hAnsi="Arial" w:eastAsia="Arial" w:cs="Arial"/>
                <w:noProof w:val="0"/>
                <w:sz w:val="20"/>
                <w:szCs w:val="20"/>
                <w:lang w:val="en-GB"/>
              </w:rPr>
              <w:t xml:space="preserve"> upload of the relevant information to the Virtual Library;</w:t>
            </w:r>
          </w:p>
        </w:tc>
      </w:tr>
      <w:tr w:rsidRPr="00CC3209" w:rsidR="00C71AE6" w:rsidTr="51F21F37" w14:paraId="118224DD" w14:textId="77777777">
        <w:trPr>
          <w:trHeight w:val="20"/>
        </w:trPr>
        <w:tc>
          <w:tcPr>
            <w:tcW w:w="3342" w:type="dxa"/>
            <w:tcMar/>
          </w:tcPr>
          <w:p w:rsidRPr="00CC3209" w:rsidR="00C71AE6" w:rsidP="00B55AE5" w:rsidRDefault="00C71AE6" w14:paraId="3D7944BB" w14:textId="2F254AC6">
            <w:pPr>
              <w:pStyle w:val="GPSL2Numbered"/>
              <w:ind w:firstLine="0"/>
              <w:rPr>
                <w:rFonts w:ascii="Arial" w:hAnsi="Arial"/>
                <w:b/>
                <w:sz w:val="20"/>
                <w:szCs w:val="20"/>
              </w:rPr>
            </w:pPr>
            <w:r w:rsidRPr="00CC3209">
              <w:rPr>
                <w:rFonts w:ascii="Arial" w:hAnsi="Arial"/>
                <w:b/>
                <w:sz w:val="20"/>
                <w:szCs w:val="20"/>
              </w:rPr>
              <w:t>“OS”</w:t>
            </w:r>
          </w:p>
        </w:tc>
        <w:tc>
          <w:tcPr>
            <w:tcW w:w="4856" w:type="dxa"/>
            <w:tcMar/>
          </w:tcPr>
          <w:p w:rsidRPr="00CC3209" w:rsidR="00C71AE6" w:rsidP="00B55AE5" w:rsidRDefault="0095069A" w14:paraId="704E939F" w14:textId="3A2D490F">
            <w:pPr>
              <w:pStyle w:val="GPSL2Numbered"/>
              <w:ind w:firstLine="0"/>
              <w:rPr>
                <w:rFonts w:ascii="Arial" w:hAnsi="Arial"/>
                <w:sz w:val="20"/>
                <w:szCs w:val="20"/>
              </w:rPr>
            </w:pPr>
            <w:r w:rsidRPr="51F21F37" w:rsidR="723590D8">
              <w:rPr>
                <w:rFonts w:ascii="Arial" w:hAnsi="Arial" w:eastAsia="Arial"/>
                <w:color w:val="000000" w:themeColor="text1" w:themeTint="FF" w:themeShade="FF"/>
                <w:sz w:val="20"/>
                <w:szCs w:val="20"/>
              </w:rPr>
              <w:t>M</w:t>
            </w:r>
            <w:r w:rsidRPr="51F21F37" w:rsidR="0095069A">
              <w:rPr>
                <w:rFonts w:ascii="Arial" w:hAnsi="Arial" w:eastAsia="Arial"/>
                <w:color w:val="000000" w:themeColor="text1" w:themeTint="FF" w:themeShade="FF"/>
                <w:sz w:val="20"/>
                <w:szCs w:val="20"/>
              </w:rPr>
              <w:t>eans</w:t>
            </w:r>
            <w:r w:rsidRPr="51F21F37" w:rsidR="723590D8">
              <w:rPr>
                <w:rFonts w:ascii="Arial" w:hAnsi="Arial" w:eastAsia="Arial"/>
                <w:color w:val="000000" w:themeColor="text1" w:themeTint="FF" w:themeShade="FF"/>
                <w:sz w:val="20"/>
                <w:szCs w:val="20"/>
              </w:rPr>
              <w:t xml:space="preserve"> Official</w:t>
            </w:r>
            <w:r w:rsidRPr="51F21F37" w:rsidR="1822909F">
              <w:rPr>
                <w:rFonts w:ascii="Arial" w:hAnsi="Arial" w:eastAsia="Arial"/>
                <w:color w:val="000000" w:themeColor="text1" w:themeTint="FF" w:themeShade="FF"/>
                <w:sz w:val="20"/>
                <w:szCs w:val="20"/>
              </w:rPr>
              <w:t xml:space="preserve"> </w:t>
            </w:r>
            <w:r w:rsidRPr="51F21F37" w:rsidR="723590D8">
              <w:rPr>
                <w:rFonts w:ascii="Arial" w:hAnsi="Arial" w:eastAsia="Arial"/>
                <w:color w:val="000000" w:themeColor="text1" w:themeTint="FF" w:themeShade="FF"/>
                <w:sz w:val="20"/>
                <w:szCs w:val="20"/>
              </w:rPr>
              <w:t xml:space="preserve">Sensitive. If it is found that OS marked material is not suitable for storage in SharePoint, the Supplier will </w:t>
            </w:r>
            <w:r w:rsidRPr="51F21F37" w:rsidR="723590D8">
              <w:rPr>
                <w:rFonts w:ascii="Arial" w:hAnsi="Arial" w:eastAsia="Arial"/>
                <w:color w:val="000000" w:themeColor="text1" w:themeTint="FF" w:themeShade="FF"/>
                <w:sz w:val="20"/>
                <w:szCs w:val="20"/>
              </w:rPr>
              <w:t>maintain</w:t>
            </w:r>
            <w:r w:rsidRPr="51F21F37" w:rsidR="723590D8">
              <w:rPr>
                <w:rFonts w:ascii="Arial" w:hAnsi="Arial" w:eastAsia="Arial"/>
                <w:color w:val="000000" w:themeColor="text1" w:themeTint="FF" w:themeShade="FF"/>
                <w:sz w:val="20"/>
                <w:szCs w:val="20"/>
              </w:rPr>
              <w:t xml:space="preserve"> those documents separately within its existing OS rated storage area for project documentation</w:t>
            </w:r>
            <w:r w:rsidRPr="51F21F37" w:rsidR="6CE9C0C8">
              <w:rPr>
                <w:rFonts w:ascii="Arial" w:hAnsi="Arial" w:eastAsia="Arial"/>
                <w:color w:val="000000" w:themeColor="text1" w:themeTint="FF" w:themeShade="FF"/>
                <w:sz w:val="20"/>
                <w:szCs w:val="20"/>
              </w:rPr>
              <w:t>;</w:t>
            </w:r>
          </w:p>
        </w:tc>
      </w:tr>
      <w:tr w:rsidRPr="00CC3209" w:rsidR="0095069A" w:rsidTr="51F21F37" w14:paraId="50358E9B" w14:textId="77777777">
        <w:trPr>
          <w:trHeight w:val="20"/>
        </w:trPr>
        <w:tc>
          <w:tcPr>
            <w:tcW w:w="3342" w:type="dxa"/>
            <w:tcMar/>
          </w:tcPr>
          <w:p w:rsidRPr="00CC3209" w:rsidR="0095069A" w:rsidP="00B55AE5" w:rsidRDefault="0095069A" w14:paraId="076FC7E6" w14:textId="4C537FF1">
            <w:pPr>
              <w:pStyle w:val="GPSL2Numbered"/>
              <w:ind w:firstLine="0"/>
              <w:rPr>
                <w:rFonts w:ascii="Arial" w:hAnsi="Arial"/>
                <w:b/>
                <w:sz w:val="20"/>
                <w:szCs w:val="20"/>
              </w:rPr>
            </w:pPr>
            <w:r w:rsidRPr="00CC3209">
              <w:rPr>
                <w:rFonts w:ascii="Arial" w:hAnsi="Arial"/>
                <w:b/>
                <w:sz w:val="20"/>
                <w:szCs w:val="20"/>
              </w:rPr>
              <w:t>“Update Requirement”</w:t>
            </w:r>
          </w:p>
        </w:tc>
        <w:tc>
          <w:tcPr>
            <w:tcW w:w="4856" w:type="dxa"/>
            <w:tcMar/>
          </w:tcPr>
          <w:p w:rsidRPr="00CC3209" w:rsidR="0095069A" w:rsidP="51F21F37" w:rsidRDefault="0095069A" w14:paraId="66546F0F" w14:textId="6E6761AF">
            <w:pPr>
              <w:spacing w:before="0" w:beforeAutospacing="off" w:after="0" w:afterAutospacing="off"/>
              <w:ind/>
            </w:pPr>
            <w:r w:rsidRPr="51F21F37" w:rsidR="35EBEC02">
              <w:rPr>
                <w:rFonts w:ascii="Arial" w:hAnsi="Arial" w:eastAsia="Arial" w:cs="Arial"/>
                <w:noProof w:val="0"/>
                <w:color w:val="000000" w:themeColor="text1" w:themeTint="FF" w:themeShade="FF"/>
                <w:sz w:val="20"/>
                <w:szCs w:val="20"/>
                <w:lang w:val="en-GB"/>
              </w:rPr>
              <w:t>means the occurrence of an event detailed in Annex 1 which requires the Supplier to update the relevant information hosted on the Virtual Library;</w:t>
            </w:r>
          </w:p>
        </w:tc>
      </w:tr>
    </w:tbl>
    <w:p w:rsidRPr="00CC3209" w:rsidR="00C71AE6" w:rsidP="00C71AE6" w:rsidRDefault="00C71AE6" w14:paraId="486F76C0" w14:textId="77777777">
      <w:pPr>
        <w:pBdr>
          <w:top w:val="nil"/>
          <w:left w:val="nil"/>
          <w:bottom w:val="nil"/>
          <w:right w:val="nil"/>
          <w:between w:val="nil"/>
        </w:pBdr>
        <w:spacing w:before="100" w:after="200" w:line="240" w:lineRule="auto"/>
        <w:ind w:left="851"/>
        <w:rPr>
          <w:rFonts w:ascii="Arial" w:hAnsi="Arial" w:eastAsia="Arial" w:cs="Arial"/>
          <w:bCs/>
          <w:color w:val="000000"/>
          <w:sz w:val="20"/>
          <w:szCs w:val="20"/>
        </w:rPr>
      </w:pPr>
    </w:p>
    <w:p w:rsidRPr="00CC3209" w:rsidR="00C71AE6" w:rsidP="00B151B4" w:rsidRDefault="00C71AE6" w14:paraId="51E93193" w14:textId="1728249F">
      <w:pPr>
        <w:numPr>
          <w:ilvl w:val="0"/>
          <w:numId w:val="1"/>
        </w:numPr>
        <w:pBdr>
          <w:top w:val="nil"/>
          <w:left w:val="nil"/>
          <w:bottom w:val="nil"/>
          <w:right w:val="nil"/>
          <w:between w:val="nil"/>
        </w:pBdr>
        <w:spacing w:before="100" w:after="200" w:line="240" w:lineRule="auto"/>
        <w:rPr>
          <w:rFonts w:ascii="Arial" w:hAnsi="Arial" w:eastAsia="Arial" w:cs="Arial"/>
          <w:b/>
          <w:color w:val="000000"/>
          <w:sz w:val="20"/>
          <w:szCs w:val="20"/>
        </w:rPr>
      </w:pPr>
      <w:r w:rsidRPr="00CC3209">
        <w:rPr>
          <w:rFonts w:ascii="Arial" w:hAnsi="Arial" w:eastAsia="Arial" w:cs="Arial"/>
          <w:b/>
          <w:color w:val="000000"/>
          <w:sz w:val="20"/>
          <w:szCs w:val="20"/>
        </w:rPr>
        <w:t>Virtual Library</w:t>
      </w:r>
    </w:p>
    <w:p w:rsidRPr="00CC3209" w:rsidR="00B151B4" w:rsidP="00B151B4" w:rsidRDefault="00C917E0" w14:paraId="41944F09" w14:textId="63210C62">
      <w:pPr>
        <w:numPr>
          <w:ilvl w:val="1"/>
          <w:numId w:val="1"/>
        </w:numPr>
        <w:pBdr>
          <w:top w:val="nil"/>
          <w:left w:val="nil"/>
          <w:bottom w:val="nil"/>
          <w:right w:val="nil"/>
          <w:between w:val="nil"/>
        </w:pBdr>
        <w:spacing w:before="100" w:after="200" w:line="240" w:lineRule="auto"/>
        <w:rPr>
          <w:rFonts w:ascii="Arial" w:hAnsi="Arial" w:eastAsia="Arial" w:cs="Arial"/>
          <w:color w:val="000000"/>
          <w:sz w:val="20"/>
          <w:szCs w:val="20"/>
        </w:rPr>
      </w:pPr>
      <w:r>
        <w:rPr>
          <w:rFonts w:ascii="Arial" w:hAnsi="Arial" w:eastAsia="Arial" w:cs="Arial"/>
          <w:color w:val="000000"/>
          <w:sz w:val="20"/>
          <w:szCs w:val="20"/>
        </w:rPr>
        <w:t xml:space="preserve">Subject to Paragraph </w:t>
      </w:r>
      <w:r>
        <w:rPr>
          <w:rFonts w:ascii="Arial" w:hAnsi="Arial" w:eastAsia="Arial" w:cs="Arial"/>
          <w:color w:val="000000"/>
          <w:sz w:val="20"/>
          <w:szCs w:val="20"/>
        </w:rPr>
        <w:fldChar w:fldCharType="begin"/>
      </w:r>
      <w:r>
        <w:rPr>
          <w:rFonts w:ascii="Arial" w:hAnsi="Arial" w:eastAsia="Arial" w:cs="Arial"/>
          <w:color w:val="000000"/>
          <w:sz w:val="20"/>
          <w:szCs w:val="20"/>
        </w:rPr>
        <w:instrText xml:space="preserve"> REF _Ref158043029 \r \h </w:instrText>
      </w:r>
      <w:r>
        <w:rPr>
          <w:rFonts w:ascii="Arial" w:hAnsi="Arial" w:eastAsia="Arial" w:cs="Arial"/>
          <w:color w:val="000000"/>
          <w:sz w:val="20"/>
          <w:szCs w:val="20"/>
        </w:rPr>
      </w:r>
      <w:r>
        <w:rPr>
          <w:rFonts w:ascii="Arial" w:hAnsi="Arial" w:eastAsia="Arial" w:cs="Arial"/>
          <w:color w:val="000000"/>
          <w:sz w:val="20"/>
          <w:szCs w:val="20"/>
        </w:rPr>
        <w:fldChar w:fldCharType="separate"/>
      </w:r>
      <w:r>
        <w:rPr>
          <w:rFonts w:ascii="Arial" w:hAnsi="Arial" w:eastAsia="Arial" w:cs="Arial"/>
          <w:color w:val="000000"/>
          <w:sz w:val="20"/>
          <w:szCs w:val="20"/>
        </w:rPr>
        <w:t>2.2</w:t>
      </w:r>
      <w:r>
        <w:rPr>
          <w:rFonts w:ascii="Arial" w:hAnsi="Arial" w:eastAsia="Arial" w:cs="Arial"/>
          <w:color w:val="000000"/>
          <w:sz w:val="20"/>
          <w:szCs w:val="20"/>
        </w:rPr>
        <w:fldChar w:fldCharType="end"/>
      </w:r>
      <w:r>
        <w:rPr>
          <w:rFonts w:ascii="Arial" w:hAnsi="Arial" w:eastAsia="Arial" w:cs="Arial"/>
          <w:color w:val="000000"/>
          <w:sz w:val="20"/>
          <w:szCs w:val="20"/>
        </w:rPr>
        <w:t>, t</w:t>
      </w:r>
      <w:r w:rsidRPr="00CC3209" w:rsidR="00B151B4">
        <w:rPr>
          <w:rFonts w:ascii="Arial" w:hAnsi="Arial" w:eastAsia="Arial" w:cs="Arial"/>
          <w:color w:val="000000"/>
          <w:sz w:val="20"/>
          <w:szCs w:val="20"/>
        </w:rPr>
        <w:t xml:space="preserve">he </w:t>
      </w:r>
      <w:r>
        <w:rPr>
          <w:rFonts w:ascii="Arial" w:hAnsi="Arial" w:eastAsia="Arial" w:cs="Arial"/>
          <w:color w:val="000000"/>
          <w:sz w:val="20"/>
          <w:szCs w:val="20"/>
        </w:rPr>
        <w:t xml:space="preserve">Framework </w:t>
      </w:r>
      <w:r w:rsidRPr="00CC3209" w:rsidR="00B151B4">
        <w:rPr>
          <w:rFonts w:ascii="Arial" w:hAnsi="Arial" w:eastAsia="Arial" w:cs="Arial"/>
          <w:color w:val="000000"/>
          <w:sz w:val="20"/>
          <w:szCs w:val="20"/>
        </w:rPr>
        <w:t>Supplier</w:t>
      </w:r>
      <w:r>
        <w:rPr>
          <w:rFonts w:ascii="Arial" w:hAnsi="Arial" w:eastAsia="Arial" w:cs="Arial"/>
          <w:color w:val="000000"/>
          <w:sz w:val="20"/>
          <w:szCs w:val="20"/>
        </w:rPr>
        <w:t xml:space="preserve">s shall within 4 </w:t>
      </w:r>
      <w:r w:rsidRPr="00CC3209" w:rsidR="00B151B4">
        <w:rPr>
          <w:rFonts w:ascii="Arial" w:hAnsi="Arial" w:eastAsia="Arial" w:cs="Arial"/>
          <w:color w:val="000000"/>
          <w:sz w:val="20"/>
          <w:szCs w:val="20"/>
        </w:rPr>
        <w:t xml:space="preserve">weeks </w:t>
      </w:r>
      <w:r>
        <w:rPr>
          <w:rFonts w:ascii="Arial" w:hAnsi="Arial" w:eastAsia="Arial" w:cs="Arial"/>
          <w:color w:val="000000"/>
          <w:sz w:val="20"/>
          <w:szCs w:val="20"/>
        </w:rPr>
        <w:t xml:space="preserve">of the </w:t>
      </w:r>
      <w:r w:rsidRPr="00C917E0" w:rsidR="00DE0D9E">
        <w:rPr>
          <w:rFonts w:ascii="Arial" w:hAnsi="Arial" w:eastAsia="Arial" w:cs="Arial"/>
          <w:color w:val="000000"/>
          <w:sz w:val="20"/>
          <w:szCs w:val="20"/>
        </w:rPr>
        <w:t xml:space="preserve">Framework Start Date </w:t>
      </w:r>
      <w:r w:rsidRPr="00CC3209" w:rsidR="00B151B4">
        <w:rPr>
          <w:rFonts w:ascii="Arial" w:hAnsi="Arial" w:eastAsia="Arial" w:cs="Arial"/>
          <w:color w:val="000000"/>
          <w:sz w:val="20"/>
          <w:szCs w:val="20"/>
        </w:rPr>
        <w:t xml:space="preserve">and without charge to the Authority, configure </w:t>
      </w:r>
      <w:r w:rsidRPr="00CC3209" w:rsidR="00DE0D9E">
        <w:rPr>
          <w:rFonts w:ascii="Arial" w:hAnsi="Arial" w:eastAsia="Arial" w:cs="Arial"/>
          <w:color w:val="000000"/>
          <w:sz w:val="20"/>
          <w:szCs w:val="20"/>
        </w:rPr>
        <w:t>a</w:t>
      </w:r>
      <w:r w:rsidRPr="00CC3209" w:rsidR="00B151B4">
        <w:rPr>
          <w:rFonts w:ascii="Arial" w:hAnsi="Arial" w:eastAsia="Arial" w:cs="Arial"/>
          <w:color w:val="000000"/>
          <w:sz w:val="20"/>
          <w:szCs w:val="20"/>
        </w:rPr>
        <w:t xml:space="preserve"> </w:t>
      </w:r>
      <w:r w:rsidRPr="00C917E0" w:rsidR="00B151B4">
        <w:rPr>
          <w:rFonts w:ascii="Arial" w:hAnsi="Arial" w:eastAsia="Arial" w:cs="Arial"/>
          <w:color w:val="000000"/>
          <w:sz w:val="20"/>
          <w:szCs w:val="20"/>
        </w:rPr>
        <w:t>SharePoin</w:t>
      </w:r>
      <w:r w:rsidRPr="00C917E0">
        <w:rPr>
          <w:rFonts w:ascii="Arial" w:hAnsi="Arial" w:eastAsia="Arial" w:cs="Arial"/>
          <w:color w:val="000000"/>
          <w:sz w:val="20"/>
          <w:szCs w:val="20"/>
        </w:rPr>
        <w:t>t</w:t>
      </w:r>
      <w:r w:rsidRPr="00CC3209" w:rsidR="00B151B4">
        <w:rPr>
          <w:rFonts w:ascii="Arial" w:hAnsi="Arial" w:eastAsia="Arial" w:cs="Arial"/>
          <w:color w:val="000000"/>
          <w:sz w:val="20"/>
          <w:szCs w:val="20"/>
        </w:rPr>
        <w:t xml:space="preserve"> file storage location (“</w:t>
      </w:r>
      <w:r w:rsidRPr="00CC3209" w:rsidR="00B151B4">
        <w:rPr>
          <w:rFonts w:ascii="Arial" w:hAnsi="Arial" w:eastAsia="Arial" w:cs="Arial"/>
          <w:b/>
          <w:bCs/>
          <w:color w:val="000000"/>
          <w:sz w:val="20"/>
          <w:szCs w:val="20"/>
        </w:rPr>
        <w:t>SharePoint</w:t>
      </w:r>
      <w:r w:rsidRPr="00CC3209" w:rsidR="00B151B4">
        <w:rPr>
          <w:rFonts w:ascii="Arial" w:hAnsi="Arial" w:eastAsia="Arial" w:cs="Arial"/>
          <w:color w:val="000000"/>
          <w:sz w:val="20"/>
          <w:szCs w:val="20"/>
        </w:rPr>
        <w:t xml:space="preserve">”) to create a Virtual Library on which the Supplier shall (subject to any applicable legislation governing the use or processing of personal data) make available </w:t>
      </w:r>
      <w:r>
        <w:rPr>
          <w:rFonts w:ascii="Arial" w:hAnsi="Arial" w:eastAsia="Arial" w:cs="Arial"/>
          <w:color w:val="000000"/>
          <w:sz w:val="20"/>
          <w:szCs w:val="20"/>
        </w:rPr>
        <w:t>the information set out in Annex 1 to this</w:t>
      </w:r>
      <w:r w:rsidRPr="00CC3209" w:rsidR="00B151B4">
        <w:rPr>
          <w:rFonts w:ascii="Arial" w:hAnsi="Arial" w:eastAsia="Arial" w:cs="Arial"/>
          <w:color w:val="000000"/>
          <w:sz w:val="20"/>
          <w:szCs w:val="20"/>
        </w:rPr>
        <w:t xml:space="preserve"> Schedule.</w:t>
      </w:r>
      <w:bookmarkStart w:name="_heading=h.2s8eyo1" w:colFirst="0" w:colLast="0" w:id="0"/>
      <w:bookmarkEnd w:id="0"/>
      <w:r w:rsidRPr="00CC3209" w:rsidR="00B151B4">
        <w:rPr>
          <w:rFonts w:ascii="Arial" w:hAnsi="Arial" w:cs="Arial"/>
          <w:sz w:val="20"/>
          <w:szCs w:val="20"/>
        </w:rPr>
        <w:t xml:space="preserve">          </w:t>
      </w:r>
      <w:r w:rsidRPr="00CC3209" w:rsidR="00B151B4">
        <w:rPr>
          <w:rFonts w:ascii="Arial" w:hAnsi="Arial" w:eastAsia="Arial" w:cs="Arial"/>
          <w:color w:val="000000"/>
          <w:sz w:val="20"/>
          <w:szCs w:val="20"/>
        </w:rPr>
        <w:t xml:space="preserve"> </w:t>
      </w:r>
    </w:p>
    <w:p w:rsidRPr="00CC3209" w:rsidR="00B151B4" w:rsidP="00B151B4" w:rsidRDefault="00C917E0" w14:paraId="71A8DA31" w14:textId="143E0660">
      <w:pPr>
        <w:numPr>
          <w:ilvl w:val="1"/>
          <w:numId w:val="1"/>
        </w:numPr>
        <w:pBdr>
          <w:top w:val="nil"/>
          <w:left w:val="nil"/>
          <w:bottom w:val="nil"/>
          <w:right w:val="nil"/>
          <w:between w:val="nil"/>
        </w:pBdr>
        <w:spacing w:before="100" w:after="200" w:line="240" w:lineRule="auto"/>
        <w:rPr>
          <w:rFonts w:ascii="Arial" w:hAnsi="Arial" w:eastAsia="Arial" w:cs="Arial"/>
          <w:color w:val="000000"/>
          <w:sz w:val="20"/>
          <w:szCs w:val="20"/>
        </w:rPr>
      </w:pPr>
      <w:bookmarkStart w:name="_Ref158043029" w:id="1"/>
      <w:r>
        <w:rPr>
          <w:rFonts w:ascii="Arial" w:hAnsi="Arial" w:eastAsia="Arial" w:cs="Arial"/>
          <w:color w:val="000000"/>
          <w:sz w:val="20"/>
          <w:szCs w:val="20"/>
        </w:rPr>
        <w:t>The</w:t>
      </w:r>
      <w:r w:rsidRPr="00CC3209" w:rsidR="00B151B4">
        <w:rPr>
          <w:rFonts w:ascii="Arial" w:hAnsi="Arial" w:eastAsia="Arial" w:cs="Arial"/>
          <w:color w:val="000000"/>
          <w:sz w:val="20"/>
          <w:szCs w:val="20"/>
        </w:rPr>
        <w:t xml:space="preserve"> Parties have agreed that SharePoint shall be used as temporary storage location for documentation and files to be included in the Virtual Library. </w:t>
      </w:r>
      <w:r>
        <w:rPr>
          <w:rFonts w:ascii="Arial" w:hAnsi="Arial" w:eastAsia="Arial" w:cs="Arial"/>
          <w:color w:val="000000"/>
          <w:sz w:val="20"/>
          <w:szCs w:val="20"/>
        </w:rPr>
        <w:t>The</w:t>
      </w:r>
      <w:r w:rsidRPr="00CC3209" w:rsidR="00B151B4">
        <w:rPr>
          <w:rFonts w:ascii="Arial" w:hAnsi="Arial" w:eastAsia="Arial" w:cs="Arial"/>
          <w:color w:val="000000"/>
          <w:sz w:val="20"/>
          <w:szCs w:val="20"/>
        </w:rPr>
        <w:t xml:space="preserve"> Parties will agree an alternative solution to SharePoint </w:t>
      </w:r>
      <w:r w:rsidR="005650BE">
        <w:rPr>
          <w:rFonts w:ascii="Arial" w:hAnsi="Arial" w:eastAsia="Arial" w:cs="Arial"/>
          <w:color w:val="000000"/>
          <w:sz w:val="20"/>
          <w:szCs w:val="20"/>
        </w:rPr>
        <w:t xml:space="preserve">within 6 months of the Framework Start Date </w:t>
      </w:r>
      <w:r w:rsidRPr="00CC3209" w:rsidR="00B151B4">
        <w:rPr>
          <w:rFonts w:ascii="Arial" w:hAnsi="Arial" w:eastAsia="Arial" w:cs="Arial"/>
          <w:color w:val="000000"/>
          <w:sz w:val="20"/>
          <w:szCs w:val="20"/>
        </w:rPr>
        <w:t xml:space="preserve">which shall be used by the </w:t>
      </w:r>
      <w:r w:rsidR="005650BE">
        <w:rPr>
          <w:rFonts w:ascii="Arial" w:hAnsi="Arial" w:eastAsia="Arial" w:cs="Arial"/>
          <w:color w:val="000000"/>
          <w:sz w:val="20"/>
          <w:szCs w:val="20"/>
        </w:rPr>
        <w:t>Framework Suppliers</w:t>
      </w:r>
      <w:r w:rsidRPr="00CC3209" w:rsidR="00B151B4">
        <w:rPr>
          <w:rFonts w:ascii="Arial" w:hAnsi="Arial" w:eastAsia="Arial" w:cs="Arial"/>
          <w:color w:val="000000"/>
          <w:sz w:val="20"/>
          <w:szCs w:val="20"/>
        </w:rPr>
        <w:t xml:space="preserve"> for the purposes of the Virtual Library.</w:t>
      </w:r>
      <w:bookmarkEnd w:id="1"/>
    </w:p>
    <w:p w:rsidRPr="00CC3209" w:rsidR="00B151B4" w:rsidP="00B151B4" w:rsidRDefault="00B151B4" w14:paraId="75C78667" w14:textId="77777777">
      <w:pPr>
        <w:keepNext/>
        <w:numPr>
          <w:ilvl w:val="1"/>
          <w:numId w:val="1"/>
        </w:numPr>
        <w:pBdr>
          <w:top w:val="nil"/>
          <w:left w:val="nil"/>
          <w:bottom w:val="nil"/>
          <w:right w:val="nil"/>
          <w:between w:val="nil"/>
        </w:pBdr>
        <w:spacing w:before="100" w:after="200" w:line="240" w:lineRule="auto"/>
        <w:rPr>
          <w:rFonts w:ascii="Arial" w:hAnsi="Arial" w:eastAsia="Arial" w:cs="Arial"/>
          <w:color w:val="000000"/>
          <w:sz w:val="20"/>
          <w:szCs w:val="20"/>
        </w:rPr>
      </w:pPr>
      <w:bookmarkStart w:name="_heading=h.17dp8vu" w:colFirst="0" w:colLast="0" w:id="2"/>
      <w:bookmarkEnd w:id="2"/>
      <w:r w:rsidRPr="00CC3209">
        <w:rPr>
          <w:rFonts w:ascii="Arial" w:hAnsi="Arial" w:eastAsia="Arial" w:cs="Arial"/>
          <w:color w:val="000000"/>
          <w:sz w:val="20"/>
          <w:szCs w:val="20"/>
        </w:rPr>
        <w:t>The Supplier shall ensure that the Virtual Library is:</w:t>
      </w:r>
    </w:p>
    <w:p w:rsidRPr="00CC3209" w:rsidR="00B151B4" w:rsidP="00B151B4" w:rsidRDefault="00B151B4" w14:paraId="027C2052" w14:textId="36D57022">
      <w:pPr>
        <w:numPr>
          <w:ilvl w:val="3"/>
          <w:numId w:val="1"/>
        </w:numPr>
        <w:pBdr>
          <w:top w:val="nil"/>
          <w:left w:val="nil"/>
          <w:bottom w:val="nil"/>
          <w:right w:val="nil"/>
          <w:between w:val="nil"/>
        </w:pBdr>
        <w:tabs>
          <w:tab w:val="left" w:pos="720"/>
          <w:tab w:val="left" w:pos="1803"/>
        </w:tabs>
        <w:spacing w:before="100" w:after="200" w:line="240" w:lineRule="auto"/>
        <w:rPr>
          <w:rFonts w:ascii="Arial" w:hAnsi="Arial" w:eastAsia="Arial" w:cs="Arial"/>
          <w:color w:val="000000"/>
          <w:sz w:val="20"/>
          <w:szCs w:val="20"/>
        </w:rPr>
      </w:pPr>
      <w:r w:rsidRPr="00CC3209">
        <w:rPr>
          <w:rFonts w:ascii="Arial" w:hAnsi="Arial" w:eastAsia="Arial" w:cs="Arial"/>
          <w:color w:val="000000"/>
          <w:sz w:val="20"/>
          <w:szCs w:val="20"/>
        </w:rPr>
        <w:t xml:space="preserve">capable of holding and allowing access to the information described in Annex </w:t>
      </w:r>
      <w:r w:rsidRPr="00CC3209" w:rsidR="00DE0D9E">
        <w:rPr>
          <w:rFonts w:ascii="Arial" w:hAnsi="Arial" w:eastAsia="Arial" w:cs="Arial"/>
          <w:color w:val="000000"/>
          <w:sz w:val="20"/>
          <w:szCs w:val="20"/>
        </w:rPr>
        <w:t xml:space="preserve">1 </w:t>
      </w:r>
      <w:r w:rsidRPr="00CC3209">
        <w:rPr>
          <w:rFonts w:ascii="Arial" w:hAnsi="Arial" w:eastAsia="Arial" w:cs="Arial"/>
          <w:color w:val="000000"/>
          <w:sz w:val="20"/>
          <w:szCs w:val="20"/>
        </w:rPr>
        <w:t xml:space="preserve">of this Schedule and includes full and accurate file details of all uploaded items including date and time of upload, version number and the name of the uploader. Until such time as a new solution is agreed pursuant to </w:t>
      </w:r>
      <w:r w:rsidR="00CC3209">
        <w:rPr>
          <w:rFonts w:ascii="Arial" w:hAnsi="Arial" w:eastAsia="Arial" w:cs="Arial"/>
          <w:color w:val="000000"/>
          <w:sz w:val="20"/>
          <w:szCs w:val="20"/>
        </w:rPr>
        <w:t>P</w:t>
      </w:r>
      <w:r w:rsidRPr="00CC3209">
        <w:rPr>
          <w:rFonts w:ascii="Arial" w:hAnsi="Arial" w:eastAsia="Arial" w:cs="Arial"/>
          <w:color w:val="000000"/>
          <w:sz w:val="20"/>
          <w:szCs w:val="20"/>
        </w:rPr>
        <w:t xml:space="preserve">aragraph </w:t>
      </w:r>
      <w:r w:rsidRPr="00CC3209" w:rsidR="006A4864">
        <w:rPr>
          <w:rFonts w:ascii="Arial" w:hAnsi="Arial" w:eastAsia="Arial" w:cs="Arial"/>
          <w:color w:val="000000"/>
          <w:sz w:val="20"/>
          <w:szCs w:val="20"/>
        </w:rPr>
        <w:fldChar w:fldCharType="begin"/>
      </w:r>
      <w:r w:rsidRPr="00CC3209" w:rsidR="006A4864">
        <w:rPr>
          <w:rFonts w:ascii="Arial" w:hAnsi="Arial" w:eastAsia="Arial" w:cs="Arial"/>
          <w:color w:val="000000"/>
          <w:sz w:val="20"/>
          <w:szCs w:val="20"/>
        </w:rPr>
        <w:instrText xml:space="preserve"> REF _Ref158043029 \r \h </w:instrText>
      </w:r>
      <w:r w:rsidRPr="00CC3209" w:rsidR="00CC3209">
        <w:rPr>
          <w:rFonts w:ascii="Arial" w:hAnsi="Arial" w:eastAsia="Arial" w:cs="Arial"/>
          <w:color w:val="000000"/>
          <w:sz w:val="20"/>
          <w:szCs w:val="20"/>
        </w:rPr>
        <w:instrText xml:space="preserve"> \* MERGEFORMAT </w:instrText>
      </w:r>
      <w:r w:rsidRPr="00CC3209" w:rsidR="006A4864">
        <w:rPr>
          <w:rFonts w:ascii="Arial" w:hAnsi="Arial" w:eastAsia="Arial" w:cs="Arial"/>
          <w:color w:val="000000"/>
          <w:sz w:val="20"/>
          <w:szCs w:val="20"/>
        </w:rPr>
      </w:r>
      <w:r w:rsidRPr="00CC3209" w:rsidR="006A4864">
        <w:rPr>
          <w:rFonts w:ascii="Arial" w:hAnsi="Arial" w:eastAsia="Arial" w:cs="Arial"/>
          <w:color w:val="000000"/>
          <w:sz w:val="20"/>
          <w:szCs w:val="20"/>
        </w:rPr>
        <w:fldChar w:fldCharType="separate"/>
      </w:r>
      <w:r w:rsidR="00E31855">
        <w:rPr>
          <w:rFonts w:ascii="Arial" w:hAnsi="Arial" w:eastAsia="Arial" w:cs="Arial"/>
          <w:color w:val="000000"/>
          <w:sz w:val="20"/>
          <w:szCs w:val="20"/>
        </w:rPr>
        <w:t>2</w:t>
      </w:r>
      <w:r w:rsidRPr="00CC3209" w:rsidR="006A4864">
        <w:rPr>
          <w:rFonts w:ascii="Arial" w:hAnsi="Arial" w:eastAsia="Arial" w:cs="Arial"/>
          <w:color w:val="000000"/>
          <w:sz w:val="20"/>
          <w:szCs w:val="20"/>
        </w:rPr>
        <w:t>.2</w:t>
      </w:r>
      <w:r w:rsidRPr="00CC3209" w:rsidR="006A4864">
        <w:rPr>
          <w:rFonts w:ascii="Arial" w:hAnsi="Arial" w:eastAsia="Arial" w:cs="Arial"/>
          <w:color w:val="000000"/>
          <w:sz w:val="20"/>
          <w:szCs w:val="20"/>
        </w:rPr>
        <w:fldChar w:fldCharType="end"/>
      </w:r>
      <w:r w:rsidRPr="00CC3209">
        <w:rPr>
          <w:rFonts w:ascii="Arial" w:hAnsi="Arial" w:eastAsia="Arial" w:cs="Arial"/>
          <w:color w:val="000000"/>
          <w:sz w:val="20"/>
          <w:szCs w:val="20"/>
        </w:rPr>
        <w:t xml:space="preserve"> above, in the event that SharePoint does not provide the meta data required under this Schedule, the Supplier will maintain a suitable indexing document (the “</w:t>
      </w:r>
      <w:r w:rsidRPr="00CC3209">
        <w:rPr>
          <w:rFonts w:ascii="Arial" w:hAnsi="Arial" w:eastAsia="Arial" w:cs="Arial"/>
          <w:b/>
          <w:bCs/>
          <w:color w:val="000000"/>
          <w:sz w:val="20"/>
          <w:szCs w:val="20"/>
        </w:rPr>
        <w:t>Index</w:t>
      </w:r>
      <w:r w:rsidRPr="00CC3209">
        <w:rPr>
          <w:rFonts w:ascii="Arial" w:hAnsi="Arial" w:eastAsia="Arial" w:cs="Arial"/>
          <w:color w:val="000000"/>
          <w:sz w:val="20"/>
          <w:szCs w:val="20"/>
        </w:rPr>
        <w:t xml:space="preserve">”). If it is found that OS marked material is not suitable for storage in SharePoint, the Supplier will maintain those documents separately within its existing OS rated storage area for project documentation, copies of which can be requested from the Supplier and provided to the Authority in accordance with the timings set out in Annex </w:t>
      </w:r>
      <w:r w:rsidRPr="00CC3209" w:rsidR="00DE0D9E">
        <w:rPr>
          <w:rFonts w:ascii="Arial" w:hAnsi="Arial" w:eastAsia="Arial" w:cs="Arial"/>
          <w:color w:val="000000"/>
          <w:sz w:val="20"/>
          <w:szCs w:val="20"/>
        </w:rPr>
        <w:t>1</w:t>
      </w:r>
      <w:r w:rsidRPr="00CC3209">
        <w:rPr>
          <w:rFonts w:ascii="Arial" w:hAnsi="Arial" w:eastAsia="Arial" w:cs="Arial"/>
          <w:color w:val="000000"/>
          <w:sz w:val="20"/>
          <w:szCs w:val="20"/>
        </w:rPr>
        <w:t xml:space="preserve"> of this Schedule. The Supplier shall maintain the Index which will contain all of the necessary details required under this Schedule and which will be available for viewing by the </w:t>
      </w:r>
      <w:proofErr w:type="gramStart"/>
      <w:r w:rsidRPr="00CC3209">
        <w:rPr>
          <w:rFonts w:ascii="Arial" w:hAnsi="Arial" w:eastAsia="Arial" w:cs="Arial"/>
          <w:color w:val="000000"/>
          <w:sz w:val="20"/>
          <w:szCs w:val="20"/>
        </w:rPr>
        <w:t>Authority</w:t>
      </w:r>
      <w:r w:rsidR="00E31855">
        <w:rPr>
          <w:rFonts w:ascii="Arial" w:hAnsi="Arial" w:eastAsia="Arial" w:cs="Arial"/>
          <w:color w:val="000000"/>
          <w:sz w:val="20"/>
          <w:szCs w:val="20"/>
        </w:rPr>
        <w:t>;</w:t>
      </w:r>
      <w:proofErr w:type="gramEnd"/>
    </w:p>
    <w:p w:rsidRPr="00CC3209" w:rsidR="00B151B4" w:rsidP="00B151B4" w:rsidRDefault="00B151B4" w14:paraId="6EF0A9DA" w14:textId="09D5B807">
      <w:pPr>
        <w:numPr>
          <w:ilvl w:val="3"/>
          <w:numId w:val="1"/>
        </w:numPr>
        <w:pBdr>
          <w:top w:val="nil"/>
          <w:left w:val="nil"/>
          <w:bottom w:val="nil"/>
          <w:right w:val="nil"/>
          <w:between w:val="nil"/>
        </w:pBdr>
        <w:tabs>
          <w:tab w:val="left" w:pos="720"/>
          <w:tab w:val="left" w:pos="1803"/>
        </w:tabs>
        <w:spacing w:before="100" w:after="200" w:line="240" w:lineRule="auto"/>
        <w:rPr>
          <w:rFonts w:ascii="Arial" w:hAnsi="Arial" w:eastAsia="Arial" w:cs="Arial"/>
          <w:color w:val="000000"/>
          <w:sz w:val="20"/>
          <w:szCs w:val="20"/>
        </w:rPr>
      </w:pPr>
      <w:r w:rsidRPr="00CC3209">
        <w:rPr>
          <w:rFonts w:ascii="Arial" w:hAnsi="Arial" w:eastAsia="Arial" w:cs="Arial"/>
          <w:color w:val="000000"/>
          <w:sz w:val="20"/>
          <w:szCs w:val="20"/>
        </w:rPr>
        <w:t xml:space="preserve">structured so that each document uploaded has a unique identifier which is automatically assigned or whilst SharePoint is being used appropriate details maintained in the </w:t>
      </w:r>
      <w:proofErr w:type="gramStart"/>
      <w:r w:rsidRPr="00CC3209">
        <w:rPr>
          <w:rFonts w:ascii="Arial" w:hAnsi="Arial" w:eastAsia="Arial" w:cs="Arial"/>
          <w:color w:val="000000"/>
          <w:sz w:val="20"/>
          <w:szCs w:val="20"/>
        </w:rPr>
        <w:t>Index;</w:t>
      </w:r>
      <w:proofErr w:type="gramEnd"/>
      <w:r w:rsidRPr="00CC3209">
        <w:rPr>
          <w:rFonts w:ascii="Arial" w:hAnsi="Arial" w:eastAsia="Arial" w:cs="Arial"/>
          <w:color w:val="000000"/>
          <w:sz w:val="20"/>
          <w:szCs w:val="20"/>
        </w:rPr>
        <w:t xml:space="preserve"> </w:t>
      </w:r>
    </w:p>
    <w:p w:rsidRPr="00CC3209" w:rsidR="00B151B4" w:rsidP="00B151B4" w:rsidRDefault="00B151B4" w14:paraId="21B0F5A7" w14:textId="49C1BAE1">
      <w:pPr>
        <w:numPr>
          <w:ilvl w:val="3"/>
          <w:numId w:val="1"/>
        </w:numPr>
        <w:pBdr>
          <w:top w:val="nil"/>
          <w:left w:val="nil"/>
          <w:bottom w:val="nil"/>
          <w:right w:val="nil"/>
          <w:between w:val="nil"/>
        </w:pBdr>
        <w:tabs>
          <w:tab w:val="left" w:pos="720"/>
          <w:tab w:val="left" w:pos="1803"/>
        </w:tabs>
        <w:spacing w:before="100" w:after="200" w:line="240" w:lineRule="auto"/>
        <w:rPr>
          <w:rFonts w:ascii="Arial" w:hAnsi="Arial" w:eastAsia="Arial" w:cs="Arial"/>
          <w:color w:val="000000"/>
          <w:sz w:val="20"/>
          <w:szCs w:val="20"/>
        </w:rPr>
      </w:pPr>
      <w:r w:rsidRPr="00CC3209">
        <w:rPr>
          <w:rFonts w:ascii="Arial" w:hAnsi="Arial" w:eastAsia="Arial" w:cs="Arial"/>
          <w:color w:val="000000"/>
          <w:sz w:val="20"/>
          <w:szCs w:val="20"/>
        </w:rPr>
        <w:t xml:space="preserve">readily accessible by the Authority at all times in full via a user-friendly, password protected interface to such nominated users as are notified to the Supplier by the Authority from time to </w:t>
      </w:r>
      <w:proofErr w:type="gramStart"/>
      <w:r w:rsidRPr="00CC3209">
        <w:rPr>
          <w:rFonts w:ascii="Arial" w:hAnsi="Arial" w:eastAsia="Arial" w:cs="Arial"/>
          <w:color w:val="000000"/>
          <w:sz w:val="20"/>
          <w:szCs w:val="20"/>
        </w:rPr>
        <w:t>time</w:t>
      </w:r>
      <w:r w:rsidR="00E31855">
        <w:rPr>
          <w:rFonts w:ascii="Arial" w:hAnsi="Arial" w:eastAsia="Arial" w:cs="Arial"/>
          <w:color w:val="000000"/>
          <w:sz w:val="20"/>
          <w:szCs w:val="20"/>
        </w:rPr>
        <w:t>;</w:t>
      </w:r>
      <w:proofErr w:type="gramEnd"/>
      <w:r w:rsidRPr="00CC3209">
        <w:rPr>
          <w:rFonts w:ascii="Arial" w:hAnsi="Arial" w:eastAsia="Arial" w:cs="Arial"/>
          <w:color w:val="000000"/>
          <w:sz w:val="20"/>
          <w:szCs w:val="20"/>
        </w:rPr>
        <w:t xml:space="preserve"> </w:t>
      </w:r>
    </w:p>
    <w:p w:rsidRPr="00CC3209" w:rsidR="00B151B4" w:rsidP="00B151B4" w:rsidRDefault="00B151B4" w14:paraId="1CCCCFFA" w14:textId="61F0867D">
      <w:pPr>
        <w:numPr>
          <w:ilvl w:val="3"/>
          <w:numId w:val="1"/>
        </w:numPr>
        <w:pBdr>
          <w:top w:val="nil"/>
          <w:left w:val="nil"/>
          <w:bottom w:val="nil"/>
          <w:right w:val="nil"/>
          <w:between w:val="nil"/>
        </w:pBdr>
        <w:tabs>
          <w:tab w:val="left" w:pos="720"/>
          <w:tab w:val="left" w:pos="1803"/>
        </w:tabs>
        <w:spacing w:before="100" w:after="200" w:line="240" w:lineRule="auto"/>
        <w:rPr>
          <w:rFonts w:ascii="Arial" w:hAnsi="Arial" w:eastAsia="Arial" w:cs="Arial"/>
          <w:color w:val="000000"/>
          <w:sz w:val="20"/>
          <w:szCs w:val="20"/>
        </w:rPr>
      </w:pPr>
      <w:r w:rsidRPr="00CC3209">
        <w:rPr>
          <w:rFonts w:ascii="Arial" w:hAnsi="Arial" w:eastAsia="Arial" w:cs="Arial"/>
          <w:color w:val="000000"/>
          <w:sz w:val="20"/>
          <w:szCs w:val="20"/>
        </w:rPr>
        <w:lastRenderedPageBreak/>
        <w:t>structured so as to allow nominated users to download either specific documents or the complete Virtual Library (to the extent it has Access Permission) in bulk and store and view the content offline (on a regular basis</w:t>
      </w:r>
      <w:proofErr w:type="gramStart"/>
      <w:r w:rsidRPr="00CC3209" w:rsidR="006A4864">
        <w:rPr>
          <w:rFonts w:ascii="Arial" w:hAnsi="Arial" w:eastAsia="Arial" w:cs="Arial"/>
          <w:color w:val="000000"/>
          <w:sz w:val="20"/>
          <w:szCs w:val="20"/>
        </w:rPr>
        <w:t>)</w:t>
      </w:r>
      <w:r w:rsidR="00405EB3">
        <w:rPr>
          <w:rFonts w:ascii="Arial" w:hAnsi="Arial" w:eastAsia="Arial" w:cs="Arial"/>
          <w:color w:val="000000"/>
          <w:sz w:val="20"/>
          <w:szCs w:val="20"/>
        </w:rPr>
        <w:t>;</w:t>
      </w:r>
      <w:proofErr w:type="gramEnd"/>
      <w:r w:rsidRPr="00CC3209">
        <w:rPr>
          <w:rFonts w:ascii="Arial" w:hAnsi="Arial" w:eastAsia="Arial" w:cs="Arial"/>
          <w:color w:val="000000"/>
          <w:sz w:val="20"/>
          <w:szCs w:val="20"/>
        </w:rPr>
        <w:t xml:space="preserve"> </w:t>
      </w:r>
    </w:p>
    <w:p w:rsidRPr="007C1371" w:rsidR="00B151B4" w:rsidP="00B151B4" w:rsidRDefault="00B151B4" w14:paraId="78536828" w14:textId="145D8498">
      <w:pPr>
        <w:numPr>
          <w:ilvl w:val="3"/>
          <w:numId w:val="1"/>
        </w:numPr>
        <w:pBdr>
          <w:top w:val="nil"/>
          <w:left w:val="nil"/>
          <w:bottom w:val="nil"/>
          <w:right w:val="nil"/>
          <w:between w:val="nil"/>
        </w:pBdr>
        <w:tabs>
          <w:tab w:val="left" w:pos="720"/>
          <w:tab w:val="left" w:pos="1803"/>
        </w:tabs>
        <w:spacing w:before="100" w:after="200" w:line="240" w:lineRule="auto"/>
        <w:rPr>
          <w:rFonts w:ascii="Arial" w:hAnsi="Arial" w:eastAsia="Arial" w:cs="Arial"/>
          <w:color w:val="000000"/>
          <w:sz w:val="20"/>
          <w:szCs w:val="20"/>
        </w:rPr>
      </w:pPr>
      <w:r w:rsidRPr="00CC3209">
        <w:rPr>
          <w:rFonts w:ascii="Arial" w:hAnsi="Arial" w:eastAsia="Arial" w:cs="Arial"/>
          <w:color w:val="000000"/>
          <w:sz w:val="20"/>
          <w:szCs w:val="20"/>
        </w:rPr>
        <w:t>structured and maintained in accordance with the security requirements as set out in this Contract including those set out in</w:t>
      </w:r>
      <w:r w:rsidRPr="00CC3209" w:rsidR="006A4864">
        <w:rPr>
          <w:rFonts w:ascii="Arial" w:hAnsi="Arial" w:eastAsia="Arial" w:cs="Arial"/>
          <w:color w:val="000000"/>
          <w:sz w:val="20"/>
          <w:szCs w:val="20"/>
        </w:rPr>
        <w:t xml:space="preserve"> </w:t>
      </w:r>
      <w:r w:rsidR="00B92046">
        <w:rPr>
          <w:rFonts w:ascii="Arial" w:hAnsi="Arial" w:eastAsia="Arial" w:cs="Arial"/>
          <w:color w:val="000000"/>
          <w:sz w:val="20"/>
          <w:szCs w:val="20"/>
        </w:rPr>
        <w:t>Call-Off Schedule 9 (</w:t>
      </w:r>
      <w:r w:rsidR="00BE1EA3">
        <w:rPr>
          <w:rFonts w:ascii="Arial" w:hAnsi="Arial" w:eastAsia="Arial" w:cs="Arial"/>
          <w:color w:val="000000"/>
          <w:sz w:val="20"/>
          <w:szCs w:val="20"/>
        </w:rPr>
        <w:t>Security) and Framework Schedule 9 (</w:t>
      </w:r>
      <w:r w:rsidR="001F649A">
        <w:rPr>
          <w:rFonts w:ascii="Arial" w:hAnsi="Arial" w:eastAsia="Arial" w:cs="Arial"/>
          <w:color w:val="000000"/>
          <w:sz w:val="20"/>
          <w:szCs w:val="20"/>
        </w:rPr>
        <w:t xml:space="preserve">Cyber Essentials </w:t>
      </w:r>
      <w:r w:rsidRPr="007C1371" w:rsidR="001F649A">
        <w:rPr>
          <w:rFonts w:ascii="Arial" w:hAnsi="Arial" w:eastAsia="Arial" w:cs="Arial"/>
          <w:color w:val="000000"/>
          <w:sz w:val="20"/>
          <w:szCs w:val="20"/>
        </w:rPr>
        <w:t>Scheme</w:t>
      </w:r>
      <w:proofErr w:type="gramStart"/>
      <w:r w:rsidRPr="007C1371" w:rsidR="00B92046">
        <w:rPr>
          <w:rFonts w:ascii="Arial" w:hAnsi="Arial" w:eastAsia="Arial" w:cs="Arial"/>
          <w:color w:val="000000"/>
          <w:sz w:val="20"/>
          <w:szCs w:val="20"/>
        </w:rPr>
        <w:t>)</w:t>
      </w:r>
      <w:r w:rsidRPr="007C1371">
        <w:rPr>
          <w:rFonts w:ascii="Arial" w:hAnsi="Arial" w:eastAsia="Arial" w:cs="Arial"/>
          <w:color w:val="000000"/>
          <w:sz w:val="20"/>
          <w:szCs w:val="20"/>
        </w:rPr>
        <w:t>;</w:t>
      </w:r>
      <w:proofErr w:type="gramEnd"/>
    </w:p>
    <w:p w:rsidRPr="007C1371" w:rsidR="00B151B4" w:rsidP="00B151B4" w:rsidRDefault="00B151B4" w14:paraId="32CFCB88" w14:textId="063424B5">
      <w:pPr>
        <w:numPr>
          <w:ilvl w:val="3"/>
          <w:numId w:val="1"/>
        </w:numPr>
        <w:pBdr>
          <w:top w:val="nil"/>
          <w:left w:val="nil"/>
          <w:bottom w:val="nil"/>
          <w:right w:val="nil"/>
          <w:between w:val="nil"/>
        </w:pBdr>
        <w:tabs>
          <w:tab w:val="left" w:pos="720"/>
          <w:tab w:val="left" w:pos="1803"/>
        </w:tabs>
        <w:spacing w:before="100" w:after="200" w:line="240" w:lineRule="auto"/>
        <w:rPr>
          <w:rFonts w:ascii="Arial" w:hAnsi="Arial" w:eastAsia="Arial" w:cs="Arial"/>
          <w:color w:val="000000"/>
          <w:sz w:val="20"/>
          <w:szCs w:val="20"/>
        </w:rPr>
      </w:pPr>
      <w:r w:rsidRPr="007C1371">
        <w:rPr>
          <w:rFonts w:ascii="Arial" w:hAnsi="Arial" w:eastAsia="Arial" w:cs="Arial"/>
          <w:color w:val="000000"/>
          <w:sz w:val="20"/>
          <w:szCs w:val="20"/>
        </w:rPr>
        <w:t xml:space="preserve">created and based on open standards (where possible and applicable) in </w:t>
      </w:r>
      <w:r w:rsidRPr="007C1371" w:rsidR="00BB7458">
        <w:rPr>
          <w:rFonts w:ascii="Arial" w:hAnsi="Arial" w:eastAsia="Arial" w:cs="Arial"/>
          <w:color w:val="000000"/>
          <w:sz w:val="20"/>
          <w:szCs w:val="20"/>
        </w:rPr>
        <w:t xml:space="preserve">Call-Off </w:t>
      </w:r>
      <w:r w:rsidRPr="007C1371">
        <w:rPr>
          <w:rFonts w:ascii="Arial" w:hAnsi="Arial" w:eastAsia="Arial" w:cs="Arial"/>
          <w:color w:val="000000"/>
          <w:sz w:val="20"/>
          <w:szCs w:val="20"/>
        </w:rPr>
        <w:fldChar w:fldCharType="begin"/>
      </w:r>
      <w:r w:rsidRPr="007C1371">
        <w:rPr>
          <w:rFonts w:ascii="Arial" w:hAnsi="Arial" w:eastAsia="Arial" w:cs="Arial"/>
          <w:color w:val="000000"/>
          <w:sz w:val="20"/>
          <w:szCs w:val="20"/>
        </w:rPr>
        <w:instrText xml:space="preserve"> REF _Ref92199295 \h  \* MERGEFORMAT </w:instrText>
      </w:r>
      <w:r w:rsidRPr="007C1371">
        <w:rPr>
          <w:rFonts w:ascii="Arial" w:hAnsi="Arial" w:eastAsia="Arial" w:cs="Arial"/>
          <w:color w:val="000000"/>
          <w:sz w:val="20"/>
          <w:szCs w:val="20"/>
        </w:rPr>
      </w:r>
      <w:r w:rsidRPr="007C1371">
        <w:rPr>
          <w:rFonts w:ascii="Arial" w:hAnsi="Arial" w:eastAsia="Arial" w:cs="Arial"/>
          <w:color w:val="000000"/>
          <w:sz w:val="20"/>
          <w:szCs w:val="20"/>
        </w:rPr>
        <w:fldChar w:fldCharType="separate"/>
      </w:r>
      <w:r w:rsidRPr="007C1371">
        <w:rPr>
          <w:rFonts w:ascii="Arial" w:hAnsi="Arial" w:eastAsia="Arial" w:cs="Arial"/>
          <w:color w:val="000000"/>
          <w:sz w:val="20"/>
          <w:szCs w:val="20"/>
        </w:rPr>
        <w:t xml:space="preserve">Schedule </w:t>
      </w:r>
      <w:r w:rsidRPr="007C1371" w:rsidR="00BB7458">
        <w:rPr>
          <w:rFonts w:ascii="Arial" w:hAnsi="Arial" w:eastAsia="Arial" w:cs="Arial"/>
          <w:color w:val="000000"/>
          <w:sz w:val="20"/>
          <w:szCs w:val="20"/>
        </w:rPr>
        <w:t>1</w:t>
      </w:r>
      <w:r w:rsidRPr="007C1371">
        <w:rPr>
          <w:rFonts w:ascii="Arial" w:hAnsi="Arial" w:eastAsia="Arial" w:cs="Arial"/>
          <w:color w:val="000000"/>
          <w:sz w:val="20"/>
          <w:szCs w:val="20"/>
        </w:rPr>
        <w:t xml:space="preserve"> (</w:t>
      </w:r>
      <w:r w:rsidRPr="007C1371" w:rsidR="00BB7458">
        <w:rPr>
          <w:rFonts w:ascii="Arial" w:hAnsi="Arial" w:eastAsia="Arial" w:cs="Arial"/>
          <w:color w:val="000000"/>
          <w:sz w:val="20"/>
          <w:szCs w:val="20"/>
        </w:rPr>
        <w:t>Transparency Reports</w:t>
      </w:r>
      <w:r w:rsidRPr="007C1371">
        <w:rPr>
          <w:rFonts w:ascii="Arial" w:hAnsi="Arial" w:eastAsia="Arial" w:cs="Arial"/>
          <w:color w:val="000000"/>
          <w:sz w:val="20"/>
          <w:szCs w:val="20"/>
        </w:rPr>
        <w:t>)</w:t>
      </w:r>
      <w:r w:rsidRPr="007C1371">
        <w:rPr>
          <w:rFonts w:ascii="Arial" w:hAnsi="Arial" w:eastAsia="Arial" w:cs="Arial"/>
          <w:color w:val="000000"/>
          <w:sz w:val="20"/>
          <w:szCs w:val="20"/>
        </w:rPr>
        <w:fldChar w:fldCharType="end"/>
      </w:r>
      <w:r w:rsidRPr="007C1371">
        <w:rPr>
          <w:rFonts w:ascii="Arial" w:hAnsi="Arial" w:eastAsia="Arial" w:cs="Arial"/>
          <w:color w:val="000000"/>
          <w:sz w:val="20"/>
          <w:szCs w:val="20"/>
        </w:rPr>
        <w:t>; and</w:t>
      </w:r>
    </w:p>
    <w:p w:rsidRPr="00CC3209" w:rsidR="00B151B4" w:rsidP="00B151B4" w:rsidRDefault="00B151B4" w14:paraId="68BFE3C4" w14:textId="77777777">
      <w:pPr>
        <w:numPr>
          <w:ilvl w:val="3"/>
          <w:numId w:val="1"/>
        </w:numPr>
        <w:pBdr>
          <w:top w:val="nil"/>
          <w:left w:val="nil"/>
          <w:bottom w:val="nil"/>
          <w:right w:val="nil"/>
          <w:between w:val="nil"/>
        </w:pBdr>
        <w:tabs>
          <w:tab w:val="left" w:pos="720"/>
          <w:tab w:val="left" w:pos="1803"/>
        </w:tabs>
        <w:spacing w:before="100" w:after="200" w:line="240" w:lineRule="auto"/>
        <w:rPr>
          <w:rFonts w:ascii="Arial" w:hAnsi="Arial" w:eastAsia="Arial" w:cs="Arial"/>
          <w:color w:val="000000"/>
          <w:sz w:val="20"/>
          <w:szCs w:val="20"/>
        </w:rPr>
      </w:pPr>
      <w:r w:rsidRPr="00CC3209">
        <w:rPr>
          <w:rFonts w:ascii="Arial" w:hAnsi="Arial" w:eastAsia="Arial" w:cs="Arial"/>
          <w:color w:val="000000"/>
          <w:sz w:val="20"/>
          <w:szCs w:val="20"/>
        </w:rPr>
        <w:t xml:space="preserve">backed up on a secure off-site system. The Supplier shall ensure the document store content is maintained in a separate internal storage location which is subject to daily backups. </w:t>
      </w:r>
    </w:p>
    <w:p w:rsidRPr="00E658F9" w:rsidR="00B151B4" w:rsidP="00B151B4" w:rsidRDefault="00B151B4" w14:paraId="2491BB5C" w14:textId="67116237">
      <w:pPr>
        <w:numPr>
          <w:ilvl w:val="1"/>
          <w:numId w:val="1"/>
        </w:numPr>
        <w:pBdr>
          <w:top w:val="nil"/>
          <w:left w:val="nil"/>
          <w:bottom w:val="nil"/>
          <w:right w:val="nil"/>
          <w:between w:val="nil"/>
        </w:pBdr>
        <w:spacing w:before="100" w:after="200" w:line="240" w:lineRule="auto"/>
        <w:rPr>
          <w:rFonts w:ascii="Arial" w:hAnsi="Arial" w:eastAsia="Arial" w:cs="Arial"/>
          <w:color w:val="000000"/>
          <w:sz w:val="20"/>
          <w:szCs w:val="20"/>
        </w:rPr>
      </w:pPr>
      <w:bookmarkStart w:name="_heading=h.3rdcrjn" w:colFirst="0" w:colLast="0" w:id="3"/>
      <w:bookmarkEnd w:id="3"/>
      <w:r w:rsidRPr="00E658F9">
        <w:rPr>
          <w:rFonts w:ascii="Arial" w:hAnsi="Arial" w:eastAsia="Arial" w:cs="Arial"/>
          <w:color w:val="000000"/>
          <w:sz w:val="20"/>
          <w:szCs w:val="20"/>
        </w:rPr>
        <w:t xml:space="preserve">For the avoidance of doubt, the Virtual Library (excluding any Software used to host it) shall form a set of documents which constitute Project Specific IPR which shall be vested in the Authority pursuant to Paragraph 2.1 of </w:t>
      </w:r>
      <w:r w:rsidRPr="00E658F9" w:rsidR="0023391D">
        <w:rPr>
          <w:rFonts w:ascii="Arial" w:hAnsi="Arial" w:eastAsia="Arial" w:cs="Arial"/>
          <w:color w:val="000000"/>
          <w:sz w:val="20"/>
          <w:szCs w:val="20"/>
        </w:rPr>
        <w:t xml:space="preserve">Call-Off </w:t>
      </w:r>
      <w:r w:rsidRPr="00E658F9">
        <w:rPr>
          <w:rFonts w:ascii="Arial" w:hAnsi="Arial" w:eastAsia="Arial" w:cs="Arial"/>
          <w:color w:val="000000"/>
          <w:sz w:val="20"/>
          <w:szCs w:val="20"/>
        </w:rPr>
        <w:t xml:space="preserve">Schedule </w:t>
      </w:r>
      <w:r w:rsidRPr="00E658F9" w:rsidR="0023391D">
        <w:rPr>
          <w:rFonts w:ascii="Arial" w:hAnsi="Arial" w:eastAsia="Arial" w:cs="Arial"/>
          <w:color w:val="000000"/>
          <w:sz w:val="20"/>
          <w:szCs w:val="20"/>
        </w:rPr>
        <w:t>12</w:t>
      </w:r>
      <w:r w:rsidRPr="00E658F9">
        <w:rPr>
          <w:rFonts w:ascii="Arial" w:hAnsi="Arial" w:eastAsia="Arial" w:cs="Arial"/>
          <w:i/>
          <w:color w:val="000000"/>
          <w:sz w:val="20"/>
          <w:szCs w:val="20"/>
        </w:rPr>
        <w:t xml:space="preserve"> </w:t>
      </w:r>
      <w:r w:rsidRPr="00E658F9" w:rsidR="008F4FE2">
        <w:rPr>
          <w:rFonts w:ascii="Arial" w:hAnsi="Arial" w:eastAsia="Arial" w:cs="Arial"/>
          <w:i/>
          <w:color w:val="000000"/>
          <w:sz w:val="20"/>
          <w:szCs w:val="20"/>
        </w:rPr>
        <w:t>(</w:t>
      </w:r>
      <w:r w:rsidRPr="00E658F9" w:rsidR="00B92046">
        <w:rPr>
          <w:rFonts w:ascii="Arial" w:hAnsi="Arial" w:eastAsia="Arial" w:cs="Arial"/>
          <w:iCs/>
          <w:color w:val="000000"/>
          <w:sz w:val="20"/>
          <w:szCs w:val="20"/>
        </w:rPr>
        <w:t>Intellectual Property Rights</w:t>
      </w:r>
      <w:r w:rsidRPr="00E658F9" w:rsidR="008F4FE2">
        <w:rPr>
          <w:rFonts w:ascii="Arial" w:hAnsi="Arial" w:eastAsia="Arial" w:cs="Arial"/>
          <w:i/>
          <w:color w:val="000000"/>
          <w:sz w:val="20"/>
          <w:szCs w:val="20"/>
        </w:rPr>
        <w:t xml:space="preserve">) </w:t>
      </w:r>
      <w:r w:rsidRPr="00E658F9">
        <w:rPr>
          <w:rFonts w:ascii="Arial" w:hAnsi="Arial" w:eastAsia="Arial" w:cs="Arial"/>
          <w:color w:val="000000"/>
          <w:sz w:val="20"/>
          <w:szCs w:val="20"/>
        </w:rPr>
        <w:t xml:space="preserve">of this Contract.  </w:t>
      </w:r>
    </w:p>
    <w:p w:rsidRPr="00CC3209" w:rsidR="00B151B4" w:rsidP="00B151B4" w:rsidRDefault="00B151B4" w14:paraId="5C4F7A36" w14:textId="7DD64A94">
      <w:pPr>
        <w:numPr>
          <w:ilvl w:val="1"/>
          <w:numId w:val="1"/>
        </w:numPr>
        <w:pBdr>
          <w:top w:val="nil"/>
          <w:left w:val="nil"/>
          <w:bottom w:val="nil"/>
          <w:right w:val="nil"/>
          <w:between w:val="nil"/>
        </w:pBdr>
        <w:spacing w:before="100" w:after="200" w:line="240" w:lineRule="auto"/>
        <w:rPr>
          <w:rFonts w:ascii="Arial" w:hAnsi="Arial" w:eastAsia="Arial" w:cs="Arial"/>
          <w:color w:val="000000"/>
          <w:sz w:val="20"/>
          <w:szCs w:val="20"/>
        </w:rPr>
      </w:pPr>
      <w:bookmarkStart w:name="_heading=h.26in1rg" w:colFirst="0" w:colLast="0" w:id="4"/>
      <w:bookmarkEnd w:id="4"/>
      <w:r w:rsidRPr="00E658F9">
        <w:rPr>
          <w:rFonts w:ascii="Arial" w:hAnsi="Arial" w:eastAsia="Arial" w:cs="Arial"/>
          <w:color w:val="000000"/>
          <w:sz w:val="20"/>
          <w:szCs w:val="20"/>
        </w:rPr>
        <w:t>Except to the extent that the requirements provide for earlier and more regular Authority access to up-to-date informa</w:t>
      </w:r>
      <w:r w:rsidRPr="00CC3209">
        <w:rPr>
          <w:rFonts w:ascii="Arial" w:hAnsi="Arial" w:eastAsia="Arial" w:cs="Arial"/>
          <w:color w:val="000000"/>
          <w:sz w:val="20"/>
          <w:szCs w:val="20"/>
        </w:rPr>
        <w:t xml:space="preserve">tion, Annex </w:t>
      </w:r>
      <w:r w:rsidRPr="00CC3209" w:rsidR="0023391D">
        <w:rPr>
          <w:rFonts w:ascii="Arial" w:hAnsi="Arial" w:eastAsia="Arial" w:cs="Arial"/>
          <w:color w:val="000000"/>
          <w:sz w:val="20"/>
          <w:szCs w:val="20"/>
        </w:rPr>
        <w:t>1</w:t>
      </w:r>
      <w:r w:rsidRPr="00CC3209">
        <w:rPr>
          <w:rFonts w:ascii="Arial" w:hAnsi="Arial" w:eastAsia="Arial" w:cs="Arial"/>
          <w:color w:val="000000"/>
          <w:sz w:val="20"/>
          <w:szCs w:val="20"/>
        </w:rPr>
        <w:t xml:space="preserve"> shall not take precedence over any other obligation to provide information in this Contract and the Supplier shall refer to the applicable clause for further details as to the requirement.</w:t>
      </w:r>
    </w:p>
    <w:p w:rsidRPr="00CC3209" w:rsidR="00B151B4" w:rsidP="00B151B4" w:rsidRDefault="00B151B4" w14:paraId="486AEF4B" w14:textId="73F595E0">
      <w:pPr>
        <w:numPr>
          <w:ilvl w:val="1"/>
          <w:numId w:val="1"/>
        </w:numPr>
        <w:pBdr>
          <w:top w:val="nil"/>
          <w:left w:val="nil"/>
          <w:bottom w:val="nil"/>
          <w:right w:val="nil"/>
          <w:between w:val="nil"/>
        </w:pBdr>
        <w:spacing w:before="100" w:after="200" w:line="240" w:lineRule="auto"/>
        <w:rPr>
          <w:rFonts w:ascii="Arial" w:hAnsi="Arial" w:eastAsia="Arial" w:cs="Arial"/>
          <w:color w:val="000000"/>
          <w:sz w:val="20"/>
          <w:szCs w:val="20"/>
        </w:rPr>
      </w:pPr>
      <w:r w:rsidRPr="00CC3209">
        <w:rPr>
          <w:rFonts w:ascii="Arial" w:hAnsi="Arial" w:eastAsia="Arial" w:cs="Arial"/>
          <w:color w:val="000000"/>
          <w:sz w:val="20"/>
          <w:szCs w:val="20"/>
        </w:rPr>
        <w:t xml:space="preserve">Where Access Permission is specified </w:t>
      </w:r>
      <w:r w:rsidR="009B5EB1">
        <w:rPr>
          <w:rFonts w:ascii="Arial" w:hAnsi="Arial" w:eastAsia="Arial" w:cs="Arial"/>
          <w:color w:val="000000"/>
          <w:sz w:val="20"/>
          <w:szCs w:val="20"/>
        </w:rPr>
        <w:t xml:space="preserve">in Annex 1 </w:t>
      </w:r>
      <w:r w:rsidRPr="00CC3209">
        <w:rPr>
          <w:rFonts w:ascii="Arial" w:hAnsi="Arial" w:eastAsia="Arial" w:cs="Arial"/>
          <w:color w:val="000000"/>
          <w:sz w:val="20"/>
          <w:szCs w:val="20"/>
        </w:rPr>
        <w:t xml:space="preserve">as being granted to the Authority’s </w:t>
      </w:r>
      <w:proofErr w:type="gramStart"/>
      <w:r w:rsidRPr="00CC3209">
        <w:rPr>
          <w:rFonts w:ascii="Arial" w:hAnsi="Arial" w:eastAsia="Arial" w:cs="Arial"/>
          <w:color w:val="000000"/>
          <w:sz w:val="20"/>
          <w:szCs w:val="20"/>
        </w:rPr>
        <w:t>Third Party</w:t>
      </w:r>
      <w:proofErr w:type="gramEnd"/>
      <w:r w:rsidRPr="00CC3209">
        <w:rPr>
          <w:rFonts w:ascii="Arial" w:hAnsi="Arial" w:eastAsia="Arial" w:cs="Arial"/>
          <w:color w:val="000000"/>
          <w:sz w:val="20"/>
          <w:szCs w:val="20"/>
        </w:rPr>
        <w:t xml:space="preserve"> Auditor (prior to the Authority being granted access) it shall:</w:t>
      </w:r>
    </w:p>
    <w:p w:rsidRPr="00CC3209" w:rsidR="00B151B4" w:rsidP="00B151B4" w:rsidRDefault="00B151B4" w14:paraId="496AFC71" w14:textId="29E41C12">
      <w:pPr>
        <w:numPr>
          <w:ilvl w:val="3"/>
          <w:numId w:val="1"/>
        </w:numPr>
        <w:pBdr>
          <w:top w:val="nil"/>
          <w:left w:val="nil"/>
          <w:bottom w:val="nil"/>
          <w:right w:val="nil"/>
          <w:between w:val="nil"/>
        </w:pBdr>
        <w:tabs>
          <w:tab w:val="left" w:pos="720"/>
          <w:tab w:val="left" w:pos="1803"/>
        </w:tabs>
        <w:spacing w:before="100" w:after="200" w:line="240" w:lineRule="auto"/>
        <w:rPr>
          <w:rFonts w:ascii="Arial" w:hAnsi="Arial" w:eastAsia="Arial" w:cs="Arial"/>
          <w:color w:val="000000"/>
          <w:sz w:val="20"/>
          <w:szCs w:val="20"/>
        </w:rPr>
      </w:pPr>
      <w:bookmarkStart w:name="_heading=h.35nkun2" w:colFirst="0" w:colLast="0" w:id="5"/>
      <w:bookmarkEnd w:id="5"/>
      <w:r w:rsidRPr="00CC3209">
        <w:rPr>
          <w:rFonts w:ascii="Arial" w:hAnsi="Arial" w:eastAsia="Arial" w:cs="Arial"/>
          <w:color w:val="000000"/>
          <w:sz w:val="20"/>
          <w:szCs w:val="20"/>
        </w:rPr>
        <w:t xml:space="preserve">be entitled to access, view and download information specified in Annex </w:t>
      </w:r>
      <w:r w:rsidRPr="00CC3209" w:rsidR="00DE0D9E">
        <w:rPr>
          <w:rFonts w:ascii="Arial" w:hAnsi="Arial" w:eastAsia="Arial" w:cs="Arial"/>
          <w:color w:val="000000"/>
          <w:sz w:val="20"/>
          <w:szCs w:val="20"/>
        </w:rPr>
        <w:t>1</w:t>
      </w:r>
      <w:r w:rsidRPr="00CC3209">
        <w:rPr>
          <w:rFonts w:ascii="Arial" w:hAnsi="Arial" w:eastAsia="Arial" w:cs="Arial"/>
          <w:color w:val="000000"/>
          <w:sz w:val="20"/>
          <w:szCs w:val="20"/>
        </w:rPr>
        <w:t xml:space="preserve"> subject to it entering into a confidentiality agreement with the Supplier to keep the contents confidential (except to the extent disclosure of the confidential information is required under</w:t>
      </w:r>
      <w:r w:rsidR="009B5EB1">
        <w:rPr>
          <w:rFonts w:ascii="Arial" w:hAnsi="Arial" w:eastAsia="Arial" w:cs="Arial"/>
          <w:color w:val="000000"/>
          <w:sz w:val="20"/>
          <w:szCs w:val="20"/>
        </w:rPr>
        <w:t xml:space="preserve"> </w:t>
      </w:r>
      <w:r w:rsidR="003F6A95">
        <w:rPr>
          <w:rFonts w:ascii="Arial" w:hAnsi="Arial" w:eastAsia="Arial" w:cs="Arial"/>
          <w:color w:val="000000"/>
          <w:sz w:val="20"/>
          <w:szCs w:val="20"/>
        </w:rPr>
        <w:t>Clause 15.2</w:t>
      </w:r>
      <w:r w:rsidR="00BB7FEA">
        <w:rPr>
          <w:rFonts w:ascii="Arial" w:hAnsi="Arial" w:eastAsia="Arial" w:cs="Arial"/>
          <w:color w:val="000000"/>
          <w:sz w:val="20"/>
          <w:szCs w:val="20"/>
        </w:rPr>
        <w:t xml:space="preserve"> (What You Must Keep Confidential)</w:t>
      </w:r>
      <w:r w:rsidRPr="00CC3209">
        <w:rPr>
          <w:rFonts w:ascii="Arial" w:hAnsi="Arial" w:eastAsia="Arial" w:cs="Arial"/>
          <w:color w:val="000000"/>
          <w:sz w:val="20"/>
          <w:szCs w:val="20"/>
        </w:rPr>
        <w:t>; and</w:t>
      </w:r>
    </w:p>
    <w:p w:rsidRPr="00CC3209" w:rsidR="00B151B4" w:rsidP="00B151B4" w:rsidRDefault="00B151B4" w14:paraId="28635FFB" w14:textId="77777777">
      <w:pPr>
        <w:numPr>
          <w:ilvl w:val="3"/>
          <w:numId w:val="1"/>
        </w:numPr>
        <w:pBdr>
          <w:top w:val="nil"/>
          <w:left w:val="nil"/>
          <w:bottom w:val="nil"/>
          <w:right w:val="nil"/>
          <w:between w:val="nil"/>
        </w:pBdr>
        <w:tabs>
          <w:tab w:val="left" w:pos="720"/>
          <w:tab w:val="left" w:pos="1803"/>
        </w:tabs>
        <w:spacing w:before="100" w:after="200" w:line="240" w:lineRule="auto"/>
        <w:rPr>
          <w:rFonts w:ascii="Arial" w:hAnsi="Arial" w:eastAsia="Arial" w:cs="Arial"/>
          <w:color w:val="000000"/>
          <w:sz w:val="20"/>
          <w:szCs w:val="20"/>
        </w:rPr>
      </w:pPr>
      <w:bookmarkStart w:name="_heading=h.1ksv4uv" w:colFirst="0" w:colLast="0" w:id="6"/>
      <w:bookmarkEnd w:id="6"/>
      <w:r w:rsidRPr="00CC3209">
        <w:rPr>
          <w:rFonts w:ascii="Arial" w:hAnsi="Arial" w:eastAsia="Arial" w:cs="Arial"/>
          <w:color w:val="000000"/>
          <w:sz w:val="20"/>
          <w:szCs w:val="20"/>
        </w:rPr>
        <w:t xml:space="preserve">report to the Authority (at its request) as to the completeness and accuracy of the information but not the substance of the information. </w:t>
      </w:r>
    </w:p>
    <w:p w:rsidRPr="00CC3209" w:rsidR="00B151B4" w:rsidP="00B151B4" w:rsidRDefault="00B151B4" w14:paraId="0765ED5D" w14:textId="79C80598">
      <w:pPr>
        <w:numPr>
          <w:ilvl w:val="1"/>
          <w:numId w:val="1"/>
        </w:numPr>
        <w:pBdr>
          <w:top w:val="nil"/>
          <w:left w:val="nil"/>
          <w:bottom w:val="nil"/>
          <w:right w:val="nil"/>
          <w:between w:val="nil"/>
        </w:pBdr>
        <w:spacing w:before="100" w:after="200" w:line="240" w:lineRule="auto"/>
        <w:rPr>
          <w:rFonts w:ascii="Arial" w:hAnsi="Arial" w:eastAsia="Arial" w:cs="Arial"/>
          <w:color w:val="000000"/>
          <w:sz w:val="20"/>
          <w:szCs w:val="20"/>
        </w:rPr>
      </w:pPr>
      <w:bookmarkStart w:name="_heading=h.44sinio" w:colFirst="0" w:colLast="0" w:id="7"/>
      <w:bookmarkEnd w:id="7"/>
      <w:r w:rsidRPr="00CC3209">
        <w:rPr>
          <w:rFonts w:ascii="Arial" w:hAnsi="Arial" w:eastAsia="Arial" w:cs="Arial"/>
          <w:color w:val="000000"/>
          <w:sz w:val="20"/>
          <w:szCs w:val="20"/>
        </w:rPr>
        <w:t xml:space="preserve">The </w:t>
      </w:r>
      <w:r w:rsidR="003F6A95">
        <w:rPr>
          <w:rFonts w:ascii="Arial" w:hAnsi="Arial" w:eastAsia="Arial" w:cs="Arial"/>
          <w:color w:val="000000"/>
          <w:sz w:val="20"/>
          <w:szCs w:val="20"/>
        </w:rPr>
        <w:t>Authority</w:t>
      </w:r>
      <w:r w:rsidRPr="00CC3209">
        <w:rPr>
          <w:rFonts w:ascii="Arial" w:hAnsi="Arial" w:eastAsia="Arial" w:cs="Arial"/>
          <w:color w:val="000000"/>
          <w:sz w:val="20"/>
          <w:szCs w:val="20"/>
        </w:rPr>
        <w:t xml:space="preserve"> shall ensure that the Virtual Library retains in an accessible form all historic or superseded records of the information specified Annex </w:t>
      </w:r>
      <w:r w:rsidRPr="00CC3209" w:rsidR="00DE0D9E">
        <w:rPr>
          <w:rFonts w:ascii="Arial" w:hAnsi="Arial" w:eastAsia="Arial" w:cs="Arial"/>
          <w:color w:val="000000"/>
          <w:sz w:val="20"/>
          <w:szCs w:val="20"/>
        </w:rPr>
        <w:t>1</w:t>
      </w:r>
      <w:r w:rsidRPr="00CC3209">
        <w:rPr>
          <w:rFonts w:ascii="Arial" w:hAnsi="Arial" w:eastAsia="Arial" w:cs="Arial"/>
          <w:color w:val="000000"/>
          <w:sz w:val="20"/>
          <w:szCs w:val="20"/>
        </w:rPr>
        <w:t xml:space="preserve">.  </w:t>
      </w:r>
      <w:proofErr w:type="gramStart"/>
      <w:r w:rsidRPr="00CC3209">
        <w:rPr>
          <w:rFonts w:ascii="Arial" w:hAnsi="Arial" w:eastAsia="Arial" w:cs="Arial"/>
          <w:color w:val="000000"/>
          <w:sz w:val="20"/>
          <w:szCs w:val="20"/>
        </w:rPr>
        <w:t>In order to</w:t>
      </w:r>
      <w:proofErr w:type="gramEnd"/>
      <w:r w:rsidRPr="00CC3209">
        <w:rPr>
          <w:rFonts w:ascii="Arial" w:hAnsi="Arial" w:eastAsia="Arial" w:cs="Arial"/>
          <w:color w:val="000000"/>
          <w:sz w:val="20"/>
          <w:szCs w:val="20"/>
        </w:rPr>
        <w:t xml:space="preserve"> maintain the integrity of the historic archive of the information and documentation and for the purposes of maintaining a clear audit trail, the</w:t>
      </w:r>
      <w:r w:rsidR="003F6A95">
        <w:rPr>
          <w:rFonts w:ascii="Arial" w:hAnsi="Arial" w:eastAsia="Arial" w:cs="Arial"/>
          <w:color w:val="000000"/>
          <w:sz w:val="20"/>
          <w:szCs w:val="20"/>
        </w:rPr>
        <w:t xml:space="preserve"> Framework </w:t>
      </w:r>
      <w:r w:rsidRPr="00CC3209">
        <w:rPr>
          <w:rFonts w:ascii="Arial" w:hAnsi="Arial" w:eastAsia="Arial" w:cs="Arial"/>
          <w:color w:val="000000"/>
          <w:sz w:val="20"/>
          <w:szCs w:val="20"/>
        </w:rPr>
        <w:t>Supplier</w:t>
      </w:r>
      <w:r w:rsidR="003F6A95">
        <w:rPr>
          <w:rFonts w:ascii="Arial" w:hAnsi="Arial" w:eastAsia="Arial" w:cs="Arial"/>
          <w:color w:val="000000"/>
          <w:sz w:val="20"/>
          <w:szCs w:val="20"/>
        </w:rPr>
        <w:t xml:space="preserve">s </w:t>
      </w:r>
      <w:r w:rsidRPr="00CC3209">
        <w:rPr>
          <w:rFonts w:ascii="Arial" w:hAnsi="Arial" w:eastAsia="Arial" w:cs="Arial"/>
          <w:color w:val="000000"/>
          <w:sz w:val="20"/>
          <w:szCs w:val="20"/>
        </w:rPr>
        <w:t>shall not delete or overwrite any information that has been stored in the Virtual Library.</w:t>
      </w:r>
    </w:p>
    <w:p w:rsidRPr="00CC3209" w:rsidR="00B151B4" w:rsidP="00B151B4" w:rsidRDefault="00B151B4" w14:paraId="6C4FBFB5" w14:textId="095210F7">
      <w:pPr>
        <w:numPr>
          <w:ilvl w:val="1"/>
          <w:numId w:val="1"/>
        </w:numPr>
        <w:pBdr>
          <w:top w:val="nil"/>
          <w:left w:val="nil"/>
          <w:bottom w:val="nil"/>
          <w:right w:val="nil"/>
          <w:between w:val="nil"/>
        </w:pBdr>
        <w:spacing w:before="100" w:after="200" w:line="240" w:lineRule="auto"/>
        <w:rPr>
          <w:rFonts w:ascii="Arial" w:hAnsi="Arial" w:eastAsia="Arial" w:cs="Arial"/>
          <w:color w:val="000000"/>
          <w:sz w:val="20"/>
          <w:szCs w:val="20"/>
        </w:rPr>
      </w:pPr>
      <w:r w:rsidRPr="00CC3209">
        <w:rPr>
          <w:rFonts w:ascii="Arial" w:hAnsi="Arial" w:eastAsia="Arial" w:cs="Arial"/>
          <w:color w:val="000000"/>
          <w:sz w:val="20"/>
          <w:szCs w:val="20"/>
        </w:rPr>
        <w:t xml:space="preserve">The </w:t>
      </w:r>
      <w:r w:rsidR="003F6A95">
        <w:rPr>
          <w:rFonts w:ascii="Arial" w:hAnsi="Arial" w:eastAsia="Arial" w:cs="Arial"/>
          <w:color w:val="000000"/>
          <w:sz w:val="20"/>
          <w:szCs w:val="20"/>
        </w:rPr>
        <w:t xml:space="preserve">Framework </w:t>
      </w:r>
      <w:r w:rsidRPr="00CC3209">
        <w:rPr>
          <w:rFonts w:ascii="Arial" w:hAnsi="Arial" w:eastAsia="Arial" w:cs="Arial"/>
          <w:color w:val="000000"/>
          <w:sz w:val="20"/>
          <w:szCs w:val="20"/>
        </w:rPr>
        <w:t>Supplier</w:t>
      </w:r>
      <w:r w:rsidR="003F6A95">
        <w:rPr>
          <w:rFonts w:ascii="Arial" w:hAnsi="Arial" w:eastAsia="Arial" w:cs="Arial"/>
          <w:color w:val="000000"/>
          <w:sz w:val="20"/>
          <w:szCs w:val="20"/>
        </w:rPr>
        <w:t>s</w:t>
      </w:r>
      <w:r w:rsidRPr="00CC3209">
        <w:rPr>
          <w:rFonts w:ascii="Arial" w:hAnsi="Arial" w:eastAsia="Arial" w:cs="Arial"/>
          <w:color w:val="000000"/>
          <w:sz w:val="20"/>
          <w:szCs w:val="20"/>
        </w:rPr>
        <w:t xml:space="preserve"> warrant</w:t>
      </w:r>
      <w:r w:rsidR="003F6A95">
        <w:rPr>
          <w:rFonts w:ascii="Arial" w:hAnsi="Arial" w:eastAsia="Arial" w:cs="Arial"/>
          <w:color w:val="000000"/>
          <w:sz w:val="20"/>
          <w:szCs w:val="20"/>
        </w:rPr>
        <w:t xml:space="preserve"> </w:t>
      </w:r>
      <w:r w:rsidRPr="00CC3209">
        <w:rPr>
          <w:rFonts w:ascii="Arial" w:hAnsi="Arial" w:eastAsia="Arial" w:cs="Arial"/>
          <w:color w:val="000000"/>
          <w:sz w:val="20"/>
          <w:szCs w:val="20"/>
        </w:rPr>
        <w:t xml:space="preserve">that the information uploaded to the Virtual Library is accurate, complete, up-to-date and in accordance with this Contract at the date of upload. </w:t>
      </w:r>
    </w:p>
    <w:p w:rsidRPr="00CC3209" w:rsidR="00B151B4" w:rsidP="00B151B4" w:rsidRDefault="00B151B4" w14:paraId="4A7A6210" w14:textId="5053040F">
      <w:pPr>
        <w:numPr>
          <w:ilvl w:val="1"/>
          <w:numId w:val="1"/>
        </w:numPr>
        <w:pBdr>
          <w:top w:val="nil"/>
          <w:left w:val="nil"/>
          <w:bottom w:val="nil"/>
          <w:right w:val="nil"/>
          <w:between w:val="nil"/>
        </w:pBdr>
        <w:spacing w:before="100" w:after="200" w:line="240" w:lineRule="auto"/>
        <w:rPr>
          <w:rFonts w:ascii="Arial" w:hAnsi="Arial" w:eastAsia="Arial" w:cs="Arial"/>
          <w:color w:val="000000"/>
          <w:sz w:val="20"/>
          <w:szCs w:val="20"/>
        </w:rPr>
      </w:pPr>
      <w:bookmarkStart w:name="_heading=h.2jxsxqh" w:colFirst="0" w:colLast="0" w:id="8"/>
      <w:bookmarkEnd w:id="8"/>
      <w:r w:rsidRPr="00CC3209">
        <w:rPr>
          <w:rFonts w:ascii="Arial" w:hAnsi="Arial" w:eastAsia="Arial" w:cs="Arial"/>
          <w:color w:val="000000"/>
          <w:sz w:val="20"/>
          <w:szCs w:val="20"/>
        </w:rPr>
        <w:t xml:space="preserve">Where </w:t>
      </w:r>
      <w:r w:rsidR="003F6A95">
        <w:rPr>
          <w:rFonts w:ascii="Arial" w:hAnsi="Arial" w:eastAsia="Arial" w:cs="Arial"/>
          <w:color w:val="000000"/>
          <w:sz w:val="20"/>
          <w:szCs w:val="20"/>
        </w:rPr>
        <w:t xml:space="preserve">a Framework </w:t>
      </w:r>
      <w:r w:rsidRPr="00CC3209">
        <w:rPr>
          <w:rFonts w:ascii="Arial" w:hAnsi="Arial" w:eastAsia="Arial" w:cs="Arial"/>
          <w:color w:val="000000"/>
          <w:sz w:val="20"/>
          <w:szCs w:val="20"/>
        </w:rPr>
        <w:t xml:space="preserve">Supplier becomes aware that any of the information provided on the Virtual Library is materially inaccurate, </w:t>
      </w:r>
      <w:proofErr w:type="gramStart"/>
      <w:r w:rsidRPr="00CC3209">
        <w:rPr>
          <w:rFonts w:ascii="Arial" w:hAnsi="Arial" w:eastAsia="Arial" w:cs="Arial"/>
          <w:color w:val="000000"/>
          <w:sz w:val="20"/>
          <w:szCs w:val="20"/>
        </w:rPr>
        <w:t>incomplete</w:t>
      </w:r>
      <w:proofErr w:type="gramEnd"/>
      <w:r w:rsidRPr="00CC3209">
        <w:rPr>
          <w:rFonts w:ascii="Arial" w:hAnsi="Arial" w:eastAsia="Arial" w:cs="Arial"/>
          <w:color w:val="000000"/>
          <w:sz w:val="20"/>
          <w:szCs w:val="20"/>
        </w:rPr>
        <w:t xml:space="preserve"> or out of date (other than in respect of historic versions of documents) the </w:t>
      </w:r>
      <w:r w:rsidR="003F6A95">
        <w:rPr>
          <w:rFonts w:ascii="Arial" w:hAnsi="Arial" w:eastAsia="Arial" w:cs="Arial"/>
          <w:color w:val="000000"/>
          <w:sz w:val="20"/>
          <w:szCs w:val="20"/>
        </w:rPr>
        <w:t xml:space="preserve">relevant Framework </w:t>
      </w:r>
      <w:r w:rsidRPr="00CC3209">
        <w:rPr>
          <w:rFonts w:ascii="Arial" w:hAnsi="Arial" w:eastAsia="Arial" w:cs="Arial"/>
          <w:color w:val="000000"/>
          <w:sz w:val="20"/>
          <w:szCs w:val="20"/>
        </w:rPr>
        <w:t xml:space="preserve">Supplier shall provide an update to the information within 30 days unless already due to be updated beforehand due to an Update Requirement specified in Annex </w:t>
      </w:r>
      <w:r w:rsidRPr="00CC3209" w:rsidR="00DE0D9E">
        <w:rPr>
          <w:rFonts w:ascii="Arial" w:hAnsi="Arial" w:eastAsia="Arial" w:cs="Arial"/>
          <w:color w:val="000000"/>
          <w:sz w:val="20"/>
          <w:szCs w:val="20"/>
        </w:rPr>
        <w:t>1</w:t>
      </w:r>
      <w:r w:rsidRPr="00CC3209">
        <w:rPr>
          <w:rFonts w:ascii="Arial" w:hAnsi="Arial" w:eastAsia="Arial" w:cs="Arial"/>
          <w:color w:val="000000"/>
          <w:sz w:val="20"/>
          <w:szCs w:val="20"/>
        </w:rPr>
        <w:t>.</w:t>
      </w:r>
    </w:p>
    <w:p w:rsidRPr="00CC3209" w:rsidR="00B151B4" w:rsidP="00B151B4" w:rsidRDefault="00B151B4" w14:paraId="5410DB73" w14:textId="39F07F7B">
      <w:pPr>
        <w:numPr>
          <w:ilvl w:val="1"/>
          <w:numId w:val="1"/>
        </w:numPr>
        <w:pBdr>
          <w:top w:val="nil"/>
          <w:left w:val="nil"/>
          <w:bottom w:val="nil"/>
          <w:right w:val="nil"/>
          <w:between w:val="nil"/>
        </w:pBdr>
        <w:spacing w:before="100" w:after="200" w:line="240" w:lineRule="auto"/>
        <w:rPr>
          <w:rFonts w:ascii="Arial" w:hAnsi="Arial" w:eastAsia="Arial" w:cs="Arial"/>
          <w:color w:val="000000"/>
          <w:sz w:val="20"/>
          <w:szCs w:val="20"/>
        </w:rPr>
      </w:pPr>
      <w:r w:rsidRPr="00CC3209">
        <w:rPr>
          <w:rFonts w:ascii="Arial" w:hAnsi="Arial" w:eastAsia="Arial" w:cs="Arial"/>
          <w:color w:val="000000"/>
          <w:sz w:val="20"/>
          <w:szCs w:val="20"/>
        </w:rPr>
        <w:t xml:space="preserve">In the event of a conflict between any requirement in this Contract (excluding Annex </w:t>
      </w:r>
      <w:r w:rsidRPr="00CC3209" w:rsidR="00DE0D9E">
        <w:rPr>
          <w:rFonts w:ascii="Arial" w:hAnsi="Arial" w:eastAsia="Arial" w:cs="Arial"/>
          <w:color w:val="000000"/>
          <w:sz w:val="20"/>
          <w:szCs w:val="20"/>
        </w:rPr>
        <w:t>1</w:t>
      </w:r>
      <w:r w:rsidRPr="00CC3209">
        <w:rPr>
          <w:rFonts w:ascii="Arial" w:hAnsi="Arial" w:eastAsia="Arial" w:cs="Arial"/>
          <w:color w:val="000000"/>
          <w:sz w:val="20"/>
          <w:szCs w:val="20"/>
        </w:rPr>
        <w:t xml:space="preserve">) for the </w:t>
      </w:r>
      <w:r w:rsidR="003F6A95">
        <w:rPr>
          <w:rFonts w:ascii="Arial" w:hAnsi="Arial" w:eastAsia="Arial" w:cs="Arial"/>
          <w:color w:val="000000"/>
          <w:sz w:val="20"/>
          <w:szCs w:val="20"/>
        </w:rPr>
        <w:t xml:space="preserve">Framework </w:t>
      </w:r>
      <w:r w:rsidRPr="00CC3209">
        <w:rPr>
          <w:rFonts w:ascii="Arial" w:hAnsi="Arial" w:eastAsia="Arial" w:cs="Arial"/>
          <w:color w:val="000000"/>
          <w:sz w:val="20"/>
          <w:szCs w:val="20"/>
        </w:rPr>
        <w:t>Supplier</w:t>
      </w:r>
      <w:r w:rsidR="003F6A95">
        <w:rPr>
          <w:rFonts w:ascii="Arial" w:hAnsi="Arial" w:eastAsia="Arial" w:cs="Arial"/>
          <w:color w:val="000000"/>
          <w:sz w:val="20"/>
          <w:szCs w:val="20"/>
        </w:rPr>
        <w:t>s</w:t>
      </w:r>
      <w:r w:rsidRPr="00CC3209">
        <w:rPr>
          <w:rFonts w:ascii="Arial" w:hAnsi="Arial" w:eastAsia="Arial" w:cs="Arial"/>
          <w:color w:val="000000"/>
          <w:sz w:val="20"/>
          <w:szCs w:val="20"/>
        </w:rPr>
        <w:t xml:space="preserve"> to provide information to the Authority and the requirements set out in Annex </w:t>
      </w:r>
      <w:r w:rsidRPr="00CC3209" w:rsidR="00DE0D9E">
        <w:rPr>
          <w:rFonts w:ascii="Arial" w:hAnsi="Arial" w:eastAsia="Arial" w:cs="Arial"/>
          <w:color w:val="000000"/>
          <w:sz w:val="20"/>
          <w:szCs w:val="20"/>
        </w:rPr>
        <w:t>1</w:t>
      </w:r>
      <w:r w:rsidRPr="00CC3209">
        <w:rPr>
          <w:rFonts w:ascii="Arial" w:hAnsi="Arial" w:eastAsia="Arial" w:cs="Arial"/>
          <w:color w:val="000000"/>
          <w:sz w:val="20"/>
          <w:szCs w:val="20"/>
        </w:rPr>
        <w:t xml:space="preserve"> of this Schedule, the requirement elsewhere in this Contract shall prevail. </w:t>
      </w:r>
    </w:p>
    <w:p w:rsidRPr="00CC3209" w:rsidR="00B151B4" w:rsidP="00B151B4" w:rsidRDefault="00B151B4" w14:paraId="25BFAA3D" w14:textId="5A1EFCAF">
      <w:pPr>
        <w:numPr>
          <w:ilvl w:val="1"/>
          <w:numId w:val="1"/>
        </w:numPr>
        <w:pBdr>
          <w:top w:val="nil"/>
          <w:left w:val="nil"/>
          <w:bottom w:val="nil"/>
          <w:right w:val="nil"/>
          <w:between w:val="nil"/>
        </w:pBdr>
        <w:spacing w:before="100" w:after="200" w:line="240" w:lineRule="auto"/>
        <w:rPr>
          <w:rFonts w:ascii="Arial" w:hAnsi="Arial" w:eastAsia="Arial" w:cs="Arial"/>
          <w:color w:val="000000"/>
          <w:sz w:val="20"/>
          <w:szCs w:val="20"/>
        </w:rPr>
      </w:pPr>
      <w:r w:rsidRPr="00CC3209">
        <w:rPr>
          <w:rFonts w:ascii="Arial" w:hAnsi="Arial" w:eastAsia="Arial" w:cs="Arial"/>
          <w:color w:val="000000"/>
          <w:sz w:val="20"/>
          <w:szCs w:val="20"/>
        </w:rPr>
        <w:t xml:space="preserve">The </w:t>
      </w:r>
      <w:r w:rsidR="003F6A95">
        <w:rPr>
          <w:rFonts w:ascii="Arial" w:hAnsi="Arial" w:eastAsia="Arial" w:cs="Arial"/>
          <w:color w:val="000000"/>
          <w:sz w:val="20"/>
          <w:szCs w:val="20"/>
        </w:rPr>
        <w:t xml:space="preserve">Framework </w:t>
      </w:r>
      <w:r w:rsidRPr="00CC3209">
        <w:rPr>
          <w:rFonts w:ascii="Arial" w:hAnsi="Arial" w:eastAsia="Arial" w:cs="Arial"/>
          <w:color w:val="000000"/>
          <w:sz w:val="20"/>
          <w:szCs w:val="20"/>
        </w:rPr>
        <w:t>Supplier</w:t>
      </w:r>
      <w:r w:rsidR="003F6A95">
        <w:rPr>
          <w:rFonts w:ascii="Arial" w:hAnsi="Arial" w:eastAsia="Arial" w:cs="Arial"/>
          <w:color w:val="000000"/>
          <w:sz w:val="20"/>
          <w:szCs w:val="20"/>
        </w:rPr>
        <w:t>s</w:t>
      </w:r>
      <w:r w:rsidRPr="00CC3209">
        <w:rPr>
          <w:rFonts w:ascii="Arial" w:hAnsi="Arial" w:eastAsia="Arial" w:cs="Arial"/>
          <w:color w:val="000000"/>
          <w:sz w:val="20"/>
          <w:szCs w:val="20"/>
        </w:rPr>
        <w:t xml:space="preserve"> shall ensure that all approved users of the Virtual Library are alerted by email each time that information in the Virtual Library is uploaded or updated as it occurs. The Authority will provide and maintain a list of approved staff to be notified to the Supplier through a distribution list used by the Supplier. </w:t>
      </w:r>
    </w:p>
    <w:p w:rsidRPr="00CC3209" w:rsidR="00B151B4" w:rsidP="00B151B4" w:rsidRDefault="00B151B4" w14:paraId="591C61E4" w14:textId="23E06487">
      <w:pPr>
        <w:numPr>
          <w:ilvl w:val="1"/>
          <w:numId w:val="1"/>
        </w:numPr>
        <w:pBdr>
          <w:top w:val="nil"/>
          <w:left w:val="nil"/>
          <w:bottom w:val="nil"/>
          <w:right w:val="nil"/>
          <w:between w:val="nil"/>
        </w:pBdr>
        <w:spacing w:before="100" w:after="200" w:line="240" w:lineRule="auto"/>
        <w:rPr>
          <w:rFonts w:ascii="Arial" w:hAnsi="Arial" w:eastAsia="Arial" w:cs="Arial"/>
          <w:color w:val="000000"/>
          <w:sz w:val="20"/>
          <w:szCs w:val="20"/>
        </w:rPr>
      </w:pPr>
      <w:r w:rsidRPr="00CC3209">
        <w:rPr>
          <w:rFonts w:ascii="Arial" w:hAnsi="Arial" w:eastAsia="Arial" w:cs="Arial"/>
          <w:color w:val="000000"/>
          <w:sz w:val="20"/>
          <w:szCs w:val="20"/>
        </w:rPr>
        <w:t xml:space="preserve">For the avoidance of doubt, the cost of any redactions, access restrictions or compliance with the Data Protection Legislation in respect of the information hosted on the Virtual Library shall be at the </w:t>
      </w:r>
      <w:r w:rsidR="003F6A95">
        <w:rPr>
          <w:rFonts w:ascii="Arial" w:hAnsi="Arial" w:eastAsia="Arial" w:cs="Arial"/>
          <w:color w:val="000000"/>
          <w:sz w:val="20"/>
          <w:szCs w:val="20"/>
        </w:rPr>
        <w:t xml:space="preserve">Framework </w:t>
      </w:r>
      <w:r w:rsidRPr="00CC3209">
        <w:rPr>
          <w:rFonts w:ascii="Arial" w:hAnsi="Arial" w:eastAsia="Arial" w:cs="Arial"/>
          <w:color w:val="000000"/>
          <w:sz w:val="20"/>
          <w:szCs w:val="20"/>
        </w:rPr>
        <w:t>Supplier</w:t>
      </w:r>
      <w:r w:rsidR="003F6A95">
        <w:rPr>
          <w:rFonts w:ascii="Arial" w:hAnsi="Arial" w:eastAsia="Arial" w:cs="Arial"/>
          <w:color w:val="000000"/>
          <w:sz w:val="20"/>
          <w:szCs w:val="20"/>
        </w:rPr>
        <w:t xml:space="preserve">s’ </w:t>
      </w:r>
      <w:r w:rsidRPr="00CC3209">
        <w:rPr>
          <w:rFonts w:ascii="Arial" w:hAnsi="Arial" w:eastAsia="Arial" w:cs="Arial"/>
          <w:color w:val="000000"/>
          <w:sz w:val="20"/>
          <w:szCs w:val="20"/>
        </w:rPr>
        <w:t>own cost and expense.</w:t>
      </w:r>
    </w:p>
    <w:p w:rsidRPr="00CC3209" w:rsidR="00D45C12" w:rsidRDefault="00D45C12" w14:paraId="6AD8D9C9" w14:textId="77777777">
      <w:pPr>
        <w:rPr>
          <w:rFonts w:ascii="Arial" w:hAnsi="Arial" w:cs="Arial"/>
          <w:sz w:val="20"/>
          <w:szCs w:val="20"/>
        </w:rPr>
        <w:sectPr w:rsidRPr="00CC3209" w:rsidR="00D45C12" w:rsidSect="00860BF7">
          <w:headerReference w:type="even" r:id="rId12"/>
          <w:headerReference w:type="default" r:id="rId13"/>
          <w:footerReference w:type="even" r:id="rId14"/>
          <w:footerReference w:type="default" r:id="rId15"/>
          <w:headerReference w:type="first" r:id="rId16"/>
          <w:footerReference w:type="first" r:id="rId17"/>
          <w:pgSz w:w="11906" w:h="16838" w:orient="portrait"/>
          <w:pgMar w:top="1135" w:right="1440" w:bottom="1440" w:left="1440" w:header="708" w:footer="708" w:gutter="0"/>
          <w:cols w:space="708"/>
          <w:docGrid w:linePitch="360"/>
        </w:sectPr>
      </w:pPr>
    </w:p>
    <w:p w:rsidRPr="00CC3209" w:rsidR="006A61CF" w:rsidRDefault="00D45C12" w14:paraId="7404D0D7" w14:textId="5DA066A7">
      <w:pPr>
        <w:rPr>
          <w:rFonts w:ascii="Arial" w:hAnsi="Arial" w:cs="Arial"/>
          <w:b/>
          <w:bCs/>
          <w:sz w:val="20"/>
          <w:szCs w:val="20"/>
        </w:rPr>
      </w:pPr>
      <w:r w:rsidRPr="00CC3209">
        <w:rPr>
          <w:rFonts w:ascii="Arial" w:hAnsi="Arial" w:cs="Arial"/>
          <w:b/>
          <w:bCs/>
          <w:sz w:val="20"/>
          <w:szCs w:val="20"/>
        </w:rPr>
        <w:lastRenderedPageBreak/>
        <w:t xml:space="preserve">ANNEX </w:t>
      </w:r>
      <w:r w:rsidRPr="00CC3209" w:rsidR="00DE0D9E">
        <w:rPr>
          <w:rFonts w:ascii="Arial" w:hAnsi="Arial" w:cs="Arial"/>
          <w:b/>
          <w:bCs/>
          <w:sz w:val="20"/>
          <w:szCs w:val="20"/>
        </w:rPr>
        <w:t>1</w:t>
      </w:r>
    </w:p>
    <w:tbl>
      <w:tblPr>
        <w:tblW w:w="13988"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Look w:val="0400" w:firstRow="0" w:lastRow="0" w:firstColumn="0" w:lastColumn="0" w:noHBand="0" w:noVBand="1"/>
      </w:tblPr>
      <w:tblGrid>
        <w:gridCol w:w="1696"/>
        <w:gridCol w:w="2966"/>
        <w:gridCol w:w="1996"/>
        <w:gridCol w:w="2666"/>
        <w:gridCol w:w="2862"/>
        <w:gridCol w:w="1802"/>
      </w:tblGrid>
      <w:tr w:rsidRPr="00CC3209" w:rsidR="00F825BD" w:rsidTr="0095069A" w14:paraId="6299610E" w14:textId="77777777">
        <w:trPr>
          <w:tblHeader/>
        </w:trPr>
        <w:tc>
          <w:tcPr>
            <w:tcW w:w="1696" w:type="dxa"/>
            <w:tcBorders>
              <w:top w:val="single" w:color="auto" w:sz="4" w:space="0"/>
              <w:left w:val="single" w:color="auto" w:sz="4" w:space="0"/>
              <w:bottom w:val="single" w:color="auto" w:sz="4" w:space="0"/>
            </w:tcBorders>
            <w:shd w:val="clear" w:color="auto" w:fill="D9D9D9"/>
          </w:tcPr>
          <w:p w:rsidRPr="00CC3209" w:rsidR="00F825BD" w:rsidP="00F825BD" w:rsidRDefault="00F825BD" w14:paraId="6EAACDAD" w14:textId="77777777">
            <w:pPr>
              <w:rPr>
                <w:rFonts w:ascii="Arial" w:hAnsi="Arial" w:cs="Arial"/>
                <w:b/>
                <w:bCs/>
                <w:sz w:val="20"/>
                <w:szCs w:val="20"/>
              </w:rPr>
            </w:pPr>
            <w:r w:rsidRPr="00CC3209">
              <w:rPr>
                <w:rFonts w:ascii="Arial" w:hAnsi="Arial" w:cs="Arial"/>
                <w:b/>
                <w:bCs/>
                <w:sz w:val="20"/>
                <w:szCs w:val="20"/>
              </w:rPr>
              <w:t>Applicable Clause/ Paragraph</w:t>
            </w:r>
          </w:p>
        </w:tc>
        <w:tc>
          <w:tcPr>
            <w:tcW w:w="2966" w:type="dxa"/>
            <w:tcBorders>
              <w:top w:val="single" w:color="auto" w:sz="4" w:space="0"/>
              <w:bottom w:val="single" w:color="auto" w:sz="4" w:space="0"/>
            </w:tcBorders>
            <w:shd w:val="clear" w:color="auto" w:fill="D9D9D9"/>
          </w:tcPr>
          <w:p w:rsidRPr="00CC3209" w:rsidR="00F825BD" w:rsidP="00F825BD" w:rsidRDefault="00F825BD" w14:paraId="29A1606F" w14:textId="77777777">
            <w:pPr>
              <w:rPr>
                <w:rFonts w:ascii="Arial" w:hAnsi="Arial" w:cs="Arial"/>
                <w:b/>
                <w:bCs/>
                <w:sz w:val="20"/>
                <w:szCs w:val="20"/>
              </w:rPr>
            </w:pPr>
            <w:r w:rsidRPr="00CC3209">
              <w:rPr>
                <w:rFonts w:ascii="Arial" w:hAnsi="Arial" w:cs="Arial"/>
                <w:b/>
                <w:bCs/>
                <w:sz w:val="20"/>
                <w:szCs w:val="20"/>
              </w:rPr>
              <w:t>Required Data</w:t>
            </w:r>
          </w:p>
        </w:tc>
        <w:tc>
          <w:tcPr>
            <w:tcW w:w="1996" w:type="dxa"/>
            <w:tcBorders>
              <w:top w:val="single" w:color="auto" w:sz="4" w:space="0"/>
              <w:bottom w:val="single" w:color="auto" w:sz="4" w:space="0"/>
            </w:tcBorders>
            <w:shd w:val="clear" w:color="auto" w:fill="D9D9D9"/>
          </w:tcPr>
          <w:p w:rsidRPr="00CC3209" w:rsidR="00F825BD" w:rsidP="00F825BD" w:rsidRDefault="00F825BD" w14:paraId="2EFD3C18" w14:textId="77777777">
            <w:pPr>
              <w:rPr>
                <w:rFonts w:ascii="Arial" w:hAnsi="Arial" w:cs="Arial"/>
                <w:b/>
                <w:bCs/>
                <w:sz w:val="20"/>
                <w:szCs w:val="20"/>
              </w:rPr>
            </w:pPr>
            <w:r w:rsidRPr="00CC3209">
              <w:rPr>
                <w:rFonts w:ascii="Arial" w:hAnsi="Arial" w:cs="Arial"/>
                <w:b/>
                <w:bCs/>
                <w:sz w:val="20"/>
                <w:szCs w:val="20"/>
              </w:rPr>
              <w:t>Format of Data</w:t>
            </w:r>
          </w:p>
        </w:tc>
        <w:tc>
          <w:tcPr>
            <w:tcW w:w="2666" w:type="dxa"/>
            <w:tcBorders>
              <w:top w:val="single" w:color="auto" w:sz="4" w:space="0"/>
              <w:bottom w:val="single" w:color="auto" w:sz="4" w:space="0"/>
            </w:tcBorders>
            <w:shd w:val="clear" w:color="auto" w:fill="D9D9D9"/>
          </w:tcPr>
          <w:p w:rsidRPr="00CC3209" w:rsidR="00F825BD" w:rsidP="00F825BD" w:rsidRDefault="00F825BD" w14:paraId="43F74048" w14:textId="77777777">
            <w:pPr>
              <w:rPr>
                <w:rFonts w:ascii="Arial" w:hAnsi="Arial" w:cs="Arial"/>
                <w:b/>
                <w:bCs/>
                <w:sz w:val="20"/>
                <w:szCs w:val="20"/>
              </w:rPr>
            </w:pPr>
            <w:r w:rsidRPr="00CC3209">
              <w:rPr>
                <w:rFonts w:ascii="Arial" w:hAnsi="Arial" w:cs="Arial"/>
                <w:b/>
                <w:bCs/>
                <w:sz w:val="20"/>
                <w:szCs w:val="20"/>
              </w:rPr>
              <w:t>Initial Upload Date</w:t>
            </w:r>
          </w:p>
        </w:tc>
        <w:tc>
          <w:tcPr>
            <w:tcW w:w="2862" w:type="dxa"/>
            <w:tcBorders>
              <w:top w:val="single" w:color="auto" w:sz="4" w:space="0"/>
              <w:bottom w:val="single" w:color="auto" w:sz="4" w:space="0"/>
            </w:tcBorders>
            <w:shd w:val="clear" w:color="auto" w:fill="D9D9D9"/>
          </w:tcPr>
          <w:p w:rsidRPr="00CC3209" w:rsidR="00F825BD" w:rsidP="00F825BD" w:rsidRDefault="00F825BD" w14:paraId="7F69E2A5" w14:textId="77777777">
            <w:pPr>
              <w:rPr>
                <w:rFonts w:ascii="Arial" w:hAnsi="Arial" w:cs="Arial"/>
                <w:b/>
                <w:bCs/>
                <w:sz w:val="20"/>
                <w:szCs w:val="20"/>
              </w:rPr>
            </w:pPr>
            <w:r w:rsidRPr="00CC3209">
              <w:rPr>
                <w:rFonts w:ascii="Arial" w:hAnsi="Arial" w:cs="Arial"/>
                <w:b/>
                <w:bCs/>
                <w:sz w:val="20"/>
                <w:szCs w:val="20"/>
              </w:rPr>
              <w:t>Update Requirement</w:t>
            </w:r>
          </w:p>
        </w:tc>
        <w:tc>
          <w:tcPr>
            <w:tcW w:w="1802" w:type="dxa"/>
            <w:tcBorders>
              <w:top w:val="single" w:color="auto" w:sz="4" w:space="0"/>
              <w:bottom w:val="single" w:color="auto" w:sz="4" w:space="0"/>
              <w:right w:val="single" w:color="auto" w:sz="4" w:space="0"/>
            </w:tcBorders>
            <w:shd w:val="clear" w:color="auto" w:fill="D9D9D9"/>
          </w:tcPr>
          <w:p w:rsidRPr="00CC3209" w:rsidR="00F825BD" w:rsidP="00F825BD" w:rsidRDefault="00F825BD" w14:paraId="1C28C1A4" w14:textId="77777777">
            <w:pPr>
              <w:rPr>
                <w:rFonts w:ascii="Arial" w:hAnsi="Arial" w:cs="Arial"/>
                <w:b/>
                <w:bCs/>
                <w:sz w:val="20"/>
                <w:szCs w:val="20"/>
              </w:rPr>
            </w:pPr>
            <w:r w:rsidRPr="00CC3209">
              <w:rPr>
                <w:rFonts w:ascii="Arial" w:hAnsi="Arial" w:cs="Arial"/>
                <w:b/>
                <w:bCs/>
                <w:sz w:val="20"/>
                <w:szCs w:val="20"/>
              </w:rPr>
              <w:t>Access Permission and Access Event (where applicable)</w:t>
            </w:r>
          </w:p>
        </w:tc>
      </w:tr>
      <w:tr w:rsidRPr="00CC3209" w:rsidR="0095069A" w:rsidTr="0095069A" w14:paraId="33411F7B" w14:textId="77777777">
        <w:trPr>
          <w:tblHeader/>
        </w:trPr>
        <w:tc>
          <w:tcPr>
            <w:tcW w:w="1696" w:type="dxa"/>
            <w:tcBorders>
              <w:top w:val="single" w:color="auto" w:sz="4" w:space="0"/>
              <w:left w:val="single" w:color="auto" w:sz="4" w:space="0"/>
              <w:bottom w:val="single" w:color="auto" w:sz="4" w:space="0"/>
            </w:tcBorders>
            <w:shd w:val="clear" w:color="auto" w:fill="auto"/>
          </w:tcPr>
          <w:p w:rsidRPr="00CC3209" w:rsidR="0095069A" w:rsidP="00F825BD" w:rsidRDefault="0095069A" w14:paraId="467D31A3" w14:textId="77777777">
            <w:pPr>
              <w:rPr>
                <w:rFonts w:ascii="Arial" w:hAnsi="Arial" w:cs="Arial"/>
                <w:sz w:val="20"/>
                <w:szCs w:val="20"/>
              </w:rPr>
            </w:pPr>
          </w:p>
        </w:tc>
        <w:tc>
          <w:tcPr>
            <w:tcW w:w="2966" w:type="dxa"/>
            <w:tcBorders>
              <w:top w:val="single" w:color="auto" w:sz="4" w:space="0"/>
              <w:bottom w:val="single" w:color="auto" w:sz="4" w:space="0"/>
            </w:tcBorders>
            <w:shd w:val="clear" w:color="auto" w:fill="auto"/>
          </w:tcPr>
          <w:p w:rsidRPr="00CC3209" w:rsidR="0095069A" w:rsidP="00F825BD" w:rsidRDefault="0095069A" w14:paraId="4BE60EBC" w14:textId="77777777">
            <w:pPr>
              <w:rPr>
                <w:rFonts w:ascii="Arial" w:hAnsi="Arial" w:cs="Arial"/>
                <w:sz w:val="20"/>
                <w:szCs w:val="20"/>
              </w:rPr>
            </w:pPr>
          </w:p>
        </w:tc>
        <w:tc>
          <w:tcPr>
            <w:tcW w:w="1996" w:type="dxa"/>
            <w:tcBorders>
              <w:top w:val="single" w:color="auto" w:sz="4" w:space="0"/>
              <w:bottom w:val="single" w:color="auto" w:sz="4" w:space="0"/>
            </w:tcBorders>
            <w:shd w:val="clear" w:color="auto" w:fill="auto"/>
          </w:tcPr>
          <w:p w:rsidRPr="00CC3209" w:rsidR="0095069A" w:rsidP="00F825BD" w:rsidRDefault="0095069A" w14:paraId="53D017F0" w14:textId="77777777">
            <w:pPr>
              <w:rPr>
                <w:rFonts w:ascii="Arial" w:hAnsi="Arial" w:cs="Arial"/>
                <w:sz w:val="20"/>
                <w:szCs w:val="20"/>
              </w:rPr>
            </w:pPr>
          </w:p>
        </w:tc>
        <w:tc>
          <w:tcPr>
            <w:tcW w:w="2666" w:type="dxa"/>
            <w:tcBorders>
              <w:top w:val="single" w:color="auto" w:sz="4" w:space="0"/>
              <w:bottom w:val="single" w:color="auto" w:sz="4" w:space="0"/>
            </w:tcBorders>
            <w:shd w:val="clear" w:color="auto" w:fill="auto"/>
          </w:tcPr>
          <w:p w:rsidRPr="00CC3209" w:rsidR="0095069A" w:rsidP="00F825BD" w:rsidRDefault="0095069A" w14:paraId="713343A0" w14:textId="77777777">
            <w:pPr>
              <w:rPr>
                <w:rFonts w:ascii="Arial" w:hAnsi="Arial" w:cs="Arial"/>
                <w:sz w:val="20"/>
                <w:szCs w:val="20"/>
              </w:rPr>
            </w:pPr>
          </w:p>
        </w:tc>
        <w:tc>
          <w:tcPr>
            <w:tcW w:w="2862" w:type="dxa"/>
            <w:tcBorders>
              <w:top w:val="single" w:color="auto" w:sz="4" w:space="0"/>
              <w:bottom w:val="single" w:color="auto" w:sz="4" w:space="0"/>
            </w:tcBorders>
            <w:shd w:val="clear" w:color="auto" w:fill="auto"/>
          </w:tcPr>
          <w:p w:rsidRPr="00CC3209" w:rsidR="0095069A" w:rsidP="00F825BD" w:rsidRDefault="0095069A" w14:paraId="56B6517A" w14:textId="77777777">
            <w:pPr>
              <w:rPr>
                <w:rFonts w:ascii="Arial" w:hAnsi="Arial" w:cs="Arial"/>
                <w:sz w:val="20"/>
                <w:szCs w:val="20"/>
              </w:rPr>
            </w:pPr>
          </w:p>
        </w:tc>
        <w:tc>
          <w:tcPr>
            <w:tcW w:w="1802" w:type="dxa"/>
            <w:tcBorders>
              <w:top w:val="single" w:color="auto" w:sz="4" w:space="0"/>
              <w:bottom w:val="single" w:color="auto" w:sz="4" w:space="0"/>
              <w:right w:val="single" w:color="auto" w:sz="4" w:space="0"/>
            </w:tcBorders>
            <w:shd w:val="clear" w:color="auto" w:fill="auto"/>
          </w:tcPr>
          <w:p w:rsidRPr="00CC3209" w:rsidR="0095069A" w:rsidP="00F825BD" w:rsidRDefault="0095069A" w14:paraId="2B609501" w14:textId="77777777">
            <w:pPr>
              <w:rPr>
                <w:rFonts w:ascii="Arial" w:hAnsi="Arial" w:cs="Arial"/>
                <w:sz w:val="20"/>
                <w:szCs w:val="20"/>
              </w:rPr>
            </w:pPr>
          </w:p>
        </w:tc>
      </w:tr>
    </w:tbl>
    <w:p w:rsidRPr="00CC3209" w:rsidR="00D45C12" w:rsidRDefault="00D45C12" w14:paraId="77AFABE1" w14:textId="77777777">
      <w:pPr>
        <w:rPr>
          <w:rFonts w:ascii="Arial" w:hAnsi="Arial" w:cs="Arial"/>
          <w:sz w:val="20"/>
          <w:szCs w:val="20"/>
        </w:rPr>
      </w:pPr>
      <w:bookmarkStart w:name="_heading=h.23ckvvd" w:colFirst="0" w:colLast="0" w:id="9"/>
      <w:bookmarkStart w:name="_heading=h.1egqt2p" w:colFirst="0" w:colLast="0" w:id="10"/>
      <w:bookmarkStart w:name="_heading=h.3cqmetx" w:colFirst="0" w:colLast="0" w:id="11"/>
      <w:bookmarkStart w:name="_heading=h.1664s55" w:colFirst="0" w:colLast="0" w:id="12"/>
      <w:bookmarkEnd w:id="9"/>
      <w:bookmarkEnd w:id="10"/>
      <w:bookmarkEnd w:id="11"/>
      <w:bookmarkEnd w:id="12"/>
    </w:p>
    <w:sectPr w:rsidRPr="00CC3209" w:rsidR="00D45C12" w:rsidSect="00860BF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60BF7" w:rsidP="00B151B4" w:rsidRDefault="00860BF7" w14:paraId="1F3740B5" w14:textId="77777777">
      <w:pPr>
        <w:spacing w:after="0" w:line="240" w:lineRule="auto"/>
      </w:pPr>
      <w:r>
        <w:separator/>
      </w:r>
    </w:p>
  </w:endnote>
  <w:endnote w:type="continuationSeparator" w:id="0">
    <w:p w:rsidR="00860BF7" w:rsidP="00B151B4" w:rsidRDefault="00860BF7" w14:paraId="739F55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3D5F01" w:rsidRDefault="003D5F01" w14:paraId="37412DFD" w14:textId="213BFFD6">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4"/>
        <w:szCs w:val="24"/>
      </w:rPr>
    </w:pPr>
    <w:r>
      <w:rPr>
        <w:noProof/>
      </w:rPr>
      <mc:AlternateContent>
        <mc:Choice Requires="wps">
          <w:drawing>
            <wp:anchor distT="0" distB="0" distL="0" distR="0" simplePos="0" relativeHeight="251661312" behindDoc="0" locked="0" layoutInCell="1" hidden="0" allowOverlap="1" wp14:anchorId="6397A9C7" wp14:editId="4C59298F">
              <wp:simplePos x="0" y="0"/>
              <wp:positionH relativeFrom="column">
                <wp:posOffset>1727200</wp:posOffset>
              </wp:positionH>
              <wp:positionV relativeFrom="paragraph">
                <wp:posOffset>0</wp:posOffset>
              </wp:positionV>
              <wp:extent cx="429260" cy="671830"/>
              <wp:effectExtent l="0" t="0" r="0" b="0"/>
              <wp:wrapNone/>
              <wp:docPr id="1818808833" name="Rectangle 1818808833" descr="Internal"/>
              <wp:cNvGraphicFramePr/>
              <a:graphic xmlns:a="http://schemas.openxmlformats.org/drawingml/2006/main">
                <a:graphicData uri="http://schemas.microsoft.com/office/word/2010/wordprocessingShape">
                  <wps:wsp>
                    <wps:cNvSpPr/>
                    <wps:spPr>
                      <a:xfrm>
                        <a:off x="5136133" y="3448848"/>
                        <a:ext cx="419735" cy="662305"/>
                      </a:xfrm>
                      <a:prstGeom prst="rect">
                        <a:avLst/>
                      </a:prstGeom>
                      <a:noFill/>
                      <a:ln>
                        <a:noFill/>
                      </a:ln>
                    </wps:spPr>
                    <wps:txbx>
                      <w:txbxContent>
                        <w:p w:rsidR="003D5F01" w:rsidRDefault="003D5F01" w14:paraId="51E10AFB" w14:textId="77777777">
                          <w:pPr>
                            <w:spacing w:after="0" w:line="258" w:lineRule="auto"/>
                            <w:textDirection w:val="btLr"/>
                          </w:pPr>
                          <w:r>
                            <w:rPr>
                              <w:rFonts w:ascii="Arial" w:hAnsi="Arial" w:eastAsia="Arial" w:cs="Arial"/>
                              <w:color w:val="000000"/>
                              <w:sz w:val="18"/>
                            </w:rPr>
                            <w:t>Internal</w:t>
                          </w:r>
                        </w:p>
                      </w:txbxContent>
                    </wps:txbx>
                    <wps:bodyPr spcFirstLastPara="1" wrap="square" lIns="0" tIns="0" rIns="0" bIns="355600" anchor="b" anchorCtr="0">
                      <a:noAutofit/>
                    </wps:bodyPr>
                  </wps:wsp>
                </a:graphicData>
              </a:graphic>
            </wp:anchor>
          </w:drawing>
        </mc:Choice>
        <mc:Fallback>
          <w:pict>
            <v:rect id="Rectangle 1818808833" style="position:absolute;margin-left:136pt;margin-top:0;width:33.8pt;height:52.9pt;z-index:251661312;visibility:visible;mso-wrap-style:square;mso-wrap-distance-left:0;mso-wrap-distance-top:0;mso-wrap-distance-right:0;mso-wrap-distance-bottom:0;mso-position-horizontal:absolute;mso-position-horizontal-relative:text;mso-position-vertical:absolute;mso-position-vertical-relative:text;v-text-anchor:bottom" alt="Internal" o:spid="_x0000_s1026" filled="f" stroked="f" w14:anchorId="6397A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">
              <v:textbox inset="0,0,0,28pt">
                <w:txbxContent>
                  <w:p w:rsidR="003D5F01" w:rsidRDefault="003D5F01" w14:paraId="51E10AFB" w14:textId="77777777">
                    <w:pPr>
                      <w:spacing w:after="0" w:line="258" w:lineRule="auto"/>
                      <w:textDirection w:val="btLr"/>
                    </w:pPr>
                    <w:r>
                      <w:rPr>
                        <w:rFonts w:ascii="Arial" w:hAnsi="Arial" w:eastAsia="Arial" w:cs="Arial"/>
                        <w:color w:val="000000"/>
                        <w:sz w:val="18"/>
                      </w:rPr>
                      <w:t>Internal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3D5F01" w:rsidRDefault="003D5F01" w14:paraId="1725D81E" w14:textId="275FCCAE">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4"/>
        <w:szCs w:val="24"/>
      </w:rPr>
    </w:pPr>
    <w:r>
      <w:rPr>
        <w:noProof/>
      </w:rPr>
      <mc:AlternateContent>
        <mc:Choice Requires="wps">
          <w:drawing>
            <wp:anchor distT="0" distB="0" distL="0" distR="0" simplePos="0" relativeHeight="251659264" behindDoc="0" locked="0" layoutInCell="1" hidden="0" allowOverlap="1" wp14:anchorId="5381435D" wp14:editId="21023BC0">
              <wp:simplePos x="0" y="0"/>
              <wp:positionH relativeFrom="column">
                <wp:posOffset>1727200</wp:posOffset>
              </wp:positionH>
              <wp:positionV relativeFrom="paragraph">
                <wp:posOffset>0</wp:posOffset>
              </wp:positionV>
              <wp:extent cx="429260" cy="671830"/>
              <wp:effectExtent l="0" t="0" r="0" b="0"/>
              <wp:wrapNone/>
              <wp:docPr id="1818808836" name="Rectangle 1818808836" descr="Internal"/>
              <wp:cNvGraphicFramePr/>
              <a:graphic xmlns:a="http://schemas.openxmlformats.org/drawingml/2006/main">
                <a:graphicData uri="http://schemas.microsoft.com/office/word/2010/wordprocessingShape">
                  <wps:wsp>
                    <wps:cNvSpPr/>
                    <wps:spPr>
                      <a:xfrm>
                        <a:off x="5136133" y="3448848"/>
                        <a:ext cx="419735" cy="662305"/>
                      </a:xfrm>
                      <a:prstGeom prst="rect">
                        <a:avLst/>
                      </a:prstGeom>
                      <a:noFill/>
                      <a:ln>
                        <a:noFill/>
                      </a:ln>
                    </wps:spPr>
                    <wps:txbx>
                      <w:txbxContent>
                        <w:p w:rsidR="003D5F01" w:rsidRDefault="003D5F01" w14:paraId="4C667C96" w14:textId="77777777">
                          <w:pPr>
                            <w:spacing w:after="0" w:line="258" w:lineRule="auto"/>
                            <w:textDirection w:val="btLr"/>
                          </w:pPr>
                        </w:p>
                      </w:txbxContent>
                    </wps:txbx>
                    <wps:bodyPr spcFirstLastPara="1" wrap="square" lIns="0" tIns="0" rIns="0" bIns="355600" anchor="b" anchorCtr="0">
                      <a:noAutofit/>
                    </wps:bodyPr>
                  </wps:wsp>
                </a:graphicData>
              </a:graphic>
            </wp:anchor>
          </w:drawing>
        </mc:Choice>
        <mc:Fallback>
          <w:pict>
            <v:rect id="Rectangle 1818808836" style="position:absolute;margin-left:136pt;margin-top:0;width:33.8pt;height:52.9pt;z-index:251659264;visibility:visible;mso-wrap-style:square;mso-wrap-distance-left:0;mso-wrap-distance-top:0;mso-wrap-distance-right:0;mso-wrap-distance-bottom:0;mso-position-horizontal:absolute;mso-position-horizontal-relative:text;mso-position-vertical:absolute;mso-position-vertical-relative:text;v-text-anchor:bottom" alt="Internal" o:spid="_x0000_s1027" filled="f" stroked="f" w14:anchorId="53814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">
              <v:textbox inset="0,0,0,28pt">
                <w:txbxContent>
                  <w:p w:rsidR="003D5F01" w:rsidRDefault="003D5F01" w14:paraId="4C667C96" w14:textId="77777777">
                    <w:pPr>
                      <w:spacing w:after="0" w:line="258"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3D5F01" w:rsidRDefault="003D5F01" w14:paraId="1A9FC1BA" w14:textId="1EB1D5B2">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4"/>
        <w:szCs w:val="24"/>
      </w:rPr>
    </w:pPr>
    <w:r>
      <w:rPr>
        <w:noProof/>
      </w:rPr>
      <mc:AlternateContent>
        <mc:Choice Requires="wps">
          <w:drawing>
            <wp:anchor distT="0" distB="0" distL="0" distR="0" simplePos="0" relativeHeight="251660288" behindDoc="0" locked="0" layoutInCell="1" hidden="0" allowOverlap="1" wp14:anchorId="17EAAF28" wp14:editId="214E3FFD">
              <wp:simplePos x="0" y="0"/>
              <wp:positionH relativeFrom="column">
                <wp:posOffset>1727200</wp:posOffset>
              </wp:positionH>
              <wp:positionV relativeFrom="paragraph">
                <wp:posOffset>0</wp:posOffset>
              </wp:positionV>
              <wp:extent cx="429260" cy="671830"/>
              <wp:effectExtent l="0" t="0" r="0" b="0"/>
              <wp:wrapNone/>
              <wp:docPr id="1818808835" name="Rectangle 1818808835" descr="Internal"/>
              <wp:cNvGraphicFramePr/>
              <a:graphic xmlns:a="http://schemas.openxmlformats.org/drawingml/2006/main">
                <a:graphicData uri="http://schemas.microsoft.com/office/word/2010/wordprocessingShape">
                  <wps:wsp>
                    <wps:cNvSpPr/>
                    <wps:spPr>
                      <a:xfrm>
                        <a:off x="5136133" y="3448848"/>
                        <a:ext cx="419735" cy="662305"/>
                      </a:xfrm>
                      <a:prstGeom prst="rect">
                        <a:avLst/>
                      </a:prstGeom>
                      <a:noFill/>
                      <a:ln>
                        <a:noFill/>
                      </a:ln>
                    </wps:spPr>
                    <wps:txbx>
                      <w:txbxContent>
                        <w:p w:rsidR="003D5F01" w:rsidRDefault="003D5F01" w14:paraId="4F9DEC3C" w14:textId="77777777">
                          <w:pPr>
                            <w:spacing w:after="0" w:line="258" w:lineRule="auto"/>
                            <w:textDirection w:val="btLr"/>
                          </w:pPr>
                          <w:r>
                            <w:rPr>
                              <w:rFonts w:ascii="Arial" w:hAnsi="Arial" w:eastAsia="Arial" w:cs="Arial"/>
                              <w:color w:val="000000"/>
                              <w:sz w:val="18"/>
                            </w:rPr>
                            <w:t>Internal</w:t>
                          </w:r>
                        </w:p>
                      </w:txbxContent>
                    </wps:txbx>
                    <wps:bodyPr spcFirstLastPara="1" wrap="square" lIns="0" tIns="0" rIns="0" bIns="355600" anchor="b" anchorCtr="0">
                      <a:noAutofit/>
                    </wps:bodyPr>
                  </wps:wsp>
                </a:graphicData>
              </a:graphic>
            </wp:anchor>
          </w:drawing>
        </mc:Choice>
        <mc:Fallback>
          <w:pict>
            <v:rect id="Rectangle 1818808835" style="position:absolute;margin-left:136pt;margin-top:0;width:33.8pt;height:52.9pt;z-index:251660288;visibility:visible;mso-wrap-style:square;mso-wrap-distance-left:0;mso-wrap-distance-top:0;mso-wrap-distance-right:0;mso-wrap-distance-bottom:0;mso-position-horizontal:absolute;mso-position-horizontal-relative:text;mso-position-vertical:absolute;mso-position-vertical-relative:text;v-text-anchor:bottom" alt="Internal" o:spid="_x0000_s1028" filled="f" stroked="f" w14:anchorId="17EAA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">
              <v:textbox inset="0,0,0,28pt">
                <w:txbxContent>
                  <w:p w:rsidR="003D5F01" w:rsidRDefault="003D5F01" w14:paraId="4F9DEC3C" w14:textId="77777777">
                    <w:pPr>
                      <w:spacing w:after="0" w:line="258" w:lineRule="auto"/>
                      <w:textDirection w:val="btLr"/>
                    </w:pPr>
                    <w:r>
                      <w:rPr>
                        <w:rFonts w:ascii="Arial" w:hAnsi="Arial" w:eastAsia="Arial" w:cs="Arial"/>
                        <w:color w:val="000000"/>
                        <w:sz w:val="18"/>
                      </w:rPr>
                      <w:t>Internal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60BF7" w:rsidP="00B151B4" w:rsidRDefault="00860BF7" w14:paraId="2B65B990" w14:textId="77777777">
      <w:pPr>
        <w:spacing w:after="0" w:line="240" w:lineRule="auto"/>
      </w:pPr>
      <w:r>
        <w:separator/>
      </w:r>
    </w:p>
  </w:footnote>
  <w:footnote w:type="continuationSeparator" w:id="0">
    <w:p w:rsidR="00860BF7" w:rsidP="00B151B4" w:rsidRDefault="00860BF7" w14:paraId="41C9F57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5F01" w:rsidRDefault="003D5F01" w14:paraId="602CCF62" w14:textId="1300BF26">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10FE5" w:rsidR="00610FE5" w:rsidRDefault="00610FE5" w14:paraId="416467FE" w14:textId="2AAA68E3">
    <w:pPr>
      <w:pStyle w:val="Header"/>
      <w:rPr>
        <w:rFonts w:ascii="Arial" w:hAnsi="Arial" w:cs="Arial"/>
        <w:sz w:val="20"/>
        <w:szCs w:val="20"/>
      </w:rPr>
    </w:pPr>
    <w:r w:rsidRPr="00610FE5">
      <w:rPr>
        <w:rFonts w:ascii="Arial" w:hAnsi="Arial" w:cs="Arial"/>
        <w:sz w:val="20"/>
        <w:szCs w:val="20"/>
      </w:rPr>
      <w:t>Framework Schedule 10 (Virtual Library)</w:t>
    </w:r>
  </w:p>
  <w:p w:rsidR="003D5F01" w:rsidRDefault="003D5F01" w14:paraId="1EDF1F66"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5F01" w:rsidRDefault="003D5F01" w14:paraId="43F7AAE8" w14:textId="3C1BD680">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B0227D"/>
    <w:multiLevelType w:val="multilevel"/>
    <w:tmpl w:val="41966DCA"/>
    <w:lvl w:ilvl="0">
      <w:start w:val="1"/>
      <w:numFmt w:val="decimal"/>
      <w:lvlText w:val="%1"/>
      <w:lvlJc w:val="left"/>
      <w:pPr>
        <w:ind w:left="851" w:hanging="851"/>
      </w:pPr>
      <w:rPr>
        <w:rFonts w:hint="default"/>
        <w:sz w:val="20"/>
        <w:szCs w:val="20"/>
      </w:rPr>
    </w:lvl>
    <w:lvl w:ilvl="1">
      <w:start w:val="1"/>
      <w:numFmt w:val="decimal"/>
      <w:lvlText w:val="%1.%2"/>
      <w:lvlJc w:val="left"/>
      <w:pPr>
        <w:ind w:left="851" w:hanging="851"/>
      </w:pPr>
      <w:rPr>
        <w:rFonts w:hint="default"/>
        <w:b w:val="0"/>
        <w:bCs/>
        <w:sz w:val="20"/>
        <w:szCs w:val="20"/>
      </w:rPr>
    </w:lvl>
    <w:lvl w:ilvl="2">
      <w:start w:val="1"/>
      <w:numFmt w:val="decimal"/>
      <w:lvlText w:val="%1.%2.%3"/>
      <w:lvlJc w:val="left"/>
      <w:pPr>
        <w:ind w:left="1803" w:hanging="1083"/>
      </w:pPr>
      <w:rPr>
        <w:rFonts w:hint="default"/>
      </w:rPr>
    </w:lvl>
    <w:lvl w:ilvl="3">
      <w:start w:val="1"/>
      <w:numFmt w:val="lowerLetter"/>
      <w:lvlText w:val="(%4)"/>
      <w:lvlJc w:val="left"/>
      <w:pPr>
        <w:ind w:left="1418" w:hanging="567"/>
      </w:pPr>
      <w:rPr>
        <w:rFonts w:hint="default"/>
      </w:rPr>
    </w:lvl>
    <w:lvl w:ilvl="4">
      <w:start w:val="1"/>
      <w:numFmt w:val="lowerRoman"/>
      <w:lvlText w:val="(%5)"/>
      <w:lvlJc w:val="left"/>
      <w:pPr>
        <w:ind w:left="2523" w:hanging="720"/>
      </w:pPr>
      <w:rPr>
        <w:rFonts w:hint="default"/>
      </w:rPr>
    </w:lvl>
    <w:lvl w:ilvl="5">
      <w:start w:val="1"/>
      <w:numFmt w:val="upperLetter"/>
      <w:lvlText w:val="(%6)"/>
      <w:lvlJc w:val="left"/>
      <w:pPr>
        <w:ind w:left="3243" w:hanging="720"/>
      </w:pPr>
      <w:rPr>
        <w:rFonts w:hint="default"/>
      </w:rPr>
    </w:lvl>
    <w:lvl w:ilvl="6">
      <w:start w:val="1"/>
      <w:numFmt w:val="decimal"/>
      <w:lvlText w:val="(%7)"/>
      <w:lvlJc w:val="left"/>
      <w:pPr>
        <w:ind w:left="3963" w:hanging="720"/>
      </w:pPr>
      <w:rPr>
        <w:rFonts w:hint="default"/>
      </w:rPr>
    </w:lvl>
    <w:lvl w:ilvl="7">
      <w:start w:val="1"/>
      <w:numFmt w:val="decimal"/>
      <w:lvlText w:val=""/>
      <w:lvlJc w:val="left"/>
      <w:pPr>
        <w:ind w:left="2523" w:hanging="720"/>
      </w:pPr>
      <w:rPr>
        <w:rFonts w:hint="default"/>
      </w:rPr>
    </w:lvl>
    <w:lvl w:ilvl="8">
      <w:start w:val="1"/>
      <w:numFmt w:val="decimal"/>
      <w:lvlText w:val=""/>
      <w:lvlJc w:val="left"/>
      <w:pPr>
        <w:ind w:left="2523" w:hanging="720"/>
      </w:pPr>
      <w:rPr>
        <w:rFonts w:hint="default"/>
      </w:rPr>
    </w:lvl>
  </w:abstractNum>
  <w:num w:numId="1" w16cid:durableId="8115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887253"/>
    <w:docVar w:name="Revision" w:val="7"/>
  </w:docVars>
  <w:rsids>
    <w:rsidRoot w:val="00B151B4"/>
    <w:rsid w:val="001F649A"/>
    <w:rsid w:val="00211F01"/>
    <w:rsid w:val="002264DA"/>
    <w:rsid w:val="0023391D"/>
    <w:rsid w:val="00263509"/>
    <w:rsid w:val="002C3DE8"/>
    <w:rsid w:val="002C728D"/>
    <w:rsid w:val="002F3358"/>
    <w:rsid w:val="00350EF7"/>
    <w:rsid w:val="0037150D"/>
    <w:rsid w:val="003D5F01"/>
    <w:rsid w:val="003F6A95"/>
    <w:rsid w:val="00405EB3"/>
    <w:rsid w:val="004A44CB"/>
    <w:rsid w:val="005650BE"/>
    <w:rsid w:val="00610FE5"/>
    <w:rsid w:val="006A4864"/>
    <w:rsid w:val="006A61CF"/>
    <w:rsid w:val="00721041"/>
    <w:rsid w:val="00736292"/>
    <w:rsid w:val="00755BCF"/>
    <w:rsid w:val="007C1371"/>
    <w:rsid w:val="00860BF7"/>
    <w:rsid w:val="008F4FE2"/>
    <w:rsid w:val="00917919"/>
    <w:rsid w:val="0095069A"/>
    <w:rsid w:val="009B5EB1"/>
    <w:rsid w:val="00A72366"/>
    <w:rsid w:val="00B151B4"/>
    <w:rsid w:val="00B517EF"/>
    <w:rsid w:val="00B621A9"/>
    <w:rsid w:val="00B92046"/>
    <w:rsid w:val="00BB7458"/>
    <w:rsid w:val="00BB7FEA"/>
    <w:rsid w:val="00BE137D"/>
    <w:rsid w:val="00BE1EA3"/>
    <w:rsid w:val="00C443A5"/>
    <w:rsid w:val="00C71AE6"/>
    <w:rsid w:val="00C917E0"/>
    <w:rsid w:val="00CC3209"/>
    <w:rsid w:val="00D45C12"/>
    <w:rsid w:val="00D902F3"/>
    <w:rsid w:val="00DE0D9E"/>
    <w:rsid w:val="00E31855"/>
    <w:rsid w:val="00E658F9"/>
    <w:rsid w:val="00E73C89"/>
    <w:rsid w:val="00F67EC6"/>
    <w:rsid w:val="00F76741"/>
    <w:rsid w:val="00F825BD"/>
    <w:rsid w:val="056676D4"/>
    <w:rsid w:val="1822909F"/>
    <w:rsid w:val="227F401D"/>
    <w:rsid w:val="29BC0DCE"/>
    <w:rsid w:val="35EBEC02"/>
    <w:rsid w:val="452C78F6"/>
    <w:rsid w:val="4F1489F3"/>
    <w:rsid w:val="51F21F37"/>
    <w:rsid w:val="55418092"/>
    <w:rsid w:val="6CE9C0C8"/>
    <w:rsid w:val="6DDFA404"/>
    <w:rsid w:val="723590D8"/>
    <w:rsid w:val="74BE2451"/>
    <w:rsid w:val="765A12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81B7E"/>
  <w15:chartTrackingRefBased/>
  <w15:docId w15:val="{4FD700D7-E581-4D55-9169-4CF4D58D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51B4"/>
    <w:rPr>
      <w:rFonts w:ascii="Calibri" w:hAnsi="Calibri" w:eastAsia="Calibri" w:cs="Calibri"/>
      <w:kern w:val="0"/>
      <w:lang w:eastAsia="en-GB"/>
      <w14:ligatures w14:val="none"/>
    </w:rPr>
  </w:style>
  <w:style w:type="paragraph" w:styleId="Heading1">
    <w:name w:val="heading 1"/>
    <w:basedOn w:val="Normal"/>
    <w:next w:val="Normal"/>
    <w:link w:val="Heading1Char"/>
    <w:uiPriority w:val="9"/>
    <w:qFormat/>
    <w:rsid w:val="006A486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B151B4"/>
    <w:rPr>
      <w:sz w:val="16"/>
      <w:szCs w:val="16"/>
    </w:rPr>
  </w:style>
  <w:style w:type="paragraph" w:styleId="CommentText">
    <w:name w:val="annotation text"/>
    <w:basedOn w:val="Normal"/>
    <w:link w:val="CommentTextChar"/>
    <w:uiPriority w:val="99"/>
    <w:unhideWhenUsed/>
    <w:rsid w:val="00B151B4"/>
    <w:pPr>
      <w:spacing w:line="240" w:lineRule="auto"/>
    </w:pPr>
    <w:rPr>
      <w:sz w:val="20"/>
      <w:szCs w:val="20"/>
    </w:rPr>
  </w:style>
  <w:style w:type="character" w:styleId="CommentTextChar" w:customStyle="1">
    <w:name w:val="Comment Text Char"/>
    <w:basedOn w:val="DefaultParagraphFont"/>
    <w:link w:val="CommentText"/>
    <w:uiPriority w:val="99"/>
    <w:rsid w:val="00B151B4"/>
    <w:rPr>
      <w:rFonts w:ascii="Calibri" w:hAnsi="Calibri" w:eastAsia="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B151B4"/>
    <w:rPr>
      <w:b/>
      <w:bCs/>
    </w:rPr>
  </w:style>
  <w:style w:type="character" w:styleId="CommentSubjectChar" w:customStyle="1">
    <w:name w:val="Comment Subject Char"/>
    <w:basedOn w:val="CommentTextChar"/>
    <w:link w:val="CommentSubject"/>
    <w:uiPriority w:val="99"/>
    <w:semiHidden/>
    <w:rsid w:val="00B151B4"/>
    <w:rPr>
      <w:rFonts w:ascii="Calibri" w:hAnsi="Calibri" w:eastAsia="Calibri" w:cs="Calibri"/>
      <w:b/>
      <w:bCs/>
      <w:kern w:val="0"/>
      <w:sz w:val="20"/>
      <w:szCs w:val="20"/>
      <w:lang w:eastAsia="en-GB"/>
      <w14:ligatures w14:val="none"/>
    </w:rPr>
  </w:style>
  <w:style w:type="paragraph" w:styleId="Revision">
    <w:name w:val="Revision"/>
    <w:hidden/>
    <w:uiPriority w:val="99"/>
    <w:semiHidden/>
    <w:rsid w:val="00DE0D9E"/>
    <w:pPr>
      <w:spacing w:after="0" w:line="240" w:lineRule="auto"/>
    </w:pPr>
    <w:rPr>
      <w:rFonts w:ascii="Calibri" w:hAnsi="Calibri" w:eastAsia="Calibri" w:cs="Calibri"/>
      <w:kern w:val="0"/>
      <w:lang w:eastAsia="en-GB"/>
      <w14:ligatures w14:val="none"/>
    </w:rPr>
  </w:style>
  <w:style w:type="character" w:styleId="Heading1Char" w:customStyle="1">
    <w:name w:val="Heading 1 Char"/>
    <w:basedOn w:val="DefaultParagraphFont"/>
    <w:link w:val="Heading1"/>
    <w:uiPriority w:val="9"/>
    <w:rsid w:val="006A4864"/>
    <w:rPr>
      <w:rFonts w:asciiTheme="majorHAnsi" w:hAnsiTheme="majorHAnsi" w:eastAsiaTheme="majorEastAsia" w:cstheme="majorBidi"/>
      <w:color w:val="2F5496" w:themeColor="accent1" w:themeShade="BF"/>
      <w:kern w:val="0"/>
      <w:sz w:val="32"/>
      <w:szCs w:val="32"/>
      <w:lang w:eastAsia="en-GB"/>
      <w14:ligatures w14:val="none"/>
    </w:rPr>
  </w:style>
  <w:style w:type="paragraph" w:styleId="GPSL2Numbered" w:customStyle="1">
    <w:name w:val="GPS L2 Numbered"/>
    <w:basedOn w:val="Normal"/>
    <w:link w:val="GPSL2NumberedChar"/>
    <w:qFormat/>
    <w:rsid w:val="00C71AE6"/>
    <w:pPr>
      <w:tabs>
        <w:tab w:val="left" w:pos="709"/>
        <w:tab w:val="left" w:pos="1134"/>
      </w:tabs>
      <w:adjustRightInd w:val="0"/>
      <w:spacing w:before="120" w:after="120" w:line="240" w:lineRule="auto"/>
      <w:ind w:hanging="360"/>
      <w:jc w:val="both"/>
    </w:pPr>
    <w:rPr>
      <w:rFonts w:eastAsia="Times New Roman" w:cs="Arial"/>
      <w:lang w:eastAsia="zh-CN"/>
    </w:rPr>
  </w:style>
  <w:style w:type="character" w:styleId="GPSL2NumberedChar" w:customStyle="1">
    <w:name w:val="GPS L2 Numbered Char"/>
    <w:link w:val="GPSL2Numbered"/>
    <w:locked/>
    <w:rsid w:val="00C71AE6"/>
    <w:rPr>
      <w:rFonts w:ascii="Calibri" w:hAnsi="Calibri" w:eastAsia="Times New Roman" w:cs="Arial"/>
      <w:kern w:val="0"/>
      <w:lang w:eastAsia="zh-CN"/>
      <w14:ligatures w14:val="none"/>
    </w:rPr>
  </w:style>
  <w:style w:type="table" w:styleId="TableGrid">
    <w:name w:val="Table Grid"/>
    <w:basedOn w:val="TableNormal"/>
    <w:uiPriority w:val="39"/>
    <w:rsid w:val="00C71AE6"/>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10FE5"/>
    <w:pPr>
      <w:tabs>
        <w:tab w:val="center" w:pos="4680"/>
        <w:tab w:val="right" w:pos="9360"/>
      </w:tabs>
      <w:spacing w:after="0" w:line="240" w:lineRule="auto"/>
    </w:pPr>
    <w:rPr>
      <w:rFonts w:cs="Times New Roman" w:asciiTheme="minorHAnsi" w:hAnsiTheme="minorHAnsi" w:eastAsiaTheme="minorEastAsia"/>
      <w:lang w:val="en-US" w:eastAsia="en-US"/>
    </w:rPr>
  </w:style>
  <w:style w:type="character" w:styleId="HeaderChar" w:customStyle="1">
    <w:name w:val="Header Char"/>
    <w:basedOn w:val="DefaultParagraphFont"/>
    <w:link w:val="Header"/>
    <w:uiPriority w:val="99"/>
    <w:rsid w:val="00610FE5"/>
    <w:rPr>
      <w:rFonts w:cs="Times New Roman"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2024-03-12T14:40:49+00:00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WWVFZ3DUP6VR-488400291-77301</_dlc_DocId>
    <_dlc_DocIdUrl xmlns="2289aba0-e0ce-4c45-9e32-eab2d8212a20">
      <Url>https://beisgov.sharepoint.com/sites/ESC/_layouts/15/DocIdRedir.aspx?ID=WWVFZ3DUP6VR-488400291-77301</Url>
      <Description>WWVFZ3DUP6VR-488400291-77301</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B85FC-17BC-4D3A-AF22-BB12A39568CB}">
  <ds:schemaRefs>
    <ds:schemaRef ds:uri="http://schemas.microsoft.com/office/2006/metadata/properties"/>
    <ds:schemaRef ds:uri="http://schemas.microsoft.com/office/infopath/2007/PartnerControls"/>
    <ds:schemaRef ds:uri="53a3b5c5-fefe-4f93-9d19-697d8b02f2a2"/>
    <ds:schemaRef ds:uri="2289aba0-e0ce-4c45-9e32-eab2d8212a20"/>
    <ds:schemaRef ds:uri="b413c3fd-5a3b-4239-b985-69032e371c04"/>
    <ds:schemaRef ds:uri="aaacb922-5235-4a66-b188-303b9b46fbd7"/>
    <ds:schemaRef ds:uri="0063f72e-ace3-48fb-9c1f-5b513408b31f"/>
    <ds:schemaRef ds:uri="a8f60570-4bd3-4f2b-950b-a996de8ab151"/>
  </ds:schemaRefs>
</ds:datastoreItem>
</file>

<file path=customXml/itemProps2.xml><?xml version="1.0" encoding="utf-8"?>
<ds:datastoreItem xmlns:ds="http://schemas.openxmlformats.org/officeDocument/2006/customXml" ds:itemID="{941B52DA-A639-4F09-82E0-6148AB2B5D8A}">
  <ds:schemaRefs>
    <ds:schemaRef ds:uri="http://schemas.microsoft.com/sharepoint/v3/contenttype/forms"/>
  </ds:schemaRefs>
</ds:datastoreItem>
</file>

<file path=customXml/itemProps3.xml><?xml version="1.0" encoding="utf-8"?>
<ds:datastoreItem xmlns:ds="http://schemas.openxmlformats.org/officeDocument/2006/customXml" ds:itemID="{4B54F62F-8E17-4908-ABA1-4A4C4F12F446}">
  <ds:schemaRefs>
    <ds:schemaRef ds:uri="http://schemas.microsoft.com/sharepoint/events"/>
  </ds:schemaRefs>
</ds:datastoreItem>
</file>

<file path=customXml/itemProps4.xml><?xml version="1.0" encoding="utf-8"?>
<ds:datastoreItem xmlns:ds="http://schemas.openxmlformats.org/officeDocument/2006/customXml" ds:itemID="{2B208DE5-4159-4414-A27B-894938D7ACEA}"/>
</file>

<file path=customXml/itemProps5.xml><?xml version="1.0" encoding="utf-8"?>
<ds:datastoreItem xmlns:ds="http://schemas.openxmlformats.org/officeDocument/2006/customXml" ds:itemID="{E1FC709B-C469-4A13-97D6-B046171AC7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Farr</dc:creator>
  <cp:keywords/>
  <dc:description/>
  <cp:lastModifiedBy>Walkem, Mark (Energy Security)</cp:lastModifiedBy>
  <cp:revision>4</cp:revision>
  <dcterms:created xsi:type="dcterms:W3CDTF">2024-03-12T14:40:00Z</dcterms:created>
  <dcterms:modified xsi:type="dcterms:W3CDTF">2024-12-18T16:49:08Z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Business Unit">
    <vt:lpwstr>1;#BEIS:Corporate Services:Commercial and Operations Directorate|b75c6dd9-ca6e-4b01-bb8f-6b86ad456017</vt:lpwstr>
  </property>
  <property fmtid="{D5CDD505-2E9C-101B-9397-08002B2CF9AE}" pid="4" name="_dlc_DocIdItemGuid">
    <vt:lpwstr>8cd9b643-b30a-416a-bbdc-55b8d6624299</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2024-02-19T18:19:32Z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4d669899-b610-4ded-b6fc-321fea7f8ba3</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