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D1A4F" w14:textId="77777777" w:rsidR="002E656D" w:rsidRPr="00545C31" w:rsidRDefault="002E656D" w:rsidP="002E656D">
      <w:pPr>
        <w:keepNext/>
        <w:keepLines/>
        <w:spacing w:before="240" w:after="120" w:line="259" w:lineRule="auto"/>
        <w:jc w:val="center"/>
        <w:outlineLvl w:val="0"/>
        <w:rPr>
          <w:rFonts w:ascii="Arial" w:hAnsi="Arial" w:cs="Arial"/>
          <w:b/>
          <w:sz w:val="22"/>
          <w:szCs w:val="22"/>
          <w:lang w:eastAsia="en-US"/>
        </w:rPr>
      </w:pPr>
      <w:bookmarkStart w:id="0" w:name="_Toc447527501"/>
      <w:bookmarkStart w:id="1" w:name="_Toc455047662"/>
      <w:r w:rsidRPr="00545C31">
        <w:rPr>
          <w:rFonts w:ascii="Arial" w:hAnsi="Arial" w:cs="Arial"/>
          <w:b/>
          <w:sz w:val="22"/>
          <w:szCs w:val="22"/>
          <w:lang w:eastAsia="en-US"/>
        </w:rPr>
        <w:t>Service Order</w:t>
      </w:r>
      <w:bookmarkEnd w:id="0"/>
      <w:bookmarkEnd w:id="1"/>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14"/>
        <w:gridCol w:w="5116"/>
      </w:tblGrid>
      <w:tr w:rsidR="002E656D" w:rsidRPr="001F238D" w14:paraId="233CEC7C" w14:textId="77777777" w:rsidTr="0064494F">
        <w:trPr>
          <w:trHeight w:val="366"/>
        </w:trPr>
        <w:tc>
          <w:tcPr>
            <w:tcW w:w="9026" w:type="dxa"/>
            <w:gridSpan w:val="3"/>
            <w:shd w:val="clear" w:color="auto" w:fill="D9D9D9"/>
          </w:tcPr>
          <w:p w14:paraId="55972A41" w14:textId="77777777" w:rsidR="002E656D" w:rsidRPr="001F238D" w:rsidRDefault="002E656D" w:rsidP="00A52A0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2E656D" w:rsidRPr="001F238D" w14:paraId="3C9811FF" w14:textId="77777777" w:rsidTr="0064494F">
        <w:trPr>
          <w:trHeight w:hRule="exact" w:val="645"/>
        </w:trPr>
        <w:tc>
          <w:tcPr>
            <w:tcW w:w="1296" w:type="dxa"/>
            <w:tcBorders>
              <w:right w:val="nil"/>
            </w:tcBorders>
            <w:shd w:val="clear" w:color="auto" w:fill="D9D9D9"/>
            <w:vAlign w:val="center"/>
          </w:tcPr>
          <w:p w14:paraId="734927F6" w14:textId="77777777" w:rsidR="002E656D" w:rsidRPr="001F238D" w:rsidRDefault="002E656D" w:rsidP="00A52A02">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730" w:type="dxa"/>
            <w:gridSpan w:val="2"/>
            <w:tcBorders>
              <w:left w:val="nil"/>
            </w:tcBorders>
            <w:shd w:val="clear" w:color="auto" w:fill="D9D9D9"/>
            <w:vAlign w:val="center"/>
          </w:tcPr>
          <w:p w14:paraId="588EFD2E" w14:textId="77777777" w:rsidR="002E656D" w:rsidRPr="001F238D" w:rsidRDefault="002E656D" w:rsidP="00A52A0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0093AE73" w14:textId="77777777" w:rsidR="002E656D" w:rsidRPr="001F238D" w:rsidRDefault="002E656D" w:rsidP="00A52A0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2E656D" w:rsidRPr="0064494F" w14:paraId="54EF05F9" w14:textId="77777777" w:rsidTr="0064494F">
        <w:tc>
          <w:tcPr>
            <w:tcW w:w="3910" w:type="dxa"/>
            <w:gridSpan w:val="2"/>
            <w:shd w:val="clear" w:color="auto" w:fill="D9D9D9"/>
          </w:tcPr>
          <w:p w14:paraId="30F74186"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CD Reference:</w:t>
            </w:r>
          </w:p>
        </w:tc>
        <w:tc>
          <w:tcPr>
            <w:tcW w:w="5116" w:type="dxa"/>
            <w:shd w:val="clear" w:color="auto" w:fill="auto"/>
          </w:tcPr>
          <w:p w14:paraId="1899877A" w14:textId="2934D740" w:rsidR="002E656D" w:rsidRPr="0064494F" w:rsidRDefault="00AA3B5C" w:rsidP="0064494F">
            <w:pPr>
              <w:spacing w:after="160" w:line="259" w:lineRule="auto"/>
              <w:contextualSpacing/>
              <w:rPr>
                <w:rFonts w:ascii="Tahoma" w:eastAsia="Calibri" w:hAnsi="Tahoma" w:cs="Tahoma"/>
                <w:sz w:val="22"/>
                <w:szCs w:val="22"/>
                <w:lang w:eastAsia="en-US"/>
              </w:rPr>
            </w:pPr>
            <w:r w:rsidRPr="00AA3B5C">
              <w:rPr>
                <w:rFonts w:ascii="Tahoma" w:eastAsia="Calibri" w:hAnsi="Tahoma" w:cs="Tahoma"/>
                <w:sz w:val="22"/>
                <w:szCs w:val="22"/>
                <w:lang w:eastAsia="en-US"/>
              </w:rPr>
              <w:t>Understanding the Customs Intermediaries sector SR547336931</w:t>
            </w:r>
          </w:p>
        </w:tc>
      </w:tr>
      <w:tr w:rsidR="002E656D" w:rsidRPr="0064494F" w14:paraId="42044B81" w14:textId="77777777" w:rsidTr="0064494F">
        <w:tc>
          <w:tcPr>
            <w:tcW w:w="3910" w:type="dxa"/>
            <w:gridSpan w:val="2"/>
            <w:shd w:val="clear" w:color="auto" w:fill="D9D9D9"/>
          </w:tcPr>
          <w:p w14:paraId="70C4F333"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Purchase / Limit Order No</w:t>
            </w:r>
          </w:p>
        </w:tc>
        <w:tc>
          <w:tcPr>
            <w:tcW w:w="5116" w:type="dxa"/>
            <w:shd w:val="clear" w:color="auto" w:fill="auto"/>
          </w:tcPr>
          <w:p w14:paraId="4EB2F23F" w14:textId="30E47CD3" w:rsidR="002E656D" w:rsidRPr="0064494F" w:rsidRDefault="00AA3B5C" w:rsidP="00AA3B5C">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TBC</w:t>
            </w:r>
          </w:p>
        </w:tc>
      </w:tr>
      <w:tr w:rsidR="002E656D" w:rsidRPr="0064494F" w14:paraId="327303AD" w14:textId="77777777" w:rsidTr="0064494F">
        <w:trPr>
          <w:trHeight w:hRule="exact" w:val="340"/>
        </w:trPr>
        <w:tc>
          <w:tcPr>
            <w:tcW w:w="9026" w:type="dxa"/>
            <w:gridSpan w:val="3"/>
            <w:tcBorders>
              <w:bottom w:val="nil"/>
            </w:tcBorders>
            <w:shd w:val="clear" w:color="auto" w:fill="D9D9D9"/>
            <w:vAlign w:val="center"/>
          </w:tcPr>
          <w:p w14:paraId="39D16DEE" w14:textId="77777777" w:rsidR="002E656D" w:rsidRPr="0064494F" w:rsidRDefault="002E656D" w:rsidP="00A52A02">
            <w:pPr>
              <w:spacing w:after="160" w:line="259" w:lineRule="auto"/>
              <w:ind w:left="720"/>
              <w:contextualSpacing/>
              <w:jc w:val="center"/>
              <w:rPr>
                <w:rFonts w:ascii="Tahoma" w:eastAsia="Calibri" w:hAnsi="Tahoma" w:cs="Tahoma"/>
                <w:sz w:val="22"/>
                <w:szCs w:val="22"/>
                <w:lang w:eastAsia="en-US"/>
              </w:rPr>
            </w:pPr>
            <w:r w:rsidRPr="0064494F">
              <w:rPr>
                <w:rFonts w:ascii="Tahoma" w:eastAsia="Calibri" w:hAnsi="Tahoma" w:cs="Tahoma"/>
                <w:sz w:val="22"/>
                <w:szCs w:val="22"/>
                <w:lang w:eastAsia="en-US"/>
              </w:rPr>
              <w:t>HMRC Commercial Contact</w:t>
            </w:r>
          </w:p>
        </w:tc>
      </w:tr>
      <w:tr w:rsidR="002E656D" w:rsidRPr="0064494F" w14:paraId="1BD4D0C3" w14:textId="77777777" w:rsidTr="0064494F">
        <w:tc>
          <w:tcPr>
            <w:tcW w:w="3910" w:type="dxa"/>
            <w:gridSpan w:val="2"/>
            <w:tcBorders>
              <w:top w:val="nil"/>
              <w:bottom w:val="nil"/>
            </w:tcBorders>
            <w:shd w:val="clear" w:color="auto" w:fill="D9D9D9"/>
          </w:tcPr>
          <w:p w14:paraId="0160D0E1"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Name:</w:t>
            </w:r>
          </w:p>
        </w:tc>
        <w:tc>
          <w:tcPr>
            <w:tcW w:w="5116" w:type="dxa"/>
            <w:tcBorders>
              <w:top w:val="single" w:sz="4" w:space="0" w:color="auto"/>
            </w:tcBorders>
            <w:shd w:val="clear" w:color="auto" w:fill="auto"/>
          </w:tcPr>
          <w:p w14:paraId="7A39F0B9" w14:textId="5CC8C476" w:rsidR="002E656D" w:rsidRPr="0064494F" w:rsidRDefault="008F5050" w:rsidP="0064494F">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Cat Moore</w:t>
            </w:r>
          </w:p>
        </w:tc>
      </w:tr>
      <w:tr w:rsidR="002E656D" w:rsidRPr="0064494F" w14:paraId="1E83731B" w14:textId="77777777" w:rsidTr="0064494F">
        <w:tc>
          <w:tcPr>
            <w:tcW w:w="3910" w:type="dxa"/>
            <w:gridSpan w:val="2"/>
            <w:tcBorders>
              <w:top w:val="nil"/>
              <w:bottom w:val="nil"/>
            </w:tcBorders>
            <w:shd w:val="clear" w:color="auto" w:fill="D9D9D9"/>
          </w:tcPr>
          <w:p w14:paraId="4E5988E7"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Telephone No.:</w:t>
            </w:r>
          </w:p>
        </w:tc>
        <w:tc>
          <w:tcPr>
            <w:tcW w:w="5116" w:type="dxa"/>
            <w:shd w:val="clear" w:color="auto" w:fill="auto"/>
          </w:tcPr>
          <w:p w14:paraId="5BE5EB5F" w14:textId="4AEC3028" w:rsidR="002E656D" w:rsidRPr="0064494F" w:rsidRDefault="008F5050" w:rsidP="0064494F">
            <w:pPr>
              <w:spacing w:after="160" w:line="259" w:lineRule="auto"/>
              <w:contextualSpacing/>
              <w:rPr>
                <w:rFonts w:ascii="Tahoma" w:eastAsia="Calibri" w:hAnsi="Tahoma" w:cs="Tahoma"/>
                <w:sz w:val="22"/>
                <w:szCs w:val="22"/>
                <w:lang w:eastAsia="en-US"/>
              </w:rPr>
            </w:pPr>
            <w:r w:rsidRPr="008F5050">
              <w:rPr>
                <w:rFonts w:ascii="Tahoma" w:eastAsia="Calibri" w:hAnsi="Tahoma" w:cs="Tahoma"/>
                <w:sz w:val="22"/>
                <w:szCs w:val="22"/>
                <w:lang w:eastAsia="en-US"/>
              </w:rPr>
              <w:t>03000 536234</w:t>
            </w:r>
          </w:p>
        </w:tc>
      </w:tr>
      <w:tr w:rsidR="002E656D" w:rsidRPr="0064494F" w14:paraId="30A97047" w14:textId="77777777" w:rsidTr="0064494F">
        <w:tc>
          <w:tcPr>
            <w:tcW w:w="3910" w:type="dxa"/>
            <w:gridSpan w:val="2"/>
            <w:tcBorders>
              <w:top w:val="nil"/>
              <w:bottom w:val="single" w:sz="4" w:space="0" w:color="auto"/>
            </w:tcBorders>
            <w:shd w:val="clear" w:color="auto" w:fill="D9D9D9"/>
          </w:tcPr>
          <w:p w14:paraId="33E3933F"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tcBorders>
              <w:bottom w:val="single" w:sz="4" w:space="0" w:color="auto"/>
            </w:tcBorders>
            <w:shd w:val="clear" w:color="auto" w:fill="auto"/>
          </w:tcPr>
          <w:p w14:paraId="3C94B9D2" w14:textId="37928321" w:rsidR="002E656D" w:rsidRPr="0064494F" w:rsidRDefault="008F5050" w:rsidP="0064494F">
            <w:pPr>
              <w:spacing w:after="160" w:line="259" w:lineRule="auto"/>
              <w:contextualSpacing/>
              <w:rPr>
                <w:rFonts w:ascii="Tahoma" w:eastAsia="Calibri" w:hAnsi="Tahoma" w:cs="Tahoma"/>
                <w:sz w:val="22"/>
                <w:szCs w:val="22"/>
                <w:lang w:eastAsia="en-US"/>
              </w:rPr>
            </w:pPr>
            <w:r w:rsidRPr="008F5050">
              <w:rPr>
                <w:rFonts w:ascii="Tahoma" w:eastAsia="Calibri" w:hAnsi="Tahoma" w:cs="Tahoma"/>
                <w:sz w:val="22"/>
                <w:szCs w:val="22"/>
                <w:lang w:eastAsia="en-US"/>
              </w:rPr>
              <w:t>Catherine.moore3@hmrc.gov.uk</w:t>
            </w:r>
          </w:p>
        </w:tc>
      </w:tr>
      <w:tr w:rsidR="002E656D" w:rsidRPr="0064494F" w14:paraId="486DDA22" w14:textId="77777777" w:rsidTr="0064494F">
        <w:trPr>
          <w:trHeight w:hRule="exact" w:val="340"/>
        </w:trPr>
        <w:tc>
          <w:tcPr>
            <w:tcW w:w="9026" w:type="dxa"/>
            <w:gridSpan w:val="3"/>
            <w:tcBorders>
              <w:bottom w:val="nil"/>
            </w:tcBorders>
            <w:shd w:val="clear" w:color="auto" w:fill="D9D9D9"/>
            <w:vAlign w:val="center"/>
          </w:tcPr>
          <w:p w14:paraId="6F45161A" w14:textId="77777777" w:rsidR="002E656D" w:rsidRPr="0064494F" w:rsidRDefault="002E656D" w:rsidP="00A52A02">
            <w:pPr>
              <w:spacing w:after="160" w:line="259" w:lineRule="auto"/>
              <w:ind w:left="720"/>
              <w:contextualSpacing/>
              <w:jc w:val="center"/>
              <w:rPr>
                <w:rFonts w:ascii="Tahoma" w:eastAsia="Calibri" w:hAnsi="Tahoma" w:cs="Tahoma"/>
                <w:sz w:val="22"/>
                <w:szCs w:val="22"/>
                <w:lang w:eastAsia="en-US"/>
              </w:rPr>
            </w:pPr>
            <w:r w:rsidRPr="0064494F">
              <w:rPr>
                <w:rFonts w:ascii="Tahoma" w:eastAsia="Calibri" w:hAnsi="Tahoma" w:cs="Tahoma"/>
                <w:sz w:val="22"/>
                <w:szCs w:val="22"/>
                <w:lang w:eastAsia="en-US"/>
              </w:rPr>
              <w:t>HMRC Work Manager</w:t>
            </w:r>
          </w:p>
        </w:tc>
      </w:tr>
      <w:tr w:rsidR="002E656D" w:rsidRPr="0064494F" w14:paraId="61229417" w14:textId="77777777" w:rsidTr="0064494F">
        <w:tc>
          <w:tcPr>
            <w:tcW w:w="3910" w:type="dxa"/>
            <w:gridSpan w:val="2"/>
            <w:tcBorders>
              <w:top w:val="nil"/>
              <w:bottom w:val="nil"/>
            </w:tcBorders>
            <w:shd w:val="clear" w:color="auto" w:fill="D9D9D9"/>
          </w:tcPr>
          <w:p w14:paraId="39561967"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Name:</w:t>
            </w:r>
          </w:p>
        </w:tc>
        <w:tc>
          <w:tcPr>
            <w:tcW w:w="5116" w:type="dxa"/>
            <w:tcBorders>
              <w:top w:val="single" w:sz="4" w:space="0" w:color="auto"/>
            </w:tcBorders>
            <w:shd w:val="clear" w:color="auto" w:fill="auto"/>
          </w:tcPr>
          <w:p w14:paraId="37195019" w14:textId="3ECD4FFA" w:rsidR="002E656D" w:rsidRPr="0064494F" w:rsidRDefault="008F5050" w:rsidP="008F5050">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Megan White</w:t>
            </w:r>
          </w:p>
        </w:tc>
      </w:tr>
      <w:tr w:rsidR="002E656D" w:rsidRPr="0064494F" w14:paraId="0577CFD8" w14:textId="77777777" w:rsidTr="0064494F">
        <w:tc>
          <w:tcPr>
            <w:tcW w:w="3910" w:type="dxa"/>
            <w:gridSpan w:val="2"/>
            <w:tcBorders>
              <w:top w:val="nil"/>
              <w:bottom w:val="nil"/>
            </w:tcBorders>
            <w:shd w:val="clear" w:color="auto" w:fill="D9D9D9"/>
          </w:tcPr>
          <w:p w14:paraId="06981B5D"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Telephone No.:</w:t>
            </w:r>
          </w:p>
        </w:tc>
        <w:tc>
          <w:tcPr>
            <w:tcW w:w="5116" w:type="dxa"/>
            <w:shd w:val="clear" w:color="auto" w:fill="auto"/>
          </w:tcPr>
          <w:p w14:paraId="145E6C92" w14:textId="703F607F" w:rsidR="002E656D" w:rsidRPr="0064494F" w:rsidRDefault="008F5050" w:rsidP="008F5050">
            <w:pPr>
              <w:spacing w:after="160" w:line="259" w:lineRule="auto"/>
              <w:contextualSpacing/>
              <w:rPr>
                <w:rFonts w:ascii="Tahoma" w:eastAsia="Calibri" w:hAnsi="Tahoma" w:cs="Tahoma"/>
                <w:sz w:val="22"/>
                <w:szCs w:val="22"/>
                <w:lang w:eastAsia="en-US"/>
              </w:rPr>
            </w:pPr>
            <w:r w:rsidRPr="008F5050">
              <w:rPr>
                <w:rFonts w:ascii="Tahoma" w:eastAsia="Calibri" w:hAnsi="Tahoma" w:cs="Tahoma"/>
                <w:sz w:val="22"/>
                <w:szCs w:val="22"/>
                <w:lang w:eastAsia="en-US"/>
              </w:rPr>
              <w:t>0300 057 3981</w:t>
            </w:r>
          </w:p>
        </w:tc>
      </w:tr>
      <w:tr w:rsidR="002E656D" w:rsidRPr="0064494F" w14:paraId="7B889C5A" w14:textId="77777777" w:rsidTr="0064494F">
        <w:tc>
          <w:tcPr>
            <w:tcW w:w="3910" w:type="dxa"/>
            <w:gridSpan w:val="2"/>
            <w:tcBorders>
              <w:top w:val="nil"/>
              <w:bottom w:val="nil"/>
            </w:tcBorders>
            <w:shd w:val="clear" w:color="auto" w:fill="D9D9D9"/>
          </w:tcPr>
          <w:p w14:paraId="606D4ACA"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Address:</w:t>
            </w:r>
          </w:p>
        </w:tc>
        <w:tc>
          <w:tcPr>
            <w:tcW w:w="5116" w:type="dxa"/>
            <w:shd w:val="clear" w:color="auto" w:fill="auto"/>
          </w:tcPr>
          <w:p w14:paraId="5BDAFF7F" w14:textId="77F21685" w:rsidR="002E656D" w:rsidRPr="0064494F" w:rsidRDefault="00B172C2" w:rsidP="008F5050">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3</w:t>
            </w:r>
            <w:r w:rsidRPr="00B172C2">
              <w:rPr>
                <w:rFonts w:ascii="Tahoma" w:eastAsia="Calibri" w:hAnsi="Tahoma" w:cs="Tahoma"/>
                <w:sz w:val="22"/>
                <w:szCs w:val="22"/>
                <w:lang w:eastAsia="en-US"/>
              </w:rPr>
              <w:t>/59, 100 Parliament Street, London, SW1A 2BQ</w:t>
            </w:r>
          </w:p>
        </w:tc>
      </w:tr>
      <w:tr w:rsidR="002E656D" w:rsidRPr="0064494F" w14:paraId="3ED0A37D" w14:textId="77777777" w:rsidTr="0064494F">
        <w:tc>
          <w:tcPr>
            <w:tcW w:w="3910" w:type="dxa"/>
            <w:gridSpan w:val="2"/>
            <w:tcBorders>
              <w:top w:val="nil"/>
            </w:tcBorders>
            <w:shd w:val="clear" w:color="auto" w:fill="D9D9D9"/>
          </w:tcPr>
          <w:p w14:paraId="42E31425"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shd w:val="clear" w:color="auto" w:fill="auto"/>
          </w:tcPr>
          <w:p w14:paraId="1C889534" w14:textId="67C15287" w:rsidR="002E656D" w:rsidRPr="0064494F" w:rsidRDefault="008F5050" w:rsidP="008F5050">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Megan.white@hmrc.gov.uk</w:t>
            </w:r>
          </w:p>
        </w:tc>
      </w:tr>
      <w:tr w:rsidR="002E656D" w:rsidRPr="0064494F" w14:paraId="301381BC" w14:textId="77777777" w:rsidTr="0064494F">
        <w:tc>
          <w:tcPr>
            <w:tcW w:w="3910" w:type="dxa"/>
            <w:gridSpan w:val="2"/>
            <w:tcBorders>
              <w:bottom w:val="single" w:sz="4" w:space="0" w:color="auto"/>
            </w:tcBorders>
            <w:shd w:val="clear" w:color="auto" w:fill="D9D9D9"/>
          </w:tcPr>
          <w:p w14:paraId="651CC3B5"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HMRC Authorised Officer:</w:t>
            </w:r>
          </w:p>
          <w:p w14:paraId="1B8CD3AB" w14:textId="77777777" w:rsidR="002E656D" w:rsidRPr="0064494F" w:rsidRDefault="002E656D" w:rsidP="00A52A02">
            <w:pPr>
              <w:spacing w:after="160" w:line="259" w:lineRule="auto"/>
              <w:ind w:left="720"/>
              <w:contextualSpacing/>
              <w:rPr>
                <w:rFonts w:ascii="Tahoma" w:eastAsia="Calibri" w:hAnsi="Tahoma" w:cs="Tahoma"/>
                <w:sz w:val="16"/>
                <w:szCs w:val="16"/>
                <w:lang w:eastAsia="en-US"/>
              </w:rPr>
            </w:pPr>
            <w:r w:rsidRPr="0064494F">
              <w:rPr>
                <w:rFonts w:ascii="Tahoma" w:eastAsia="Calibri" w:hAnsi="Tahoma" w:cs="Tahoma"/>
                <w:sz w:val="16"/>
                <w:szCs w:val="16"/>
                <w:lang w:eastAsia="en-US"/>
              </w:rPr>
              <w:t>(Sponsor/Budget Approver/Invoicing &amp; timesheets)</w:t>
            </w:r>
          </w:p>
        </w:tc>
        <w:tc>
          <w:tcPr>
            <w:tcW w:w="5116" w:type="dxa"/>
            <w:tcBorders>
              <w:bottom w:val="single" w:sz="4" w:space="0" w:color="auto"/>
            </w:tcBorders>
            <w:shd w:val="clear" w:color="auto" w:fill="auto"/>
          </w:tcPr>
          <w:p w14:paraId="04A10398" w14:textId="55332AD0" w:rsidR="003D058B" w:rsidRPr="0064494F" w:rsidRDefault="008F5050" w:rsidP="008F5050">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 xml:space="preserve">Brian </w:t>
            </w:r>
            <w:r w:rsidRPr="008F5050">
              <w:rPr>
                <w:rFonts w:ascii="Tahoma" w:eastAsia="Calibri" w:hAnsi="Tahoma" w:cs="Tahoma"/>
                <w:sz w:val="22"/>
                <w:szCs w:val="22"/>
                <w:lang w:eastAsia="en-US"/>
              </w:rPr>
              <w:t>O'Callaghan</w:t>
            </w:r>
          </w:p>
        </w:tc>
      </w:tr>
      <w:tr w:rsidR="002E656D" w:rsidRPr="0064494F" w14:paraId="3F9968E3" w14:textId="77777777" w:rsidTr="0064494F">
        <w:tc>
          <w:tcPr>
            <w:tcW w:w="3910" w:type="dxa"/>
            <w:gridSpan w:val="2"/>
            <w:tcBorders>
              <w:left w:val="nil"/>
              <w:right w:val="nil"/>
            </w:tcBorders>
            <w:shd w:val="clear" w:color="auto" w:fill="auto"/>
          </w:tcPr>
          <w:p w14:paraId="7764E6E1"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p>
        </w:tc>
        <w:tc>
          <w:tcPr>
            <w:tcW w:w="5116" w:type="dxa"/>
            <w:tcBorders>
              <w:left w:val="nil"/>
              <w:right w:val="nil"/>
            </w:tcBorders>
            <w:shd w:val="clear" w:color="auto" w:fill="auto"/>
          </w:tcPr>
          <w:p w14:paraId="74FA40EB"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p>
        </w:tc>
      </w:tr>
      <w:tr w:rsidR="002E656D" w:rsidRPr="0064494F" w14:paraId="53996BC5" w14:textId="77777777" w:rsidTr="0064494F">
        <w:trPr>
          <w:trHeight w:hRule="exact" w:val="567"/>
        </w:trPr>
        <w:tc>
          <w:tcPr>
            <w:tcW w:w="1296" w:type="dxa"/>
            <w:tcBorders>
              <w:right w:val="nil"/>
            </w:tcBorders>
            <w:shd w:val="clear" w:color="auto" w:fill="D9D9D9"/>
            <w:vAlign w:val="center"/>
          </w:tcPr>
          <w:p w14:paraId="7B59AD7E" w14:textId="77777777" w:rsidR="002E656D" w:rsidRPr="0064494F" w:rsidRDefault="002E656D" w:rsidP="00A52A02">
            <w:pPr>
              <w:spacing w:after="160" w:line="259" w:lineRule="auto"/>
              <w:ind w:left="720"/>
              <w:contextualSpacing/>
              <w:rPr>
                <w:rFonts w:ascii="Tahoma" w:eastAsia="Calibri" w:hAnsi="Tahoma" w:cs="Tahoma"/>
                <w:b/>
                <w:sz w:val="22"/>
                <w:szCs w:val="22"/>
                <w:lang w:eastAsia="en-US"/>
              </w:rPr>
            </w:pPr>
            <w:r w:rsidRPr="0064494F">
              <w:rPr>
                <w:rFonts w:ascii="Tahoma" w:eastAsia="Calibri" w:hAnsi="Tahoma" w:cs="Tahoma"/>
                <w:b/>
                <w:sz w:val="22"/>
                <w:szCs w:val="22"/>
                <w:lang w:eastAsia="en-US"/>
              </w:rPr>
              <w:t>A2.</w:t>
            </w:r>
          </w:p>
        </w:tc>
        <w:tc>
          <w:tcPr>
            <w:tcW w:w="7730" w:type="dxa"/>
            <w:gridSpan w:val="2"/>
            <w:tcBorders>
              <w:left w:val="nil"/>
            </w:tcBorders>
            <w:shd w:val="clear" w:color="auto" w:fill="D9D9D9"/>
            <w:vAlign w:val="center"/>
          </w:tcPr>
          <w:p w14:paraId="3A61C398" w14:textId="77777777" w:rsidR="002E656D" w:rsidRPr="0064494F" w:rsidRDefault="002E656D" w:rsidP="00A52A02">
            <w:pPr>
              <w:spacing w:after="160" w:line="259" w:lineRule="auto"/>
              <w:ind w:left="720"/>
              <w:contextualSpacing/>
              <w:jc w:val="center"/>
              <w:rPr>
                <w:rFonts w:ascii="Tahoma" w:eastAsia="Calibri" w:hAnsi="Tahoma" w:cs="Tahoma"/>
                <w:b/>
                <w:sz w:val="22"/>
                <w:szCs w:val="22"/>
                <w:lang w:eastAsia="en-US"/>
              </w:rPr>
            </w:pPr>
            <w:r w:rsidRPr="0064494F">
              <w:rPr>
                <w:rFonts w:ascii="Tahoma" w:eastAsia="Calibri" w:hAnsi="Tahoma" w:cs="Tahoma"/>
                <w:b/>
                <w:sz w:val="22"/>
                <w:szCs w:val="22"/>
                <w:lang w:eastAsia="en-US"/>
              </w:rPr>
              <w:t>Supplier Information</w:t>
            </w:r>
          </w:p>
        </w:tc>
      </w:tr>
      <w:tr w:rsidR="002E656D" w:rsidRPr="0064494F" w14:paraId="6971EAA3" w14:textId="77777777" w:rsidTr="0064494F">
        <w:tc>
          <w:tcPr>
            <w:tcW w:w="3910" w:type="dxa"/>
            <w:gridSpan w:val="2"/>
            <w:shd w:val="clear" w:color="auto" w:fill="D9D9D9"/>
          </w:tcPr>
          <w:p w14:paraId="3FC83E55"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Supplier:</w:t>
            </w:r>
          </w:p>
        </w:tc>
        <w:tc>
          <w:tcPr>
            <w:tcW w:w="5116" w:type="dxa"/>
            <w:shd w:val="clear" w:color="auto" w:fill="auto"/>
          </w:tcPr>
          <w:p w14:paraId="000C0D96" w14:textId="0FD4120D" w:rsidR="002E656D" w:rsidRPr="0064494F" w:rsidRDefault="008F5050" w:rsidP="008F5050">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Ipsos MORI</w:t>
            </w:r>
          </w:p>
        </w:tc>
      </w:tr>
      <w:tr w:rsidR="002E656D" w:rsidRPr="0064494F" w14:paraId="03E700D9" w14:textId="77777777" w:rsidTr="0064494F">
        <w:tc>
          <w:tcPr>
            <w:tcW w:w="3910" w:type="dxa"/>
            <w:gridSpan w:val="2"/>
            <w:shd w:val="clear" w:color="auto" w:fill="D9D9D9"/>
          </w:tcPr>
          <w:p w14:paraId="5243636E"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w:t>
            </w:r>
          </w:p>
        </w:tc>
        <w:tc>
          <w:tcPr>
            <w:tcW w:w="5116" w:type="dxa"/>
            <w:shd w:val="clear" w:color="auto" w:fill="auto"/>
          </w:tcPr>
          <w:p w14:paraId="7E4A4FDE" w14:textId="1882FB3E" w:rsidR="002E656D" w:rsidRPr="0064494F" w:rsidRDefault="008F5050" w:rsidP="008F5050">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Rebecca Klahr</w:t>
            </w:r>
          </w:p>
        </w:tc>
      </w:tr>
      <w:tr w:rsidR="002E656D" w:rsidRPr="0064494F" w14:paraId="560C6514" w14:textId="77777777" w:rsidTr="0064494F">
        <w:tc>
          <w:tcPr>
            <w:tcW w:w="3910" w:type="dxa"/>
            <w:gridSpan w:val="2"/>
            <w:shd w:val="clear" w:color="auto" w:fill="D9D9D9"/>
          </w:tcPr>
          <w:p w14:paraId="5018286C"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 No:</w:t>
            </w:r>
          </w:p>
        </w:tc>
        <w:tc>
          <w:tcPr>
            <w:tcW w:w="5116" w:type="dxa"/>
            <w:shd w:val="clear" w:color="auto" w:fill="auto"/>
          </w:tcPr>
          <w:p w14:paraId="49D39BCA" w14:textId="3973BAC4" w:rsidR="002E656D" w:rsidRPr="0064494F" w:rsidRDefault="008F5050" w:rsidP="008F5050">
            <w:pPr>
              <w:spacing w:after="160" w:line="259" w:lineRule="auto"/>
              <w:contextualSpacing/>
              <w:rPr>
                <w:rFonts w:ascii="Tahoma" w:eastAsia="Calibri" w:hAnsi="Tahoma" w:cs="Tahoma"/>
                <w:sz w:val="22"/>
                <w:szCs w:val="22"/>
                <w:lang w:eastAsia="en-US"/>
              </w:rPr>
            </w:pPr>
            <w:r w:rsidRPr="008F5050">
              <w:rPr>
                <w:rFonts w:ascii="Tahoma" w:eastAsia="Calibri" w:hAnsi="Tahoma" w:cs="Tahoma"/>
                <w:sz w:val="22"/>
                <w:szCs w:val="22"/>
                <w:lang w:eastAsia="en-US"/>
              </w:rPr>
              <w:t>07818 514046</w:t>
            </w:r>
          </w:p>
        </w:tc>
      </w:tr>
      <w:tr w:rsidR="002E656D" w:rsidRPr="0064494F" w14:paraId="2D24B1FA" w14:textId="77777777" w:rsidTr="0064494F">
        <w:tc>
          <w:tcPr>
            <w:tcW w:w="3910" w:type="dxa"/>
            <w:gridSpan w:val="2"/>
            <w:shd w:val="clear" w:color="auto" w:fill="D9D9D9"/>
          </w:tcPr>
          <w:p w14:paraId="348EA228"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Address:</w:t>
            </w:r>
          </w:p>
        </w:tc>
        <w:tc>
          <w:tcPr>
            <w:tcW w:w="5116" w:type="dxa"/>
            <w:shd w:val="clear" w:color="auto" w:fill="auto"/>
          </w:tcPr>
          <w:p w14:paraId="5EEFB5F7" w14:textId="25BDC061" w:rsidR="004C2B79" w:rsidRPr="0064494F" w:rsidRDefault="008F5050" w:rsidP="008F5050">
            <w:pPr>
              <w:spacing w:after="160" w:line="259" w:lineRule="auto"/>
              <w:contextualSpacing/>
              <w:rPr>
                <w:rFonts w:ascii="Tahoma" w:eastAsia="Calibri" w:hAnsi="Tahoma" w:cs="Tahoma"/>
                <w:sz w:val="22"/>
                <w:szCs w:val="22"/>
                <w:lang w:eastAsia="en-US"/>
              </w:rPr>
            </w:pPr>
            <w:r w:rsidRPr="008F5050">
              <w:rPr>
                <w:rFonts w:ascii="Tahoma" w:eastAsia="Calibri" w:hAnsi="Tahoma" w:cs="Tahoma"/>
                <w:sz w:val="22"/>
                <w:szCs w:val="22"/>
                <w:lang w:eastAsia="en-US"/>
              </w:rPr>
              <w:t>3 Thomas More Square, London, E1W 1YW</w:t>
            </w:r>
          </w:p>
        </w:tc>
      </w:tr>
      <w:tr w:rsidR="002E656D" w:rsidRPr="0064494F" w14:paraId="345188F8" w14:textId="77777777" w:rsidTr="0064494F">
        <w:tc>
          <w:tcPr>
            <w:tcW w:w="3910" w:type="dxa"/>
            <w:gridSpan w:val="2"/>
            <w:shd w:val="clear" w:color="auto" w:fill="D9D9D9"/>
          </w:tcPr>
          <w:p w14:paraId="73CC9736"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shd w:val="clear" w:color="auto" w:fill="auto"/>
          </w:tcPr>
          <w:p w14:paraId="0AD1F931" w14:textId="016DA2B8" w:rsidR="002E656D" w:rsidRPr="0064494F" w:rsidRDefault="008F5050" w:rsidP="008F5050">
            <w:pPr>
              <w:spacing w:after="160" w:line="259" w:lineRule="auto"/>
              <w:contextualSpacing/>
              <w:rPr>
                <w:rFonts w:ascii="Tahoma" w:eastAsia="Calibri" w:hAnsi="Tahoma" w:cs="Tahoma"/>
                <w:sz w:val="22"/>
                <w:szCs w:val="22"/>
                <w:lang w:eastAsia="en-US"/>
              </w:rPr>
            </w:pPr>
            <w:r w:rsidRPr="008F5050">
              <w:rPr>
                <w:rFonts w:ascii="Tahoma" w:eastAsia="Calibri" w:hAnsi="Tahoma" w:cs="Tahoma"/>
                <w:sz w:val="22"/>
                <w:szCs w:val="22"/>
                <w:lang w:eastAsia="en-US"/>
              </w:rPr>
              <w:t>rebecca.klahr@ipsos.com</w:t>
            </w:r>
          </w:p>
        </w:tc>
      </w:tr>
      <w:tr w:rsidR="002E656D" w:rsidRPr="0064494F" w14:paraId="15158C83" w14:textId="77777777" w:rsidTr="0064494F">
        <w:tc>
          <w:tcPr>
            <w:tcW w:w="3910" w:type="dxa"/>
            <w:gridSpan w:val="2"/>
            <w:tcBorders>
              <w:left w:val="nil"/>
              <w:right w:val="nil"/>
            </w:tcBorders>
            <w:shd w:val="clear" w:color="auto" w:fill="auto"/>
          </w:tcPr>
          <w:p w14:paraId="37006677"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p>
        </w:tc>
        <w:tc>
          <w:tcPr>
            <w:tcW w:w="5116" w:type="dxa"/>
            <w:tcBorders>
              <w:left w:val="nil"/>
              <w:right w:val="nil"/>
            </w:tcBorders>
            <w:shd w:val="clear" w:color="auto" w:fill="auto"/>
          </w:tcPr>
          <w:p w14:paraId="2567AAF0"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p>
        </w:tc>
      </w:tr>
      <w:tr w:rsidR="002E656D" w:rsidRPr="0064494F" w14:paraId="7E4C513E" w14:textId="77777777" w:rsidTr="0064494F">
        <w:trPr>
          <w:trHeight w:hRule="exact" w:val="567"/>
        </w:trPr>
        <w:tc>
          <w:tcPr>
            <w:tcW w:w="1296" w:type="dxa"/>
            <w:tcBorders>
              <w:right w:val="nil"/>
            </w:tcBorders>
            <w:shd w:val="clear" w:color="auto" w:fill="D9D9D9"/>
            <w:vAlign w:val="center"/>
          </w:tcPr>
          <w:p w14:paraId="76BC3077" w14:textId="77777777" w:rsidR="002E656D" w:rsidRPr="0064494F" w:rsidRDefault="002E656D" w:rsidP="00A52A02">
            <w:pPr>
              <w:spacing w:after="160" w:line="259" w:lineRule="auto"/>
              <w:ind w:left="720"/>
              <w:contextualSpacing/>
              <w:rPr>
                <w:rFonts w:ascii="Tahoma" w:eastAsia="Calibri" w:hAnsi="Tahoma" w:cs="Tahoma"/>
                <w:b/>
                <w:sz w:val="22"/>
                <w:szCs w:val="22"/>
                <w:lang w:eastAsia="en-US"/>
              </w:rPr>
            </w:pPr>
            <w:r w:rsidRPr="0064494F">
              <w:rPr>
                <w:rFonts w:ascii="Tahoma" w:eastAsia="Calibri" w:hAnsi="Tahoma" w:cs="Tahoma"/>
                <w:b/>
                <w:sz w:val="22"/>
                <w:szCs w:val="22"/>
                <w:lang w:eastAsia="en-US"/>
              </w:rPr>
              <w:t>A3.</w:t>
            </w:r>
          </w:p>
        </w:tc>
        <w:tc>
          <w:tcPr>
            <w:tcW w:w="7730" w:type="dxa"/>
            <w:gridSpan w:val="2"/>
            <w:tcBorders>
              <w:left w:val="nil"/>
            </w:tcBorders>
            <w:shd w:val="clear" w:color="auto" w:fill="D9D9D9"/>
            <w:vAlign w:val="center"/>
          </w:tcPr>
          <w:p w14:paraId="2C9C2BE2" w14:textId="77777777" w:rsidR="002E656D" w:rsidRPr="0064494F" w:rsidRDefault="002E656D" w:rsidP="00A52A02">
            <w:pPr>
              <w:spacing w:after="160" w:line="259" w:lineRule="auto"/>
              <w:ind w:left="720"/>
              <w:contextualSpacing/>
              <w:jc w:val="center"/>
              <w:rPr>
                <w:rFonts w:ascii="Tahoma" w:eastAsia="Calibri" w:hAnsi="Tahoma" w:cs="Tahoma"/>
                <w:b/>
                <w:sz w:val="22"/>
                <w:szCs w:val="22"/>
                <w:lang w:eastAsia="en-US"/>
              </w:rPr>
            </w:pPr>
            <w:r w:rsidRPr="0064494F">
              <w:rPr>
                <w:rFonts w:ascii="Tahoma" w:eastAsia="Calibri" w:hAnsi="Tahoma" w:cs="Tahoma"/>
                <w:b/>
                <w:sz w:val="22"/>
                <w:szCs w:val="22"/>
                <w:lang w:eastAsia="en-US"/>
              </w:rPr>
              <w:t>Contractual Detail</w:t>
            </w:r>
          </w:p>
        </w:tc>
      </w:tr>
      <w:tr w:rsidR="002E656D" w:rsidRPr="0064494F" w14:paraId="470F2430" w14:textId="77777777" w:rsidTr="0064494F">
        <w:trPr>
          <w:trHeight w:val="1742"/>
        </w:trPr>
        <w:tc>
          <w:tcPr>
            <w:tcW w:w="3910" w:type="dxa"/>
            <w:gridSpan w:val="2"/>
            <w:tcBorders>
              <w:bottom w:val="single" w:sz="4" w:space="0" w:color="auto"/>
            </w:tcBorders>
            <w:shd w:val="clear" w:color="auto" w:fill="auto"/>
          </w:tcPr>
          <w:p w14:paraId="50D5B70D" w14:textId="77777777" w:rsidR="002E656D" w:rsidRPr="0064494F" w:rsidRDefault="002E656D" w:rsidP="00A52A02">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Special Terms and Conditions:</w:t>
            </w:r>
          </w:p>
          <w:p w14:paraId="31DC4D8F" w14:textId="77777777" w:rsidR="002E656D" w:rsidRPr="0064494F" w:rsidRDefault="002E656D" w:rsidP="00A52A02">
            <w:pPr>
              <w:spacing w:after="160" w:line="259" w:lineRule="auto"/>
              <w:ind w:left="720"/>
              <w:contextualSpacing/>
              <w:rPr>
                <w:rFonts w:ascii="Tahoma" w:eastAsia="Calibri" w:hAnsi="Tahoma" w:cs="Tahoma"/>
                <w:sz w:val="16"/>
                <w:szCs w:val="16"/>
                <w:lang w:eastAsia="en-US"/>
              </w:rPr>
            </w:pPr>
            <w:r w:rsidRPr="0064494F">
              <w:rPr>
                <w:rFonts w:ascii="Tahoma" w:eastAsia="Calibri" w:hAnsi="Tahoma" w:cs="Tahoma"/>
                <w:sz w:val="16"/>
                <w:szCs w:val="16"/>
                <w:lang w:eastAsia="en-US"/>
              </w:rPr>
              <w:t>e.g. overtime, expenses, travel &amp; subsistence, notice period.</w:t>
            </w:r>
          </w:p>
        </w:tc>
        <w:tc>
          <w:tcPr>
            <w:tcW w:w="5116" w:type="dxa"/>
            <w:tcBorders>
              <w:bottom w:val="single" w:sz="4" w:space="0" w:color="auto"/>
            </w:tcBorders>
            <w:shd w:val="clear" w:color="auto" w:fill="auto"/>
          </w:tcPr>
          <w:p w14:paraId="1122B442" w14:textId="77777777" w:rsidR="00AA3B5C" w:rsidRDefault="0064494F" w:rsidP="0064494F">
            <w:pPr>
              <w:spacing w:after="160" w:line="259" w:lineRule="auto"/>
              <w:contextualSpacing/>
              <w:rPr>
                <w:rFonts w:ascii="Tahoma" w:eastAsia="Calibri" w:hAnsi="Tahoma" w:cs="Tahoma"/>
                <w:sz w:val="22"/>
                <w:szCs w:val="22"/>
                <w:lang w:eastAsia="en-US"/>
              </w:rPr>
            </w:pPr>
            <w:r w:rsidRPr="0064494F">
              <w:rPr>
                <w:rFonts w:ascii="Tahoma" w:eastAsia="Calibri" w:hAnsi="Tahoma" w:cs="Tahoma"/>
                <w:sz w:val="22"/>
                <w:szCs w:val="22"/>
                <w:lang w:eastAsia="en-US"/>
              </w:rPr>
              <w:t>This agreement will be governed by HMRC’s Mandatory Clauses as set out within</w:t>
            </w:r>
            <w:r w:rsidR="00AA3B5C">
              <w:rPr>
                <w:rFonts w:ascii="Tahoma" w:eastAsia="Calibri" w:hAnsi="Tahoma" w:cs="Tahoma"/>
                <w:sz w:val="22"/>
                <w:szCs w:val="22"/>
                <w:lang w:eastAsia="en-US"/>
              </w:rPr>
              <w:t xml:space="preserve"> the following appendices:</w:t>
            </w:r>
          </w:p>
          <w:p w14:paraId="044F1C78" w14:textId="77777777" w:rsidR="00AA3B5C" w:rsidRDefault="00AA3B5C" w:rsidP="0064494F">
            <w:pPr>
              <w:spacing w:after="160" w:line="259" w:lineRule="auto"/>
              <w:contextualSpacing/>
              <w:rPr>
                <w:rFonts w:ascii="Tahoma" w:eastAsia="Calibri" w:hAnsi="Tahoma" w:cs="Tahoma"/>
                <w:sz w:val="22"/>
                <w:szCs w:val="22"/>
                <w:lang w:eastAsia="en-US"/>
              </w:rPr>
            </w:pPr>
          </w:p>
          <w:p w14:paraId="2FDB8004" w14:textId="6AF14E69" w:rsidR="0064494F" w:rsidRDefault="0064494F" w:rsidP="0064494F">
            <w:pPr>
              <w:spacing w:after="160" w:line="259" w:lineRule="auto"/>
              <w:contextualSpacing/>
              <w:rPr>
                <w:rFonts w:ascii="Tahoma" w:eastAsia="Calibri" w:hAnsi="Tahoma" w:cs="Tahoma"/>
                <w:sz w:val="22"/>
                <w:szCs w:val="22"/>
                <w:lang w:eastAsia="en-US"/>
              </w:rPr>
            </w:pPr>
            <w:r w:rsidRPr="0064494F">
              <w:rPr>
                <w:rFonts w:ascii="Tahoma" w:eastAsia="Calibri" w:hAnsi="Tahoma" w:cs="Tahoma"/>
                <w:sz w:val="22"/>
                <w:szCs w:val="22"/>
                <w:lang w:eastAsia="en-US"/>
              </w:rPr>
              <w:t>Appendix 1: Authority’s Mandatory Terms.</w:t>
            </w:r>
          </w:p>
          <w:p w14:paraId="6B9826A3" w14:textId="6C81A3F1" w:rsidR="00AA3B5C" w:rsidRPr="0064494F" w:rsidRDefault="00AA3B5C" w:rsidP="0064494F">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 xml:space="preserve">Appendix </w:t>
            </w:r>
            <w:r w:rsidR="00CA2C7E">
              <w:rPr>
                <w:rFonts w:ascii="Tahoma" w:eastAsia="Calibri" w:hAnsi="Tahoma" w:cs="Tahoma"/>
                <w:sz w:val="22"/>
                <w:szCs w:val="22"/>
                <w:lang w:eastAsia="en-US"/>
              </w:rPr>
              <w:t>2</w:t>
            </w:r>
            <w:r>
              <w:rPr>
                <w:rFonts w:ascii="Tahoma" w:eastAsia="Calibri" w:hAnsi="Tahoma" w:cs="Tahoma"/>
                <w:sz w:val="22"/>
                <w:szCs w:val="22"/>
                <w:lang w:eastAsia="en-US"/>
              </w:rPr>
              <w:t>: Security Plan.</w:t>
            </w:r>
          </w:p>
        </w:tc>
      </w:tr>
    </w:tbl>
    <w:p w14:paraId="2AEC31B6" w14:textId="77777777" w:rsidR="002E656D" w:rsidRPr="0064494F" w:rsidRDefault="002E656D" w:rsidP="002E656D">
      <w:pPr>
        <w:spacing w:after="160" w:line="259" w:lineRule="auto"/>
        <w:rPr>
          <w:rFonts w:ascii="Tahoma" w:eastAsia="Calibri" w:hAnsi="Tahoma" w:cs="Tahoma"/>
          <w:sz w:val="22"/>
          <w:szCs w:val="22"/>
          <w:lang w:eastAsia="en-US"/>
        </w:rPr>
      </w:pPr>
      <w:r w:rsidRPr="0064494F">
        <w:rPr>
          <w:rFonts w:ascii="Tahoma" w:eastAsia="Calibri" w:hAnsi="Tahoma" w:cs="Tahoma"/>
          <w:b/>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281"/>
        <w:gridCol w:w="3401"/>
        <w:gridCol w:w="2038"/>
      </w:tblGrid>
      <w:tr w:rsidR="002E656D" w:rsidRPr="001F238D" w14:paraId="6C1361DD" w14:textId="77777777" w:rsidTr="002E656D">
        <w:trPr>
          <w:trHeight w:hRule="exact" w:val="567"/>
        </w:trPr>
        <w:tc>
          <w:tcPr>
            <w:tcW w:w="1296" w:type="dxa"/>
            <w:tcBorders>
              <w:right w:val="nil"/>
            </w:tcBorders>
            <w:shd w:val="clear" w:color="auto" w:fill="D9D9D9"/>
            <w:vAlign w:val="center"/>
          </w:tcPr>
          <w:p w14:paraId="423BD8A7" w14:textId="77777777" w:rsidR="002E656D" w:rsidRPr="001F238D" w:rsidRDefault="002E656D" w:rsidP="00A52A02">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7720" w:type="dxa"/>
            <w:gridSpan w:val="3"/>
            <w:tcBorders>
              <w:left w:val="nil"/>
            </w:tcBorders>
            <w:shd w:val="clear" w:color="auto" w:fill="D9D9D9"/>
            <w:vAlign w:val="center"/>
          </w:tcPr>
          <w:p w14:paraId="0CF347BA" w14:textId="77777777" w:rsidR="002E656D" w:rsidRPr="001F238D" w:rsidRDefault="002E656D" w:rsidP="00A52A0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2E656D" w:rsidRPr="001F238D" w14:paraId="50224C0C" w14:textId="77777777" w:rsidTr="007766DF">
        <w:tc>
          <w:tcPr>
            <w:tcW w:w="3577" w:type="dxa"/>
            <w:gridSpan w:val="2"/>
            <w:tcBorders>
              <w:bottom w:val="nil"/>
            </w:tcBorders>
            <w:shd w:val="clear" w:color="auto" w:fill="D9D9D9"/>
          </w:tcPr>
          <w:p w14:paraId="3E9E5D70" w14:textId="77777777" w:rsidR="002E656D" w:rsidRPr="001F238D" w:rsidRDefault="002E656D" w:rsidP="00A52A02">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5439" w:type="dxa"/>
            <w:gridSpan w:val="2"/>
            <w:shd w:val="clear" w:color="auto" w:fill="auto"/>
          </w:tcPr>
          <w:p w14:paraId="5C7358CB" w14:textId="1BDDBCC7" w:rsidR="002E656D" w:rsidRPr="00B172C2" w:rsidRDefault="00B172C2" w:rsidP="00B172C2">
            <w:pPr>
              <w:rPr>
                <w:rFonts w:ascii="Arial" w:hAnsi="Arial" w:cs="Arial"/>
                <w:sz w:val="22"/>
                <w:szCs w:val="22"/>
              </w:rPr>
            </w:pPr>
            <w:r>
              <w:rPr>
                <w:rFonts w:ascii="Arial" w:hAnsi="Arial" w:cs="Arial"/>
                <w:sz w:val="22"/>
                <w:szCs w:val="22"/>
              </w:rPr>
              <w:t>Sizing and quantitative research of the Customs Intermediaries Sector</w:t>
            </w:r>
          </w:p>
        </w:tc>
      </w:tr>
      <w:tr w:rsidR="00B172C2" w:rsidRPr="001F238D" w14:paraId="60124E60" w14:textId="77777777" w:rsidTr="007766DF">
        <w:tc>
          <w:tcPr>
            <w:tcW w:w="3577" w:type="dxa"/>
            <w:gridSpan w:val="2"/>
            <w:tcBorders>
              <w:top w:val="nil"/>
              <w:bottom w:val="nil"/>
            </w:tcBorders>
            <w:shd w:val="clear" w:color="auto" w:fill="D9D9D9"/>
          </w:tcPr>
          <w:p w14:paraId="4ECC3C34" w14:textId="77777777" w:rsidR="00B172C2" w:rsidRPr="001F238D" w:rsidRDefault="00B172C2" w:rsidP="00B172C2">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0C2E7A8C" w14:textId="77777777" w:rsidR="00B172C2" w:rsidRPr="001F238D" w:rsidRDefault="00B172C2" w:rsidP="00B172C2">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(including full address)</w:t>
            </w:r>
          </w:p>
        </w:tc>
        <w:tc>
          <w:tcPr>
            <w:tcW w:w="5439" w:type="dxa"/>
            <w:gridSpan w:val="2"/>
            <w:shd w:val="clear" w:color="auto" w:fill="auto"/>
          </w:tcPr>
          <w:p w14:paraId="6E2016A9" w14:textId="2F1F11BF" w:rsidR="00B172C2" w:rsidRPr="001F238D" w:rsidRDefault="00B172C2" w:rsidP="00B172C2">
            <w:pPr>
              <w:spacing w:after="160" w:line="259" w:lineRule="auto"/>
              <w:contextualSpacing/>
              <w:rPr>
                <w:rFonts w:ascii="Tahoma" w:eastAsia="Calibri" w:hAnsi="Tahoma"/>
                <w:sz w:val="22"/>
                <w:szCs w:val="22"/>
                <w:lang w:eastAsia="en-US"/>
              </w:rPr>
            </w:pPr>
            <w:r>
              <w:rPr>
                <w:rFonts w:ascii="Tahoma" w:eastAsia="Calibri" w:hAnsi="Tahoma" w:cs="Tahoma"/>
                <w:sz w:val="22"/>
                <w:szCs w:val="22"/>
                <w:lang w:eastAsia="en-US"/>
              </w:rPr>
              <w:t>3</w:t>
            </w:r>
            <w:r w:rsidRPr="00B172C2">
              <w:rPr>
                <w:rFonts w:ascii="Tahoma" w:eastAsia="Calibri" w:hAnsi="Tahoma" w:cs="Tahoma"/>
                <w:sz w:val="22"/>
                <w:szCs w:val="22"/>
                <w:lang w:eastAsia="en-US"/>
              </w:rPr>
              <w:t>/59, 100 Parliament Street, London, SW1A 2BQ</w:t>
            </w:r>
          </w:p>
        </w:tc>
      </w:tr>
      <w:tr w:rsidR="00B172C2" w:rsidRPr="001F238D" w14:paraId="6591E2DE" w14:textId="77777777" w:rsidTr="007766DF">
        <w:tc>
          <w:tcPr>
            <w:tcW w:w="3577" w:type="dxa"/>
            <w:gridSpan w:val="2"/>
            <w:tcBorders>
              <w:top w:val="nil"/>
              <w:bottom w:val="nil"/>
            </w:tcBorders>
            <w:shd w:val="clear" w:color="auto" w:fill="D9D9D9"/>
          </w:tcPr>
          <w:p w14:paraId="395591D1" w14:textId="77777777" w:rsidR="00B172C2" w:rsidRPr="001F238D" w:rsidRDefault="00B172C2" w:rsidP="00B172C2">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Pr="001F238D">
              <w:rPr>
                <w:rFonts w:ascii="Tahoma" w:eastAsia="Calibri" w:hAnsi="Tahoma"/>
                <w:sz w:val="22"/>
                <w:szCs w:val="22"/>
                <w:lang w:eastAsia="en-US"/>
              </w:rPr>
              <w:t>Start Date:</w:t>
            </w:r>
          </w:p>
        </w:tc>
        <w:tc>
          <w:tcPr>
            <w:tcW w:w="5439" w:type="dxa"/>
            <w:gridSpan w:val="2"/>
            <w:shd w:val="clear" w:color="auto" w:fill="auto"/>
          </w:tcPr>
          <w:p w14:paraId="22C7C9B5" w14:textId="7C2CCE29" w:rsidR="00B172C2" w:rsidRPr="001F238D" w:rsidRDefault="00AA3B5C" w:rsidP="00B172C2">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20</w:t>
            </w:r>
            <w:r w:rsidR="00B172C2">
              <w:rPr>
                <w:rFonts w:ascii="Tahoma" w:eastAsia="Calibri" w:hAnsi="Tahoma"/>
                <w:sz w:val="22"/>
                <w:szCs w:val="22"/>
                <w:lang w:eastAsia="en-US"/>
              </w:rPr>
              <w:t>/01/2021</w:t>
            </w:r>
          </w:p>
        </w:tc>
      </w:tr>
      <w:tr w:rsidR="00B172C2" w:rsidRPr="001F238D" w14:paraId="13EA098C" w14:textId="77777777" w:rsidTr="007766DF">
        <w:tc>
          <w:tcPr>
            <w:tcW w:w="3577" w:type="dxa"/>
            <w:gridSpan w:val="2"/>
            <w:tcBorders>
              <w:top w:val="nil"/>
              <w:bottom w:val="single" w:sz="4" w:space="0" w:color="auto"/>
            </w:tcBorders>
            <w:shd w:val="clear" w:color="auto" w:fill="D9D9D9"/>
          </w:tcPr>
          <w:p w14:paraId="28B94EBE" w14:textId="77777777" w:rsidR="00B172C2" w:rsidRPr="001F238D" w:rsidRDefault="00B172C2" w:rsidP="00B172C2">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5439" w:type="dxa"/>
            <w:gridSpan w:val="2"/>
            <w:tcBorders>
              <w:bottom w:val="single" w:sz="4" w:space="0" w:color="auto"/>
            </w:tcBorders>
            <w:shd w:val="clear" w:color="auto" w:fill="auto"/>
          </w:tcPr>
          <w:p w14:paraId="680E9EAC" w14:textId="26B8F11F" w:rsidR="00B172C2" w:rsidRPr="001F238D" w:rsidRDefault="00AA3B5C" w:rsidP="00B172C2">
            <w:pPr>
              <w:spacing w:after="160" w:line="259" w:lineRule="auto"/>
              <w:contextualSpacing/>
              <w:jc w:val="both"/>
              <w:rPr>
                <w:rFonts w:ascii="Tahoma" w:eastAsia="Calibri" w:hAnsi="Tahoma"/>
                <w:sz w:val="22"/>
                <w:szCs w:val="22"/>
                <w:lang w:eastAsia="en-US"/>
              </w:rPr>
            </w:pPr>
            <w:r>
              <w:rPr>
                <w:rFonts w:ascii="Tahoma" w:eastAsia="Calibri" w:hAnsi="Tahoma"/>
                <w:sz w:val="22"/>
                <w:szCs w:val="22"/>
                <w:lang w:eastAsia="en-US"/>
              </w:rPr>
              <w:t>20</w:t>
            </w:r>
            <w:r w:rsidR="00B172C2">
              <w:rPr>
                <w:rFonts w:ascii="Tahoma" w:eastAsia="Calibri" w:hAnsi="Tahoma"/>
                <w:sz w:val="22"/>
                <w:szCs w:val="22"/>
                <w:lang w:eastAsia="en-US"/>
              </w:rPr>
              <w:t>/0</w:t>
            </w:r>
            <w:r w:rsidR="00552639">
              <w:rPr>
                <w:rFonts w:ascii="Tahoma" w:eastAsia="Calibri" w:hAnsi="Tahoma"/>
                <w:sz w:val="22"/>
                <w:szCs w:val="22"/>
                <w:lang w:eastAsia="en-US"/>
              </w:rPr>
              <w:t>1</w:t>
            </w:r>
            <w:r w:rsidR="00B172C2">
              <w:rPr>
                <w:rFonts w:ascii="Tahoma" w:eastAsia="Calibri" w:hAnsi="Tahoma"/>
                <w:sz w:val="22"/>
                <w:szCs w:val="22"/>
                <w:lang w:eastAsia="en-US"/>
              </w:rPr>
              <w:t>/202</w:t>
            </w:r>
            <w:r w:rsidR="00552639">
              <w:rPr>
                <w:rFonts w:ascii="Tahoma" w:eastAsia="Calibri" w:hAnsi="Tahoma"/>
                <w:sz w:val="22"/>
                <w:szCs w:val="22"/>
                <w:lang w:eastAsia="en-US"/>
              </w:rPr>
              <w:t>2</w:t>
            </w:r>
          </w:p>
        </w:tc>
      </w:tr>
      <w:tr w:rsidR="00B172C2" w:rsidRPr="001F238D" w14:paraId="36EAABF1" w14:textId="77777777" w:rsidTr="007766DF">
        <w:tc>
          <w:tcPr>
            <w:tcW w:w="3577" w:type="dxa"/>
            <w:gridSpan w:val="2"/>
            <w:tcBorders>
              <w:left w:val="nil"/>
              <w:right w:val="nil"/>
            </w:tcBorders>
            <w:shd w:val="clear" w:color="auto" w:fill="auto"/>
          </w:tcPr>
          <w:p w14:paraId="147D0A44" w14:textId="77777777" w:rsidR="00B172C2" w:rsidRPr="001F238D" w:rsidRDefault="00B172C2" w:rsidP="00B172C2">
            <w:pPr>
              <w:spacing w:after="160" w:line="259" w:lineRule="auto"/>
              <w:ind w:left="720"/>
              <w:contextualSpacing/>
              <w:rPr>
                <w:rFonts w:ascii="Tahoma" w:eastAsia="Calibri" w:hAnsi="Tahoma"/>
                <w:sz w:val="22"/>
                <w:szCs w:val="22"/>
                <w:lang w:eastAsia="en-US"/>
              </w:rPr>
            </w:pPr>
          </w:p>
        </w:tc>
        <w:tc>
          <w:tcPr>
            <w:tcW w:w="5439" w:type="dxa"/>
            <w:gridSpan w:val="2"/>
            <w:tcBorders>
              <w:left w:val="nil"/>
              <w:right w:val="nil"/>
            </w:tcBorders>
            <w:shd w:val="clear" w:color="auto" w:fill="auto"/>
          </w:tcPr>
          <w:p w14:paraId="1BFF9458" w14:textId="77777777" w:rsidR="00B172C2" w:rsidRPr="001F238D" w:rsidRDefault="00B172C2" w:rsidP="00B172C2">
            <w:pPr>
              <w:spacing w:after="160" w:line="259" w:lineRule="auto"/>
              <w:ind w:left="720"/>
              <w:contextualSpacing/>
              <w:rPr>
                <w:rFonts w:ascii="Tahoma" w:eastAsia="Calibri" w:hAnsi="Tahoma"/>
                <w:sz w:val="22"/>
                <w:szCs w:val="22"/>
                <w:lang w:eastAsia="en-US"/>
              </w:rPr>
            </w:pPr>
          </w:p>
        </w:tc>
      </w:tr>
      <w:tr w:rsidR="00B172C2" w:rsidRPr="001F238D" w14:paraId="5C6C5CFE" w14:textId="77777777" w:rsidTr="002E656D">
        <w:trPr>
          <w:trHeight w:hRule="exact" w:val="567"/>
        </w:trPr>
        <w:tc>
          <w:tcPr>
            <w:tcW w:w="1296" w:type="dxa"/>
            <w:tcBorders>
              <w:right w:val="nil"/>
            </w:tcBorders>
            <w:shd w:val="clear" w:color="auto" w:fill="D9D9D9"/>
            <w:vAlign w:val="center"/>
          </w:tcPr>
          <w:p w14:paraId="63D30A53" w14:textId="77777777" w:rsidR="00B172C2" w:rsidRPr="001F238D" w:rsidRDefault="00B172C2" w:rsidP="00B172C2">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7720" w:type="dxa"/>
            <w:gridSpan w:val="3"/>
            <w:tcBorders>
              <w:left w:val="nil"/>
            </w:tcBorders>
            <w:shd w:val="clear" w:color="auto" w:fill="D9D9D9"/>
            <w:vAlign w:val="center"/>
          </w:tcPr>
          <w:p w14:paraId="324000D3" w14:textId="77777777" w:rsidR="00B172C2" w:rsidRPr="001F238D" w:rsidRDefault="00B172C2" w:rsidP="00B172C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B172C2" w:rsidRPr="001F238D" w14:paraId="5FE10BA5" w14:textId="77777777" w:rsidTr="007766DF">
        <w:tc>
          <w:tcPr>
            <w:tcW w:w="6978" w:type="dxa"/>
            <w:gridSpan w:val="3"/>
            <w:shd w:val="clear" w:color="auto" w:fill="auto"/>
          </w:tcPr>
          <w:p w14:paraId="44385AE8" w14:textId="664D9B61" w:rsidR="00B172C2" w:rsidRPr="009E5290" w:rsidRDefault="009E5290" w:rsidP="009E5290">
            <w:pPr>
              <w:jc w:val="both"/>
              <w:rPr>
                <w:rFonts w:ascii="Tahoma" w:eastAsia="Calibri" w:hAnsi="Tahoma" w:cs="Tahoma"/>
                <w:sz w:val="22"/>
                <w:szCs w:val="22"/>
                <w:lang w:eastAsia="en-US"/>
              </w:rPr>
            </w:pPr>
            <w:r w:rsidRPr="009E5290">
              <w:rPr>
                <w:rFonts w:ascii="Tahoma" w:hAnsi="Tahoma" w:cs="Tahoma"/>
                <w:sz w:val="22"/>
                <w:szCs w:val="22"/>
              </w:rPr>
              <w:t>Milestone 1: Analysis and reporting of wave 2</w:t>
            </w:r>
          </w:p>
        </w:tc>
        <w:tc>
          <w:tcPr>
            <w:tcW w:w="2038" w:type="dxa"/>
            <w:shd w:val="clear" w:color="auto" w:fill="auto"/>
            <w:vAlign w:val="center"/>
          </w:tcPr>
          <w:p w14:paraId="41045FEE" w14:textId="60AB1575" w:rsidR="00B172C2" w:rsidRPr="007B5623" w:rsidRDefault="002A789A" w:rsidP="009E5290">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Redacted in Line with FOI Act Section 43(2)</w:t>
            </w:r>
          </w:p>
        </w:tc>
      </w:tr>
      <w:tr w:rsidR="00B172C2" w:rsidRPr="001F238D" w14:paraId="6307B3DD" w14:textId="77777777" w:rsidTr="007766DF">
        <w:tc>
          <w:tcPr>
            <w:tcW w:w="6978" w:type="dxa"/>
            <w:gridSpan w:val="3"/>
            <w:shd w:val="clear" w:color="auto" w:fill="auto"/>
          </w:tcPr>
          <w:p w14:paraId="57889F24" w14:textId="648492A8" w:rsidR="00B172C2" w:rsidRPr="009E5290" w:rsidRDefault="009E5290" w:rsidP="009E5290">
            <w:pPr>
              <w:spacing w:after="160" w:line="259" w:lineRule="auto"/>
              <w:contextualSpacing/>
              <w:rPr>
                <w:rFonts w:ascii="Tahoma" w:eastAsia="Calibri" w:hAnsi="Tahoma" w:cs="Tahoma"/>
                <w:sz w:val="22"/>
                <w:szCs w:val="22"/>
                <w:lang w:eastAsia="en-US"/>
              </w:rPr>
            </w:pPr>
            <w:r w:rsidRPr="009E5290">
              <w:rPr>
                <w:rFonts w:ascii="Tahoma" w:eastAsia="Calibri" w:hAnsi="Tahoma" w:cs="Tahoma"/>
                <w:sz w:val="22"/>
                <w:szCs w:val="22"/>
                <w:lang w:eastAsia="en-US"/>
              </w:rPr>
              <w:t>Milestone 2: Development, fieldwork, analysis and reporting for wave 3</w:t>
            </w:r>
          </w:p>
        </w:tc>
        <w:tc>
          <w:tcPr>
            <w:tcW w:w="2038" w:type="dxa"/>
            <w:shd w:val="clear" w:color="auto" w:fill="auto"/>
            <w:vAlign w:val="center"/>
          </w:tcPr>
          <w:p w14:paraId="2F4E1EFE" w14:textId="32D2E4F5" w:rsidR="00B172C2" w:rsidRPr="007B5623" w:rsidRDefault="002A789A" w:rsidP="009E5290">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Redacted in Line with FOI Act Section 43(2)</w:t>
            </w:r>
          </w:p>
        </w:tc>
      </w:tr>
      <w:tr w:rsidR="00B172C2" w:rsidRPr="001F238D" w14:paraId="2F407E5B" w14:textId="77777777" w:rsidTr="007766DF">
        <w:tc>
          <w:tcPr>
            <w:tcW w:w="6978" w:type="dxa"/>
            <w:gridSpan w:val="3"/>
            <w:shd w:val="clear" w:color="auto" w:fill="auto"/>
          </w:tcPr>
          <w:p w14:paraId="2C67ED56" w14:textId="0413EFD4" w:rsidR="00B172C2" w:rsidRPr="007B5623" w:rsidRDefault="009E5290" w:rsidP="009E5290">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Milestone 3: Reporting of all three waves</w:t>
            </w:r>
          </w:p>
        </w:tc>
        <w:tc>
          <w:tcPr>
            <w:tcW w:w="2038" w:type="dxa"/>
            <w:shd w:val="clear" w:color="auto" w:fill="auto"/>
            <w:vAlign w:val="center"/>
          </w:tcPr>
          <w:p w14:paraId="2A08D0D7" w14:textId="0910B6D7" w:rsidR="00B172C2" w:rsidRPr="007B5623" w:rsidRDefault="002A789A" w:rsidP="009E5290">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Redacted in Line with FOI Act Section 43(2)</w:t>
            </w:r>
          </w:p>
        </w:tc>
      </w:tr>
      <w:tr w:rsidR="00B172C2" w:rsidRPr="001F238D" w14:paraId="4C8D6BDD" w14:textId="77777777" w:rsidTr="00A52A02">
        <w:trPr>
          <w:trHeight w:val="815"/>
        </w:trPr>
        <w:tc>
          <w:tcPr>
            <w:tcW w:w="9016" w:type="dxa"/>
            <w:gridSpan w:val="4"/>
            <w:shd w:val="clear" w:color="auto" w:fill="auto"/>
          </w:tcPr>
          <w:p w14:paraId="398C0AF7" w14:textId="2C599DE7" w:rsidR="00B172C2" w:rsidRPr="00134D3F" w:rsidRDefault="00B172C2" w:rsidP="00B172C2">
            <w:pPr>
              <w:spacing w:after="160" w:line="259" w:lineRule="auto"/>
              <w:contextualSpacing/>
              <w:rPr>
                <w:rFonts w:ascii="Tahoma" w:eastAsia="Calibri" w:hAnsi="Tahoma" w:cs="Arial"/>
                <w:sz w:val="22"/>
                <w:szCs w:val="22"/>
                <w:lang w:eastAsia="en-US"/>
              </w:rPr>
            </w:pPr>
          </w:p>
        </w:tc>
      </w:tr>
      <w:tr w:rsidR="00B172C2" w:rsidRPr="001F238D" w14:paraId="2A2FF0D9" w14:textId="77777777" w:rsidTr="007766DF">
        <w:tc>
          <w:tcPr>
            <w:tcW w:w="6978" w:type="dxa"/>
            <w:gridSpan w:val="3"/>
            <w:tcBorders>
              <w:bottom w:val="single" w:sz="4" w:space="0" w:color="auto"/>
            </w:tcBorders>
            <w:shd w:val="clear" w:color="auto" w:fill="D9D9D9"/>
          </w:tcPr>
          <w:p w14:paraId="686FD7B9" w14:textId="77777777" w:rsidR="00B172C2" w:rsidRPr="001F238D" w:rsidRDefault="00B172C2" w:rsidP="00B172C2">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p>
          <w:p w14:paraId="25B3B744" w14:textId="77777777" w:rsidR="00B172C2" w:rsidRPr="001F238D" w:rsidRDefault="00B172C2" w:rsidP="00B172C2">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2038" w:type="dxa"/>
            <w:tcBorders>
              <w:bottom w:val="single" w:sz="4" w:space="0" w:color="auto"/>
            </w:tcBorders>
            <w:shd w:val="clear" w:color="auto" w:fill="auto"/>
          </w:tcPr>
          <w:p w14:paraId="7A8A641F" w14:textId="3B8E115D" w:rsidR="00B172C2" w:rsidRPr="00AA3B5C" w:rsidRDefault="00AA3B5C" w:rsidP="00AA3B5C">
            <w:pPr>
              <w:spacing w:after="160" w:line="259" w:lineRule="auto"/>
              <w:contextualSpacing/>
              <w:rPr>
                <w:rFonts w:ascii="Tahoma" w:eastAsia="Calibri" w:hAnsi="Tahoma"/>
                <w:b/>
                <w:sz w:val="22"/>
                <w:szCs w:val="22"/>
                <w:lang w:eastAsia="en-US"/>
              </w:rPr>
            </w:pPr>
            <w:r w:rsidRPr="00AA3B5C">
              <w:rPr>
                <w:rFonts w:ascii="Tahoma" w:eastAsia="Calibri" w:hAnsi="Tahoma"/>
                <w:b/>
                <w:sz w:val="22"/>
                <w:szCs w:val="22"/>
                <w:lang w:eastAsia="en-US"/>
              </w:rPr>
              <w:t>£131,030</w:t>
            </w:r>
            <w:r w:rsidR="002C1796">
              <w:rPr>
                <w:rFonts w:ascii="Tahoma" w:eastAsia="Calibri" w:hAnsi="Tahoma"/>
                <w:b/>
                <w:sz w:val="22"/>
                <w:szCs w:val="22"/>
                <w:lang w:eastAsia="en-US"/>
              </w:rPr>
              <w:t>.00</w:t>
            </w:r>
          </w:p>
        </w:tc>
      </w:tr>
      <w:tr w:rsidR="00B172C2" w:rsidRPr="001F238D" w14:paraId="49D3B4E2" w14:textId="77777777" w:rsidTr="00A52A02">
        <w:tc>
          <w:tcPr>
            <w:tcW w:w="9016" w:type="dxa"/>
            <w:gridSpan w:val="4"/>
            <w:tcBorders>
              <w:left w:val="nil"/>
              <w:right w:val="nil"/>
            </w:tcBorders>
            <w:shd w:val="clear" w:color="auto" w:fill="auto"/>
          </w:tcPr>
          <w:p w14:paraId="0C378AC7" w14:textId="77777777" w:rsidR="00B172C2" w:rsidRPr="001F238D" w:rsidRDefault="00B172C2" w:rsidP="00B172C2">
            <w:pPr>
              <w:spacing w:after="160" w:line="259" w:lineRule="auto"/>
              <w:ind w:left="720"/>
              <w:contextualSpacing/>
              <w:rPr>
                <w:rFonts w:ascii="Tahoma" w:eastAsia="Calibri" w:hAnsi="Tahoma"/>
                <w:sz w:val="22"/>
                <w:szCs w:val="22"/>
                <w:lang w:eastAsia="en-US"/>
              </w:rPr>
            </w:pPr>
          </w:p>
        </w:tc>
      </w:tr>
      <w:tr w:rsidR="00B172C2" w:rsidRPr="001F238D" w14:paraId="66EB3DEE" w14:textId="77777777" w:rsidTr="002E656D">
        <w:trPr>
          <w:trHeight w:hRule="exact" w:val="505"/>
        </w:trPr>
        <w:tc>
          <w:tcPr>
            <w:tcW w:w="1296" w:type="dxa"/>
            <w:tcBorders>
              <w:right w:val="nil"/>
            </w:tcBorders>
            <w:shd w:val="clear" w:color="auto" w:fill="D9D9D9"/>
            <w:vAlign w:val="center"/>
          </w:tcPr>
          <w:p w14:paraId="59CF0B9B" w14:textId="77777777" w:rsidR="00B172C2" w:rsidRPr="001F238D" w:rsidRDefault="00B172C2" w:rsidP="00B172C2">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A6.</w:t>
            </w:r>
          </w:p>
        </w:tc>
        <w:tc>
          <w:tcPr>
            <w:tcW w:w="7720" w:type="dxa"/>
            <w:gridSpan w:val="3"/>
            <w:tcBorders>
              <w:left w:val="nil"/>
            </w:tcBorders>
            <w:shd w:val="clear" w:color="auto" w:fill="D9D9D9"/>
            <w:vAlign w:val="center"/>
          </w:tcPr>
          <w:p w14:paraId="76FD1A6A" w14:textId="77777777" w:rsidR="00B172C2" w:rsidRPr="001F238D" w:rsidRDefault="00B172C2" w:rsidP="00B172C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B172C2" w:rsidRPr="001F238D" w14:paraId="30538EE2" w14:textId="77777777" w:rsidTr="002E656D">
        <w:trPr>
          <w:trHeight w:val="917"/>
        </w:trPr>
        <w:tc>
          <w:tcPr>
            <w:tcW w:w="9016" w:type="dxa"/>
            <w:gridSpan w:val="4"/>
            <w:shd w:val="clear" w:color="auto" w:fill="auto"/>
          </w:tcPr>
          <w:p w14:paraId="69B3C32D" w14:textId="77777777" w:rsidR="00B172C2" w:rsidRPr="001F238D" w:rsidRDefault="00B172C2" w:rsidP="00B172C2">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B172C2" w:rsidRPr="001F238D" w14:paraId="7B96414F" w14:textId="77777777" w:rsidTr="002E656D">
        <w:trPr>
          <w:trHeight w:val="5953"/>
        </w:trPr>
        <w:tc>
          <w:tcPr>
            <w:tcW w:w="9016" w:type="dxa"/>
            <w:gridSpan w:val="4"/>
            <w:shd w:val="clear" w:color="auto" w:fill="auto"/>
          </w:tcPr>
          <w:p w14:paraId="4D2E0A40" w14:textId="23E38851" w:rsidR="00AA3B5C" w:rsidRPr="00AA3B5C" w:rsidRDefault="00AA3B5C" w:rsidP="009E5290">
            <w:pPr>
              <w:jc w:val="both"/>
              <w:rPr>
                <w:rFonts w:ascii="Arial" w:hAnsi="Arial" w:cs="Arial"/>
                <w:sz w:val="22"/>
                <w:szCs w:val="22"/>
              </w:rPr>
            </w:pPr>
            <w:r>
              <w:rPr>
                <w:rFonts w:ascii="Arial" w:hAnsi="Arial" w:cs="Arial"/>
                <w:sz w:val="22"/>
                <w:szCs w:val="22"/>
              </w:rPr>
              <w:lastRenderedPageBreak/>
              <w:t xml:space="preserve">The requirement is a continuation of the project previously tendered on </w:t>
            </w:r>
            <w:r w:rsidR="00DF213E" w:rsidRPr="00DF213E">
              <w:rPr>
                <w:rFonts w:ascii="Arial" w:hAnsi="Arial" w:cs="Arial"/>
                <w:sz w:val="22"/>
                <w:szCs w:val="22"/>
              </w:rPr>
              <w:t>16 October 2019</w:t>
            </w:r>
            <w:r w:rsidR="00DF213E">
              <w:rPr>
                <w:rFonts w:ascii="Arial" w:hAnsi="Arial" w:cs="Arial"/>
                <w:sz w:val="22"/>
                <w:szCs w:val="22"/>
              </w:rPr>
              <w:t xml:space="preserve"> </w:t>
            </w:r>
            <w:r>
              <w:rPr>
                <w:rFonts w:ascii="Arial" w:hAnsi="Arial" w:cs="Arial"/>
                <w:sz w:val="22"/>
                <w:szCs w:val="22"/>
              </w:rPr>
              <w:t>date under the</w:t>
            </w:r>
            <w:r w:rsidR="00DC182E">
              <w:rPr>
                <w:rFonts w:ascii="Arial" w:hAnsi="Arial" w:cs="Arial"/>
                <w:sz w:val="22"/>
                <w:szCs w:val="22"/>
              </w:rPr>
              <w:t xml:space="preserve"> UK SBS</w:t>
            </w:r>
            <w:r>
              <w:rPr>
                <w:rFonts w:ascii="Arial" w:hAnsi="Arial" w:cs="Arial"/>
                <w:sz w:val="22"/>
                <w:szCs w:val="22"/>
              </w:rPr>
              <w:t xml:space="preserve"> </w:t>
            </w:r>
            <w:r w:rsidR="002C1796">
              <w:rPr>
                <w:rFonts w:ascii="Arial" w:hAnsi="Arial" w:cs="Arial"/>
                <w:sz w:val="22"/>
                <w:szCs w:val="22"/>
              </w:rPr>
              <w:t>BEIS Research</w:t>
            </w:r>
            <w:r w:rsidR="00DE6C58" w:rsidRPr="00DE6C58">
              <w:rPr>
                <w:rFonts w:ascii="Arial" w:hAnsi="Arial" w:cs="Arial"/>
                <w:sz w:val="22"/>
                <w:szCs w:val="22"/>
              </w:rPr>
              <w:t xml:space="preserve"> framework</w:t>
            </w:r>
            <w:r w:rsidR="00DE6C58">
              <w:rPr>
                <w:rFonts w:ascii="Arial" w:hAnsi="Arial" w:cs="Arial"/>
                <w:sz w:val="22"/>
                <w:szCs w:val="22"/>
              </w:rPr>
              <w:t xml:space="preserve">. The project was delayed subject to government social research restrictions in light of the Coronavirus pandemic. Milestones </w:t>
            </w:r>
            <w:r w:rsidR="00DF213E">
              <w:rPr>
                <w:rFonts w:ascii="Arial" w:hAnsi="Arial" w:cs="Arial"/>
                <w:sz w:val="22"/>
                <w:szCs w:val="22"/>
              </w:rPr>
              <w:t xml:space="preserve">3,4 and 5 </w:t>
            </w:r>
            <w:r w:rsidR="00DE6C58">
              <w:rPr>
                <w:rFonts w:ascii="Arial" w:hAnsi="Arial" w:cs="Arial"/>
                <w:sz w:val="22"/>
                <w:szCs w:val="22"/>
              </w:rPr>
              <w:t>were not delivered within the previous contract duration so will be delivered under this service order agreement. A breakdown of the payment milestones can be found below:</w:t>
            </w:r>
            <w:r w:rsidR="00DE6C58" w:rsidRPr="00DE6C58">
              <w:rPr>
                <w:rFonts w:ascii="Arial" w:hAnsi="Arial" w:cs="Arial"/>
                <w:sz w:val="22"/>
                <w:szCs w:val="22"/>
              </w:rPr>
              <w:t xml:space="preserve"> </w:t>
            </w:r>
            <w:r>
              <w:rPr>
                <w:rFonts w:ascii="Arial" w:hAnsi="Arial" w:cs="Arial"/>
                <w:sz w:val="22"/>
                <w:szCs w:val="22"/>
              </w:rPr>
              <w:t xml:space="preserve"> </w:t>
            </w:r>
          </w:p>
          <w:p w14:paraId="5570B4E9" w14:textId="77777777" w:rsidR="00AA3B5C" w:rsidRDefault="00AA3B5C" w:rsidP="009E5290">
            <w:pPr>
              <w:jc w:val="both"/>
              <w:rPr>
                <w:rFonts w:ascii="Arial" w:hAnsi="Arial" w:cs="Arial"/>
                <w:sz w:val="22"/>
                <w:szCs w:val="22"/>
                <w:u w:val="single"/>
              </w:rPr>
            </w:pPr>
          </w:p>
          <w:p w14:paraId="0BE4577C" w14:textId="7A12465B" w:rsidR="009E5290" w:rsidRPr="00650985" w:rsidRDefault="009E5290" w:rsidP="009E5290">
            <w:pPr>
              <w:jc w:val="both"/>
              <w:rPr>
                <w:rFonts w:ascii="Arial" w:hAnsi="Arial" w:cs="Arial"/>
                <w:sz w:val="22"/>
                <w:szCs w:val="22"/>
                <w:u w:val="single"/>
              </w:rPr>
            </w:pPr>
            <w:r>
              <w:rPr>
                <w:rFonts w:ascii="Arial" w:hAnsi="Arial" w:cs="Arial"/>
                <w:sz w:val="22"/>
                <w:szCs w:val="22"/>
                <w:u w:val="single"/>
              </w:rPr>
              <w:t xml:space="preserve">Milestone </w:t>
            </w:r>
            <w:r w:rsidR="002C1796">
              <w:rPr>
                <w:rFonts w:ascii="Arial" w:hAnsi="Arial" w:cs="Arial"/>
                <w:sz w:val="22"/>
                <w:szCs w:val="22"/>
                <w:u w:val="single"/>
              </w:rPr>
              <w:t>3</w:t>
            </w:r>
          </w:p>
          <w:p w14:paraId="51FCDDC1" w14:textId="77777777" w:rsidR="009E5290" w:rsidRDefault="009E5290" w:rsidP="009E5290">
            <w:pPr>
              <w:jc w:val="both"/>
              <w:rPr>
                <w:rFonts w:ascii="Arial" w:hAnsi="Arial" w:cs="Arial"/>
                <w:sz w:val="22"/>
                <w:szCs w:val="22"/>
              </w:rPr>
            </w:pPr>
            <w:r w:rsidRPr="00F62E6B">
              <w:rPr>
                <w:rFonts w:ascii="Arial" w:hAnsi="Arial" w:cs="Arial"/>
                <w:sz w:val="22"/>
                <w:szCs w:val="22"/>
              </w:rPr>
              <w:t xml:space="preserve">Payable upon satisfactory receipt of the following deliverables, anticipated milestone date: </w:t>
            </w:r>
            <w:r>
              <w:rPr>
                <w:rFonts w:ascii="Arial" w:hAnsi="Arial" w:cs="Arial"/>
                <w:sz w:val="22"/>
                <w:szCs w:val="22"/>
              </w:rPr>
              <w:t xml:space="preserve"> 22/01/2021</w:t>
            </w:r>
          </w:p>
          <w:p w14:paraId="6CD4074F"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Summary Report of wave 1, c.10 pages including charts and commentary, as well as technical details on the methodology.</w:t>
            </w:r>
          </w:p>
          <w:p w14:paraId="1D294582"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 xml:space="preserve">Delivery of wave 2 which includes 500 interviews composed of 350 longitudinal interview (c.15 minutes), and 150 cross-sectional interviews (c.25 minutes); </w:t>
            </w:r>
          </w:p>
          <w:p w14:paraId="535C3D9A"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 xml:space="preserve">Delivery of 15 follow up depth interviews, c.45 mins, with intermediaries; </w:t>
            </w:r>
          </w:p>
          <w:p w14:paraId="14B431B0"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Top line qualitative findings;</w:t>
            </w:r>
          </w:p>
          <w:p w14:paraId="5FE2E043"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Data processing and coding;</w:t>
            </w:r>
          </w:p>
          <w:p w14:paraId="1DC25471"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Grossing analysis; including updating the business population where appropriate, grossing of existing and updated questions;</w:t>
            </w:r>
          </w:p>
          <w:p w14:paraId="432E2E52" w14:textId="77777777" w:rsidR="009E5290" w:rsidRPr="000E53ED" w:rsidRDefault="009E5290" w:rsidP="009E5290">
            <w:pPr>
              <w:numPr>
                <w:ilvl w:val="0"/>
                <w:numId w:val="22"/>
              </w:numPr>
              <w:jc w:val="both"/>
              <w:rPr>
                <w:rFonts w:ascii="Arial" w:hAnsi="Arial" w:cs="Arial"/>
                <w:sz w:val="22"/>
                <w:szCs w:val="22"/>
              </w:rPr>
            </w:pPr>
            <w:r>
              <w:rPr>
                <w:rFonts w:ascii="Arial" w:hAnsi="Arial" w:cs="Arial"/>
                <w:sz w:val="22"/>
                <w:szCs w:val="22"/>
              </w:rPr>
              <w:t>Provision of 4 transcripts from the follow up depth interviews with intermediaries’ during the fieldwork period;</w:t>
            </w:r>
          </w:p>
          <w:p w14:paraId="5DB3CD43"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Wave 2 analysis and reporting, including data tables, SPSS data, presentation of results with slide pack.</w:t>
            </w:r>
          </w:p>
          <w:p w14:paraId="55D67C7F" w14:textId="77777777" w:rsidR="009E5290" w:rsidRPr="00F63A96" w:rsidRDefault="009E5290" w:rsidP="009E5290">
            <w:pPr>
              <w:numPr>
                <w:ilvl w:val="0"/>
                <w:numId w:val="22"/>
              </w:numPr>
              <w:jc w:val="both"/>
              <w:rPr>
                <w:rFonts w:ascii="Arial" w:hAnsi="Arial" w:cs="Arial"/>
                <w:sz w:val="22"/>
                <w:szCs w:val="22"/>
              </w:rPr>
            </w:pPr>
            <w:r>
              <w:rPr>
                <w:rFonts w:ascii="Arial" w:hAnsi="Arial" w:cs="Arial"/>
                <w:sz w:val="22"/>
                <w:szCs w:val="22"/>
              </w:rPr>
              <w:t>Summary Report of wave 2, c.10 pages including charts and commentary, as well as technical details on the methodology.</w:t>
            </w:r>
          </w:p>
          <w:p w14:paraId="20730954" w14:textId="77777777" w:rsidR="009E5290" w:rsidRPr="002F7E02" w:rsidRDefault="009E5290" w:rsidP="009E5290">
            <w:pPr>
              <w:ind w:left="720"/>
              <w:jc w:val="both"/>
              <w:rPr>
                <w:rFonts w:ascii="Arial" w:hAnsi="Arial" w:cs="Arial"/>
                <w:sz w:val="22"/>
                <w:szCs w:val="22"/>
              </w:rPr>
            </w:pPr>
          </w:p>
          <w:p w14:paraId="78399249" w14:textId="76539C39" w:rsidR="009E5290" w:rsidRPr="00650985" w:rsidRDefault="009E5290" w:rsidP="009E5290">
            <w:pPr>
              <w:jc w:val="both"/>
              <w:rPr>
                <w:rFonts w:ascii="Arial" w:hAnsi="Arial" w:cs="Arial"/>
                <w:sz w:val="22"/>
                <w:szCs w:val="22"/>
                <w:u w:val="single"/>
              </w:rPr>
            </w:pPr>
            <w:r>
              <w:rPr>
                <w:rFonts w:ascii="Arial" w:hAnsi="Arial" w:cs="Arial"/>
                <w:sz w:val="22"/>
                <w:szCs w:val="22"/>
                <w:u w:val="single"/>
              </w:rPr>
              <w:t xml:space="preserve">Milestone </w:t>
            </w:r>
            <w:r w:rsidR="002C1796">
              <w:rPr>
                <w:rFonts w:ascii="Arial" w:hAnsi="Arial" w:cs="Arial"/>
                <w:sz w:val="22"/>
                <w:szCs w:val="22"/>
                <w:u w:val="single"/>
              </w:rPr>
              <w:t>4</w:t>
            </w:r>
          </w:p>
          <w:p w14:paraId="53ADF241" w14:textId="77777777" w:rsidR="009E5290" w:rsidRDefault="009E5290" w:rsidP="009E5290">
            <w:pPr>
              <w:jc w:val="both"/>
              <w:rPr>
                <w:rFonts w:ascii="Arial" w:hAnsi="Arial" w:cs="Arial"/>
                <w:sz w:val="22"/>
                <w:szCs w:val="22"/>
              </w:rPr>
            </w:pPr>
            <w:r w:rsidRPr="00F62E6B">
              <w:rPr>
                <w:rFonts w:ascii="Arial" w:hAnsi="Arial" w:cs="Arial"/>
                <w:sz w:val="22"/>
                <w:szCs w:val="22"/>
              </w:rPr>
              <w:t xml:space="preserve">Payable upon satisfactory receipt of the following deliverables, anticipated milestone date: </w:t>
            </w:r>
            <w:r>
              <w:rPr>
                <w:rFonts w:ascii="Arial" w:hAnsi="Arial" w:cs="Arial"/>
                <w:sz w:val="22"/>
                <w:szCs w:val="22"/>
              </w:rPr>
              <w:t xml:space="preserve"> 15/03/2021</w:t>
            </w:r>
          </w:p>
          <w:p w14:paraId="53338BA4" w14:textId="77777777" w:rsidR="009E5290" w:rsidRPr="00373A4F" w:rsidRDefault="009E5290" w:rsidP="009E5290">
            <w:pPr>
              <w:pStyle w:val="ListParagraph"/>
              <w:numPr>
                <w:ilvl w:val="0"/>
                <w:numId w:val="23"/>
              </w:numPr>
              <w:spacing w:after="0" w:line="240" w:lineRule="auto"/>
              <w:jc w:val="both"/>
              <w:rPr>
                <w:rFonts w:ascii="Arial" w:hAnsi="Arial" w:cs="Arial"/>
              </w:rPr>
            </w:pPr>
            <w:r w:rsidRPr="00373A4F">
              <w:rPr>
                <w:rFonts w:ascii="Arial" w:hAnsi="Arial" w:cs="Arial"/>
              </w:rPr>
              <w:t>Delivery of wave 3 which includes 400 longitudinal interviews (20 minutes)</w:t>
            </w:r>
          </w:p>
          <w:p w14:paraId="7B80FF39"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 xml:space="preserve">Delivery of 15 follow up depth interviews, c.45 mins, with intermediaries; </w:t>
            </w:r>
          </w:p>
          <w:p w14:paraId="1ECC1616" w14:textId="77777777" w:rsidR="009E5290" w:rsidRPr="000E53ED" w:rsidRDefault="009E5290" w:rsidP="009E5290">
            <w:pPr>
              <w:numPr>
                <w:ilvl w:val="0"/>
                <w:numId w:val="22"/>
              </w:numPr>
              <w:jc w:val="both"/>
              <w:rPr>
                <w:rFonts w:ascii="Arial" w:hAnsi="Arial" w:cs="Arial"/>
                <w:sz w:val="22"/>
                <w:szCs w:val="22"/>
              </w:rPr>
            </w:pPr>
            <w:r>
              <w:rPr>
                <w:rFonts w:ascii="Arial" w:hAnsi="Arial" w:cs="Arial"/>
                <w:sz w:val="22"/>
                <w:szCs w:val="22"/>
              </w:rPr>
              <w:t>Top line qualitative findings;</w:t>
            </w:r>
          </w:p>
          <w:p w14:paraId="1677FE85"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Data processing and coding;</w:t>
            </w:r>
          </w:p>
          <w:p w14:paraId="146BF475" w14:textId="77777777" w:rsidR="009E5290" w:rsidRPr="00F63A96" w:rsidRDefault="009E5290" w:rsidP="009E5290">
            <w:pPr>
              <w:numPr>
                <w:ilvl w:val="0"/>
                <w:numId w:val="22"/>
              </w:numPr>
              <w:jc w:val="both"/>
              <w:rPr>
                <w:rFonts w:ascii="Arial" w:hAnsi="Arial" w:cs="Arial"/>
                <w:sz w:val="22"/>
                <w:szCs w:val="22"/>
              </w:rPr>
            </w:pPr>
            <w:r>
              <w:rPr>
                <w:rFonts w:ascii="Arial" w:hAnsi="Arial" w:cs="Arial"/>
                <w:sz w:val="22"/>
                <w:szCs w:val="22"/>
              </w:rPr>
              <w:t>Grossing analysis; including updating the business population where appropriate, grossing of existing and updated questions;</w:t>
            </w:r>
          </w:p>
          <w:p w14:paraId="0C8DF291" w14:textId="77777777" w:rsidR="009E5290" w:rsidRPr="000E53ED" w:rsidRDefault="009E5290" w:rsidP="009E5290">
            <w:pPr>
              <w:numPr>
                <w:ilvl w:val="0"/>
                <w:numId w:val="22"/>
              </w:numPr>
              <w:jc w:val="both"/>
              <w:rPr>
                <w:rFonts w:ascii="Arial" w:hAnsi="Arial" w:cs="Arial"/>
                <w:sz w:val="22"/>
                <w:szCs w:val="22"/>
              </w:rPr>
            </w:pPr>
            <w:r>
              <w:rPr>
                <w:rFonts w:ascii="Arial" w:hAnsi="Arial" w:cs="Arial"/>
                <w:sz w:val="22"/>
                <w:szCs w:val="22"/>
              </w:rPr>
              <w:t>Provision of 4 transcripts from the follow up depth interviews with intermediaries’ during the fieldwork period;</w:t>
            </w:r>
          </w:p>
          <w:p w14:paraId="3C9F51C8" w14:textId="77777777" w:rsidR="009E5290" w:rsidRDefault="009E5290" w:rsidP="009E5290">
            <w:pPr>
              <w:numPr>
                <w:ilvl w:val="0"/>
                <w:numId w:val="22"/>
              </w:numPr>
              <w:jc w:val="both"/>
              <w:rPr>
                <w:rFonts w:ascii="Arial" w:hAnsi="Arial" w:cs="Arial"/>
                <w:sz w:val="22"/>
                <w:szCs w:val="22"/>
              </w:rPr>
            </w:pPr>
            <w:r>
              <w:rPr>
                <w:rFonts w:ascii="Arial" w:hAnsi="Arial" w:cs="Arial"/>
                <w:sz w:val="22"/>
                <w:szCs w:val="22"/>
              </w:rPr>
              <w:t>Wave 3 analysis and reporting, including data tables, SPSS data, presentation of results with slide pack.</w:t>
            </w:r>
          </w:p>
          <w:p w14:paraId="47114CD5" w14:textId="77777777" w:rsidR="009E5290" w:rsidRDefault="009E5290" w:rsidP="009E5290">
            <w:pPr>
              <w:jc w:val="both"/>
              <w:rPr>
                <w:rFonts w:ascii="Arial" w:hAnsi="Arial" w:cs="Arial"/>
                <w:sz w:val="22"/>
                <w:szCs w:val="22"/>
              </w:rPr>
            </w:pPr>
          </w:p>
          <w:p w14:paraId="7DBD65C9" w14:textId="2AB4F5F1" w:rsidR="009E5290" w:rsidRPr="004F2352" w:rsidRDefault="009E5290" w:rsidP="009E5290">
            <w:pPr>
              <w:jc w:val="both"/>
              <w:rPr>
                <w:rFonts w:ascii="Arial" w:hAnsi="Arial" w:cs="Arial"/>
                <w:sz w:val="22"/>
                <w:szCs w:val="22"/>
                <w:u w:val="single"/>
              </w:rPr>
            </w:pPr>
            <w:r>
              <w:rPr>
                <w:rFonts w:ascii="Arial" w:hAnsi="Arial" w:cs="Arial"/>
                <w:sz w:val="22"/>
                <w:szCs w:val="22"/>
                <w:u w:val="single"/>
              </w:rPr>
              <w:t xml:space="preserve">Milestone </w:t>
            </w:r>
            <w:r w:rsidR="002C1796">
              <w:rPr>
                <w:rFonts w:ascii="Arial" w:hAnsi="Arial" w:cs="Arial"/>
                <w:sz w:val="22"/>
                <w:szCs w:val="22"/>
                <w:u w:val="single"/>
              </w:rPr>
              <w:t>5</w:t>
            </w:r>
          </w:p>
          <w:p w14:paraId="65F6CB20" w14:textId="77777777" w:rsidR="009E5290" w:rsidRDefault="009E5290" w:rsidP="009E5290">
            <w:pPr>
              <w:jc w:val="both"/>
              <w:rPr>
                <w:rFonts w:ascii="Arial" w:hAnsi="Arial" w:cs="Arial"/>
                <w:sz w:val="22"/>
                <w:szCs w:val="22"/>
              </w:rPr>
            </w:pPr>
            <w:r w:rsidRPr="00F62E6B">
              <w:rPr>
                <w:rFonts w:ascii="Arial" w:hAnsi="Arial" w:cs="Arial"/>
                <w:sz w:val="22"/>
                <w:szCs w:val="22"/>
              </w:rPr>
              <w:t xml:space="preserve">Payable upon satisfactory receipt of the following deliverables, anticipated milestone date: </w:t>
            </w:r>
            <w:r>
              <w:rPr>
                <w:rFonts w:ascii="Arial" w:hAnsi="Arial" w:cs="Arial"/>
                <w:sz w:val="22"/>
                <w:szCs w:val="22"/>
              </w:rPr>
              <w:t xml:space="preserve"> 21/05/2021</w:t>
            </w:r>
          </w:p>
          <w:p w14:paraId="47DB753F" w14:textId="77777777" w:rsidR="009E5290" w:rsidRPr="00373A4F" w:rsidRDefault="009E5290" w:rsidP="009E5290">
            <w:pPr>
              <w:numPr>
                <w:ilvl w:val="0"/>
                <w:numId w:val="22"/>
              </w:numPr>
              <w:jc w:val="both"/>
              <w:rPr>
                <w:rFonts w:ascii="Arial" w:hAnsi="Arial" w:cs="Arial"/>
                <w:sz w:val="22"/>
                <w:szCs w:val="22"/>
              </w:rPr>
            </w:pPr>
            <w:r w:rsidRPr="002F7E02">
              <w:rPr>
                <w:rFonts w:ascii="Arial" w:hAnsi="Arial" w:cs="Arial"/>
                <w:sz w:val="22"/>
                <w:szCs w:val="22"/>
              </w:rPr>
              <w:t>Presentation of findings</w:t>
            </w:r>
            <w:r>
              <w:rPr>
                <w:rFonts w:ascii="Arial" w:hAnsi="Arial" w:cs="Arial"/>
                <w:sz w:val="22"/>
                <w:szCs w:val="22"/>
              </w:rPr>
              <w:t xml:space="preserve"> covering all waves;</w:t>
            </w:r>
          </w:p>
          <w:p w14:paraId="492DDDEF" w14:textId="77777777" w:rsidR="009E5290" w:rsidRDefault="009E5290" w:rsidP="009E5290">
            <w:pPr>
              <w:numPr>
                <w:ilvl w:val="0"/>
                <w:numId w:val="22"/>
              </w:numPr>
              <w:jc w:val="both"/>
              <w:rPr>
                <w:rFonts w:ascii="Arial" w:hAnsi="Arial" w:cs="Arial"/>
                <w:sz w:val="22"/>
                <w:szCs w:val="22"/>
              </w:rPr>
            </w:pPr>
            <w:r w:rsidRPr="002F7E02">
              <w:rPr>
                <w:rFonts w:ascii="Arial" w:hAnsi="Arial" w:cs="Arial"/>
                <w:sz w:val="22"/>
                <w:szCs w:val="22"/>
              </w:rPr>
              <w:t xml:space="preserve">Final report covering all waves of field work and full technical </w:t>
            </w:r>
            <w:r>
              <w:rPr>
                <w:rFonts w:ascii="Arial" w:hAnsi="Arial" w:cs="Arial"/>
                <w:sz w:val="22"/>
                <w:szCs w:val="22"/>
              </w:rPr>
              <w:t xml:space="preserve">report- with draft versions; </w:t>
            </w:r>
          </w:p>
          <w:p w14:paraId="7FA7F0D0" w14:textId="4AADC62D" w:rsidR="009E5290" w:rsidRDefault="009E5290" w:rsidP="009E5290">
            <w:pPr>
              <w:numPr>
                <w:ilvl w:val="0"/>
                <w:numId w:val="22"/>
              </w:numPr>
              <w:jc w:val="both"/>
              <w:rPr>
                <w:rFonts w:ascii="Arial" w:hAnsi="Arial" w:cs="Arial"/>
                <w:sz w:val="22"/>
                <w:szCs w:val="22"/>
              </w:rPr>
            </w:pPr>
            <w:r w:rsidRPr="00373A4F">
              <w:rPr>
                <w:rFonts w:ascii="Arial" w:hAnsi="Arial" w:cs="Arial"/>
                <w:sz w:val="22"/>
                <w:szCs w:val="22"/>
              </w:rPr>
              <w:t>Acceptance of final report to HMRC standards and meets accessibility requirements.</w:t>
            </w:r>
          </w:p>
          <w:p w14:paraId="0798855E" w14:textId="01411289" w:rsidR="00DE6C58" w:rsidRDefault="00DE6C58" w:rsidP="00DE6C58">
            <w:pPr>
              <w:jc w:val="both"/>
              <w:rPr>
                <w:rFonts w:ascii="Arial" w:hAnsi="Arial" w:cs="Arial"/>
                <w:sz w:val="22"/>
                <w:szCs w:val="22"/>
              </w:rPr>
            </w:pPr>
          </w:p>
          <w:p w14:paraId="3870CBC4" w14:textId="64539B7A" w:rsidR="00DE6C58" w:rsidRDefault="00DE6C58" w:rsidP="00DE6C58">
            <w:pPr>
              <w:jc w:val="both"/>
              <w:rPr>
                <w:rFonts w:ascii="Arial" w:hAnsi="Arial" w:cs="Arial"/>
                <w:sz w:val="22"/>
                <w:szCs w:val="22"/>
              </w:rPr>
            </w:pPr>
            <w:r>
              <w:rPr>
                <w:rFonts w:ascii="Arial" w:hAnsi="Arial" w:cs="Arial"/>
                <w:sz w:val="22"/>
                <w:szCs w:val="22"/>
              </w:rPr>
              <w:t xml:space="preserve">The Supplier will deliver HMRC’s requirements in full, as set out within HMRC’s Invitation to Tender (ITT) document issued on </w:t>
            </w:r>
            <w:r w:rsidR="0010382B">
              <w:rPr>
                <w:rFonts w:ascii="Arial" w:hAnsi="Arial" w:cs="Arial"/>
                <w:sz w:val="22"/>
                <w:szCs w:val="22"/>
              </w:rPr>
              <w:t>16/10/2019</w:t>
            </w:r>
            <w:r>
              <w:rPr>
                <w:rFonts w:ascii="Arial" w:hAnsi="Arial" w:cs="Arial"/>
                <w:sz w:val="22"/>
                <w:szCs w:val="22"/>
              </w:rPr>
              <w:t>. This document can be found at Appendix 3: HMRC’s Requirement.</w:t>
            </w:r>
          </w:p>
          <w:p w14:paraId="51C4FE7D" w14:textId="0D63DFC0" w:rsidR="00DE6C58" w:rsidRDefault="00DE6C58" w:rsidP="00DE6C58">
            <w:pPr>
              <w:jc w:val="both"/>
              <w:rPr>
                <w:rFonts w:ascii="Arial" w:hAnsi="Arial" w:cs="Arial"/>
                <w:sz w:val="22"/>
                <w:szCs w:val="22"/>
              </w:rPr>
            </w:pPr>
          </w:p>
          <w:p w14:paraId="4B8B7029" w14:textId="2B680837" w:rsidR="00DE6C58" w:rsidRDefault="00DE6C58" w:rsidP="00DE6C58">
            <w:pPr>
              <w:jc w:val="both"/>
              <w:rPr>
                <w:rFonts w:ascii="Arial" w:hAnsi="Arial" w:cs="Arial"/>
                <w:sz w:val="22"/>
                <w:szCs w:val="22"/>
              </w:rPr>
            </w:pPr>
            <w:r>
              <w:rPr>
                <w:rFonts w:ascii="Arial" w:hAnsi="Arial" w:cs="Arial"/>
                <w:sz w:val="22"/>
                <w:szCs w:val="22"/>
              </w:rPr>
              <w:t xml:space="preserve">The Supplier will deliver the service as per their proposal which was submitted on </w:t>
            </w:r>
            <w:r w:rsidR="0010382B">
              <w:rPr>
                <w:rFonts w:ascii="Arial" w:hAnsi="Arial" w:cs="Arial"/>
                <w:sz w:val="22"/>
                <w:szCs w:val="22"/>
              </w:rPr>
              <w:t>04/11/2019.</w:t>
            </w:r>
            <w:r>
              <w:rPr>
                <w:rFonts w:ascii="Arial" w:hAnsi="Arial" w:cs="Arial"/>
                <w:sz w:val="22"/>
                <w:szCs w:val="22"/>
              </w:rPr>
              <w:t xml:space="preserve"> This document can be found at Appendix 4: Supplier Proposal.</w:t>
            </w:r>
          </w:p>
          <w:p w14:paraId="510FF3D5" w14:textId="2CFE6CA4" w:rsidR="00CA2C7E" w:rsidRDefault="00CA2C7E" w:rsidP="00DE6C58">
            <w:pPr>
              <w:jc w:val="both"/>
              <w:rPr>
                <w:rFonts w:ascii="Arial" w:hAnsi="Arial" w:cs="Arial"/>
                <w:sz w:val="22"/>
                <w:szCs w:val="22"/>
              </w:rPr>
            </w:pPr>
          </w:p>
          <w:p w14:paraId="379AA9B8" w14:textId="71B5BDF2" w:rsidR="00CA2C7E" w:rsidRDefault="00CA2C7E" w:rsidP="00DE6C58">
            <w:pPr>
              <w:jc w:val="both"/>
              <w:rPr>
                <w:rFonts w:ascii="Arial" w:hAnsi="Arial" w:cs="Arial"/>
                <w:b/>
                <w:sz w:val="22"/>
                <w:szCs w:val="22"/>
              </w:rPr>
            </w:pPr>
            <w:r>
              <w:rPr>
                <w:rFonts w:ascii="Arial" w:hAnsi="Arial" w:cs="Arial"/>
                <w:b/>
                <w:sz w:val="22"/>
                <w:szCs w:val="22"/>
              </w:rPr>
              <w:t>Confidential Information</w:t>
            </w:r>
          </w:p>
          <w:p w14:paraId="6444CE9E" w14:textId="77777777" w:rsidR="00CA2C7E" w:rsidRPr="00CA2C7E" w:rsidRDefault="00CA2C7E" w:rsidP="00DE6C58">
            <w:pPr>
              <w:jc w:val="both"/>
              <w:rPr>
                <w:rFonts w:ascii="Arial" w:hAnsi="Arial" w:cs="Arial"/>
                <w:b/>
                <w:sz w:val="22"/>
                <w:szCs w:val="22"/>
              </w:rPr>
            </w:pPr>
          </w:p>
          <w:p w14:paraId="4BA2D0BE"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 xml:space="preserve">As part of the Government’s Transparency Agenda, this agreement and any associated winning tender may be published.  The contractor must notify the project manager (provided at 1. above) of any commercially sensitive information to be considered for redaction prior to publication.  </w:t>
            </w:r>
          </w:p>
          <w:p w14:paraId="402ED646" w14:textId="77777777" w:rsidR="00CA2C7E" w:rsidRPr="00CA2C7E" w:rsidRDefault="00CA2C7E" w:rsidP="00CA2C7E">
            <w:pPr>
              <w:jc w:val="both"/>
              <w:rPr>
                <w:rFonts w:ascii="Arial" w:hAnsi="Arial" w:cs="Arial"/>
                <w:sz w:val="22"/>
                <w:szCs w:val="22"/>
              </w:rPr>
            </w:pPr>
          </w:p>
          <w:p w14:paraId="5FDF1FAF"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(7.1) The following information shall be deemed Commercially Sensitive Information or Confidential Information:-</w:t>
            </w:r>
          </w:p>
          <w:p w14:paraId="0DCF57C4" w14:textId="77777777" w:rsidR="00CA2C7E" w:rsidRPr="00CA2C7E" w:rsidRDefault="00CA2C7E" w:rsidP="00CA2C7E">
            <w:pPr>
              <w:jc w:val="both"/>
              <w:rPr>
                <w:rFonts w:ascii="Arial" w:hAnsi="Arial" w:cs="Arial"/>
                <w:sz w:val="22"/>
                <w:szCs w:val="22"/>
              </w:rPr>
            </w:pPr>
          </w:p>
          <w:p w14:paraId="6666AFDA"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w:t>
            </w:r>
            <w:r w:rsidRPr="00CA2C7E">
              <w:rPr>
                <w:rFonts w:ascii="Arial" w:hAnsi="Arial" w:cs="Arial"/>
                <w:sz w:val="22"/>
                <w:szCs w:val="22"/>
              </w:rPr>
              <w:tab/>
              <w:t>Detailed cost breakdown, including staff day rates and fees (only overall contract value should be published)</w:t>
            </w:r>
          </w:p>
          <w:p w14:paraId="0C751A23"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w:t>
            </w:r>
            <w:r w:rsidRPr="00CA2C7E">
              <w:rPr>
                <w:rFonts w:ascii="Arial" w:hAnsi="Arial" w:cs="Arial"/>
                <w:sz w:val="22"/>
                <w:szCs w:val="22"/>
              </w:rPr>
              <w:tab/>
              <w:t>Such material including but not limited to the Contractor’s methodologies and proprietary tools and techniques as the Contractor reasonably considers by virtue of the intellectual property contained therein i) to be a trade secret; or ii) that their release into the public domain would prejudice its competitive, commercial interests</w:t>
            </w:r>
          </w:p>
          <w:p w14:paraId="03785F53"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w:t>
            </w:r>
            <w:r w:rsidRPr="00CA2C7E">
              <w:rPr>
                <w:rFonts w:ascii="Arial" w:hAnsi="Arial" w:cs="Arial"/>
                <w:sz w:val="22"/>
                <w:szCs w:val="22"/>
              </w:rPr>
              <w:tab/>
              <w:t>Details of our other clients and projects undertaken</w:t>
            </w:r>
          </w:p>
          <w:p w14:paraId="3BEDA5E1"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w:t>
            </w:r>
            <w:r w:rsidRPr="00CA2C7E">
              <w:rPr>
                <w:rFonts w:ascii="Arial" w:hAnsi="Arial" w:cs="Arial"/>
                <w:sz w:val="22"/>
                <w:szCs w:val="22"/>
              </w:rPr>
              <w:tab/>
              <w:t>The project risk register</w:t>
            </w:r>
          </w:p>
          <w:p w14:paraId="27018175"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w:t>
            </w:r>
            <w:r w:rsidRPr="00CA2C7E">
              <w:rPr>
                <w:rFonts w:ascii="Arial" w:hAnsi="Arial" w:cs="Arial"/>
                <w:sz w:val="22"/>
                <w:szCs w:val="22"/>
              </w:rPr>
              <w:tab/>
              <w:t xml:space="preserve">CVs and staff biographies </w:t>
            </w:r>
          </w:p>
          <w:p w14:paraId="7FD01B60" w14:textId="77777777" w:rsidR="00CA2C7E" w:rsidRPr="00CA2C7E" w:rsidRDefault="00CA2C7E" w:rsidP="00CA2C7E">
            <w:pPr>
              <w:jc w:val="both"/>
              <w:rPr>
                <w:rFonts w:ascii="Arial" w:hAnsi="Arial" w:cs="Arial"/>
                <w:sz w:val="22"/>
                <w:szCs w:val="22"/>
              </w:rPr>
            </w:pPr>
          </w:p>
          <w:p w14:paraId="6DB722B7" w14:textId="77777777" w:rsidR="00CA2C7E" w:rsidRPr="00CA2C7E" w:rsidRDefault="00CA2C7E" w:rsidP="00CA2C7E">
            <w:pPr>
              <w:jc w:val="both"/>
              <w:rPr>
                <w:rFonts w:ascii="Arial" w:hAnsi="Arial" w:cs="Arial"/>
                <w:sz w:val="22"/>
                <w:szCs w:val="22"/>
              </w:rPr>
            </w:pPr>
          </w:p>
          <w:p w14:paraId="25BBB59A" w14:textId="77777777" w:rsidR="00CA2C7E" w:rsidRPr="00CA2C7E" w:rsidRDefault="00CA2C7E" w:rsidP="00CA2C7E">
            <w:pPr>
              <w:jc w:val="both"/>
              <w:rPr>
                <w:rFonts w:ascii="Arial" w:hAnsi="Arial" w:cs="Arial"/>
                <w:sz w:val="22"/>
                <w:szCs w:val="22"/>
              </w:rPr>
            </w:pPr>
          </w:p>
          <w:p w14:paraId="2D3296CF" w14:textId="77777777" w:rsidR="00CA2C7E" w:rsidRPr="00CA2C7E" w:rsidRDefault="00CA2C7E" w:rsidP="00CA2C7E">
            <w:pPr>
              <w:jc w:val="both"/>
              <w:rPr>
                <w:rFonts w:ascii="Arial" w:hAnsi="Arial" w:cs="Arial"/>
                <w:sz w:val="22"/>
                <w:szCs w:val="22"/>
              </w:rPr>
            </w:pPr>
            <w:r w:rsidRPr="00CA2C7E">
              <w:rPr>
                <w:rFonts w:ascii="Arial" w:hAnsi="Arial" w:cs="Arial"/>
                <w:sz w:val="22"/>
                <w:szCs w:val="22"/>
              </w:rPr>
              <w:t>(7.2) Duration that the information shall be deemed Commercially Sensitive Information or Confidential Information:-</w:t>
            </w:r>
          </w:p>
          <w:p w14:paraId="08D05014" w14:textId="77777777" w:rsidR="00CA2C7E" w:rsidRPr="00CA2C7E" w:rsidRDefault="00CA2C7E" w:rsidP="00CA2C7E">
            <w:pPr>
              <w:jc w:val="both"/>
              <w:rPr>
                <w:rFonts w:ascii="Arial" w:hAnsi="Arial" w:cs="Arial"/>
                <w:sz w:val="22"/>
                <w:szCs w:val="22"/>
              </w:rPr>
            </w:pPr>
          </w:p>
          <w:p w14:paraId="56EE4440" w14:textId="3A9CD0AE" w:rsidR="00CA2C7E" w:rsidRPr="00373A4F" w:rsidRDefault="00CA2C7E" w:rsidP="00CA2C7E">
            <w:pPr>
              <w:jc w:val="both"/>
              <w:rPr>
                <w:rFonts w:ascii="Arial" w:hAnsi="Arial" w:cs="Arial"/>
                <w:sz w:val="22"/>
                <w:szCs w:val="22"/>
              </w:rPr>
            </w:pPr>
            <w:r w:rsidRPr="00CA2C7E">
              <w:rPr>
                <w:rFonts w:ascii="Arial" w:hAnsi="Arial" w:cs="Arial"/>
                <w:sz w:val="22"/>
                <w:szCs w:val="22"/>
              </w:rPr>
              <w:t>•</w:t>
            </w:r>
            <w:r w:rsidRPr="00CA2C7E">
              <w:rPr>
                <w:rFonts w:ascii="Arial" w:hAnsi="Arial" w:cs="Arial"/>
                <w:sz w:val="22"/>
                <w:szCs w:val="22"/>
              </w:rPr>
              <w:tab/>
              <w:t>We would request that the information should be reserved permanently.</w:t>
            </w:r>
          </w:p>
          <w:p w14:paraId="109D3F68" w14:textId="77777777" w:rsidR="00B172C2" w:rsidRPr="001F238D" w:rsidRDefault="00B172C2" w:rsidP="00B172C2">
            <w:pPr>
              <w:jc w:val="both"/>
              <w:rPr>
                <w:rFonts w:ascii="Tahoma" w:eastAsia="Calibri" w:hAnsi="Tahoma"/>
                <w:sz w:val="22"/>
                <w:szCs w:val="22"/>
                <w:lang w:eastAsia="en-US"/>
              </w:rPr>
            </w:pPr>
          </w:p>
        </w:tc>
      </w:tr>
    </w:tbl>
    <w:p w14:paraId="624B2704" w14:textId="77777777" w:rsidR="009328C2" w:rsidRDefault="009328C2"/>
    <w:p w14:paraId="7824BD76" w14:textId="77777777" w:rsidR="002E656D" w:rsidRPr="00916C64" w:rsidRDefault="002E656D" w:rsidP="002E656D">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representations or understandings whether written or oral.</w:t>
      </w:r>
    </w:p>
    <w:p w14:paraId="34853F1F" w14:textId="0070041B" w:rsidR="002E656D" w:rsidRDefault="002E656D" w:rsidP="002E656D">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p w14:paraId="645A3408" w14:textId="28DE7F53" w:rsidR="002A789A" w:rsidRPr="00916C64" w:rsidRDefault="002A789A" w:rsidP="002E656D">
      <w:pPr>
        <w:spacing w:after="160" w:line="259" w:lineRule="auto"/>
        <w:rPr>
          <w:rFonts w:ascii="Arial" w:eastAsia="Calibri" w:hAnsi="Arial"/>
          <w:sz w:val="22"/>
          <w:szCs w:val="22"/>
          <w:lang w:eastAsia="en-US"/>
        </w:rPr>
      </w:pPr>
      <w:r>
        <w:rPr>
          <w:noProof/>
        </w:rPr>
        <w:drawing>
          <wp:inline distT="0" distB="0" distL="0" distR="0" wp14:anchorId="7AC755E9" wp14:editId="23BE5095">
            <wp:extent cx="5199161" cy="3252788"/>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1511" cy="3254258"/>
                    </a:xfrm>
                    <a:prstGeom prst="rect">
                      <a:avLst/>
                    </a:prstGeom>
                  </pic:spPr>
                </pic:pic>
              </a:graphicData>
            </a:graphic>
          </wp:inline>
        </w:drawing>
      </w:r>
    </w:p>
    <w:p w14:paraId="1C8C8C0B" w14:textId="3FDAE9D3" w:rsidR="0064494F" w:rsidRPr="0064494F" w:rsidRDefault="0064494F" w:rsidP="0064494F">
      <w:pPr>
        <w:ind w:left="142" w:right="394"/>
        <w:jc w:val="both"/>
        <w:rPr>
          <w:rFonts w:ascii="Verdana" w:hAnsi="Verdana" w:cstheme="minorHAnsi"/>
          <w:b/>
        </w:rPr>
      </w:pPr>
      <w:r w:rsidRPr="0064494F">
        <w:rPr>
          <w:rFonts w:ascii="Verdana" w:hAnsi="Verdana"/>
          <w:noProof/>
        </w:rPr>
        <w:lastRenderedPageBreak/>
        <w:drawing>
          <wp:inline distT="0" distB="0" distL="0" distR="0" wp14:anchorId="605837D5" wp14:editId="3362D75F">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56E54E7F" w14:textId="77777777" w:rsidR="0064494F" w:rsidRPr="0064494F" w:rsidRDefault="0064494F" w:rsidP="0064494F">
      <w:pPr>
        <w:ind w:left="142" w:right="394"/>
        <w:jc w:val="center"/>
        <w:rPr>
          <w:rFonts w:ascii="Verdana" w:hAnsi="Verdana" w:cstheme="minorHAnsi"/>
          <w:b/>
        </w:rPr>
      </w:pPr>
      <w:r>
        <w:rPr>
          <w:rFonts w:ascii="Verdana" w:hAnsi="Verdana" w:cstheme="minorHAnsi"/>
          <w:b/>
        </w:rPr>
        <w:t>Appendix 1:</w:t>
      </w:r>
    </w:p>
    <w:p w14:paraId="3601496F" w14:textId="77777777" w:rsidR="0064494F" w:rsidRPr="0064494F" w:rsidRDefault="0064494F" w:rsidP="0064494F">
      <w:pPr>
        <w:ind w:left="142" w:right="394"/>
        <w:jc w:val="center"/>
        <w:rPr>
          <w:rFonts w:ascii="Verdana" w:hAnsi="Verdana" w:cstheme="minorHAnsi"/>
          <w:b/>
        </w:rPr>
      </w:pPr>
      <w:r w:rsidRPr="0064494F">
        <w:rPr>
          <w:rFonts w:ascii="Verdana" w:hAnsi="Verdana" w:cstheme="minorHAnsi"/>
          <w:b/>
        </w:rPr>
        <w:t>AUTHORITY’S MANDATORY TERMS</w:t>
      </w:r>
    </w:p>
    <w:p w14:paraId="6A6B055B" w14:textId="77777777" w:rsidR="0064494F" w:rsidRPr="0064494F" w:rsidRDefault="0064494F" w:rsidP="0064494F">
      <w:pPr>
        <w:pStyle w:val="BodyText"/>
        <w:numPr>
          <w:ilvl w:val="0"/>
          <w:numId w:val="12"/>
        </w:numPr>
        <w:spacing w:before="121"/>
        <w:ind w:left="567" w:right="394" w:hanging="425"/>
        <w:jc w:val="both"/>
        <w:rPr>
          <w:rFonts w:ascii="Verdana" w:hAnsi="Verdana" w:cstheme="minorHAnsi"/>
          <w:sz w:val="22"/>
          <w:szCs w:val="22"/>
        </w:rPr>
      </w:pPr>
      <w:r w:rsidRPr="0064494F">
        <w:rPr>
          <w:rFonts w:ascii="Verdana" w:hAnsi="Verdana" w:cstheme="minorHAnsi"/>
          <w:sz w:val="22"/>
          <w:szCs w:val="22"/>
        </w:rPr>
        <w:t>For the avoidance of doubt, references to ‘the Agreement’ mean the attached Call-Off Contract between</w:t>
      </w:r>
      <w:r w:rsidRPr="0064494F">
        <w:rPr>
          <w:rFonts w:ascii="Verdana" w:hAnsi="Verdana" w:cstheme="minorHAnsi"/>
          <w:spacing w:val="-8"/>
          <w:sz w:val="22"/>
          <w:szCs w:val="22"/>
        </w:rPr>
        <w:t xml:space="preserve"> </w:t>
      </w:r>
      <w:r w:rsidRPr="0064494F">
        <w:rPr>
          <w:rFonts w:ascii="Verdana" w:hAnsi="Verdana" w:cstheme="minorHAnsi"/>
          <w:sz w:val="22"/>
          <w:szCs w:val="22"/>
        </w:rPr>
        <w:t>the Supplier and</w:t>
      </w:r>
      <w:r w:rsidRPr="0064494F">
        <w:rPr>
          <w:rFonts w:ascii="Verdana" w:hAnsi="Verdana" w:cstheme="minorHAnsi"/>
          <w:spacing w:val="-9"/>
          <w:sz w:val="22"/>
          <w:szCs w:val="22"/>
        </w:rPr>
        <w:t xml:space="preserve"> </w:t>
      </w:r>
      <w:r w:rsidRPr="0064494F">
        <w:rPr>
          <w:rFonts w:ascii="Verdana" w:hAnsi="Verdana" w:cstheme="minorHAnsi"/>
          <w:sz w:val="22"/>
          <w:szCs w:val="22"/>
        </w:rPr>
        <w:t xml:space="preserve">the Authority. </w:t>
      </w:r>
      <w:r w:rsidRPr="0064494F">
        <w:rPr>
          <w:rFonts w:ascii="Verdana" w:hAnsi="Verdana" w:cstheme="minorHAnsi"/>
          <w:spacing w:val="-9"/>
          <w:sz w:val="22"/>
          <w:szCs w:val="22"/>
        </w:rPr>
        <w:t>References to ‘the Authority’ mean ‘the Buyer’ (the Commissioners for Her Majesty’s Revenue and Customs).</w:t>
      </w:r>
    </w:p>
    <w:p w14:paraId="26B972B0" w14:textId="77777777" w:rsidR="0064494F" w:rsidRPr="0064494F" w:rsidRDefault="0064494F" w:rsidP="0064494F">
      <w:pPr>
        <w:pStyle w:val="BodyText"/>
        <w:numPr>
          <w:ilvl w:val="0"/>
          <w:numId w:val="12"/>
        </w:numPr>
        <w:spacing w:before="121"/>
        <w:ind w:left="567" w:right="394" w:hanging="425"/>
        <w:jc w:val="both"/>
        <w:rPr>
          <w:rFonts w:ascii="Verdana" w:hAnsi="Verdana" w:cstheme="minorHAnsi"/>
          <w:sz w:val="22"/>
          <w:szCs w:val="22"/>
        </w:rPr>
      </w:pPr>
      <w:r w:rsidRPr="0064494F">
        <w:rPr>
          <w:rFonts w:ascii="Verdana" w:hAnsi="Verdana" w:cstheme="minorHAnsi"/>
          <w:sz w:val="22"/>
          <w:szCs w:val="22"/>
        </w:rPr>
        <w:t>The Agreement incorporates the Authority’s mandatory terms set out in this</w:t>
      </w:r>
      <w:r>
        <w:rPr>
          <w:rFonts w:ascii="Verdana" w:hAnsi="Verdana" w:cstheme="minorHAnsi"/>
          <w:sz w:val="22"/>
          <w:szCs w:val="22"/>
        </w:rPr>
        <w:t xml:space="preserve"> Appendix 1</w:t>
      </w:r>
      <w:r w:rsidRPr="0064494F">
        <w:rPr>
          <w:rFonts w:ascii="Verdana" w:hAnsi="Verdana" w:cstheme="minorHAnsi"/>
          <w:spacing w:val="-9"/>
          <w:sz w:val="22"/>
          <w:szCs w:val="22"/>
        </w:rPr>
        <w:t xml:space="preserve">. </w:t>
      </w:r>
    </w:p>
    <w:p w14:paraId="3371A2BB" w14:textId="77777777" w:rsidR="0064494F" w:rsidRPr="0064494F" w:rsidRDefault="0064494F" w:rsidP="0064494F">
      <w:pPr>
        <w:pStyle w:val="BodyText"/>
        <w:numPr>
          <w:ilvl w:val="0"/>
          <w:numId w:val="12"/>
        </w:numPr>
        <w:spacing w:before="121"/>
        <w:ind w:left="567" w:right="394" w:hanging="425"/>
        <w:jc w:val="both"/>
        <w:rPr>
          <w:rFonts w:ascii="Verdana" w:hAnsi="Verdana" w:cstheme="minorHAnsi"/>
          <w:sz w:val="22"/>
          <w:szCs w:val="22"/>
        </w:rPr>
      </w:pPr>
      <w:r w:rsidRPr="0064494F">
        <w:rPr>
          <w:rFonts w:ascii="Verdana" w:hAnsi="Verdana" w:cstheme="minorHAnsi"/>
          <w:sz w:val="22"/>
          <w:szCs w:val="22"/>
        </w:rPr>
        <w:t xml:space="preserve">In case of any ambiguity or conflict, the Authority’s mandatory terms in this </w:t>
      </w:r>
      <w:r>
        <w:rPr>
          <w:rFonts w:ascii="Verdana" w:hAnsi="Verdana" w:cstheme="minorHAnsi"/>
          <w:sz w:val="22"/>
          <w:szCs w:val="22"/>
        </w:rPr>
        <w:t>Appendix 1</w:t>
      </w:r>
      <w:r w:rsidRPr="0064494F">
        <w:rPr>
          <w:rFonts w:ascii="Verdana" w:hAnsi="Verdana" w:cstheme="minorHAnsi"/>
          <w:sz w:val="22"/>
          <w:szCs w:val="22"/>
        </w:rPr>
        <w:t xml:space="preserve"> will supersede any other terms in the Agreement.  </w:t>
      </w:r>
    </w:p>
    <w:p w14:paraId="297C9CC7" w14:textId="77777777" w:rsidR="0064494F" w:rsidRPr="0064494F" w:rsidRDefault="0064494F" w:rsidP="0064494F">
      <w:pPr>
        <w:pStyle w:val="ListParagraph"/>
        <w:ind w:left="426"/>
        <w:rPr>
          <w:rFonts w:ascii="Verdana" w:hAnsi="Verdana" w:cstheme="minorHAnsi"/>
          <w:b/>
        </w:rPr>
      </w:pPr>
    </w:p>
    <w:p w14:paraId="2C9744A7" w14:textId="77777777" w:rsidR="0064494F" w:rsidRPr="0064494F" w:rsidRDefault="0064494F" w:rsidP="0064494F">
      <w:pPr>
        <w:pStyle w:val="ListParagraph"/>
        <w:numPr>
          <w:ilvl w:val="0"/>
          <w:numId w:val="10"/>
        </w:numPr>
        <w:ind w:left="426" w:hanging="426"/>
        <w:rPr>
          <w:rFonts w:ascii="Verdana" w:hAnsi="Verdana" w:cstheme="minorHAnsi"/>
          <w:b/>
        </w:rPr>
      </w:pPr>
      <w:r w:rsidRPr="0064494F">
        <w:rPr>
          <w:rFonts w:ascii="Verdana" w:hAnsi="Verdana" w:cstheme="minorHAnsi"/>
          <w:b/>
        </w:rPr>
        <w:t xml:space="preserve">Definitions </w:t>
      </w:r>
    </w:p>
    <w:tbl>
      <w:tblPr>
        <w:tblW w:w="0" w:type="auto"/>
        <w:tblInd w:w="108" w:type="dxa"/>
        <w:tblLook w:val="01E0" w:firstRow="1" w:lastRow="1" w:firstColumn="1" w:lastColumn="1" w:noHBand="0" w:noVBand="0"/>
      </w:tblPr>
      <w:tblGrid>
        <w:gridCol w:w="2415"/>
        <w:gridCol w:w="6503"/>
      </w:tblGrid>
      <w:tr w:rsidR="0064494F" w:rsidRPr="0064494F" w14:paraId="54810F8B" w14:textId="77777777" w:rsidTr="00FE56F3">
        <w:tc>
          <w:tcPr>
            <w:tcW w:w="2160" w:type="dxa"/>
          </w:tcPr>
          <w:p w14:paraId="423183A6" w14:textId="77777777" w:rsidR="0064494F" w:rsidRPr="0064494F" w:rsidRDefault="0064494F" w:rsidP="00FE56F3">
            <w:pPr>
              <w:rPr>
                <w:rFonts w:ascii="Verdana" w:hAnsi="Verdana" w:cstheme="minorHAnsi"/>
                <w:b/>
              </w:rPr>
            </w:pPr>
            <w:r w:rsidRPr="0064494F">
              <w:rPr>
                <w:rFonts w:ascii="Verdana" w:hAnsi="Verdana" w:cstheme="minorHAnsi"/>
                <w:b/>
              </w:rPr>
              <w:t>“Affiliate”</w:t>
            </w:r>
          </w:p>
        </w:tc>
        <w:tc>
          <w:tcPr>
            <w:tcW w:w="6758" w:type="dxa"/>
          </w:tcPr>
          <w:p w14:paraId="00944E00" w14:textId="77777777" w:rsidR="0064494F" w:rsidRPr="0064494F" w:rsidRDefault="0064494F" w:rsidP="00FE56F3">
            <w:pPr>
              <w:rPr>
                <w:rFonts w:ascii="Verdana" w:hAnsi="Verdana" w:cstheme="minorHAnsi"/>
              </w:rPr>
            </w:pPr>
            <w:r w:rsidRPr="0064494F">
              <w:rPr>
                <w:rFonts w:ascii="Verdana" w:hAnsi="Verdana"/>
              </w:rPr>
              <w:t>in relation to a body corporate, any other entity which directly or indirectly Controls, is Controlled by, or is under direct or indirect common Control with, that body corporate from time to time;</w:t>
            </w:r>
          </w:p>
        </w:tc>
      </w:tr>
      <w:tr w:rsidR="0064494F" w:rsidRPr="0064494F" w14:paraId="537FE954" w14:textId="77777777" w:rsidTr="00FE56F3">
        <w:tc>
          <w:tcPr>
            <w:tcW w:w="2160" w:type="dxa"/>
          </w:tcPr>
          <w:p w14:paraId="763E3484" w14:textId="77777777" w:rsidR="0064494F" w:rsidRPr="0064494F" w:rsidRDefault="0064494F" w:rsidP="00FE56F3">
            <w:pPr>
              <w:rPr>
                <w:rFonts w:ascii="Verdana" w:hAnsi="Verdana" w:cstheme="minorHAnsi"/>
                <w:b/>
              </w:rPr>
            </w:pPr>
            <w:r w:rsidRPr="0064494F">
              <w:rPr>
                <w:rFonts w:ascii="Verdana" w:hAnsi="Verdana" w:cstheme="minorHAnsi"/>
                <w:b/>
              </w:rPr>
              <w:t>“Authority Data”</w:t>
            </w:r>
          </w:p>
        </w:tc>
        <w:tc>
          <w:tcPr>
            <w:tcW w:w="6758" w:type="dxa"/>
          </w:tcPr>
          <w:p w14:paraId="4B719C45" w14:textId="77777777" w:rsidR="0064494F" w:rsidRPr="0064494F" w:rsidRDefault="0064494F" w:rsidP="0064494F">
            <w:pPr>
              <w:pStyle w:val="ListParagraph"/>
              <w:numPr>
                <w:ilvl w:val="0"/>
                <w:numId w:val="2"/>
              </w:numPr>
              <w:rPr>
                <w:rFonts w:ascii="Verdana" w:hAnsi="Verdana" w:cstheme="minorHAnsi"/>
              </w:rPr>
            </w:pPr>
            <w:r w:rsidRPr="0064494F">
              <w:rPr>
                <w:rFonts w:ascii="Verdana" w:hAnsi="Verdana" w:cstheme="minorHAnsi"/>
              </w:rPr>
              <w:t>the data, text, drawings, diagrams, images or sounds (together with any database made up of any of these) which are embodied in any electronic, magnetic, optical or tangible media, and which are:</w:t>
            </w:r>
          </w:p>
          <w:p w14:paraId="6084E7B2" w14:textId="77777777" w:rsidR="0064494F" w:rsidRPr="0064494F" w:rsidRDefault="0064494F" w:rsidP="0064494F">
            <w:pPr>
              <w:numPr>
                <w:ilvl w:val="3"/>
                <w:numId w:val="2"/>
              </w:numPr>
              <w:tabs>
                <w:tab w:val="clear" w:pos="2695"/>
                <w:tab w:val="num" w:pos="759"/>
              </w:tabs>
              <w:spacing w:after="160" w:line="259" w:lineRule="auto"/>
              <w:ind w:left="829" w:hanging="283"/>
              <w:rPr>
                <w:rFonts w:ascii="Verdana" w:hAnsi="Verdana" w:cstheme="minorHAnsi"/>
              </w:rPr>
            </w:pPr>
            <w:r w:rsidRPr="0064494F">
              <w:rPr>
                <w:rFonts w:ascii="Verdana" w:hAnsi="Verdana" w:cstheme="minorHAnsi"/>
              </w:rPr>
              <w:t xml:space="preserve">supplied to the Supplier by or on behalf of the Authority; and/or </w:t>
            </w:r>
          </w:p>
          <w:p w14:paraId="65B96F54" w14:textId="77777777" w:rsidR="0064494F" w:rsidRPr="0064494F" w:rsidRDefault="0064494F" w:rsidP="0064494F">
            <w:pPr>
              <w:numPr>
                <w:ilvl w:val="3"/>
                <w:numId w:val="2"/>
              </w:numPr>
              <w:tabs>
                <w:tab w:val="clear" w:pos="2695"/>
                <w:tab w:val="num" w:pos="759"/>
              </w:tabs>
              <w:spacing w:after="160" w:line="259" w:lineRule="auto"/>
              <w:ind w:left="829" w:hanging="283"/>
              <w:rPr>
                <w:rFonts w:ascii="Verdana" w:hAnsi="Verdana" w:cstheme="minorHAnsi"/>
              </w:rPr>
            </w:pPr>
            <w:r w:rsidRPr="0064494F">
              <w:rPr>
                <w:rFonts w:ascii="Verdana" w:hAnsi="Verdana" w:cstheme="minorHAnsi"/>
              </w:rPr>
              <w:t>which the Supplier is required to generate, process, store or transmit pursuant to this Agreement; or</w:t>
            </w:r>
          </w:p>
          <w:p w14:paraId="15F0D74A" w14:textId="77777777" w:rsidR="0064494F" w:rsidRPr="0064494F" w:rsidRDefault="0064494F" w:rsidP="0064494F">
            <w:pPr>
              <w:pStyle w:val="ListParagraph"/>
              <w:numPr>
                <w:ilvl w:val="0"/>
                <w:numId w:val="2"/>
              </w:numPr>
              <w:rPr>
                <w:rFonts w:ascii="Verdana" w:hAnsi="Verdana" w:cstheme="minorHAnsi"/>
              </w:rPr>
            </w:pPr>
            <w:r w:rsidRPr="0064494F">
              <w:rPr>
                <w:rFonts w:ascii="Verdana" w:hAnsi="Verdana" w:cstheme="minorHAnsi"/>
              </w:rPr>
              <w:t>any Personal Data for which the Authority is the Controller, or any data derived from such Personal Data which has had any designatory data identifiers removed so that an individual cannot be identified;</w:t>
            </w:r>
          </w:p>
        </w:tc>
      </w:tr>
      <w:tr w:rsidR="0064494F" w:rsidRPr="0064494F" w14:paraId="6C7D314B" w14:textId="77777777" w:rsidTr="00FE56F3">
        <w:tc>
          <w:tcPr>
            <w:tcW w:w="2160" w:type="dxa"/>
          </w:tcPr>
          <w:p w14:paraId="6D27253D" w14:textId="77777777" w:rsidR="0064494F" w:rsidRPr="0064494F" w:rsidRDefault="0064494F" w:rsidP="00FE56F3">
            <w:pPr>
              <w:rPr>
                <w:rFonts w:ascii="Verdana" w:hAnsi="Verdana" w:cstheme="minorHAnsi"/>
                <w:b/>
              </w:rPr>
            </w:pPr>
            <w:r w:rsidRPr="0064494F">
              <w:rPr>
                <w:rFonts w:ascii="Verdana" w:hAnsi="Verdana" w:cs="Calibri"/>
                <w:b/>
                <w:bCs/>
              </w:rPr>
              <w:t>“Charges”</w:t>
            </w:r>
            <w:r w:rsidRPr="0064494F">
              <w:rPr>
                <w:rFonts w:ascii="Verdana" w:hAnsi="Verdana" w:cs="Calibri"/>
              </w:rPr>
              <w:t> </w:t>
            </w:r>
          </w:p>
        </w:tc>
        <w:tc>
          <w:tcPr>
            <w:tcW w:w="6758" w:type="dxa"/>
          </w:tcPr>
          <w:p w14:paraId="11CC7A51" w14:textId="77777777" w:rsidR="0064494F" w:rsidRPr="0064494F" w:rsidRDefault="0064494F" w:rsidP="00FE56F3">
            <w:pPr>
              <w:rPr>
                <w:rFonts w:ascii="Verdana" w:hAnsi="Verdana" w:cstheme="minorHAnsi"/>
              </w:rPr>
            </w:pPr>
            <w:r w:rsidRPr="0064494F">
              <w:rPr>
                <w:rFonts w:ascii="Verdana" w:hAnsi="Verdana" w:cs="Calibri"/>
              </w:rPr>
              <w:t xml:space="preserve">the charges for the Services as specified in </w:t>
            </w:r>
            <w:r>
              <w:rPr>
                <w:rFonts w:ascii="Verdana" w:hAnsi="Verdana" w:cs="Calibri"/>
              </w:rPr>
              <w:t>section A5 of the Service Order</w:t>
            </w:r>
            <w:r w:rsidRPr="0064494F">
              <w:rPr>
                <w:rFonts w:ascii="Verdana" w:hAnsi="Verdana" w:cs="Calibri"/>
              </w:rPr>
              <w:t>;</w:t>
            </w:r>
          </w:p>
        </w:tc>
      </w:tr>
      <w:tr w:rsidR="0064494F" w:rsidRPr="0064494F" w14:paraId="38615690" w14:textId="77777777" w:rsidTr="00FE56F3">
        <w:tc>
          <w:tcPr>
            <w:tcW w:w="2160" w:type="dxa"/>
          </w:tcPr>
          <w:p w14:paraId="19D8E91C" w14:textId="77777777" w:rsidR="0064494F" w:rsidRPr="0064494F" w:rsidRDefault="0064494F" w:rsidP="00FE56F3">
            <w:pPr>
              <w:rPr>
                <w:rFonts w:ascii="Verdana" w:hAnsi="Verdana" w:cstheme="minorHAnsi"/>
              </w:rPr>
            </w:pPr>
            <w:r w:rsidRPr="0064494F">
              <w:rPr>
                <w:rFonts w:ascii="Verdana" w:hAnsi="Verdana" w:cstheme="minorHAnsi"/>
                <w:b/>
              </w:rPr>
              <w:t>“Connected Company”</w:t>
            </w:r>
          </w:p>
        </w:tc>
        <w:tc>
          <w:tcPr>
            <w:tcW w:w="6758" w:type="dxa"/>
          </w:tcPr>
          <w:p w14:paraId="31738926" w14:textId="77777777" w:rsidR="0064494F" w:rsidRPr="0064494F" w:rsidRDefault="0064494F" w:rsidP="00FE56F3">
            <w:pPr>
              <w:contextualSpacing/>
              <w:jc w:val="both"/>
              <w:rPr>
                <w:rFonts w:ascii="Verdana" w:hAnsi="Verdana" w:cstheme="minorHAnsi"/>
              </w:rPr>
            </w:pPr>
            <w:r w:rsidRPr="0064494F">
              <w:rPr>
                <w:rFonts w:ascii="Verdana" w:hAnsi="Verdana" w:cstheme="minorHAnsi"/>
              </w:rPr>
              <w:t>means, in relation to a company, entity or other person, the Affiliates of that company, entity or other person or any other person associated with such company, entity or other person;</w:t>
            </w:r>
          </w:p>
        </w:tc>
      </w:tr>
      <w:tr w:rsidR="0064494F" w:rsidRPr="0064494F" w14:paraId="2FA076D8" w14:textId="77777777" w:rsidTr="00FE56F3">
        <w:tc>
          <w:tcPr>
            <w:tcW w:w="2160" w:type="dxa"/>
          </w:tcPr>
          <w:p w14:paraId="0942B166" w14:textId="77777777" w:rsidR="0064494F" w:rsidRPr="0064494F" w:rsidRDefault="0064494F" w:rsidP="00FE56F3">
            <w:pPr>
              <w:rPr>
                <w:rFonts w:ascii="Verdana" w:hAnsi="Verdana" w:cstheme="minorHAnsi"/>
                <w:b/>
              </w:rPr>
            </w:pPr>
            <w:r w:rsidRPr="0064494F">
              <w:rPr>
                <w:rFonts w:ascii="Verdana" w:hAnsi="Verdana" w:cstheme="minorHAnsi"/>
                <w:b/>
              </w:rPr>
              <w:t>“Control”</w:t>
            </w:r>
          </w:p>
        </w:tc>
        <w:tc>
          <w:tcPr>
            <w:tcW w:w="6758" w:type="dxa"/>
          </w:tcPr>
          <w:p w14:paraId="5E9C5CC9" w14:textId="77777777" w:rsidR="0064494F" w:rsidRPr="0064494F" w:rsidRDefault="0064494F" w:rsidP="00FE56F3">
            <w:pPr>
              <w:contextualSpacing/>
              <w:jc w:val="both"/>
              <w:rPr>
                <w:rFonts w:ascii="Verdana" w:hAnsi="Verdana" w:cstheme="minorHAnsi"/>
              </w:rPr>
            </w:pPr>
            <w:r w:rsidRPr="0064494F">
              <w:rPr>
                <w:rFonts w:ascii="Verdana" w:hAnsi="Verdana"/>
              </w:rPr>
              <w:t xml:space="preserve">the possession by a  person, directly or indirectly, of the power to direct or cause the direction of the management and policies of the other person (whether through the ownership of voting shares, by </w:t>
            </w:r>
            <w:r w:rsidRPr="0064494F">
              <w:rPr>
                <w:rFonts w:ascii="Verdana" w:hAnsi="Verdana"/>
              </w:rPr>
              <w:lastRenderedPageBreak/>
              <w:t xml:space="preserve">contract or otherwise) and </w:t>
            </w:r>
            <w:r w:rsidRPr="0064494F">
              <w:rPr>
                <w:rFonts w:ascii="Verdana" w:hAnsi="Verdana"/>
                <w:bCs/>
              </w:rPr>
              <w:t>“</w:t>
            </w:r>
            <w:r w:rsidRPr="0064494F">
              <w:rPr>
                <w:rFonts w:ascii="Verdana" w:hAnsi="Verdana"/>
              </w:rPr>
              <w:t xml:space="preserve">Controls” and </w:t>
            </w:r>
            <w:r w:rsidRPr="0064494F">
              <w:rPr>
                <w:rFonts w:ascii="Verdana" w:hAnsi="Verdana"/>
                <w:bCs/>
              </w:rPr>
              <w:t>“</w:t>
            </w:r>
            <w:r w:rsidRPr="0064494F">
              <w:rPr>
                <w:rFonts w:ascii="Verdana" w:hAnsi="Verdana"/>
              </w:rPr>
              <w:t>Controlled” shall be interpreted accordingly;</w:t>
            </w:r>
          </w:p>
        </w:tc>
      </w:tr>
      <w:tr w:rsidR="0064494F" w:rsidRPr="0064494F" w14:paraId="1BFA4490" w14:textId="77777777" w:rsidTr="00FE56F3">
        <w:tc>
          <w:tcPr>
            <w:tcW w:w="2160" w:type="dxa"/>
          </w:tcPr>
          <w:p w14:paraId="39FBFE8E" w14:textId="77777777" w:rsidR="0064494F" w:rsidRPr="0064494F" w:rsidRDefault="0064494F" w:rsidP="00FE56F3">
            <w:pPr>
              <w:rPr>
                <w:rFonts w:ascii="Verdana" w:hAnsi="Verdana" w:cstheme="minorHAnsi"/>
                <w:b/>
              </w:rPr>
            </w:pPr>
            <w:r w:rsidRPr="0064494F">
              <w:rPr>
                <w:rFonts w:ascii="Verdana" w:hAnsi="Verdana" w:cstheme="minorHAnsi"/>
                <w:b/>
              </w:rPr>
              <w:lastRenderedPageBreak/>
              <w:t>“Controller”, “Processor”, “Data Subject”,</w:t>
            </w:r>
          </w:p>
        </w:tc>
        <w:tc>
          <w:tcPr>
            <w:tcW w:w="6758" w:type="dxa"/>
          </w:tcPr>
          <w:p w14:paraId="13616F5F" w14:textId="77777777" w:rsidR="0064494F" w:rsidRPr="0064494F" w:rsidRDefault="0064494F" w:rsidP="00FE56F3">
            <w:pPr>
              <w:contextualSpacing/>
              <w:jc w:val="both"/>
              <w:rPr>
                <w:rFonts w:ascii="Verdana" w:hAnsi="Verdana" w:cstheme="minorHAnsi"/>
              </w:rPr>
            </w:pPr>
            <w:r w:rsidRPr="0064494F">
              <w:rPr>
                <w:rFonts w:ascii="Verdana" w:hAnsi="Verdana" w:cstheme="minorHAnsi"/>
              </w:rPr>
              <w:t xml:space="preserve">take the meaning given in the GDPR;  </w:t>
            </w:r>
          </w:p>
        </w:tc>
      </w:tr>
      <w:tr w:rsidR="0064494F" w:rsidRPr="0064494F" w14:paraId="1F24160C" w14:textId="77777777" w:rsidTr="00FE56F3">
        <w:tc>
          <w:tcPr>
            <w:tcW w:w="2160" w:type="dxa"/>
          </w:tcPr>
          <w:p w14:paraId="6B2512DD" w14:textId="77777777" w:rsidR="0064494F" w:rsidRPr="0064494F" w:rsidRDefault="0064494F" w:rsidP="00FE56F3">
            <w:pPr>
              <w:rPr>
                <w:rFonts w:ascii="Verdana" w:hAnsi="Verdana" w:cstheme="minorHAnsi"/>
                <w:b/>
              </w:rPr>
            </w:pPr>
            <w:r w:rsidRPr="0064494F">
              <w:rPr>
                <w:rFonts w:ascii="Verdana" w:hAnsi="Verdana" w:cstheme="minorHAnsi"/>
                <w:b/>
              </w:rPr>
              <w:t>“Data Protection Legislation”</w:t>
            </w:r>
          </w:p>
        </w:tc>
        <w:tc>
          <w:tcPr>
            <w:tcW w:w="6758" w:type="dxa"/>
          </w:tcPr>
          <w:p w14:paraId="08519E3A" w14:textId="77777777" w:rsidR="0064494F" w:rsidRPr="0064494F" w:rsidRDefault="0064494F" w:rsidP="0064494F">
            <w:pPr>
              <w:pStyle w:val="ListParagraph"/>
              <w:numPr>
                <w:ilvl w:val="1"/>
                <w:numId w:val="12"/>
              </w:numPr>
              <w:jc w:val="both"/>
              <w:rPr>
                <w:rFonts w:ascii="Verdana" w:eastAsia="Times New Roman" w:hAnsi="Verdana" w:cstheme="minorHAnsi"/>
              </w:rPr>
            </w:pPr>
            <w:r w:rsidRPr="0064494F">
              <w:rPr>
                <w:rFonts w:ascii="Verdana" w:hAnsi="Verdana" w:cstheme="minorHAnsi"/>
              </w:rPr>
              <w:t xml:space="preserve">the GDPR, the Law Enforcement Directive (Directive EU 2016/680) and any applicable national implementing Laws as amended from time to time; </w:t>
            </w:r>
          </w:p>
          <w:p w14:paraId="3E2FC6F3" w14:textId="77777777" w:rsidR="0064494F" w:rsidRPr="0064494F" w:rsidRDefault="0064494F" w:rsidP="0064494F">
            <w:pPr>
              <w:pStyle w:val="ListParagraph"/>
              <w:numPr>
                <w:ilvl w:val="1"/>
                <w:numId w:val="12"/>
              </w:numPr>
              <w:ind w:left="459" w:hanging="425"/>
              <w:jc w:val="both"/>
              <w:rPr>
                <w:rFonts w:ascii="Verdana" w:eastAsia="Times New Roman" w:hAnsi="Verdana" w:cstheme="minorHAnsi"/>
              </w:rPr>
            </w:pPr>
            <w:r w:rsidRPr="0064494F">
              <w:rPr>
                <w:rFonts w:ascii="Verdana" w:hAnsi="Verdana" w:cstheme="minorHAnsi"/>
              </w:rPr>
              <w:t xml:space="preserve">the Data Protection Act 2018 to the extent that it relates to processing of personal data and privacy; </w:t>
            </w:r>
          </w:p>
          <w:p w14:paraId="49F034BD" w14:textId="77777777" w:rsidR="0064494F" w:rsidRPr="0064494F" w:rsidRDefault="0064494F" w:rsidP="0064494F">
            <w:pPr>
              <w:pStyle w:val="ListParagraph"/>
              <w:numPr>
                <w:ilvl w:val="1"/>
                <w:numId w:val="12"/>
              </w:numPr>
              <w:ind w:left="459" w:hanging="425"/>
              <w:jc w:val="both"/>
              <w:rPr>
                <w:rFonts w:ascii="Verdana" w:eastAsia="Times New Roman" w:hAnsi="Verdana" w:cstheme="minorHAnsi"/>
              </w:rPr>
            </w:pPr>
            <w:r w:rsidRPr="0064494F">
              <w:rPr>
                <w:rFonts w:ascii="Verdana" w:hAnsi="Verdana" w:cstheme="minorHAnsi"/>
              </w:rPr>
              <w:t>all applicable Law about the processing of personal data and privacy;</w:t>
            </w:r>
          </w:p>
        </w:tc>
      </w:tr>
      <w:tr w:rsidR="0064494F" w:rsidRPr="0064494F" w14:paraId="2C54BD1B" w14:textId="77777777" w:rsidTr="00FE56F3">
        <w:tc>
          <w:tcPr>
            <w:tcW w:w="2160" w:type="dxa"/>
          </w:tcPr>
          <w:p w14:paraId="466E869A" w14:textId="77777777" w:rsidR="0064494F" w:rsidRPr="0064494F" w:rsidRDefault="0064494F" w:rsidP="00FE56F3">
            <w:pPr>
              <w:rPr>
                <w:rFonts w:ascii="Verdana" w:hAnsi="Verdana" w:cstheme="minorHAnsi"/>
                <w:b/>
              </w:rPr>
            </w:pPr>
            <w:r w:rsidRPr="0064494F">
              <w:rPr>
                <w:rFonts w:ascii="Verdana" w:hAnsi="Verdana" w:cstheme="minorHAnsi"/>
                <w:b/>
              </w:rPr>
              <w:t>“GDPR”</w:t>
            </w:r>
            <w:r w:rsidRPr="0064494F">
              <w:rPr>
                <w:rFonts w:ascii="Verdana" w:hAnsi="Verdana" w:cstheme="minorHAnsi"/>
                <w:b/>
              </w:rPr>
              <w:tab/>
            </w:r>
          </w:p>
        </w:tc>
        <w:tc>
          <w:tcPr>
            <w:tcW w:w="6758" w:type="dxa"/>
          </w:tcPr>
          <w:p w14:paraId="192E9D49" w14:textId="77777777" w:rsidR="0064494F" w:rsidRPr="0064494F" w:rsidRDefault="0064494F" w:rsidP="00FE56F3">
            <w:pPr>
              <w:contextualSpacing/>
              <w:jc w:val="both"/>
              <w:rPr>
                <w:rFonts w:ascii="Verdana" w:hAnsi="Verdana" w:cstheme="minorHAnsi"/>
              </w:rPr>
            </w:pPr>
            <w:r w:rsidRPr="0064494F">
              <w:rPr>
                <w:rFonts w:ascii="Verdana" w:hAnsi="Verdana" w:cstheme="minorHAnsi"/>
              </w:rPr>
              <w:t>the General Data Protection Regulation (Regulation (EU) 2016/679);</w:t>
            </w:r>
          </w:p>
        </w:tc>
      </w:tr>
      <w:tr w:rsidR="0064494F" w:rsidRPr="0064494F" w14:paraId="38FF91F7" w14:textId="77777777" w:rsidTr="00FE56F3">
        <w:tc>
          <w:tcPr>
            <w:tcW w:w="2160" w:type="dxa"/>
          </w:tcPr>
          <w:p w14:paraId="49E78881" w14:textId="77777777" w:rsidR="0064494F" w:rsidRPr="0064494F" w:rsidRDefault="0064494F" w:rsidP="00FE56F3">
            <w:pPr>
              <w:rPr>
                <w:rFonts w:ascii="Verdana" w:hAnsi="Verdana" w:cstheme="minorHAnsi"/>
              </w:rPr>
            </w:pPr>
            <w:r w:rsidRPr="0064494F">
              <w:rPr>
                <w:rFonts w:ascii="Verdana" w:hAnsi="Verdana" w:cstheme="minorHAnsi"/>
                <w:b/>
              </w:rPr>
              <w:t>“Key Subcontractor”</w:t>
            </w:r>
          </w:p>
        </w:tc>
        <w:tc>
          <w:tcPr>
            <w:tcW w:w="6758" w:type="dxa"/>
          </w:tcPr>
          <w:p w14:paraId="526C9295" w14:textId="77777777" w:rsidR="0064494F" w:rsidRPr="0064494F" w:rsidRDefault="0064494F" w:rsidP="00FE56F3">
            <w:pPr>
              <w:contextualSpacing/>
              <w:jc w:val="both"/>
              <w:rPr>
                <w:rFonts w:ascii="Verdana" w:hAnsi="Verdana" w:cstheme="minorHAnsi"/>
              </w:rPr>
            </w:pPr>
            <w:r w:rsidRPr="0064494F">
              <w:rPr>
                <w:rFonts w:ascii="Verdana" w:hAnsi="Verdana" w:cstheme="minorHAnsi"/>
              </w:rPr>
              <w:t>any Subcontractor:</w:t>
            </w:r>
          </w:p>
          <w:p w14:paraId="2A40302D" w14:textId="77777777" w:rsidR="0064494F" w:rsidRPr="0064494F" w:rsidRDefault="0064494F" w:rsidP="0064494F">
            <w:pPr>
              <w:pStyle w:val="ListParagraph"/>
              <w:numPr>
                <w:ilvl w:val="0"/>
                <w:numId w:val="13"/>
              </w:numPr>
              <w:ind w:left="459" w:hanging="425"/>
              <w:jc w:val="both"/>
              <w:rPr>
                <w:rFonts w:ascii="Verdana" w:eastAsia="Times New Roman" w:hAnsi="Verdana" w:cstheme="minorHAnsi"/>
              </w:rPr>
            </w:pPr>
            <w:r w:rsidRPr="0064494F">
              <w:rPr>
                <w:rFonts w:ascii="Verdana" w:eastAsia="Times New Roman" w:hAnsi="Verdana" w:cstheme="minorHAnsi"/>
              </w:rPr>
              <w:t>which, in the opinion of the Authority, performs (or would perform if appointed) a critical role in the provision of all or any part of the Services; and/or</w:t>
            </w:r>
          </w:p>
          <w:p w14:paraId="7B850436" w14:textId="77777777" w:rsidR="0064494F" w:rsidRPr="0064494F" w:rsidRDefault="0064494F" w:rsidP="0064494F">
            <w:pPr>
              <w:pStyle w:val="ListParagraph"/>
              <w:numPr>
                <w:ilvl w:val="0"/>
                <w:numId w:val="13"/>
              </w:numPr>
              <w:ind w:left="459" w:hanging="425"/>
              <w:jc w:val="both"/>
              <w:rPr>
                <w:rFonts w:ascii="Verdana" w:eastAsia="Times New Roman" w:hAnsi="Verdana" w:cstheme="minorHAnsi"/>
              </w:rPr>
            </w:pPr>
            <w:r w:rsidRPr="0064494F">
              <w:rPr>
                <w:rFonts w:ascii="Verdana" w:eastAsia="Times New Roman" w:hAnsi="Verdana" w:cstheme="minorHAnsi"/>
              </w:rPr>
              <w:t>with a Subcontract with a contract value which at the time of appointment exceeds (or would exceed if appointed) ten per cent (10%) of the aggregate Charges forecast to be payable under this Call-Off Contract;</w:t>
            </w:r>
          </w:p>
        </w:tc>
      </w:tr>
      <w:tr w:rsidR="0064494F" w:rsidRPr="0064494F" w14:paraId="2B352139" w14:textId="77777777" w:rsidTr="00FE56F3">
        <w:tc>
          <w:tcPr>
            <w:tcW w:w="2160" w:type="dxa"/>
          </w:tcPr>
          <w:p w14:paraId="3F8F7E6E" w14:textId="77777777" w:rsidR="0064494F" w:rsidRPr="0064494F" w:rsidRDefault="0064494F" w:rsidP="00FE56F3">
            <w:pPr>
              <w:rPr>
                <w:rFonts w:ascii="Verdana" w:hAnsi="Verdana" w:cstheme="minorHAnsi"/>
              </w:rPr>
            </w:pPr>
            <w:r w:rsidRPr="0064494F">
              <w:rPr>
                <w:rFonts w:ascii="Verdana" w:hAnsi="Verdana" w:cstheme="minorHAnsi"/>
                <w:b/>
              </w:rPr>
              <w:t>“Law”</w:t>
            </w:r>
          </w:p>
        </w:tc>
        <w:tc>
          <w:tcPr>
            <w:tcW w:w="6758" w:type="dxa"/>
          </w:tcPr>
          <w:p w14:paraId="7EF229A8" w14:textId="77777777" w:rsidR="0064494F" w:rsidRPr="0064494F" w:rsidRDefault="0064494F" w:rsidP="00FE56F3">
            <w:pPr>
              <w:rPr>
                <w:rFonts w:ascii="Verdana" w:hAnsi="Verdana" w:cstheme="minorHAnsi"/>
              </w:rPr>
            </w:pPr>
            <w:r w:rsidRPr="0064494F">
              <w:rPr>
                <w:rStyle w:val="normaltextrun1"/>
                <w:rFonts w:ascii="Verdana" w:hAnsi="Verdana" w:cstheme="minorHAns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64494F" w:rsidRPr="0064494F" w14:paraId="7DCE8936" w14:textId="77777777" w:rsidTr="00FE56F3">
        <w:tc>
          <w:tcPr>
            <w:tcW w:w="2160" w:type="dxa"/>
          </w:tcPr>
          <w:p w14:paraId="30483FAE" w14:textId="77777777" w:rsidR="0064494F" w:rsidRPr="0064494F" w:rsidRDefault="0064494F" w:rsidP="00FE56F3">
            <w:pPr>
              <w:rPr>
                <w:rFonts w:ascii="Verdana" w:hAnsi="Verdana" w:cstheme="minorHAnsi"/>
              </w:rPr>
            </w:pPr>
            <w:r w:rsidRPr="0064494F">
              <w:rPr>
                <w:rFonts w:ascii="Verdana" w:hAnsi="Verdana" w:cstheme="minorHAnsi"/>
                <w:b/>
              </w:rPr>
              <w:t>“Personal Data”</w:t>
            </w:r>
          </w:p>
        </w:tc>
        <w:tc>
          <w:tcPr>
            <w:tcW w:w="6758" w:type="dxa"/>
          </w:tcPr>
          <w:p w14:paraId="5EBFC3FC" w14:textId="77777777" w:rsidR="0064494F" w:rsidRPr="0064494F" w:rsidRDefault="0064494F" w:rsidP="00FE56F3">
            <w:pPr>
              <w:rPr>
                <w:rFonts w:ascii="Verdana" w:hAnsi="Verdana" w:cstheme="minorHAnsi"/>
              </w:rPr>
            </w:pPr>
            <w:r w:rsidRPr="0064494F">
              <w:rPr>
                <w:rFonts w:ascii="Verdana" w:hAnsi="Verdana" w:cstheme="minorHAnsi"/>
              </w:rPr>
              <w:t xml:space="preserve">has the meaning given in the GDPR; </w:t>
            </w:r>
          </w:p>
        </w:tc>
      </w:tr>
      <w:tr w:rsidR="0064494F" w:rsidRPr="0064494F" w14:paraId="3C9AF1FA" w14:textId="77777777" w:rsidTr="00FE56F3">
        <w:tc>
          <w:tcPr>
            <w:tcW w:w="2160" w:type="dxa"/>
          </w:tcPr>
          <w:p w14:paraId="7772E7AE" w14:textId="77777777" w:rsidR="0064494F" w:rsidRPr="0064494F" w:rsidRDefault="0064494F" w:rsidP="00FE56F3">
            <w:pPr>
              <w:rPr>
                <w:rFonts w:ascii="Verdana" w:hAnsi="Verdana" w:cstheme="minorHAnsi"/>
                <w:b/>
              </w:rPr>
            </w:pPr>
            <w:r w:rsidRPr="0064494F">
              <w:rPr>
                <w:rFonts w:ascii="Verdana" w:hAnsi="Verdana" w:cs="Calibri"/>
                <w:b/>
                <w:bCs/>
              </w:rPr>
              <w:t>“Purchase Order Number”</w:t>
            </w:r>
            <w:r w:rsidRPr="0064494F">
              <w:rPr>
                <w:rFonts w:ascii="Verdana" w:hAnsi="Verdana" w:cs="Calibri"/>
              </w:rPr>
              <w:t> </w:t>
            </w:r>
          </w:p>
        </w:tc>
        <w:tc>
          <w:tcPr>
            <w:tcW w:w="6758" w:type="dxa"/>
          </w:tcPr>
          <w:p w14:paraId="0E2F0336" w14:textId="77777777" w:rsidR="0064494F" w:rsidRPr="0064494F" w:rsidRDefault="0064494F" w:rsidP="00FE56F3">
            <w:pPr>
              <w:rPr>
                <w:rFonts w:ascii="Verdana" w:hAnsi="Verdana" w:cstheme="minorHAnsi"/>
              </w:rPr>
            </w:pPr>
            <w:r w:rsidRPr="0064494F">
              <w:rPr>
                <w:rFonts w:ascii="Verdana" w:hAnsi="Verdana" w:cs="Calibri"/>
              </w:rPr>
              <w:t>the Authority’s unique number relating to the supply of the Services;  </w:t>
            </w:r>
          </w:p>
        </w:tc>
      </w:tr>
      <w:tr w:rsidR="0064494F" w:rsidRPr="0064494F" w14:paraId="3AD0D10E" w14:textId="77777777" w:rsidTr="00FE56F3">
        <w:tc>
          <w:tcPr>
            <w:tcW w:w="2160" w:type="dxa"/>
          </w:tcPr>
          <w:p w14:paraId="1F41E8FA" w14:textId="77777777" w:rsidR="0064494F" w:rsidRPr="0064494F" w:rsidRDefault="0064494F" w:rsidP="00FE56F3">
            <w:pPr>
              <w:rPr>
                <w:rFonts w:ascii="Verdana" w:hAnsi="Verdana" w:cstheme="minorHAnsi"/>
                <w:b/>
              </w:rPr>
            </w:pPr>
            <w:r w:rsidRPr="0064494F">
              <w:rPr>
                <w:rFonts w:ascii="Verdana" w:hAnsi="Verdana" w:cs="Calibri"/>
                <w:b/>
                <w:bCs/>
              </w:rPr>
              <w:t>“Services”</w:t>
            </w:r>
            <w:r w:rsidRPr="0064494F">
              <w:rPr>
                <w:rFonts w:ascii="Verdana" w:hAnsi="Verdana" w:cs="Calibri"/>
              </w:rPr>
              <w:t> </w:t>
            </w:r>
          </w:p>
        </w:tc>
        <w:tc>
          <w:tcPr>
            <w:tcW w:w="6758" w:type="dxa"/>
          </w:tcPr>
          <w:p w14:paraId="3E937A8A" w14:textId="77777777" w:rsidR="0064494F" w:rsidRPr="0064494F" w:rsidRDefault="0064494F" w:rsidP="00FE56F3">
            <w:pPr>
              <w:rPr>
                <w:rFonts w:ascii="Verdana" w:hAnsi="Verdana" w:cstheme="minorHAnsi"/>
              </w:rPr>
            </w:pPr>
            <w:r w:rsidRPr="0064494F">
              <w:rPr>
                <w:rFonts w:ascii="Verdana" w:hAnsi="Verdana" w:cs="Calibri"/>
              </w:rPr>
              <w:t>the services to be supplied by the Supplier to the Authority under the Agreement, including the provision of any Goods;</w:t>
            </w:r>
          </w:p>
        </w:tc>
      </w:tr>
      <w:tr w:rsidR="0064494F" w:rsidRPr="0064494F" w14:paraId="724DBD7B" w14:textId="77777777" w:rsidTr="00FE56F3">
        <w:tc>
          <w:tcPr>
            <w:tcW w:w="2160" w:type="dxa"/>
          </w:tcPr>
          <w:p w14:paraId="77F0E684" w14:textId="77777777" w:rsidR="0064494F" w:rsidRPr="0064494F" w:rsidRDefault="0064494F" w:rsidP="00FE56F3">
            <w:pPr>
              <w:rPr>
                <w:rFonts w:ascii="Verdana" w:hAnsi="Verdana" w:cstheme="minorHAnsi"/>
                <w:b/>
              </w:rPr>
            </w:pPr>
            <w:r w:rsidRPr="0064494F">
              <w:rPr>
                <w:rFonts w:ascii="Verdana" w:hAnsi="Verdana" w:cstheme="minorHAnsi"/>
                <w:b/>
              </w:rPr>
              <w:t>“Subcontract”</w:t>
            </w:r>
          </w:p>
        </w:tc>
        <w:tc>
          <w:tcPr>
            <w:tcW w:w="6758" w:type="dxa"/>
          </w:tcPr>
          <w:p w14:paraId="6FC84D63" w14:textId="77777777" w:rsidR="0064494F" w:rsidRPr="0064494F" w:rsidRDefault="0064494F" w:rsidP="00FE56F3">
            <w:pPr>
              <w:rPr>
                <w:rFonts w:ascii="Verdana" w:hAnsi="Verdana" w:cstheme="minorHAnsi"/>
              </w:rPr>
            </w:pPr>
            <w:r w:rsidRPr="0064494F">
              <w:rPr>
                <w:rFonts w:ascii="Verdana" w:hAnsi="Verdana" w:cstheme="minorHAnsi"/>
              </w:rP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w:t>
            </w:r>
            <w:r w:rsidRPr="0064494F">
              <w:rPr>
                <w:rFonts w:ascii="Verdana" w:hAnsi="Verdana" w:cstheme="minorHAnsi"/>
              </w:rPr>
              <w:lastRenderedPageBreak/>
              <w:t>necessary for the management, direction or control of the Services or any part thereof;</w:t>
            </w:r>
          </w:p>
        </w:tc>
      </w:tr>
      <w:tr w:rsidR="0064494F" w:rsidRPr="0064494F" w14:paraId="4AFC2945" w14:textId="77777777" w:rsidTr="00FE56F3">
        <w:tc>
          <w:tcPr>
            <w:tcW w:w="2160" w:type="dxa"/>
          </w:tcPr>
          <w:p w14:paraId="2B6B14E4" w14:textId="77777777" w:rsidR="0064494F" w:rsidRPr="0064494F" w:rsidRDefault="0064494F" w:rsidP="00FE56F3">
            <w:pPr>
              <w:rPr>
                <w:rFonts w:ascii="Verdana" w:hAnsi="Verdana" w:cstheme="minorHAnsi"/>
                <w:b/>
              </w:rPr>
            </w:pPr>
            <w:r w:rsidRPr="0064494F">
              <w:rPr>
                <w:rFonts w:ascii="Verdana" w:hAnsi="Verdana" w:cstheme="minorHAnsi"/>
                <w:b/>
              </w:rPr>
              <w:lastRenderedPageBreak/>
              <w:t>“</w:t>
            </w:r>
            <w:r w:rsidRPr="0064494F">
              <w:rPr>
                <w:rFonts w:ascii="Verdana" w:hAnsi="Verdana" w:cstheme="minorHAnsi"/>
                <w:b/>
                <w:spacing w:val="-2"/>
              </w:rPr>
              <w:t>Subcontractor</w:t>
            </w:r>
            <w:r w:rsidRPr="0064494F">
              <w:rPr>
                <w:rFonts w:ascii="Verdana" w:hAnsi="Verdana" w:cstheme="minorHAnsi"/>
                <w:b/>
              </w:rPr>
              <w:t>”</w:t>
            </w:r>
          </w:p>
        </w:tc>
        <w:tc>
          <w:tcPr>
            <w:tcW w:w="6758" w:type="dxa"/>
          </w:tcPr>
          <w:p w14:paraId="460D3662" w14:textId="77777777" w:rsidR="0064494F" w:rsidRPr="0064494F" w:rsidRDefault="0064494F" w:rsidP="00FE56F3">
            <w:pPr>
              <w:widowControl w:val="0"/>
              <w:spacing w:before="120" w:after="120"/>
              <w:rPr>
                <w:rFonts w:ascii="Verdana" w:hAnsi="Verdana" w:cstheme="minorHAnsi"/>
              </w:rPr>
            </w:pPr>
            <w:r w:rsidRPr="0064494F">
              <w:rPr>
                <w:rFonts w:ascii="Verdana" w:hAnsi="Verdana" w:cstheme="minorHAnsi"/>
              </w:rPr>
              <w:t>any third party with whom:</w:t>
            </w:r>
          </w:p>
          <w:p w14:paraId="03EC395A" w14:textId="77777777" w:rsidR="0064494F" w:rsidRPr="0064494F" w:rsidRDefault="0064494F" w:rsidP="0064494F">
            <w:pPr>
              <w:numPr>
                <w:ilvl w:val="0"/>
                <w:numId w:val="1"/>
              </w:numPr>
              <w:tabs>
                <w:tab w:val="left" w:pos="-75"/>
              </w:tabs>
              <w:spacing w:before="120" w:after="120" w:line="259" w:lineRule="auto"/>
              <w:ind w:left="507" w:hanging="507"/>
              <w:jc w:val="both"/>
              <w:rPr>
                <w:rFonts w:ascii="Verdana" w:hAnsi="Verdana" w:cstheme="minorHAnsi"/>
              </w:rPr>
            </w:pPr>
            <w:r w:rsidRPr="0064494F">
              <w:rPr>
                <w:rFonts w:ascii="Verdana" w:hAnsi="Verdana" w:cstheme="minorHAnsi"/>
              </w:rPr>
              <w:t xml:space="preserve">the Supplier enters into a Subcontract; or </w:t>
            </w:r>
          </w:p>
          <w:p w14:paraId="1860ECD1" w14:textId="77777777" w:rsidR="0064494F" w:rsidRPr="0064494F" w:rsidRDefault="0064494F" w:rsidP="0064494F">
            <w:pPr>
              <w:numPr>
                <w:ilvl w:val="0"/>
                <w:numId w:val="1"/>
              </w:numPr>
              <w:tabs>
                <w:tab w:val="left" w:pos="-75"/>
              </w:tabs>
              <w:spacing w:before="120" w:after="120" w:line="259" w:lineRule="auto"/>
              <w:ind w:left="507" w:hanging="507"/>
              <w:jc w:val="both"/>
              <w:rPr>
                <w:rFonts w:ascii="Verdana" w:hAnsi="Verdana" w:cstheme="minorHAnsi"/>
              </w:rPr>
            </w:pPr>
            <w:r w:rsidRPr="0064494F">
              <w:rPr>
                <w:rFonts w:ascii="Verdana" w:hAnsi="Verdana" w:cstheme="minorHAnsi"/>
              </w:rPr>
              <w:t>a third party under (a) above enters into a Subcontract,</w:t>
            </w:r>
          </w:p>
          <w:p w14:paraId="5969CD77" w14:textId="77777777" w:rsidR="0064494F" w:rsidRPr="0064494F" w:rsidRDefault="0064494F" w:rsidP="00FE56F3">
            <w:pPr>
              <w:widowControl w:val="0"/>
              <w:spacing w:before="120" w:after="120"/>
              <w:ind w:left="-15"/>
              <w:outlineLvl w:val="2"/>
              <w:rPr>
                <w:rFonts w:ascii="Verdana" w:hAnsi="Verdana" w:cstheme="minorHAnsi"/>
                <w:bCs/>
                <w:spacing w:val="-2"/>
              </w:rPr>
            </w:pPr>
            <w:r w:rsidRPr="0064494F">
              <w:rPr>
                <w:rFonts w:ascii="Verdana" w:hAnsi="Verdana" w:cstheme="minorHAnsi"/>
                <w:bCs/>
                <w:spacing w:val="-2"/>
              </w:rPr>
              <w:t>or the servants or agents of that third party;</w:t>
            </w:r>
          </w:p>
        </w:tc>
      </w:tr>
      <w:tr w:rsidR="0064494F" w:rsidRPr="0064494F" w14:paraId="60031732" w14:textId="77777777" w:rsidTr="00FE56F3">
        <w:tc>
          <w:tcPr>
            <w:tcW w:w="2160" w:type="dxa"/>
          </w:tcPr>
          <w:p w14:paraId="46C80A24" w14:textId="77777777" w:rsidR="0064494F" w:rsidRPr="0064494F" w:rsidRDefault="0064494F" w:rsidP="00FE56F3">
            <w:pPr>
              <w:rPr>
                <w:rFonts w:ascii="Verdana" w:hAnsi="Verdana" w:cstheme="minorHAnsi"/>
                <w:b/>
              </w:rPr>
            </w:pPr>
            <w:r w:rsidRPr="0064494F">
              <w:rPr>
                <w:rFonts w:ascii="Verdana" w:hAnsi="Verdana" w:cstheme="minorHAnsi"/>
                <w:b/>
              </w:rPr>
              <w:t>“Supplier Personnel”</w:t>
            </w:r>
          </w:p>
        </w:tc>
        <w:tc>
          <w:tcPr>
            <w:tcW w:w="6758" w:type="dxa"/>
          </w:tcPr>
          <w:p w14:paraId="0339EB43" w14:textId="77777777" w:rsidR="0064494F" w:rsidRPr="0064494F" w:rsidRDefault="0064494F" w:rsidP="00FE56F3">
            <w:pPr>
              <w:rPr>
                <w:rFonts w:ascii="Verdana" w:hAnsi="Verdana" w:cstheme="minorHAnsi"/>
              </w:rPr>
            </w:pPr>
            <w:r w:rsidRPr="0064494F">
              <w:rPr>
                <w:rStyle w:val="normaltextrun1"/>
                <w:rFonts w:ascii="Verdana" w:hAnsi="Verdana" w:cstheme="minorHAnsi"/>
              </w:rPr>
              <w:t>all directors, officers, employees, agents, consultants and contractors of the Supplier and/or of any Subcontractor of the Supplier engaged in the performance of the Supplier’s obligations under the Agreement; </w:t>
            </w:r>
          </w:p>
        </w:tc>
      </w:tr>
      <w:tr w:rsidR="0064494F" w:rsidRPr="0064494F" w14:paraId="3D1A0CD9" w14:textId="77777777" w:rsidTr="00FE56F3">
        <w:tc>
          <w:tcPr>
            <w:tcW w:w="2160" w:type="dxa"/>
          </w:tcPr>
          <w:p w14:paraId="719DB94C" w14:textId="77777777" w:rsidR="0064494F" w:rsidRPr="0064494F" w:rsidRDefault="0064494F" w:rsidP="00FE56F3">
            <w:pPr>
              <w:rPr>
                <w:rFonts w:ascii="Verdana" w:hAnsi="Verdana" w:cstheme="minorHAnsi"/>
                <w:b/>
              </w:rPr>
            </w:pPr>
            <w:r w:rsidRPr="0064494F">
              <w:rPr>
                <w:rFonts w:ascii="Verdana" w:hAnsi="Verdana" w:cstheme="minorHAnsi"/>
                <w:b/>
              </w:rPr>
              <w:t>“Supporting Documentation”</w:t>
            </w:r>
          </w:p>
        </w:tc>
        <w:tc>
          <w:tcPr>
            <w:tcW w:w="6758" w:type="dxa"/>
          </w:tcPr>
          <w:p w14:paraId="4ADA8B2D" w14:textId="77777777" w:rsidR="0064494F" w:rsidRPr="0064494F" w:rsidRDefault="0064494F" w:rsidP="00FE56F3">
            <w:pPr>
              <w:rPr>
                <w:rStyle w:val="normaltextrun1"/>
                <w:rFonts w:ascii="Verdana" w:hAnsi="Verdana"/>
                <w:color w:val="000000"/>
              </w:rPr>
            </w:pPr>
            <w:r w:rsidRPr="0064494F">
              <w:rPr>
                <w:rFonts w:ascii="Verdana" w:hAnsi="Verdana"/>
                <w:color w:val="000000"/>
              </w:rPr>
              <w:t xml:space="preserve">sufficient information in writing to enable the Authority to reasonably verify the accuracy of any invoice; </w:t>
            </w:r>
          </w:p>
        </w:tc>
      </w:tr>
      <w:tr w:rsidR="0064494F" w:rsidRPr="0064494F" w14:paraId="2A11F6B8" w14:textId="77777777" w:rsidTr="00FE56F3">
        <w:tc>
          <w:tcPr>
            <w:tcW w:w="2160" w:type="dxa"/>
          </w:tcPr>
          <w:p w14:paraId="2B6BAFF5" w14:textId="77777777" w:rsidR="0064494F" w:rsidRPr="0064494F" w:rsidRDefault="0064494F" w:rsidP="00FE56F3">
            <w:pPr>
              <w:rPr>
                <w:rFonts w:ascii="Verdana" w:hAnsi="Verdana" w:cstheme="minorHAnsi"/>
                <w:b/>
              </w:rPr>
            </w:pPr>
            <w:r w:rsidRPr="0064494F">
              <w:rPr>
                <w:rFonts w:ascii="Verdana" w:hAnsi="Verdana" w:cstheme="minorHAnsi"/>
                <w:b/>
              </w:rPr>
              <w:t>“Tax”</w:t>
            </w:r>
          </w:p>
        </w:tc>
        <w:tc>
          <w:tcPr>
            <w:tcW w:w="6758" w:type="dxa"/>
          </w:tcPr>
          <w:p w14:paraId="5D4A1CA6" w14:textId="77777777" w:rsidR="0064494F" w:rsidRPr="0064494F" w:rsidRDefault="0064494F" w:rsidP="0064494F">
            <w:pPr>
              <w:numPr>
                <w:ilvl w:val="0"/>
                <w:numId w:val="3"/>
              </w:numPr>
              <w:tabs>
                <w:tab w:val="left" w:pos="-75"/>
              </w:tabs>
              <w:spacing w:before="120" w:after="120" w:line="259" w:lineRule="auto"/>
              <w:jc w:val="both"/>
              <w:rPr>
                <w:rFonts w:ascii="Verdana" w:hAnsi="Verdana" w:cstheme="minorHAnsi"/>
                <w:spacing w:val="-2"/>
              </w:rPr>
            </w:pPr>
            <w:r w:rsidRPr="0064494F">
              <w:rPr>
                <w:rFonts w:ascii="Verdana" w:hAnsi="Verdana" w:cstheme="minorHAnsi"/>
                <w:spacing w:val="-2"/>
              </w:rPr>
              <w:t>all forms of tax whether direct or indirect;</w:t>
            </w:r>
          </w:p>
          <w:p w14:paraId="7F39F38D" w14:textId="77777777" w:rsidR="0064494F" w:rsidRPr="0064494F" w:rsidRDefault="0064494F" w:rsidP="0064494F">
            <w:pPr>
              <w:numPr>
                <w:ilvl w:val="0"/>
                <w:numId w:val="3"/>
              </w:numPr>
              <w:tabs>
                <w:tab w:val="left" w:pos="-75"/>
              </w:tabs>
              <w:spacing w:before="120" w:after="120" w:line="259" w:lineRule="auto"/>
              <w:jc w:val="both"/>
              <w:rPr>
                <w:rFonts w:ascii="Verdana" w:hAnsi="Verdana" w:cstheme="minorHAnsi"/>
                <w:spacing w:val="-2"/>
              </w:rPr>
            </w:pPr>
            <w:r w:rsidRPr="0064494F">
              <w:rPr>
                <w:rFonts w:ascii="Verdana" w:hAnsi="Verdana" w:cstheme="minorHAnsi"/>
                <w:spacing w:val="-2"/>
              </w:rPr>
              <w:t>national insurance contributions in the United Kingdom and similar contributions or obligations in any other jurisdiction;</w:t>
            </w:r>
          </w:p>
          <w:p w14:paraId="6D4173F6" w14:textId="77777777" w:rsidR="0064494F" w:rsidRPr="0064494F" w:rsidRDefault="0064494F" w:rsidP="0064494F">
            <w:pPr>
              <w:numPr>
                <w:ilvl w:val="0"/>
                <w:numId w:val="3"/>
              </w:numPr>
              <w:tabs>
                <w:tab w:val="left" w:pos="-75"/>
              </w:tabs>
              <w:spacing w:before="120" w:after="120" w:line="259" w:lineRule="auto"/>
              <w:jc w:val="both"/>
              <w:rPr>
                <w:rFonts w:ascii="Verdana" w:hAnsi="Verdana" w:cstheme="minorHAnsi"/>
                <w:spacing w:val="-2"/>
              </w:rPr>
            </w:pPr>
            <w:r w:rsidRPr="0064494F">
              <w:rPr>
                <w:rFonts w:ascii="Verdana" w:hAnsi="Verdana"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030A9B6F" w14:textId="77777777" w:rsidR="0064494F" w:rsidRPr="0064494F" w:rsidRDefault="0064494F" w:rsidP="0064494F">
            <w:pPr>
              <w:numPr>
                <w:ilvl w:val="0"/>
                <w:numId w:val="3"/>
              </w:numPr>
              <w:tabs>
                <w:tab w:val="left" w:pos="-75"/>
              </w:tabs>
              <w:spacing w:before="120" w:after="120" w:line="259" w:lineRule="auto"/>
              <w:jc w:val="both"/>
              <w:rPr>
                <w:rFonts w:ascii="Verdana" w:hAnsi="Verdana" w:cstheme="minorHAnsi"/>
                <w:spacing w:val="-2"/>
              </w:rPr>
            </w:pPr>
            <w:r w:rsidRPr="0064494F">
              <w:rPr>
                <w:rFonts w:ascii="Verdana" w:hAnsi="Verdana" w:cstheme="minorHAnsi"/>
                <w:spacing w:val="-2"/>
              </w:rPr>
              <w:t>any penalty, fine, surcharge, interest, charges or costs relating to any of the above,</w:t>
            </w:r>
          </w:p>
          <w:p w14:paraId="48F99690" w14:textId="77777777" w:rsidR="0064494F" w:rsidRPr="0064494F" w:rsidRDefault="0064494F" w:rsidP="00FE56F3">
            <w:pPr>
              <w:rPr>
                <w:rStyle w:val="normaltextrun1"/>
                <w:rFonts w:ascii="Verdana" w:hAnsi="Verdana" w:cstheme="minorHAnsi"/>
              </w:rPr>
            </w:pPr>
            <w:r w:rsidRPr="0064494F">
              <w:rPr>
                <w:rFonts w:ascii="Verdana" w:hAnsi="Verdana" w:cstheme="minorHAnsi"/>
                <w:spacing w:val="-2"/>
              </w:rPr>
              <w:t>in each case wherever chargeable and whether of the United Kingdom and any other jurisdiction;</w:t>
            </w:r>
          </w:p>
        </w:tc>
      </w:tr>
      <w:tr w:rsidR="0064494F" w:rsidRPr="0064494F" w14:paraId="38C5DA1C" w14:textId="77777777" w:rsidTr="00FE56F3">
        <w:tc>
          <w:tcPr>
            <w:tcW w:w="2160" w:type="dxa"/>
          </w:tcPr>
          <w:p w14:paraId="0E32CA9C" w14:textId="77777777" w:rsidR="0064494F" w:rsidRPr="0064494F" w:rsidRDefault="0064494F" w:rsidP="00FE56F3">
            <w:pPr>
              <w:spacing w:before="120" w:after="120"/>
              <w:rPr>
                <w:rFonts w:ascii="Verdana" w:hAnsi="Verdana" w:cstheme="minorHAnsi"/>
                <w:b/>
              </w:rPr>
            </w:pPr>
            <w:r w:rsidRPr="0064494F">
              <w:rPr>
                <w:rFonts w:ascii="Verdana" w:hAnsi="Verdana" w:cstheme="minorHAnsi"/>
                <w:b/>
              </w:rPr>
              <w:t>“Tax Non-Compliance”</w:t>
            </w:r>
          </w:p>
          <w:p w14:paraId="4D938D60" w14:textId="77777777" w:rsidR="0064494F" w:rsidRPr="0064494F" w:rsidRDefault="0064494F" w:rsidP="00FE56F3">
            <w:pPr>
              <w:rPr>
                <w:rFonts w:ascii="Verdana" w:hAnsi="Verdana" w:cstheme="minorHAnsi"/>
                <w:b/>
              </w:rPr>
            </w:pPr>
          </w:p>
        </w:tc>
        <w:tc>
          <w:tcPr>
            <w:tcW w:w="6758" w:type="dxa"/>
          </w:tcPr>
          <w:p w14:paraId="30A37963" w14:textId="77777777" w:rsidR="0064494F" w:rsidRPr="0064494F" w:rsidRDefault="0064494F" w:rsidP="00FE56F3">
            <w:pPr>
              <w:tabs>
                <w:tab w:val="left" w:pos="-75"/>
              </w:tabs>
              <w:spacing w:before="120" w:after="120"/>
              <w:jc w:val="both"/>
              <w:rPr>
                <w:rFonts w:ascii="Verdana" w:hAnsi="Verdana" w:cstheme="minorHAnsi"/>
                <w:spacing w:val="-2"/>
              </w:rPr>
            </w:pPr>
            <w:r w:rsidRPr="0064494F">
              <w:rPr>
                <w:rFonts w:ascii="Verdana" w:hAnsi="Verdana" w:cstheme="minorHAnsi"/>
                <w:spacing w:val="-2"/>
              </w:rPr>
              <w:t>where an entity or person under consideration meets all 3 conditions contained in the relevant excerpt from HMRC’s “Test for Tax Non-Compliance”, as set out in Annex 1, where:</w:t>
            </w:r>
          </w:p>
          <w:p w14:paraId="0A7498D2" w14:textId="77777777" w:rsidR="0064494F" w:rsidRPr="0064494F" w:rsidRDefault="0064494F" w:rsidP="0064494F">
            <w:pPr>
              <w:pStyle w:val="ListParagraph"/>
              <w:numPr>
                <w:ilvl w:val="0"/>
                <w:numId w:val="9"/>
              </w:numPr>
              <w:tabs>
                <w:tab w:val="left" w:pos="-75"/>
              </w:tabs>
              <w:spacing w:before="120" w:after="120"/>
              <w:jc w:val="both"/>
              <w:rPr>
                <w:rFonts w:ascii="Verdana" w:hAnsi="Verdana" w:cstheme="minorHAnsi"/>
                <w:spacing w:val="-2"/>
              </w:rPr>
            </w:pPr>
            <w:r w:rsidRPr="0064494F">
              <w:rPr>
                <w:rFonts w:ascii="Verdana" w:hAnsi="Verdana" w:cstheme="minorHAnsi"/>
                <w:spacing w:val="-2"/>
              </w:rPr>
              <w:t xml:space="preserve">the “Economic Operator” means the Supplier </w:t>
            </w:r>
            <w:r w:rsidRPr="0064494F">
              <w:rPr>
                <w:rFonts w:ascii="Verdana" w:hAnsi="Verdana"/>
                <w:spacing w:val="-2"/>
              </w:rPr>
              <w:t>or</w:t>
            </w:r>
            <w:r w:rsidRPr="0064494F">
              <w:rPr>
                <w:rFonts w:ascii="Verdana" w:hAnsi="Verdana"/>
              </w:rPr>
              <w:t xml:space="preserve"> any agent, supplier or Subcontractor of the Supplier requested to be replaced pursuant to Clause 4.3</w:t>
            </w:r>
            <w:r w:rsidRPr="0064494F">
              <w:rPr>
                <w:rFonts w:ascii="Verdana" w:hAnsi="Verdana" w:cstheme="minorHAnsi"/>
                <w:spacing w:val="-2"/>
              </w:rPr>
              <w:t xml:space="preserve">; and </w:t>
            </w:r>
          </w:p>
          <w:p w14:paraId="36175933" w14:textId="77777777" w:rsidR="0064494F" w:rsidRPr="0064494F" w:rsidRDefault="0064494F" w:rsidP="0064494F">
            <w:pPr>
              <w:pStyle w:val="ListParagraph"/>
              <w:numPr>
                <w:ilvl w:val="0"/>
                <w:numId w:val="9"/>
              </w:numPr>
              <w:rPr>
                <w:rStyle w:val="normaltextrun1"/>
                <w:rFonts w:ascii="Verdana" w:hAnsi="Verdana" w:cstheme="minorHAnsi"/>
              </w:rPr>
            </w:pPr>
            <w:r w:rsidRPr="0064494F">
              <w:rPr>
                <w:rFonts w:ascii="Verdana" w:hAnsi="Verdana" w:cstheme="minorHAnsi"/>
                <w:spacing w:val="-2"/>
              </w:rPr>
              <w:t>any “Essential Subcontractor” means any Key Subcontractor;</w:t>
            </w:r>
          </w:p>
        </w:tc>
      </w:tr>
      <w:tr w:rsidR="0064494F" w:rsidRPr="0064494F" w14:paraId="4679FEAF" w14:textId="77777777" w:rsidTr="00FE56F3">
        <w:tc>
          <w:tcPr>
            <w:tcW w:w="2160" w:type="dxa"/>
          </w:tcPr>
          <w:p w14:paraId="194D432F" w14:textId="77777777" w:rsidR="0064494F" w:rsidRPr="0064494F" w:rsidRDefault="0064494F" w:rsidP="00FE56F3">
            <w:pPr>
              <w:spacing w:before="120" w:after="120"/>
              <w:rPr>
                <w:rFonts w:ascii="Verdana" w:hAnsi="Verdana" w:cstheme="minorHAnsi"/>
                <w:b/>
              </w:rPr>
            </w:pPr>
            <w:r w:rsidRPr="0064494F">
              <w:rPr>
                <w:rFonts w:ascii="Verdana" w:hAnsi="Verdana" w:cstheme="minorHAnsi"/>
                <w:b/>
              </w:rPr>
              <w:t>“VAT”</w:t>
            </w:r>
          </w:p>
        </w:tc>
        <w:tc>
          <w:tcPr>
            <w:tcW w:w="6758" w:type="dxa"/>
          </w:tcPr>
          <w:p w14:paraId="441721D7" w14:textId="77777777" w:rsidR="0064494F" w:rsidRPr="0064494F" w:rsidRDefault="0064494F" w:rsidP="00FE56F3">
            <w:pPr>
              <w:tabs>
                <w:tab w:val="left" w:pos="-75"/>
              </w:tabs>
              <w:spacing w:before="120" w:after="120"/>
              <w:jc w:val="both"/>
              <w:rPr>
                <w:rFonts w:ascii="Verdana" w:hAnsi="Verdana" w:cstheme="minorHAnsi"/>
                <w:spacing w:val="-2"/>
              </w:rPr>
            </w:pPr>
            <w:r w:rsidRPr="0064494F">
              <w:rPr>
                <w:rFonts w:ascii="Verdana" w:hAnsi="Verdana" w:cstheme="minorHAnsi"/>
              </w:rPr>
              <w:t>value added tax as provided for in the Value Added Tax Act 1994.</w:t>
            </w:r>
          </w:p>
        </w:tc>
      </w:tr>
    </w:tbl>
    <w:p w14:paraId="512C67A6" w14:textId="77777777" w:rsidR="0064494F" w:rsidRPr="0064494F" w:rsidRDefault="0064494F" w:rsidP="0064494F">
      <w:pPr>
        <w:rPr>
          <w:rFonts w:ascii="Verdana" w:hAnsi="Verdana" w:cstheme="minorHAnsi"/>
          <w:b/>
        </w:rPr>
      </w:pPr>
    </w:p>
    <w:p w14:paraId="2F91309C" w14:textId="77777777" w:rsidR="0064494F" w:rsidRPr="0064494F" w:rsidRDefault="0064494F" w:rsidP="0064494F">
      <w:pPr>
        <w:pStyle w:val="ListParagraph"/>
        <w:numPr>
          <w:ilvl w:val="0"/>
          <w:numId w:val="10"/>
        </w:numPr>
        <w:spacing w:after="0" w:line="240" w:lineRule="auto"/>
        <w:ind w:left="426" w:hanging="426"/>
        <w:textAlignment w:val="baseline"/>
        <w:rPr>
          <w:rFonts w:ascii="Verdana" w:eastAsia="Times New Roman" w:hAnsi="Verdana" w:cs="Times New Roman"/>
          <w:sz w:val="18"/>
          <w:szCs w:val="18"/>
          <w:lang w:eastAsia="en-GB"/>
        </w:rPr>
      </w:pPr>
      <w:bookmarkStart w:id="2" w:name="_Ref22568790"/>
      <w:r w:rsidRPr="0064494F">
        <w:rPr>
          <w:rFonts w:ascii="Verdana" w:eastAsia="Times New Roman" w:hAnsi="Verdana" w:cs="Calibri"/>
          <w:b/>
          <w:bCs/>
          <w:lang w:eastAsia="en-GB"/>
        </w:rPr>
        <w:t>Payment and Recovery of Sums Due</w:t>
      </w:r>
      <w:bookmarkEnd w:id="2"/>
      <w:r w:rsidRPr="0064494F">
        <w:rPr>
          <w:rFonts w:ascii="Verdana" w:eastAsia="Times New Roman" w:hAnsi="Verdana" w:cs="Calibri"/>
          <w:lang w:eastAsia="en-GB"/>
        </w:rPr>
        <w:t> </w:t>
      </w:r>
    </w:p>
    <w:p w14:paraId="70029A53" w14:textId="77777777" w:rsidR="0064494F" w:rsidRPr="0064494F" w:rsidRDefault="0064494F" w:rsidP="0064494F">
      <w:pPr>
        <w:pStyle w:val="Heading2"/>
        <w:keepNext w:val="0"/>
        <w:keepLines w:val="0"/>
        <w:numPr>
          <w:ilvl w:val="1"/>
          <w:numId w:val="10"/>
        </w:numPr>
        <w:spacing w:before="0" w:line="240" w:lineRule="auto"/>
        <w:ind w:left="426" w:hanging="426"/>
        <w:jc w:val="both"/>
        <w:rPr>
          <w:rFonts w:ascii="Verdana" w:hAnsi="Verdana"/>
          <w:color w:val="auto"/>
          <w:sz w:val="22"/>
          <w:szCs w:val="22"/>
        </w:rPr>
      </w:pPr>
      <w:r w:rsidRPr="0064494F">
        <w:rPr>
          <w:rFonts w:ascii="Verdana" w:eastAsia="Times New Roman" w:hAnsi="Verdana" w:cs="Calibri"/>
          <w:color w:val="auto"/>
          <w:sz w:val="22"/>
          <w:szCs w:val="22"/>
          <w:lang w:eastAsia="en-GB"/>
        </w:rPr>
        <w:t xml:space="preserve">The Supplier shall invoice the Authority as specified in Clause </w:t>
      </w:r>
      <w:r>
        <w:rPr>
          <w:rFonts w:ascii="Verdana" w:eastAsia="Times New Roman" w:hAnsi="Verdana" w:cs="Calibri"/>
          <w:color w:val="auto"/>
          <w:sz w:val="22"/>
          <w:szCs w:val="22"/>
          <w:lang w:eastAsia="en-GB"/>
        </w:rPr>
        <w:t>A5 o</w:t>
      </w:r>
      <w:r w:rsidRPr="0064494F">
        <w:rPr>
          <w:rFonts w:ascii="Verdana" w:eastAsia="Times New Roman" w:hAnsi="Verdana" w:cs="Calibri"/>
          <w:color w:val="auto"/>
          <w:sz w:val="22"/>
          <w:szCs w:val="22"/>
          <w:lang w:eastAsia="en-GB"/>
        </w:rPr>
        <w:t xml:space="preserve">f the Agreement. </w:t>
      </w:r>
      <w:bookmarkStart w:id="3" w:name="_Ref449355781"/>
      <w:r w:rsidRPr="0064494F">
        <w:rPr>
          <w:rFonts w:ascii="Verdana" w:hAnsi="Verdana"/>
          <w:color w:val="auto"/>
          <w:sz w:val="22"/>
          <w:szCs w:val="22"/>
        </w:rPr>
        <w:t xml:space="preserve">Without prejudice to the generality of the invoicing procedure specified in the Agreement, the Supplier </w:t>
      </w:r>
      <w:bookmarkEnd w:id="3"/>
      <w:r w:rsidRPr="0064494F">
        <w:rPr>
          <w:rFonts w:ascii="Verdana" w:hAnsi="Verdana"/>
          <w:color w:val="auto"/>
          <w:sz w:val="22"/>
          <w:szCs w:val="22"/>
        </w:rPr>
        <w:t xml:space="preserve">shall procure a Purchase Order Number from the Authority prior to the commencement of any Services and the Supplier acknowledges and agrees that should it commence Services without a Purchase Order Number: </w:t>
      </w:r>
    </w:p>
    <w:p w14:paraId="2EE75133" w14:textId="77777777" w:rsidR="0064494F" w:rsidRPr="0064494F" w:rsidRDefault="0064494F" w:rsidP="0064494F">
      <w:pPr>
        <w:pStyle w:val="Heading3"/>
        <w:keepNext w:val="0"/>
        <w:keepLines w:val="0"/>
        <w:widowControl w:val="0"/>
        <w:numPr>
          <w:ilvl w:val="2"/>
          <w:numId w:val="10"/>
        </w:numPr>
        <w:spacing w:before="0" w:line="240" w:lineRule="auto"/>
        <w:ind w:left="1134" w:hanging="708"/>
        <w:jc w:val="both"/>
        <w:rPr>
          <w:rFonts w:ascii="Verdana" w:hAnsi="Verdana"/>
          <w:color w:val="auto"/>
          <w:sz w:val="22"/>
          <w:szCs w:val="22"/>
        </w:rPr>
      </w:pPr>
      <w:r w:rsidRPr="0064494F">
        <w:rPr>
          <w:rFonts w:ascii="Verdana" w:hAnsi="Verdana"/>
          <w:color w:val="auto"/>
          <w:sz w:val="22"/>
          <w:szCs w:val="22"/>
        </w:rPr>
        <w:t>the Supplier does so at its own risk; and</w:t>
      </w:r>
    </w:p>
    <w:p w14:paraId="7B22CC7E" w14:textId="77777777" w:rsidR="0064494F" w:rsidRPr="0064494F" w:rsidRDefault="0064494F" w:rsidP="0064494F">
      <w:pPr>
        <w:pStyle w:val="Heading3"/>
        <w:keepNext w:val="0"/>
        <w:keepLines w:val="0"/>
        <w:widowControl w:val="0"/>
        <w:numPr>
          <w:ilvl w:val="2"/>
          <w:numId w:val="10"/>
        </w:numPr>
        <w:spacing w:before="0" w:line="240" w:lineRule="auto"/>
        <w:ind w:left="1134" w:hanging="708"/>
        <w:jc w:val="both"/>
        <w:rPr>
          <w:rFonts w:ascii="Verdana" w:hAnsi="Verdana"/>
          <w:color w:val="auto"/>
          <w:sz w:val="22"/>
          <w:szCs w:val="22"/>
        </w:rPr>
      </w:pPr>
      <w:r w:rsidRPr="0064494F">
        <w:rPr>
          <w:rFonts w:ascii="Verdana" w:hAnsi="Verdana"/>
          <w:color w:val="auto"/>
          <w:sz w:val="22"/>
          <w:szCs w:val="22"/>
        </w:rPr>
        <w:t>the Authority shall not be obliged to pay any invoice without a valid Purchase Order Number having been provided to the Supplier.</w:t>
      </w:r>
    </w:p>
    <w:p w14:paraId="010BFC1B" w14:textId="77777777" w:rsidR="0064494F" w:rsidRPr="0064494F" w:rsidRDefault="0064494F" w:rsidP="0064494F">
      <w:pPr>
        <w:pStyle w:val="ListParagraph"/>
        <w:numPr>
          <w:ilvl w:val="1"/>
          <w:numId w:val="10"/>
        </w:numPr>
        <w:spacing w:after="0" w:line="240" w:lineRule="auto"/>
        <w:ind w:left="426" w:hanging="426"/>
        <w:textAlignment w:val="baseline"/>
        <w:rPr>
          <w:rFonts w:ascii="Verdana" w:eastAsia="Times New Roman" w:hAnsi="Verdana" w:cs="Times New Roman"/>
          <w:sz w:val="18"/>
          <w:szCs w:val="18"/>
          <w:lang w:eastAsia="en-GB"/>
        </w:rPr>
      </w:pPr>
      <w:r w:rsidRPr="0064494F">
        <w:rPr>
          <w:rFonts w:ascii="Verdana" w:eastAsia="Times New Roman" w:hAnsi="Verdana" w:cs="Calibri"/>
          <w:lang w:eastAsia="en-GB"/>
        </w:rPr>
        <w:t xml:space="preserve">Each invoice and any Supporting Documentation required to be submitted in accordance with </w:t>
      </w:r>
      <w:r w:rsidRPr="0064494F">
        <w:rPr>
          <w:rFonts w:ascii="Verdana" w:hAnsi="Verdana"/>
        </w:rPr>
        <w:t>the invoicing procedure specified in the Agreement</w:t>
      </w:r>
      <w:r w:rsidRPr="0064494F">
        <w:rPr>
          <w:rFonts w:ascii="Verdana" w:eastAsia="Times New Roman" w:hAnsi="Verdana" w:cs="Calibri"/>
          <w:lang w:eastAsia="en-GB"/>
        </w:rPr>
        <w:t xml:space="preserve"> shall be submitted by the Supplier, as directed by the Authority from time to time via the Authority’s electronic transaction system.</w:t>
      </w:r>
    </w:p>
    <w:p w14:paraId="43D354E0" w14:textId="77777777" w:rsidR="0064494F" w:rsidRPr="0064494F" w:rsidRDefault="0064494F" w:rsidP="0064494F">
      <w:pPr>
        <w:pStyle w:val="ListParagraph"/>
        <w:numPr>
          <w:ilvl w:val="1"/>
          <w:numId w:val="10"/>
        </w:numPr>
        <w:spacing w:after="0" w:line="240" w:lineRule="auto"/>
        <w:ind w:left="426" w:hanging="426"/>
        <w:textAlignment w:val="baseline"/>
        <w:rPr>
          <w:rFonts w:ascii="Verdana" w:eastAsia="Times New Roman" w:hAnsi="Verdana" w:cs="Times New Roman"/>
          <w:sz w:val="18"/>
          <w:szCs w:val="18"/>
          <w:lang w:eastAsia="en-GB"/>
        </w:rPr>
      </w:pPr>
      <w:r w:rsidRPr="0064494F">
        <w:rPr>
          <w:rFonts w:ascii="Verdana" w:eastAsia="Times New Roman" w:hAnsi="Verdana"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1D6BF0A4" w14:textId="77777777" w:rsidR="0064494F" w:rsidRPr="0064494F" w:rsidRDefault="0064494F" w:rsidP="0064494F">
      <w:pPr>
        <w:pStyle w:val="ListParagraph"/>
        <w:spacing w:after="0" w:line="240" w:lineRule="auto"/>
        <w:ind w:left="1287"/>
        <w:textAlignment w:val="baseline"/>
        <w:rPr>
          <w:rFonts w:ascii="Verdana" w:eastAsia="Times New Roman" w:hAnsi="Verdana" w:cs="Calibri"/>
          <w:lang w:eastAsia="en-GB"/>
        </w:rPr>
      </w:pPr>
    </w:p>
    <w:p w14:paraId="50FB8BA9" w14:textId="77777777" w:rsidR="0064494F" w:rsidRPr="0064494F" w:rsidRDefault="0064494F" w:rsidP="0064494F">
      <w:pPr>
        <w:pStyle w:val="ListParagraph"/>
        <w:spacing w:after="0" w:line="240" w:lineRule="auto"/>
        <w:ind w:left="1287"/>
        <w:textAlignment w:val="baseline"/>
        <w:rPr>
          <w:rFonts w:ascii="Verdana" w:eastAsia="Times New Roman" w:hAnsi="Verdana" w:cs="Times New Roman"/>
          <w:sz w:val="18"/>
          <w:szCs w:val="18"/>
          <w:lang w:eastAsia="en-GB"/>
        </w:rPr>
      </w:pPr>
    </w:p>
    <w:p w14:paraId="5D29A231" w14:textId="77777777" w:rsidR="0064494F" w:rsidRPr="0064494F" w:rsidRDefault="0064494F" w:rsidP="0064494F">
      <w:pPr>
        <w:pStyle w:val="ListParagraph"/>
        <w:spacing w:after="0" w:line="240" w:lineRule="auto"/>
        <w:ind w:left="360"/>
        <w:textAlignment w:val="baseline"/>
        <w:rPr>
          <w:rFonts w:ascii="Verdana" w:eastAsia="Times New Roman" w:hAnsi="Verdana" w:cs="Times New Roman"/>
          <w:sz w:val="18"/>
          <w:szCs w:val="18"/>
          <w:lang w:eastAsia="en-GB"/>
        </w:rPr>
      </w:pPr>
    </w:p>
    <w:p w14:paraId="21401CCD" w14:textId="77777777" w:rsidR="0064494F" w:rsidRPr="0064494F" w:rsidRDefault="0064494F" w:rsidP="0064494F">
      <w:pPr>
        <w:pStyle w:val="ListParagraph"/>
        <w:numPr>
          <w:ilvl w:val="0"/>
          <w:numId w:val="10"/>
        </w:numPr>
        <w:ind w:left="426" w:hanging="426"/>
        <w:rPr>
          <w:rFonts w:ascii="Verdana" w:hAnsi="Verdana" w:cstheme="minorHAnsi"/>
          <w:b/>
        </w:rPr>
      </w:pPr>
      <w:r w:rsidRPr="0064494F">
        <w:rPr>
          <w:rFonts w:ascii="Verdana" w:hAnsi="Verdana" w:cstheme="minorHAnsi"/>
          <w:b/>
        </w:rPr>
        <w:t>Warranties</w:t>
      </w:r>
    </w:p>
    <w:p w14:paraId="339DA6A3" w14:textId="77777777" w:rsidR="0064494F" w:rsidRPr="0064494F" w:rsidRDefault="0064494F" w:rsidP="0064494F">
      <w:pPr>
        <w:pStyle w:val="ListParagraph"/>
        <w:numPr>
          <w:ilvl w:val="1"/>
          <w:numId w:val="10"/>
        </w:numPr>
        <w:ind w:left="426" w:hanging="426"/>
        <w:rPr>
          <w:rFonts w:ascii="Verdana" w:hAnsi="Verdana" w:cstheme="minorHAnsi"/>
          <w:b/>
        </w:rPr>
      </w:pPr>
      <w:r w:rsidRPr="0064494F">
        <w:rPr>
          <w:rFonts w:ascii="Verdana" w:hAnsi="Verdana" w:cstheme="minorHAnsi"/>
        </w:rPr>
        <w:t>The Supplier represents and warrants that:</w:t>
      </w:r>
    </w:p>
    <w:p w14:paraId="420E7D9A" w14:textId="77777777" w:rsidR="0064494F" w:rsidRPr="0064494F" w:rsidRDefault="0064494F" w:rsidP="0064494F">
      <w:pPr>
        <w:pStyle w:val="ListParagraph"/>
        <w:numPr>
          <w:ilvl w:val="2"/>
          <w:numId w:val="10"/>
        </w:numPr>
        <w:ind w:left="1134" w:hanging="708"/>
        <w:rPr>
          <w:rFonts w:ascii="Verdana" w:hAnsi="Verdana" w:cstheme="minorHAnsi"/>
        </w:rPr>
      </w:pPr>
      <w:bookmarkStart w:id="4" w:name="_Ref19804150"/>
      <w:r w:rsidRPr="0064494F">
        <w:rPr>
          <w:rFonts w:ascii="Verdana" w:hAnsi="Verdana" w:cstheme="minorHAnsi"/>
        </w:rPr>
        <w:t>in the three years prior to the Effective Date, it has been in full compliance with all applicable securities and Laws related to Tax in the United Kingdom and in the jurisdiction in which it is established;</w:t>
      </w:r>
      <w:bookmarkEnd w:id="4"/>
    </w:p>
    <w:p w14:paraId="40F5543D" w14:textId="77777777" w:rsidR="0064494F" w:rsidRPr="0064494F" w:rsidRDefault="0064494F" w:rsidP="0064494F">
      <w:pPr>
        <w:pStyle w:val="ListParagraph"/>
        <w:numPr>
          <w:ilvl w:val="2"/>
          <w:numId w:val="10"/>
        </w:numPr>
        <w:ind w:left="1134" w:hanging="708"/>
        <w:rPr>
          <w:rFonts w:ascii="Verdana" w:hAnsi="Verdana" w:cstheme="minorHAnsi"/>
        </w:rPr>
      </w:pPr>
      <w:bookmarkStart w:id="5" w:name="_Ref19804166"/>
      <w:r w:rsidRPr="0064494F">
        <w:rPr>
          <w:rFonts w:ascii="Verdana" w:hAnsi="Verdana" w:cstheme="minorHAnsi"/>
        </w:rPr>
        <w:t>it has notified the Authority in writing of any Tax Non-Compliance it is involved in; and</w:t>
      </w:r>
      <w:bookmarkEnd w:id="5"/>
    </w:p>
    <w:p w14:paraId="1EAD7317" w14:textId="77777777" w:rsidR="0064494F" w:rsidRPr="0064494F" w:rsidRDefault="0064494F" w:rsidP="0064494F">
      <w:pPr>
        <w:pStyle w:val="ListParagraph"/>
        <w:numPr>
          <w:ilvl w:val="2"/>
          <w:numId w:val="10"/>
        </w:numPr>
        <w:ind w:left="1134" w:hanging="708"/>
        <w:rPr>
          <w:rFonts w:ascii="Verdana" w:hAnsi="Verdana" w:cstheme="minorHAnsi"/>
        </w:rPr>
      </w:pPr>
      <w:bookmarkStart w:id="6" w:name="_Ref19804201"/>
      <w:r w:rsidRPr="0064494F">
        <w:rPr>
          <w:rFonts w:ascii="Verdana" w:hAnsi="Verdana" w:cstheme="minorHAns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6"/>
    </w:p>
    <w:p w14:paraId="7F250567" w14:textId="77777777" w:rsidR="0064494F" w:rsidRPr="0064494F" w:rsidRDefault="0064494F" w:rsidP="0064494F">
      <w:pPr>
        <w:pStyle w:val="ListParagraph"/>
        <w:numPr>
          <w:ilvl w:val="1"/>
          <w:numId w:val="10"/>
        </w:numPr>
        <w:ind w:left="426" w:hanging="426"/>
        <w:rPr>
          <w:rFonts w:ascii="Verdana" w:hAnsi="Verdana" w:cstheme="minorHAnsi"/>
        </w:rPr>
      </w:pPr>
      <w:r w:rsidRPr="0064494F">
        <w:rPr>
          <w:rFonts w:ascii="Verdana" w:hAnsi="Verdana" w:cstheme="minorHAnsi"/>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4A4D4EA2" w14:textId="77777777" w:rsidR="0064494F" w:rsidRPr="0064494F" w:rsidRDefault="0064494F" w:rsidP="0064494F">
      <w:pPr>
        <w:pStyle w:val="ListParagraph"/>
        <w:numPr>
          <w:ilvl w:val="1"/>
          <w:numId w:val="10"/>
        </w:numPr>
        <w:ind w:left="426" w:hanging="426"/>
        <w:rPr>
          <w:rFonts w:ascii="Verdana" w:hAnsi="Verdana" w:cstheme="minorHAnsi"/>
        </w:rPr>
      </w:pPr>
      <w:r w:rsidRPr="0064494F">
        <w:rPr>
          <w:rFonts w:ascii="Verdana" w:hAnsi="Verdana" w:cstheme="minorHAnsi"/>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12CE6D67" w14:textId="77777777" w:rsidR="0064494F" w:rsidRPr="0064494F" w:rsidRDefault="0064494F" w:rsidP="0064494F">
      <w:pPr>
        <w:pStyle w:val="ListParagraph"/>
        <w:ind w:left="426"/>
        <w:rPr>
          <w:rFonts w:ascii="Verdana" w:hAnsi="Verdana" w:cstheme="minorHAnsi"/>
        </w:rPr>
      </w:pPr>
    </w:p>
    <w:p w14:paraId="1447C603" w14:textId="77777777" w:rsidR="0064494F" w:rsidRPr="0064494F" w:rsidRDefault="0064494F" w:rsidP="0064494F">
      <w:pPr>
        <w:pStyle w:val="ListParagraph"/>
        <w:numPr>
          <w:ilvl w:val="0"/>
          <w:numId w:val="10"/>
        </w:numPr>
        <w:ind w:left="426" w:hanging="426"/>
        <w:rPr>
          <w:rFonts w:ascii="Verdana" w:hAnsi="Verdana" w:cstheme="minorHAnsi"/>
          <w:b/>
        </w:rPr>
      </w:pPr>
      <w:r w:rsidRPr="0064494F">
        <w:rPr>
          <w:rFonts w:ascii="Verdana" w:hAnsi="Verdana" w:cstheme="minorHAnsi"/>
          <w:b/>
        </w:rPr>
        <w:t>Promoting Tax Compliance</w:t>
      </w:r>
    </w:p>
    <w:p w14:paraId="20842068" w14:textId="77777777" w:rsidR="0064494F" w:rsidRPr="0064494F" w:rsidRDefault="0064494F" w:rsidP="0064494F">
      <w:pPr>
        <w:pStyle w:val="ListParagraph"/>
        <w:numPr>
          <w:ilvl w:val="1"/>
          <w:numId w:val="10"/>
        </w:numPr>
        <w:ind w:left="426" w:hanging="426"/>
        <w:rPr>
          <w:rFonts w:ascii="Verdana" w:hAnsi="Verdana" w:cstheme="minorHAnsi"/>
        </w:rPr>
      </w:pPr>
      <w:r w:rsidRPr="0064494F">
        <w:rPr>
          <w:rFonts w:ascii="Verdana" w:hAnsi="Verdana" w:cstheme="minorHAnsi"/>
        </w:rPr>
        <w:t xml:space="preserve">All amounts stated </w:t>
      </w:r>
      <w:r w:rsidRPr="0064494F">
        <w:rPr>
          <w:rFonts w:ascii="Verdana" w:hAnsi="Verdana" w:cstheme="minorHAnsi"/>
          <w:szCs w:val="20"/>
        </w:rPr>
        <w:t>are stated exclusive of VAT, which shall be added at the prevailing rate as applicable and paid by the Authority following delivery of a valid VAT invoice.</w:t>
      </w:r>
    </w:p>
    <w:p w14:paraId="07DBFBEB" w14:textId="77777777" w:rsidR="0064494F" w:rsidRPr="0064494F" w:rsidRDefault="0064494F" w:rsidP="0064494F">
      <w:pPr>
        <w:pStyle w:val="ListParagraph"/>
        <w:numPr>
          <w:ilvl w:val="1"/>
          <w:numId w:val="10"/>
        </w:numPr>
        <w:ind w:left="426" w:hanging="426"/>
        <w:rPr>
          <w:rFonts w:ascii="Verdana" w:hAnsi="Verdana" w:cstheme="minorHAnsi"/>
        </w:rPr>
      </w:pPr>
      <w:bookmarkStart w:id="7" w:name="_Ref20319270"/>
      <w:r w:rsidRPr="0064494F">
        <w:rPr>
          <w:rFonts w:ascii="Verdana" w:hAnsi="Verdana" w:cstheme="minorHAnsi"/>
        </w:rPr>
        <w:t>To the extent applicable to the Supplier, the Supplier shall at all times comply with all Laws relating to Tax and with the equivalent legal provisions of the country in which the Supplier is established.</w:t>
      </w:r>
      <w:bookmarkEnd w:id="7"/>
      <w:r w:rsidRPr="0064494F">
        <w:rPr>
          <w:rFonts w:ascii="Verdana" w:hAnsi="Verdana" w:cstheme="minorHAnsi"/>
        </w:rPr>
        <w:t xml:space="preserve"> </w:t>
      </w:r>
    </w:p>
    <w:p w14:paraId="1D5C1A73" w14:textId="77777777" w:rsidR="0064494F" w:rsidRPr="0064494F" w:rsidRDefault="0064494F" w:rsidP="0064494F">
      <w:pPr>
        <w:pStyle w:val="ListParagraph"/>
        <w:numPr>
          <w:ilvl w:val="1"/>
          <w:numId w:val="10"/>
        </w:numPr>
        <w:ind w:left="426" w:hanging="426"/>
        <w:rPr>
          <w:rFonts w:ascii="Verdana" w:hAnsi="Verdana" w:cstheme="minorHAnsi"/>
        </w:rPr>
      </w:pPr>
      <w:bookmarkStart w:id="8" w:name="_Ref20993847"/>
      <w:bookmarkStart w:id="9" w:name="_Ref20319306"/>
      <w:r w:rsidRPr="0064494F">
        <w:rPr>
          <w:rFonts w:ascii="Verdana" w:hAnsi="Verdana" w:cstheme="minorHAns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8"/>
      <w:r w:rsidRPr="0064494F">
        <w:rPr>
          <w:rFonts w:ascii="Verdana" w:hAnsi="Verdana" w:cstheme="minorHAnsi"/>
        </w:rPr>
        <w:t xml:space="preserve">  </w:t>
      </w:r>
      <w:bookmarkEnd w:id="9"/>
    </w:p>
    <w:p w14:paraId="716F6A77" w14:textId="77777777" w:rsidR="0064494F" w:rsidRPr="0064494F" w:rsidRDefault="0064494F" w:rsidP="0064494F">
      <w:pPr>
        <w:pStyle w:val="ListParagraph"/>
        <w:numPr>
          <w:ilvl w:val="1"/>
          <w:numId w:val="10"/>
        </w:numPr>
        <w:ind w:left="426" w:hanging="426"/>
        <w:rPr>
          <w:rFonts w:ascii="Verdana" w:hAnsi="Verdana" w:cstheme="minorHAnsi"/>
        </w:rPr>
      </w:pPr>
      <w:bookmarkStart w:id="10" w:name="_Ref20993857"/>
      <w:r w:rsidRPr="0064494F">
        <w:rPr>
          <w:rFonts w:ascii="Verdana" w:hAnsi="Verdana" w:cstheme="minorHAnsi"/>
        </w:rPr>
        <w:t>If, at any point during the Term, there is Tax Non-Compliance, the Supplier shall:</w:t>
      </w:r>
      <w:bookmarkEnd w:id="10"/>
    </w:p>
    <w:p w14:paraId="5A545C60" w14:textId="77777777" w:rsidR="0064494F" w:rsidRPr="0064494F" w:rsidRDefault="0064494F" w:rsidP="0064494F">
      <w:pPr>
        <w:pStyle w:val="ListParagraph"/>
        <w:numPr>
          <w:ilvl w:val="2"/>
          <w:numId w:val="10"/>
        </w:numPr>
        <w:ind w:left="1134" w:hanging="708"/>
        <w:rPr>
          <w:rFonts w:ascii="Verdana" w:hAnsi="Verdana" w:cstheme="minorHAnsi"/>
        </w:rPr>
      </w:pPr>
      <w:bookmarkStart w:id="11" w:name="_Ref20319279"/>
      <w:r w:rsidRPr="0064494F">
        <w:rPr>
          <w:rFonts w:ascii="Verdana" w:hAnsi="Verdana" w:cstheme="minorHAnsi"/>
        </w:rPr>
        <w:t>notify the Authority in writing of such fact within five (5) Working Days of its occurrence; and</w:t>
      </w:r>
      <w:bookmarkEnd w:id="11"/>
    </w:p>
    <w:p w14:paraId="7168C688" w14:textId="77777777" w:rsidR="0064494F" w:rsidRPr="0064494F" w:rsidRDefault="0064494F" w:rsidP="0064494F">
      <w:pPr>
        <w:pStyle w:val="ListParagraph"/>
        <w:numPr>
          <w:ilvl w:val="2"/>
          <w:numId w:val="10"/>
        </w:numPr>
        <w:ind w:left="1134" w:hanging="708"/>
        <w:rPr>
          <w:rFonts w:ascii="Verdana" w:hAnsi="Verdana" w:cstheme="minorHAnsi"/>
        </w:rPr>
      </w:pPr>
      <w:bookmarkStart w:id="12" w:name="_Ref20319317"/>
      <w:r w:rsidRPr="0064494F">
        <w:rPr>
          <w:rFonts w:ascii="Verdana" w:hAnsi="Verdana" w:cstheme="minorHAnsi"/>
        </w:rPr>
        <w:t>promptly provide to the Authority:</w:t>
      </w:r>
      <w:bookmarkEnd w:id="12"/>
    </w:p>
    <w:p w14:paraId="5B9552AE" w14:textId="77777777" w:rsidR="0064494F" w:rsidRPr="0064494F" w:rsidRDefault="0064494F" w:rsidP="0064494F">
      <w:pPr>
        <w:pStyle w:val="ListParagraph"/>
        <w:numPr>
          <w:ilvl w:val="0"/>
          <w:numId w:val="14"/>
        </w:numPr>
        <w:rPr>
          <w:rFonts w:ascii="Verdana" w:hAnsi="Verdana" w:cstheme="minorHAnsi"/>
        </w:rPr>
      </w:pPr>
      <w:r w:rsidRPr="0064494F">
        <w:rPr>
          <w:rFonts w:ascii="Verdana" w:hAnsi="Verdana" w:cstheme="minorHAnsi"/>
        </w:rPr>
        <w:t xml:space="preserve">details of the steps which the Supplier is taking to resolve the Tax Non-Compliance and to prevent the same from recurring, together with any mitigating factors that it considers relevant; and </w:t>
      </w:r>
    </w:p>
    <w:p w14:paraId="0A91C00C" w14:textId="77777777" w:rsidR="0064494F" w:rsidRPr="0064494F" w:rsidRDefault="0064494F" w:rsidP="0064494F">
      <w:pPr>
        <w:pStyle w:val="ListParagraph"/>
        <w:numPr>
          <w:ilvl w:val="0"/>
          <w:numId w:val="14"/>
        </w:numPr>
        <w:rPr>
          <w:rFonts w:ascii="Verdana" w:hAnsi="Verdana" w:cstheme="minorHAnsi"/>
        </w:rPr>
      </w:pPr>
      <w:r w:rsidRPr="0064494F">
        <w:rPr>
          <w:rFonts w:ascii="Verdana" w:hAnsi="Verdana" w:cstheme="minorHAnsi"/>
        </w:rPr>
        <w:t>such other information in relation to the Tax Non-Compliance as the Authority may reasonably require.</w:t>
      </w:r>
    </w:p>
    <w:p w14:paraId="14812FE1" w14:textId="77777777" w:rsidR="0064494F" w:rsidRPr="0064494F" w:rsidRDefault="0064494F" w:rsidP="0064494F">
      <w:pPr>
        <w:pStyle w:val="ListParagraph"/>
        <w:numPr>
          <w:ilvl w:val="1"/>
          <w:numId w:val="10"/>
        </w:numPr>
        <w:ind w:left="426" w:hanging="426"/>
        <w:rPr>
          <w:rFonts w:ascii="Verdana" w:hAnsi="Verdana" w:cstheme="minorHAnsi"/>
        </w:rPr>
      </w:pPr>
      <w:bookmarkStart w:id="13" w:name="_Ref20319101"/>
      <w:r w:rsidRPr="0064494F">
        <w:rPr>
          <w:rFonts w:ascii="Verdana" w:hAnsi="Verdana" w:cstheme="minorHAnsi"/>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13"/>
      <w:r w:rsidRPr="0064494F">
        <w:rPr>
          <w:rFonts w:ascii="Verdana" w:hAnsi="Verdana" w:cstheme="minorHAnsi"/>
        </w:rPr>
        <w:t xml:space="preserve">  </w:t>
      </w:r>
    </w:p>
    <w:p w14:paraId="3B1681F6" w14:textId="77777777" w:rsidR="0064494F" w:rsidRPr="0064494F" w:rsidRDefault="0064494F" w:rsidP="0064494F">
      <w:pPr>
        <w:pStyle w:val="ListParagraph"/>
        <w:numPr>
          <w:ilvl w:val="1"/>
          <w:numId w:val="10"/>
        </w:numPr>
        <w:ind w:left="426" w:hanging="426"/>
        <w:rPr>
          <w:rFonts w:ascii="Verdana" w:hAnsi="Verdana" w:cstheme="minorHAnsi"/>
        </w:rPr>
      </w:pPr>
      <w:bookmarkStart w:id="14" w:name="_Ref20319292"/>
      <w:r w:rsidRPr="0064494F">
        <w:rPr>
          <w:rFonts w:ascii="Verdana" w:hAnsi="Verdana" w:cstheme="minorHAnsi"/>
        </w:rPr>
        <w:t>Upon the Authority’s request, the Supplier shall provide (promptly or within such other period notified by the Authority) information which demonstrates how the Supplier complies with its Tax obligations.</w:t>
      </w:r>
      <w:bookmarkEnd w:id="14"/>
      <w:r w:rsidRPr="0064494F">
        <w:rPr>
          <w:rFonts w:ascii="Verdana" w:hAnsi="Verdana" w:cstheme="minorHAnsi"/>
        </w:rPr>
        <w:t xml:space="preserve"> </w:t>
      </w:r>
    </w:p>
    <w:p w14:paraId="69848F2F" w14:textId="77777777" w:rsidR="0064494F" w:rsidRPr="0064494F" w:rsidRDefault="0064494F" w:rsidP="0064494F">
      <w:pPr>
        <w:pStyle w:val="ListParagraph"/>
        <w:numPr>
          <w:ilvl w:val="1"/>
          <w:numId w:val="10"/>
        </w:numPr>
        <w:ind w:left="426" w:hanging="426"/>
        <w:rPr>
          <w:rFonts w:ascii="Verdana" w:hAnsi="Verdana" w:cstheme="minorHAnsi"/>
        </w:rPr>
      </w:pPr>
      <w:r w:rsidRPr="0064494F">
        <w:rPr>
          <w:rStyle w:val="normaltextrun1"/>
          <w:rFonts w:ascii="Verdana" w:hAnsi="Verdana" w:cstheme="minorHAnsi"/>
        </w:rPr>
        <w:t xml:space="preserve">If the Supplier: </w:t>
      </w:r>
    </w:p>
    <w:p w14:paraId="1D75EF98" w14:textId="77777777" w:rsidR="0064494F" w:rsidRPr="0064494F" w:rsidRDefault="0064494F" w:rsidP="0064494F">
      <w:pPr>
        <w:pStyle w:val="paragraph"/>
        <w:numPr>
          <w:ilvl w:val="2"/>
          <w:numId w:val="10"/>
        </w:numPr>
        <w:ind w:left="1276" w:hanging="709"/>
        <w:textAlignment w:val="baseline"/>
        <w:rPr>
          <w:rStyle w:val="normaltextrun1"/>
          <w:rFonts w:ascii="Verdana" w:hAnsi="Verdana" w:cstheme="minorHAnsi"/>
          <w:sz w:val="22"/>
          <w:szCs w:val="22"/>
        </w:rPr>
      </w:pPr>
      <w:r w:rsidRPr="0064494F">
        <w:rPr>
          <w:rStyle w:val="normaltextrun1"/>
          <w:rFonts w:ascii="Verdana" w:hAnsi="Verdana" w:cstheme="minorHAnsi"/>
          <w:sz w:val="22"/>
          <w:szCs w:val="22"/>
        </w:rPr>
        <w:t xml:space="preserve">fails to comply (or if the Authority receives information which demonstrates to it that the Supplier has failed to comply) with Clauses 4.2, 4.4.1 and/or 4.6 this may be a material breach of the Agreement; </w:t>
      </w:r>
    </w:p>
    <w:p w14:paraId="507554D0" w14:textId="77777777" w:rsidR="0064494F" w:rsidRPr="0064494F" w:rsidRDefault="0064494F" w:rsidP="0064494F">
      <w:pPr>
        <w:pStyle w:val="paragraph"/>
        <w:numPr>
          <w:ilvl w:val="2"/>
          <w:numId w:val="10"/>
        </w:numPr>
        <w:ind w:left="1276" w:hanging="709"/>
        <w:textAlignment w:val="baseline"/>
        <w:rPr>
          <w:rStyle w:val="normaltextrun1"/>
          <w:rFonts w:ascii="Verdana" w:hAnsi="Verdana" w:cstheme="minorHAnsi"/>
          <w:sz w:val="22"/>
          <w:szCs w:val="22"/>
        </w:rPr>
      </w:pPr>
      <w:r w:rsidRPr="0064494F">
        <w:rPr>
          <w:rStyle w:val="normaltextrun1"/>
          <w:rFonts w:ascii="Verdana" w:hAnsi="Verdana" w:cstheme="minorHAnsi"/>
          <w:sz w:val="22"/>
          <w:szCs w:val="22"/>
        </w:rPr>
        <w:t xml:space="preserve">fails to comply (or if the Authority receives information which demonstrates to it that the Supplier has failed to comply) </w:t>
      </w:r>
      <w:r w:rsidRPr="0064494F">
        <w:rPr>
          <w:rFonts w:ascii="Verdana" w:hAnsi="Verdana" w:cstheme="minorHAnsi"/>
          <w:sz w:val="22"/>
          <w:szCs w:val="22"/>
        </w:rPr>
        <w:t xml:space="preserve">with a reasonable request by the Authority that it must not contract, or must cease to contract, with any agent, supplier or Subcontractor of the Supplier as required by Clause 4.3 on the grounds that the </w:t>
      </w:r>
      <w:r w:rsidRPr="0064494F">
        <w:rPr>
          <w:rFonts w:ascii="Verdana" w:hAnsi="Verdana" w:cstheme="minorHAnsi"/>
          <w:sz w:val="22"/>
          <w:szCs w:val="22"/>
        </w:rPr>
        <w:lastRenderedPageBreak/>
        <w:t>agent, supplier or Subcontractor of the Supplier is involved in Tax Non-Compliance</w:t>
      </w:r>
      <w:r w:rsidRPr="0064494F">
        <w:rPr>
          <w:rStyle w:val="normaltextrun1"/>
          <w:rFonts w:ascii="Verdana" w:hAnsi="Verdana" w:cstheme="minorHAnsi"/>
          <w:sz w:val="22"/>
          <w:szCs w:val="22"/>
        </w:rPr>
        <w:t xml:space="preserve"> this shall be a material breach of the Agreement; and/or</w:t>
      </w:r>
    </w:p>
    <w:p w14:paraId="40438B0D" w14:textId="77777777" w:rsidR="0064494F" w:rsidRPr="0064494F" w:rsidRDefault="0064494F" w:rsidP="0064494F">
      <w:pPr>
        <w:pStyle w:val="paragraph"/>
        <w:numPr>
          <w:ilvl w:val="2"/>
          <w:numId w:val="10"/>
        </w:numPr>
        <w:ind w:left="1276" w:hanging="709"/>
        <w:textAlignment w:val="baseline"/>
        <w:rPr>
          <w:rStyle w:val="normaltextrun1"/>
          <w:rFonts w:ascii="Verdana" w:hAnsi="Verdana" w:cstheme="minorHAnsi"/>
          <w:sz w:val="22"/>
          <w:szCs w:val="22"/>
        </w:rPr>
      </w:pPr>
      <w:r w:rsidRPr="0064494F">
        <w:rPr>
          <w:rStyle w:val="normaltextrun1"/>
          <w:rFonts w:ascii="Verdana" w:hAnsi="Verdana" w:cstheme="minorHAnsi"/>
          <w:sz w:val="22"/>
          <w:szCs w:val="22"/>
        </w:rPr>
        <w:t>fails to provide details of steps being taken and mitigating factors pursuant to Clause 4.4.2 which in the reasonable opinion of the Authority are acceptable this shall be a material breach of the Agreement;</w:t>
      </w:r>
    </w:p>
    <w:p w14:paraId="7A3A433E" w14:textId="77777777" w:rsidR="0064494F" w:rsidRPr="0064494F" w:rsidRDefault="0064494F" w:rsidP="0064494F">
      <w:pPr>
        <w:pStyle w:val="paragraph"/>
        <w:ind w:left="426" w:hanging="426"/>
        <w:textAlignment w:val="baseline"/>
        <w:rPr>
          <w:rStyle w:val="normaltextrun1"/>
          <w:rFonts w:ascii="Verdana" w:hAnsi="Verdana" w:cstheme="minorHAnsi"/>
          <w:sz w:val="22"/>
          <w:szCs w:val="22"/>
        </w:rPr>
      </w:pPr>
    </w:p>
    <w:p w14:paraId="28329357" w14:textId="77777777" w:rsidR="0064494F" w:rsidRPr="0064494F" w:rsidRDefault="0064494F" w:rsidP="0064494F">
      <w:pPr>
        <w:pStyle w:val="paragraph"/>
        <w:ind w:left="426"/>
        <w:textAlignment w:val="baseline"/>
        <w:rPr>
          <w:rFonts w:ascii="Verdana" w:hAnsi="Verdana" w:cstheme="minorHAnsi"/>
          <w:sz w:val="22"/>
          <w:szCs w:val="22"/>
        </w:rPr>
      </w:pPr>
      <w:r w:rsidRPr="0064494F">
        <w:rPr>
          <w:rStyle w:val="normaltextrun1"/>
          <w:rFonts w:ascii="Verdana" w:hAnsi="Verdana" w:cstheme="minorHAnsi"/>
          <w:sz w:val="22"/>
          <w:szCs w:val="22"/>
        </w:rPr>
        <w:t xml:space="preserve">and any such material breach shall allow the Authority to </w:t>
      </w:r>
      <w:r w:rsidRPr="0064494F">
        <w:rPr>
          <w:rFonts w:ascii="Verdana" w:hAnsi="Verdana" w:cstheme="minorHAnsi"/>
          <w:sz w:val="22"/>
          <w:szCs w:val="22"/>
        </w:rPr>
        <w:t xml:space="preserve">terminate the Agreement pursuant to the Call-Off Clause which provides the Authority the right to terminate the Agreement for Supplier fault (termination for Supplier cause or equivalent clause). </w:t>
      </w:r>
    </w:p>
    <w:p w14:paraId="374B4726" w14:textId="77777777" w:rsidR="0064494F" w:rsidRPr="0064494F" w:rsidRDefault="0064494F" w:rsidP="0064494F">
      <w:pPr>
        <w:pStyle w:val="ListParagraph"/>
        <w:numPr>
          <w:ilvl w:val="1"/>
          <w:numId w:val="10"/>
        </w:numPr>
        <w:ind w:left="426" w:hanging="426"/>
        <w:rPr>
          <w:rFonts w:ascii="Verdana" w:hAnsi="Verdana" w:cstheme="minorHAnsi"/>
        </w:rPr>
      </w:pPr>
      <w:r w:rsidRPr="0064494F">
        <w:rPr>
          <w:rFonts w:ascii="Verdana" w:hAnsi="Verdana" w:cstheme="minorHAnsi"/>
        </w:rPr>
        <w:t xml:space="preserve">The Authority may internally share any information which it receives under Clauses 4.3 to 4.4 (inclusive) and 4.6, for the purpose of the collection and management of revenue for which the Authority is responsible. </w:t>
      </w:r>
    </w:p>
    <w:p w14:paraId="5DF54EC6" w14:textId="77777777" w:rsidR="0064494F" w:rsidRPr="0064494F" w:rsidRDefault="0064494F" w:rsidP="0064494F">
      <w:pPr>
        <w:pStyle w:val="ListParagraph"/>
        <w:ind w:left="426"/>
        <w:rPr>
          <w:rFonts w:ascii="Verdana" w:hAnsi="Verdana" w:cstheme="minorHAnsi"/>
        </w:rPr>
      </w:pPr>
    </w:p>
    <w:p w14:paraId="26DBF732" w14:textId="77777777" w:rsidR="0064494F" w:rsidRPr="0064494F" w:rsidRDefault="0064494F" w:rsidP="0064494F">
      <w:pPr>
        <w:pStyle w:val="ListParagraph"/>
        <w:numPr>
          <w:ilvl w:val="0"/>
          <w:numId w:val="10"/>
        </w:numPr>
        <w:ind w:left="426" w:hanging="426"/>
        <w:rPr>
          <w:rFonts w:ascii="Verdana" w:hAnsi="Verdana" w:cstheme="minorHAnsi"/>
          <w:b/>
          <w:lang w:val="en-US"/>
        </w:rPr>
      </w:pPr>
      <w:r w:rsidRPr="0064494F">
        <w:rPr>
          <w:rFonts w:ascii="Verdana" w:hAnsi="Verdana" w:cstheme="minorHAnsi"/>
          <w:b/>
          <w:lang w:val="en-US"/>
        </w:rPr>
        <w:t>Use of Off-shore Tax Structures</w:t>
      </w:r>
      <w:bookmarkStart w:id="15" w:name="_Ref456277829"/>
    </w:p>
    <w:p w14:paraId="5FA6F6E7" w14:textId="77777777" w:rsidR="0064494F" w:rsidRPr="0064494F" w:rsidRDefault="0064494F" w:rsidP="0064494F">
      <w:pPr>
        <w:pStyle w:val="ListParagraph"/>
        <w:numPr>
          <w:ilvl w:val="1"/>
          <w:numId w:val="15"/>
        </w:numPr>
        <w:ind w:left="426" w:hanging="426"/>
        <w:rPr>
          <w:rFonts w:ascii="Verdana" w:hAnsi="Verdana" w:cstheme="minorHAnsi"/>
          <w:b/>
          <w:lang w:val="en-US"/>
        </w:rPr>
      </w:pPr>
      <w:bookmarkStart w:id="16" w:name="_Ref19805004"/>
      <w:r w:rsidRPr="0064494F">
        <w:rPr>
          <w:rFonts w:ascii="Verdana" w:hAnsi="Verdana"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64494F">
        <w:rPr>
          <w:rFonts w:ascii="Verdana" w:hAnsi="Verdana" w:cstheme="minorHAnsi"/>
          <w:b/>
          <w:bCs/>
          <w:iCs/>
        </w:rPr>
        <w:t>“Prohibited Transactions”</w:t>
      </w:r>
      <w:r w:rsidRPr="0064494F">
        <w:rPr>
          <w:rFonts w:ascii="Verdana" w:hAnsi="Verdana"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7" w:name="_Ref454350421"/>
      <w:bookmarkEnd w:id="15"/>
      <w:bookmarkEnd w:id="16"/>
    </w:p>
    <w:p w14:paraId="235AEF89" w14:textId="77777777" w:rsidR="0064494F" w:rsidRPr="0064494F" w:rsidRDefault="0064494F" w:rsidP="0064494F">
      <w:pPr>
        <w:pStyle w:val="ListParagraph"/>
        <w:numPr>
          <w:ilvl w:val="1"/>
          <w:numId w:val="15"/>
        </w:numPr>
        <w:ind w:left="426" w:hanging="426"/>
        <w:rPr>
          <w:rFonts w:ascii="Verdana" w:hAnsi="Verdana" w:cstheme="minorHAnsi"/>
          <w:b/>
          <w:lang w:val="en-US"/>
        </w:rPr>
      </w:pPr>
      <w:bookmarkStart w:id="18" w:name="_Ref19805057"/>
      <w:r w:rsidRPr="0064494F">
        <w:rPr>
          <w:rFonts w:ascii="Verdana" w:hAnsi="Verdana"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9" w:name="_Ref454350981"/>
      <w:bookmarkEnd w:id="17"/>
      <w:bookmarkEnd w:id="18"/>
    </w:p>
    <w:p w14:paraId="72A418A8" w14:textId="77777777" w:rsidR="0064494F" w:rsidRPr="0064494F" w:rsidRDefault="0064494F" w:rsidP="0064494F">
      <w:pPr>
        <w:pStyle w:val="ListParagraph"/>
        <w:numPr>
          <w:ilvl w:val="1"/>
          <w:numId w:val="15"/>
        </w:numPr>
        <w:ind w:left="426" w:hanging="426"/>
        <w:rPr>
          <w:rFonts w:ascii="Verdana" w:hAnsi="Verdana" w:cstheme="minorHAnsi"/>
          <w:b/>
          <w:lang w:val="en-US"/>
        </w:rPr>
      </w:pPr>
      <w:bookmarkStart w:id="20" w:name="_Ref19805096"/>
      <w:r w:rsidRPr="0064494F">
        <w:rPr>
          <w:rFonts w:ascii="Verdana" w:hAnsi="Verdana" w:cstheme="minorHAnsi"/>
          <w:bCs/>
          <w:iCs/>
        </w:rPr>
        <w:t xml:space="preserve">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w:t>
      </w:r>
      <w:r w:rsidRPr="0064494F">
        <w:rPr>
          <w:rFonts w:ascii="Verdana" w:hAnsi="Verdana" w:cstheme="minorHAnsi"/>
          <w:bCs/>
          <w:iCs/>
        </w:rPr>
        <w:lastRenderedPageBreak/>
        <w:t>any such arrangements by the undertakings concerned, resolving the matter (if required) through the escalation process in the Agreement.</w:t>
      </w:r>
      <w:bookmarkStart w:id="21" w:name="_Ref519588655"/>
      <w:bookmarkEnd w:id="19"/>
      <w:bookmarkEnd w:id="20"/>
    </w:p>
    <w:p w14:paraId="1C52E696" w14:textId="77777777" w:rsidR="0064494F" w:rsidRPr="0064494F" w:rsidRDefault="0064494F" w:rsidP="0064494F">
      <w:pPr>
        <w:pStyle w:val="ListParagraph"/>
        <w:numPr>
          <w:ilvl w:val="1"/>
          <w:numId w:val="15"/>
        </w:numPr>
        <w:ind w:left="426" w:hanging="426"/>
        <w:rPr>
          <w:rFonts w:ascii="Verdana" w:hAnsi="Verdana" w:cstheme="minorHAnsi"/>
          <w:b/>
          <w:lang w:val="en-US"/>
        </w:rPr>
      </w:pPr>
      <w:r w:rsidRPr="0064494F">
        <w:rPr>
          <w:rFonts w:ascii="Verdana" w:hAnsi="Verdana" w:cstheme="minorHAnsi"/>
          <w:bCs/>
          <w:iCs/>
        </w:rPr>
        <w:t xml:space="preserve">Failure by the Supplier (or a Key Subcontractor) to comply with the obligations set out in Clauses 5.2 and 5.3 shall allow the Authority to terminate the Agreement pursuant to the Clause that </w:t>
      </w:r>
      <w:bookmarkEnd w:id="21"/>
      <w:r w:rsidRPr="0064494F">
        <w:rPr>
          <w:rFonts w:ascii="Verdana" w:hAnsi="Verdana" w:cstheme="minorHAnsi"/>
        </w:rPr>
        <w:t>provides the Authority the right to terminate the Agreement for Supplier fault (termination for Supplier cause).</w:t>
      </w:r>
    </w:p>
    <w:p w14:paraId="3364BE38" w14:textId="77777777" w:rsidR="0064494F" w:rsidRPr="0064494F" w:rsidRDefault="0064494F" w:rsidP="0064494F">
      <w:pPr>
        <w:pStyle w:val="Body2"/>
        <w:keepLines/>
        <w:spacing w:after="0"/>
        <w:ind w:left="426"/>
        <w:rPr>
          <w:rFonts w:ascii="Verdana" w:hAnsi="Verdana" w:cstheme="minorHAnsi"/>
          <w:b/>
          <w:spacing w:val="-3"/>
          <w:sz w:val="22"/>
          <w:szCs w:val="22"/>
          <w:lang w:val="en-US"/>
        </w:rPr>
      </w:pPr>
    </w:p>
    <w:p w14:paraId="3AE226E3" w14:textId="77777777" w:rsidR="0064494F" w:rsidRPr="0064494F" w:rsidRDefault="0064494F" w:rsidP="0064494F">
      <w:pPr>
        <w:pStyle w:val="Body2"/>
        <w:keepLines/>
        <w:numPr>
          <w:ilvl w:val="0"/>
          <w:numId w:val="15"/>
        </w:numPr>
        <w:spacing w:after="0"/>
        <w:ind w:left="426" w:hanging="426"/>
        <w:rPr>
          <w:rFonts w:ascii="Verdana" w:hAnsi="Verdana" w:cstheme="minorHAnsi"/>
          <w:b/>
          <w:spacing w:val="-3"/>
          <w:sz w:val="22"/>
          <w:szCs w:val="22"/>
          <w:lang w:val="en-US"/>
        </w:rPr>
      </w:pPr>
      <w:r w:rsidRPr="0064494F">
        <w:rPr>
          <w:rFonts w:ascii="Verdana" w:hAnsi="Verdana" w:cstheme="minorHAnsi"/>
          <w:b/>
          <w:spacing w:val="-3"/>
          <w:sz w:val="22"/>
          <w:szCs w:val="22"/>
          <w:lang w:val="en-US"/>
        </w:rPr>
        <w:t>Data Protection and off-shoring</w:t>
      </w:r>
    </w:p>
    <w:p w14:paraId="10FAA351" w14:textId="77777777" w:rsidR="0064494F" w:rsidRPr="0064494F" w:rsidRDefault="0064494F" w:rsidP="0064494F">
      <w:pPr>
        <w:pStyle w:val="Body2"/>
        <w:keepLines/>
        <w:numPr>
          <w:ilvl w:val="1"/>
          <w:numId w:val="15"/>
        </w:numPr>
        <w:spacing w:after="0"/>
        <w:ind w:left="426" w:hanging="426"/>
        <w:jc w:val="left"/>
        <w:rPr>
          <w:rFonts w:ascii="Verdana" w:hAnsi="Verdana" w:cstheme="minorHAnsi"/>
          <w:spacing w:val="-3"/>
          <w:sz w:val="22"/>
          <w:szCs w:val="22"/>
          <w:lang w:val="en-US"/>
        </w:rPr>
      </w:pPr>
      <w:bookmarkStart w:id="22" w:name="_Ref19805122"/>
      <w:r w:rsidRPr="0064494F">
        <w:rPr>
          <w:rFonts w:ascii="Verdana" w:hAnsi="Verdana" w:cstheme="minorHAnsi"/>
          <w:spacing w:val="-3"/>
          <w:sz w:val="22"/>
          <w:szCs w:val="22"/>
          <w:lang w:val="en-US"/>
        </w:rPr>
        <w:t>The Processor shall, in relation to any Personal Data processed in connection with its obligations under the Agreement:</w:t>
      </w:r>
      <w:bookmarkEnd w:id="22"/>
    </w:p>
    <w:p w14:paraId="7A580D86" w14:textId="77777777" w:rsidR="0064494F" w:rsidRPr="0064494F" w:rsidRDefault="0064494F" w:rsidP="0064494F">
      <w:pPr>
        <w:pStyle w:val="Body2"/>
        <w:keepLines/>
        <w:numPr>
          <w:ilvl w:val="2"/>
          <w:numId w:val="15"/>
        </w:numPr>
        <w:spacing w:after="240"/>
        <w:ind w:left="1134" w:hanging="708"/>
        <w:jc w:val="left"/>
        <w:rPr>
          <w:rFonts w:ascii="Verdana" w:hAnsi="Verdana" w:cstheme="minorHAnsi"/>
          <w:spacing w:val="-3"/>
          <w:sz w:val="22"/>
          <w:szCs w:val="22"/>
          <w:lang w:val="en-US"/>
        </w:rPr>
      </w:pPr>
      <w:r w:rsidRPr="0064494F">
        <w:rPr>
          <w:rFonts w:ascii="Verdana" w:hAnsi="Verdana" w:cstheme="minorHAnsi"/>
          <w:spacing w:val="-3"/>
          <w:sz w:val="22"/>
          <w:szCs w:val="22"/>
          <w:lang w:val="en-US"/>
        </w:rPr>
        <w:t>not transfer Personal Data outside of the United Kingdom unless the prior written consent of the Controller has been obtained and the following conditions are fulfilled:</w:t>
      </w:r>
    </w:p>
    <w:p w14:paraId="1F0BC93D" w14:textId="77777777" w:rsidR="0064494F" w:rsidRPr="0064494F" w:rsidRDefault="0064494F" w:rsidP="0064494F">
      <w:pPr>
        <w:pStyle w:val="Body2"/>
        <w:keepLines/>
        <w:numPr>
          <w:ilvl w:val="1"/>
          <w:numId w:val="11"/>
        </w:numPr>
        <w:spacing w:after="240"/>
        <w:ind w:left="1560" w:hanging="426"/>
        <w:jc w:val="left"/>
        <w:rPr>
          <w:rFonts w:ascii="Verdana" w:hAnsi="Verdana" w:cstheme="minorHAnsi"/>
          <w:spacing w:val="-3"/>
          <w:sz w:val="22"/>
          <w:szCs w:val="22"/>
          <w:lang w:val="en-US"/>
        </w:rPr>
      </w:pPr>
      <w:r w:rsidRPr="0064494F">
        <w:rPr>
          <w:rFonts w:ascii="Verdana" w:hAnsi="Verdana"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2233F0DE" w14:textId="77777777" w:rsidR="0064494F" w:rsidRPr="0064494F" w:rsidRDefault="0064494F" w:rsidP="0064494F">
      <w:pPr>
        <w:pStyle w:val="Body2"/>
        <w:keepLines/>
        <w:numPr>
          <w:ilvl w:val="1"/>
          <w:numId w:val="11"/>
        </w:numPr>
        <w:spacing w:after="240"/>
        <w:ind w:left="1560" w:hanging="426"/>
        <w:jc w:val="left"/>
        <w:rPr>
          <w:rFonts w:ascii="Verdana" w:hAnsi="Verdana" w:cstheme="minorHAnsi"/>
          <w:spacing w:val="-3"/>
          <w:sz w:val="22"/>
          <w:szCs w:val="22"/>
          <w:lang w:val="en-US"/>
        </w:rPr>
      </w:pPr>
      <w:r w:rsidRPr="0064494F">
        <w:rPr>
          <w:rFonts w:ascii="Verdana" w:hAnsi="Verdana" w:cstheme="minorHAnsi"/>
          <w:spacing w:val="-3"/>
          <w:sz w:val="22"/>
          <w:szCs w:val="22"/>
          <w:lang w:val="en-US"/>
        </w:rPr>
        <w:t>the Data Subject has enforceable rights and effective legal remedies;</w:t>
      </w:r>
    </w:p>
    <w:p w14:paraId="3DAC47F8" w14:textId="77777777" w:rsidR="0064494F" w:rsidRPr="0064494F" w:rsidRDefault="0064494F" w:rsidP="0064494F">
      <w:pPr>
        <w:pStyle w:val="Body2"/>
        <w:keepLines/>
        <w:numPr>
          <w:ilvl w:val="1"/>
          <w:numId w:val="11"/>
        </w:numPr>
        <w:spacing w:after="240"/>
        <w:ind w:left="1560" w:hanging="426"/>
        <w:jc w:val="left"/>
        <w:rPr>
          <w:rFonts w:ascii="Verdana" w:hAnsi="Verdana" w:cstheme="minorHAnsi"/>
          <w:spacing w:val="-3"/>
          <w:sz w:val="22"/>
          <w:szCs w:val="22"/>
          <w:lang w:val="en-US"/>
        </w:rPr>
      </w:pPr>
      <w:r w:rsidRPr="0064494F">
        <w:rPr>
          <w:rFonts w:ascii="Verdana" w:hAnsi="Verdana" w:cstheme="minorHAnsi"/>
          <w:spacing w:val="-3"/>
          <w:sz w:val="22"/>
          <w:szCs w:val="22"/>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551CE56" w14:textId="77777777" w:rsidR="0064494F" w:rsidRPr="0064494F" w:rsidRDefault="0064494F" w:rsidP="0064494F">
      <w:pPr>
        <w:pStyle w:val="Body2"/>
        <w:keepLines/>
        <w:numPr>
          <w:ilvl w:val="1"/>
          <w:numId w:val="11"/>
        </w:numPr>
        <w:spacing w:after="240"/>
        <w:ind w:left="1560" w:hanging="426"/>
        <w:jc w:val="left"/>
        <w:rPr>
          <w:rFonts w:ascii="Verdana" w:hAnsi="Verdana" w:cstheme="minorHAnsi"/>
          <w:spacing w:val="-3"/>
          <w:sz w:val="22"/>
          <w:szCs w:val="22"/>
          <w:lang w:val="en-US"/>
        </w:rPr>
      </w:pPr>
      <w:r w:rsidRPr="0064494F">
        <w:rPr>
          <w:rFonts w:ascii="Verdana" w:hAnsi="Verdana" w:cstheme="minorHAnsi"/>
          <w:spacing w:val="-3"/>
          <w:sz w:val="22"/>
          <w:szCs w:val="22"/>
          <w:lang w:val="en-US"/>
        </w:rPr>
        <w:t>the Processor complies with any reasonable instructions notified to it in advance by the Controller with respect to the processing of the Personal Data;</w:t>
      </w:r>
    </w:p>
    <w:p w14:paraId="7E657987" w14:textId="77777777" w:rsidR="0064494F" w:rsidRPr="0064494F" w:rsidRDefault="0064494F" w:rsidP="0064494F">
      <w:pPr>
        <w:pStyle w:val="ListParagraph"/>
        <w:numPr>
          <w:ilvl w:val="1"/>
          <w:numId w:val="15"/>
        </w:numPr>
        <w:ind w:left="426" w:hanging="426"/>
        <w:rPr>
          <w:rFonts w:ascii="Verdana" w:hAnsi="Verdana" w:cstheme="minorHAnsi"/>
          <w:b/>
        </w:rPr>
      </w:pPr>
      <w:r w:rsidRPr="0064494F">
        <w:rPr>
          <w:rFonts w:ascii="Verdana" w:hAnsi="Verdana" w:cstheme="minorHAnsi"/>
          <w:bCs/>
          <w:iCs/>
        </w:rPr>
        <w:t>Failure by the Processor to comply with the obligations set out in Clause 6.1</w:t>
      </w:r>
      <w:r w:rsidRPr="0064494F">
        <w:rPr>
          <w:rFonts w:ascii="Verdana" w:hAnsi="Verdana" w:cstheme="minorHAnsi"/>
        </w:rPr>
        <w:t xml:space="preserve"> s</w:t>
      </w:r>
      <w:r w:rsidRPr="0064494F">
        <w:rPr>
          <w:rFonts w:ascii="Verdana" w:hAnsi="Verdana" w:cstheme="minorHAnsi"/>
          <w:bCs/>
          <w:iCs/>
        </w:rPr>
        <w:t xml:space="preserve">hall allow the Authority to terminate the Agreement pursuant to the Clause that </w:t>
      </w:r>
      <w:r w:rsidRPr="0064494F">
        <w:rPr>
          <w:rFonts w:ascii="Verdana" w:hAnsi="Verdana" w:cstheme="minorHAnsi"/>
        </w:rPr>
        <w:t>provides the Authority the right to terminate the Agreement for Supplier fault (termination for Supplier cause or equivalent clause).</w:t>
      </w:r>
    </w:p>
    <w:p w14:paraId="15F42A67" w14:textId="77777777" w:rsidR="0064494F" w:rsidRPr="0064494F" w:rsidRDefault="0064494F" w:rsidP="0064494F">
      <w:pPr>
        <w:pStyle w:val="ListParagraph"/>
        <w:ind w:left="426"/>
        <w:rPr>
          <w:rFonts w:ascii="Verdana" w:hAnsi="Verdana" w:cstheme="minorHAnsi"/>
          <w:b/>
        </w:rPr>
      </w:pPr>
    </w:p>
    <w:p w14:paraId="530B7CB8" w14:textId="77777777" w:rsidR="0064494F" w:rsidRPr="0064494F" w:rsidRDefault="0064494F" w:rsidP="0064494F">
      <w:pPr>
        <w:pStyle w:val="ListParagraph"/>
        <w:numPr>
          <w:ilvl w:val="0"/>
          <w:numId w:val="15"/>
        </w:numPr>
        <w:ind w:left="426" w:hanging="426"/>
        <w:rPr>
          <w:rFonts w:ascii="Verdana" w:hAnsi="Verdana" w:cstheme="minorHAnsi"/>
          <w:b/>
        </w:rPr>
      </w:pPr>
      <w:bookmarkStart w:id="23" w:name="_Ref24987602"/>
      <w:bookmarkStart w:id="24" w:name="_Ref25767967"/>
      <w:r w:rsidRPr="0064494F">
        <w:rPr>
          <w:rFonts w:ascii="Verdana" w:hAnsi="Verdana" w:cstheme="minorHAnsi"/>
          <w:b/>
        </w:rPr>
        <w:t>Commissioners for Revenue and Customs Act 2005</w:t>
      </w:r>
      <w:bookmarkEnd w:id="23"/>
      <w:r w:rsidRPr="0064494F">
        <w:rPr>
          <w:rFonts w:ascii="Verdana" w:hAnsi="Verdana" w:cstheme="minorHAnsi"/>
          <w:b/>
        </w:rPr>
        <w:t xml:space="preserve"> and related Legislation</w:t>
      </w:r>
      <w:bookmarkEnd w:id="24"/>
      <w:r w:rsidRPr="0064494F">
        <w:rPr>
          <w:rFonts w:ascii="Verdana" w:hAnsi="Verdana" w:cstheme="minorHAnsi"/>
          <w:b/>
        </w:rPr>
        <w:t xml:space="preserve"> </w:t>
      </w:r>
    </w:p>
    <w:p w14:paraId="7ABC8DBC" w14:textId="77777777" w:rsidR="0064494F" w:rsidRPr="0064494F" w:rsidRDefault="0064494F" w:rsidP="0064494F">
      <w:pPr>
        <w:pStyle w:val="ListParagraph"/>
        <w:numPr>
          <w:ilvl w:val="1"/>
          <w:numId w:val="15"/>
        </w:numPr>
        <w:ind w:left="426" w:hanging="426"/>
        <w:rPr>
          <w:rFonts w:ascii="Verdana" w:hAnsi="Verdana" w:cstheme="minorHAnsi"/>
        </w:rPr>
      </w:pPr>
      <w:bookmarkStart w:id="25" w:name="_Ref19805143"/>
      <w:r w:rsidRPr="0064494F">
        <w:rPr>
          <w:rFonts w:ascii="Verdana" w:hAnsi="Verdana" w:cstheme="minorHAnsi"/>
        </w:rPr>
        <w:t>The Supplier shall comply with, and shall ensure that all Supplier Personnel who will have access to, or are provided with, Authority Data comply with</w:t>
      </w:r>
      <w:bookmarkEnd w:id="25"/>
      <w:r w:rsidRPr="0064494F">
        <w:rPr>
          <w:rFonts w:ascii="Verdana" w:hAnsi="Verdana" w:cstheme="minorHAns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2E965EE8" w14:textId="77777777" w:rsidR="0064494F" w:rsidRPr="0064494F" w:rsidRDefault="0064494F" w:rsidP="0064494F">
      <w:pPr>
        <w:pStyle w:val="ListParagraph"/>
        <w:numPr>
          <w:ilvl w:val="1"/>
          <w:numId w:val="15"/>
        </w:numPr>
        <w:ind w:left="426" w:hanging="426"/>
        <w:rPr>
          <w:rFonts w:ascii="Verdana" w:hAnsi="Verdana" w:cstheme="minorHAnsi"/>
        </w:rPr>
      </w:pPr>
      <w:r w:rsidRPr="0064494F">
        <w:rPr>
          <w:rFonts w:ascii="Verdana" w:hAnsi="Verdana" w:cstheme="minorHAnsi"/>
        </w:rPr>
        <w:t xml:space="preserve">The Supplier shall comply with, and shall ensure that all Supplier Personnel who will have access to, or are provided with, Authority Data comply with the obligations set out in </w:t>
      </w:r>
      <w:r w:rsidRPr="0064494F">
        <w:rPr>
          <w:rFonts w:ascii="Verdana" w:hAnsi="Verdana"/>
        </w:rPr>
        <w:t xml:space="preserve">Section 123 of the Social Security Administration Act 1992, which may apply to the fulfilment of some or all of the Services. </w:t>
      </w:r>
      <w:r w:rsidRPr="0064494F">
        <w:rPr>
          <w:rFonts w:ascii="Verdana" w:hAnsi="Verdana"/>
        </w:rPr>
        <w:lastRenderedPageBreak/>
        <w:t>The Supplier acknowledges that (without prejudice to any other rights and remedies of the Authority) a breach of the Supplier’s obligations under Section 123 of the Social Security Administration Act 1992 may lead to a prosecution under that Act.</w:t>
      </w:r>
    </w:p>
    <w:p w14:paraId="59C3BCA0" w14:textId="77777777" w:rsidR="0064494F" w:rsidRPr="0064494F" w:rsidRDefault="0064494F" w:rsidP="0064494F">
      <w:pPr>
        <w:pStyle w:val="ListParagraph"/>
        <w:numPr>
          <w:ilvl w:val="1"/>
          <w:numId w:val="15"/>
        </w:numPr>
        <w:ind w:left="426" w:hanging="426"/>
        <w:rPr>
          <w:rFonts w:ascii="Verdana" w:hAnsi="Verdana" w:cstheme="minorHAnsi"/>
        </w:rPr>
      </w:pPr>
      <w:r w:rsidRPr="0064494F">
        <w:rPr>
          <w:rFonts w:ascii="Verdana" w:hAnsi="Verdana" w:cstheme="minorHAnsi"/>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452837DE" w14:textId="77777777" w:rsidR="0064494F" w:rsidRPr="0064494F" w:rsidRDefault="0064494F" w:rsidP="0064494F">
      <w:pPr>
        <w:pStyle w:val="ListParagraph"/>
        <w:numPr>
          <w:ilvl w:val="1"/>
          <w:numId w:val="15"/>
        </w:numPr>
        <w:ind w:left="426" w:hanging="426"/>
        <w:rPr>
          <w:rFonts w:ascii="Verdana" w:hAnsi="Verdana" w:cstheme="minorHAnsi"/>
        </w:rPr>
      </w:pPr>
      <w:r w:rsidRPr="0064494F">
        <w:rPr>
          <w:rFonts w:ascii="Verdana" w:hAnsi="Verdana" w:cstheme="minorHAns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32F40F26" w14:textId="77777777" w:rsidR="0064494F" w:rsidRPr="0064494F" w:rsidRDefault="0064494F" w:rsidP="0064494F">
      <w:pPr>
        <w:pStyle w:val="ListParagraph"/>
        <w:numPr>
          <w:ilvl w:val="1"/>
          <w:numId w:val="15"/>
        </w:numPr>
        <w:ind w:left="426" w:hanging="426"/>
        <w:rPr>
          <w:rFonts w:ascii="Verdana" w:hAnsi="Verdana" w:cstheme="minorHAnsi"/>
        </w:rPr>
      </w:pPr>
      <w:r w:rsidRPr="0064494F">
        <w:rPr>
          <w:rFonts w:ascii="Verdana" w:hAnsi="Verdana" w:cstheme="minorHAnsi"/>
        </w:rPr>
        <w:t>In the event that the Supplier or the Supplier Personnel fail to comply with this Clause 7, the Authority reserves the right to terminate the Agreement with immediate effect</w:t>
      </w:r>
      <w:r w:rsidRPr="0064494F" w:rsidDel="00920BB3">
        <w:rPr>
          <w:rFonts w:ascii="Verdana" w:hAnsi="Verdana" w:cstheme="minorHAnsi"/>
        </w:rPr>
        <w:t xml:space="preserve"> </w:t>
      </w:r>
      <w:r w:rsidRPr="0064494F">
        <w:rPr>
          <w:rFonts w:ascii="Verdana" w:hAnsi="Verdana" w:cstheme="minorHAnsi"/>
        </w:rPr>
        <w:t>pursuant</w:t>
      </w:r>
      <w:r w:rsidRPr="0064494F">
        <w:rPr>
          <w:rFonts w:ascii="Verdana" w:hAnsi="Verdana" w:cstheme="minorHAnsi"/>
          <w:bCs/>
          <w:iCs/>
        </w:rPr>
        <w:t xml:space="preserve"> to the clause that </w:t>
      </w:r>
      <w:r w:rsidRPr="0064494F">
        <w:rPr>
          <w:rFonts w:ascii="Verdana" w:hAnsi="Verdana" w:cstheme="minorHAnsi"/>
        </w:rPr>
        <w:t>provides the Authority the right to terminate the Agreement for Supplier fault (termination for Supplier cause).</w:t>
      </w:r>
    </w:p>
    <w:p w14:paraId="57F5F3EE" w14:textId="77777777" w:rsidR="0064494F" w:rsidRPr="0064494F" w:rsidRDefault="0064494F" w:rsidP="0064494F">
      <w:pPr>
        <w:rPr>
          <w:rFonts w:ascii="Verdana" w:hAnsi="Verdana" w:cstheme="minorHAnsi"/>
        </w:rPr>
      </w:pPr>
    </w:p>
    <w:p w14:paraId="119BC41C" w14:textId="77777777" w:rsidR="0064494F" w:rsidRPr="0064494F" w:rsidRDefault="0064494F" w:rsidP="0064494F">
      <w:pPr>
        <w:jc w:val="center"/>
        <w:rPr>
          <w:rFonts w:ascii="Verdana" w:hAnsi="Verdana" w:cstheme="minorHAnsi"/>
          <w:b/>
        </w:rPr>
      </w:pPr>
      <w:r w:rsidRPr="0064494F">
        <w:rPr>
          <w:rFonts w:ascii="Verdana" w:hAnsi="Verdana" w:cstheme="minorHAnsi"/>
        </w:rPr>
        <w:br w:type="page"/>
      </w:r>
      <w:r w:rsidRPr="0064494F">
        <w:rPr>
          <w:rFonts w:ascii="Verdana" w:hAnsi="Verdana" w:cstheme="minorHAnsi"/>
          <w:b/>
        </w:rPr>
        <w:lastRenderedPageBreak/>
        <w:t>Annex 1</w:t>
      </w:r>
    </w:p>
    <w:p w14:paraId="1FBF2710" w14:textId="77777777" w:rsidR="0064494F" w:rsidRPr="0064494F" w:rsidRDefault="0064494F" w:rsidP="0064494F">
      <w:pPr>
        <w:jc w:val="center"/>
        <w:rPr>
          <w:rFonts w:ascii="Verdana" w:hAnsi="Verdana" w:cstheme="minorHAnsi"/>
          <w:b/>
        </w:rPr>
      </w:pPr>
      <w:r w:rsidRPr="0064494F">
        <w:rPr>
          <w:rFonts w:ascii="Verdana" w:hAnsi="Verdana" w:cstheme="minorHAnsi"/>
          <w:b/>
        </w:rPr>
        <w:t xml:space="preserve">Excerpt from </w:t>
      </w:r>
      <w:r w:rsidRPr="0064494F">
        <w:rPr>
          <w:rFonts w:ascii="Verdana" w:hAnsi="Verdana" w:cstheme="minorHAnsi"/>
          <w:b/>
          <w:spacing w:val="-2"/>
        </w:rPr>
        <w:t>HMRC’s “Test for Tax Non-Compliance”</w:t>
      </w:r>
    </w:p>
    <w:p w14:paraId="034A4FD5" w14:textId="77777777" w:rsidR="0064494F" w:rsidRPr="0064494F" w:rsidRDefault="0064494F" w:rsidP="0064494F">
      <w:pPr>
        <w:pStyle w:val="NormalWeb"/>
        <w:spacing w:after="0" w:afterAutospacing="0"/>
        <w:jc w:val="both"/>
        <w:rPr>
          <w:rFonts w:ascii="Verdana" w:hAnsi="Verdana" w:cstheme="minorHAnsi"/>
          <w:sz w:val="22"/>
          <w:szCs w:val="22"/>
        </w:rPr>
      </w:pPr>
      <w:r w:rsidRPr="0064494F">
        <w:rPr>
          <w:rFonts w:ascii="Verdana" w:hAnsi="Verdana" w:cstheme="minorHAnsi"/>
          <w:i/>
          <w:iCs/>
          <w:color w:val="000000"/>
          <w:sz w:val="22"/>
          <w:szCs w:val="22"/>
        </w:rPr>
        <w:t>Condition one (An in-scope entity or person)</w:t>
      </w:r>
    </w:p>
    <w:p w14:paraId="54E548A3" w14:textId="77777777" w:rsidR="0064494F" w:rsidRPr="0064494F" w:rsidRDefault="0064494F" w:rsidP="0064494F">
      <w:pPr>
        <w:pStyle w:val="NormalWeb"/>
        <w:spacing w:after="0" w:afterAutospacing="0"/>
        <w:jc w:val="both"/>
        <w:textAlignment w:val="baseline"/>
        <w:rPr>
          <w:rFonts w:ascii="Verdana" w:hAnsi="Verdana" w:cstheme="minorHAnsi"/>
          <w:color w:val="000000"/>
          <w:sz w:val="22"/>
          <w:szCs w:val="22"/>
        </w:rPr>
      </w:pPr>
    </w:p>
    <w:p w14:paraId="7B208023" w14:textId="77777777" w:rsidR="0064494F" w:rsidRPr="0064494F" w:rsidRDefault="0064494F" w:rsidP="0064494F">
      <w:pPr>
        <w:pStyle w:val="NormalWeb"/>
        <w:numPr>
          <w:ilvl w:val="0"/>
          <w:numId w:val="8"/>
        </w:numPr>
        <w:spacing w:after="0" w:afterAutospacing="0" w:line="240" w:lineRule="auto"/>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There is a person or entity which is either: (“X”)</w:t>
      </w:r>
    </w:p>
    <w:p w14:paraId="28E0B747" w14:textId="77777777" w:rsidR="0064494F" w:rsidRPr="0064494F" w:rsidRDefault="0064494F" w:rsidP="0064494F">
      <w:pPr>
        <w:pStyle w:val="NormalWeb"/>
        <w:spacing w:after="0" w:afterAutospacing="0"/>
        <w:ind w:left="284" w:firstLine="60"/>
        <w:jc w:val="both"/>
        <w:rPr>
          <w:rFonts w:ascii="Verdana" w:hAnsi="Verdana" w:cstheme="minorHAnsi"/>
          <w:sz w:val="22"/>
          <w:szCs w:val="22"/>
        </w:rPr>
      </w:pPr>
    </w:p>
    <w:p w14:paraId="4FE3DC4F" w14:textId="77777777" w:rsidR="0064494F" w:rsidRPr="0064494F" w:rsidRDefault="0064494F" w:rsidP="0064494F">
      <w:pPr>
        <w:pStyle w:val="NormalWeb"/>
        <w:numPr>
          <w:ilvl w:val="0"/>
          <w:numId w:val="7"/>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The Economic Operator or Essential Subcontractor (EOS)</w:t>
      </w:r>
    </w:p>
    <w:p w14:paraId="7387A168" w14:textId="77777777" w:rsidR="0064494F" w:rsidRPr="0064494F" w:rsidRDefault="0064494F" w:rsidP="0064494F">
      <w:pPr>
        <w:pStyle w:val="NormalWeb"/>
        <w:numPr>
          <w:ilvl w:val="0"/>
          <w:numId w:val="7"/>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64494F">
        <w:rPr>
          <w:rFonts w:ascii="Verdana" w:hAnsi="Verdana" w:cstheme="minorHAnsi"/>
          <w:i/>
          <w:color w:val="000000"/>
          <w:sz w:val="22"/>
          <w:szCs w:val="22"/>
        </w:rPr>
        <w:t>IFRS 10 Consolidated Financial Accounts</w:t>
      </w:r>
      <w:r w:rsidRPr="0064494F">
        <w:rPr>
          <w:rStyle w:val="FootnoteReference"/>
          <w:rFonts w:ascii="Verdana" w:hAnsi="Verdana" w:cstheme="minorHAnsi"/>
          <w:i/>
          <w:color w:val="000000"/>
          <w:sz w:val="22"/>
          <w:szCs w:val="22"/>
        </w:rPr>
        <w:footnoteReference w:id="1"/>
      </w:r>
      <w:r w:rsidRPr="0064494F">
        <w:rPr>
          <w:rFonts w:ascii="Verdana" w:hAnsi="Verdana" w:cstheme="minorHAnsi"/>
          <w:color w:val="000000"/>
          <w:sz w:val="22"/>
          <w:szCs w:val="22"/>
        </w:rPr>
        <w:t>;</w:t>
      </w:r>
    </w:p>
    <w:p w14:paraId="35480366" w14:textId="77777777" w:rsidR="0064494F" w:rsidRPr="0064494F" w:rsidRDefault="0064494F" w:rsidP="0064494F">
      <w:pPr>
        <w:pStyle w:val="NormalWeb"/>
        <w:numPr>
          <w:ilvl w:val="0"/>
          <w:numId w:val="7"/>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26B73A32" w14:textId="77777777" w:rsidR="0064494F" w:rsidRPr="0064494F" w:rsidRDefault="0064494F" w:rsidP="0064494F">
      <w:pPr>
        <w:pStyle w:val="NormalWeb"/>
        <w:spacing w:after="120" w:afterAutospacing="0"/>
        <w:jc w:val="both"/>
        <w:rPr>
          <w:rFonts w:ascii="Verdana" w:hAnsi="Verdana" w:cstheme="minorHAnsi"/>
          <w:sz w:val="22"/>
          <w:szCs w:val="22"/>
        </w:rPr>
      </w:pPr>
      <w:r w:rsidRPr="0064494F">
        <w:rPr>
          <w:rFonts w:ascii="Verdana" w:hAnsi="Verdana" w:cstheme="minorHAnsi"/>
          <w:sz w:val="22"/>
          <w:szCs w:val="22"/>
        </w:rPr>
        <w:t> </w:t>
      </w:r>
    </w:p>
    <w:p w14:paraId="5E405758" w14:textId="77777777" w:rsidR="0064494F" w:rsidRPr="0064494F" w:rsidRDefault="0064494F" w:rsidP="0064494F">
      <w:pPr>
        <w:pStyle w:val="NormalWeb"/>
        <w:spacing w:after="120" w:afterAutospacing="0"/>
        <w:jc w:val="both"/>
        <w:rPr>
          <w:rFonts w:ascii="Verdana" w:hAnsi="Verdana" w:cstheme="minorHAnsi"/>
          <w:sz w:val="22"/>
          <w:szCs w:val="22"/>
        </w:rPr>
      </w:pPr>
      <w:r w:rsidRPr="0064494F">
        <w:rPr>
          <w:rFonts w:ascii="Verdana" w:hAnsi="Verdana" w:cstheme="minorHAnsi"/>
          <w:i/>
          <w:iCs/>
          <w:color w:val="000000"/>
          <w:sz w:val="22"/>
          <w:szCs w:val="22"/>
        </w:rPr>
        <w:t>Condition two (Arrangements involving evasion, abuse or tax avoidance)</w:t>
      </w:r>
    </w:p>
    <w:p w14:paraId="6563BA3C" w14:textId="77777777" w:rsidR="0064494F" w:rsidRPr="0064494F" w:rsidRDefault="0064494F" w:rsidP="0064494F">
      <w:pPr>
        <w:pStyle w:val="NormalWeb"/>
        <w:numPr>
          <w:ilvl w:val="0"/>
          <w:numId w:val="8"/>
        </w:numPr>
        <w:spacing w:after="0" w:afterAutospacing="0" w:line="240" w:lineRule="auto"/>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X has been engaged in one or more of the following:</w:t>
      </w:r>
    </w:p>
    <w:p w14:paraId="3DEC85E2" w14:textId="77777777" w:rsidR="0064494F" w:rsidRPr="0064494F" w:rsidRDefault="0064494F" w:rsidP="0064494F">
      <w:pPr>
        <w:pStyle w:val="NormalWeb"/>
        <w:spacing w:after="0" w:afterAutospacing="0"/>
        <w:jc w:val="both"/>
        <w:textAlignment w:val="baseline"/>
        <w:rPr>
          <w:rFonts w:ascii="Verdana" w:hAnsi="Verdana" w:cstheme="minorHAnsi"/>
          <w:color w:val="000000"/>
          <w:sz w:val="22"/>
          <w:szCs w:val="22"/>
        </w:rPr>
      </w:pPr>
    </w:p>
    <w:p w14:paraId="35D91322" w14:textId="77777777" w:rsidR="0064494F" w:rsidRPr="0064494F" w:rsidRDefault="0064494F" w:rsidP="0064494F">
      <w:pPr>
        <w:pStyle w:val="NormalWeb"/>
        <w:numPr>
          <w:ilvl w:val="1"/>
          <w:numId w:val="5"/>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Fraudulent evasion</w:t>
      </w:r>
      <w:r w:rsidRPr="0064494F">
        <w:rPr>
          <w:rStyle w:val="FootnoteReference"/>
          <w:rFonts w:ascii="Verdana" w:hAnsi="Verdana" w:cstheme="minorHAnsi"/>
          <w:color w:val="000000"/>
          <w:sz w:val="22"/>
          <w:szCs w:val="22"/>
        </w:rPr>
        <w:footnoteReference w:id="2"/>
      </w:r>
      <w:r w:rsidRPr="0064494F">
        <w:rPr>
          <w:rFonts w:ascii="Verdana" w:hAnsi="Verdana" w:cstheme="minorHAnsi"/>
          <w:color w:val="000000"/>
          <w:sz w:val="22"/>
          <w:szCs w:val="22"/>
        </w:rPr>
        <w:t>;</w:t>
      </w:r>
    </w:p>
    <w:p w14:paraId="63BFC5A2" w14:textId="77777777" w:rsidR="0064494F" w:rsidRPr="0064494F" w:rsidRDefault="0064494F" w:rsidP="0064494F">
      <w:pPr>
        <w:pStyle w:val="NormalWeb"/>
        <w:numPr>
          <w:ilvl w:val="1"/>
          <w:numId w:val="5"/>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Conduct caught by the General Anti-Abuse Rule</w:t>
      </w:r>
      <w:r w:rsidRPr="0064494F">
        <w:rPr>
          <w:rStyle w:val="FootnoteReference"/>
          <w:rFonts w:ascii="Verdana" w:hAnsi="Verdana" w:cstheme="minorHAnsi"/>
          <w:color w:val="000000"/>
          <w:sz w:val="22"/>
          <w:szCs w:val="22"/>
        </w:rPr>
        <w:footnoteReference w:id="3"/>
      </w:r>
      <w:r w:rsidRPr="0064494F">
        <w:rPr>
          <w:rFonts w:ascii="Verdana" w:hAnsi="Verdana" w:cstheme="minorHAnsi"/>
          <w:color w:val="000000"/>
          <w:sz w:val="22"/>
          <w:szCs w:val="22"/>
        </w:rPr>
        <w:t>;</w:t>
      </w:r>
    </w:p>
    <w:p w14:paraId="4F0DC03A" w14:textId="77777777" w:rsidR="0064494F" w:rsidRPr="0064494F" w:rsidRDefault="0064494F" w:rsidP="0064494F">
      <w:pPr>
        <w:pStyle w:val="NormalWeb"/>
        <w:numPr>
          <w:ilvl w:val="1"/>
          <w:numId w:val="5"/>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Conduct caught by the Halifax Abuse principle</w:t>
      </w:r>
      <w:r w:rsidRPr="0064494F">
        <w:rPr>
          <w:rStyle w:val="FootnoteReference"/>
          <w:rFonts w:ascii="Verdana" w:hAnsi="Verdana" w:cstheme="minorHAnsi"/>
          <w:color w:val="000000"/>
          <w:sz w:val="22"/>
          <w:szCs w:val="22"/>
        </w:rPr>
        <w:footnoteReference w:id="4"/>
      </w:r>
      <w:r w:rsidRPr="0064494F">
        <w:rPr>
          <w:rFonts w:ascii="Verdana" w:hAnsi="Verdana" w:cstheme="minorHAnsi"/>
          <w:color w:val="000000"/>
          <w:sz w:val="22"/>
          <w:szCs w:val="22"/>
        </w:rPr>
        <w:t>;</w:t>
      </w:r>
    </w:p>
    <w:p w14:paraId="5D944BE2" w14:textId="77777777" w:rsidR="0064494F" w:rsidRPr="0064494F" w:rsidRDefault="0064494F" w:rsidP="0064494F">
      <w:pPr>
        <w:pStyle w:val="NormalWeb"/>
        <w:numPr>
          <w:ilvl w:val="1"/>
          <w:numId w:val="5"/>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Entered into arrangements caught by a DOTAS or VADR scheme</w:t>
      </w:r>
      <w:r w:rsidRPr="0064494F">
        <w:rPr>
          <w:rStyle w:val="FootnoteReference"/>
          <w:rFonts w:ascii="Verdana" w:hAnsi="Verdana" w:cstheme="minorHAnsi"/>
          <w:color w:val="000000"/>
          <w:sz w:val="22"/>
          <w:szCs w:val="22"/>
        </w:rPr>
        <w:footnoteReference w:id="5"/>
      </w:r>
      <w:r w:rsidRPr="0064494F">
        <w:rPr>
          <w:rFonts w:ascii="Verdana" w:hAnsi="Verdana" w:cstheme="minorHAnsi"/>
          <w:color w:val="000000"/>
          <w:sz w:val="22"/>
          <w:szCs w:val="22"/>
        </w:rPr>
        <w:t>;</w:t>
      </w:r>
    </w:p>
    <w:p w14:paraId="1D2FFCA3" w14:textId="77777777" w:rsidR="0064494F" w:rsidRPr="0064494F" w:rsidRDefault="0064494F" w:rsidP="0064494F">
      <w:pPr>
        <w:pStyle w:val="NormalWeb"/>
        <w:numPr>
          <w:ilvl w:val="1"/>
          <w:numId w:val="5"/>
        </w:numPr>
        <w:spacing w:before="100" w:beforeAutospacing="1" w:after="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Conduct caught by a recognised ‘anti-avoidance rule’</w:t>
      </w:r>
      <w:r w:rsidRPr="0064494F">
        <w:rPr>
          <w:rStyle w:val="FootnoteReference"/>
          <w:rFonts w:ascii="Verdana" w:hAnsi="Verdana" w:cstheme="minorHAnsi"/>
          <w:color w:val="000000"/>
          <w:sz w:val="22"/>
          <w:szCs w:val="22"/>
        </w:rPr>
        <w:footnoteReference w:id="6"/>
      </w:r>
      <w:r w:rsidRPr="0064494F">
        <w:rPr>
          <w:rFonts w:ascii="Verdana" w:hAnsi="Verdana"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54FBC365" w14:textId="77777777" w:rsidR="0064494F" w:rsidRPr="0064494F" w:rsidRDefault="0064494F" w:rsidP="0064494F">
      <w:pPr>
        <w:pStyle w:val="NormalWeb"/>
        <w:numPr>
          <w:ilvl w:val="1"/>
          <w:numId w:val="5"/>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lastRenderedPageBreak/>
        <w:t>Entered into an avoidance scheme identified by HMRC’s published Spotlights list</w:t>
      </w:r>
      <w:r w:rsidRPr="0064494F">
        <w:rPr>
          <w:rStyle w:val="FootnoteReference"/>
          <w:rFonts w:ascii="Verdana" w:hAnsi="Verdana" w:cstheme="minorHAnsi"/>
          <w:color w:val="000000"/>
          <w:sz w:val="22"/>
          <w:szCs w:val="22"/>
        </w:rPr>
        <w:footnoteReference w:id="7"/>
      </w:r>
      <w:r w:rsidRPr="0064494F">
        <w:rPr>
          <w:rFonts w:ascii="Verdana" w:hAnsi="Verdana" w:cstheme="minorHAnsi"/>
          <w:color w:val="000000"/>
          <w:sz w:val="22"/>
          <w:szCs w:val="22"/>
        </w:rPr>
        <w:t>;</w:t>
      </w:r>
    </w:p>
    <w:p w14:paraId="5983CCC9" w14:textId="77777777" w:rsidR="0064494F" w:rsidRPr="0064494F" w:rsidRDefault="0064494F" w:rsidP="0064494F">
      <w:pPr>
        <w:pStyle w:val="NormalWeb"/>
        <w:numPr>
          <w:ilvl w:val="1"/>
          <w:numId w:val="5"/>
        </w:numPr>
        <w:spacing w:before="100" w:beforeAutospacing="1" w:after="12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Engaged in conduct which falls under rules in other jurisdictions which are equivalent or similar to (a) to (f) above.</w:t>
      </w:r>
    </w:p>
    <w:p w14:paraId="305425B8" w14:textId="77777777" w:rsidR="0064494F" w:rsidRPr="0064494F" w:rsidRDefault="0064494F" w:rsidP="0064494F">
      <w:pPr>
        <w:pStyle w:val="NormalWeb"/>
        <w:spacing w:after="120" w:afterAutospacing="0"/>
        <w:jc w:val="both"/>
        <w:rPr>
          <w:rFonts w:ascii="Verdana" w:hAnsi="Verdana" w:cstheme="minorHAnsi"/>
          <w:sz w:val="22"/>
          <w:szCs w:val="22"/>
        </w:rPr>
      </w:pPr>
      <w:r w:rsidRPr="0064494F">
        <w:rPr>
          <w:rFonts w:ascii="Verdana" w:hAnsi="Verdana" w:cstheme="minorHAnsi"/>
          <w:i/>
          <w:iCs/>
          <w:color w:val="000000"/>
          <w:sz w:val="22"/>
          <w:szCs w:val="22"/>
        </w:rPr>
        <w:t>Condition three (Arrangements are admitted, or subject to litigation/prosecution or identified in a published list (Spotlights))</w:t>
      </w:r>
    </w:p>
    <w:p w14:paraId="2737D07F" w14:textId="77777777" w:rsidR="0064494F" w:rsidRPr="0064494F" w:rsidRDefault="0064494F" w:rsidP="0064494F">
      <w:pPr>
        <w:pStyle w:val="NormalWeb"/>
        <w:numPr>
          <w:ilvl w:val="0"/>
          <w:numId w:val="8"/>
        </w:numPr>
        <w:spacing w:after="0" w:afterAutospacing="0" w:line="240" w:lineRule="auto"/>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 xml:space="preserve">X’s activity in </w:t>
      </w:r>
      <w:r w:rsidRPr="0064494F">
        <w:rPr>
          <w:rFonts w:ascii="Verdana" w:hAnsi="Verdana" w:cstheme="minorHAnsi"/>
          <w:i/>
          <w:color w:val="000000"/>
          <w:sz w:val="22"/>
          <w:szCs w:val="22"/>
        </w:rPr>
        <w:t>Condition 2</w:t>
      </w:r>
      <w:r w:rsidRPr="0064494F">
        <w:rPr>
          <w:rFonts w:ascii="Verdana" w:hAnsi="Verdana" w:cstheme="minorHAnsi"/>
          <w:color w:val="000000"/>
          <w:sz w:val="22"/>
          <w:szCs w:val="22"/>
        </w:rPr>
        <w:t xml:space="preserve"> is, where applicable, subject to dispute and/or litigation as follows:</w:t>
      </w:r>
    </w:p>
    <w:p w14:paraId="23466B02" w14:textId="77777777" w:rsidR="0064494F" w:rsidRPr="0064494F" w:rsidRDefault="0064494F" w:rsidP="0064494F">
      <w:pPr>
        <w:pStyle w:val="NormalWeb"/>
        <w:spacing w:after="0" w:afterAutospacing="0"/>
        <w:ind w:firstLine="60"/>
        <w:rPr>
          <w:rFonts w:ascii="Verdana" w:hAnsi="Verdana" w:cstheme="minorHAnsi"/>
          <w:sz w:val="22"/>
          <w:szCs w:val="22"/>
        </w:rPr>
      </w:pPr>
    </w:p>
    <w:p w14:paraId="5F840185" w14:textId="77777777" w:rsidR="0064494F" w:rsidRPr="0064494F" w:rsidRDefault="0064494F" w:rsidP="0064494F">
      <w:pPr>
        <w:pStyle w:val="NormalWeb"/>
        <w:numPr>
          <w:ilvl w:val="1"/>
          <w:numId w:val="6"/>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In respect of (a), either X:</w:t>
      </w:r>
    </w:p>
    <w:p w14:paraId="663B2454" w14:textId="77777777" w:rsidR="0064494F" w:rsidRPr="0064494F" w:rsidRDefault="0064494F" w:rsidP="0064494F">
      <w:pPr>
        <w:pStyle w:val="NormalWeb"/>
        <w:numPr>
          <w:ilvl w:val="2"/>
          <w:numId w:val="6"/>
        </w:numPr>
        <w:tabs>
          <w:tab w:val="clear" w:pos="2160"/>
          <w:tab w:val="num" w:pos="1418"/>
        </w:tabs>
        <w:spacing w:after="0" w:afterAutospacing="0" w:line="240" w:lineRule="auto"/>
        <w:ind w:left="1418" w:hanging="425"/>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Has accepted the terms of an offer made under a Contractual Disclosure Facility (CDF) pursuant to the Code of Practice 9 (COP9) procedure</w:t>
      </w:r>
      <w:r w:rsidRPr="0064494F">
        <w:rPr>
          <w:rStyle w:val="FootnoteReference"/>
          <w:rFonts w:ascii="Verdana" w:hAnsi="Verdana" w:cstheme="minorHAnsi"/>
          <w:color w:val="000000"/>
          <w:sz w:val="22"/>
          <w:szCs w:val="22"/>
        </w:rPr>
        <w:footnoteReference w:id="8"/>
      </w:r>
      <w:r w:rsidRPr="0064494F">
        <w:rPr>
          <w:rFonts w:ascii="Verdana" w:hAnsi="Verdana" w:cstheme="minorHAnsi"/>
          <w:color w:val="000000"/>
          <w:sz w:val="22"/>
          <w:szCs w:val="22"/>
        </w:rPr>
        <w:t>; or,</w:t>
      </w:r>
    </w:p>
    <w:p w14:paraId="05EDA2A1" w14:textId="77777777" w:rsidR="0064494F" w:rsidRPr="0064494F" w:rsidRDefault="0064494F" w:rsidP="0064494F">
      <w:pPr>
        <w:pStyle w:val="NormalWeb"/>
        <w:numPr>
          <w:ilvl w:val="2"/>
          <w:numId w:val="6"/>
        </w:numPr>
        <w:tabs>
          <w:tab w:val="num" w:pos="1418"/>
        </w:tabs>
        <w:spacing w:after="0" w:afterAutospacing="0" w:line="240" w:lineRule="auto"/>
        <w:ind w:left="1418" w:hanging="425"/>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 xml:space="preserve">Has been charged with an offence of fraudulent evasion. </w:t>
      </w:r>
    </w:p>
    <w:p w14:paraId="0884B47D" w14:textId="77777777" w:rsidR="0064494F" w:rsidRPr="0064494F" w:rsidRDefault="0064494F" w:rsidP="0064494F">
      <w:pPr>
        <w:pStyle w:val="NormalWeb"/>
        <w:numPr>
          <w:ilvl w:val="1"/>
          <w:numId w:val="6"/>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660CC326" w14:textId="77777777" w:rsidR="0064494F" w:rsidRPr="0064494F" w:rsidRDefault="0064494F" w:rsidP="0064494F">
      <w:pPr>
        <w:pStyle w:val="NormalWeb"/>
        <w:numPr>
          <w:ilvl w:val="1"/>
          <w:numId w:val="6"/>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In respect of (b) to (e), during an HMRC enquiry, if it has been agreed between HMRC and X that there is a pause with the enquiry in order to await the outcome of related litigation.</w:t>
      </w:r>
    </w:p>
    <w:p w14:paraId="12A77B4C" w14:textId="77777777" w:rsidR="0064494F" w:rsidRPr="0064494F" w:rsidRDefault="0064494F" w:rsidP="0064494F">
      <w:pPr>
        <w:pStyle w:val="NormalWeb"/>
        <w:numPr>
          <w:ilvl w:val="1"/>
          <w:numId w:val="6"/>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In respect of (f) this condition is satisfied without any further steps being taken.</w:t>
      </w:r>
    </w:p>
    <w:p w14:paraId="3E31DB11" w14:textId="77777777" w:rsidR="0064494F" w:rsidRPr="0064494F" w:rsidRDefault="0064494F" w:rsidP="0064494F">
      <w:pPr>
        <w:pStyle w:val="NormalWeb"/>
        <w:numPr>
          <w:ilvl w:val="1"/>
          <w:numId w:val="6"/>
        </w:numPr>
        <w:spacing w:after="0" w:afterAutospacing="0" w:line="240" w:lineRule="auto"/>
        <w:ind w:left="709" w:hanging="283"/>
        <w:jc w:val="both"/>
        <w:textAlignment w:val="baseline"/>
        <w:rPr>
          <w:rFonts w:ascii="Verdana" w:hAnsi="Verdana" w:cstheme="minorHAnsi"/>
          <w:color w:val="000000"/>
          <w:sz w:val="22"/>
          <w:szCs w:val="22"/>
        </w:rPr>
      </w:pPr>
      <w:r w:rsidRPr="0064494F">
        <w:rPr>
          <w:rFonts w:ascii="Verdana" w:hAnsi="Verdana" w:cstheme="minorHAnsi"/>
          <w:color w:val="000000"/>
          <w:sz w:val="22"/>
          <w:szCs w:val="22"/>
        </w:rPr>
        <w:t>In respect of (g) the foreign equivalent to each of the corresponding steps set out above in (i) to (iii).</w:t>
      </w:r>
    </w:p>
    <w:p w14:paraId="19ADE775" w14:textId="77777777" w:rsidR="0064494F" w:rsidRPr="0064494F" w:rsidRDefault="0064494F" w:rsidP="0064494F">
      <w:pPr>
        <w:pStyle w:val="NormalWeb"/>
        <w:spacing w:after="120" w:afterAutospacing="0"/>
        <w:jc w:val="both"/>
        <w:rPr>
          <w:rFonts w:ascii="Verdana" w:hAnsi="Verdana" w:cstheme="minorHAnsi"/>
          <w:sz w:val="22"/>
          <w:szCs w:val="22"/>
        </w:rPr>
      </w:pPr>
      <w:r w:rsidRPr="0064494F">
        <w:rPr>
          <w:rFonts w:ascii="Verdana" w:hAnsi="Verdana" w:cstheme="minorHAnsi"/>
          <w:sz w:val="22"/>
          <w:szCs w:val="22"/>
        </w:rPr>
        <w:t> </w:t>
      </w:r>
    </w:p>
    <w:p w14:paraId="3F952389" w14:textId="77777777" w:rsidR="0064494F" w:rsidRPr="0064494F" w:rsidRDefault="0064494F" w:rsidP="0064494F">
      <w:pPr>
        <w:pStyle w:val="Heading3"/>
        <w:keepNext w:val="0"/>
        <w:keepLines w:val="0"/>
        <w:tabs>
          <w:tab w:val="num" w:pos="1701"/>
        </w:tabs>
        <w:spacing w:before="0" w:after="220" w:line="240" w:lineRule="auto"/>
        <w:jc w:val="both"/>
        <w:rPr>
          <w:rFonts w:ascii="Verdana" w:hAnsi="Verdana" w:cstheme="minorHAnsi"/>
          <w:color w:val="auto"/>
          <w:sz w:val="22"/>
          <w:szCs w:val="22"/>
        </w:rPr>
      </w:pPr>
      <w:r w:rsidRPr="0064494F">
        <w:rPr>
          <w:rFonts w:ascii="Verdana" w:hAnsi="Verdana" w:cstheme="minorHAnsi"/>
          <w:color w:val="auto"/>
          <w:sz w:val="22"/>
          <w:szCs w:val="22"/>
        </w:rPr>
        <w:t>For the avoidance of doubt, any reference in this Annex 1 to any Law includes a reference to that Law as amended, extended, consolidated or re</w:t>
      </w:r>
      <w:r w:rsidRPr="0064494F">
        <w:rPr>
          <w:rFonts w:ascii="Verdana" w:hAnsi="Verdana" w:cstheme="minorHAnsi"/>
          <w:color w:val="auto"/>
          <w:sz w:val="22"/>
          <w:szCs w:val="22"/>
        </w:rPr>
        <w:noBreakHyphen/>
        <w:t xml:space="preserve">enacted from time to time including any implementing or successor legislation. </w:t>
      </w:r>
    </w:p>
    <w:p w14:paraId="578102CE" w14:textId="77777777" w:rsidR="0064494F" w:rsidRPr="0064494F" w:rsidRDefault="0064494F" w:rsidP="0064494F">
      <w:pPr>
        <w:rPr>
          <w:rFonts w:ascii="Verdana" w:hAnsi="Verdana" w:cstheme="minorHAnsi"/>
        </w:rPr>
      </w:pPr>
      <w:r w:rsidRPr="0064494F">
        <w:rPr>
          <w:rFonts w:ascii="Verdana" w:hAnsi="Verdana" w:cstheme="minorHAnsi"/>
        </w:rPr>
        <w:br w:type="page"/>
      </w:r>
    </w:p>
    <w:p w14:paraId="0B556FFB" w14:textId="77777777" w:rsidR="0064494F" w:rsidRPr="0064494F" w:rsidRDefault="0064494F" w:rsidP="0064494F">
      <w:pPr>
        <w:jc w:val="center"/>
        <w:rPr>
          <w:rFonts w:ascii="Verdana" w:hAnsi="Verdana" w:cstheme="minorHAnsi"/>
          <w:b/>
        </w:rPr>
      </w:pPr>
      <w:r w:rsidRPr="0064494F">
        <w:rPr>
          <w:rFonts w:ascii="Verdana" w:hAnsi="Verdana" w:cstheme="minorHAnsi"/>
          <w:b/>
        </w:rPr>
        <w:lastRenderedPageBreak/>
        <w:t xml:space="preserve">Annex 2 Form </w:t>
      </w:r>
    </w:p>
    <w:p w14:paraId="67B5AD2C" w14:textId="77777777" w:rsidR="0064494F" w:rsidRPr="0064494F" w:rsidRDefault="0064494F" w:rsidP="0064494F">
      <w:pPr>
        <w:jc w:val="center"/>
        <w:rPr>
          <w:rFonts w:ascii="Verdana" w:hAnsi="Verdana" w:cstheme="minorHAnsi"/>
          <w:b/>
        </w:rPr>
      </w:pPr>
      <w:r w:rsidRPr="0064494F">
        <w:rPr>
          <w:rFonts w:ascii="Verdana" w:hAnsi="Verdana" w:cstheme="minorHAnsi"/>
          <w:b/>
        </w:rPr>
        <w:t xml:space="preserve">CONFIDENTIALITY DECLARATION </w:t>
      </w:r>
    </w:p>
    <w:p w14:paraId="3FC16BA4" w14:textId="77777777" w:rsidR="0064494F" w:rsidRPr="0064494F" w:rsidRDefault="0064494F" w:rsidP="0064494F">
      <w:pPr>
        <w:spacing w:line="276" w:lineRule="auto"/>
        <w:jc w:val="both"/>
        <w:rPr>
          <w:rFonts w:ascii="Verdana" w:hAnsi="Verdana" w:cstheme="minorHAnsi"/>
        </w:rPr>
      </w:pPr>
      <w:r w:rsidRPr="0064494F">
        <w:rPr>
          <w:rFonts w:ascii="Verdana" w:hAnsi="Verdana" w:cstheme="minorHAnsi"/>
        </w:rPr>
        <w:t xml:space="preserve">CONTRACT REFERENCE: </w:t>
      </w:r>
      <w:r>
        <w:rPr>
          <w:rFonts w:ascii="Verdana" w:hAnsi="Verdana" w:cstheme="minorHAnsi"/>
        </w:rPr>
        <w:t xml:space="preserve">SR522957309 </w:t>
      </w:r>
      <w:r w:rsidRPr="0064494F">
        <w:rPr>
          <w:rFonts w:ascii="Verdana" w:hAnsi="Verdana" w:cstheme="minorHAnsi"/>
        </w:rPr>
        <w:t>(‘the Agreement’)</w:t>
      </w:r>
    </w:p>
    <w:p w14:paraId="7A4B59AD" w14:textId="77777777" w:rsidR="0064494F" w:rsidRPr="0064494F" w:rsidRDefault="0064494F" w:rsidP="0064494F">
      <w:pPr>
        <w:spacing w:line="276" w:lineRule="auto"/>
        <w:jc w:val="both"/>
        <w:rPr>
          <w:rFonts w:ascii="Verdana" w:hAnsi="Verdana" w:cstheme="minorHAnsi"/>
        </w:rPr>
      </w:pPr>
      <w:r w:rsidRPr="0064494F">
        <w:rPr>
          <w:rFonts w:ascii="Verdana" w:hAnsi="Verdana" w:cstheme="minorHAnsi"/>
        </w:rPr>
        <w:t>DECLARATION:</w:t>
      </w:r>
    </w:p>
    <w:p w14:paraId="37BC3FA7" w14:textId="77777777" w:rsidR="0064494F" w:rsidRPr="0064494F" w:rsidRDefault="0064494F" w:rsidP="0064494F">
      <w:pPr>
        <w:spacing w:line="276" w:lineRule="auto"/>
        <w:jc w:val="both"/>
        <w:rPr>
          <w:rFonts w:ascii="Verdana" w:hAnsi="Verdana" w:cstheme="minorHAnsi"/>
        </w:rPr>
      </w:pPr>
      <w:r w:rsidRPr="0064494F">
        <w:rPr>
          <w:rFonts w:ascii="Verdana" w:hAnsi="Verdana" w:cstheme="minorHAnsi"/>
        </w:rPr>
        <w:t xml:space="preserve">I solemnly declare that: </w:t>
      </w:r>
    </w:p>
    <w:p w14:paraId="4BE2C29C" w14:textId="77777777" w:rsidR="0064494F" w:rsidRPr="0064494F" w:rsidRDefault="0064494F" w:rsidP="0064494F">
      <w:pPr>
        <w:pStyle w:val="ListParagraph"/>
        <w:numPr>
          <w:ilvl w:val="0"/>
          <w:numId w:val="4"/>
        </w:numPr>
        <w:spacing w:line="276" w:lineRule="auto"/>
        <w:ind w:left="426" w:hanging="426"/>
        <w:jc w:val="both"/>
        <w:rPr>
          <w:rFonts w:ascii="Verdana" w:hAnsi="Verdana" w:cstheme="minorHAnsi"/>
        </w:rPr>
      </w:pPr>
      <w:r w:rsidRPr="0064494F">
        <w:rPr>
          <w:rFonts w:ascii="Verdana" w:hAnsi="Verdana" w:cstheme="minorHAnsi"/>
        </w:rPr>
        <w:t xml:space="preserve">I am aware that the duty of confidentiality imposed by section 18 of the Commissioners for Revenue and Customs Act 2005 </w:t>
      </w:r>
      <w:r w:rsidRPr="0064494F">
        <w:rPr>
          <w:rFonts w:ascii="Verdana" w:hAnsi="Verdana" w:cs="Calibri"/>
        </w:rPr>
        <w:t xml:space="preserve">applies to </w:t>
      </w:r>
      <w:r w:rsidRPr="0064494F">
        <w:rPr>
          <w:rFonts w:ascii="Verdana" w:hAnsi="Verdana"/>
        </w:rPr>
        <w:t xml:space="preserve">Authority Data (as defined in the Agreement) </w:t>
      </w:r>
      <w:r w:rsidRPr="0064494F">
        <w:rPr>
          <w:rFonts w:ascii="Verdana" w:hAnsi="Verdana" w:cs="Calibri"/>
        </w:rPr>
        <w:t>that has been or will be provided to me in accordance with the Agreement.</w:t>
      </w:r>
    </w:p>
    <w:p w14:paraId="5550A573" w14:textId="77777777" w:rsidR="0064494F" w:rsidRPr="0064494F" w:rsidRDefault="0064494F" w:rsidP="0064494F">
      <w:pPr>
        <w:pStyle w:val="ListParagraph"/>
        <w:numPr>
          <w:ilvl w:val="0"/>
          <w:numId w:val="4"/>
        </w:numPr>
        <w:spacing w:line="276" w:lineRule="auto"/>
        <w:ind w:left="426" w:hanging="426"/>
        <w:jc w:val="both"/>
        <w:rPr>
          <w:rFonts w:ascii="Verdana" w:hAnsi="Verdana" w:cstheme="minorHAnsi"/>
        </w:rPr>
      </w:pPr>
      <w:r w:rsidRPr="0064494F">
        <w:rPr>
          <w:rFonts w:ascii="Verdana" w:hAnsi="Verdana" w:cstheme="minorHAnsi"/>
        </w:rPr>
        <w:t xml:space="preserve">I understand and acknowledge that under Section 19 of the Commissioners for Revenue and Customs Act 2005 it may be a criminal offence to disclose any Authority Data provided to me. </w:t>
      </w:r>
    </w:p>
    <w:p w14:paraId="11E81142" w14:textId="77777777" w:rsidR="0064494F" w:rsidRPr="00EB2B49" w:rsidRDefault="0064494F" w:rsidP="0064494F">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64494F" w:rsidRPr="00EB2B49" w14:paraId="62D52167" w14:textId="77777777" w:rsidTr="00FE56F3">
        <w:tc>
          <w:tcPr>
            <w:tcW w:w="5670" w:type="dxa"/>
          </w:tcPr>
          <w:p w14:paraId="0EEADAB6" w14:textId="77777777" w:rsidR="0064494F" w:rsidRPr="00EB2B49" w:rsidRDefault="0064494F" w:rsidP="00FE56F3">
            <w:pPr>
              <w:spacing w:line="360" w:lineRule="auto"/>
              <w:rPr>
                <w:rFonts w:cstheme="minorHAnsi"/>
              </w:rPr>
            </w:pPr>
            <w:r w:rsidRPr="00EB2B49">
              <w:rPr>
                <w:rFonts w:cstheme="minorHAnsi"/>
              </w:rPr>
              <w:t>SIGNED:</w:t>
            </w:r>
          </w:p>
        </w:tc>
      </w:tr>
      <w:tr w:rsidR="0064494F" w:rsidRPr="00EB2B49" w14:paraId="3962BE17" w14:textId="77777777" w:rsidTr="00FE56F3">
        <w:tc>
          <w:tcPr>
            <w:tcW w:w="5670" w:type="dxa"/>
          </w:tcPr>
          <w:p w14:paraId="256F497B" w14:textId="77777777" w:rsidR="0064494F" w:rsidRPr="00EB2B49" w:rsidRDefault="0064494F" w:rsidP="00FE56F3">
            <w:pPr>
              <w:spacing w:line="360" w:lineRule="auto"/>
              <w:rPr>
                <w:rFonts w:cstheme="minorHAnsi"/>
              </w:rPr>
            </w:pPr>
            <w:r w:rsidRPr="00EB2B49">
              <w:rPr>
                <w:rFonts w:cstheme="minorHAnsi"/>
              </w:rPr>
              <w:t>FULL NAME:</w:t>
            </w:r>
          </w:p>
        </w:tc>
      </w:tr>
      <w:tr w:rsidR="0064494F" w:rsidRPr="00EB2B49" w14:paraId="0E74A39D" w14:textId="77777777" w:rsidTr="00FE56F3">
        <w:tc>
          <w:tcPr>
            <w:tcW w:w="5670" w:type="dxa"/>
          </w:tcPr>
          <w:p w14:paraId="1C2339FF" w14:textId="77777777" w:rsidR="0064494F" w:rsidRPr="00EB2B49" w:rsidRDefault="0064494F" w:rsidP="00FE56F3">
            <w:pPr>
              <w:spacing w:line="360" w:lineRule="auto"/>
              <w:rPr>
                <w:rFonts w:cstheme="minorHAnsi"/>
              </w:rPr>
            </w:pPr>
            <w:r w:rsidRPr="00EB2B49">
              <w:rPr>
                <w:rFonts w:cstheme="minorHAnsi"/>
              </w:rPr>
              <w:t>POSITION:</w:t>
            </w:r>
          </w:p>
        </w:tc>
      </w:tr>
      <w:tr w:rsidR="0064494F" w:rsidRPr="00EB2B49" w14:paraId="6901B515" w14:textId="77777777" w:rsidTr="00FE56F3">
        <w:tc>
          <w:tcPr>
            <w:tcW w:w="5670" w:type="dxa"/>
          </w:tcPr>
          <w:p w14:paraId="2BB56573" w14:textId="77777777" w:rsidR="0064494F" w:rsidRPr="00EB2B49" w:rsidRDefault="0064494F" w:rsidP="00FE56F3">
            <w:pPr>
              <w:spacing w:line="360" w:lineRule="auto"/>
              <w:rPr>
                <w:rFonts w:cstheme="minorHAnsi"/>
              </w:rPr>
            </w:pPr>
            <w:r w:rsidRPr="00EB2B49">
              <w:rPr>
                <w:rFonts w:cstheme="minorHAnsi"/>
              </w:rPr>
              <w:t xml:space="preserve">COMPANY: </w:t>
            </w:r>
          </w:p>
        </w:tc>
      </w:tr>
      <w:tr w:rsidR="0064494F" w:rsidRPr="00EB2B49" w14:paraId="11615A84" w14:textId="77777777" w:rsidTr="00FE56F3">
        <w:tc>
          <w:tcPr>
            <w:tcW w:w="5670" w:type="dxa"/>
          </w:tcPr>
          <w:p w14:paraId="018CCB56" w14:textId="77777777" w:rsidR="0064494F" w:rsidRPr="00EB2B49" w:rsidRDefault="0064494F" w:rsidP="00FE56F3">
            <w:pPr>
              <w:spacing w:line="360" w:lineRule="auto"/>
              <w:rPr>
                <w:rFonts w:cstheme="minorHAnsi"/>
              </w:rPr>
            </w:pPr>
            <w:r w:rsidRPr="00EB2B49">
              <w:rPr>
                <w:rFonts w:cstheme="minorHAnsi"/>
              </w:rPr>
              <w:t xml:space="preserve">DATE OF SIGNITURE: </w:t>
            </w:r>
          </w:p>
        </w:tc>
      </w:tr>
    </w:tbl>
    <w:p w14:paraId="5EDA3D3D" w14:textId="77777777" w:rsidR="0064494F" w:rsidRPr="00EB2B49" w:rsidRDefault="0064494F" w:rsidP="0064494F">
      <w:pPr>
        <w:spacing w:line="276" w:lineRule="auto"/>
        <w:rPr>
          <w:rFonts w:cstheme="minorHAnsi"/>
        </w:rPr>
      </w:pPr>
    </w:p>
    <w:p w14:paraId="756C36D8" w14:textId="77777777" w:rsidR="0064494F" w:rsidRPr="00EB2B49" w:rsidRDefault="0064494F" w:rsidP="0064494F">
      <w:pPr>
        <w:rPr>
          <w:rFonts w:cstheme="minorHAnsi"/>
        </w:rPr>
      </w:pPr>
    </w:p>
    <w:p w14:paraId="5380F15B" w14:textId="77777777" w:rsidR="0064494F" w:rsidRPr="00EB2B49" w:rsidRDefault="0064494F" w:rsidP="0064494F">
      <w:pPr>
        <w:rPr>
          <w:rFonts w:cstheme="minorHAnsi"/>
        </w:rPr>
      </w:pPr>
    </w:p>
    <w:p w14:paraId="14B817B0" w14:textId="6F4ED4C7" w:rsidR="002E656D" w:rsidRDefault="002E656D" w:rsidP="002E656D"/>
    <w:p w14:paraId="3E45B8AD" w14:textId="13CA8B5C" w:rsidR="00B27884" w:rsidRDefault="00B27884" w:rsidP="002E656D"/>
    <w:p w14:paraId="5C50F8F9" w14:textId="296C5D46" w:rsidR="00B27884" w:rsidRDefault="00B27884" w:rsidP="002E656D"/>
    <w:p w14:paraId="3D4300B9" w14:textId="4E7F9F2F" w:rsidR="00B27884" w:rsidRDefault="00B27884" w:rsidP="002E656D"/>
    <w:p w14:paraId="110AB015" w14:textId="6211DF95" w:rsidR="00B27884" w:rsidRDefault="00B27884" w:rsidP="002E656D"/>
    <w:p w14:paraId="62BB3BAE" w14:textId="43ED7946" w:rsidR="00B27884" w:rsidRDefault="00B27884" w:rsidP="002E656D"/>
    <w:p w14:paraId="08523DF6" w14:textId="561FBD70" w:rsidR="00B27884" w:rsidRDefault="00B27884" w:rsidP="002E656D"/>
    <w:p w14:paraId="1AB35EF0" w14:textId="6E4DCA38" w:rsidR="00B27884" w:rsidRDefault="00B27884" w:rsidP="002E656D"/>
    <w:p w14:paraId="3953A68D" w14:textId="592951C1" w:rsidR="00B27884" w:rsidRDefault="00B27884" w:rsidP="002E656D"/>
    <w:p w14:paraId="21322D7C" w14:textId="1D07B5C1" w:rsidR="00B27884" w:rsidRDefault="00B27884" w:rsidP="002E656D"/>
    <w:p w14:paraId="4BD4806F" w14:textId="324FFB91" w:rsidR="00B27884" w:rsidRDefault="00B27884" w:rsidP="002E656D"/>
    <w:p w14:paraId="4172A9F7" w14:textId="66EF3CB9" w:rsidR="00B27884" w:rsidRDefault="00B27884" w:rsidP="002E656D"/>
    <w:p w14:paraId="02F976CD" w14:textId="374F5809" w:rsidR="00B27884" w:rsidRDefault="00B27884" w:rsidP="002E656D"/>
    <w:p w14:paraId="79F128A3" w14:textId="33B0DE1E" w:rsidR="00B27884" w:rsidRDefault="00B27884" w:rsidP="002E656D"/>
    <w:p w14:paraId="2345E3C4" w14:textId="4B3F98E4" w:rsidR="00B27884" w:rsidRDefault="00B27884" w:rsidP="002E656D"/>
    <w:p w14:paraId="61D92FA1" w14:textId="6405144B" w:rsidR="00B27884" w:rsidRDefault="00B27884" w:rsidP="002E656D"/>
    <w:p w14:paraId="31E87529" w14:textId="3DE37FA9" w:rsidR="00B27884" w:rsidRDefault="00B27884" w:rsidP="002E656D"/>
    <w:p w14:paraId="5BA54119" w14:textId="6DBF3997" w:rsidR="00B27884" w:rsidRDefault="00B27884" w:rsidP="002E656D"/>
    <w:p w14:paraId="5C114A11" w14:textId="1E5363E4" w:rsidR="00B27884" w:rsidRDefault="00B27884" w:rsidP="002E656D"/>
    <w:p w14:paraId="002BE305" w14:textId="2EB0EB58" w:rsidR="00B27884" w:rsidRDefault="00B27884" w:rsidP="002E656D"/>
    <w:p w14:paraId="54414F1C" w14:textId="6884B99D" w:rsidR="00B27884" w:rsidRDefault="00B27884" w:rsidP="002E656D"/>
    <w:p w14:paraId="46D1B113" w14:textId="7582F519" w:rsidR="00B27884" w:rsidRDefault="00B27884" w:rsidP="002E656D"/>
    <w:p w14:paraId="3C01C00F" w14:textId="2A31E295" w:rsidR="00B27884" w:rsidRDefault="00B27884" w:rsidP="002E656D"/>
    <w:p w14:paraId="56CE2D84" w14:textId="3EB5146B" w:rsidR="00B27884" w:rsidRDefault="00B27884" w:rsidP="002E656D"/>
    <w:p w14:paraId="43DD2330" w14:textId="6EF42F0E" w:rsidR="00B27884" w:rsidRDefault="00B27884" w:rsidP="002E656D">
      <w:r>
        <w:lastRenderedPageBreak/>
        <w:t>Appendix 3: HMRC Requirements</w:t>
      </w:r>
    </w:p>
    <w:p w14:paraId="28BE1CC8" w14:textId="4E00FB52" w:rsidR="00B27884" w:rsidRDefault="00B27884" w:rsidP="002E656D"/>
    <w:p w14:paraId="133F710D" w14:textId="77777777" w:rsidR="00B27884" w:rsidRPr="00B27884" w:rsidRDefault="00B27884" w:rsidP="00B27884">
      <w:pPr>
        <w:spacing w:after="160" w:line="256" w:lineRule="auto"/>
        <w:ind w:left="709" w:hanging="709"/>
        <w:rPr>
          <w:rFonts w:ascii="Arial" w:hAnsi="Arial" w:cs="Arial"/>
          <w:szCs w:val="20"/>
          <w:lang w:eastAsia="en-US"/>
        </w:rPr>
      </w:pPr>
      <w:r w:rsidRPr="00B27884">
        <w:rPr>
          <w:rFonts w:ascii="Arial" w:hAnsi="Arial" w:cs="Arial"/>
          <w:noProof/>
          <w:szCs w:val="20"/>
        </w:rPr>
        <w:drawing>
          <wp:inline distT="0" distB="0" distL="0" distR="0" wp14:anchorId="2A3367FC" wp14:editId="1128FAC1">
            <wp:extent cx="2543175" cy="67183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175" cy="671830"/>
                    </a:xfrm>
                    <a:prstGeom prst="rect">
                      <a:avLst/>
                    </a:prstGeom>
                    <a:noFill/>
                    <a:ln>
                      <a:noFill/>
                    </a:ln>
                  </pic:spPr>
                </pic:pic>
              </a:graphicData>
            </a:graphic>
          </wp:inline>
        </w:drawing>
      </w:r>
    </w:p>
    <w:p w14:paraId="03E0C675" w14:textId="77777777" w:rsidR="00B27884" w:rsidRPr="00B27884" w:rsidRDefault="00B27884" w:rsidP="00B27884">
      <w:pPr>
        <w:spacing w:after="160" w:line="256" w:lineRule="auto"/>
        <w:ind w:left="709" w:hanging="709"/>
        <w:rPr>
          <w:rFonts w:ascii="Arial" w:hAnsi="Arial" w:cs="Arial"/>
          <w:szCs w:val="20"/>
          <w:lang w:eastAsia="en-US"/>
        </w:rPr>
      </w:pPr>
    </w:p>
    <w:p w14:paraId="612A3BF6" w14:textId="77777777" w:rsidR="00B27884" w:rsidRPr="00B27884" w:rsidRDefault="00B27884" w:rsidP="00B27884">
      <w:pPr>
        <w:spacing w:after="160" w:line="256" w:lineRule="auto"/>
        <w:ind w:left="709" w:hanging="709"/>
        <w:rPr>
          <w:rFonts w:ascii="Arial" w:hAnsi="Arial" w:cs="Arial"/>
          <w:szCs w:val="20"/>
          <w:lang w:eastAsia="en-US"/>
        </w:rPr>
      </w:pPr>
    </w:p>
    <w:p w14:paraId="2C4B34D2" w14:textId="77777777" w:rsidR="00B27884" w:rsidRPr="00B27884" w:rsidRDefault="00B27884" w:rsidP="00B27884">
      <w:pPr>
        <w:spacing w:after="160" w:line="256" w:lineRule="auto"/>
        <w:ind w:left="709" w:hanging="709"/>
        <w:rPr>
          <w:rFonts w:ascii="Arial" w:hAnsi="Arial" w:cs="Arial"/>
          <w:szCs w:val="20"/>
          <w:lang w:eastAsia="en-US"/>
        </w:rPr>
      </w:pPr>
    </w:p>
    <w:p w14:paraId="5C3617B5" w14:textId="77777777" w:rsidR="00B27884" w:rsidRPr="00B27884" w:rsidRDefault="00B27884" w:rsidP="00B27884">
      <w:pPr>
        <w:spacing w:after="160" w:line="256" w:lineRule="auto"/>
        <w:ind w:left="709" w:hanging="709"/>
        <w:jc w:val="center"/>
        <w:rPr>
          <w:rFonts w:ascii="Arial" w:hAnsi="Arial" w:cs="Arial"/>
          <w:b/>
          <w:sz w:val="36"/>
          <w:szCs w:val="36"/>
          <w:lang w:eastAsia="en-US"/>
        </w:rPr>
      </w:pPr>
      <w:bookmarkStart w:id="26" w:name="_Toc481666219"/>
      <w:bookmarkStart w:id="27" w:name="_Toc130877962"/>
      <w:bookmarkStart w:id="28" w:name="_Toc130876052"/>
      <w:r w:rsidRPr="00B27884">
        <w:rPr>
          <w:rFonts w:ascii="Arial" w:hAnsi="Arial" w:cs="Arial"/>
          <w:b/>
          <w:sz w:val="36"/>
          <w:szCs w:val="36"/>
          <w:lang w:eastAsia="en-US"/>
        </w:rPr>
        <w:t xml:space="preserve">Research Specification </w:t>
      </w:r>
      <w:bookmarkEnd w:id="26"/>
      <w:bookmarkEnd w:id="27"/>
      <w:bookmarkEnd w:id="28"/>
    </w:p>
    <w:p w14:paraId="2238562B" w14:textId="77777777" w:rsidR="00B27884" w:rsidRPr="00B27884" w:rsidRDefault="00B27884" w:rsidP="00B27884">
      <w:pPr>
        <w:spacing w:after="160" w:line="256" w:lineRule="auto"/>
        <w:ind w:left="709" w:hanging="709"/>
        <w:rPr>
          <w:rFonts w:ascii="Arial" w:hAnsi="Arial" w:cs="Arial"/>
          <w:szCs w:val="20"/>
          <w:lang w:eastAsia="en-US"/>
        </w:rPr>
      </w:pPr>
    </w:p>
    <w:p w14:paraId="664E7A2C" w14:textId="77777777" w:rsidR="00B27884" w:rsidRPr="00B27884" w:rsidRDefault="00B27884" w:rsidP="00B27884">
      <w:pPr>
        <w:spacing w:after="160" w:line="256" w:lineRule="auto"/>
        <w:ind w:left="709" w:hanging="709"/>
        <w:jc w:val="center"/>
        <w:rPr>
          <w:rFonts w:ascii="Arial" w:hAnsi="Arial" w:cs="Arial"/>
          <w:b/>
          <w:sz w:val="36"/>
          <w:szCs w:val="36"/>
          <w:lang w:eastAsia="en-US"/>
        </w:rPr>
      </w:pPr>
      <w:r w:rsidRPr="00B27884">
        <w:rPr>
          <w:rFonts w:ascii="Arial" w:hAnsi="Arial" w:cs="Arial"/>
          <w:b/>
          <w:sz w:val="36"/>
          <w:szCs w:val="36"/>
          <w:lang w:eastAsia="en-US"/>
        </w:rPr>
        <w:t>Research into Customs Intermediaries</w:t>
      </w:r>
    </w:p>
    <w:p w14:paraId="6BB1DFEB" w14:textId="77777777" w:rsidR="00B27884" w:rsidRPr="00B27884" w:rsidRDefault="00B27884" w:rsidP="00B27884">
      <w:pPr>
        <w:spacing w:after="160" w:line="256" w:lineRule="auto"/>
        <w:ind w:left="709" w:hanging="709"/>
        <w:jc w:val="center"/>
        <w:rPr>
          <w:rFonts w:ascii="Arial" w:hAnsi="Arial" w:cs="Arial"/>
          <w:b/>
          <w:sz w:val="36"/>
          <w:szCs w:val="36"/>
          <w:lang w:eastAsia="en-US"/>
        </w:rPr>
      </w:pPr>
    </w:p>
    <w:p w14:paraId="21E836D4" w14:textId="77777777" w:rsidR="00B27884" w:rsidRPr="00B27884" w:rsidRDefault="00B27884" w:rsidP="00B27884">
      <w:pPr>
        <w:spacing w:after="160" w:line="256" w:lineRule="auto"/>
        <w:ind w:left="709" w:hanging="709"/>
        <w:jc w:val="center"/>
        <w:rPr>
          <w:rFonts w:ascii="Arial" w:hAnsi="Arial" w:cs="Arial"/>
          <w:b/>
          <w:sz w:val="36"/>
          <w:szCs w:val="36"/>
          <w:lang w:eastAsia="en-US"/>
        </w:rPr>
      </w:pPr>
      <w:r w:rsidRPr="00B27884">
        <w:rPr>
          <w:rFonts w:ascii="Arial" w:hAnsi="Arial" w:cs="Arial"/>
          <w:b/>
          <w:sz w:val="36"/>
          <w:szCs w:val="36"/>
          <w:lang w:eastAsia="en-US"/>
        </w:rPr>
        <w:t>BEIS Research and Evaluation Framework</w:t>
      </w:r>
    </w:p>
    <w:p w14:paraId="648C319D" w14:textId="77777777" w:rsidR="00B27884" w:rsidRPr="00B27884" w:rsidRDefault="00B27884" w:rsidP="00B27884">
      <w:pPr>
        <w:spacing w:after="160" w:line="256" w:lineRule="auto"/>
        <w:ind w:left="1080"/>
        <w:outlineLvl w:val="2"/>
        <w:rPr>
          <w:rFonts w:ascii="Arial" w:hAnsi="Arial" w:cs="Arial"/>
          <w:szCs w:val="20"/>
          <w:lang w:eastAsia="en-US"/>
        </w:rPr>
      </w:pPr>
    </w:p>
    <w:p w14:paraId="715842A0" w14:textId="77777777" w:rsidR="00B27884" w:rsidRPr="00B27884" w:rsidRDefault="00B27884" w:rsidP="00B27884">
      <w:pPr>
        <w:spacing w:after="160" w:line="256" w:lineRule="auto"/>
        <w:ind w:left="709" w:hanging="709"/>
        <w:jc w:val="center"/>
        <w:rPr>
          <w:rFonts w:ascii="Arial" w:hAnsi="Arial" w:cs="Arial"/>
          <w:b/>
          <w:sz w:val="36"/>
          <w:szCs w:val="36"/>
          <w:lang w:eastAsia="en-US"/>
        </w:rPr>
      </w:pPr>
      <w:r w:rsidRPr="00B27884">
        <w:rPr>
          <w:rFonts w:ascii="Arial" w:hAnsi="Arial" w:cs="Arial"/>
          <w:b/>
          <w:sz w:val="36"/>
          <w:szCs w:val="36"/>
          <w:lang w:eastAsia="en-US"/>
        </w:rPr>
        <w:t>Invitation to Tender</w:t>
      </w:r>
    </w:p>
    <w:p w14:paraId="6200F839" w14:textId="77777777" w:rsidR="00B27884" w:rsidRPr="00B27884" w:rsidRDefault="00B27884" w:rsidP="00B27884">
      <w:pPr>
        <w:spacing w:after="160" w:line="256" w:lineRule="auto"/>
        <w:ind w:left="709" w:hanging="709"/>
        <w:rPr>
          <w:rFonts w:ascii="Arial" w:hAnsi="Arial" w:cs="Arial"/>
          <w:szCs w:val="20"/>
          <w:lang w:eastAsia="en-US"/>
        </w:rPr>
      </w:pPr>
    </w:p>
    <w:p w14:paraId="5A3F8589" w14:textId="77777777" w:rsidR="00B27884" w:rsidRPr="00B27884" w:rsidRDefault="00B27884" w:rsidP="00B27884">
      <w:pPr>
        <w:spacing w:after="160" w:line="256" w:lineRule="auto"/>
        <w:ind w:left="709" w:hanging="709"/>
        <w:rPr>
          <w:rFonts w:ascii="Arial" w:hAnsi="Arial" w:cs="Arial"/>
          <w:szCs w:val="20"/>
          <w:lang w:eastAsia="en-US"/>
        </w:rPr>
      </w:pPr>
    </w:p>
    <w:p w14:paraId="51F2C903" w14:textId="77777777" w:rsidR="00B27884" w:rsidRPr="00B27884" w:rsidRDefault="00B27884" w:rsidP="00B27884">
      <w:pPr>
        <w:spacing w:after="160" w:line="256" w:lineRule="auto"/>
        <w:ind w:left="709" w:hanging="709"/>
        <w:rPr>
          <w:rFonts w:ascii="Arial" w:hAnsi="Arial" w:cs="Arial"/>
          <w:szCs w:val="20"/>
          <w:lang w:eastAsia="en-US"/>
        </w:rPr>
      </w:pPr>
    </w:p>
    <w:p w14:paraId="6A1655AC" w14:textId="77777777" w:rsidR="00B27884" w:rsidRPr="00B27884" w:rsidRDefault="00B27884" w:rsidP="00B27884">
      <w:pPr>
        <w:spacing w:after="160" w:line="256" w:lineRule="auto"/>
        <w:ind w:left="709" w:hanging="709"/>
        <w:rPr>
          <w:rFonts w:ascii="Arial" w:hAnsi="Arial" w:cs="Arial"/>
          <w:szCs w:val="20"/>
          <w:lang w:eastAsia="en-US"/>
        </w:rPr>
      </w:pPr>
    </w:p>
    <w:p w14:paraId="75E1A2AA" w14:textId="77777777" w:rsidR="00B27884" w:rsidRPr="00B27884" w:rsidRDefault="00B27884" w:rsidP="00B27884">
      <w:pPr>
        <w:spacing w:after="160" w:line="256" w:lineRule="auto"/>
        <w:ind w:left="709" w:hanging="709"/>
        <w:rPr>
          <w:rFonts w:ascii="Arial" w:hAnsi="Arial" w:cs="Arial"/>
          <w:szCs w:val="20"/>
          <w:lang w:eastAsia="en-US"/>
        </w:rPr>
      </w:pPr>
    </w:p>
    <w:p w14:paraId="6C2A4546" w14:textId="77777777" w:rsidR="00B27884" w:rsidRPr="00B27884" w:rsidRDefault="00B27884" w:rsidP="00B27884">
      <w:pPr>
        <w:spacing w:after="160" w:line="256" w:lineRule="auto"/>
        <w:ind w:left="709" w:hanging="709"/>
        <w:rPr>
          <w:rFonts w:ascii="Arial" w:hAnsi="Arial" w:cs="Arial"/>
          <w:szCs w:val="20"/>
          <w:lang w:eastAsia="en-US"/>
        </w:rPr>
      </w:pPr>
    </w:p>
    <w:p w14:paraId="2CB06F77" w14:textId="77777777" w:rsidR="00B27884" w:rsidRPr="00B27884" w:rsidRDefault="00B27884" w:rsidP="00B27884">
      <w:pPr>
        <w:spacing w:after="160" w:line="256" w:lineRule="auto"/>
        <w:ind w:left="709" w:hanging="709"/>
        <w:rPr>
          <w:rFonts w:ascii="Arial" w:hAnsi="Arial" w:cs="Arial"/>
          <w:szCs w:val="20"/>
          <w:lang w:eastAsia="en-US"/>
        </w:rPr>
      </w:pPr>
    </w:p>
    <w:p w14:paraId="07B0E467" w14:textId="77777777" w:rsidR="00B27884" w:rsidRPr="00B27884" w:rsidRDefault="00B27884" w:rsidP="00B27884">
      <w:pPr>
        <w:spacing w:after="160" w:line="256" w:lineRule="auto"/>
        <w:ind w:left="709" w:hanging="709"/>
        <w:rPr>
          <w:rFonts w:ascii="Arial" w:hAnsi="Arial" w:cs="Arial"/>
          <w:szCs w:val="20"/>
          <w:lang w:eastAsia="en-US"/>
        </w:rPr>
      </w:pPr>
    </w:p>
    <w:p w14:paraId="2836F16D" w14:textId="77777777" w:rsidR="00B27884" w:rsidRPr="00B27884" w:rsidRDefault="00B27884" w:rsidP="00B27884">
      <w:pPr>
        <w:spacing w:after="160" w:line="256" w:lineRule="auto"/>
        <w:ind w:left="709" w:hanging="709"/>
        <w:rPr>
          <w:rFonts w:ascii="Arial" w:hAnsi="Arial" w:cs="Arial"/>
          <w:szCs w:val="20"/>
          <w:lang w:eastAsia="en-US"/>
        </w:rPr>
      </w:pPr>
    </w:p>
    <w:p w14:paraId="5ED8AA4D" w14:textId="77777777" w:rsidR="00B27884" w:rsidRPr="00B27884" w:rsidRDefault="00B27884" w:rsidP="00B27884">
      <w:pPr>
        <w:spacing w:after="160" w:line="256" w:lineRule="auto"/>
        <w:ind w:left="709" w:hanging="709"/>
        <w:rPr>
          <w:rFonts w:ascii="Arial" w:hAnsi="Arial" w:cs="Arial"/>
          <w:szCs w:val="20"/>
          <w:lang w:eastAsia="en-US"/>
        </w:rPr>
      </w:pPr>
    </w:p>
    <w:p w14:paraId="390A45A8" w14:textId="77777777" w:rsidR="00B27884" w:rsidRPr="00B27884" w:rsidRDefault="00B27884" w:rsidP="00B27884">
      <w:pPr>
        <w:spacing w:after="160" w:line="256" w:lineRule="auto"/>
        <w:ind w:left="709" w:hanging="709"/>
        <w:rPr>
          <w:rFonts w:ascii="Arial" w:hAnsi="Arial" w:cs="Arial"/>
          <w:szCs w:val="20"/>
          <w:lang w:eastAsia="en-US"/>
        </w:rPr>
      </w:pPr>
    </w:p>
    <w:p w14:paraId="5A1F1745" w14:textId="77777777" w:rsidR="00B27884" w:rsidRPr="00B27884" w:rsidRDefault="00B27884" w:rsidP="00B27884">
      <w:pPr>
        <w:spacing w:after="120" w:line="256" w:lineRule="auto"/>
        <w:ind w:left="709" w:hanging="709"/>
        <w:jc w:val="right"/>
        <w:rPr>
          <w:rFonts w:ascii="Arial" w:hAnsi="Arial" w:cs="Arial"/>
          <w:b/>
          <w:sz w:val="32"/>
          <w:szCs w:val="20"/>
          <w:lang w:eastAsia="en-US"/>
        </w:rPr>
      </w:pPr>
      <w:r w:rsidRPr="00B27884">
        <w:rPr>
          <w:rFonts w:ascii="Arial" w:hAnsi="Arial" w:cs="Arial"/>
          <w:b/>
          <w:sz w:val="32"/>
          <w:szCs w:val="20"/>
          <w:lang w:eastAsia="en-US"/>
        </w:rPr>
        <w:t>16 October 2019</w:t>
      </w:r>
    </w:p>
    <w:p w14:paraId="75CC98B7" w14:textId="77777777" w:rsidR="00B27884" w:rsidRPr="00B27884" w:rsidRDefault="00B27884" w:rsidP="00B27884">
      <w:pPr>
        <w:spacing w:after="160" w:line="256" w:lineRule="auto"/>
        <w:ind w:left="709" w:hanging="709"/>
        <w:rPr>
          <w:rFonts w:ascii="Arial" w:hAnsi="Arial" w:cs="Arial"/>
          <w:szCs w:val="20"/>
          <w:lang w:eastAsia="en-US"/>
        </w:rPr>
      </w:pPr>
      <w:r w:rsidRPr="00B27884">
        <w:rPr>
          <w:rFonts w:ascii="Arial" w:hAnsi="Arial" w:cs="Arial"/>
          <w:szCs w:val="20"/>
          <w:lang w:eastAsia="en-US"/>
        </w:rPr>
        <w:br w:type="page"/>
      </w:r>
    </w:p>
    <w:sdt>
      <w:sdtPr>
        <w:rPr>
          <w:rFonts w:ascii="Arial" w:hAnsi="Arial" w:cs="Arial"/>
          <w:szCs w:val="20"/>
          <w:lang w:eastAsia="en-US"/>
        </w:rPr>
        <w:id w:val="1950654927"/>
        <w:docPartObj>
          <w:docPartGallery w:val="Table of Contents"/>
          <w:docPartUnique/>
        </w:docPartObj>
      </w:sdtPr>
      <w:sdtContent>
        <w:p w14:paraId="450B9ED7" w14:textId="77777777" w:rsidR="00B27884" w:rsidRPr="00B27884" w:rsidRDefault="00B27884" w:rsidP="00B27884">
          <w:pPr>
            <w:keepNext/>
            <w:keepLines/>
            <w:spacing w:before="240" w:line="256" w:lineRule="auto"/>
            <w:rPr>
              <w:rFonts w:ascii="Arial" w:hAnsi="Arial" w:cs="Arial"/>
              <w:b/>
              <w:sz w:val="32"/>
              <w:szCs w:val="32"/>
              <w:lang w:val="en-US" w:eastAsia="en-US"/>
            </w:rPr>
          </w:pPr>
          <w:r w:rsidRPr="00B27884">
            <w:rPr>
              <w:rFonts w:ascii="Arial" w:hAnsi="Arial" w:cs="Arial"/>
              <w:sz w:val="32"/>
              <w:szCs w:val="32"/>
              <w:lang w:val="en-US" w:eastAsia="en-US"/>
            </w:rPr>
            <w:t>Contents</w:t>
          </w:r>
        </w:p>
        <w:p w14:paraId="69D96968" w14:textId="77777777" w:rsidR="00B27884" w:rsidRPr="00B27884" w:rsidRDefault="00B27884" w:rsidP="00B27884">
          <w:pPr>
            <w:spacing w:after="160" w:line="256" w:lineRule="auto"/>
            <w:ind w:left="709" w:hanging="709"/>
            <w:rPr>
              <w:rFonts w:ascii="Arial" w:hAnsi="Arial" w:cs="Arial"/>
              <w:szCs w:val="20"/>
              <w:lang w:eastAsia="en-US"/>
            </w:rPr>
          </w:pPr>
        </w:p>
        <w:p w14:paraId="54ADA9AD"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r w:rsidRPr="00B27884">
            <w:rPr>
              <w:rFonts w:ascii="Arial" w:hAnsi="Arial" w:cs="Arial"/>
              <w:szCs w:val="20"/>
              <w:lang w:eastAsia="en-US"/>
            </w:rPr>
            <w:fldChar w:fldCharType="begin"/>
          </w:r>
          <w:r w:rsidRPr="00B27884">
            <w:rPr>
              <w:rFonts w:ascii="Arial" w:hAnsi="Arial" w:cs="Arial"/>
              <w:szCs w:val="20"/>
              <w:lang w:eastAsia="en-US"/>
            </w:rPr>
            <w:instrText xml:space="preserve"> TOC \o "1-1" \h \z \u </w:instrText>
          </w:r>
          <w:r w:rsidRPr="00B27884">
            <w:rPr>
              <w:rFonts w:ascii="Arial" w:hAnsi="Arial" w:cs="Arial"/>
              <w:szCs w:val="20"/>
              <w:lang w:eastAsia="en-US"/>
            </w:rPr>
            <w:fldChar w:fldCharType="separate"/>
          </w:r>
          <w:hyperlink r:id="rId11" w:anchor="_Toc532992258"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Introduction</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_Toc532992258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3</w:t>
            </w:r>
            <w:r w:rsidRPr="00B27884">
              <w:rPr>
                <w:rFonts w:ascii="Arial" w:hAnsi="Arial" w:cs="Arial"/>
                <w:noProof/>
                <w:webHidden/>
                <w:color w:val="0563C1"/>
                <w:szCs w:val="20"/>
                <w:u w:val="single"/>
                <w:lang w:eastAsia="en-US"/>
              </w:rPr>
              <w:fldChar w:fldCharType="end"/>
            </w:r>
          </w:hyperlink>
        </w:p>
        <w:p w14:paraId="25532518"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2" w:anchor="_Toc532992259"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2.</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Context</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_Toc532992259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3</w:t>
            </w:r>
            <w:r w:rsidRPr="00B27884">
              <w:rPr>
                <w:rFonts w:ascii="Arial" w:hAnsi="Arial" w:cs="Arial"/>
                <w:noProof/>
                <w:webHidden/>
                <w:color w:val="0563C1"/>
                <w:szCs w:val="20"/>
                <w:u w:val="single"/>
                <w:lang w:eastAsia="en-US"/>
              </w:rPr>
              <w:fldChar w:fldCharType="end"/>
            </w:r>
          </w:hyperlink>
        </w:p>
        <w:p w14:paraId="01C2DBFE"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3" w:anchor="_Toc532992260"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3.</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Research aims and objectives</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_Toc532992260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5</w:t>
            </w:r>
            <w:r w:rsidRPr="00B27884">
              <w:rPr>
                <w:rFonts w:ascii="Arial" w:hAnsi="Arial" w:cs="Arial"/>
                <w:noProof/>
                <w:webHidden/>
                <w:color w:val="0563C1"/>
                <w:szCs w:val="20"/>
                <w:u w:val="single"/>
                <w:lang w:eastAsia="en-US"/>
              </w:rPr>
              <w:fldChar w:fldCharType="end"/>
            </w:r>
          </w:hyperlink>
        </w:p>
        <w:p w14:paraId="2B7E63AF"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4" w:anchor="_Toc532992261"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4.</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Methodology and scope</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_Toc532992261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6</w:t>
            </w:r>
            <w:r w:rsidRPr="00B27884">
              <w:rPr>
                <w:rFonts w:ascii="Arial" w:hAnsi="Arial" w:cs="Arial"/>
                <w:noProof/>
                <w:webHidden/>
                <w:color w:val="0563C1"/>
                <w:szCs w:val="20"/>
                <w:u w:val="single"/>
                <w:lang w:eastAsia="en-US"/>
              </w:rPr>
              <w:fldChar w:fldCharType="end"/>
            </w:r>
          </w:hyperlink>
        </w:p>
        <w:p w14:paraId="2AC30433"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5" w:anchor="_Toc532992262" w:history="1">
            <w:r w:rsidRPr="00B27884">
              <w:rPr>
                <w:rFonts w:ascii="Arial" w:hAnsi="Arial" w:cs="Arial"/>
                <w:noProof/>
                <w:color w:val="0563C1"/>
                <w:szCs w:val="20"/>
                <w:u w:val="single"/>
                <w:lang w:eastAsia="en-US"/>
              </w:rPr>
              <w:t>5.</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Timetable</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_Toc532992262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9</w:t>
            </w:r>
            <w:r w:rsidRPr="00B27884">
              <w:rPr>
                <w:rFonts w:ascii="Arial" w:hAnsi="Arial" w:cs="Arial"/>
                <w:noProof/>
                <w:webHidden/>
                <w:color w:val="0563C1"/>
                <w:szCs w:val="20"/>
                <w:u w:val="single"/>
                <w:lang w:eastAsia="en-US"/>
              </w:rPr>
              <w:fldChar w:fldCharType="end"/>
            </w:r>
          </w:hyperlink>
        </w:p>
        <w:p w14:paraId="1684D7EB"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6" w:anchor="_Toc532992263"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6.</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Length of contract</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_Toc532992263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9</w:t>
            </w:r>
            <w:r w:rsidRPr="00B27884">
              <w:rPr>
                <w:rFonts w:ascii="Arial" w:hAnsi="Arial" w:cs="Arial"/>
                <w:noProof/>
                <w:webHidden/>
                <w:color w:val="0563C1"/>
                <w:szCs w:val="20"/>
                <w:u w:val="single"/>
                <w:lang w:eastAsia="en-US"/>
              </w:rPr>
              <w:fldChar w:fldCharType="end"/>
            </w:r>
          </w:hyperlink>
        </w:p>
        <w:p w14:paraId="015C1F7A"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7" w:anchor="_Toc532992264"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7.</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Outputs</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_Toc532992264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10</w:t>
            </w:r>
            <w:r w:rsidRPr="00B27884">
              <w:rPr>
                <w:rFonts w:ascii="Arial" w:hAnsi="Arial" w:cs="Arial"/>
                <w:noProof/>
                <w:webHidden/>
                <w:color w:val="0563C1"/>
                <w:szCs w:val="20"/>
                <w:u w:val="single"/>
                <w:lang w:eastAsia="en-US"/>
              </w:rPr>
              <w:fldChar w:fldCharType="end"/>
            </w:r>
          </w:hyperlink>
        </w:p>
        <w:p w14:paraId="46303B46"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8" w:anchor="_Toc532992265"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8.</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Project management and contract administration</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_Toc532992265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11</w:t>
            </w:r>
            <w:r w:rsidRPr="00B27884">
              <w:rPr>
                <w:rFonts w:ascii="Arial" w:hAnsi="Arial" w:cs="Arial"/>
                <w:noProof/>
                <w:webHidden/>
                <w:color w:val="0563C1"/>
                <w:szCs w:val="20"/>
                <w:u w:val="single"/>
                <w:lang w:eastAsia="en-US"/>
              </w:rPr>
              <w:fldChar w:fldCharType="end"/>
            </w:r>
          </w:hyperlink>
        </w:p>
        <w:p w14:paraId="435ECFDC"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19" w:anchor="_Toc532992266"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9.</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Quality and risk management</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_Toc532992266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11</w:t>
            </w:r>
            <w:r w:rsidRPr="00B27884">
              <w:rPr>
                <w:rFonts w:ascii="Arial" w:hAnsi="Arial" w:cs="Arial"/>
                <w:noProof/>
                <w:webHidden/>
                <w:color w:val="0563C1"/>
                <w:szCs w:val="20"/>
                <w:u w:val="single"/>
                <w:lang w:eastAsia="en-US"/>
              </w:rPr>
              <w:fldChar w:fldCharType="end"/>
            </w:r>
          </w:hyperlink>
        </w:p>
        <w:p w14:paraId="275911A7"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0" w:anchor="_Toc532992267"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10.</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Expertise and capability</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_Toc532992267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12</w:t>
            </w:r>
            <w:r w:rsidRPr="00B27884">
              <w:rPr>
                <w:rFonts w:ascii="Arial" w:hAnsi="Arial" w:cs="Arial"/>
                <w:noProof/>
                <w:webHidden/>
                <w:color w:val="0563C1"/>
                <w:szCs w:val="20"/>
                <w:u w:val="single"/>
                <w:lang w:eastAsia="en-US"/>
              </w:rPr>
              <w:fldChar w:fldCharType="end"/>
            </w:r>
          </w:hyperlink>
        </w:p>
        <w:p w14:paraId="1F06E845"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1" w:anchor="_Toc532992268"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11.</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Tender evaluation approach</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_Toc532992268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13</w:t>
            </w:r>
            <w:r w:rsidRPr="00B27884">
              <w:rPr>
                <w:rFonts w:ascii="Arial" w:hAnsi="Arial" w:cs="Arial"/>
                <w:noProof/>
                <w:webHidden/>
                <w:color w:val="0563C1"/>
                <w:szCs w:val="20"/>
                <w:u w:val="single"/>
                <w:lang w:eastAsia="en-US"/>
              </w:rPr>
              <w:fldChar w:fldCharType="end"/>
            </w:r>
          </w:hyperlink>
        </w:p>
        <w:p w14:paraId="6709662C"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2" w:anchor="_Toc532992269"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12.</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Quality criteria and how we assess quality</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_Toc532992269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13</w:t>
            </w:r>
            <w:r w:rsidRPr="00B27884">
              <w:rPr>
                <w:rFonts w:ascii="Arial" w:hAnsi="Arial" w:cs="Arial"/>
                <w:noProof/>
                <w:webHidden/>
                <w:color w:val="0563C1"/>
                <w:szCs w:val="20"/>
                <w:u w:val="single"/>
                <w:lang w:eastAsia="en-US"/>
              </w:rPr>
              <w:fldChar w:fldCharType="end"/>
            </w:r>
          </w:hyperlink>
        </w:p>
        <w:p w14:paraId="6EA18E48"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3" w:anchor="_Toc532992270"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13.</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Price and how we assess price</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_Toc532992270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14</w:t>
            </w:r>
            <w:r w:rsidRPr="00B27884">
              <w:rPr>
                <w:rFonts w:ascii="Arial" w:hAnsi="Arial" w:cs="Arial"/>
                <w:noProof/>
                <w:webHidden/>
                <w:color w:val="0563C1"/>
                <w:szCs w:val="20"/>
                <w:u w:val="single"/>
                <w:lang w:eastAsia="en-US"/>
              </w:rPr>
              <w:fldChar w:fldCharType="end"/>
            </w:r>
          </w:hyperlink>
        </w:p>
        <w:p w14:paraId="46DC5A5D"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4" w:anchor="_Toc532992271"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14.</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Summary of evaluation criteria</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_Toc532992271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16</w:t>
            </w:r>
            <w:r w:rsidRPr="00B27884">
              <w:rPr>
                <w:rFonts w:ascii="Arial" w:hAnsi="Arial" w:cs="Arial"/>
                <w:noProof/>
                <w:webHidden/>
                <w:color w:val="0563C1"/>
                <w:szCs w:val="20"/>
                <w:u w:val="single"/>
                <w:lang w:eastAsia="en-US"/>
              </w:rPr>
              <w:fldChar w:fldCharType="end"/>
            </w:r>
          </w:hyperlink>
        </w:p>
        <w:p w14:paraId="0E838585"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5" w:anchor="_Toc532992272"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15.</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Data security and protection</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_Toc532992272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16</w:t>
            </w:r>
            <w:r w:rsidRPr="00B27884">
              <w:rPr>
                <w:rFonts w:ascii="Arial" w:hAnsi="Arial" w:cs="Arial"/>
                <w:noProof/>
                <w:webHidden/>
                <w:color w:val="0563C1"/>
                <w:szCs w:val="20"/>
                <w:u w:val="single"/>
                <w:lang w:eastAsia="en-US"/>
              </w:rPr>
              <w:fldChar w:fldCharType="end"/>
            </w:r>
          </w:hyperlink>
        </w:p>
        <w:p w14:paraId="66A5E9B9"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6" w:anchor="_Toc532992273"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16.</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Other ethical issues</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_Toc532992273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17</w:t>
            </w:r>
            <w:r w:rsidRPr="00B27884">
              <w:rPr>
                <w:rFonts w:ascii="Arial" w:hAnsi="Arial" w:cs="Arial"/>
                <w:noProof/>
                <w:webHidden/>
                <w:color w:val="0563C1"/>
                <w:szCs w:val="20"/>
                <w:u w:val="single"/>
                <w:lang w:eastAsia="en-US"/>
              </w:rPr>
              <w:fldChar w:fldCharType="end"/>
            </w:r>
          </w:hyperlink>
        </w:p>
        <w:p w14:paraId="06045712"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7" w:anchor="_Toc532992274"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17.</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Procurement transparency</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_Toc532992274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17</w:t>
            </w:r>
            <w:r w:rsidRPr="00B27884">
              <w:rPr>
                <w:rFonts w:ascii="Arial" w:hAnsi="Arial" w:cs="Arial"/>
                <w:noProof/>
                <w:webHidden/>
                <w:color w:val="0563C1"/>
                <w:szCs w:val="20"/>
                <w:u w:val="single"/>
                <w:lang w:eastAsia="en-US"/>
              </w:rPr>
              <w:fldChar w:fldCharType="end"/>
            </w:r>
          </w:hyperlink>
        </w:p>
        <w:p w14:paraId="6F8D007D"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8" w:anchor="_Toc532992275"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18.</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Commissioning Conditions</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_Toc532992275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17</w:t>
            </w:r>
            <w:r w:rsidRPr="00B27884">
              <w:rPr>
                <w:rFonts w:ascii="Arial" w:hAnsi="Arial" w:cs="Arial"/>
                <w:noProof/>
                <w:webHidden/>
                <w:color w:val="0563C1"/>
                <w:szCs w:val="20"/>
                <w:u w:val="single"/>
                <w:lang w:eastAsia="en-US"/>
              </w:rPr>
              <w:fldChar w:fldCharType="end"/>
            </w:r>
          </w:hyperlink>
        </w:p>
        <w:p w14:paraId="0F58A909"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29" w:anchor="_Toc532992276"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19.</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Summary of requirements</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_Toc532992276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18</w:t>
            </w:r>
            <w:r w:rsidRPr="00B27884">
              <w:rPr>
                <w:rFonts w:ascii="Arial" w:hAnsi="Arial" w:cs="Arial"/>
                <w:noProof/>
                <w:webHidden/>
                <w:color w:val="0563C1"/>
                <w:szCs w:val="20"/>
                <w:u w:val="single"/>
                <w:lang w:eastAsia="en-US"/>
              </w:rPr>
              <w:fldChar w:fldCharType="end"/>
            </w:r>
          </w:hyperlink>
        </w:p>
        <w:p w14:paraId="575967DB"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30" w:anchor="_Toc532992277"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20.</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Queries on this research specification</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_Toc532992277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18</w:t>
            </w:r>
            <w:r w:rsidRPr="00B27884">
              <w:rPr>
                <w:rFonts w:ascii="Arial" w:hAnsi="Arial" w:cs="Arial"/>
                <w:noProof/>
                <w:webHidden/>
                <w:color w:val="0563C1"/>
                <w:szCs w:val="20"/>
                <w:u w:val="single"/>
                <w:lang w:eastAsia="en-US"/>
              </w:rPr>
              <w:fldChar w:fldCharType="end"/>
            </w:r>
          </w:hyperlink>
        </w:p>
        <w:p w14:paraId="1BF20F22" w14:textId="77777777" w:rsidR="00B27884" w:rsidRPr="00B27884" w:rsidRDefault="00B27884" w:rsidP="00B27884">
          <w:pPr>
            <w:tabs>
              <w:tab w:val="right" w:leader="dot" w:pos="9016"/>
            </w:tabs>
            <w:spacing w:after="100" w:line="256" w:lineRule="auto"/>
            <w:ind w:hanging="709"/>
            <w:rPr>
              <w:rFonts w:ascii="Calibri" w:hAnsi="Calibri"/>
              <w:noProof/>
              <w:sz w:val="22"/>
              <w:szCs w:val="22"/>
            </w:rPr>
          </w:pPr>
          <w:hyperlink r:id="rId31" w:anchor="_Toc532992278" w:history="1">
            <w:r w:rsidRPr="00B27884">
              <w:rPr>
                <w:rFonts w:ascii="Arial" w:hAnsi="Arial" w:cs="Arial"/>
                <w:noProof/>
                <w:color w:val="0563C1"/>
                <w:szCs w:val="20"/>
                <w:u w:val="single"/>
                <w:lang w:eastAsia="en-US"/>
                <w14:scene3d>
                  <w14:camera w14:prst="orthographicFront"/>
                  <w14:lightRig w14:rig="threePt" w14:dir="t">
                    <w14:rot w14:lat="0" w14:lon="0" w14:rev="0"/>
                  </w14:lightRig>
                </w14:scene3d>
              </w:rPr>
              <w:t>21.</w:t>
            </w:r>
            <w:r w:rsidRPr="00B27884">
              <w:rPr>
                <w:rFonts w:ascii="Calibri" w:hAnsi="Calibri"/>
                <w:noProof/>
                <w:color w:val="0563C1"/>
                <w:sz w:val="22"/>
                <w:szCs w:val="22"/>
                <w:u w:val="single"/>
              </w:rPr>
              <w:tab/>
            </w:r>
            <w:r w:rsidRPr="00B27884">
              <w:rPr>
                <w:rFonts w:ascii="Arial" w:hAnsi="Arial" w:cs="Arial"/>
                <w:noProof/>
                <w:color w:val="0563C1"/>
                <w:szCs w:val="20"/>
                <w:u w:val="single"/>
                <w:lang w:eastAsia="en-US"/>
              </w:rPr>
              <w:t>Information on how and when to return tenders</w:t>
            </w:r>
            <w:r w:rsidRPr="00B27884">
              <w:rPr>
                <w:rFonts w:ascii="Arial" w:hAnsi="Arial" w:cs="Arial"/>
                <w:noProof/>
                <w:webHidden/>
                <w:color w:val="0563C1"/>
                <w:szCs w:val="20"/>
                <w:u w:val="single"/>
                <w:lang w:eastAsia="en-US"/>
              </w:rPr>
              <w:tab/>
            </w:r>
            <w:r w:rsidRPr="00B27884">
              <w:rPr>
                <w:rFonts w:ascii="Arial" w:hAnsi="Arial" w:cs="Arial"/>
                <w:noProof/>
                <w:webHidden/>
                <w:color w:val="0563C1"/>
                <w:szCs w:val="20"/>
                <w:u w:val="single"/>
                <w:lang w:eastAsia="en-US"/>
              </w:rPr>
              <w:fldChar w:fldCharType="begin"/>
            </w:r>
            <w:r w:rsidRPr="00B27884">
              <w:rPr>
                <w:rFonts w:ascii="Arial" w:hAnsi="Arial" w:cs="Arial"/>
                <w:noProof/>
                <w:webHidden/>
                <w:color w:val="0563C1"/>
                <w:szCs w:val="20"/>
                <w:u w:val="single"/>
                <w:lang w:eastAsia="en-US"/>
              </w:rPr>
              <w:instrText xml:space="preserve"> PAGEREF _Toc532992278 \h </w:instrText>
            </w:r>
            <w:r w:rsidRPr="00B27884">
              <w:rPr>
                <w:rFonts w:ascii="Arial" w:hAnsi="Arial" w:cs="Arial"/>
                <w:noProof/>
                <w:webHidden/>
                <w:color w:val="0563C1"/>
                <w:szCs w:val="20"/>
                <w:u w:val="single"/>
                <w:lang w:eastAsia="en-US"/>
              </w:rPr>
            </w:r>
            <w:r w:rsidRPr="00B27884">
              <w:rPr>
                <w:rFonts w:ascii="Arial" w:hAnsi="Arial" w:cs="Arial"/>
                <w:noProof/>
                <w:webHidden/>
                <w:color w:val="0563C1"/>
                <w:szCs w:val="20"/>
                <w:u w:val="single"/>
                <w:lang w:eastAsia="en-US"/>
              </w:rPr>
              <w:fldChar w:fldCharType="separate"/>
            </w:r>
            <w:r w:rsidRPr="00B27884">
              <w:rPr>
                <w:rFonts w:ascii="Arial" w:hAnsi="Arial" w:cs="Arial"/>
                <w:noProof/>
                <w:webHidden/>
                <w:color w:val="0563C1"/>
                <w:szCs w:val="20"/>
                <w:u w:val="single"/>
                <w:lang w:eastAsia="en-US"/>
              </w:rPr>
              <w:t>19</w:t>
            </w:r>
            <w:r w:rsidRPr="00B27884">
              <w:rPr>
                <w:rFonts w:ascii="Arial" w:hAnsi="Arial" w:cs="Arial"/>
                <w:noProof/>
                <w:webHidden/>
                <w:color w:val="0563C1"/>
                <w:szCs w:val="20"/>
                <w:u w:val="single"/>
                <w:lang w:eastAsia="en-US"/>
              </w:rPr>
              <w:fldChar w:fldCharType="end"/>
            </w:r>
          </w:hyperlink>
        </w:p>
        <w:p w14:paraId="303B4546" w14:textId="77777777" w:rsidR="00B27884" w:rsidRPr="00B27884" w:rsidRDefault="00B27884" w:rsidP="00B27884">
          <w:pPr>
            <w:spacing w:after="160" w:line="256" w:lineRule="auto"/>
            <w:ind w:left="698"/>
            <w:rPr>
              <w:rFonts w:ascii="Arial" w:hAnsi="Arial" w:cs="Arial"/>
              <w:szCs w:val="20"/>
              <w:lang w:eastAsia="en-US"/>
            </w:rPr>
          </w:pPr>
          <w:r w:rsidRPr="00B27884">
            <w:rPr>
              <w:rFonts w:ascii="Arial" w:hAnsi="Arial" w:cs="Arial"/>
              <w:szCs w:val="20"/>
              <w:lang w:eastAsia="en-US"/>
            </w:rPr>
            <w:fldChar w:fldCharType="end"/>
          </w:r>
        </w:p>
      </w:sdtContent>
    </w:sdt>
    <w:p w14:paraId="6CDD5190" w14:textId="77777777" w:rsidR="00B27884" w:rsidRPr="00B27884" w:rsidRDefault="00B27884" w:rsidP="00B27884">
      <w:pPr>
        <w:spacing w:after="160" w:line="256" w:lineRule="auto"/>
        <w:rPr>
          <w:rFonts w:ascii="Arial" w:hAnsi="Arial" w:cs="Arial"/>
          <w:szCs w:val="20"/>
          <w:lang w:eastAsia="en-US"/>
        </w:rPr>
      </w:pPr>
    </w:p>
    <w:p w14:paraId="018EF7EE" w14:textId="77777777" w:rsidR="00B27884" w:rsidRPr="00B27884" w:rsidRDefault="00B27884" w:rsidP="00B27884">
      <w:pPr>
        <w:spacing w:after="160" w:line="256" w:lineRule="auto"/>
        <w:rPr>
          <w:rFonts w:ascii="Arial" w:hAnsi="Arial" w:cs="Arial"/>
          <w:szCs w:val="20"/>
          <w:lang w:eastAsia="en-US"/>
        </w:rPr>
      </w:pPr>
      <w:r w:rsidRPr="00B27884">
        <w:rPr>
          <w:rFonts w:ascii="Arial" w:hAnsi="Arial" w:cs="Arial"/>
          <w:szCs w:val="20"/>
          <w:lang w:eastAsia="en-US"/>
        </w:rPr>
        <w:br w:type="page"/>
      </w:r>
    </w:p>
    <w:p w14:paraId="64CA0740"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29" w:name="_Toc532992258"/>
      <w:bookmarkStart w:id="30" w:name="Introduction"/>
      <w:r w:rsidRPr="00B27884">
        <w:rPr>
          <w:rFonts w:ascii="Arial" w:hAnsi="Arial" w:cs="Arial"/>
          <w:b/>
          <w:sz w:val="32"/>
          <w:szCs w:val="32"/>
          <w:lang w:val="en-US" w:eastAsia="en-US"/>
        </w:rPr>
        <w:lastRenderedPageBreak/>
        <w:t>Introduction</w:t>
      </w:r>
      <w:bookmarkEnd w:id="29"/>
    </w:p>
    <w:bookmarkEnd w:id="30"/>
    <w:p w14:paraId="35851F62" w14:textId="77777777" w:rsidR="00B27884" w:rsidRPr="00B27884" w:rsidRDefault="00B27884" w:rsidP="00B27884">
      <w:pPr>
        <w:spacing w:after="160" w:line="256" w:lineRule="auto"/>
        <w:ind w:left="720"/>
        <w:contextualSpacing/>
        <w:rPr>
          <w:rFonts w:ascii="Arial" w:hAnsi="Arial" w:cs="Arial"/>
          <w:b/>
          <w:szCs w:val="20"/>
          <w:lang w:eastAsia="en-US"/>
        </w:rPr>
      </w:pPr>
    </w:p>
    <w:p w14:paraId="4F11BE94"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HM Revenue &amp; Customs (HMRC) invites suppliers who confirmed their interest in receiving HMRC research commissions from short Lot 3 of the BEIS Research and Evaluation Framework to undertake independent, multi stage qualitative and quantitative research to size the customs intermediaries sector and to provide a detailed understanding of the population and its capacity. </w:t>
      </w:r>
    </w:p>
    <w:p w14:paraId="76C914A5"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HMRC intends for this contract to be in place </w:t>
      </w:r>
      <w:r w:rsidRPr="00B27884">
        <w:rPr>
          <w:rFonts w:ascii="Arial" w:hAnsi="Arial" w:cs="Arial"/>
          <w:b/>
          <w:szCs w:val="20"/>
          <w:lang w:eastAsia="en-US"/>
        </w:rPr>
        <w:t>in mid-November 2019</w:t>
      </w:r>
      <w:r w:rsidRPr="00B27884">
        <w:rPr>
          <w:rFonts w:ascii="Arial" w:hAnsi="Arial" w:cs="Arial"/>
          <w:szCs w:val="20"/>
          <w:lang w:eastAsia="en-US"/>
        </w:rPr>
        <w:t xml:space="preserve">, with first phase outputs expected </w:t>
      </w:r>
      <w:r w:rsidRPr="00B27884">
        <w:rPr>
          <w:rFonts w:ascii="Arial" w:hAnsi="Arial" w:cs="Arial"/>
          <w:b/>
          <w:szCs w:val="20"/>
          <w:lang w:eastAsia="en-US"/>
        </w:rPr>
        <w:t>by the end of April 2020</w:t>
      </w:r>
      <w:r w:rsidRPr="00B27884">
        <w:rPr>
          <w:rFonts w:ascii="Arial" w:hAnsi="Arial" w:cs="Arial"/>
          <w:szCs w:val="20"/>
          <w:lang w:eastAsia="en-US"/>
        </w:rPr>
        <w:t>. Final outputs are expected by the end of October 2020.</w:t>
      </w:r>
    </w:p>
    <w:p w14:paraId="1B29F8D4"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HMRC will maintain the overall management of the project.</w:t>
      </w:r>
    </w:p>
    <w:p w14:paraId="343B8C4C"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 xml:space="preserve">The contract will be awarded to the organisation deemed to best meet HMRC’s requirements and provide best value for money. Assessment will be based on the factors included in sections 12, 13 and 14. </w:t>
      </w:r>
    </w:p>
    <w:p w14:paraId="6B820AAF"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b/>
          <w:lang w:eastAsia="en-US"/>
        </w:rPr>
        <w:t>We remind all tenderers that HMRC ITTs are commercially sensitive documents; the contents of any HMRC ITT should not be divulged to those without a business need to know.</w:t>
      </w:r>
    </w:p>
    <w:p w14:paraId="76E0DBEC" w14:textId="77777777" w:rsidR="00B27884" w:rsidRPr="00B27884" w:rsidRDefault="00B27884" w:rsidP="00B27884">
      <w:pPr>
        <w:spacing w:after="160" w:line="256" w:lineRule="auto"/>
        <w:ind w:left="709" w:hanging="709"/>
        <w:rPr>
          <w:rFonts w:ascii="Arial" w:hAnsi="Arial" w:cs="Arial"/>
          <w:szCs w:val="20"/>
          <w:lang w:eastAsia="en-US"/>
        </w:rPr>
      </w:pPr>
    </w:p>
    <w:p w14:paraId="2B61F2C8"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31" w:name="_Toc532992259"/>
      <w:bookmarkStart w:id="32" w:name="Context"/>
      <w:r w:rsidRPr="00B27884">
        <w:rPr>
          <w:rFonts w:ascii="Arial" w:hAnsi="Arial" w:cs="Arial"/>
          <w:b/>
          <w:sz w:val="32"/>
          <w:szCs w:val="32"/>
          <w:lang w:val="en-US" w:eastAsia="en-US"/>
        </w:rPr>
        <w:t>Context</w:t>
      </w:r>
      <w:bookmarkEnd w:id="31"/>
    </w:p>
    <w:p w14:paraId="67ABBAD8" w14:textId="77777777" w:rsidR="00B27884" w:rsidRPr="00B27884" w:rsidRDefault="00B27884" w:rsidP="00B27884">
      <w:pPr>
        <w:spacing w:after="160" w:line="256" w:lineRule="auto"/>
        <w:ind w:left="709" w:hanging="709"/>
        <w:rPr>
          <w:rFonts w:ascii="Arial" w:hAnsi="Arial" w:cs="Arial"/>
          <w:szCs w:val="20"/>
          <w:lang w:val="en-US" w:eastAsia="en-US"/>
        </w:rPr>
      </w:pPr>
    </w:p>
    <w:p w14:paraId="422BE8A7"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298935FF"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‘Customs intermediaries’ is an umbrella term used to mean businesses who deal with customs processes on behalf of other businesses who trade internationally. Currently this is for trade between the UK and countries outside the EU, but after EU Exit the need for these services will expand to all international trade. The tasks intermediaries carry out can include assessing goods to ensure compliance, providing advice on duties, interaction with various IT systems, and providing their clients with appropriate customs documentation to facilitate movement of goods. </w:t>
      </w:r>
    </w:p>
    <w:p w14:paraId="0FE93D9F"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Specifically the different types of customs intermediary are defined below:</w:t>
      </w:r>
    </w:p>
    <w:p w14:paraId="01EDC945" w14:textId="77777777" w:rsidR="00B27884" w:rsidRPr="00B27884" w:rsidRDefault="00B27884" w:rsidP="00B27884">
      <w:pPr>
        <w:numPr>
          <w:ilvl w:val="0"/>
          <w:numId w:val="29"/>
        </w:numPr>
        <w:spacing w:after="160" w:line="256" w:lineRule="auto"/>
        <w:outlineLvl w:val="1"/>
        <w:rPr>
          <w:rFonts w:ascii="Arial" w:hAnsi="Arial" w:cs="Arial"/>
          <w:lang w:eastAsia="en-US"/>
        </w:rPr>
      </w:pPr>
      <w:r w:rsidRPr="00B27884">
        <w:rPr>
          <w:rFonts w:ascii="Arial" w:hAnsi="Arial" w:cs="Arial"/>
          <w:lang w:eastAsia="en-US"/>
        </w:rPr>
        <w:t xml:space="preserve">Customs Agents/Brokers: intermediaries who </w:t>
      </w:r>
      <w:r w:rsidRPr="00B27884">
        <w:rPr>
          <w:rFonts w:ascii="Arial" w:hAnsi="Arial" w:cs="Arial"/>
          <w:szCs w:val="20"/>
          <w:lang w:val="en" w:eastAsia="en-US"/>
        </w:rPr>
        <w:t>facilitate the clearance of goods through customs;</w:t>
      </w:r>
    </w:p>
    <w:p w14:paraId="1A4EFAA4" w14:textId="77777777" w:rsidR="00B27884" w:rsidRPr="00B27884" w:rsidRDefault="00B27884" w:rsidP="00B27884">
      <w:pPr>
        <w:numPr>
          <w:ilvl w:val="0"/>
          <w:numId w:val="29"/>
        </w:numPr>
        <w:spacing w:after="160" w:line="256" w:lineRule="auto"/>
        <w:outlineLvl w:val="1"/>
        <w:rPr>
          <w:rFonts w:ascii="Arial" w:hAnsi="Arial" w:cs="Arial"/>
          <w:lang w:eastAsia="en-US"/>
        </w:rPr>
      </w:pPr>
      <w:r w:rsidRPr="00B27884">
        <w:rPr>
          <w:rFonts w:ascii="Arial" w:hAnsi="Arial" w:cs="Arial"/>
          <w:lang w:eastAsia="en-US"/>
        </w:rPr>
        <w:t>Freight Forwarders: a person or company who manages the end-to-end movement of goods from a trader to their customer. This includes the completion of customs requirements;</w:t>
      </w:r>
      <w:r w:rsidRPr="00B27884">
        <w:rPr>
          <w:rFonts w:ascii="Arial" w:hAnsi="Arial" w:cs="Arial"/>
          <w:szCs w:val="20"/>
          <w:lang w:eastAsia="en-US"/>
        </w:rPr>
        <w:t xml:space="preserve"> </w:t>
      </w:r>
    </w:p>
    <w:p w14:paraId="62F21D40" w14:textId="77777777" w:rsidR="00B27884" w:rsidRPr="00B27884" w:rsidRDefault="00B27884" w:rsidP="00B27884">
      <w:pPr>
        <w:numPr>
          <w:ilvl w:val="0"/>
          <w:numId w:val="29"/>
        </w:numPr>
        <w:spacing w:after="160" w:line="256" w:lineRule="auto"/>
        <w:outlineLvl w:val="1"/>
        <w:rPr>
          <w:rFonts w:ascii="Arial" w:hAnsi="Arial" w:cs="Arial"/>
          <w:lang w:eastAsia="en-US"/>
        </w:rPr>
      </w:pPr>
      <w:r w:rsidRPr="00B27884">
        <w:rPr>
          <w:rFonts w:ascii="Arial" w:hAnsi="Arial" w:cs="Arial"/>
          <w:lang w:eastAsia="en-US"/>
        </w:rPr>
        <w:t xml:space="preserve">Express Operators/Fast Parcel Operators: transporters of goods within specific time frames. They are able to deal with customs as part of the delivery arrangements. </w:t>
      </w:r>
    </w:p>
    <w:p w14:paraId="7D590F84"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lastRenderedPageBreak/>
        <w:t>Understanding the structure, capacity and behaviour of the customs intermediary sector is critical to the effective design of our future customs system because intermediaries are the preferred method for most importers/exporters to manage customs processes. As such, the capacity and capability of the intermediary sector will impact hundreds of thousands of traders. To develop effective policy for future customs arrangements, we need to understand the current capacity in the sector, and current plans to expand (including how fast).</w:t>
      </w:r>
    </w:p>
    <w:p w14:paraId="5CB5310A"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However, HMRC currently lacks reliable quantitative information about the customs intermediary sector as it is unregulated and fragmented. We do not know the overall size and structure of the population, or of the key groups within this (Customs Brokers/Agents, Hauliers, Freight Forwarders, and Fast Parcel Operators) or what services they provide (there isn’t a standard service offer). Without an understanding of the structure of the population, designing policies to target them is challenging.</w:t>
      </w:r>
    </w:p>
    <w:p w14:paraId="2E2730AA"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 xml:space="preserve">Alongside the gap in our understanding of the current size of the sector, we only have limited/anecdotal evidence about their level of readiness for EU Exit and how their capacity to support customers will change over time as a result of EU Exit policy developing (including the grant scheme, e-learning and proposed changes to liability). Furthermore, without an ongoing, regular measure of capacity in this sector, we will be unable to properly quantify emerging risks in our customs system or track the success of our policies and contingency plans. </w:t>
      </w:r>
    </w:p>
    <w:p w14:paraId="3082B00B"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 xml:space="preserve">Additionally, understanding the number of employees working for customs intermediaries and the number of declarations they process will provide further insight into the capacity of the sector and how it will change post EU Exit. </w:t>
      </w:r>
    </w:p>
    <w:p w14:paraId="20A85803"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Improved data on the behaviour of customs intermediaries would also help HMRC understand whether intermediaries are receiving the right information and support to prepare, and tailor communications content, channels and support options to maximise the effectiveness of its Communications strategy. For instance, it may help identify key information gaps or areas where further support or refinements to service design are required. This could help the sector respond more effectively to EU exit, ultimately benefiting the trader population.</w:t>
      </w:r>
      <w:bookmarkEnd w:id="32"/>
    </w:p>
    <w:p w14:paraId="75451F89"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Some research has previously taken place with this sector, but methods to reach participants have been limited by the lack of sample frame. This research would seek to build on past research.</w:t>
      </w:r>
    </w:p>
    <w:p w14:paraId="77D7D0AA" w14:textId="77777777" w:rsidR="00B27884" w:rsidRPr="00B27884" w:rsidRDefault="00B27884" w:rsidP="00B27884">
      <w:pPr>
        <w:spacing w:after="160" w:line="256" w:lineRule="auto"/>
        <w:ind w:left="709" w:hanging="709"/>
        <w:rPr>
          <w:rFonts w:ascii="Arial" w:hAnsi="Arial" w:cs="Arial"/>
          <w:szCs w:val="20"/>
          <w:lang w:eastAsia="en-US"/>
        </w:rPr>
      </w:pPr>
    </w:p>
    <w:p w14:paraId="2D6CFA60" w14:textId="77777777" w:rsidR="00B27884" w:rsidRPr="00B27884" w:rsidRDefault="00B27884" w:rsidP="00B27884">
      <w:pPr>
        <w:spacing w:after="160" w:line="256" w:lineRule="auto"/>
        <w:ind w:left="709" w:hanging="709"/>
        <w:rPr>
          <w:rFonts w:ascii="Arial" w:hAnsi="Arial" w:cs="Arial"/>
          <w:szCs w:val="20"/>
          <w:lang w:eastAsia="en-US"/>
        </w:rPr>
      </w:pPr>
    </w:p>
    <w:p w14:paraId="48CE0F03" w14:textId="77777777" w:rsidR="00B27884" w:rsidRPr="00B27884" w:rsidRDefault="00B27884" w:rsidP="00B27884">
      <w:pPr>
        <w:spacing w:after="160" w:line="256" w:lineRule="auto"/>
        <w:ind w:left="709" w:hanging="709"/>
        <w:rPr>
          <w:rFonts w:ascii="Arial" w:hAnsi="Arial" w:cs="Arial"/>
          <w:szCs w:val="20"/>
          <w:lang w:eastAsia="en-US"/>
        </w:rPr>
      </w:pPr>
    </w:p>
    <w:p w14:paraId="2422D3A3"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33" w:name="_Toc532992260"/>
      <w:r w:rsidRPr="00B27884">
        <w:rPr>
          <w:rFonts w:ascii="Arial" w:hAnsi="Arial" w:cs="Arial"/>
          <w:b/>
          <w:sz w:val="32"/>
          <w:szCs w:val="32"/>
          <w:lang w:val="en-US" w:eastAsia="en-US"/>
        </w:rPr>
        <w:lastRenderedPageBreak/>
        <w:t>Research aims and objectives</w:t>
      </w:r>
      <w:bookmarkEnd w:id="33"/>
    </w:p>
    <w:p w14:paraId="671DDD1E" w14:textId="77777777" w:rsidR="00B27884" w:rsidRPr="00B27884" w:rsidRDefault="00B27884" w:rsidP="00B27884">
      <w:pPr>
        <w:spacing w:after="160" w:line="256" w:lineRule="auto"/>
        <w:ind w:left="709" w:hanging="709"/>
        <w:rPr>
          <w:rFonts w:ascii="Arial" w:hAnsi="Arial" w:cs="Arial"/>
          <w:szCs w:val="20"/>
          <w:lang w:val="en-US" w:eastAsia="en-US"/>
        </w:rPr>
      </w:pPr>
    </w:p>
    <w:p w14:paraId="7FB8BDFB" w14:textId="77777777" w:rsidR="00B27884" w:rsidRPr="00B27884" w:rsidRDefault="00B27884" w:rsidP="00B27884">
      <w:pPr>
        <w:spacing w:after="160" w:line="256" w:lineRule="auto"/>
        <w:ind w:left="709" w:hanging="709"/>
        <w:rPr>
          <w:rFonts w:ascii="Arial" w:hAnsi="Arial" w:cs="Arial"/>
          <w:szCs w:val="20"/>
          <w:lang w:val="en-US" w:eastAsia="en-US"/>
        </w:rPr>
      </w:pPr>
      <w:r w:rsidRPr="00B27884">
        <w:rPr>
          <w:rFonts w:ascii="Arial" w:hAnsi="Arial" w:cs="Arial"/>
          <w:b/>
          <w:szCs w:val="20"/>
          <w:lang w:val="en-US" w:eastAsia="en-US"/>
        </w:rPr>
        <w:t>Aims</w:t>
      </w:r>
    </w:p>
    <w:p w14:paraId="6D5D5093" w14:textId="77777777" w:rsidR="00B27884" w:rsidRPr="00B27884" w:rsidRDefault="00B27884" w:rsidP="00B27884">
      <w:pPr>
        <w:numPr>
          <w:ilvl w:val="0"/>
          <w:numId w:val="27"/>
        </w:numPr>
        <w:spacing w:after="160" w:line="256" w:lineRule="auto"/>
        <w:contextualSpacing/>
        <w:rPr>
          <w:rFonts w:ascii="Arial" w:hAnsi="Arial" w:cs="Arial"/>
          <w:vanish/>
          <w:lang w:eastAsia="en-US"/>
        </w:rPr>
      </w:pPr>
    </w:p>
    <w:p w14:paraId="2FE90420"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The overarching aim of this research is to size and understand the customs intermediaries sector and to conduct quarterly surveys to provide insight into the capacity of the sector. </w:t>
      </w:r>
    </w:p>
    <w:p w14:paraId="195008AF" w14:textId="77777777" w:rsidR="00B27884" w:rsidRPr="00B27884" w:rsidRDefault="00B27884" w:rsidP="00B27884">
      <w:pPr>
        <w:spacing w:after="160" w:line="256" w:lineRule="auto"/>
        <w:ind w:left="709" w:hanging="709"/>
        <w:rPr>
          <w:rFonts w:ascii="Arial" w:hAnsi="Arial" w:cs="Arial"/>
          <w:b/>
          <w:szCs w:val="20"/>
          <w:lang w:eastAsia="en-US"/>
        </w:rPr>
      </w:pPr>
      <w:r w:rsidRPr="00B27884">
        <w:rPr>
          <w:rFonts w:ascii="Arial" w:hAnsi="Arial" w:cs="Arial"/>
          <w:b/>
          <w:szCs w:val="20"/>
          <w:lang w:eastAsia="en-US"/>
        </w:rPr>
        <w:t>Objectives</w:t>
      </w:r>
    </w:p>
    <w:p w14:paraId="2E69D8DF"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objectives of this research are:</w:t>
      </w:r>
    </w:p>
    <w:p w14:paraId="2DB1BECD" w14:textId="77777777" w:rsidR="00B27884" w:rsidRPr="00B27884" w:rsidRDefault="00B27884" w:rsidP="00B27884">
      <w:pPr>
        <w:numPr>
          <w:ilvl w:val="1"/>
          <w:numId w:val="30"/>
        </w:numPr>
        <w:spacing w:after="160" w:line="256" w:lineRule="auto"/>
        <w:contextualSpacing/>
        <w:rPr>
          <w:rFonts w:ascii="Arial" w:hAnsi="Arial" w:cs="Arial"/>
          <w:lang w:eastAsia="en-US"/>
        </w:rPr>
      </w:pPr>
      <w:r w:rsidRPr="00B27884">
        <w:rPr>
          <w:rFonts w:ascii="Arial" w:hAnsi="Arial" w:cs="Arial"/>
          <w:lang w:eastAsia="en-US"/>
        </w:rPr>
        <w:t>To accurately estimate the size and capacity of the customs intermediaries population, as well as the sub-groups within it;</w:t>
      </w:r>
    </w:p>
    <w:p w14:paraId="16F18582" w14:textId="77777777" w:rsidR="00B27884" w:rsidRPr="00B27884" w:rsidRDefault="00B27884" w:rsidP="00B27884">
      <w:pPr>
        <w:numPr>
          <w:ilvl w:val="1"/>
          <w:numId w:val="30"/>
        </w:numPr>
        <w:spacing w:after="160" w:line="256" w:lineRule="auto"/>
        <w:contextualSpacing/>
        <w:rPr>
          <w:rFonts w:ascii="Arial" w:hAnsi="Arial" w:cs="Arial"/>
          <w:lang w:eastAsia="en-US"/>
        </w:rPr>
      </w:pPr>
      <w:r w:rsidRPr="00B27884">
        <w:rPr>
          <w:rFonts w:ascii="Arial" w:hAnsi="Arial" w:cs="Arial"/>
          <w:lang w:eastAsia="en-US"/>
        </w:rPr>
        <w:t>To better understand the customs population in terms of characteristics, structure, services provided and customer groups serviced;</w:t>
      </w:r>
    </w:p>
    <w:p w14:paraId="4A9B8732" w14:textId="77777777" w:rsidR="00B27884" w:rsidRPr="00B27884" w:rsidRDefault="00B27884" w:rsidP="00B27884">
      <w:pPr>
        <w:numPr>
          <w:ilvl w:val="1"/>
          <w:numId w:val="30"/>
        </w:numPr>
        <w:spacing w:after="160" w:line="256" w:lineRule="auto"/>
        <w:contextualSpacing/>
        <w:rPr>
          <w:rFonts w:ascii="Arial" w:hAnsi="Arial" w:cs="Arial"/>
          <w:lang w:eastAsia="en-US"/>
        </w:rPr>
      </w:pPr>
      <w:r w:rsidRPr="00B27884">
        <w:rPr>
          <w:rFonts w:ascii="Arial" w:hAnsi="Arial" w:cs="Arial"/>
          <w:lang w:eastAsia="en-US"/>
        </w:rPr>
        <w:t>To design a more robust sample frame and method for conducting quarterly surveys going forward;</w:t>
      </w:r>
    </w:p>
    <w:p w14:paraId="4B9E6121" w14:textId="77777777" w:rsidR="00B27884" w:rsidRPr="00B27884" w:rsidRDefault="00B27884" w:rsidP="00B27884">
      <w:pPr>
        <w:numPr>
          <w:ilvl w:val="1"/>
          <w:numId w:val="30"/>
        </w:numPr>
        <w:spacing w:after="160" w:line="256" w:lineRule="auto"/>
        <w:contextualSpacing/>
        <w:rPr>
          <w:rFonts w:ascii="Arial" w:hAnsi="Arial" w:cs="Arial"/>
          <w:lang w:eastAsia="en-US"/>
        </w:rPr>
      </w:pPr>
      <w:r w:rsidRPr="00B27884">
        <w:rPr>
          <w:rFonts w:ascii="Arial" w:hAnsi="Arial" w:cs="Arial"/>
          <w:lang w:eastAsia="en-US"/>
        </w:rPr>
        <w:t>To conduct quarterly surveys to measure how capacity is changing over time in response to EU Exit policies.</w:t>
      </w:r>
    </w:p>
    <w:p w14:paraId="16011245" w14:textId="77777777" w:rsidR="00B27884" w:rsidRPr="00B27884" w:rsidRDefault="00B27884" w:rsidP="00B27884">
      <w:pPr>
        <w:spacing w:after="160" w:line="256" w:lineRule="auto"/>
        <w:ind w:left="1429" w:hanging="709"/>
        <w:rPr>
          <w:rFonts w:ascii="Arial" w:hAnsi="Arial" w:cs="Arial"/>
          <w:szCs w:val="20"/>
          <w:lang w:eastAsia="en-US"/>
        </w:rPr>
      </w:pPr>
    </w:p>
    <w:p w14:paraId="4226AE65" w14:textId="77777777" w:rsidR="00B27884" w:rsidRPr="00B27884" w:rsidRDefault="00B27884" w:rsidP="00B27884">
      <w:pPr>
        <w:spacing w:after="160" w:line="256" w:lineRule="auto"/>
        <w:ind w:left="709" w:hanging="709"/>
        <w:rPr>
          <w:rFonts w:ascii="Arial" w:hAnsi="Arial" w:cs="Arial"/>
          <w:b/>
          <w:szCs w:val="20"/>
          <w:lang w:eastAsia="en-US"/>
        </w:rPr>
      </w:pPr>
      <w:r w:rsidRPr="00B27884">
        <w:rPr>
          <w:rFonts w:ascii="Arial" w:hAnsi="Arial" w:cs="Arial"/>
          <w:b/>
          <w:szCs w:val="20"/>
          <w:lang w:eastAsia="en-US"/>
        </w:rPr>
        <w:t>Research questions</w:t>
      </w:r>
    </w:p>
    <w:p w14:paraId="60FD1D8C"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These aims and objectives will be met by answering the following research questions, amongst others.</w:t>
      </w:r>
    </w:p>
    <w:p w14:paraId="6963814A" w14:textId="77777777" w:rsidR="00B27884" w:rsidRPr="00B27884" w:rsidRDefault="00B27884" w:rsidP="00B27884">
      <w:pPr>
        <w:spacing w:before="120" w:after="120" w:line="256" w:lineRule="auto"/>
        <w:ind w:left="709"/>
        <w:rPr>
          <w:rFonts w:ascii="Arial" w:hAnsi="Arial" w:cs="Arial"/>
          <w:color w:val="000000"/>
        </w:rPr>
      </w:pPr>
      <w:r w:rsidRPr="00B27884">
        <w:rPr>
          <w:rFonts w:ascii="Arial" w:hAnsi="Arial" w:cs="Arial"/>
          <w:color w:val="000000"/>
        </w:rPr>
        <w:t>At a static point in time, this research should look to understand the size and structure of the sector:</w:t>
      </w:r>
    </w:p>
    <w:p w14:paraId="2963D045"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 xml:space="preserve">What is the size of the customs intermediaries sector (Customs Brokers/Agents, Hauliers, Freight Forwarders, and Fast Parcel Operators)? </w:t>
      </w:r>
    </w:p>
    <w:p w14:paraId="7539BF7B"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What is the size and structure of the workforce supporting the sector, with a particular focus on the number of individuals trained to complete customs formalities and the level of training they have received?</w:t>
      </w:r>
    </w:p>
    <w:p w14:paraId="4373B869"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What is the structure of this sector, including any overlap and interdependencies between ‘types’ of intermediaries?</w:t>
      </w:r>
    </w:p>
    <w:p w14:paraId="49766F2F"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What is the demographic profile of the sector as a whole, and, where feasible, within key subgroups (e.g. business size, region)?</w:t>
      </w:r>
    </w:p>
    <w:p w14:paraId="5F942C26"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What types of trade do intermediaries currently support: EU only, EU and ROW, or ROW only? How does this vary by ‘type’ of intermediary?</w:t>
      </w:r>
    </w:p>
    <w:p w14:paraId="526E91FC"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 xml:space="preserve">What activities (e.g. in the process of making declarations, interacting with other government agencies) do different types of intermediary take to support trade? </w:t>
      </w:r>
    </w:p>
    <w:p w14:paraId="76E344C3"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What are the costs/charges associated with providing different activities?</w:t>
      </w:r>
    </w:p>
    <w:p w14:paraId="07D1F357"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What are the customer profiles of different types of intermediary?</w:t>
      </w:r>
    </w:p>
    <w:p w14:paraId="1C7105E2"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What, if any, additional capacity to do more do they have?</w:t>
      </w:r>
    </w:p>
    <w:p w14:paraId="36FB6833"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lastRenderedPageBreak/>
        <w:t>How is it anticipated that the sector will change and scale (qualitatively and quantitatively) over the next 5-10 years in response to EU Exit?</w:t>
      </w:r>
    </w:p>
    <w:p w14:paraId="65D92FBC" w14:textId="77777777" w:rsidR="00B27884" w:rsidRPr="00B27884" w:rsidRDefault="00B27884" w:rsidP="00B27884">
      <w:pPr>
        <w:spacing w:before="120" w:after="120" w:line="256" w:lineRule="auto"/>
        <w:ind w:left="1069" w:hanging="709"/>
        <w:rPr>
          <w:rFonts w:ascii="Arial" w:hAnsi="Arial" w:cs="Arial"/>
          <w:color w:val="000000"/>
        </w:rPr>
      </w:pPr>
      <w:r w:rsidRPr="00B27884">
        <w:rPr>
          <w:rFonts w:ascii="Arial" w:hAnsi="Arial" w:cs="Arial"/>
          <w:color w:val="000000"/>
        </w:rPr>
        <w:t>On a regular (likely quarterly basis), research should also aim to answer:</w:t>
      </w:r>
    </w:p>
    <w:p w14:paraId="58093CE0" w14:textId="77777777" w:rsidR="00B27884" w:rsidRPr="00B27884" w:rsidRDefault="00B27884" w:rsidP="00B27884">
      <w:pPr>
        <w:numPr>
          <w:ilvl w:val="0"/>
          <w:numId w:val="32"/>
        </w:numPr>
        <w:spacing w:before="120" w:after="120" w:line="256" w:lineRule="auto"/>
        <w:ind w:left="1080"/>
        <w:contextualSpacing/>
        <w:rPr>
          <w:rFonts w:ascii="Arial" w:hAnsi="Arial" w:cs="Arial"/>
          <w:color w:val="000000"/>
        </w:rPr>
      </w:pPr>
      <w:r w:rsidRPr="00B27884">
        <w:rPr>
          <w:rFonts w:ascii="Arial" w:hAnsi="Arial" w:cs="Arial"/>
          <w:color w:val="000000"/>
        </w:rPr>
        <w:t>To what extent have intermediaries been impacted by exiting the EU (e.g. additional demand for intermediaries’ services, impact of changes to customs processes)?</w:t>
      </w:r>
    </w:p>
    <w:p w14:paraId="757147B2"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 xml:space="preserve">What activities have intermediaries undertaken as a response to exiting the EU? </w:t>
      </w:r>
    </w:p>
    <w:p w14:paraId="15D86E34" w14:textId="77777777" w:rsidR="00B27884" w:rsidRPr="00B27884" w:rsidRDefault="00B27884" w:rsidP="00B27884">
      <w:pPr>
        <w:numPr>
          <w:ilvl w:val="0"/>
          <w:numId w:val="31"/>
        </w:numPr>
        <w:spacing w:before="120" w:after="120" w:line="256" w:lineRule="auto"/>
        <w:contextualSpacing/>
        <w:rPr>
          <w:rFonts w:ascii="Arial" w:hAnsi="Arial" w:cs="Arial"/>
          <w:color w:val="000000"/>
        </w:rPr>
      </w:pPr>
      <w:r w:rsidRPr="00B27884">
        <w:rPr>
          <w:rFonts w:ascii="Arial" w:hAnsi="Arial" w:cs="Arial"/>
          <w:color w:val="000000"/>
        </w:rPr>
        <w:t xml:space="preserve">How is the overall capacity of the sector changing in terms of the numbers of customers it can support and the services it can provide? </w:t>
      </w:r>
    </w:p>
    <w:p w14:paraId="2B088228" w14:textId="77777777" w:rsidR="00B27884" w:rsidRPr="00B27884" w:rsidRDefault="00B27884" w:rsidP="00B27884">
      <w:pPr>
        <w:numPr>
          <w:ilvl w:val="1"/>
          <w:numId w:val="31"/>
        </w:numPr>
        <w:spacing w:before="120" w:after="120" w:line="256" w:lineRule="auto"/>
        <w:contextualSpacing/>
        <w:rPr>
          <w:rFonts w:ascii="Arial" w:hAnsi="Arial" w:cs="Arial"/>
          <w:color w:val="000000"/>
        </w:rPr>
      </w:pPr>
      <w:r w:rsidRPr="00B27884">
        <w:rPr>
          <w:rFonts w:ascii="Arial" w:hAnsi="Arial" w:cs="Arial"/>
          <w:color w:val="000000"/>
        </w:rPr>
        <w:t xml:space="preserve">Have they expanded their size or range of services in the last 3 months and by how much? </w:t>
      </w:r>
    </w:p>
    <w:p w14:paraId="0075F407" w14:textId="77777777" w:rsidR="00B27884" w:rsidRPr="00B27884" w:rsidRDefault="00B27884" w:rsidP="00B27884">
      <w:pPr>
        <w:numPr>
          <w:ilvl w:val="1"/>
          <w:numId w:val="31"/>
        </w:numPr>
        <w:spacing w:before="120" w:after="120" w:line="256" w:lineRule="auto"/>
        <w:contextualSpacing/>
        <w:rPr>
          <w:rFonts w:ascii="Arial" w:hAnsi="Arial" w:cs="Arial"/>
          <w:color w:val="000000"/>
        </w:rPr>
      </w:pPr>
      <w:r w:rsidRPr="00B27884">
        <w:rPr>
          <w:rFonts w:ascii="Arial" w:hAnsi="Arial" w:cs="Arial"/>
          <w:color w:val="000000"/>
        </w:rPr>
        <w:t>Do they plan to expand, if so how much and how quickly, does it extend their service offer and what is stopping them going further faster?</w:t>
      </w:r>
    </w:p>
    <w:p w14:paraId="481F6C8F" w14:textId="77777777" w:rsidR="00B27884" w:rsidRPr="00B27884" w:rsidRDefault="00B27884" w:rsidP="00B27884">
      <w:pPr>
        <w:numPr>
          <w:ilvl w:val="0"/>
          <w:numId w:val="32"/>
        </w:numPr>
        <w:spacing w:before="120" w:after="120" w:line="256" w:lineRule="auto"/>
        <w:ind w:left="1080"/>
        <w:contextualSpacing/>
        <w:rPr>
          <w:rFonts w:ascii="Arial" w:hAnsi="Arial" w:cs="Arial"/>
          <w:color w:val="000000"/>
        </w:rPr>
      </w:pPr>
      <w:r w:rsidRPr="00B27884">
        <w:rPr>
          <w:rFonts w:ascii="Arial" w:hAnsi="Arial" w:cs="Arial"/>
          <w:color w:val="000000"/>
        </w:rPr>
        <w:t>What further changes, if any, do intermediaries believe they need to make to their business model as a result of EU Exit? How long would these take to implement?</w:t>
      </w:r>
    </w:p>
    <w:p w14:paraId="789496BE" w14:textId="77777777" w:rsidR="00B27884" w:rsidRPr="00B27884" w:rsidRDefault="00B27884" w:rsidP="00B27884">
      <w:pPr>
        <w:numPr>
          <w:ilvl w:val="0"/>
          <w:numId w:val="32"/>
        </w:numPr>
        <w:spacing w:before="120" w:after="120" w:line="256" w:lineRule="auto"/>
        <w:contextualSpacing/>
        <w:rPr>
          <w:rFonts w:ascii="Arial" w:hAnsi="Arial" w:cs="Arial"/>
          <w:color w:val="000000"/>
        </w:rPr>
      </w:pPr>
      <w:r w:rsidRPr="00B27884">
        <w:rPr>
          <w:rFonts w:ascii="Arial" w:hAnsi="Arial" w:cs="Arial"/>
          <w:color w:val="000000"/>
        </w:rPr>
        <w:t>What, if anything, is preventing and/or delaying intermediaries responding to exiting the EU?</w:t>
      </w:r>
    </w:p>
    <w:p w14:paraId="7767F8CC" w14:textId="77777777" w:rsidR="00B27884" w:rsidRPr="00B27884" w:rsidRDefault="00B27884" w:rsidP="00B27884">
      <w:pPr>
        <w:numPr>
          <w:ilvl w:val="0"/>
          <w:numId w:val="32"/>
        </w:numPr>
        <w:spacing w:before="120" w:after="120" w:line="256" w:lineRule="auto"/>
        <w:contextualSpacing/>
        <w:rPr>
          <w:rFonts w:ascii="Arial" w:hAnsi="Arial" w:cs="Arial"/>
          <w:color w:val="000000"/>
        </w:rPr>
      </w:pPr>
      <w:r w:rsidRPr="00B27884">
        <w:rPr>
          <w:rFonts w:ascii="Arial" w:hAnsi="Arial" w:cs="Arial"/>
          <w:color w:val="000000"/>
        </w:rPr>
        <w:t xml:space="preserve">What resources/channels have intermediaries used to understand EU exit and potential impacts on them (e.g. the HMRC partner pack)? </w:t>
      </w:r>
    </w:p>
    <w:p w14:paraId="6AC09B06" w14:textId="77777777" w:rsidR="00B27884" w:rsidRPr="00B27884" w:rsidRDefault="00B27884" w:rsidP="00B27884">
      <w:pPr>
        <w:numPr>
          <w:ilvl w:val="0"/>
          <w:numId w:val="32"/>
        </w:numPr>
        <w:spacing w:before="120" w:after="120" w:line="256" w:lineRule="auto"/>
        <w:contextualSpacing/>
        <w:rPr>
          <w:rFonts w:ascii="Arial" w:hAnsi="Arial" w:cs="Arial"/>
          <w:color w:val="000000"/>
        </w:rPr>
      </w:pPr>
      <w:r w:rsidRPr="00B27884">
        <w:rPr>
          <w:rFonts w:ascii="Arial" w:hAnsi="Arial" w:cs="Arial"/>
          <w:color w:val="000000"/>
        </w:rPr>
        <w:t xml:space="preserve">To what extent the intermediaries’ sector provides automated customs activities and </w:t>
      </w:r>
      <w:r w:rsidRPr="00B27884">
        <w:rPr>
          <w:rFonts w:ascii="Arial" w:hAnsi="Arial" w:cs="Arial"/>
          <w:szCs w:val="20"/>
          <w:lang w:eastAsia="en-US"/>
        </w:rPr>
        <w:t>how far further automation could provide benefits such as increasing the customer base and/or lowering costs?</w:t>
      </w:r>
    </w:p>
    <w:p w14:paraId="7A082B30" w14:textId="77777777" w:rsidR="00B27884" w:rsidRPr="00B27884" w:rsidRDefault="00B27884" w:rsidP="00B27884">
      <w:pPr>
        <w:numPr>
          <w:ilvl w:val="0"/>
          <w:numId w:val="32"/>
        </w:numPr>
        <w:spacing w:before="120" w:after="120" w:line="256" w:lineRule="auto"/>
        <w:contextualSpacing/>
        <w:rPr>
          <w:rFonts w:ascii="Arial" w:hAnsi="Arial" w:cs="Arial"/>
          <w:color w:val="000000"/>
        </w:rPr>
      </w:pPr>
      <w:r w:rsidRPr="00B27884">
        <w:rPr>
          <w:rFonts w:ascii="Arial" w:hAnsi="Arial" w:cs="Arial"/>
          <w:color w:val="000000"/>
        </w:rPr>
        <w:t xml:space="preserve">What government assistance (easements, grants, e-learning offer) are they aware of and have they used? Has this helped? Is there appetite for further assistance of this nature? </w:t>
      </w:r>
    </w:p>
    <w:p w14:paraId="266DD3DD" w14:textId="77777777" w:rsidR="00B27884" w:rsidRPr="00B27884" w:rsidRDefault="00B27884" w:rsidP="00B27884">
      <w:pPr>
        <w:numPr>
          <w:ilvl w:val="0"/>
          <w:numId w:val="32"/>
        </w:numPr>
        <w:spacing w:before="120" w:after="120" w:line="256" w:lineRule="auto"/>
        <w:contextualSpacing/>
        <w:rPr>
          <w:rFonts w:ascii="Arial" w:hAnsi="Arial" w:cs="Arial"/>
          <w:color w:val="000000"/>
        </w:rPr>
      </w:pPr>
      <w:r w:rsidRPr="00B27884">
        <w:rPr>
          <w:rFonts w:ascii="Arial" w:hAnsi="Arial" w:cs="Arial"/>
          <w:color w:val="000000"/>
        </w:rPr>
        <w:t>Do they know/have an idea of what their ‘demand’ of customers is/will be? What increase in demand are they expecting?</w:t>
      </w:r>
    </w:p>
    <w:p w14:paraId="5E658FD6" w14:textId="77777777" w:rsidR="00B27884" w:rsidRPr="00B27884" w:rsidRDefault="00B27884" w:rsidP="00B27884">
      <w:pPr>
        <w:spacing w:before="120" w:after="120"/>
        <w:ind w:left="1068"/>
        <w:contextualSpacing/>
        <w:rPr>
          <w:rFonts w:ascii="Arial" w:hAnsi="Arial" w:cs="Arial"/>
          <w:color w:val="000000"/>
        </w:rPr>
      </w:pPr>
    </w:p>
    <w:p w14:paraId="794BFAAD"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34" w:name="_Toc532992261"/>
      <w:bookmarkStart w:id="35" w:name="Methodology_and_scope"/>
      <w:r w:rsidRPr="00B27884">
        <w:rPr>
          <w:rFonts w:ascii="Arial" w:hAnsi="Arial" w:cs="Arial"/>
          <w:b/>
          <w:sz w:val="32"/>
          <w:szCs w:val="32"/>
          <w:lang w:val="en-US" w:eastAsia="en-US"/>
        </w:rPr>
        <w:t>Methodology and scope</w:t>
      </w:r>
      <w:bookmarkEnd w:id="34"/>
      <w:bookmarkEnd w:id="35"/>
    </w:p>
    <w:p w14:paraId="72DCBB4D" w14:textId="77777777" w:rsidR="00B27884" w:rsidRPr="00B27884" w:rsidRDefault="00B27884" w:rsidP="00B27884">
      <w:pPr>
        <w:numPr>
          <w:ilvl w:val="0"/>
          <w:numId w:val="26"/>
        </w:numPr>
        <w:spacing w:after="160" w:line="256" w:lineRule="auto"/>
        <w:contextualSpacing/>
        <w:outlineLvl w:val="1"/>
        <w:rPr>
          <w:rFonts w:ascii="Arial" w:hAnsi="Arial" w:cs="Arial"/>
          <w:vanish/>
          <w:szCs w:val="20"/>
          <w:lang w:val="en-US" w:eastAsia="en-US"/>
        </w:rPr>
      </w:pPr>
    </w:p>
    <w:p w14:paraId="190A6DF0" w14:textId="77777777" w:rsidR="00B27884" w:rsidRPr="00B27884" w:rsidRDefault="00B27884" w:rsidP="00B27884">
      <w:pPr>
        <w:numPr>
          <w:ilvl w:val="0"/>
          <w:numId w:val="26"/>
        </w:numPr>
        <w:spacing w:after="160" w:line="256" w:lineRule="auto"/>
        <w:contextualSpacing/>
        <w:outlineLvl w:val="1"/>
        <w:rPr>
          <w:rFonts w:ascii="Arial" w:hAnsi="Arial" w:cs="Arial"/>
          <w:vanish/>
          <w:szCs w:val="20"/>
          <w:lang w:val="en-US" w:eastAsia="en-US"/>
        </w:rPr>
      </w:pPr>
    </w:p>
    <w:p w14:paraId="4028587E" w14:textId="77777777" w:rsidR="00B27884" w:rsidRPr="00B27884" w:rsidRDefault="00B27884" w:rsidP="00B27884">
      <w:pPr>
        <w:spacing w:after="160" w:line="256" w:lineRule="auto"/>
        <w:ind w:left="720"/>
        <w:outlineLvl w:val="2"/>
        <w:rPr>
          <w:rFonts w:ascii="Arial" w:hAnsi="Arial" w:cs="Arial"/>
          <w:szCs w:val="20"/>
          <w:lang w:eastAsia="en-US"/>
        </w:rPr>
      </w:pPr>
    </w:p>
    <w:p w14:paraId="66D7BE7A" w14:textId="77777777" w:rsidR="00B27884" w:rsidRPr="00B27884" w:rsidRDefault="00B27884" w:rsidP="00B27884">
      <w:pPr>
        <w:spacing w:after="160" w:line="256" w:lineRule="auto"/>
        <w:ind w:left="141"/>
        <w:outlineLvl w:val="1"/>
        <w:rPr>
          <w:rFonts w:ascii="Arial" w:hAnsi="Arial" w:cs="Arial"/>
          <w:b/>
          <w:szCs w:val="20"/>
          <w:lang w:eastAsia="en-US"/>
        </w:rPr>
      </w:pPr>
      <w:r w:rsidRPr="00B27884">
        <w:rPr>
          <w:rFonts w:ascii="Arial" w:hAnsi="Arial" w:cs="Arial"/>
          <w:b/>
          <w:szCs w:val="20"/>
          <w:lang w:eastAsia="en-US"/>
        </w:rPr>
        <w:t>Approach</w:t>
      </w:r>
    </w:p>
    <w:p w14:paraId="7DB32CF4"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5DD0764A"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An indicative methodology for the research is proposed below. Tenderers are welcome to suggest alternative ways of answering the research questions. The approach must be fully justified and any risks fully explained.</w:t>
      </w:r>
    </w:p>
    <w:p w14:paraId="2156D338" w14:textId="77777777" w:rsidR="00B27884" w:rsidRPr="00B27884" w:rsidRDefault="00B27884" w:rsidP="00B27884">
      <w:pPr>
        <w:numPr>
          <w:ilvl w:val="1"/>
          <w:numId w:val="0"/>
        </w:numPr>
        <w:spacing w:after="160" w:line="256" w:lineRule="auto"/>
        <w:ind w:left="846" w:hanging="705"/>
        <w:outlineLvl w:val="1"/>
        <w:rPr>
          <w:rFonts w:ascii="Arial" w:hAnsi="Arial" w:cs="Arial"/>
          <w:color w:val="000000"/>
          <w:szCs w:val="20"/>
          <w:lang w:eastAsia="en-US"/>
        </w:rPr>
      </w:pPr>
      <w:r w:rsidRPr="00B27884">
        <w:rPr>
          <w:rFonts w:ascii="Arial" w:hAnsi="Arial" w:cs="Arial"/>
          <w:color w:val="000000"/>
          <w:szCs w:val="20"/>
          <w:lang w:eastAsia="en-US"/>
        </w:rPr>
        <w:t>Both the indicative methodology and any alternative approach must be fully costed in the manner set out in paragraph 13.2.</w:t>
      </w:r>
    </w:p>
    <w:p w14:paraId="1AF1D91F"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We encourage collaborative bids where a mix of primary research and sectoral or sizing expertise would be deemed to improve the quality of the deliverables.</w:t>
      </w:r>
    </w:p>
    <w:p w14:paraId="4B234291" w14:textId="77777777" w:rsidR="00B27884" w:rsidRPr="00B27884" w:rsidRDefault="00B27884" w:rsidP="00B27884">
      <w:pPr>
        <w:spacing w:after="160" w:line="256" w:lineRule="auto"/>
        <w:ind w:left="709" w:hanging="709"/>
        <w:rPr>
          <w:rFonts w:ascii="Arial" w:hAnsi="Arial" w:cs="Arial"/>
          <w:szCs w:val="20"/>
          <w:lang w:eastAsia="en-US"/>
        </w:rPr>
      </w:pPr>
    </w:p>
    <w:p w14:paraId="22BD9962" w14:textId="77777777" w:rsidR="00B27884" w:rsidRPr="00B27884" w:rsidRDefault="00B27884" w:rsidP="00B27884">
      <w:pPr>
        <w:spacing w:after="160" w:line="256" w:lineRule="auto"/>
        <w:ind w:left="141"/>
        <w:outlineLvl w:val="1"/>
        <w:rPr>
          <w:rFonts w:ascii="Arial" w:hAnsi="Arial" w:cs="Arial"/>
          <w:b/>
          <w:szCs w:val="20"/>
          <w:lang w:eastAsia="en-US"/>
        </w:rPr>
      </w:pPr>
      <w:r w:rsidRPr="00B27884">
        <w:rPr>
          <w:rFonts w:ascii="Arial" w:hAnsi="Arial" w:cs="Arial"/>
          <w:b/>
          <w:szCs w:val="20"/>
          <w:lang w:eastAsia="en-US"/>
        </w:rPr>
        <w:lastRenderedPageBreak/>
        <w:t xml:space="preserve"> Methodology</w:t>
      </w:r>
    </w:p>
    <w:p w14:paraId="5EB1FCDF" w14:textId="77777777" w:rsidR="00B27884" w:rsidRPr="00B27884" w:rsidRDefault="00B27884" w:rsidP="00B27884">
      <w:pPr>
        <w:numPr>
          <w:ilvl w:val="0"/>
          <w:numId w:val="33"/>
        </w:numPr>
        <w:spacing w:after="160" w:line="256" w:lineRule="auto"/>
        <w:contextualSpacing/>
        <w:rPr>
          <w:rFonts w:ascii="Arial" w:hAnsi="Arial" w:cs="Arial"/>
          <w:b/>
          <w:szCs w:val="20"/>
          <w:lang w:eastAsia="en-US"/>
        </w:rPr>
      </w:pPr>
      <w:r w:rsidRPr="00B27884">
        <w:rPr>
          <w:rFonts w:ascii="Arial" w:hAnsi="Arial" w:cs="Arial"/>
          <w:b/>
          <w:szCs w:val="20"/>
          <w:lang w:eastAsia="en-US"/>
        </w:rPr>
        <w:t>Understanding the size, structure and capacity of the sector</w:t>
      </w:r>
    </w:p>
    <w:p w14:paraId="6D3EE0A8"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We require a systematic engagement with the sector to understand who they are, what they look like, how they operate etc.</w:t>
      </w:r>
    </w:p>
    <w:p w14:paraId="203D9195"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In the first instance, we expect a significant part of the work to consist of exploratory desk and primary research. We welcome ideas for this stage, but envision engagement with the sector (e.g. roundtables, meetings with the strategy teams of big companies as well as conversations with some of the sole trader intermediaries). We also envision</w:t>
      </w:r>
      <w:r w:rsidRPr="00B27884">
        <w:rPr>
          <w:rFonts w:ascii="Arial" w:hAnsi="Arial" w:cs="Arial"/>
          <w:color w:val="1F497D"/>
          <w:szCs w:val="20"/>
          <w:lang w:eastAsia="en-US"/>
        </w:rPr>
        <w:t xml:space="preserve"> </w:t>
      </w:r>
      <w:r w:rsidRPr="00B27884">
        <w:rPr>
          <w:rFonts w:ascii="Arial" w:hAnsi="Arial" w:cs="Arial"/>
          <w:szCs w:val="20"/>
          <w:lang w:eastAsia="en-US"/>
        </w:rPr>
        <w:t xml:space="preserve">possible research on the ground at ports, with trade bodies and others with relevant experience that can help to better pinpoint the sector for research and sizing purposes. </w:t>
      </w:r>
    </w:p>
    <w:p w14:paraId="7506C10A"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We would also like the research to develop a robust definition of each of the types of intermediary, based on how intermediaries define and describe themselves as well as what activities they carry out and the services they provide.</w:t>
      </w:r>
    </w:p>
    <w:p w14:paraId="1F289A84"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Based on outcomes from the exploratory work, we will also need quantitative data to accurately measure the size of the customs intermediary population, its structure, and current capacity to form a baseline for comparison. </w:t>
      </w:r>
    </w:p>
    <w:p w14:paraId="73BC736C"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We welcome suggestions on how to quantify the population, but envisage that this could require a large scale survey of a known population, for instance all businesses, or all businesses within a relevant SIC code, to measure incidence of intermediaries, and for eligible intermediaries a survey designed to gather more detailed information about their business. This would focus on the whole population, including those who trade within the UK only, the EU only, and the EU and ROW. </w:t>
      </w:r>
    </w:p>
    <w:p w14:paraId="1FA4DC4A"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To obtain sufficient detail about key groups we think we would need to achieve an overall sample of around 750-1000 interviews with intermediaries, which may require screening of a significant number of businesses overall. We may also look to boost specific subgroups within this. </w:t>
      </w:r>
    </w:p>
    <w:p w14:paraId="12A3C5A6"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Sample could be obtained from the IDBR through ONS, or via a composite frame designed for the purpose of this work.</w:t>
      </w:r>
    </w:p>
    <w:p w14:paraId="2FE21EB6"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The survey should be carried out with an individual who has overall responsibility for direction and planning of customs work. This may be the owner of the business, a director or a manager. </w:t>
      </w:r>
    </w:p>
    <w:p w14:paraId="10C108CF"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We would expect the survey to be carried out in February to fit with continuous quarterly monitoring of the population (Wave 1).</w:t>
      </w:r>
    </w:p>
    <w:p w14:paraId="587B94C3"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We also envision an analytical stage to bring together any exploratory research and fieldwork into a robust estimate of size and capacity and suggest a process for obtaining robust estimates going forward.</w:t>
      </w:r>
    </w:p>
    <w:p w14:paraId="1806D316" w14:textId="77777777" w:rsidR="00B27884" w:rsidRPr="00B27884" w:rsidRDefault="00B27884" w:rsidP="00B27884">
      <w:pPr>
        <w:spacing w:after="160" w:line="256" w:lineRule="auto"/>
        <w:ind w:left="709" w:hanging="709"/>
        <w:rPr>
          <w:rFonts w:ascii="Arial" w:hAnsi="Arial" w:cs="Arial"/>
          <w:szCs w:val="20"/>
          <w:lang w:eastAsia="en-US"/>
        </w:rPr>
      </w:pPr>
    </w:p>
    <w:p w14:paraId="58DCA917" w14:textId="77777777" w:rsidR="00B27884" w:rsidRPr="00B27884" w:rsidRDefault="00B27884" w:rsidP="00B27884">
      <w:pPr>
        <w:spacing w:after="160" w:line="256" w:lineRule="auto"/>
        <w:ind w:left="709" w:hanging="709"/>
        <w:rPr>
          <w:rFonts w:ascii="Arial" w:hAnsi="Arial" w:cs="Arial"/>
          <w:szCs w:val="20"/>
          <w:lang w:eastAsia="en-US"/>
        </w:rPr>
      </w:pPr>
    </w:p>
    <w:p w14:paraId="244FB6BE" w14:textId="77777777" w:rsidR="00B27884" w:rsidRPr="00B27884" w:rsidRDefault="00B27884" w:rsidP="00B27884">
      <w:pPr>
        <w:spacing w:after="160" w:line="256" w:lineRule="auto"/>
        <w:ind w:left="709" w:hanging="709"/>
        <w:rPr>
          <w:rFonts w:ascii="Arial" w:hAnsi="Arial" w:cs="Arial"/>
          <w:szCs w:val="20"/>
          <w:lang w:eastAsia="en-US"/>
        </w:rPr>
      </w:pPr>
    </w:p>
    <w:p w14:paraId="21225345" w14:textId="77777777" w:rsidR="00B27884" w:rsidRPr="00B27884" w:rsidRDefault="00B27884" w:rsidP="00B27884">
      <w:pPr>
        <w:numPr>
          <w:ilvl w:val="0"/>
          <w:numId w:val="33"/>
        </w:numPr>
        <w:spacing w:after="160" w:line="256" w:lineRule="auto"/>
        <w:contextualSpacing/>
        <w:rPr>
          <w:rFonts w:ascii="Arial" w:hAnsi="Arial" w:cs="Arial"/>
          <w:b/>
          <w:szCs w:val="20"/>
          <w:lang w:eastAsia="en-US"/>
        </w:rPr>
      </w:pPr>
      <w:r w:rsidRPr="00B27884">
        <w:rPr>
          <w:rFonts w:ascii="Arial" w:hAnsi="Arial" w:cs="Arial"/>
          <w:b/>
          <w:szCs w:val="20"/>
          <w:lang w:eastAsia="en-US"/>
        </w:rPr>
        <w:t>Quarterly survey to measure change</w:t>
      </w:r>
    </w:p>
    <w:p w14:paraId="3CE1330B"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Once the first stage has been delivered, we would then require two further survey waves to be delivered on a quarterly basis, likely to be in May and August (Waves 2 and 3). Please note, whilst the need for these waves is expected, HMRC will review whether to proceed with these further waves after Wave 1.</w:t>
      </w:r>
    </w:p>
    <w:p w14:paraId="266FF095"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We would expect these waves to follow the method of the February survey as closely as possible so we can accurately measure change, although we acknowledge that some refinements may need to be made. </w:t>
      </w:r>
    </w:p>
    <w:p w14:paraId="2F6D57D3"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We anticipate achieving around 500 interviews in each wave (we recommend aiming for this number).</w:t>
      </w:r>
    </w:p>
    <w:p w14:paraId="10CF0F60"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We will also need to ensure these further waves do not overburden the population. We would want to explore a longitudinal approach, at least in part (for instance, asking for permission to re-contact, and going back to some of the same businesses), as well as approaching fresh sample. </w:t>
      </w:r>
    </w:p>
    <w:p w14:paraId="728D818E" w14:textId="77777777" w:rsidR="00B27884" w:rsidRPr="00B27884" w:rsidRDefault="00B27884" w:rsidP="00B27884">
      <w:pPr>
        <w:spacing w:after="160" w:line="256" w:lineRule="auto"/>
        <w:outlineLvl w:val="1"/>
        <w:rPr>
          <w:rFonts w:ascii="Arial" w:hAnsi="Arial" w:cs="Arial"/>
          <w:b/>
          <w:szCs w:val="20"/>
          <w:lang w:eastAsia="en-US"/>
        </w:rPr>
      </w:pPr>
      <w:r w:rsidRPr="00B27884">
        <w:rPr>
          <w:rFonts w:ascii="Arial" w:hAnsi="Arial" w:cs="Arial"/>
          <w:b/>
          <w:szCs w:val="20"/>
          <w:lang w:eastAsia="en-US"/>
        </w:rPr>
        <w:t>Sample</w:t>
      </w:r>
    </w:p>
    <w:p w14:paraId="39B020D1"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does not have a sample frame for customs intermediaries. One of the objectives of the research is to source a relevant sample frame and tenderers should discuss potential sample frames and any likely costs.</w:t>
      </w:r>
    </w:p>
    <w:p w14:paraId="34E7D20F" w14:textId="77777777" w:rsidR="00B27884" w:rsidRPr="00B27884" w:rsidRDefault="00B27884" w:rsidP="00B27884">
      <w:pPr>
        <w:numPr>
          <w:ilvl w:val="1"/>
          <w:numId w:val="0"/>
        </w:numPr>
        <w:spacing w:after="160" w:line="256" w:lineRule="auto"/>
        <w:ind w:left="846" w:hanging="705"/>
        <w:outlineLvl w:val="1"/>
        <w:rPr>
          <w:rFonts w:ascii="Arial" w:hAnsi="Arial" w:cs="Arial"/>
          <w:lang w:eastAsia="en-US"/>
        </w:rPr>
      </w:pPr>
      <w:r w:rsidRPr="00B27884">
        <w:rPr>
          <w:rFonts w:ascii="Arial" w:hAnsi="Arial" w:cs="Arial"/>
          <w:lang w:eastAsia="en-US"/>
        </w:rPr>
        <w:t>It is required that the sample specifically includes the different types of customs intermediary as defined below:</w:t>
      </w:r>
    </w:p>
    <w:p w14:paraId="3C726503" w14:textId="77777777" w:rsidR="00B27884" w:rsidRPr="00B27884" w:rsidRDefault="00B27884" w:rsidP="00B27884">
      <w:pPr>
        <w:numPr>
          <w:ilvl w:val="0"/>
          <w:numId w:val="29"/>
        </w:numPr>
        <w:spacing w:after="160" w:line="256" w:lineRule="auto"/>
        <w:outlineLvl w:val="1"/>
        <w:rPr>
          <w:rFonts w:ascii="Arial" w:hAnsi="Arial" w:cs="Arial"/>
          <w:lang w:eastAsia="en-US"/>
        </w:rPr>
      </w:pPr>
      <w:r w:rsidRPr="00B27884">
        <w:rPr>
          <w:rFonts w:ascii="Arial" w:hAnsi="Arial" w:cs="Arial"/>
          <w:lang w:eastAsia="en-US"/>
        </w:rPr>
        <w:t xml:space="preserve">Customs Agents/Brokers: </w:t>
      </w:r>
      <w:r w:rsidRPr="00B27884">
        <w:rPr>
          <w:rFonts w:ascii="Arial" w:hAnsi="Arial" w:cs="Arial"/>
          <w:szCs w:val="20"/>
          <w:lang w:val="en" w:eastAsia="en-US"/>
        </w:rPr>
        <w:t>intermediaries who facilitate the clearance of goods through customs;</w:t>
      </w:r>
    </w:p>
    <w:p w14:paraId="0B99FC95" w14:textId="77777777" w:rsidR="00B27884" w:rsidRPr="00B27884" w:rsidRDefault="00B27884" w:rsidP="00B27884">
      <w:pPr>
        <w:numPr>
          <w:ilvl w:val="0"/>
          <w:numId w:val="29"/>
        </w:numPr>
        <w:spacing w:after="160" w:line="256" w:lineRule="auto"/>
        <w:outlineLvl w:val="1"/>
        <w:rPr>
          <w:rFonts w:ascii="Arial" w:hAnsi="Arial" w:cs="Arial"/>
          <w:lang w:eastAsia="en-US"/>
        </w:rPr>
      </w:pPr>
      <w:r w:rsidRPr="00B27884">
        <w:rPr>
          <w:rFonts w:ascii="Arial" w:hAnsi="Arial" w:cs="Arial"/>
          <w:lang w:eastAsia="en-US"/>
        </w:rPr>
        <w:t>Freight Forwarders: a person or company who manages the end-to-end movement of goods from a trader to their customer. This includes the completion of customs requirements;</w:t>
      </w:r>
    </w:p>
    <w:p w14:paraId="2D7BA776" w14:textId="77777777" w:rsidR="00B27884" w:rsidRPr="00B27884" w:rsidRDefault="00B27884" w:rsidP="00B27884">
      <w:pPr>
        <w:numPr>
          <w:ilvl w:val="0"/>
          <w:numId w:val="29"/>
        </w:numPr>
        <w:spacing w:after="160" w:line="256" w:lineRule="auto"/>
        <w:outlineLvl w:val="1"/>
        <w:rPr>
          <w:rFonts w:ascii="Arial" w:hAnsi="Arial" w:cs="Arial"/>
          <w:lang w:eastAsia="en-US"/>
        </w:rPr>
      </w:pPr>
      <w:r w:rsidRPr="00B27884">
        <w:rPr>
          <w:rFonts w:ascii="Arial" w:hAnsi="Arial" w:cs="Arial"/>
          <w:lang w:eastAsia="en-US"/>
        </w:rPr>
        <w:t xml:space="preserve">Express Operators/Fast Parcel Operators: transporters of goods within specific time frames. They are able to deal with customs as part of the delivery arrangements. </w:t>
      </w:r>
    </w:p>
    <w:p w14:paraId="7BD430B5"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Groups such as Express Operators/Fast Parcel Operators (and some other intermediaries) have been hard to find and recruit in previous research, so exploring better ways of finding this sample will be a key part of the exploratory research.</w:t>
      </w:r>
    </w:p>
    <w:p w14:paraId="165D7D9A"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In the past, sample has been created using two SIC codes; ‘freight transport by road’ (SIC Code 49,901) and ‘other transportation support activities’ (SIC code 52.290), with respondents screened to ask if they were a customs broker, freight forwarder and/or a haulier to determine eligibility. However, we expect the exploratory research to inform improvements to this method.</w:t>
      </w:r>
    </w:p>
    <w:p w14:paraId="1BA83B83" w14:textId="77777777" w:rsidR="00B27884" w:rsidRPr="00B27884" w:rsidRDefault="00B27884" w:rsidP="00B27884">
      <w:pPr>
        <w:spacing w:after="160" w:line="256" w:lineRule="auto"/>
        <w:rPr>
          <w:rFonts w:ascii="Arial" w:hAnsi="Arial" w:cs="Arial"/>
          <w:szCs w:val="20"/>
          <w:lang w:eastAsia="en-US"/>
        </w:rPr>
      </w:pPr>
    </w:p>
    <w:p w14:paraId="1FFFDDC5" w14:textId="77777777" w:rsidR="00B27884" w:rsidRPr="00B27884" w:rsidRDefault="00B27884" w:rsidP="00B27884">
      <w:pPr>
        <w:spacing w:after="160" w:line="256" w:lineRule="auto"/>
        <w:ind w:left="846" w:hanging="705"/>
        <w:outlineLvl w:val="1"/>
        <w:rPr>
          <w:rFonts w:ascii="Arial" w:hAnsi="Arial" w:cs="Arial"/>
          <w:b/>
          <w:szCs w:val="20"/>
          <w:lang w:eastAsia="en-US"/>
        </w:rPr>
      </w:pPr>
      <w:r w:rsidRPr="00B27884">
        <w:rPr>
          <w:rFonts w:ascii="Arial" w:hAnsi="Arial" w:cs="Arial"/>
          <w:b/>
          <w:szCs w:val="20"/>
          <w:lang w:eastAsia="en-US"/>
        </w:rPr>
        <w:t>Data processing and analysis</w:t>
      </w:r>
    </w:p>
    <w:p w14:paraId="35EB857D"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Tenderers should present their proposed approach for data capture, editing and processing, as well as a brief analysis plan. </w:t>
      </w:r>
    </w:p>
    <w:p w14:paraId="276CEBB9"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We anticipate that the successful contractor will draft and agree the research instruments and analysis plans with HMRC</w:t>
      </w:r>
    </w:p>
    <w:p w14:paraId="189BCD7C" w14:textId="77777777" w:rsidR="00B27884" w:rsidRPr="00B27884" w:rsidRDefault="00B27884" w:rsidP="00B27884">
      <w:pPr>
        <w:spacing w:after="160" w:line="256" w:lineRule="auto"/>
        <w:ind w:left="709" w:hanging="709"/>
        <w:rPr>
          <w:rFonts w:ascii="Arial" w:hAnsi="Arial" w:cs="Arial"/>
          <w:szCs w:val="20"/>
          <w:lang w:eastAsia="en-US"/>
        </w:rPr>
      </w:pPr>
    </w:p>
    <w:p w14:paraId="2C26C725" w14:textId="77777777" w:rsidR="00B27884" w:rsidRPr="00B27884" w:rsidRDefault="00B27884" w:rsidP="00B27884">
      <w:pPr>
        <w:keepNext/>
        <w:keepLines/>
        <w:numPr>
          <w:ilvl w:val="0"/>
          <w:numId w:val="27"/>
        </w:numPr>
        <w:spacing w:before="240" w:after="160" w:line="256" w:lineRule="auto"/>
        <w:outlineLvl w:val="0"/>
        <w:rPr>
          <w:rFonts w:ascii="Arial" w:hAnsi="Arial" w:cs="Arial"/>
          <w:b/>
          <w:sz w:val="32"/>
          <w:szCs w:val="32"/>
          <w:lang w:val="en-US" w:eastAsia="en-US"/>
        </w:rPr>
      </w:pPr>
      <w:bookmarkStart w:id="36" w:name="_Toc532992262"/>
      <w:bookmarkStart w:id="37" w:name="Timetable"/>
      <w:r w:rsidRPr="00B27884">
        <w:rPr>
          <w:rFonts w:ascii="Arial" w:hAnsi="Arial" w:cs="Arial"/>
          <w:b/>
          <w:sz w:val="32"/>
          <w:szCs w:val="32"/>
          <w:lang w:val="en-US" w:eastAsia="en-US"/>
        </w:rPr>
        <w:t>Timetable</w:t>
      </w:r>
      <w:bookmarkEnd w:id="36"/>
    </w:p>
    <w:bookmarkEnd w:id="37"/>
    <w:p w14:paraId="66B299A6" w14:textId="77777777" w:rsidR="00B27884" w:rsidRPr="00B27884" w:rsidRDefault="00B27884" w:rsidP="00B27884">
      <w:pPr>
        <w:spacing w:after="160" w:line="256" w:lineRule="auto"/>
        <w:outlineLvl w:val="2"/>
        <w:rPr>
          <w:rFonts w:ascii="Arial" w:hAnsi="Arial" w:cs="Arial"/>
          <w:szCs w:val="20"/>
          <w:lang w:eastAsia="en-US"/>
        </w:rPr>
      </w:pPr>
    </w:p>
    <w:p w14:paraId="6CBD72E2"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following research timetable is proposed:</w:t>
      </w:r>
    </w:p>
    <w:tbl>
      <w:tblPr>
        <w:tblStyle w:val="TableGrid1"/>
        <w:tblW w:w="0" w:type="auto"/>
        <w:tblInd w:w="0" w:type="dxa"/>
        <w:tblLook w:val="04A0" w:firstRow="1" w:lastRow="0" w:firstColumn="1" w:lastColumn="0" w:noHBand="0" w:noVBand="1"/>
      </w:tblPr>
      <w:tblGrid>
        <w:gridCol w:w="4957"/>
        <w:gridCol w:w="4059"/>
      </w:tblGrid>
      <w:tr w:rsidR="00B27884" w:rsidRPr="00B27884" w14:paraId="7867FFE9"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3AED326D" w14:textId="77777777" w:rsidR="00B27884" w:rsidRPr="00B27884" w:rsidRDefault="00B27884" w:rsidP="00B27884">
            <w:pPr>
              <w:spacing w:line="276" w:lineRule="auto"/>
              <w:jc w:val="both"/>
              <w:rPr>
                <w:rFonts w:ascii="Arial" w:hAnsi="Arial" w:cs="Arial"/>
                <w:b/>
                <w:szCs w:val="20"/>
              </w:rPr>
            </w:pPr>
            <w:r w:rsidRPr="00B27884">
              <w:rPr>
                <w:rFonts w:ascii="Arial" w:hAnsi="Arial" w:cs="Arial"/>
                <w:b/>
                <w:szCs w:val="20"/>
              </w:rPr>
              <w:t xml:space="preserve">Task </w:t>
            </w:r>
          </w:p>
        </w:tc>
        <w:tc>
          <w:tcPr>
            <w:tcW w:w="4059" w:type="dxa"/>
            <w:tcBorders>
              <w:top w:val="single" w:sz="4" w:space="0" w:color="auto"/>
              <w:left w:val="single" w:sz="4" w:space="0" w:color="auto"/>
              <w:bottom w:val="single" w:sz="4" w:space="0" w:color="auto"/>
              <w:right w:val="single" w:sz="4" w:space="0" w:color="auto"/>
            </w:tcBorders>
            <w:hideMark/>
          </w:tcPr>
          <w:p w14:paraId="38B44FD9" w14:textId="77777777" w:rsidR="00B27884" w:rsidRPr="00B27884" w:rsidRDefault="00B27884" w:rsidP="00B27884">
            <w:pPr>
              <w:spacing w:line="276" w:lineRule="auto"/>
              <w:jc w:val="both"/>
              <w:rPr>
                <w:rFonts w:ascii="Arial" w:hAnsi="Arial" w:cs="Arial"/>
                <w:b/>
                <w:szCs w:val="20"/>
              </w:rPr>
            </w:pPr>
            <w:r w:rsidRPr="00B27884">
              <w:rPr>
                <w:rFonts w:ascii="Arial" w:hAnsi="Arial" w:cs="Arial"/>
                <w:b/>
                <w:szCs w:val="20"/>
              </w:rPr>
              <w:t>Date</w:t>
            </w:r>
          </w:p>
        </w:tc>
      </w:tr>
      <w:tr w:rsidR="00B27884" w:rsidRPr="00B27884" w14:paraId="112493C7"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48D183CE"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 xml:space="preserve">Issue ITT </w:t>
            </w:r>
          </w:p>
        </w:tc>
        <w:tc>
          <w:tcPr>
            <w:tcW w:w="4059" w:type="dxa"/>
            <w:tcBorders>
              <w:top w:val="single" w:sz="4" w:space="0" w:color="auto"/>
              <w:left w:val="single" w:sz="4" w:space="0" w:color="auto"/>
              <w:bottom w:val="single" w:sz="4" w:space="0" w:color="auto"/>
              <w:right w:val="single" w:sz="4" w:space="0" w:color="auto"/>
            </w:tcBorders>
            <w:hideMark/>
          </w:tcPr>
          <w:p w14:paraId="28BA60E9"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Wednesday 16</w:t>
            </w:r>
            <w:r w:rsidRPr="00B27884">
              <w:rPr>
                <w:rFonts w:ascii="Arial" w:hAnsi="Arial" w:cs="Arial"/>
                <w:szCs w:val="20"/>
                <w:vertAlign w:val="superscript"/>
              </w:rPr>
              <w:t>th</w:t>
            </w:r>
            <w:r w:rsidRPr="00B27884">
              <w:rPr>
                <w:rFonts w:ascii="Arial" w:hAnsi="Arial" w:cs="Arial"/>
                <w:szCs w:val="20"/>
              </w:rPr>
              <w:t xml:space="preserve"> October 2019 </w:t>
            </w:r>
          </w:p>
        </w:tc>
      </w:tr>
      <w:tr w:rsidR="00B27884" w:rsidRPr="00B27884" w14:paraId="4F1F74CE"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4345F78F"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Deadline for ITT</w:t>
            </w:r>
          </w:p>
        </w:tc>
        <w:tc>
          <w:tcPr>
            <w:tcW w:w="4059" w:type="dxa"/>
            <w:tcBorders>
              <w:top w:val="single" w:sz="4" w:space="0" w:color="auto"/>
              <w:left w:val="single" w:sz="4" w:space="0" w:color="auto"/>
              <w:bottom w:val="single" w:sz="4" w:space="0" w:color="auto"/>
              <w:right w:val="single" w:sz="4" w:space="0" w:color="auto"/>
            </w:tcBorders>
            <w:hideMark/>
          </w:tcPr>
          <w:p w14:paraId="6E37009D"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12pm, Monday 4th November 2019</w:t>
            </w:r>
          </w:p>
        </w:tc>
      </w:tr>
      <w:tr w:rsidR="00B27884" w:rsidRPr="00B27884" w14:paraId="19AADFCE"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04D0E0BA"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Post-tender negotiations</w:t>
            </w:r>
          </w:p>
        </w:tc>
        <w:tc>
          <w:tcPr>
            <w:tcW w:w="4059" w:type="dxa"/>
            <w:tcBorders>
              <w:top w:val="single" w:sz="4" w:space="0" w:color="auto"/>
              <w:left w:val="single" w:sz="4" w:space="0" w:color="auto"/>
              <w:bottom w:val="single" w:sz="4" w:space="0" w:color="auto"/>
              <w:right w:val="single" w:sz="4" w:space="0" w:color="auto"/>
            </w:tcBorders>
            <w:hideMark/>
          </w:tcPr>
          <w:p w14:paraId="5C49E389"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w/c Monday 4</w:t>
            </w:r>
            <w:r w:rsidRPr="00B27884">
              <w:rPr>
                <w:rFonts w:ascii="Arial" w:hAnsi="Arial" w:cs="Arial"/>
                <w:szCs w:val="20"/>
                <w:vertAlign w:val="superscript"/>
              </w:rPr>
              <w:t>th</w:t>
            </w:r>
            <w:r w:rsidRPr="00B27884">
              <w:rPr>
                <w:rFonts w:ascii="Arial" w:hAnsi="Arial" w:cs="Arial"/>
                <w:szCs w:val="20"/>
              </w:rPr>
              <w:t xml:space="preserve"> November 2019</w:t>
            </w:r>
          </w:p>
        </w:tc>
      </w:tr>
      <w:tr w:rsidR="00B27884" w:rsidRPr="00B27884" w14:paraId="64EF6A1C"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4B589DEE"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Contract awarded and project set-up meeting</w:t>
            </w:r>
          </w:p>
        </w:tc>
        <w:tc>
          <w:tcPr>
            <w:tcW w:w="4059" w:type="dxa"/>
            <w:tcBorders>
              <w:top w:val="single" w:sz="4" w:space="0" w:color="auto"/>
              <w:left w:val="single" w:sz="4" w:space="0" w:color="auto"/>
              <w:bottom w:val="single" w:sz="4" w:space="0" w:color="auto"/>
              <w:right w:val="single" w:sz="4" w:space="0" w:color="auto"/>
            </w:tcBorders>
            <w:hideMark/>
          </w:tcPr>
          <w:p w14:paraId="21AF80DD"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w/c Monday 11</w:t>
            </w:r>
            <w:r w:rsidRPr="00B27884">
              <w:rPr>
                <w:rFonts w:ascii="Arial" w:hAnsi="Arial" w:cs="Arial"/>
                <w:szCs w:val="20"/>
                <w:vertAlign w:val="superscript"/>
              </w:rPr>
              <w:t>th</w:t>
            </w:r>
            <w:r w:rsidRPr="00B27884">
              <w:rPr>
                <w:rFonts w:ascii="Arial" w:hAnsi="Arial" w:cs="Arial"/>
                <w:szCs w:val="20"/>
              </w:rPr>
              <w:t xml:space="preserve"> November 2019</w:t>
            </w:r>
          </w:p>
        </w:tc>
      </w:tr>
      <w:tr w:rsidR="00B27884" w:rsidRPr="00B27884" w14:paraId="7E54FE4E"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4FC6AD7B"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Exploratory primary research</w:t>
            </w:r>
          </w:p>
        </w:tc>
        <w:tc>
          <w:tcPr>
            <w:tcW w:w="4059" w:type="dxa"/>
            <w:tcBorders>
              <w:top w:val="single" w:sz="4" w:space="0" w:color="auto"/>
              <w:left w:val="single" w:sz="4" w:space="0" w:color="auto"/>
              <w:bottom w:val="single" w:sz="4" w:space="0" w:color="auto"/>
              <w:right w:val="single" w:sz="4" w:space="0" w:color="auto"/>
            </w:tcBorders>
            <w:hideMark/>
          </w:tcPr>
          <w:p w14:paraId="13FA2473"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To feed into survey</w:t>
            </w:r>
          </w:p>
        </w:tc>
      </w:tr>
      <w:tr w:rsidR="00B27884" w:rsidRPr="00B27884" w14:paraId="1947667D"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1DACEED3"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Sizing survey (Wave 1)</w:t>
            </w:r>
          </w:p>
        </w:tc>
        <w:tc>
          <w:tcPr>
            <w:tcW w:w="4059" w:type="dxa"/>
            <w:tcBorders>
              <w:top w:val="single" w:sz="4" w:space="0" w:color="auto"/>
              <w:left w:val="single" w:sz="4" w:space="0" w:color="auto"/>
              <w:bottom w:val="single" w:sz="4" w:space="0" w:color="auto"/>
              <w:right w:val="single" w:sz="4" w:space="0" w:color="auto"/>
            </w:tcBorders>
            <w:hideMark/>
          </w:tcPr>
          <w:p w14:paraId="0E52CB21"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Feb 2020</w:t>
            </w:r>
          </w:p>
        </w:tc>
      </w:tr>
      <w:tr w:rsidR="00B27884" w:rsidRPr="00B27884" w14:paraId="56309F66"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63339769"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 xml:space="preserve">Analysis </w:t>
            </w:r>
          </w:p>
        </w:tc>
        <w:tc>
          <w:tcPr>
            <w:tcW w:w="4059" w:type="dxa"/>
            <w:tcBorders>
              <w:top w:val="single" w:sz="4" w:space="0" w:color="auto"/>
              <w:left w:val="single" w:sz="4" w:space="0" w:color="auto"/>
              <w:bottom w:val="single" w:sz="4" w:space="0" w:color="auto"/>
              <w:right w:val="single" w:sz="4" w:space="0" w:color="auto"/>
            </w:tcBorders>
            <w:hideMark/>
          </w:tcPr>
          <w:p w14:paraId="4D44745B"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End Feb/Early March 2020</w:t>
            </w:r>
          </w:p>
        </w:tc>
      </w:tr>
      <w:tr w:rsidR="00B27884" w:rsidRPr="00B27884" w14:paraId="266FCC0A"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225FEBD1"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Final presentation of findings</w:t>
            </w:r>
          </w:p>
        </w:tc>
        <w:tc>
          <w:tcPr>
            <w:tcW w:w="4059" w:type="dxa"/>
            <w:tcBorders>
              <w:top w:val="single" w:sz="4" w:space="0" w:color="auto"/>
              <w:left w:val="single" w:sz="4" w:space="0" w:color="auto"/>
              <w:bottom w:val="single" w:sz="4" w:space="0" w:color="auto"/>
              <w:right w:val="single" w:sz="4" w:space="0" w:color="auto"/>
            </w:tcBorders>
            <w:hideMark/>
          </w:tcPr>
          <w:p w14:paraId="54E669A5"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March 2020</w:t>
            </w:r>
          </w:p>
        </w:tc>
      </w:tr>
      <w:tr w:rsidR="00B27884" w:rsidRPr="00B27884" w14:paraId="5B2C9B9E"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29F36118"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Reporting</w:t>
            </w:r>
          </w:p>
        </w:tc>
        <w:tc>
          <w:tcPr>
            <w:tcW w:w="4059" w:type="dxa"/>
            <w:tcBorders>
              <w:top w:val="single" w:sz="4" w:space="0" w:color="auto"/>
              <w:left w:val="single" w:sz="4" w:space="0" w:color="auto"/>
              <w:bottom w:val="single" w:sz="4" w:space="0" w:color="auto"/>
              <w:right w:val="single" w:sz="4" w:space="0" w:color="auto"/>
            </w:tcBorders>
            <w:hideMark/>
          </w:tcPr>
          <w:p w14:paraId="78E097CD"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April 2020</w:t>
            </w:r>
          </w:p>
        </w:tc>
      </w:tr>
      <w:tr w:rsidR="00B27884" w:rsidRPr="00B27884" w14:paraId="10E1E55E" w14:textId="77777777" w:rsidTr="00B27884">
        <w:tc>
          <w:tcPr>
            <w:tcW w:w="4957" w:type="dxa"/>
            <w:tcBorders>
              <w:top w:val="single" w:sz="4" w:space="0" w:color="auto"/>
              <w:left w:val="single" w:sz="4" w:space="0" w:color="auto"/>
              <w:bottom w:val="single" w:sz="4" w:space="0" w:color="auto"/>
              <w:right w:val="single" w:sz="4" w:space="0" w:color="auto"/>
            </w:tcBorders>
            <w:hideMark/>
          </w:tcPr>
          <w:p w14:paraId="595AD7E2" w14:textId="77777777" w:rsidR="00B27884" w:rsidRPr="00B27884" w:rsidRDefault="00B27884" w:rsidP="00B27884">
            <w:pPr>
              <w:spacing w:line="276" w:lineRule="auto"/>
              <w:jc w:val="both"/>
              <w:rPr>
                <w:rFonts w:ascii="Arial" w:hAnsi="Arial" w:cs="Arial"/>
                <w:szCs w:val="20"/>
              </w:rPr>
            </w:pPr>
            <w:r w:rsidRPr="00B27884">
              <w:rPr>
                <w:rFonts w:ascii="Arial" w:hAnsi="Arial" w:cs="Arial"/>
                <w:szCs w:val="20"/>
              </w:rPr>
              <w:t>Further waves (if required after review)</w:t>
            </w:r>
          </w:p>
        </w:tc>
        <w:tc>
          <w:tcPr>
            <w:tcW w:w="4059" w:type="dxa"/>
            <w:tcBorders>
              <w:top w:val="single" w:sz="4" w:space="0" w:color="auto"/>
              <w:left w:val="single" w:sz="4" w:space="0" w:color="auto"/>
              <w:bottom w:val="single" w:sz="4" w:space="0" w:color="auto"/>
              <w:right w:val="single" w:sz="4" w:space="0" w:color="auto"/>
            </w:tcBorders>
            <w:hideMark/>
          </w:tcPr>
          <w:p w14:paraId="0D18F0FE" w14:textId="77777777" w:rsidR="00B27884" w:rsidRPr="00B27884" w:rsidRDefault="00B27884" w:rsidP="00B27884">
            <w:pPr>
              <w:spacing w:line="276" w:lineRule="auto"/>
              <w:rPr>
                <w:rFonts w:ascii="Arial" w:hAnsi="Arial" w:cs="Arial"/>
                <w:szCs w:val="20"/>
              </w:rPr>
            </w:pPr>
            <w:r w:rsidRPr="00B27884">
              <w:rPr>
                <w:rFonts w:ascii="Arial" w:hAnsi="Arial" w:cs="Arial"/>
                <w:szCs w:val="20"/>
              </w:rPr>
              <w:t>May and August 2020 (timings to be confirmed)</w:t>
            </w:r>
          </w:p>
        </w:tc>
      </w:tr>
    </w:tbl>
    <w:p w14:paraId="4528F741" w14:textId="77777777" w:rsidR="00B27884" w:rsidRPr="00B27884" w:rsidRDefault="00B27884" w:rsidP="00B27884">
      <w:pPr>
        <w:spacing w:after="160" w:line="256" w:lineRule="auto"/>
        <w:rPr>
          <w:rFonts w:ascii="Arial" w:hAnsi="Arial" w:cs="Arial"/>
          <w:szCs w:val="20"/>
          <w:lang w:eastAsia="en-US"/>
        </w:rPr>
      </w:pPr>
    </w:p>
    <w:p w14:paraId="4FA2439E"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will require a contractor to work at pace throughout the research project. As such, we expect tenderers to provide a realistic work programme that will enable them to meet this requirement.</w:t>
      </w:r>
    </w:p>
    <w:p w14:paraId="1F08D76C"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work programme should include the highlighting of any potential pressure points, with details of how they will be managed. We expect contractors to be flexible in their approach to any unavoidable constraints (e.g. due to a Purdah preceding any snap General Election) and respond to changes as they arise.</w:t>
      </w:r>
    </w:p>
    <w:p w14:paraId="313D079A" w14:textId="77777777" w:rsidR="00B27884" w:rsidRPr="00B27884" w:rsidRDefault="00B27884" w:rsidP="00B27884">
      <w:pPr>
        <w:keepNext/>
        <w:keepLines/>
        <w:numPr>
          <w:ilvl w:val="0"/>
          <w:numId w:val="34"/>
        </w:numPr>
        <w:spacing w:before="240" w:after="160" w:line="256" w:lineRule="auto"/>
        <w:outlineLvl w:val="0"/>
        <w:rPr>
          <w:rFonts w:ascii="Arial" w:hAnsi="Arial" w:cs="Arial"/>
          <w:b/>
          <w:sz w:val="32"/>
          <w:szCs w:val="32"/>
          <w:lang w:val="en-US" w:eastAsia="en-US"/>
        </w:rPr>
      </w:pPr>
      <w:bookmarkStart w:id="38" w:name="_Toc532992263"/>
      <w:bookmarkStart w:id="39" w:name="Length_of_contract"/>
      <w:r w:rsidRPr="00B27884">
        <w:rPr>
          <w:rFonts w:ascii="Arial" w:hAnsi="Arial" w:cs="Arial"/>
          <w:b/>
          <w:sz w:val="32"/>
          <w:szCs w:val="32"/>
          <w:lang w:val="en-US" w:eastAsia="en-US"/>
        </w:rPr>
        <w:t>Length of contract</w:t>
      </w:r>
      <w:bookmarkEnd w:id="38"/>
      <w:bookmarkEnd w:id="39"/>
    </w:p>
    <w:p w14:paraId="0D596FB9" w14:textId="77777777" w:rsidR="00B27884" w:rsidRPr="00B27884" w:rsidRDefault="00B27884" w:rsidP="00B27884">
      <w:pPr>
        <w:spacing w:after="160" w:line="256" w:lineRule="auto"/>
        <w:ind w:left="846"/>
        <w:outlineLvl w:val="1"/>
        <w:rPr>
          <w:rFonts w:ascii="Arial" w:hAnsi="Arial" w:cs="Arial"/>
          <w:szCs w:val="20"/>
          <w:lang w:eastAsia="en-US"/>
        </w:rPr>
      </w:pPr>
    </w:p>
    <w:p w14:paraId="3B1FB857"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4AEFBAEB"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The first survey should be completed by the end of April 2020. </w:t>
      </w:r>
    </w:p>
    <w:p w14:paraId="69E2B6FD"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will review the need for the second and third waves before proceeding and a break clause will be placed in any contract to this effect.</w:t>
      </w:r>
    </w:p>
    <w:p w14:paraId="3992FE26"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lastRenderedPageBreak/>
        <w:t>All stages of the contract must be completed by end October 2020. Tenderers should state if they can meet these deadlines.</w:t>
      </w:r>
      <w:r w:rsidRPr="00B27884">
        <w:rPr>
          <w:rFonts w:ascii="Arial" w:hAnsi="Arial" w:cs="Arial"/>
          <w:szCs w:val="20"/>
          <w:lang w:eastAsia="en-US"/>
        </w:rPr>
        <w:tab/>
      </w:r>
    </w:p>
    <w:p w14:paraId="572CC368"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40" w:name="_Toc532992264"/>
      <w:bookmarkStart w:id="41" w:name="Outputs"/>
      <w:r w:rsidRPr="00B27884">
        <w:rPr>
          <w:rFonts w:ascii="Arial" w:hAnsi="Arial" w:cs="Arial"/>
          <w:b/>
          <w:sz w:val="32"/>
          <w:szCs w:val="32"/>
          <w:lang w:val="en-US" w:eastAsia="en-US"/>
        </w:rPr>
        <w:t>Outputs</w:t>
      </w:r>
      <w:bookmarkEnd w:id="40"/>
      <w:r w:rsidRPr="00B27884">
        <w:rPr>
          <w:rFonts w:ascii="Arial" w:hAnsi="Arial" w:cs="Arial"/>
          <w:b/>
          <w:sz w:val="32"/>
          <w:szCs w:val="32"/>
          <w:lang w:val="en-US" w:eastAsia="en-US"/>
        </w:rPr>
        <w:t xml:space="preserve"> </w:t>
      </w:r>
    </w:p>
    <w:bookmarkEnd w:id="41"/>
    <w:p w14:paraId="6B51512F" w14:textId="77777777" w:rsidR="00B27884" w:rsidRPr="00B27884" w:rsidRDefault="00B27884" w:rsidP="00B27884">
      <w:pPr>
        <w:tabs>
          <w:tab w:val="left" w:pos="3884"/>
        </w:tabs>
        <w:spacing w:after="160" w:line="256" w:lineRule="auto"/>
        <w:ind w:left="720"/>
        <w:contextualSpacing/>
        <w:rPr>
          <w:rFonts w:ascii="Arial" w:hAnsi="Arial" w:cs="Arial"/>
          <w:b/>
          <w:szCs w:val="20"/>
          <w:lang w:eastAsia="en-US"/>
        </w:rPr>
      </w:pPr>
      <w:r w:rsidRPr="00B27884">
        <w:rPr>
          <w:rFonts w:ascii="Arial" w:hAnsi="Arial" w:cs="Arial"/>
          <w:b/>
          <w:szCs w:val="20"/>
          <w:lang w:eastAsia="en-US"/>
        </w:rPr>
        <w:tab/>
      </w:r>
    </w:p>
    <w:p w14:paraId="29A46133"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2231B560"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will require the following outputs for this project. Payment milestones are likely to be linked to delivery of a number of outputs, the details of which will be agreed between the parties during post-tender negotiations:</w:t>
      </w:r>
    </w:p>
    <w:p w14:paraId="6807E12A" w14:textId="77777777" w:rsidR="00B27884" w:rsidRPr="00B27884" w:rsidRDefault="00B27884" w:rsidP="00B27884">
      <w:pPr>
        <w:numPr>
          <w:ilvl w:val="0"/>
          <w:numId w:val="35"/>
        </w:numPr>
        <w:spacing w:after="160" w:line="256" w:lineRule="auto"/>
        <w:outlineLvl w:val="2"/>
        <w:rPr>
          <w:rFonts w:ascii="Arial" w:hAnsi="Arial" w:cs="Arial"/>
          <w:szCs w:val="20"/>
          <w:lang w:eastAsia="en-US"/>
        </w:rPr>
      </w:pPr>
      <w:r w:rsidRPr="00B27884">
        <w:rPr>
          <w:rFonts w:ascii="Arial" w:hAnsi="Arial" w:cs="Arial"/>
          <w:szCs w:val="20"/>
          <w:lang w:eastAsia="en-US"/>
        </w:rPr>
        <w:t>A detailed project plan outlining key dates and milestones, clearly indicating any actions for HMRC;</w:t>
      </w:r>
    </w:p>
    <w:p w14:paraId="1155F86E"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An initial set up meeting to finalise the scope of the project and the planned approach;</w:t>
      </w:r>
    </w:p>
    <w:p w14:paraId="2A284437"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 xml:space="preserve">An agreed approach for sampling and survey design;  </w:t>
      </w:r>
    </w:p>
    <w:p w14:paraId="65CDCAEB"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 xml:space="preserve">Agreed versions of any qualitative research materials; </w:t>
      </w:r>
    </w:p>
    <w:p w14:paraId="22EE8A84"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Weekly progress reports;</w:t>
      </w:r>
      <w:r w:rsidRPr="00B27884">
        <w:rPr>
          <w:rFonts w:ascii="Arial" w:hAnsi="Arial" w:cs="Arial"/>
          <w:szCs w:val="20"/>
          <w:lang w:eastAsia="en-US"/>
        </w:rPr>
        <w:tab/>
      </w:r>
    </w:p>
    <w:p w14:paraId="3444A812"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Approximately 750 to 1000 survey responses, including a pilot for the first wave; two further waves of 500 survey responses;</w:t>
      </w:r>
    </w:p>
    <w:p w14:paraId="48F08445"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An analysis plan agreed with HMRC;</w:t>
      </w:r>
    </w:p>
    <w:p w14:paraId="4E0F1AB7"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Interim findings summarising exploratory research and plans for survey design.</w:t>
      </w:r>
    </w:p>
    <w:p w14:paraId="3480BB8B"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A final presentation agreed with HMRC for each wave, including a slide-pack summarising key findings.</w:t>
      </w:r>
    </w:p>
    <w:p w14:paraId="49A78DE6"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A summary infographic for each wave, agreed with HMRC.</w:t>
      </w:r>
    </w:p>
    <w:p w14:paraId="3BFB988E"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 xml:space="preserve">A report suitable for publication and in a final form agreed with HMRC.  </w:t>
      </w:r>
    </w:p>
    <w:p w14:paraId="3E185DEC"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tenderer should assume that fieldwork materials and reports will need to be amended in the light of comments made by the department and that at least two drafts will be required before agreeing a final report.</w:t>
      </w:r>
    </w:p>
    <w:p w14:paraId="47D7F483"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All summaries, reports, data, and presentations should be provided in an electronic format, compatible with Microsoft Office applications. All presentations and reports should be concisely written in plain English. They should be of a high standard suitable for online publication. HMRC expects all drafts to be complete, to have been proof-read before delivery, and for data in the drafts to have been quality assured. HMRC may arrange for any final reports produced to be peer-reviewed, either in-house or externally. </w:t>
      </w:r>
    </w:p>
    <w:p w14:paraId="42CC0DE5"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Tenderers should be mindful that any reports to be published on Gov.uk must meet new accessibility requirements for public sector bodies. More information can be found here: </w:t>
      </w:r>
      <w:hyperlink r:id="rId32" w:anchor="accessibility-standards" w:history="1">
        <w:r w:rsidRPr="00B27884">
          <w:rPr>
            <w:rFonts w:ascii="Arial" w:hAnsi="Arial" w:cs="Arial"/>
            <w:color w:val="0563C1"/>
            <w:szCs w:val="20"/>
            <w:u w:val="single"/>
            <w:lang w:eastAsia="en-US"/>
          </w:rPr>
          <w:t>https://www.gov.uk/guidance/accessibility-requirements-for-public-sector-websites-and-apps#accessibility-standards</w:t>
        </w:r>
      </w:hyperlink>
    </w:p>
    <w:p w14:paraId="293DEEE6" w14:textId="77777777" w:rsidR="00B27884" w:rsidRPr="00B27884" w:rsidRDefault="00B27884" w:rsidP="00B27884">
      <w:pPr>
        <w:spacing w:after="160" w:line="256" w:lineRule="auto"/>
        <w:ind w:left="989"/>
        <w:contextualSpacing/>
        <w:rPr>
          <w:rFonts w:ascii="Arial" w:hAnsi="Arial" w:cs="Arial"/>
          <w:szCs w:val="20"/>
          <w:lang w:eastAsia="en-US"/>
        </w:rPr>
      </w:pPr>
    </w:p>
    <w:p w14:paraId="4802A5D3"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42" w:name="_Toc532992265"/>
      <w:bookmarkStart w:id="43" w:name="Project_management_and_contract_administ"/>
      <w:r w:rsidRPr="00B27884">
        <w:rPr>
          <w:rFonts w:ascii="Arial" w:hAnsi="Arial" w:cs="Arial"/>
          <w:b/>
          <w:sz w:val="32"/>
          <w:szCs w:val="32"/>
          <w:lang w:val="en-US" w:eastAsia="en-US"/>
        </w:rPr>
        <w:lastRenderedPageBreak/>
        <w:t>Project management and contract administration</w:t>
      </w:r>
      <w:bookmarkEnd w:id="42"/>
      <w:bookmarkEnd w:id="43"/>
    </w:p>
    <w:p w14:paraId="28A0794E" w14:textId="77777777" w:rsidR="00B27884" w:rsidRPr="00B27884" w:rsidRDefault="00B27884" w:rsidP="00B27884">
      <w:pPr>
        <w:spacing w:after="160" w:line="256" w:lineRule="auto"/>
        <w:ind w:left="720"/>
        <w:contextualSpacing/>
        <w:rPr>
          <w:rFonts w:ascii="Arial" w:hAnsi="Arial" w:cs="Arial"/>
          <w:b/>
          <w:szCs w:val="20"/>
          <w:lang w:eastAsia="en-US"/>
        </w:rPr>
      </w:pPr>
    </w:p>
    <w:p w14:paraId="2F5A5D29"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38B4ADBC"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Megan White is the HMRC Manager for this project. She will be responsible for the day to day management of the contract. Once the contract has been awarded, all contact with HMRC concerning the project should be made through her. The research organisation will be required to appoint a contract manager who will act as the principal point of contact for the Department.</w:t>
      </w:r>
    </w:p>
    <w:p w14:paraId="0679D5D9"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The research organisation will be expected to work closely with the HMRC project manager and, through her, with internal customers within HMRC throughout the duration of the contract. She must be kept informed of progress and be involved in key decisions. Proposed changes in project staffing (at all levels) or deviations from the agreed work programme must be discussed and agreed with the project manager in advance. </w:t>
      </w:r>
    </w:p>
    <w:p w14:paraId="0B0DA36D"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In costing your tender, you should allow for attendance at a minimum of three face-to-face meetings. The majority of meetings are expected to take place at HMRC offices in London, although some may take place at the research organisation’s premises by arrangement. These will include the following:</w:t>
      </w:r>
    </w:p>
    <w:p w14:paraId="25434BEA" w14:textId="77777777" w:rsidR="00B27884" w:rsidRPr="00B27884" w:rsidRDefault="00B27884" w:rsidP="00B27884">
      <w:pPr>
        <w:numPr>
          <w:ilvl w:val="0"/>
          <w:numId w:val="36"/>
        </w:numPr>
        <w:spacing w:after="160" w:line="256" w:lineRule="auto"/>
        <w:outlineLvl w:val="2"/>
        <w:rPr>
          <w:rFonts w:ascii="Arial" w:hAnsi="Arial" w:cs="Arial"/>
          <w:szCs w:val="20"/>
          <w:lang w:eastAsia="en-US"/>
        </w:rPr>
      </w:pPr>
      <w:r w:rsidRPr="00B27884">
        <w:rPr>
          <w:rFonts w:ascii="Arial" w:hAnsi="Arial" w:cs="Arial"/>
          <w:szCs w:val="20"/>
          <w:lang w:eastAsia="en-US"/>
        </w:rPr>
        <w:t>Project set-up meeting;</w:t>
      </w:r>
    </w:p>
    <w:p w14:paraId="21C41625"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Interim presentation of emerging findings;</w:t>
      </w:r>
    </w:p>
    <w:p w14:paraId="7A923D83"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Final presentation of key research findings.</w:t>
      </w:r>
    </w:p>
    <w:p w14:paraId="574ED402" w14:textId="77777777" w:rsidR="00B27884" w:rsidRPr="00B27884" w:rsidRDefault="00B27884" w:rsidP="00B27884">
      <w:pPr>
        <w:spacing w:after="160" w:line="256" w:lineRule="auto"/>
        <w:ind w:left="1418"/>
        <w:contextualSpacing/>
        <w:rPr>
          <w:rFonts w:ascii="Arial" w:hAnsi="Arial" w:cs="Arial"/>
          <w:szCs w:val="20"/>
          <w:lang w:eastAsia="en-US"/>
        </w:rPr>
      </w:pPr>
    </w:p>
    <w:p w14:paraId="06282FAA"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44" w:name="_Toc532992266"/>
      <w:bookmarkStart w:id="45" w:name="Quality_and_risk_management"/>
      <w:r w:rsidRPr="00B27884">
        <w:rPr>
          <w:rFonts w:ascii="Arial" w:hAnsi="Arial" w:cs="Arial"/>
          <w:b/>
          <w:sz w:val="32"/>
          <w:szCs w:val="32"/>
          <w:lang w:val="en-US" w:eastAsia="en-US"/>
        </w:rPr>
        <w:t>Quality and risk management</w:t>
      </w:r>
      <w:bookmarkEnd w:id="44"/>
      <w:bookmarkEnd w:id="45"/>
    </w:p>
    <w:p w14:paraId="4EB9458E" w14:textId="77777777" w:rsidR="00B27884" w:rsidRPr="00B27884" w:rsidRDefault="00B27884" w:rsidP="00B27884">
      <w:pPr>
        <w:spacing w:after="160" w:line="256" w:lineRule="auto"/>
        <w:ind w:left="720"/>
        <w:contextualSpacing/>
        <w:rPr>
          <w:rFonts w:ascii="Arial" w:hAnsi="Arial" w:cs="Arial"/>
          <w:b/>
          <w:szCs w:val="20"/>
          <w:lang w:eastAsia="en-US"/>
        </w:rPr>
      </w:pPr>
    </w:p>
    <w:p w14:paraId="34AE264A"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17FFA639"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45989B2B"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Tenderers must include a project plan and time schedule for the work that identifies the main tasks and key milestones that will be used to monitor progress, indicating clearly where HMRC is expected to contribute. </w:t>
      </w:r>
    </w:p>
    <w:p w14:paraId="0A859EE2"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Tenderers should include a quality control plan with their proposal, which should demonstrate their internal procedures to assure quality control. In particular, this should include strategies for achieving a high response rate, monitoring of interviewer performance, securing reliable data from respondents, ensuring high standards in data analysis, and ensuring final outputs meet HMRC’s needs. </w:t>
      </w:r>
    </w:p>
    <w:p w14:paraId="432D0AE9"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Proposals should also include an assessment of the key risks to this project. This should identify the most significant risks to successful completion of the programme of work, assess the degree of risk (likelihood and impact), and set out strategies for minimising these risks and managing the consequences if problems occur. A quality plan template is at Annex C.</w:t>
      </w:r>
    </w:p>
    <w:p w14:paraId="32085913" w14:textId="77777777" w:rsidR="00B27884" w:rsidRPr="00B27884" w:rsidRDefault="00B27884" w:rsidP="00B27884">
      <w:pPr>
        <w:spacing w:after="160" w:line="256" w:lineRule="auto"/>
        <w:ind w:left="709" w:hanging="709"/>
        <w:rPr>
          <w:rFonts w:ascii="Arial" w:hAnsi="Arial" w:cs="Arial"/>
          <w:szCs w:val="20"/>
          <w:lang w:eastAsia="en-US"/>
        </w:rPr>
      </w:pPr>
    </w:p>
    <w:p w14:paraId="054DEBDF" w14:textId="77777777" w:rsidR="00B27884" w:rsidRPr="00B27884" w:rsidRDefault="00B27884" w:rsidP="00B27884">
      <w:pPr>
        <w:spacing w:after="160" w:line="256" w:lineRule="auto"/>
        <w:outlineLvl w:val="1"/>
        <w:rPr>
          <w:rFonts w:ascii="Arial" w:hAnsi="Arial" w:cs="Arial"/>
          <w:szCs w:val="20"/>
          <w:lang w:eastAsia="en-US"/>
        </w:rPr>
      </w:pPr>
      <w:r w:rsidRPr="00B27884">
        <w:rPr>
          <w:rFonts w:ascii="Arial" w:hAnsi="Arial" w:cs="Arial"/>
          <w:b/>
          <w:szCs w:val="20"/>
          <w:lang w:eastAsia="en-US"/>
        </w:rPr>
        <w:t>Sensitivity</w:t>
      </w:r>
    </w:p>
    <w:p w14:paraId="195E85CF"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lastRenderedPageBreak/>
        <w:t>There are some sensitivities around this research. The successful tenderer will need to work closely with HMRC to ensure that appropriate language, wording and communication are used throughout.</w:t>
      </w:r>
    </w:p>
    <w:p w14:paraId="5A4007BA" w14:textId="77777777" w:rsidR="00B27884" w:rsidRPr="00B27884" w:rsidRDefault="00B27884" w:rsidP="00B27884">
      <w:pPr>
        <w:spacing w:after="160" w:line="256" w:lineRule="auto"/>
        <w:ind w:left="709" w:hanging="709"/>
        <w:rPr>
          <w:rFonts w:ascii="Arial" w:hAnsi="Arial" w:cs="Arial"/>
          <w:szCs w:val="20"/>
          <w:lang w:eastAsia="en-US"/>
        </w:rPr>
      </w:pPr>
    </w:p>
    <w:p w14:paraId="657546E1"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46" w:name="_Toc532992267"/>
      <w:bookmarkStart w:id="47" w:name="Expertise_and_capability"/>
      <w:r w:rsidRPr="00B27884">
        <w:rPr>
          <w:rFonts w:ascii="Arial" w:hAnsi="Arial" w:cs="Arial"/>
          <w:b/>
          <w:sz w:val="32"/>
          <w:szCs w:val="32"/>
          <w:lang w:val="en-US" w:eastAsia="en-US"/>
        </w:rPr>
        <w:t>Expertise and capability</w:t>
      </w:r>
      <w:bookmarkEnd w:id="46"/>
      <w:bookmarkEnd w:id="47"/>
    </w:p>
    <w:p w14:paraId="5F2D1D8C" w14:textId="77777777" w:rsidR="00B27884" w:rsidRPr="00B27884" w:rsidRDefault="00B27884" w:rsidP="00B27884">
      <w:pPr>
        <w:spacing w:after="160" w:line="256" w:lineRule="auto"/>
        <w:outlineLvl w:val="2"/>
        <w:rPr>
          <w:rFonts w:ascii="Arial" w:hAnsi="Arial" w:cs="Arial"/>
          <w:szCs w:val="20"/>
          <w:lang w:eastAsia="en-US"/>
        </w:rPr>
      </w:pPr>
    </w:p>
    <w:p w14:paraId="60D36EB5"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2A4AF058"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HMRC acknowledges that considerable resources are required for the successful delivery of this project to time. It is possible that agencies invited to tender have the skills and ability within their organisation to undertake all or part of this research but do not have sufficient resources required to successfully deliver the whole research requirement. We therefore encourage agencies to collaborate with other suppliers to ensure that they are fully capable of undertaking this work.  </w:t>
      </w:r>
    </w:p>
    <w:p w14:paraId="17F32A9A"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is looking for tenderers who can demonstrate that their proposed team incorporates those with experience of:</w:t>
      </w:r>
    </w:p>
    <w:p w14:paraId="66B6061F" w14:textId="77777777" w:rsidR="00B27884" w:rsidRPr="00B27884" w:rsidRDefault="00B27884" w:rsidP="00B27884">
      <w:pPr>
        <w:numPr>
          <w:ilvl w:val="0"/>
          <w:numId w:val="37"/>
        </w:numPr>
        <w:spacing w:after="160" w:line="256" w:lineRule="auto"/>
        <w:outlineLvl w:val="2"/>
        <w:rPr>
          <w:rFonts w:ascii="Arial" w:hAnsi="Arial" w:cs="Arial"/>
          <w:szCs w:val="20"/>
          <w:lang w:eastAsia="en-US"/>
        </w:rPr>
      </w:pPr>
      <w:r w:rsidRPr="00B27884">
        <w:rPr>
          <w:rFonts w:ascii="Arial" w:hAnsi="Arial" w:cs="Arial"/>
          <w:szCs w:val="20"/>
          <w:lang w:eastAsia="en-US"/>
        </w:rPr>
        <w:t>Delivering high-quality research with the customs intermediary sector about sensitive information;</w:t>
      </w:r>
    </w:p>
    <w:p w14:paraId="7015CB98"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 xml:space="preserve">Designing and undertaking exploratory research/feasibility studies; </w:t>
      </w:r>
    </w:p>
    <w:p w14:paraId="0F307B7C"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Delivering complex research projects with hard to reach groups to time, specification and budget.</w:t>
      </w:r>
    </w:p>
    <w:p w14:paraId="51FE01DD"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Proposals should summarise the skills and expertise that particular members of staff bring to the team and clearly identify the project manager, with CVs included as an annex. </w:t>
      </w:r>
    </w:p>
    <w:p w14:paraId="189A4F82"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proposal should specify details of which parts (if any) of the project will be sub-contracted, the name of the sub-contractor who will work on the project, their experience of related research, and their responsibilities within the project. If it is proposed to sub-contract any of the work, the same details as those provided by the tenderer should be given about the qualifications, experience and responsibilities of staff involved along with a description of their respective roles and the management arrangements put in place. Ultimately, the successful contractor will be held to account for the performance of any sub-contractor and needs to demonstrate their confidence to successfully manage sub-contractors. This should also be considered for any joint submissions, as the second contractor will be treated as a sub-contractor.</w:t>
      </w:r>
    </w:p>
    <w:p w14:paraId="72E8E7FE" w14:textId="77777777" w:rsidR="00B27884" w:rsidRPr="00B27884" w:rsidRDefault="00B27884" w:rsidP="00B27884">
      <w:pPr>
        <w:spacing w:after="160" w:line="256" w:lineRule="auto"/>
        <w:ind w:left="989"/>
        <w:contextualSpacing/>
        <w:rPr>
          <w:rFonts w:ascii="Arial" w:hAnsi="Arial" w:cs="Arial"/>
          <w:szCs w:val="20"/>
          <w:lang w:eastAsia="en-US"/>
        </w:rPr>
      </w:pPr>
    </w:p>
    <w:p w14:paraId="6C18FD32" w14:textId="77777777" w:rsidR="00B27884" w:rsidRPr="00B27884" w:rsidRDefault="00B27884" w:rsidP="00B27884">
      <w:pPr>
        <w:spacing w:after="160" w:line="256" w:lineRule="auto"/>
        <w:ind w:left="989"/>
        <w:contextualSpacing/>
        <w:rPr>
          <w:rFonts w:ascii="Arial" w:hAnsi="Arial" w:cs="Arial"/>
          <w:szCs w:val="20"/>
          <w:lang w:eastAsia="en-US"/>
        </w:rPr>
      </w:pPr>
    </w:p>
    <w:p w14:paraId="15B6662C"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48" w:name="_Toc532992268"/>
      <w:bookmarkStart w:id="49" w:name="Tender_evaluation_approach"/>
      <w:r w:rsidRPr="00B27884">
        <w:rPr>
          <w:rFonts w:ascii="Arial" w:hAnsi="Arial" w:cs="Arial"/>
          <w:b/>
          <w:sz w:val="32"/>
          <w:szCs w:val="32"/>
          <w:lang w:val="en-US" w:eastAsia="en-US"/>
        </w:rPr>
        <w:t>Tender evaluation approach</w:t>
      </w:r>
      <w:bookmarkEnd w:id="48"/>
      <w:bookmarkEnd w:id="49"/>
    </w:p>
    <w:p w14:paraId="117A54F8" w14:textId="77777777" w:rsidR="00B27884" w:rsidRPr="00B27884" w:rsidRDefault="00B27884" w:rsidP="00B27884">
      <w:pPr>
        <w:spacing w:after="160" w:line="256" w:lineRule="auto"/>
        <w:rPr>
          <w:rFonts w:ascii="Arial" w:hAnsi="Arial" w:cs="Arial"/>
          <w:szCs w:val="20"/>
          <w:lang w:eastAsia="en-US"/>
        </w:rPr>
      </w:pPr>
    </w:p>
    <w:p w14:paraId="1D1A5D4D"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177A1716"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HMRC will accept the tender that provides best value for money. Quality forms 80 per cent and price 20 per cent of our assessment of value for money. </w:t>
      </w:r>
    </w:p>
    <w:p w14:paraId="41D45EBD" w14:textId="77777777" w:rsidR="00B27884" w:rsidRPr="00B27884" w:rsidRDefault="00B27884" w:rsidP="00B27884">
      <w:pPr>
        <w:spacing w:after="160" w:line="256" w:lineRule="auto"/>
        <w:ind w:left="989"/>
        <w:contextualSpacing/>
        <w:rPr>
          <w:rFonts w:ascii="Arial" w:hAnsi="Arial" w:cs="Arial"/>
          <w:szCs w:val="20"/>
          <w:lang w:eastAsia="en-US"/>
        </w:rPr>
      </w:pPr>
    </w:p>
    <w:p w14:paraId="0B4357E6"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50" w:name="_Toc532992269"/>
      <w:bookmarkStart w:id="51" w:name="Quality_criteria_and_how_we_assess_quali"/>
      <w:r w:rsidRPr="00B27884">
        <w:rPr>
          <w:rFonts w:ascii="Arial" w:hAnsi="Arial" w:cs="Arial"/>
          <w:b/>
          <w:sz w:val="32"/>
          <w:szCs w:val="32"/>
          <w:lang w:val="en-US" w:eastAsia="en-US"/>
        </w:rPr>
        <w:t>Quality criteria and how we assess quality</w:t>
      </w:r>
      <w:bookmarkEnd w:id="50"/>
      <w:bookmarkEnd w:id="51"/>
    </w:p>
    <w:p w14:paraId="318FC0DD" w14:textId="77777777" w:rsidR="00B27884" w:rsidRPr="00B27884" w:rsidRDefault="00B27884" w:rsidP="00B27884">
      <w:pPr>
        <w:spacing w:after="160" w:line="256" w:lineRule="auto"/>
        <w:ind w:left="720"/>
        <w:contextualSpacing/>
        <w:rPr>
          <w:rFonts w:ascii="Arial" w:hAnsi="Arial" w:cs="Arial"/>
          <w:b/>
          <w:szCs w:val="20"/>
          <w:lang w:eastAsia="en-US"/>
        </w:rPr>
      </w:pPr>
    </w:p>
    <w:p w14:paraId="72E69B80"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13E866B4"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55B8BBC4"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Quality will be assessed separately to cost. Quality criteria will be evaluated on a scale from 0 to 100 (where 0 = totally fails to meet the criteria and 100 = exceeds the requirement, with detailed explanation/evidence in support). </w:t>
      </w:r>
    </w:p>
    <w:tbl>
      <w:tblPr>
        <w:tblStyle w:val="TableGrid1"/>
        <w:tblW w:w="8886" w:type="dxa"/>
        <w:tblInd w:w="607" w:type="dxa"/>
        <w:tblLook w:val="04A0" w:firstRow="1" w:lastRow="0" w:firstColumn="1" w:lastColumn="0" w:noHBand="0" w:noVBand="1"/>
      </w:tblPr>
      <w:tblGrid>
        <w:gridCol w:w="884"/>
        <w:gridCol w:w="8002"/>
      </w:tblGrid>
      <w:tr w:rsidR="00B27884" w:rsidRPr="00B27884" w14:paraId="6954145E" w14:textId="77777777" w:rsidTr="00B27884">
        <w:tc>
          <w:tcPr>
            <w:tcW w:w="884"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2B0826C5" w14:textId="77777777" w:rsidR="00B27884" w:rsidRPr="00B27884" w:rsidRDefault="00B27884" w:rsidP="00B27884">
            <w:pPr>
              <w:contextualSpacing/>
              <w:rPr>
                <w:rFonts w:ascii="Arial" w:hAnsi="Arial" w:cs="Arial"/>
                <w:b/>
                <w:color w:val="FFFFFF"/>
              </w:rPr>
            </w:pPr>
            <w:r w:rsidRPr="00B27884">
              <w:rPr>
                <w:rFonts w:ascii="Arial" w:hAnsi="Arial" w:cs="Arial"/>
                <w:b/>
                <w:color w:val="FFFFFF"/>
              </w:rPr>
              <w:t>Score</w:t>
            </w:r>
          </w:p>
        </w:tc>
        <w:tc>
          <w:tcPr>
            <w:tcW w:w="8002"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72C421DD" w14:textId="77777777" w:rsidR="00B27884" w:rsidRPr="00B27884" w:rsidRDefault="00B27884" w:rsidP="00B27884">
            <w:pPr>
              <w:contextualSpacing/>
              <w:jc w:val="center"/>
              <w:rPr>
                <w:rFonts w:ascii="Arial" w:hAnsi="Arial" w:cs="Arial"/>
                <w:b/>
                <w:color w:val="FFFFFF"/>
              </w:rPr>
            </w:pPr>
            <w:r w:rsidRPr="00B27884">
              <w:rPr>
                <w:rFonts w:ascii="Arial" w:hAnsi="Arial" w:cs="Arial"/>
                <w:b/>
                <w:color w:val="FFFFFF"/>
              </w:rPr>
              <w:t>Description</w:t>
            </w:r>
          </w:p>
        </w:tc>
      </w:tr>
      <w:tr w:rsidR="00B27884" w:rsidRPr="00B27884" w14:paraId="6500A9C7" w14:textId="77777777" w:rsidTr="00B27884">
        <w:tc>
          <w:tcPr>
            <w:tcW w:w="884" w:type="dxa"/>
            <w:tcBorders>
              <w:top w:val="single" w:sz="4" w:space="0" w:color="auto"/>
              <w:left w:val="single" w:sz="4" w:space="0" w:color="auto"/>
              <w:bottom w:val="single" w:sz="4" w:space="0" w:color="auto"/>
              <w:right w:val="single" w:sz="4" w:space="0" w:color="auto"/>
            </w:tcBorders>
            <w:vAlign w:val="center"/>
            <w:hideMark/>
          </w:tcPr>
          <w:p w14:paraId="599E485E" w14:textId="77777777" w:rsidR="00B27884" w:rsidRPr="00B27884" w:rsidRDefault="00B27884" w:rsidP="00B27884">
            <w:pPr>
              <w:contextualSpacing/>
              <w:jc w:val="center"/>
              <w:rPr>
                <w:rFonts w:ascii="Arial" w:hAnsi="Arial" w:cs="Arial"/>
                <w:color w:val="000000"/>
              </w:rPr>
            </w:pPr>
            <w:r w:rsidRPr="00B27884">
              <w:rPr>
                <w:rFonts w:ascii="Arial" w:hAnsi="Arial" w:cs="Arial"/>
                <w:color w:val="000000"/>
              </w:rPr>
              <w:t>0</w:t>
            </w:r>
          </w:p>
        </w:tc>
        <w:tc>
          <w:tcPr>
            <w:tcW w:w="8002" w:type="dxa"/>
            <w:tcBorders>
              <w:top w:val="single" w:sz="4" w:space="0" w:color="auto"/>
              <w:left w:val="single" w:sz="4" w:space="0" w:color="auto"/>
              <w:bottom w:val="single" w:sz="4" w:space="0" w:color="auto"/>
              <w:right w:val="single" w:sz="4" w:space="0" w:color="auto"/>
            </w:tcBorders>
            <w:vAlign w:val="center"/>
            <w:hideMark/>
          </w:tcPr>
          <w:p w14:paraId="284B1F68" w14:textId="77777777" w:rsidR="00B27884" w:rsidRPr="00B27884" w:rsidRDefault="00B27884" w:rsidP="00B27884">
            <w:pPr>
              <w:contextualSpacing/>
              <w:rPr>
                <w:rFonts w:ascii="Arial" w:hAnsi="Arial" w:cs="Arial"/>
                <w:color w:val="000000"/>
              </w:rPr>
            </w:pPr>
            <w:r w:rsidRPr="00B27884">
              <w:rPr>
                <w:rFonts w:ascii="Arial" w:hAnsi="Arial" w:cs="Arial"/>
              </w:rPr>
              <w:t>Totally fails to meet the requirements</w:t>
            </w:r>
          </w:p>
        </w:tc>
      </w:tr>
      <w:tr w:rsidR="00B27884" w:rsidRPr="00B27884" w14:paraId="029CF8C9" w14:textId="77777777" w:rsidTr="00B27884">
        <w:tc>
          <w:tcPr>
            <w:tcW w:w="884" w:type="dxa"/>
            <w:tcBorders>
              <w:top w:val="single" w:sz="4" w:space="0" w:color="auto"/>
              <w:left w:val="single" w:sz="4" w:space="0" w:color="auto"/>
              <w:bottom w:val="single" w:sz="4" w:space="0" w:color="auto"/>
              <w:right w:val="single" w:sz="4" w:space="0" w:color="auto"/>
            </w:tcBorders>
            <w:vAlign w:val="center"/>
            <w:hideMark/>
          </w:tcPr>
          <w:p w14:paraId="657E1EB1" w14:textId="77777777" w:rsidR="00B27884" w:rsidRPr="00B27884" w:rsidRDefault="00B27884" w:rsidP="00B27884">
            <w:pPr>
              <w:contextualSpacing/>
              <w:jc w:val="center"/>
              <w:rPr>
                <w:rFonts w:ascii="Arial" w:hAnsi="Arial" w:cs="Arial"/>
                <w:color w:val="000000"/>
              </w:rPr>
            </w:pPr>
            <w:r w:rsidRPr="00B27884">
              <w:rPr>
                <w:rFonts w:ascii="Arial" w:hAnsi="Arial" w:cs="Arial"/>
                <w:color w:val="000000"/>
              </w:rPr>
              <w:t>25</w:t>
            </w:r>
          </w:p>
        </w:tc>
        <w:tc>
          <w:tcPr>
            <w:tcW w:w="8002" w:type="dxa"/>
            <w:tcBorders>
              <w:top w:val="single" w:sz="4" w:space="0" w:color="auto"/>
              <w:left w:val="single" w:sz="4" w:space="0" w:color="auto"/>
              <w:bottom w:val="single" w:sz="4" w:space="0" w:color="auto"/>
              <w:right w:val="single" w:sz="4" w:space="0" w:color="auto"/>
            </w:tcBorders>
            <w:vAlign w:val="center"/>
            <w:hideMark/>
          </w:tcPr>
          <w:p w14:paraId="326C5F9E" w14:textId="77777777" w:rsidR="00B27884" w:rsidRPr="00B27884" w:rsidRDefault="00B27884" w:rsidP="00B27884">
            <w:pPr>
              <w:contextualSpacing/>
              <w:rPr>
                <w:rFonts w:ascii="Arial" w:hAnsi="Arial" w:cs="Arial"/>
                <w:color w:val="000000"/>
              </w:rPr>
            </w:pPr>
            <w:r w:rsidRPr="00B27884">
              <w:rPr>
                <w:rFonts w:ascii="Arial" w:hAnsi="Arial" w:cs="Arial"/>
              </w:rPr>
              <w:t>Meets some of the requirements, with limited and/or inconsistent explanation and supporting evidence</w:t>
            </w:r>
          </w:p>
        </w:tc>
      </w:tr>
      <w:tr w:rsidR="00B27884" w:rsidRPr="00B27884" w14:paraId="5F102E8C" w14:textId="77777777" w:rsidTr="00B27884">
        <w:tc>
          <w:tcPr>
            <w:tcW w:w="884" w:type="dxa"/>
            <w:tcBorders>
              <w:top w:val="single" w:sz="4" w:space="0" w:color="auto"/>
              <w:left w:val="single" w:sz="4" w:space="0" w:color="auto"/>
              <w:bottom w:val="single" w:sz="4" w:space="0" w:color="auto"/>
              <w:right w:val="single" w:sz="4" w:space="0" w:color="auto"/>
            </w:tcBorders>
            <w:vAlign w:val="center"/>
            <w:hideMark/>
          </w:tcPr>
          <w:p w14:paraId="5B00D5F7" w14:textId="77777777" w:rsidR="00B27884" w:rsidRPr="00B27884" w:rsidRDefault="00B27884" w:rsidP="00B27884">
            <w:pPr>
              <w:contextualSpacing/>
              <w:jc w:val="center"/>
              <w:rPr>
                <w:rFonts w:ascii="Arial" w:hAnsi="Arial" w:cs="Arial"/>
                <w:color w:val="000000"/>
              </w:rPr>
            </w:pPr>
            <w:r w:rsidRPr="00B27884">
              <w:rPr>
                <w:rFonts w:ascii="Arial" w:hAnsi="Arial" w:cs="Arial"/>
                <w:color w:val="000000"/>
              </w:rPr>
              <w:t>50</w:t>
            </w:r>
          </w:p>
        </w:tc>
        <w:tc>
          <w:tcPr>
            <w:tcW w:w="8002" w:type="dxa"/>
            <w:tcBorders>
              <w:top w:val="single" w:sz="4" w:space="0" w:color="auto"/>
              <w:left w:val="single" w:sz="4" w:space="0" w:color="auto"/>
              <w:bottom w:val="single" w:sz="4" w:space="0" w:color="auto"/>
              <w:right w:val="single" w:sz="4" w:space="0" w:color="auto"/>
            </w:tcBorders>
            <w:vAlign w:val="center"/>
            <w:hideMark/>
          </w:tcPr>
          <w:p w14:paraId="4A1D3F3F" w14:textId="77777777" w:rsidR="00B27884" w:rsidRPr="00B27884" w:rsidRDefault="00B27884" w:rsidP="00B27884">
            <w:pPr>
              <w:contextualSpacing/>
              <w:rPr>
                <w:rFonts w:ascii="Arial" w:hAnsi="Arial" w:cs="Arial"/>
                <w:color w:val="000000"/>
              </w:rPr>
            </w:pPr>
            <w:r w:rsidRPr="00B27884">
              <w:rPr>
                <w:rFonts w:ascii="Arial" w:hAnsi="Arial" w:cs="Arial"/>
              </w:rPr>
              <w:t>Meets some of the requirements, with moderate and consistent explanation and supporting evidence</w:t>
            </w:r>
          </w:p>
        </w:tc>
      </w:tr>
      <w:tr w:rsidR="00B27884" w:rsidRPr="00B27884" w14:paraId="61CCE276" w14:textId="77777777" w:rsidTr="00B27884">
        <w:tc>
          <w:tcPr>
            <w:tcW w:w="884" w:type="dxa"/>
            <w:tcBorders>
              <w:top w:val="single" w:sz="4" w:space="0" w:color="auto"/>
              <w:left w:val="single" w:sz="4" w:space="0" w:color="auto"/>
              <w:bottom w:val="single" w:sz="4" w:space="0" w:color="auto"/>
              <w:right w:val="single" w:sz="4" w:space="0" w:color="auto"/>
            </w:tcBorders>
            <w:vAlign w:val="center"/>
            <w:hideMark/>
          </w:tcPr>
          <w:p w14:paraId="0AD6A8D3" w14:textId="77777777" w:rsidR="00B27884" w:rsidRPr="00B27884" w:rsidRDefault="00B27884" w:rsidP="00B27884">
            <w:pPr>
              <w:contextualSpacing/>
              <w:jc w:val="center"/>
              <w:rPr>
                <w:rFonts w:ascii="Arial" w:hAnsi="Arial" w:cs="Arial"/>
                <w:color w:val="000000"/>
              </w:rPr>
            </w:pPr>
            <w:r w:rsidRPr="00B27884">
              <w:rPr>
                <w:rFonts w:ascii="Arial" w:hAnsi="Arial" w:cs="Arial"/>
                <w:color w:val="000000"/>
              </w:rPr>
              <w:t>75</w:t>
            </w:r>
          </w:p>
        </w:tc>
        <w:tc>
          <w:tcPr>
            <w:tcW w:w="8002" w:type="dxa"/>
            <w:tcBorders>
              <w:top w:val="single" w:sz="4" w:space="0" w:color="auto"/>
              <w:left w:val="single" w:sz="4" w:space="0" w:color="auto"/>
              <w:bottom w:val="single" w:sz="4" w:space="0" w:color="auto"/>
              <w:right w:val="single" w:sz="4" w:space="0" w:color="auto"/>
            </w:tcBorders>
            <w:vAlign w:val="center"/>
            <w:hideMark/>
          </w:tcPr>
          <w:p w14:paraId="681752B5" w14:textId="77777777" w:rsidR="00B27884" w:rsidRPr="00B27884" w:rsidRDefault="00B27884" w:rsidP="00B27884">
            <w:pPr>
              <w:contextualSpacing/>
              <w:rPr>
                <w:rFonts w:ascii="Arial" w:hAnsi="Arial" w:cs="Arial"/>
                <w:color w:val="000000"/>
              </w:rPr>
            </w:pPr>
            <w:r w:rsidRPr="00B27884">
              <w:rPr>
                <w:rFonts w:ascii="Arial" w:hAnsi="Arial" w:cs="Arial"/>
              </w:rPr>
              <w:t xml:space="preserve">Meets most of the requirements, with satisfactory and consistent explanation and supporting evidence </w:t>
            </w:r>
          </w:p>
        </w:tc>
      </w:tr>
      <w:tr w:rsidR="00B27884" w:rsidRPr="00B27884" w14:paraId="5D14E11B" w14:textId="77777777" w:rsidTr="00B27884">
        <w:tc>
          <w:tcPr>
            <w:tcW w:w="884" w:type="dxa"/>
            <w:tcBorders>
              <w:top w:val="single" w:sz="4" w:space="0" w:color="auto"/>
              <w:left w:val="single" w:sz="4" w:space="0" w:color="auto"/>
              <w:bottom w:val="single" w:sz="4" w:space="0" w:color="auto"/>
              <w:right w:val="single" w:sz="4" w:space="0" w:color="auto"/>
            </w:tcBorders>
            <w:vAlign w:val="center"/>
            <w:hideMark/>
          </w:tcPr>
          <w:p w14:paraId="0C18BA9D" w14:textId="77777777" w:rsidR="00B27884" w:rsidRPr="00B27884" w:rsidRDefault="00B27884" w:rsidP="00B27884">
            <w:pPr>
              <w:contextualSpacing/>
              <w:jc w:val="center"/>
              <w:rPr>
                <w:rFonts w:ascii="Arial" w:hAnsi="Arial" w:cs="Arial"/>
                <w:color w:val="000000"/>
              </w:rPr>
            </w:pPr>
            <w:r w:rsidRPr="00B27884">
              <w:rPr>
                <w:rFonts w:ascii="Arial" w:hAnsi="Arial" w:cs="Arial"/>
                <w:color w:val="000000"/>
              </w:rPr>
              <w:t>100</w:t>
            </w:r>
          </w:p>
        </w:tc>
        <w:tc>
          <w:tcPr>
            <w:tcW w:w="8002" w:type="dxa"/>
            <w:tcBorders>
              <w:top w:val="single" w:sz="4" w:space="0" w:color="auto"/>
              <w:left w:val="single" w:sz="4" w:space="0" w:color="auto"/>
              <w:bottom w:val="single" w:sz="4" w:space="0" w:color="auto"/>
              <w:right w:val="single" w:sz="4" w:space="0" w:color="auto"/>
            </w:tcBorders>
            <w:vAlign w:val="center"/>
            <w:hideMark/>
          </w:tcPr>
          <w:p w14:paraId="2BBBC22C" w14:textId="77777777" w:rsidR="00B27884" w:rsidRPr="00B27884" w:rsidRDefault="00B27884" w:rsidP="00B27884">
            <w:pPr>
              <w:contextualSpacing/>
              <w:rPr>
                <w:rFonts w:ascii="Arial" w:hAnsi="Arial" w:cs="Arial"/>
                <w:color w:val="000000"/>
              </w:rPr>
            </w:pPr>
            <w:r w:rsidRPr="00B27884">
              <w:rPr>
                <w:rFonts w:ascii="Arial" w:hAnsi="Arial" w:cs="Arial"/>
              </w:rPr>
              <w:t>Fully meets requirements, with substantial, detailed and consistent explanation and supporting evidence</w:t>
            </w:r>
          </w:p>
        </w:tc>
      </w:tr>
    </w:tbl>
    <w:p w14:paraId="050CC1D2" w14:textId="77777777" w:rsidR="00B27884" w:rsidRPr="00B27884" w:rsidRDefault="00B27884" w:rsidP="00B27884">
      <w:pPr>
        <w:spacing w:after="160" w:line="256" w:lineRule="auto"/>
        <w:ind w:left="709"/>
        <w:contextualSpacing/>
        <w:rPr>
          <w:rFonts w:ascii="Arial" w:hAnsi="Arial" w:cs="Arial"/>
          <w:szCs w:val="20"/>
          <w:lang w:eastAsia="en-US"/>
        </w:rPr>
      </w:pPr>
    </w:p>
    <w:p w14:paraId="5574562D" w14:textId="77777777" w:rsidR="00B27884" w:rsidRPr="00B27884" w:rsidRDefault="00B27884" w:rsidP="00B27884">
      <w:pPr>
        <w:spacing w:after="160" w:line="256" w:lineRule="auto"/>
        <w:ind w:left="846"/>
        <w:outlineLvl w:val="1"/>
        <w:rPr>
          <w:rFonts w:ascii="Arial" w:hAnsi="Arial" w:cs="Arial"/>
          <w:szCs w:val="20"/>
          <w:lang w:eastAsia="en-US"/>
        </w:rPr>
      </w:pPr>
      <w:r w:rsidRPr="00B27884">
        <w:rPr>
          <w:rFonts w:ascii="Arial" w:hAnsi="Arial" w:cs="Arial"/>
          <w:szCs w:val="20"/>
          <w:lang w:eastAsia="en-US"/>
        </w:rPr>
        <w:t>Tenderers should set out their tender according to the following quality criteria but can add additional sections such as an introduction and summary. Particular attention should be paid to the information requested under each criterion.</w:t>
      </w:r>
    </w:p>
    <w:p w14:paraId="6B1AE1B9" w14:textId="77777777" w:rsidR="00B27884" w:rsidRPr="00B27884" w:rsidRDefault="00B27884" w:rsidP="00B27884">
      <w:pPr>
        <w:numPr>
          <w:ilvl w:val="0"/>
          <w:numId w:val="38"/>
        </w:numPr>
        <w:spacing w:after="160" w:line="256" w:lineRule="auto"/>
        <w:outlineLvl w:val="2"/>
        <w:rPr>
          <w:rFonts w:ascii="Arial" w:hAnsi="Arial" w:cs="Arial"/>
          <w:szCs w:val="20"/>
          <w:lang w:eastAsia="en-US"/>
        </w:rPr>
      </w:pPr>
      <w:r w:rsidRPr="00B27884">
        <w:rPr>
          <w:rFonts w:ascii="Arial" w:hAnsi="Arial" w:cs="Arial"/>
          <w:szCs w:val="20"/>
          <w:lang w:eastAsia="en-US"/>
        </w:rPr>
        <w:t>Addressing aims and objectives (15% of total score)</w:t>
      </w:r>
    </w:p>
    <w:p w14:paraId="01526D33" w14:textId="77777777" w:rsidR="00B27884" w:rsidRPr="00B27884" w:rsidRDefault="00B27884" w:rsidP="00B27884">
      <w:pPr>
        <w:numPr>
          <w:ilvl w:val="1"/>
          <w:numId w:val="28"/>
        </w:numPr>
        <w:spacing w:after="160" w:line="256" w:lineRule="auto"/>
        <w:outlineLvl w:val="2"/>
        <w:rPr>
          <w:rFonts w:ascii="Arial" w:hAnsi="Arial" w:cs="Arial"/>
          <w:szCs w:val="20"/>
          <w:lang w:eastAsia="en-US"/>
        </w:rPr>
      </w:pPr>
      <w:r w:rsidRPr="00B27884">
        <w:rPr>
          <w:rFonts w:ascii="Arial" w:hAnsi="Arial" w:cs="Arial"/>
          <w:szCs w:val="20"/>
          <w:lang w:eastAsia="en-US"/>
        </w:rPr>
        <w:t>The extent to which the potential contractor demonstrates an understanding of the aims and objectives of the research, its wider context and key policy issues, any sensitivities and associated risks.</w:t>
      </w:r>
    </w:p>
    <w:p w14:paraId="5233DBB9"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Methodology and scope (30% of total score)</w:t>
      </w:r>
    </w:p>
    <w:p w14:paraId="2A8129C4" w14:textId="77777777" w:rsidR="00B27884" w:rsidRPr="00B27884" w:rsidRDefault="00B27884" w:rsidP="00B27884">
      <w:pPr>
        <w:spacing w:after="160" w:line="256" w:lineRule="auto"/>
        <w:ind w:left="1440"/>
        <w:contextualSpacing/>
        <w:outlineLvl w:val="3"/>
        <w:rPr>
          <w:rFonts w:ascii="Arial" w:hAnsi="Arial" w:cs="Arial"/>
          <w:szCs w:val="20"/>
          <w:lang w:eastAsia="en-US"/>
        </w:rPr>
      </w:pPr>
      <w:r w:rsidRPr="00B27884">
        <w:rPr>
          <w:rFonts w:ascii="Arial" w:hAnsi="Arial" w:cs="Arial"/>
          <w:szCs w:val="20"/>
          <w:lang w:eastAsia="en-US"/>
        </w:rPr>
        <w:t>The quality of the proposed methodology, including:</w:t>
      </w:r>
    </w:p>
    <w:p w14:paraId="382C162D"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The proposed method and audience for the exploratory research;</w:t>
      </w:r>
    </w:p>
    <w:p w14:paraId="0E5B8B40"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The proposed method for sizing and understanding the population to allow future comparisons;</w:t>
      </w:r>
    </w:p>
    <w:p w14:paraId="68F9D3FD"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The proposed method for quarterly waves with a longitudinal element;</w:t>
      </w:r>
    </w:p>
    <w:p w14:paraId="53468486"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Proven methods to maximise response rates, as well as managing recruitment risk;</w:t>
      </w:r>
    </w:p>
    <w:p w14:paraId="5356ECEF"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Identification of key risks to the project and proposed strategies to mitigate these risks.</w:t>
      </w:r>
    </w:p>
    <w:p w14:paraId="48CC6803"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Delivery to time and quality (15% of total score)</w:t>
      </w:r>
    </w:p>
    <w:p w14:paraId="64BF171A"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lastRenderedPageBreak/>
        <w:t>Evidence of project management skills and the ability to deliver to our deadlines, including timely delivery of key outputs specified by HMRC;</w:t>
      </w:r>
    </w:p>
    <w:p w14:paraId="11E61C63"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Evidence of quality processes to ensure research and outputs meet HMRC’s required standards.</w:t>
      </w:r>
    </w:p>
    <w:p w14:paraId="43DBB092"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Team experience (20% of total score)</w:t>
      </w:r>
    </w:p>
    <w:p w14:paraId="5E11AA21"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 xml:space="preserve">The relevant experience within the project team of exploratory research methods and quantitative survey techniques, including recruitment, fieldwork, and analysis; </w:t>
      </w:r>
    </w:p>
    <w:p w14:paraId="66B88CB4"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 xml:space="preserve">Days allocated for each team member at each key stage of the project, including the daily rate of each member. </w:t>
      </w:r>
    </w:p>
    <w:p w14:paraId="50FAB1A0"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may invite tenderers to clarify elements of their proposal as part of the tender process to assess the quality score.</w:t>
      </w:r>
    </w:p>
    <w:p w14:paraId="3C7D37F8" w14:textId="77777777" w:rsidR="00B27884" w:rsidRPr="00B27884" w:rsidRDefault="00B27884" w:rsidP="00B27884">
      <w:pPr>
        <w:spacing w:after="160" w:line="256" w:lineRule="auto"/>
        <w:ind w:left="989"/>
        <w:contextualSpacing/>
        <w:rPr>
          <w:rFonts w:ascii="Arial" w:hAnsi="Arial" w:cs="Arial"/>
          <w:szCs w:val="20"/>
          <w:lang w:eastAsia="en-US"/>
        </w:rPr>
      </w:pPr>
      <w:r w:rsidRPr="00B27884">
        <w:rPr>
          <w:rFonts w:ascii="Arial" w:hAnsi="Arial" w:cs="Arial"/>
          <w:szCs w:val="20"/>
          <w:lang w:eastAsia="en-US"/>
        </w:rPr>
        <w:t xml:space="preserve"> </w:t>
      </w:r>
    </w:p>
    <w:p w14:paraId="2AD8EDB3"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52" w:name="_Toc532992270"/>
      <w:bookmarkStart w:id="53" w:name="Price_and_how_we_assess_price"/>
      <w:r w:rsidRPr="00B27884">
        <w:rPr>
          <w:rFonts w:ascii="Arial" w:hAnsi="Arial" w:cs="Arial"/>
          <w:b/>
          <w:sz w:val="32"/>
          <w:szCs w:val="32"/>
          <w:lang w:val="en-US" w:eastAsia="en-US"/>
        </w:rPr>
        <w:t>Price and how we assess price</w:t>
      </w:r>
      <w:bookmarkEnd w:id="52"/>
      <w:bookmarkEnd w:id="53"/>
    </w:p>
    <w:p w14:paraId="5F23C63D" w14:textId="77777777" w:rsidR="00B27884" w:rsidRPr="00B27884" w:rsidRDefault="00B27884" w:rsidP="00B27884">
      <w:pPr>
        <w:spacing w:after="160" w:line="256" w:lineRule="auto"/>
        <w:ind w:left="720"/>
        <w:contextualSpacing/>
        <w:rPr>
          <w:rFonts w:ascii="Arial" w:hAnsi="Arial" w:cs="Arial"/>
          <w:b/>
          <w:szCs w:val="20"/>
          <w:lang w:eastAsia="en-US"/>
        </w:rPr>
      </w:pPr>
    </w:p>
    <w:p w14:paraId="7A7906AC"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1001DFA3"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32ED1A1A"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Price forms 20 per cent of the tenderer’s overall score. The lowest priced tenderer will be awarded 100 points for the cost element of their proposal. Subsequent bids will receive lower scores based on the differential in their pricing, relative to the lowest cost proposal.</w:t>
      </w:r>
    </w:p>
    <w:p w14:paraId="4D0F1F87"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Tenderers must separately provide a firm price offer (excluding VAT) giving a breakdown of costs in person days to each task, as outlined below. Separate tables should be provided for the lead contractor and any collaborator.</w:t>
      </w:r>
    </w:p>
    <w:p w14:paraId="58394DD7" w14:textId="77777777" w:rsidR="00B27884" w:rsidRPr="00B27884" w:rsidRDefault="00B27884" w:rsidP="00B27884">
      <w:pPr>
        <w:spacing w:after="160" w:line="256" w:lineRule="auto"/>
        <w:ind w:left="709"/>
        <w:contextualSpacing/>
        <w:rPr>
          <w:rFonts w:ascii="Arial" w:hAnsi="Arial" w:cs="Arial"/>
          <w:szCs w:val="20"/>
          <w:lang w:eastAsia="en-US"/>
        </w:rPr>
      </w:pPr>
    </w:p>
    <w:tbl>
      <w:tblPr>
        <w:tblStyle w:val="TableGrid1"/>
        <w:tblW w:w="4600" w:type="pct"/>
        <w:tblInd w:w="704" w:type="dxa"/>
        <w:tblLook w:val="01E0" w:firstRow="1" w:lastRow="1" w:firstColumn="1" w:lastColumn="1" w:noHBand="0" w:noVBand="0"/>
      </w:tblPr>
      <w:tblGrid>
        <w:gridCol w:w="2547"/>
        <w:gridCol w:w="1413"/>
        <w:gridCol w:w="1276"/>
        <w:gridCol w:w="1271"/>
        <w:gridCol w:w="990"/>
        <w:gridCol w:w="798"/>
      </w:tblGrid>
      <w:tr w:rsidR="00B27884" w:rsidRPr="00B27884" w14:paraId="773370A5" w14:textId="77777777" w:rsidTr="00B27884">
        <w:trPr>
          <w:cantSplit/>
          <w:tblHeader/>
        </w:trPr>
        <w:tc>
          <w:tcPr>
            <w:tcW w:w="1535" w:type="pct"/>
            <w:tcBorders>
              <w:top w:val="single" w:sz="4" w:space="0" w:color="auto"/>
              <w:left w:val="single" w:sz="4" w:space="0" w:color="auto"/>
              <w:bottom w:val="single" w:sz="4" w:space="0" w:color="auto"/>
              <w:right w:val="single" w:sz="4" w:space="0" w:color="auto"/>
            </w:tcBorders>
            <w:shd w:val="clear" w:color="auto" w:fill="008080"/>
            <w:hideMark/>
          </w:tcPr>
          <w:p w14:paraId="296C1C1B"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Activity</w:t>
            </w:r>
          </w:p>
        </w:tc>
        <w:tc>
          <w:tcPr>
            <w:tcW w:w="852" w:type="pct"/>
            <w:tcBorders>
              <w:top w:val="single" w:sz="4" w:space="0" w:color="auto"/>
              <w:left w:val="single" w:sz="4" w:space="0" w:color="auto"/>
              <w:bottom w:val="single" w:sz="4" w:space="0" w:color="auto"/>
              <w:right w:val="single" w:sz="4" w:space="0" w:color="auto"/>
            </w:tcBorders>
            <w:shd w:val="clear" w:color="auto" w:fill="008080"/>
            <w:hideMark/>
          </w:tcPr>
          <w:p w14:paraId="337EF9F9"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Personnel (level of staff)</w:t>
            </w:r>
          </w:p>
        </w:tc>
        <w:tc>
          <w:tcPr>
            <w:tcW w:w="769" w:type="pct"/>
            <w:tcBorders>
              <w:top w:val="single" w:sz="4" w:space="0" w:color="auto"/>
              <w:left w:val="single" w:sz="4" w:space="0" w:color="auto"/>
              <w:bottom w:val="single" w:sz="4" w:space="0" w:color="auto"/>
              <w:right w:val="single" w:sz="4" w:space="0" w:color="auto"/>
            </w:tcBorders>
            <w:shd w:val="clear" w:color="auto" w:fill="008080"/>
            <w:hideMark/>
          </w:tcPr>
          <w:p w14:paraId="294887D8"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Number of days per team member</w:t>
            </w:r>
          </w:p>
        </w:tc>
        <w:tc>
          <w:tcPr>
            <w:tcW w:w="766" w:type="pct"/>
            <w:tcBorders>
              <w:top w:val="single" w:sz="4" w:space="0" w:color="auto"/>
              <w:left w:val="single" w:sz="4" w:space="0" w:color="auto"/>
              <w:bottom w:val="single" w:sz="4" w:space="0" w:color="auto"/>
              <w:right w:val="single" w:sz="4" w:space="0" w:color="auto"/>
            </w:tcBorders>
            <w:shd w:val="clear" w:color="auto" w:fill="008080"/>
            <w:hideMark/>
          </w:tcPr>
          <w:p w14:paraId="5E9040C2"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Day rate per team member</w:t>
            </w:r>
          </w:p>
        </w:tc>
        <w:tc>
          <w:tcPr>
            <w:tcW w:w="597" w:type="pct"/>
            <w:tcBorders>
              <w:top w:val="single" w:sz="4" w:space="0" w:color="auto"/>
              <w:left w:val="single" w:sz="4" w:space="0" w:color="auto"/>
              <w:bottom w:val="single" w:sz="4" w:space="0" w:color="auto"/>
              <w:right w:val="single" w:sz="4" w:space="0" w:color="auto"/>
            </w:tcBorders>
            <w:shd w:val="clear" w:color="auto" w:fill="008080"/>
            <w:hideMark/>
          </w:tcPr>
          <w:p w14:paraId="5F1143C4"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Over-heads</w:t>
            </w:r>
          </w:p>
        </w:tc>
        <w:tc>
          <w:tcPr>
            <w:tcW w:w="481" w:type="pct"/>
            <w:tcBorders>
              <w:top w:val="single" w:sz="4" w:space="0" w:color="auto"/>
              <w:left w:val="single" w:sz="4" w:space="0" w:color="auto"/>
              <w:bottom w:val="single" w:sz="4" w:space="0" w:color="auto"/>
              <w:right w:val="single" w:sz="4" w:space="0" w:color="auto"/>
            </w:tcBorders>
            <w:shd w:val="clear" w:color="auto" w:fill="008080"/>
            <w:hideMark/>
          </w:tcPr>
          <w:p w14:paraId="3461A89F"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Total</w:t>
            </w:r>
          </w:p>
          <w:p w14:paraId="218E9D40"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w:t>
            </w:r>
          </w:p>
        </w:tc>
      </w:tr>
      <w:tr w:rsidR="00B27884" w:rsidRPr="00B27884" w14:paraId="31E345B6" w14:textId="77777777" w:rsidTr="00B2788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tcPr>
          <w:p w14:paraId="0B756653" w14:textId="77777777" w:rsidR="00B27884" w:rsidRPr="00B27884" w:rsidRDefault="00B27884" w:rsidP="00B27884">
            <w:pPr>
              <w:spacing w:after="40"/>
              <w:rPr>
                <w:rFonts w:ascii="Arial" w:hAnsi="Arial" w:cs="Arial"/>
                <w:b/>
                <w:color w:val="FFFFFF"/>
                <w:szCs w:val="20"/>
              </w:rPr>
            </w:pPr>
          </w:p>
        </w:tc>
      </w:tr>
      <w:tr w:rsidR="00B27884" w:rsidRPr="00B27884" w14:paraId="426DCD60"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76F61C7F" w14:textId="77777777" w:rsidR="00B27884" w:rsidRPr="00B27884" w:rsidRDefault="00B27884" w:rsidP="00B27884">
            <w:pPr>
              <w:spacing w:after="40"/>
              <w:rPr>
                <w:rFonts w:ascii="Arial" w:hAnsi="Arial" w:cs="Arial"/>
                <w:szCs w:val="20"/>
              </w:rPr>
            </w:pPr>
            <w:r w:rsidRPr="00B27884">
              <w:rPr>
                <w:rFonts w:ascii="Arial" w:hAnsi="Arial" w:cs="Arial"/>
                <w:szCs w:val="20"/>
              </w:rPr>
              <w:t>Project management: including initial set-up meeting, regular updates, progress checks and additional meetings</w:t>
            </w:r>
          </w:p>
        </w:tc>
        <w:tc>
          <w:tcPr>
            <w:tcW w:w="852" w:type="pct"/>
            <w:tcBorders>
              <w:top w:val="single" w:sz="4" w:space="0" w:color="auto"/>
              <w:left w:val="single" w:sz="4" w:space="0" w:color="auto"/>
              <w:bottom w:val="single" w:sz="4" w:space="0" w:color="auto"/>
              <w:right w:val="single" w:sz="4" w:space="0" w:color="auto"/>
            </w:tcBorders>
          </w:tcPr>
          <w:p w14:paraId="5AB03BFB"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35F9F229"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50CBF0E6"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3AE597DF"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15002A92" w14:textId="77777777" w:rsidR="00B27884" w:rsidRPr="00B27884" w:rsidRDefault="00B27884" w:rsidP="00B27884">
            <w:pPr>
              <w:spacing w:after="40"/>
              <w:rPr>
                <w:rFonts w:ascii="Arial" w:hAnsi="Arial" w:cs="Arial"/>
                <w:szCs w:val="20"/>
              </w:rPr>
            </w:pPr>
          </w:p>
        </w:tc>
      </w:tr>
      <w:tr w:rsidR="00B27884" w:rsidRPr="00B27884" w14:paraId="52AD199D"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096CA768" w14:textId="77777777" w:rsidR="00B27884" w:rsidRPr="00B27884" w:rsidRDefault="00B27884" w:rsidP="00B27884">
            <w:pPr>
              <w:spacing w:after="40"/>
              <w:rPr>
                <w:rFonts w:ascii="Arial" w:hAnsi="Arial" w:cs="Arial"/>
                <w:szCs w:val="20"/>
              </w:rPr>
            </w:pPr>
            <w:r w:rsidRPr="00B27884">
              <w:rPr>
                <w:rFonts w:ascii="Arial" w:hAnsi="Arial" w:cs="Arial"/>
                <w:szCs w:val="20"/>
              </w:rPr>
              <w:t>Design of sample and research tools</w:t>
            </w:r>
          </w:p>
        </w:tc>
        <w:tc>
          <w:tcPr>
            <w:tcW w:w="852" w:type="pct"/>
            <w:tcBorders>
              <w:top w:val="single" w:sz="4" w:space="0" w:color="auto"/>
              <w:left w:val="single" w:sz="4" w:space="0" w:color="auto"/>
              <w:bottom w:val="single" w:sz="4" w:space="0" w:color="auto"/>
              <w:right w:val="single" w:sz="4" w:space="0" w:color="auto"/>
            </w:tcBorders>
          </w:tcPr>
          <w:p w14:paraId="285EF7DB"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5E575370"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5728E972"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57909A9F"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6188A84A" w14:textId="77777777" w:rsidR="00B27884" w:rsidRPr="00B27884" w:rsidRDefault="00B27884" w:rsidP="00B27884">
            <w:pPr>
              <w:spacing w:after="40"/>
              <w:rPr>
                <w:rFonts w:ascii="Arial" w:hAnsi="Arial" w:cs="Arial"/>
                <w:szCs w:val="20"/>
              </w:rPr>
            </w:pPr>
          </w:p>
        </w:tc>
      </w:tr>
      <w:tr w:rsidR="00B27884" w:rsidRPr="00B27884" w14:paraId="384334D3"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55BC8A1B" w14:textId="77777777" w:rsidR="00B27884" w:rsidRPr="00B27884" w:rsidRDefault="00B27884" w:rsidP="00B27884">
            <w:pPr>
              <w:spacing w:after="40"/>
              <w:rPr>
                <w:rFonts w:ascii="Arial" w:hAnsi="Arial" w:cs="Arial"/>
                <w:szCs w:val="20"/>
              </w:rPr>
            </w:pPr>
            <w:r w:rsidRPr="00B27884">
              <w:rPr>
                <w:rFonts w:ascii="Arial" w:hAnsi="Arial" w:cs="Arial"/>
                <w:szCs w:val="20"/>
              </w:rPr>
              <w:t>Exploratory research</w:t>
            </w:r>
          </w:p>
        </w:tc>
        <w:tc>
          <w:tcPr>
            <w:tcW w:w="852" w:type="pct"/>
            <w:tcBorders>
              <w:top w:val="single" w:sz="4" w:space="0" w:color="auto"/>
              <w:left w:val="single" w:sz="4" w:space="0" w:color="auto"/>
              <w:bottom w:val="single" w:sz="4" w:space="0" w:color="auto"/>
              <w:right w:val="single" w:sz="4" w:space="0" w:color="auto"/>
            </w:tcBorders>
          </w:tcPr>
          <w:p w14:paraId="3D0B0121"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6A37283A"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610F1FB8"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1C40D034"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7D80261D" w14:textId="77777777" w:rsidR="00B27884" w:rsidRPr="00B27884" w:rsidRDefault="00B27884" w:rsidP="00B27884">
            <w:pPr>
              <w:spacing w:after="40"/>
              <w:rPr>
                <w:rFonts w:ascii="Arial" w:hAnsi="Arial" w:cs="Arial"/>
                <w:szCs w:val="20"/>
              </w:rPr>
            </w:pPr>
          </w:p>
        </w:tc>
      </w:tr>
      <w:tr w:rsidR="00B27884" w:rsidRPr="00B27884" w14:paraId="6E7E6B9B"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054E5A19" w14:textId="77777777" w:rsidR="00B27884" w:rsidRPr="00B27884" w:rsidRDefault="00B27884" w:rsidP="00B27884">
            <w:pPr>
              <w:spacing w:after="40"/>
              <w:rPr>
                <w:rFonts w:ascii="Arial" w:hAnsi="Arial" w:cs="Arial"/>
                <w:szCs w:val="20"/>
              </w:rPr>
            </w:pPr>
            <w:r w:rsidRPr="00B27884">
              <w:rPr>
                <w:rFonts w:ascii="Arial" w:hAnsi="Arial" w:cs="Arial"/>
                <w:szCs w:val="20"/>
              </w:rPr>
              <w:t>Sizing and understanding study (Wave 1)</w:t>
            </w:r>
          </w:p>
        </w:tc>
        <w:tc>
          <w:tcPr>
            <w:tcW w:w="852" w:type="pct"/>
            <w:tcBorders>
              <w:top w:val="single" w:sz="4" w:space="0" w:color="auto"/>
              <w:left w:val="single" w:sz="4" w:space="0" w:color="auto"/>
              <w:bottom w:val="single" w:sz="4" w:space="0" w:color="auto"/>
              <w:right w:val="single" w:sz="4" w:space="0" w:color="auto"/>
            </w:tcBorders>
          </w:tcPr>
          <w:p w14:paraId="29E32396"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09D8F54E"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63477392"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472997C2"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21AFC0A6" w14:textId="77777777" w:rsidR="00B27884" w:rsidRPr="00B27884" w:rsidRDefault="00B27884" w:rsidP="00B27884">
            <w:pPr>
              <w:spacing w:after="40"/>
              <w:rPr>
                <w:rFonts w:ascii="Arial" w:hAnsi="Arial" w:cs="Arial"/>
                <w:szCs w:val="20"/>
              </w:rPr>
            </w:pPr>
          </w:p>
        </w:tc>
      </w:tr>
      <w:tr w:rsidR="00B27884" w:rsidRPr="00B27884" w14:paraId="0424D79D"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02F30835" w14:textId="77777777" w:rsidR="00B27884" w:rsidRPr="00B27884" w:rsidRDefault="00B27884" w:rsidP="00B27884">
            <w:pPr>
              <w:spacing w:after="40"/>
              <w:rPr>
                <w:rFonts w:ascii="Arial" w:hAnsi="Arial" w:cs="Arial"/>
                <w:szCs w:val="20"/>
              </w:rPr>
            </w:pPr>
            <w:r w:rsidRPr="00B27884">
              <w:rPr>
                <w:rFonts w:ascii="Arial" w:hAnsi="Arial" w:cs="Arial"/>
                <w:szCs w:val="20"/>
              </w:rPr>
              <w:t>Delivery of waves 2 and 3</w:t>
            </w:r>
          </w:p>
        </w:tc>
        <w:tc>
          <w:tcPr>
            <w:tcW w:w="852" w:type="pct"/>
            <w:tcBorders>
              <w:top w:val="single" w:sz="4" w:space="0" w:color="auto"/>
              <w:left w:val="single" w:sz="4" w:space="0" w:color="auto"/>
              <w:bottom w:val="single" w:sz="4" w:space="0" w:color="auto"/>
              <w:right w:val="single" w:sz="4" w:space="0" w:color="auto"/>
            </w:tcBorders>
          </w:tcPr>
          <w:p w14:paraId="408E8623"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36BCBEFD"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01F7CB54"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1A3FF9B5"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235B6455" w14:textId="77777777" w:rsidR="00B27884" w:rsidRPr="00B27884" w:rsidRDefault="00B27884" w:rsidP="00B27884">
            <w:pPr>
              <w:spacing w:after="40"/>
              <w:rPr>
                <w:rFonts w:ascii="Arial" w:hAnsi="Arial" w:cs="Arial"/>
                <w:szCs w:val="20"/>
              </w:rPr>
            </w:pPr>
          </w:p>
        </w:tc>
      </w:tr>
      <w:tr w:rsidR="00B27884" w:rsidRPr="00B27884" w14:paraId="24C8F743"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1470677F" w14:textId="77777777" w:rsidR="00B27884" w:rsidRPr="00B27884" w:rsidRDefault="00B27884" w:rsidP="00B27884">
            <w:pPr>
              <w:spacing w:after="40"/>
              <w:rPr>
                <w:rFonts w:ascii="Arial" w:hAnsi="Arial" w:cs="Arial"/>
                <w:szCs w:val="20"/>
              </w:rPr>
            </w:pPr>
            <w:r w:rsidRPr="00B27884">
              <w:rPr>
                <w:rFonts w:ascii="Arial" w:hAnsi="Arial" w:cs="Arial"/>
                <w:szCs w:val="20"/>
              </w:rPr>
              <w:t>Analysis of data</w:t>
            </w:r>
          </w:p>
        </w:tc>
        <w:tc>
          <w:tcPr>
            <w:tcW w:w="852" w:type="pct"/>
            <w:tcBorders>
              <w:top w:val="single" w:sz="4" w:space="0" w:color="auto"/>
              <w:left w:val="single" w:sz="4" w:space="0" w:color="auto"/>
              <w:bottom w:val="single" w:sz="4" w:space="0" w:color="auto"/>
              <w:right w:val="single" w:sz="4" w:space="0" w:color="auto"/>
            </w:tcBorders>
          </w:tcPr>
          <w:p w14:paraId="373F3539"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0EE9AD7E"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35B16FD3"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731BBC34"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0A100CD5" w14:textId="77777777" w:rsidR="00B27884" w:rsidRPr="00B27884" w:rsidRDefault="00B27884" w:rsidP="00B27884">
            <w:pPr>
              <w:spacing w:after="40"/>
              <w:rPr>
                <w:rFonts w:ascii="Arial" w:hAnsi="Arial" w:cs="Arial"/>
                <w:szCs w:val="20"/>
              </w:rPr>
            </w:pPr>
          </w:p>
        </w:tc>
      </w:tr>
      <w:tr w:rsidR="00B27884" w:rsidRPr="00B27884" w14:paraId="3FAC53F4"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4CC27B70" w14:textId="77777777" w:rsidR="00B27884" w:rsidRPr="00B27884" w:rsidRDefault="00B27884" w:rsidP="00B27884">
            <w:pPr>
              <w:spacing w:after="40"/>
              <w:rPr>
                <w:rFonts w:ascii="Arial" w:hAnsi="Arial" w:cs="Arial"/>
                <w:szCs w:val="20"/>
              </w:rPr>
            </w:pPr>
            <w:r w:rsidRPr="00B27884">
              <w:rPr>
                <w:rFonts w:ascii="Arial" w:hAnsi="Arial" w:cs="Arial"/>
                <w:szCs w:val="20"/>
              </w:rPr>
              <w:lastRenderedPageBreak/>
              <w:t>Presentation of interim findings</w:t>
            </w:r>
          </w:p>
        </w:tc>
        <w:tc>
          <w:tcPr>
            <w:tcW w:w="852" w:type="pct"/>
            <w:tcBorders>
              <w:top w:val="single" w:sz="4" w:space="0" w:color="auto"/>
              <w:left w:val="single" w:sz="4" w:space="0" w:color="auto"/>
              <w:bottom w:val="single" w:sz="4" w:space="0" w:color="auto"/>
              <w:right w:val="single" w:sz="4" w:space="0" w:color="auto"/>
            </w:tcBorders>
          </w:tcPr>
          <w:p w14:paraId="5C065712"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7A473024"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180ED6C8"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0C527A52"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532B5017" w14:textId="77777777" w:rsidR="00B27884" w:rsidRPr="00B27884" w:rsidRDefault="00B27884" w:rsidP="00B27884">
            <w:pPr>
              <w:spacing w:after="40"/>
              <w:rPr>
                <w:rFonts w:ascii="Arial" w:hAnsi="Arial" w:cs="Arial"/>
                <w:szCs w:val="20"/>
              </w:rPr>
            </w:pPr>
          </w:p>
        </w:tc>
      </w:tr>
      <w:tr w:rsidR="00B27884" w:rsidRPr="00B27884" w14:paraId="24693E1D"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511D8A10" w14:textId="77777777" w:rsidR="00B27884" w:rsidRPr="00B27884" w:rsidRDefault="00B27884" w:rsidP="00B27884">
            <w:pPr>
              <w:spacing w:after="40"/>
              <w:rPr>
                <w:rFonts w:ascii="Arial" w:hAnsi="Arial" w:cs="Arial"/>
                <w:szCs w:val="20"/>
              </w:rPr>
            </w:pPr>
            <w:r w:rsidRPr="00B27884">
              <w:rPr>
                <w:rFonts w:ascii="Arial" w:hAnsi="Arial" w:cs="Arial"/>
                <w:szCs w:val="20"/>
              </w:rPr>
              <w:t>Final presentation of findings</w:t>
            </w:r>
          </w:p>
        </w:tc>
        <w:tc>
          <w:tcPr>
            <w:tcW w:w="852" w:type="pct"/>
            <w:tcBorders>
              <w:top w:val="single" w:sz="4" w:space="0" w:color="auto"/>
              <w:left w:val="single" w:sz="4" w:space="0" w:color="auto"/>
              <w:bottom w:val="single" w:sz="4" w:space="0" w:color="auto"/>
              <w:right w:val="single" w:sz="4" w:space="0" w:color="auto"/>
            </w:tcBorders>
          </w:tcPr>
          <w:p w14:paraId="75465A28"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26FDA246"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6B472713"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23B30754"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262CEC12" w14:textId="77777777" w:rsidR="00B27884" w:rsidRPr="00B27884" w:rsidRDefault="00B27884" w:rsidP="00B27884">
            <w:pPr>
              <w:spacing w:after="40"/>
              <w:rPr>
                <w:rFonts w:ascii="Arial" w:hAnsi="Arial" w:cs="Arial"/>
                <w:szCs w:val="20"/>
              </w:rPr>
            </w:pPr>
          </w:p>
        </w:tc>
      </w:tr>
      <w:tr w:rsidR="00B27884" w:rsidRPr="00B27884" w14:paraId="620861D7"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7480B4A0" w14:textId="77777777" w:rsidR="00B27884" w:rsidRPr="00B27884" w:rsidRDefault="00B27884" w:rsidP="00B27884">
            <w:pPr>
              <w:spacing w:after="40"/>
              <w:rPr>
                <w:rFonts w:ascii="Arial" w:hAnsi="Arial" w:cs="Arial"/>
                <w:szCs w:val="20"/>
              </w:rPr>
            </w:pPr>
            <w:r w:rsidRPr="00B27884">
              <w:rPr>
                <w:rFonts w:ascii="Arial" w:hAnsi="Arial" w:cs="Arial"/>
                <w:szCs w:val="20"/>
              </w:rPr>
              <w:t>Writing of the final report for (inclusive of revisions to draft reports)</w:t>
            </w:r>
          </w:p>
        </w:tc>
        <w:tc>
          <w:tcPr>
            <w:tcW w:w="852" w:type="pct"/>
            <w:tcBorders>
              <w:top w:val="single" w:sz="4" w:space="0" w:color="auto"/>
              <w:left w:val="single" w:sz="4" w:space="0" w:color="auto"/>
              <w:bottom w:val="single" w:sz="4" w:space="0" w:color="auto"/>
              <w:right w:val="single" w:sz="4" w:space="0" w:color="auto"/>
            </w:tcBorders>
          </w:tcPr>
          <w:p w14:paraId="089E5304"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3CE381B7"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7EF42B55"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782F649F"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4D3414A2" w14:textId="77777777" w:rsidR="00B27884" w:rsidRPr="00B27884" w:rsidRDefault="00B27884" w:rsidP="00B27884">
            <w:pPr>
              <w:spacing w:after="40"/>
              <w:rPr>
                <w:rFonts w:ascii="Arial" w:hAnsi="Arial" w:cs="Arial"/>
                <w:szCs w:val="20"/>
              </w:rPr>
            </w:pPr>
          </w:p>
        </w:tc>
      </w:tr>
      <w:tr w:rsidR="00B27884" w:rsidRPr="00B27884" w14:paraId="0F803B38"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769E70E2" w14:textId="77777777" w:rsidR="00B27884" w:rsidRPr="00B27884" w:rsidRDefault="00B27884" w:rsidP="00B27884">
            <w:pPr>
              <w:spacing w:after="40"/>
              <w:rPr>
                <w:rFonts w:ascii="Arial" w:hAnsi="Arial" w:cs="Arial"/>
                <w:szCs w:val="20"/>
              </w:rPr>
            </w:pPr>
            <w:r w:rsidRPr="00B27884">
              <w:rPr>
                <w:rFonts w:ascii="Arial" w:hAnsi="Arial" w:cs="Arial"/>
                <w:szCs w:val="20"/>
              </w:rPr>
              <w:t>Other costs, including administration, travel and subsistence</w:t>
            </w:r>
          </w:p>
        </w:tc>
        <w:tc>
          <w:tcPr>
            <w:tcW w:w="852" w:type="pct"/>
            <w:tcBorders>
              <w:top w:val="single" w:sz="4" w:space="0" w:color="auto"/>
              <w:left w:val="single" w:sz="4" w:space="0" w:color="auto"/>
              <w:bottom w:val="single" w:sz="4" w:space="0" w:color="auto"/>
              <w:right w:val="single" w:sz="4" w:space="0" w:color="auto"/>
            </w:tcBorders>
          </w:tcPr>
          <w:p w14:paraId="375D9101"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1B90936E"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1474A20E"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5979A450"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2AA177DE" w14:textId="77777777" w:rsidR="00B27884" w:rsidRPr="00B27884" w:rsidRDefault="00B27884" w:rsidP="00B27884">
            <w:pPr>
              <w:spacing w:after="40"/>
              <w:rPr>
                <w:rFonts w:ascii="Arial" w:hAnsi="Arial" w:cs="Arial"/>
                <w:szCs w:val="20"/>
              </w:rPr>
            </w:pPr>
          </w:p>
        </w:tc>
      </w:tr>
      <w:tr w:rsidR="00B27884" w:rsidRPr="00B27884" w14:paraId="09D832BB" w14:textId="77777777" w:rsidTr="00B27884">
        <w:trPr>
          <w:cantSplit/>
        </w:trPr>
        <w:tc>
          <w:tcPr>
            <w:tcW w:w="1535" w:type="pct"/>
            <w:tcBorders>
              <w:top w:val="single" w:sz="4" w:space="0" w:color="auto"/>
              <w:left w:val="single" w:sz="4" w:space="0" w:color="auto"/>
              <w:bottom w:val="single" w:sz="4" w:space="0" w:color="auto"/>
              <w:right w:val="single" w:sz="4" w:space="0" w:color="auto"/>
            </w:tcBorders>
            <w:hideMark/>
          </w:tcPr>
          <w:p w14:paraId="456C9654" w14:textId="77777777" w:rsidR="00B27884" w:rsidRPr="00B27884" w:rsidRDefault="00B27884" w:rsidP="00B27884">
            <w:pPr>
              <w:spacing w:after="40"/>
              <w:rPr>
                <w:rFonts w:ascii="Arial" w:hAnsi="Arial" w:cs="Arial"/>
                <w:szCs w:val="20"/>
              </w:rPr>
            </w:pPr>
            <w:r w:rsidRPr="00B27884">
              <w:rPr>
                <w:rFonts w:ascii="Arial" w:hAnsi="Arial" w:cs="Arial"/>
                <w:szCs w:val="20"/>
              </w:rPr>
              <w:t>VAT (if applicable)</w:t>
            </w:r>
          </w:p>
        </w:tc>
        <w:tc>
          <w:tcPr>
            <w:tcW w:w="852" w:type="pct"/>
            <w:tcBorders>
              <w:top w:val="single" w:sz="4" w:space="0" w:color="auto"/>
              <w:left w:val="single" w:sz="4" w:space="0" w:color="auto"/>
              <w:bottom w:val="single" w:sz="4" w:space="0" w:color="auto"/>
              <w:right w:val="single" w:sz="4" w:space="0" w:color="auto"/>
            </w:tcBorders>
          </w:tcPr>
          <w:p w14:paraId="71CFFD30" w14:textId="77777777" w:rsidR="00B27884" w:rsidRPr="00B27884" w:rsidRDefault="00B27884" w:rsidP="00B27884">
            <w:pPr>
              <w:spacing w:after="40"/>
              <w:rPr>
                <w:rFonts w:ascii="Arial" w:hAnsi="Arial" w:cs="Arial"/>
                <w:szCs w:val="20"/>
              </w:rPr>
            </w:pPr>
          </w:p>
        </w:tc>
        <w:tc>
          <w:tcPr>
            <w:tcW w:w="769" w:type="pct"/>
            <w:tcBorders>
              <w:top w:val="single" w:sz="4" w:space="0" w:color="auto"/>
              <w:left w:val="single" w:sz="4" w:space="0" w:color="auto"/>
              <w:bottom w:val="single" w:sz="4" w:space="0" w:color="auto"/>
              <w:right w:val="single" w:sz="4" w:space="0" w:color="auto"/>
            </w:tcBorders>
          </w:tcPr>
          <w:p w14:paraId="53311120" w14:textId="77777777" w:rsidR="00B27884" w:rsidRPr="00B27884" w:rsidRDefault="00B27884" w:rsidP="00B27884">
            <w:pPr>
              <w:spacing w:after="40"/>
              <w:rPr>
                <w:rFonts w:ascii="Arial" w:hAnsi="Arial" w:cs="Arial"/>
                <w:szCs w:val="20"/>
              </w:rPr>
            </w:pPr>
          </w:p>
        </w:tc>
        <w:tc>
          <w:tcPr>
            <w:tcW w:w="766" w:type="pct"/>
            <w:tcBorders>
              <w:top w:val="single" w:sz="4" w:space="0" w:color="auto"/>
              <w:left w:val="single" w:sz="4" w:space="0" w:color="auto"/>
              <w:bottom w:val="single" w:sz="4" w:space="0" w:color="auto"/>
              <w:right w:val="single" w:sz="4" w:space="0" w:color="auto"/>
            </w:tcBorders>
          </w:tcPr>
          <w:p w14:paraId="1C6AC7AD" w14:textId="77777777" w:rsidR="00B27884" w:rsidRPr="00B27884" w:rsidRDefault="00B27884" w:rsidP="00B27884">
            <w:pPr>
              <w:spacing w:after="40"/>
              <w:rPr>
                <w:rFonts w:ascii="Arial" w:hAnsi="Arial" w:cs="Arial"/>
                <w:szCs w:val="20"/>
              </w:rPr>
            </w:pPr>
          </w:p>
        </w:tc>
        <w:tc>
          <w:tcPr>
            <w:tcW w:w="597" w:type="pct"/>
            <w:tcBorders>
              <w:top w:val="single" w:sz="4" w:space="0" w:color="auto"/>
              <w:left w:val="single" w:sz="4" w:space="0" w:color="auto"/>
              <w:bottom w:val="single" w:sz="4" w:space="0" w:color="auto"/>
              <w:right w:val="single" w:sz="4" w:space="0" w:color="auto"/>
            </w:tcBorders>
          </w:tcPr>
          <w:p w14:paraId="477B0386" w14:textId="77777777" w:rsidR="00B27884" w:rsidRPr="00B27884" w:rsidRDefault="00B27884" w:rsidP="00B27884">
            <w:pPr>
              <w:spacing w:after="40"/>
              <w:rPr>
                <w:rFonts w:ascii="Arial" w:hAnsi="Arial" w:cs="Arial"/>
                <w:szCs w:val="20"/>
              </w:rPr>
            </w:pPr>
          </w:p>
        </w:tc>
        <w:tc>
          <w:tcPr>
            <w:tcW w:w="481" w:type="pct"/>
            <w:tcBorders>
              <w:top w:val="single" w:sz="4" w:space="0" w:color="auto"/>
              <w:left w:val="single" w:sz="4" w:space="0" w:color="auto"/>
              <w:bottom w:val="single" w:sz="4" w:space="0" w:color="auto"/>
              <w:right w:val="single" w:sz="4" w:space="0" w:color="auto"/>
            </w:tcBorders>
          </w:tcPr>
          <w:p w14:paraId="5543170D" w14:textId="77777777" w:rsidR="00B27884" w:rsidRPr="00B27884" w:rsidRDefault="00B27884" w:rsidP="00B27884">
            <w:pPr>
              <w:spacing w:after="40"/>
              <w:rPr>
                <w:rFonts w:ascii="Arial" w:hAnsi="Arial" w:cs="Arial"/>
                <w:szCs w:val="20"/>
              </w:rPr>
            </w:pPr>
          </w:p>
        </w:tc>
      </w:tr>
    </w:tbl>
    <w:p w14:paraId="461EDDB7" w14:textId="77777777" w:rsidR="00B27884" w:rsidRPr="00B27884" w:rsidRDefault="00B27884" w:rsidP="00B27884">
      <w:pPr>
        <w:spacing w:after="160" w:line="256" w:lineRule="auto"/>
        <w:ind w:left="846"/>
        <w:outlineLvl w:val="1"/>
        <w:rPr>
          <w:rFonts w:ascii="Arial" w:hAnsi="Arial" w:cs="Arial"/>
          <w:szCs w:val="20"/>
          <w:lang w:eastAsia="en-US"/>
        </w:rPr>
      </w:pPr>
    </w:p>
    <w:p w14:paraId="292C8EA6"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Tenders that do not supply a schedule of costs in the format outlined above will not be accepted. Rows/columns can be added to the above table as necessary.</w:t>
      </w:r>
    </w:p>
    <w:p w14:paraId="2D692FA0"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HMRC may require additional meetings and presentations to those as itemised in paragraph 8.3 above. Tenderers should supply costs per meeting and presentation.  </w:t>
      </w:r>
    </w:p>
    <w:p w14:paraId="3754E53E"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If the decision not to continue with this project at any stage has additional costs associated, this should be clearly identified and a justification for these costs provided. Any additional costs identified will be subject to negotiation and agreement with HMRC prior to any contract being awarded. </w:t>
      </w:r>
    </w:p>
    <w:p w14:paraId="4EEB4660" w14:textId="77777777" w:rsidR="00B27884" w:rsidRPr="00B27884" w:rsidRDefault="00B27884" w:rsidP="00B27884">
      <w:pPr>
        <w:spacing w:after="160" w:line="256" w:lineRule="auto"/>
        <w:ind w:left="709" w:hanging="709"/>
        <w:rPr>
          <w:rFonts w:ascii="Arial" w:hAnsi="Arial" w:cs="Arial"/>
          <w:szCs w:val="20"/>
          <w:lang w:eastAsia="en-US"/>
        </w:rPr>
      </w:pPr>
    </w:p>
    <w:p w14:paraId="32F7BC53" w14:textId="77777777" w:rsidR="00B27884" w:rsidRPr="00B27884" w:rsidRDefault="00B27884" w:rsidP="00B27884">
      <w:pPr>
        <w:spacing w:after="160" w:line="256" w:lineRule="auto"/>
        <w:ind w:left="709" w:hanging="709"/>
        <w:rPr>
          <w:rFonts w:ascii="Arial" w:hAnsi="Arial" w:cs="Arial"/>
          <w:szCs w:val="20"/>
          <w:lang w:eastAsia="en-US"/>
        </w:rPr>
      </w:pPr>
    </w:p>
    <w:p w14:paraId="650081C2" w14:textId="77777777" w:rsidR="00B27884" w:rsidRPr="00B27884" w:rsidRDefault="00B27884" w:rsidP="00B27884">
      <w:pPr>
        <w:spacing w:after="160" w:line="256" w:lineRule="auto"/>
        <w:ind w:left="709" w:hanging="709"/>
        <w:rPr>
          <w:rFonts w:ascii="Arial" w:hAnsi="Arial" w:cs="Arial"/>
          <w:szCs w:val="20"/>
          <w:lang w:eastAsia="en-US"/>
        </w:rPr>
      </w:pPr>
    </w:p>
    <w:p w14:paraId="5F7EE5DD" w14:textId="77777777" w:rsidR="00B27884" w:rsidRPr="00B27884" w:rsidRDefault="00B27884" w:rsidP="00B27884">
      <w:pPr>
        <w:spacing w:after="160" w:line="256" w:lineRule="auto"/>
        <w:ind w:left="709" w:hanging="709"/>
        <w:rPr>
          <w:rFonts w:ascii="Arial" w:hAnsi="Arial" w:cs="Arial"/>
          <w:szCs w:val="20"/>
          <w:lang w:eastAsia="en-US"/>
        </w:rPr>
      </w:pPr>
    </w:p>
    <w:p w14:paraId="224528D4" w14:textId="77777777" w:rsidR="00B27884" w:rsidRPr="00B27884" w:rsidRDefault="00B27884" w:rsidP="00B27884">
      <w:pPr>
        <w:spacing w:after="160" w:line="256" w:lineRule="auto"/>
        <w:ind w:left="709" w:hanging="709"/>
        <w:rPr>
          <w:rFonts w:ascii="Arial" w:hAnsi="Arial" w:cs="Arial"/>
          <w:szCs w:val="20"/>
          <w:lang w:eastAsia="en-US"/>
        </w:rPr>
      </w:pPr>
    </w:p>
    <w:p w14:paraId="523C02D0"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54" w:name="_Toc532992271"/>
      <w:bookmarkStart w:id="55" w:name="Summary_of_evaluation_criteria"/>
      <w:r w:rsidRPr="00B27884">
        <w:rPr>
          <w:rFonts w:ascii="Arial" w:hAnsi="Arial" w:cs="Arial"/>
          <w:b/>
          <w:sz w:val="32"/>
          <w:szCs w:val="32"/>
          <w:lang w:val="en-US" w:eastAsia="en-US"/>
        </w:rPr>
        <w:t>Summary of evaluation criteria</w:t>
      </w:r>
      <w:bookmarkEnd w:id="54"/>
      <w:bookmarkEnd w:id="55"/>
    </w:p>
    <w:p w14:paraId="6344CF6F" w14:textId="77777777" w:rsidR="00B27884" w:rsidRPr="00B27884" w:rsidRDefault="00B27884" w:rsidP="00B27884">
      <w:pPr>
        <w:spacing w:after="160" w:line="256" w:lineRule="auto"/>
        <w:ind w:left="720"/>
        <w:contextualSpacing/>
        <w:rPr>
          <w:rFonts w:ascii="Arial" w:hAnsi="Arial" w:cs="Arial"/>
          <w:b/>
          <w:szCs w:val="20"/>
          <w:lang w:eastAsia="en-US"/>
        </w:rPr>
      </w:pPr>
    </w:p>
    <w:p w14:paraId="61D6C86A"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07D3645A"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53BD7C01"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scores for quality and cost will be added to provide an overall score from 0 to 100, as summarised below.</w:t>
      </w:r>
    </w:p>
    <w:tbl>
      <w:tblPr>
        <w:tblStyle w:val="TableGrid1"/>
        <w:tblW w:w="0" w:type="auto"/>
        <w:tblInd w:w="607" w:type="dxa"/>
        <w:tblLook w:val="04A0" w:firstRow="1" w:lastRow="0" w:firstColumn="1" w:lastColumn="0" w:noHBand="0" w:noVBand="1"/>
      </w:tblPr>
      <w:tblGrid>
        <w:gridCol w:w="5553"/>
        <w:gridCol w:w="2020"/>
      </w:tblGrid>
      <w:tr w:rsidR="00B27884" w:rsidRPr="00B27884" w14:paraId="20E90A5C" w14:textId="77777777" w:rsidTr="00B27884">
        <w:trPr>
          <w:trHeight w:val="251"/>
        </w:trPr>
        <w:tc>
          <w:tcPr>
            <w:tcW w:w="5553" w:type="dxa"/>
            <w:tcBorders>
              <w:top w:val="single" w:sz="4" w:space="0" w:color="auto"/>
              <w:left w:val="single" w:sz="4" w:space="0" w:color="auto"/>
              <w:bottom w:val="single" w:sz="4" w:space="0" w:color="auto"/>
              <w:right w:val="single" w:sz="4" w:space="0" w:color="auto"/>
            </w:tcBorders>
            <w:shd w:val="clear" w:color="auto" w:fill="008080"/>
            <w:hideMark/>
          </w:tcPr>
          <w:p w14:paraId="274B0BC1" w14:textId="77777777" w:rsidR="00B27884" w:rsidRPr="00B27884" w:rsidRDefault="00B27884" w:rsidP="00B27884">
            <w:pPr>
              <w:contextualSpacing/>
              <w:rPr>
                <w:rFonts w:ascii="Arial" w:hAnsi="Arial" w:cs="Arial"/>
                <w:b/>
                <w:color w:val="FFFFFF"/>
                <w:szCs w:val="20"/>
              </w:rPr>
            </w:pPr>
            <w:r w:rsidRPr="00B27884">
              <w:rPr>
                <w:rFonts w:ascii="Arial" w:hAnsi="Arial" w:cs="Arial"/>
                <w:b/>
                <w:color w:val="FFFFFF"/>
                <w:szCs w:val="20"/>
              </w:rPr>
              <w:t>Evaluation criteria</w:t>
            </w:r>
          </w:p>
        </w:tc>
        <w:tc>
          <w:tcPr>
            <w:tcW w:w="2020" w:type="dxa"/>
            <w:tcBorders>
              <w:top w:val="single" w:sz="4" w:space="0" w:color="auto"/>
              <w:left w:val="single" w:sz="4" w:space="0" w:color="auto"/>
              <w:bottom w:val="single" w:sz="4" w:space="0" w:color="auto"/>
              <w:right w:val="single" w:sz="4" w:space="0" w:color="auto"/>
            </w:tcBorders>
            <w:shd w:val="clear" w:color="auto" w:fill="008080"/>
            <w:hideMark/>
          </w:tcPr>
          <w:p w14:paraId="050EB958" w14:textId="77777777" w:rsidR="00B27884" w:rsidRPr="00B27884" w:rsidRDefault="00B27884" w:rsidP="00B27884">
            <w:pPr>
              <w:contextualSpacing/>
              <w:rPr>
                <w:rFonts w:ascii="Arial" w:hAnsi="Arial" w:cs="Arial"/>
                <w:b/>
                <w:color w:val="FFFFFF"/>
                <w:szCs w:val="20"/>
              </w:rPr>
            </w:pPr>
            <w:r w:rsidRPr="00B27884">
              <w:rPr>
                <w:rFonts w:ascii="Arial" w:hAnsi="Arial" w:cs="Arial"/>
                <w:b/>
                <w:color w:val="FFFFFF"/>
                <w:szCs w:val="20"/>
              </w:rPr>
              <w:t>Weighting</w:t>
            </w:r>
          </w:p>
        </w:tc>
      </w:tr>
      <w:tr w:rsidR="00B27884" w:rsidRPr="00B27884" w14:paraId="27BEDFB5" w14:textId="77777777" w:rsidTr="00B27884">
        <w:trPr>
          <w:trHeight w:val="257"/>
        </w:trPr>
        <w:tc>
          <w:tcPr>
            <w:tcW w:w="5553" w:type="dxa"/>
            <w:tcBorders>
              <w:top w:val="single" w:sz="4" w:space="0" w:color="auto"/>
              <w:left w:val="single" w:sz="4" w:space="0" w:color="auto"/>
              <w:bottom w:val="nil"/>
              <w:right w:val="single" w:sz="4" w:space="0" w:color="auto"/>
            </w:tcBorders>
            <w:shd w:val="clear" w:color="auto" w:fill="E7E6E6"/>
            <w:hideMark/>
          </w:tcPr>
          <w:p w14:paraId="273F3767" w14:textId="77777777" w:rsidR="00B27884" w:rsidRPr="00B27884" w:rsidRDefault="00B27884" w:rsidP="00B27884">
            <w:pPr>
              <w:contextualSpacing/>
              <w:rPr>
                <w:rFonts w:ascii="Arial" w:hAnsi="Arial" w:cs="Arial"/>
                <w:b/>
                <w:szCs w:val="20"/>
              </w:rPr>
            </w:pPr>
            <w:r w:rsidRPr="00B27884">
              <w:rPr>
                <w:rFonts w:ascii="Arial" w:hAnsi="Arial" w:cs="Arial"/>
                <w:b/>
                <w:szCs w:val="20"/>
              </w:rPr>
              <w:t>Quality</w:t>
            </w:r>
          </w:p>
        </w:tc>
        <w:tc>
          <w:tcPr>
            <w:tcW w:w="2020" w:type="dxa"/>
            <w:tcBorders>
              <w:top w:val="single" w:sz="4" w:space="0" w:color="auto"/>
              <w:left w:val="single" w:sz="4" w:space="0" w:color="auto"/>
              <w:bottom w:val="nil"/>
              <w:right w:val="single" w:sz="4" w:space="0" w:color="auto"/>
            </w:tcBorders>
            <w:shd w:val="clear" w:color="auto" w:fill="E7E6E6"/>
            <w:hideMark/>
          </w:tcPr>
          <w:p w14:paraId="3F3D24F0" w14:textId="77777777" w:rsidR="00B27884" w:rsidRPr="00B27884" w:rsidRDefault="00B27884" w:rsidP="00B27884">
            <w:pPr>
              <w:contextualSpacing/>
              <w:jc w:val="center"/>
              <w:rPr>
                <w:rFonts w:ascii="Arial" w:hAnsi="Arial" w:cs="Arial"/>
                <w:b/>
                <w:szCs w:val="20"/>
              </w:rPr>
            </w:pPr>
            <w:r w:rsidRPr="00B27884">
              <w:rPr>
                <w:rFonts w:ascii="Arial" w:hAnsi="Arial" w:cs="Arial"/>
                <w:b/>
                <w:szCs w:val="20"/>
              </w:rPr>
              <w:t>80%</w:t>
            </w:r>
          </w:p>
        </w:tc>
      </w:tr>
      <w:tr w:rsidR="00B27884" w:rsidRPr="00B27884" w14:paraId="27E79B57" w14:textId="77777777" w:rsidTr="00B27884">
        <w:trPr>
          <w:trHeight w:val="1263"/>
        </w:trPr>
        <w:tc>
          <w:tcPr>
            <w:tcW w:w="5553" w:type="dxa"/>
            <w:tcBorders>
              <w:top w:val="nil"/>
              <w:left w:val="single" w:sz="4" w:space="0" w:color="auto"/>
              <w:bottom w:val="single" w:sz="4" w:space="0" w:color="auto"/>
              <w:right w:val="single" w:sz="4" w:space="0" w:color="auto"/>
            </w:tcBorders>
            <w:hideMark/>
          </w:tcPr>
          <w:p w14:paraId="6098F865" w14:textId="77777777" w:rsidR="00B27884" w:rsidRPr="00B27884" w:rsidRDefault="00B27884" w:rsidP="00B27884">
            <w:pPr>
              <w:numPr>
                <w:ilvl w:val="0"/>
                <w:numId w:val="39"/>
              </w:numPr>
              <w:spacing w:line="256" w:lineRule="auto"/>
              <w:ind w:left="698" w:hanging="425"/>
              <w:contextualSpacing/>
              <w:rPr>
                <w:rFonts w:ascii="Arial" w:hAnsi="Arial" w:cs="Arial"/>
                <w:szCs w:val="20"/>
              </w:rPr>
            </w:pPr>
            <w:r w:rsidRPr="00B27884">
              <w:rPr>
                <w:rFonts w:ascii="Arial" w:hAnsi="Arial" w:cs="Arial"/>
                <w:szCs w:val="20"/>
              </w:rPr>
              <w:t>Addressing aims and objectives</w:t>
            </w:r>
          </w:p>
          <w:p w14:paraId="677E2C21" w14:textId="77777777" w:rsidR="00B27884" w:rsidRPr="00B27884" w:rsidRDefault="00B27884" w:rsidP="00B27884">
            <w:pPr>
              <w:numPr>
                <w:ilvl w:val="0"/>
                <w:numId w:val="39"/>
              </w:numPr>
              <w:spacing w:line="256" w:lineRule="auto"/>
              <w:ind w:left="698" w:hanging="425"/>
              <w:contextualSpacing/>
              <w:rPr>
                <w:rFonts w:ascii="Arial" w:hAnsi="Arial" w:cs="Arial"/>
                <w:szCs w:val="20"/>
              </w:rPr>
            </w:pPr>
            <w:r w:rsidRPr="00B27884">
              <w:rPr>
                <w:rFonts w:ascii="Arial" w:hAnsi="Arial" w:cs="Arial"/>
                <w:szCs w:val="20"/>
              </w:rPr>
              <w:t>Methodology and scope</w:t>
            </w:r>
          </w:p>
          <w:p w14:paraId="6E6FEE57" w14:textId="77777777" w:rsidR="00B27884" w:rsidRPr="00B27884" w:rsidRDefault="00B27884" w:rsidP="00B27884">
            <w:pPr>
              <w:numPr>
                <w:ilvl w:val="0"/>
                <w:numId w:val="39"/>
              </w:numPr>
              <w:spacing w:line="256" w:lineRule="auto"/>
              <w:ind w:left="698" w:hanging="425"/>
              <w:contextualSpacing/>
              <w:rPr>
                <w:rFonts w:ascii="Arial" w:hAnsi="Arial" w:cs="Arial"/>
                <w:szCs w:val="20"/>
              </w:rPr>
            </w:pPr>
            <w:r w:rsidRPr="00B27884">
              <w:rPr>
                <w:rFonts w:ascii="Arial" w:hAnsi="Arial" w:cs="Arial"/>
                <w:szCs w:val="20"/>
              </w:rPr>
              <w:t>Delivery to time and quality</w:t>
            </w:r>
          </w:p>
          <w:p w14:paraId="57175F36" w14:textId="77777777" w:rsidR="00B27884" w:rsidRPr="00B27884" w:rsidRDefault="00B27884" w:rsidP="00B27884">
            <w:pPr>
              <w:numPr>
                <w:ilvl w:val="0"/>
                <w:numId w:val="39"/>
              </w:numPr>
              <w:spacing w:line="256" w:lineRule="auto"/>
              <w:ind w:left="698" w:hanging="425"/>
              <w:contextualSpacing/>
              <w:rPr>
                <w:rFonts w:ascii="Arial" w:hAnsi="Arial" w:cs="Arial"/>
                <w:szCs w:val="20"/>
              </w:rPr>
            </w:pPr>
            <w:r w:rsidRPr="00B27884">
              <w:rPr>
                <w:rFonts w:ascii="Arial" w:hAnsi="Arial" w:cs="Arial"/>
                <w:szCs w:val="20"/>
              </w:rPr>
              <w:t>Team experience</w:t>
            </w:r>
          </w:p>
        </w:tc>
        <w:tc>
          <w:tcPr>
            <w:tcW w:w="2020" w:type="dxa"/>
            <w:tcBorders>
              <w:top w:val="nil"/>
              <w:left w:val="single" w:sz="4" w:space="0" w:color="auto"/>
              <w:bottom w:val="single" w:sz="4" w:space="0" w:color="auto"/>
              <w:right w:val="single" w:sz="4" w:space="0" w:color="auto"/>
            </w:tcBorders>
            <w:hideMark/>
          </w:tcPr>
          <w:p w14:paraId="36AC9221" w14:textId="77777777" w:rsidR="00B27884" w:rsidRPr="00B27884" w:rsidRDefault="00B27884" w:rsidP="00B27884">
            <w:pPr>
              <w:contextualSpacing/>
              <w:jc w:val="center"/>
              <w:rPr>
                <w:rFonts w:ascii="Arial" w:hAnsi="Arial" w:cs="Arial"/>
                <w:szCs w:val="20"/>
              </w:rPr>
            </w:pPr>
            <w:r w:rsidRPr="00B27884">
              <w:rPr>
                <w:rFonts w:ascii="Arial" w:hAnsi="Arial" w:cs="Arial"/>
                <w:szCs w:val="20"/>
              </w:rPr>
              <w:t>15%</w:t>
            </w:r>
          </w:p>
          <w:p w14:paraId="156ECAF7" w14:textId="77777777" w:rsidR="00B27884" w:rsidRPr="00B27884" w:rsidRDefault="00B27884" w:rsidP="00B27884">
            <w:pPr>
              <w:contextualSpacing/>
              <w:jc w:val="center"/>
              <w:rPr>
                <w:rFonts w:ascii="Arial" w:hAnsi="Arial" w:cs="Arial"/>
                <w:szCs w:val="20"/>
              </w:rPr>
            </w:pPr>
            <w:r w:rsidRPr="00B27884">
              <w:rPr>
                <w:rFonts w:ascii="Arial" w:hAnsi="Arial" w:cs="Arial"/>
                <w:szCs w:val="20"/>
              </w:rPr>
              <w:t>30%</w:t>
            </w:r>
          </w:p>
          <w:p w14:paraId="566D2A70" w14:textId="77777777" w:rsidR="00B27884" w:rsidRPr="00B27884" w:rsidRDefault="00B27884" w:rsidP="00B27884">
            <w:pPr>
              <w:contextualSpacing/>
              <w:jc w:val="center"/>
              <w:rPr>
                <w:rFonts w:ascii="Arial" w:hAnsi="Arial" w:cs="Arial"/>
                <w:szCs w:val="20"/>
              </w:rPr>
            </w:pPr>
            <w:r w:rsidRPr="00B27884">
              <w:rPr>
                <w:rFonts w:ascii="Arial" w:hAnsi="Arial" w:cs="Arial"/>
                <w:szCs w:val="20"/>
              </w:rPr>
              <w:t>15%</w:t>
            </w:r>
          </w:p>
          <w:p w14:paraId="3501FA2F" w14:textId="77777777" w:rsidR="00B27884" w:rsidRPr="00B27884" w:rsidRDefault="00B27884" w:rsidP="00B27884">
            <w:pPr>
              <w:contextualSpacing/>
              <w:jc w:val="center"/>
              <w:rPr>
                <w:rFonts w:ascii="Arial" w:hAnsi="Arial" w:cs="Arial"/>
                <w:szCs w:val="20"/>
              </w:rPr>
            </w:pPr>
            <w:r w:rsidRPr="00B27884">
              <w:rPr>
                <w:rFonts w:ascii="Arial" w:hAnsi="Arial" w:cs="Arial"/>
                <w:szCs w:val="20"/>
              </w:rPr>
              <w:t>20%</w:t>
            </w:r>
          </w:p>
        </w:tc>
      </w:tr>
      <w:tr w:rsidR="00B27884" w:rsidRPr="00B27884" w14:paraId="21C553A1" w14:textId="77777777" w:rsidTr="00B27884">
        <w:trPr>
          <w:trHeight w:val="251"/>
        </w:trPr>
        <w:tc>
          <w:tcPr>
            <w:tcW w:w="5553" w:type="dxa"/>
            <w:tcBorders>
              <w:top w:val="single" w:sz="4" w:space="0" w:color="auto"/>
              <w:left w:val="single" w:sz="4" w:space="0" w:color="auto"/>
              <w:bottom w:val="nil"/>
              <w:right w:val="single" w:sz="4" w:space="0" w:color="auto"/>
            </w:tcBorders>
            <w:shd w:val="clear" w:color="auto" w:fill="E7E6E6"/>
            <w:hideMark/>
          </w:tcPr>
          <w:p w14:paraId="7B3F3045" w14:textId="77777777" w:rsidR="00B27884" w:rsidRPr="00B27884" w:rsidRDefault="00B27884" w:rsidP="00B27884">
            <w:pPr>
              <w:contextualSpacing/>
              <w:rPr>
                <w:rFonts w:ascii="Arial" w:hAnsi="Arial" w:cs="Arial"/>
                <w:b/>
                <w:szCs w:val="20"/>
              </w:rPr>
            </w:pPr>
            <w:r w:rsidRPr="00B27884">
              <w:rPr>
                <w:rFonts w:ascii="Arial" w:hAnsi="Arial" w:cs="Arial"/>
                <w:b/>
                <w:szCs w:val="20"/>
              </w:rPr>
              <w:lastRenderedPageBreak/>
              <w:t>Price</w:t>
            </w:r>
          </w:p>
        </w:tc>
        <w:tc>
          <w:tcPr>
            <w:tcW w:w="2020" w:type="dxa"/>
            <w:tcBorders>
              <w:top w:val="single" w:sz="4" w:space="0" w:color="auto"/>
              <w:left w:val="single" w:sz="4" w:space="0" w:color="auto"/>
              <w:bottom w:val="nil"/>
              <w:right w:val="single" w:sz="4" w:space="0" w:color="auto"/>
            </w:tcBorders>
            <w:shd w:val="clear" w:color="auto" w:fill="E7E6E6"/>
            <w:hideMark/>
          </w:tcPr>
          <w:p w14:paraId="422BB4D6" w14:textId="77777777" w:rsidR="00B27884" w:rsidRPr="00B27884" w:rsidRDefault="00B27884" w:rsidP="00B27884">
            <w:pPr>
              <w:contextualSpacing/>
              <w:jc w:val="center"/>
              <w:rPr>
                <w:rFonts w:ascii="Arial" w:hAnsi="Arial" w:cs="Arial"/>
                <w:b/>
                <w:szCs w:val="20"/>
              </w:rPr>
            </w:pPr>
            <w:r w:rsidRPr="00B27884">
              <w:rPr>
                <w:rFonts w:ascii="Arial" w:hAnsi="Arial" w:cs="Arial"/>
                <w:b/>
                <w:szCs w:val="20"/>
              </w:rPr>
              <w:t>20%</w:t>
            </w:r>
          </w:p>
        </w:tc>
      </w:tr>
      <w:tr w:rsidR="00B27884" w:rsidRPr="00B27884" w14:paraId="6B1C1C75" w14:textId="77777777" w:rsidTr="00B27884">
        <w:trPr>
          <w:trHeight w:val="251"/>
        </w:trPr>
        <w:tc>
          <w:tcPr>
            <w:tcW w:w="5553" w:type="dxa"/>
            <w:tcBorders>
              <w:top w:val="single" w:sz="4" w:space="0" w:color="auto"/>
              <w:left w:val="single" w:sz="4" w:space="0" w:color="auto"/>
              <w:bottom w:val="single" w:sz="4" w:space="0" w:color="auto"/>
              <w:right w:val="single" w:sz="4" w:space="0" w:color="auto"/>
            </w:tcBorders>
            <w:shd w:val="clear" w:color="auto" w:fill="E7E6E6"/>
            <w:hideMark/>
          </w:tcPr>
          <w:p w14:paraId="2A2611D2" w14:textId="77777777" w:rsidR="00B27884" w:rsidRPr="00B27884" w:rsidRDefault="00B27884" w:rsidP="00B27884">
            <w:pPr>
              <w:contextualSpacing/>
              <w:rPr>
                <w:rFonts w:ascii="Arial" w:hAnsi="Arial" w:cs="Arial"/>
                <w:b/>
                <w:szCs w:val="20"/>
              </w:rPr>
            </w:pPr>
            <w:r w:rsidRPr="00B27884">
              <w:rPr>
                <w:rFonts w:ascii="Arial" w:hAnsi="Arial" w:cs="Arial"/>
                <w:b/>
                <w:szCs w:val="20"/>
              </w:rPr>
              <w:t>Total</w:t>
            </w:r>
          </w:p>
        </w:tc>
        <w:tc>
          <w:tcPr>
            <w:tcW w:w="2020" w:type="dxa"/>
            <w:tcBorders>
              <w:top w:val="single" w:sz="4" w:space="0" w:color="auto"/>
              <w:left w:val="single" w:sz="4" w:space="0" w:color="auto"/>
              <w:bottom w:val="single" w:sz="4" w:space="0" w:color="auto"/>
              <w:right w:val="single" w:sz="4" w:space="0" w:color="auto"/>
            </w:tcBorders>
            <w:shd w:val="clear" w:color="auto" w:fill="E7E6E6"/>
            <w:hideMark/>
          </w:tcPr>
          <w:p w14:paraId="11865FF6" w14:textId="77777777" w:rsidR="00B27884" w:rsidRPr="00B27884" w:rsidRDefault="00B27884" w:rsidP="00B27884">
            <w:pPr>
              <w:contextualSpacing/>
              <w:jc w:val="center"/>
              <w:rPr>
                <w:rFonts w:ascii="Arial" w:hAnsi="Arial" w:cs="Arial"/>
                <w:b/>
                <w:szCs w:val="20"/>
              </w:rPr>
            </w:pPr>
            <w:r w:rsidRPr="00B27884">
              <w:rPr>
                <w:rFonts w:ascii="Arial" w:hAnsi="Arial" w:cs="Arial"/>
                <w:b/>
                <w:szCs w:val="20"/>
              </w:rPr>
              <w:t>100%</w:t>
            </w:r>
          </w:p>
        </w:tc>
      </w:tr>
    </w:tbl>
    <w:p w14:paraId="307CA845" w14:textId="77777777" w:rsidR="00B27884" w:rsidRPr="00B27884" w:rsidRDefault="00B27884" w:rsidP="00B27884">
      <w:pPr>
        <w:spacing w:after="160" w:line="256" w:lineRule="auto"/>
        <w:ind w:left="993"/>
        <w:contextualSpacing/>
        <w:rPr>
          <w:rFonts w:ascii="Arial" w:hAnsi="Arial" w:cs="Arial"/>
          <w:szCs w:val="20"/>
          <w:lang w:eastAsia="en-US"/>
        </w:rPr>
      </w:pPr>
    </w:p>
    <w:p w14:paraId="39502AF8"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tender with the highest overall mark will be selected by HMRC as the preferred tendering organisation deemed to best meet the requirement and provide greatest value for money.</w:t>
      </w:r>
    </w:p>
    <w:p w14:paraId="538D4602"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Following final selection, any necessary post tender negotiations will be held with the preferred contractor in order to finalise the work programme prior to awarding the contract.</w:t>
      </w:r>
    </w:p>
    <w:p w14:paraId="6DC3935D" w14:textId="77777777" w:rsidR="00B27884" w:rsidRPr="00B27884" w:rsidRDefault="00B27884" w:rsidP="00B27884">
      <w:pPr>
        <w:spacing w:after="160" w:line="256" w:lineRule="auto"/>
        <w:rPr>
          <w:rFonts w:ascii="Arial" w:hAnsi="Arial" w:cs="Arial"/>
          <w:b/>
          <w:szCs w:val="20"/>
          <w:lang w:eastAsia="en-US"/>
        </w:rPr>
      </w:pPr>
    </w:p>
    <w:p w14:paraId="02F9526C"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56" w:name="_Toc532992272"/>
      <w:bookmarkStart w:id="57" w:name="Data_security_and_protection"/>
      <w:r w:rsidRPr="00B27884">
        <w:rPr>
          <w:rFonts w:ascii="Arial" w:hAnsi="Arial" w:cs="Arial"/>
          <w:b/>
          <w:sz w:val="32"/>
          <w:szCs w:val="32"/>
          <w:lang w:val="en-US" w:eastAsia="en-US"/>
        </w:rPr>
        <w:t>Data security and protection</w:t>
      </w:r>
      <w:bookmarkEnd w:id="56"/>
      <w:bookmarkEnd w:id="57"/>
    </w:p>
    <w:p w14:paraId="31DBA19F" w14:textId="77777777" w:rsidR="00B27884" w:rsidRPr="00B27884" w:rsidRDefault="00B27884" w:rsidP="00B27884">
      <w:pPr>
        <w:spacing w:after="160" w:line="256" w:lineRule="auto"/>
        <w:ind w:left="720"/>
        <w:contextualSpacing/>
        <w:rPr>
          <w:rFonts w:ascii="Arial" w:hAnsi="Arial" w:cs="Arial"/>
          <w:b/>
          <w:szCs w:val="20"/>
          <w:lang w:eastAsia="en-US"/>
        </w:rPr>
      </w:pPr>
    </w:p>
    <w:p w14:paraId="51D426EE"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52E664F5"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6BBBE571"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The successful tenderer will be required to submit a security plan before the start of the contract. This will detail your approach to safeguarding confidential information including your company policies for handling sensitive documents and computer files from unauthorised access. This will contain details of how the following will be administered:</w:t>
      </w:r>
    </w:p>
    <w:p w14:paraId="225E031C" w14:textId="77777777" w:rsidR="00B27884" w:rsidRPr="00B27884" w:rsidRDefault="00B27884" w:rsidP="00B27884">
      <w:pPr>
        <w:numPr>
          <w:ilvl w:val="0"/>
          <w:numId w:val="40"/>
        </w:numPr>
        <w:spacing w:after="160" w:line="256" w:lineRule="auto"/>
        <w:outlineLvl w:val="2"/>
        <w:rPr>
          <w:rFonts w:ascii="Arial" w:hAnsi="Arial" w:cs="Arial"/>
          <w:szCs w:val="20"/>
          <w:lang w:eastAsia="en-US"/>
        </w:rPr>
      </w:pPr>
      <w:r w:rsidRPr="00B27884">
        <w:rPr>
          <w:rFonts w:ascii="Arial" w:hAnsi="Arial" w:cs="Arial"/>
          <w:szCs w:val="20"/>
          <w:lang w:eastAsia="en-US"/>
        </w:rPr>
        <w:t>How tenderers will hold data on sampled participants;</w:t>
      </w:r>
    </w:p>
    <w:p w14:paraId="0BAA01BF"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How long tenderers will keep data on sampled participants;</w:t>
      </w:r>
    </w:p>
    <w:p w14:paraId="1411B52F"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 xml:space="preserve">What details about participants will be passed to recruiters and/or interviewers; </w:t>
      </w:r>
    </w:p>
    <w:p w14:paraId="066099C7"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t>How tenderers will destroy data once it has been used. This must include originally transferred data files, copies of data files held on all computers, and copies held on archived back-up systems.</w:t>
      </w:r>
    </w:p>
    <w:p w14:paraId="42F828A1"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If you intend to involve sub-contractors at any stage of the project please include details of how you will ensure their compliance with all aspects of the Security Plan.</w:t>
      </w:r>
    </w:p>
    <w:p w14:paraId="453B9150"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A Security Plan questionnaire is attached (please see Annex D).</w:t>
      </w:r>
    </w:p>
    <w:p w14:paraId="19428853"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58" w:name="_Toc532992273"/>
      <w:bookmarkStart w:id="59" w:name="Other_ethical_issues"/>
      <w:r w:rsidRPr="00B27884">
        <w:rPr>
          <w:rFonts w:ascii="Arial" w:hAnsi="Arial" w:cs="Arial"/>
          <w:b/>
          <w:sz w:val="32"/>
          <w:szCs w:val="32"/>
          <w:lang w:val="en-US" w:eastAsia="en-US"/>
        </w:rPr>
        <w:t>Other ethical issues</w:t>
      </w:r>
      <w:bookmarkEnd w:id="58"/>
      <w:bookmarkEnd w:id="59"/>
    </w:p>
    <w:p w14:paraId="28749EF6" w14:textId="77777777" w:rsidR="00B27884" w:rsidRPr="00B27884" w:rsidRDefault="00B27884" w:rsidP="00B27884">
      <w:pPr>
        <w:spacing w:after="160" w:line="256" w:lineRule="auto"/>
        <w:ind w:left="846"/>
        <w:outlineLvl w:val="1"/>
        <w:rPr>
          <w:rFonts w:ascii="Arial" w:hAnsi="Arial" w:cs="Arial"/>
          <w:szCs w:val="20"/>
          <w:lang w:eastAsia="en-US"/>
        </w:rPr>
      </w:pPr>
    </w:p>
    <w:p w14:paraId="1D030FCC"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1981C314"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To preserve confidentiality and anonymity, details of individual participants in the research must not be included in the analysis and reports.</w:t>
      </w:r>
    </w:p>
    <w:p w14:paraId="22259210"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60" w:name="_Toc532992274"/>
      <w:bookmarkStart w:id="61" w:name="Procurement_transparency"/>
      <w:r w:rsidRPr="00B27884">
        <w:rPr>
          <w:rFonts w:ascii="Arial" w:hAnsi="Arial" w:cs="Arial"/>
          <w:b/>
          <w:sz w:val="32"/>
          <w:szCs w:val="32"/>
          <w:lang w:val="en-US" w:eastAsia="en-US"/>
        </w:rPr>
        <w:t>Procurement transparency</w:t>
      </w:r>
      <w:bookmarkEnd w:id="60"/>
      <w:bookmarkEnd w:id="61"/>
    </w:p>
    <w:p w14:paraId="16612158" w14:textId="77777777" w:rsidR="00B27884" w:rsidRPr="00B27884" w:rsidRDefault="00B27884" w:rsidP="00B27884">
      <w:pPr>
        <w:spacing w:after="160" w:line="256" w:lineRule="auto"/>
        <w:ind w:left="720"/>
        <w:contextualSpacing/>
        <w:rPr>
          <w:rFonts w:ascii="Arial" w:hAnsi="Arial" w:cs="Arial"/>
          <w:b/>
          <w:szCs w:val="20"/>
          <w:lang w:eastAsia="en-US"/>
        </w:rPr>
      </w:pPr>
    </w:p>
    <w:p w14:paraId="2748E2EB"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323622D2"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61E296C6"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is obliged to publish tender documents for all contracts with a whole life value of over £10,000. It is a condition of bidding for this work that applicants agree to the subsequent publication of the contract once awarded.</w:t>
      </w:r>
    </w:p>
    <w:p w14:paraId="4CBF0484"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lastRenderedPageBreak/>
        <w:t>If tenderers believe that any of the information requested is commercially sensitive they should provide such information in a separate letter.</w:t>
      </w:r>
    </w:p>
    <w:p w14:paraId="571D2CF2"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ITTs are commercially sensitive documents; the contents of any HMRC ITT should not be divulged to those without a business need to know.</w:t>
      </w:r>
    </w:p>
    <w:p w14:paraId="15521676" w14:textId="77777777" w:rsidR="00B27884" w:rsidRPr="00B27884" w:rsidRDefault="00B27884" w:rsidP="00B27884">
      <w:pPr>
        <w:spacing w:after="160" w:line="256" w:lineRule="auto"/>
        <w:ind w:left="847"/>
        <w:contextualSpacing/>
        <w:rPr>
          <w:rFonts w:ascii="Arial" w:hAnsi="Arial" w:cs="Arial"/>
          <w:szCs w:val="20"/>
          <w:lang w:eastAsia="en-US"/>
        </w:rPr>
      </w:pPr>
    </w:p>
    <w:p w14:paraId="0934587B"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62" w:name="_Toc532992275"/>
      <w:bookmarkStart w:id="63" w:name="Commissioning_conditions"/>
      <w:r w:rsidRPr="00B27884">
        <w:rPr>
          <w:rFonts w:ascii="Arial" w:hAnsi="Arial" w:cs="Arial"/>
          <w:b/>
          <w:sz w:val="32"/>
          <w:szCs w:val="32"/>
          <w:lang w:val="en-US" w:eastAsia="en-US"/>
        </w:rPr>
        <w:t>Commissioning Conditions</w:t>
      </w:r>
      <w:bookmarkEnd w:id="62"/>
      <w:r w:rsidRPr="00B27884">
        <w:rPr>
          <w:rFonts w:ascii="Arial" w:hAnsi="Arial" w:cs="Arial"/>
          <w:b/>
          <w:sz w:val="32"/>
          <w:szCs w:val="32"/>
          <w:lang w:val="en-US" w:eastAsia="en-US"/>
        </w:rPr>
        <w:t xml:space="preserve"> </w:t>
      </w:r>
      <w:bookmarkEnd w:id="63"/>
    </w:p>
    <w:p w14:paraId="38330F38" w14:textId="77777777" w:rsidR="00B27884" w:rsidRPr="00B27884" w:rsidRDefault="00B27884" w:rsidP="00B27884">
      <w:pPr>
        <w:spacing w:after="160" w:line="256" w:lineRule="auto"/>
        <w:ind w:left="720"/>
        <w:contextualSpacing/>
        <w:rPr>
          <w:rFonts w:ascii="Arial" w:hAnsi="Arial" w:cs="Arial"/>
          <w:b/>
          <w:szCs w:val="20"/>
          <w:lang w:eastAsia="en-US"/>
        </w:rPr>
      </w:pPr>
    </w:p>
    <w:p w14:paraId="19DBBB73"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1DB2F808"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75E208CB"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The BEIS Research &amp; Evaluation Framework Terms and Conditions will form the basis of the contractual agreement between the successful tendering organisation and HMRC. </w:t>
      </w:r>
    </w:p>
    <w:p w14:paraId="7B78554B"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Additional contractual information relating to the Protection of Information is included in Annex B. The contractual agreement will be subject to the contractor complying with the Official Secrets Acts and related Legislation including Section 18 and 19 of the Commissioners for Revenue and Customs Act 2005. </w:t>
      </w:r>
    </w:p>
    <w:p w14:paraId="526D20B2"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HMRC retains the option of whether or not to commission the study, or any element of it.</w:t>
      </w:r>
    </w:p>
    <w:p w14:paraId="3F8C2FA5"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Terminating the contract – HMRC reserves the right to terminate the contract prematurely (for any reason) should this be deemed necessary. In the event that it would become necessary to terminate or adjust the contract, HMRC will cover costs for services provided up to that point. Tenderers should not book or schedule fieldwork until written confirmation has been provided by HMRC. Tenderers should provide a cancellation policy, including details of charges (if any) should it be necessary to cancel fieldwork.</w:t>
      </w:r>
    </w:p>
    <w:p w14:paraId="000CA4C3" w14:textId="77777777" w:rsidR="00B27884" w:rsidRPr="00B27884" w:rsidRDefault="00B27884" w:rsidP="00B27884">
      <w:pPr>
        <w:spacing w:after="160" w:line="256" w:lineRule="auto"/>
        <w:ind w:left="847"/>
        <w:contextualSpacing/>
        <w:rPr>
          <w:rFonts w:ascii="Arial" w:hAnsi="Arial" w:cs="Arial"/>
          <w:szCs w:val="20"/>
          <w:lang w:eastAsia="en-US"/>
        </w:rPr>
      </w:pPr>
    </w:p>
    <w:p w14:paraId="00197BD3" w14:textId="77777777" w:rsidR="00B27884" w:rsidRPr="00B27884" w:rsidRDefault="00B27884" w:rsidP="00B27884">
      <w:pPr>
        <w:spacing w:after="160" w:line="256" w:lineRule="auto"/>
        <w:ind w:left="847"/>
        <w:contextualSpacing/>
        <w:rPr>
          <w:rFonts w:ascii="Arial" w:hAnsi="Arial" w:cs="Arial"/>
          <w:szCs w:val="20"/>
          <w:lang w:eastAsia="en-US"/>
        </w:rPr>
      </w:pPr>
    </w:p>
    <w:p w14:paraId="6CAFFCDB" w14:textId="77777777" w:rsidR="00B27884" w:rsidRPr="00B27884" w:rsidRDefault="00B27884" w:rsidP="00B27884">
      <w:pPr>
        <w:spacing w:after="160" w:line="256" w:lineRule="auto"/>
        <w:ind w:left="847"/>
        <w:contextualSpacing/>
        <w:rPr>
          <w:rFonts w:ascii="Arial" w:hAnsi="Arial" w:cs="Arial"/>
          <w:szCs w:val="20"/>
          <w:lang w:eastAsia="en-US"/>
        </w:rPr>
      </w:pPr>
    </w:p>
    <w:p w14:paraId="368455B0"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64" w:name="_Toc532992276"/>
      <w:bookmarkStart w:id="65" w:name="Summary_of_requirements"/>
      <w:bookmarkStart w:id="66" w:name="_Toc481666239"/>
      <w:r w:rsidRPr="00B27884">
        <w:rPr>
          <w:rFonts w:ascii="Arial" w:hAnsi="Arial" w:cs="Arial"/>
          <w:b/>
          <w:sz w:val="32"/>
          <w:szCs w:val="32"/>
          <w:lang w:val="en-US" w:eastAsia="en-US"/>
        </w:rPr>
        <w:t>Summary of requirements</w:t>
      </w:r>
      <w:bookmarkEnd w:id="64"/>
      <w:bookmarkEnd w:id="65"/>
      <w:bookmarkEnd w:id="66"/>
    </w:p>
    <w:p w14:paraId="0DD8153C" w14:textId="77777777" w:rsidR="00B27884" w:rsidRPr="00B27884" w:rsidRDefault="00B27884" w:rsidP="00B27884">
      <w:pPr>
        <w:spacing w:after="160" w:line="256" w:lineRule="auto"/>
        <w:ind w:left="720"/>
        <w:contextualSpacing/>
        <w:rPr>
          <w:rFonts w:ascii="Arial" w:hAnsi="Arial" w:cs="Arial"/>
          <w:b/>
          <w:szCs w:val="20"/>
          <w:lang w:eastAsia="en-US"/>
        </w:rPr>
      </w:pPr>
    </w:p>
    <w:p w14:paraId="35B35F89"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3D64E236"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62470A7B"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Tenders should include the following information:</w:t>
      </w:r>
    </w:p>
    <w:p w14:paraId="5A69FADB" w14:textId="77777777" w:rsidR="00B27884" w:rsidRPr="00B27884" w:rsidRDefault="00B27884" w:rsidP="00B27884">
      <w:pPr>
        <w:numPr>
          <w:ilvl w:val="0"/>
          <w:numId w:val="41"/>
        </w:numPr>
        <w:spacing w:after="160" w:line="256" w:lineRule="auto"/>
        <w:outlineLvl w:val="2"/>
        <w:rPr>
          <w:rFonts w:ascii="Arial" w:hAnsi="Arial" w:cs="Arial"/>
          <w:szCs w:val="20"/>
          <w:lang w:eastAsia="en-US"/>
        </w:rPr>
      </w:pPr>
      <w:r w:rsidRPr="00B27884">
        <w:rPr>
          <w:rFonts w:ascii="Arial" w:hAnsi="Arial" w:cs="Arial"/>
          <w:szCs w:val="20"/>
          <w:lang w:eastAsia="en-US"/>
        </w:rPr>
        <w:t>A proposal in a read-only format including:</w:t>
      </w:r>
    </w:p>
    <w:p w14:paraId="2EC98C29"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A detailed explanation of proposals to meet the aims and objectives outlined above. This should include details of methodology;</w:t>
      </w:r>
    </w:p>
    <w:p w14:paraId="0512CA41"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A detailed timetable for the proposed research for each specific information requirement, taking into account that outlined in Section 5;</w:t>
      </w:r>
    </w:p>
    <w:p w14:paraId="3CE5CC6C"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Quality control procedures and risk register as outlined in Section 9 (as annexes);</w:t>
      </w:r>
    </w:p>
    <w:p w14:paraId="56E01689"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Curriculum Vitae of key personnel proposed, their status within the company and area of expertise.</w:t>
      </w:r>
    </w:p>
    <w:p w14:paraId="6DCD74A9" w14:textId="77777777" w:rsidR="00B27884" w:rsidRPr="00B27884" w:rsidRDefault="00B27884" w:rsidP="00B27884">
      <w:pPr>
        <w:spacing w:after="160" w:line="256" w:lineRule="auto"/>
        <w:ind w:left="1080" w:hanging="360"/>
        <w:outlineLvl w:val="2"/>
        <w:rPr>
          <w:rFonts w:ascii="Arial" w:hAnsi="Arial" w:cs="Arial"/>
          <w:szCs w:val="20"/>
          <w:lang w:eastAsia="en-US"/>
        </w:rPr>
      </w:pPr>
      <w:r w:rsidRPr="00B27884">
        <w:rPr>
          <w:rFonts w:ascii="Arial" w:hAnsi="Arial" w:cs="Arial"/>
          <w:szCs w:val="20"/>
          <w:lang w:eastAsia="en-US"/>
        </w:rPr>
        <w:lastRenderedPageBreak/>
        <w:t>A firm price (exclusive of VAT) in a read-only pdf as detailed in Section 13. Including:</w:t>
      </w:r>
    </w:p>
    <w:p w14:paraId="7E017100"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Details of key individual personnel’s chargeable day rates;</w:t>
      </w:r>
    </w:p>
    <w:p w14:paraId="185905B6"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Chargeable rates for other personnel proposed. Where these can be identified as groups (e.g. administration, support etc.) then a group rate will suffice;</w:t>
      </w:r>
    </w:p>
    <w:p w14:paraId="2A3CE292" w14:textId="77777777" w:rsidR="00B27884" w:rsidRPr="00B27884" w:rsidRDefault="00B27884" w:rsidP="00B27884">
      <w:pPr>
        <w:spacing w:after="160" w:line="256" w:lineRule="auto"/>
        <w:ind w:left="2520" w:hanging="360"/>
        <w:contextualSpacing/>
        <w:outlineLvl w:val="3"/>
        <w:rPr>
          <w:rFonts w:ascii="Arial" w:hAnsi="Arial" w:cs="Arial"/>
          <w:szCs w:val="20"/>
          <w:lang w:eastAsia="en-US"/>
        </w:rPr>
      </w:pPr>
      <w:r w:rsidRPr="00B27884">
        <w:rPr>
          <w:rFonts w:ascii="Arial" w:hAnsi="Arial" w:cs="Arial"/>
          <w:szCs w:val="20"/>
          <w:lang w:eastAsia="en-US"/>
        </w:rPr>
        <w:t>Any further costs identified.</w:t>
      </w:r>
    </w:p>
    <w:p w14:paraId="7CCCD181"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Tenders should not exceed 25 pages (inclusive of 15 pages for the main body and 10 pages of annexes). Information included after this limit will not be considered.</w:t>
      </w:r>
    </w:p>
    <w:p w14:paraId="588E333B" w14:textId="77777777" w:rsidR="00B27884" w:rsidRPr="00B27884" w:rsidRDefault="00B27884" w:rsidP="00B27884">
      <w:pPr>
        <w:spacing w:after="160" w:line="256" w:lineRule="auto"/>
        <w:ind w:left="851"/>
        <w:contextualSpacing/>
        <w:rPr>
          <w:rFonts w:ascii="Arial" w:hAnsi="Arial" w:cs="Arial"/>
          <w:szCs w:val="20"/>
          <w:lang w:eastAsia="en-US"/>
        </w:rPr>
      </w:pPr>
    </w:p>
    <w:p w14:paraId="62503187"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67" w:name="_Toc532992277"/>
      <w:bookmarkStart w:id="68" w:name="_Toc481666240"/>
      <w:bookmarkStart w:id="69" w:name="Queries_on_research_specification"/>
      <w:r w:rsidRPr="00B27884">
        <w:rPr>
          <w:rFonts w:ascii="Arial" w:hAnsi="Arial" w:cs="Arial"/>
          <w:b/>
          <w:sz w:val="32"/>
          <w:szCs w:val="32"/>
          <w:lang w:val="en-US" w:eastAsia="en-US"/>
        </w:rPr>
        <w:t>Queries on this research specification</w:t>
      </w:r>
      <w:bookmarkEnd w:id="67"/>
      <w:bookmarkEnd w:id="68"/>
    </w:p>
    <w:bookmarkEnd w:id="69"/>
    <w:p w14:paraId="3988F2BE" w14:textId="77777777" w:rsidR="00B27884" w:rsidRPr="00B27884" w:rsidRDefault="00B27884" w:rsidP="00B27884">
      <w:pPr>
        <w:spacing w:after="160" w:line="256" w:lineRule="auto"/>
        <w:ind w:left="720"/>
        <w:contextualSpacing/>
        <w:rPr>
          <w:rFonts w:ascii="Arial" w:hAnsi="Arial" w:cs="Arial"/>
          <w:b/>
          <w:szCs w:val="20"/>
          <w:lang w:eastAsia="en-US"/>
        </w:rPr>
      </w:pPr>
    </w:p>
    <w:p w14:paraId="55D52FAD"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6E92D2B7"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11AAB2A4"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Tenderers with any queries about the research specification should contact Emma Glassey via email: </w:t>
      </w:r>
      <w:hyperlink r:id="rId33" w:history="1">
        <w:r w:rsidRPr="00B27884">
          <w:rPr>
            <w:rFonts w:ascii="Arial" w:hAnsi="Arial" w:cs="Arial"/>
            <w:color w:val="0563C1"/>
            <w:szCs w:val="20"/>
            <w:u w:val="single"/>
            <w:lang w:eastAsia="en-US"/>
          </w:rPr>
          <w:t>emma.glassey@hmrc.gov.uk</w:t>
        </w:r>
      </w:hyperlink>
      <w:r w:rsidRPr="00B27884">
        <w:rPr>
          <w:rFonts w:ascii="Arial" w:hAnsi="Arial" w:cs="Arial"/>
          <w:szCs w:val="20"/>
          <w:lang w:eastAsia="en-US"/>
        </w:rPr>
        <w:t xml:space="preserve">. Please copy Megan White into this email: </w:t>
      </w:r>
      <w:hyperlink r:id="rId34" w:history="1">
        <w:r w:rsidRPr="00B27884">
          <w:rPr>
            <w:rFonts w:ascii="Arial" w:hAnsi="Arial" w:cs="Arial"/>
            <w:color w:val="0563C1"/>
            <w:szCs w:val="20"/>
            <w:u w:val="single"/>
            <w:lang w:eastAsia="en-US"/>
          </w:rPr>
          <w:t>megan.white@hmrc.gov.uk</w:t>
        </w:r>
      </w:hyperlink>
      <w:r w:rsidRPr="00B27884">
        <w:rPr>
          <w:rFonts w:ascii="Arial" w:hAnsi="Arial" w:cs="Arial"/>
          <w:szCs w:val="20"/>
          <w:lang w:eastAsia="en-US"/>
        </w:rPr>
        <w:t xml:space="preserve">. </w:t>
      </w:r>
    </w:p>
    <w:p w14:paraId="5C93F04E"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The deadline for queries is </w:t>
      </w:r>
      <w:r w:rsidRPr="00B27884">
        <w:rPr>
          <w:rFonts w:ascii="Arial" w:hAnsi="Arial" w:cs="Arial"/>
          <w:b/>
          <w:szCs w:val="20"/>
          <w:lang w:eastAsia="en-US"/>
        </w:rPr>
        <w:t>12pm, Wednesday 23</w:t>
      </w:r>
      <w:r w:rsidRPr="00B27884">
        <w:rPr>
          <w:rFonts w:ascii="Arial" w:hAnsi="Arial" w:cs="Arial"/>
          <w:b/>
          <w:szCs w:val="20"/>
          <w:vertAlign w:val="superscript"/>
          <w:lang w:eastAsia="en-US"/>
        </w:rPr>
        <w:t>rd</w:t>
      </w:r>
      <w:r w:rsidRPr="00B27884">
        <w:rPr>
          <w:rFonts w:ascii="Arial" w:hAnsi="Arial" w:cs="Arial"/>
          <w:b/>
          <w:szCs w:val="20"/>
          <w:lang w:eastAsia="en-US"/>
        </w:rPr>
        <w:t xml:space="preserve"> October</w:t>
      </w:r>
      <w:r w:rsidRPr="00B27884">
        <w:rPr>
          <w:rFonts w:ascii="Arial" w:hAnsi="Arial" w:cs="Arial"/>
          <w:szCs w:val="20"/>
          <w:lang w:eastAsia="en-US"/>
        </w:rPr>
        <w:t>. Responses will be sent to all tenderers on Thursday 24</w:t>
      </w:r>
      <w:r w:rsidRPr="00B27884">
        <w:rPr>
          <w:rFonts w:ascii="Arial" w:hAnsi="Arial" w:cs="Arial"/>
          <w:szCs w:val="20"/>
          <w:vertAlign w:val="superscript"/>
          <w:lang w:eastAsia="en-US"/>
        </w:rPr>
        <w:t>th</w:t>
      </w:r>
      <w:r w:rsidRPr="00B27884">
        <w:rPr>
          <w:rFonts w:ascii="Arial" w:hAnsi="Arial" w:cs="Arial"/>
          <w:szCs w:val="20"/>
          <w:lang w:eastAsia="en-US"/>
        </w:rPr>
        <w:t xml:space="preserve"> October 2019.</w:t>
      </w:r>
    </w:p>
    <w:p w14:paraId="3276B90D" w14:textId="77777777" w:rsidR="00B27884" w:rsidRPr="00B27884" w:rsidRDefault="00B27884" w:rsidP="00B27884">
      <w:pPr>
        <w:spacing w:after="160" w:line="256" w:lineRule="auto"/>
        <w:ind w:left="846"/>
        <w:contextualSpacing/>
        <w:rPr>
          <w:rFonts w:ascii="Arial" w:hAnsi="Arial" w:cs="Arial"/>
          <w:szCs w:val="20"/>
          <w:lang w:eastAsia="en-US"/>
        </w:rPr>
      </w:pPr>
    </w:p>
    <w:p w14:paraId="0FA603F6" w14:textId="77777777" w:rsidR="00B27884" w:rsidRPr="00B27884" w:rsidRDefault="00B27884" w:rsidP="00B27884">
      <w:pPr>
        <w:spacing w:after="160" w:line="256" w:lineRule="auto"/>
        <w:ind w:left="846"/>
        <w:contextualSpacing/>
        <w:rPr>
          <w:rFonts w:ascii="Arial" w:hAnsi="Arial" w:cs="Arial"/>
          <w:szCs w:val="20"/>
          <w:lang w:eastAsia="en-US"/>
        </w:rPr>
      </w:pPr>
    </w:p>
    <w:p w14:paraId="6EF2BED8" w14:textId="77777777" w:rsidR="00B27884" w:rsidRPr="00B27884" w:rsidRDefault="00B27884" w:rsidP="00B27884">
      <w:pPr>
        <w:spacing w:after="160" w:line="256" w:lineRule="auto"/>
        <w:ind w:left="846"/>
        <w:contextualSpacing/>
        <w:rPr>
          <w:rFonts w:ascii="Arial" w:hAnsi="Arial" w:cs="Arial"/>
          <w:szCs w:val="20"/>
          <w:lang w:eastAsia="en-US"/>
        </w:rPr>
      </w:pPr>
    </w:p>
    <w:p w14:paraId="7190536F" w14:textId="77777777" w:rsidR="00B27884" w:rsidRPr="00B27884" w:rsidRDefault="00B27884" w:rsidP="00B27884">
      <w:pPr>
        <w:spacing w:after="160" w:line="256" w:lineRule="auto"/>
        <w:ind w:left="846"/>
        <w:contextualSpacing/>
        <w:rPr>
          <w:rFonts w:ascii="Arial" w:hAnsi="Arial" w:cs="Arial"/>
          <w:szCs w:val="20"/>
          <w:lang w:eastAsia="en-US"/>
        </w:rPr>
      </w:pPr>
    </w:p>
    <w:p w14:paraId="48DDC9FA" w14:textId="77777777" w:rsidR="00B27884" w:rsidRPr="00B27884" w:rsidRDefault="00B27884" w:rsidP="00B27884">
      <w:pPr>
        <w:keepNext/>
        <w:keepLines/>
        <w:spacing w:before="240" w:line="256" w:lineRule="auto"/>
        <w:ind w:left="720" w:hanging="360"/>
        <w:outlineLvl w:val="0"/>
        <w:rPr>
          <w:rFonts w:ascii="Arial" w:hAnsi="Arial" w:cs="Arial"/>
          <w:b/>
          <w:sz w:val="32"/>
          <w:szCs w:val="32"/>
          <w:lang w:val="en-US" w:eastAsia="en-US"/>
        </w:rPr>
      </w:pPr>
      <w:bookmarkStart w:id="70" w:name="_Toc532992278"/>
      <w:bookmarkStart w:id="71" w:name="Infor_on_how_and_when_to_return_tenders"/>
      <w:bookmarkStart w:id="72" w:name="_Toc481666241"/>
      <w:r w:rsidRPr="00B27884">
        <w:rPr>
          <w:rFonts w:ascii="Arial" w:hAnsi="Arial" w:cs="Arial"/>
          <w:b/>
          <w:sz w:val="32"/>
          <w:szCs w:val="32"/>
          <w:lang w:val="en-US" w:eastAsia="en-US"/>
        </w:rPr>
        <w:t>Information on how and when to return tenders</w:t>
      </w:r>
      <w:bookmarkEnd w:id="70"/>
      <w:bookmarkEnd w:id="71"/>
      <w:bookmarkEnd w:id="72"/>
    </w:p>
    <w:p w14:paraId="7F9A5103" w14:textId="77777777" w:rsidR="00B27884" w:rsidRPr="00B27884" w:rsidRDefault="00B27884" w:rsidP="00B27884">
      <w:pPr>
        <w:spacing w:after="160" w:line="256" w:lineRule="auto"/>
        <w:ind w:left="720"/>
        <w:contextualSpacing/>
        <w:rPr>
          <w:rFonts w:ascii="Arial" w:hAnsi="Arial" w:cs="Arial"/>
          <w:b/>
          <w:szCs w:val="20"/>
          <w:lang w:eastAsia="en-US"/>
        </w:rPr>
      </w:pPr>
    </w:p>
    <w:p w14:paraId="5E22CE15" w14:textId="77777777" w:rsidR="00B27884" w:rsidRPr="00B27884" w:rsidRDefault="00B27884" w:rsidP="00B27884">
      <w:pPr>
        <w:spacing w:after="160" w:line="256" w:lineRule="auto"/>
        <w:ind w:left="1080" w:hanging="360"/>
        <w:outlineLvl w:val="2"/>
        <w:rPr>
          <w:rFonts w:ascii="Arial" w:hAnsi="Arial" w:cs="Arial"/>
          <w:vanish/>
          <w:szCs w:val="20"/>
          <w:lang w:eastAsia="en-US"/>
        </w:rPr>
      </w:pPr>
    </w:p>
    <w:p w14:paraId="7848EE57" w14:textId="77777777" w:rsidR="00B27884" w:rsidRPr="00B27884" w:rsidRDefault="00B27884" w:rsidP="00B27884">
      <w:pPr>
        <w:numPr>
          <w:ilvl w:val="0"/>
          <w:numId w:val="27"/>
        </w:numPr>
        <w:spacing w:after="160" w:line="256" w:lineRule="auto"/>
        <w:contextualSpacing/>
        <w:outlineLvl w:val="1"/>
        <w:rPr>
          <w:rFonts w:ascii="Arial" w:hAnsi="Arial" w:cs="Arial"/>
          <w:vanish/>
          <w:szCs w:val="20"/>
          <w:lang w:eastAsia="en-US"/>
        </w:rPr>
      </w:pPr>
    </w:p>
    <w:p w14:paraId="20EC8355"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Tenderers should provide notification of their intention to submit a proposal by email to Emma Glassey (</w:t>
      </w:r>
      <w:hyperlink r:id="rId35" w:history="1">
        <w:r w:rsidRPr="00B27884">
          <w:rPr>
            <w:rFonts w:ascii="Arial" w:hAnsi="Arial" w:cs="Arial"/>
            <w:color w:val="0563C1"/>
            <w:szCs w:val="20"/>
            <w:u w:val="single"/>
            <w:lang w:eastAsia="en-US"/>
          </w:rPr>
          <w:t>emma.glassey@hmrc.gov.uk</w:t>
        </w:r>
      </w:hyperlink>
      <w:r w:rsidRPr="00B27884">
        <w:rPr>
          <w:rFonts w:ascii="Arial" w:hAnsi="Arial" w:cs="Arial"/>
          <w:szCs w:val="20"/>
          <w:lang w:eastAsia="en-US"/>
        </w:rPr>
        <w:t xml:space="preserve">) by </w:t>
      </w:r>
      <w:r w:rsidRPr="00B27884">
        <w:rPr>
          <w:rFonts w:ascii="Arial" w:hAnsi="Arial" w:cs="Arial"/>
          <w:b/>
          <w:szCs w:val="20"/>
          <w:lang w:eastAsia="en-US"/>
        </w:rPr>
        <w:t>Friday 25</w:t>
      </w:r>
      <w:r w:rsidRPr="00B27884">
        <w:rPr>
          <w:rFonts w:ascii="Arial" w:hAnsi="Arial" w:cs="Arial"/>
          <w:b/>
          <w:szCs w:val="20"/>
          <w:vertAlign w:val="superscript"/>
          <w:lang w:eastAsia="en-US"/>
        </w:rPr>
        <w:t>th</w:t>
      </w:r>
      <w:r w:rsidRPr="00B27884">
        <w:rPr>
          <w:rFonts w:ascii="Arial" w:hAnsi="Arial" w:cs="Arial"/>
          <w:b/>
          <w:szCs w:val="20"/>
          <w:lang w:eastAsia="en-US"/>
        </w:rPr>
        <w:t xml:space="preserve"> October 2019</w:t>
      </w:r>
      <w:r w:rsidRPr="00B27884">
        <w:rPr>
          <w:rFonts w:ascii="Arial" w:hAnsi="Arial" w:cs="Arial"/>
          <w:szCs w:val="20"/>
          <w:lang w:eastAsia="en-US"/>
        </w:rPr>
        <w:t xml:space="preserve">. Please copy Megan White into this email: </w:t>
      </w:r>
      <w:hyperlink r:id="rId36" w:history="1">
        <w:r w:rsidRPr="00B27884">
          <w:rPr>
            <w:rFonts w:ascii="Arial" w:hAnsi="Arial" w:cs="Arial"/>
            <w:color w:val="0563C1"/>
            <w:szCs w:val="20"/>
            <w:u w:val="single"/>
            <w:lang w:eastAsia="en-US"/>
          </w:rPr>
          <w:t>megan.white@hmrc.gov.uk</w:t>
        </w:r>
      </w:hyperlink>
      <w:r w:rsidRPr="00B27884">
        <w:rPr>
          <w:rFonts w:ascii="Arial" w:hAnsi="Arial" w:cs="Arial"/>
          <w:szCs w:val="20"/>
          <w:lang w:eastAsia="en-US"/>
        </w:rPr>
        <w:t>.</w:t>
      </w:r>
    </w:p>
    <w:p w14:paraId="2C7713F2" w14:textId="77777777" w:rsidR="00B27884" w:rsidRPr="00B27884" w:rsidRDefault="00B27884" w:rsidP="00B27884">
      <w:pPr>
        <w:numPr>
          <w:ilvl w:val="1"/>
          <w:numId w:val="0"/>
        </w:numPr>
        <w:spacing w:after="160" w:line="256" w:lineRule="auto"/>
        <w:ind w:left="846" w:hanging="705"/>
        <w:outlineLvl w:val="1"/>
        <w:rPr>
          <w:rFonts w:ascii="Arial" w:hAnsi="Arial" w:cs="Arial"/>
          <w:b/>
          <w:szCs w:val="20"/>
          <w:lang w:eastAsia="en-US"/>
        </w:rPr>
      </w:pPr>
      <w:r w:rsidRPr="00B27884">
        <w:rPr>
          <w:rFonts w:ascii="Arial" w:hAnsi="Arial" w:cs="Arial"/>
          <w:b/>
          <w:szCs w:val="20"/>
          <w:lang w:eastAsia="en-US"/>
        </w:rPr>
        <w:t>You should send a PDF or read-only electronic copy of your proposal by email to Louise Cendrowska (</w:t>
      </w:r>
      <w:hyperlink r:id="rId37" w:history="1">
        <w:r w:rsidRPr="00B27884">
          <w:rPr>
            <w:rFonts w:ascii="Arial" w:hAnsi="Arial" w:cs="Arial"/>
            <w:b/>
            <w:color w:val="0563C1"/>
            <w:szCs w:val="20"/>
            <w:u w:val="single"/>
            <w:lang w:eastAsia="en-US"/>
          </w:rPr>
          <w:t>louise.cendrowska@hmrc.gov.uk</w:t>
        </w:r>
      </w:hyperlink>
      <w:r w:rsidRPr="00B27884">
        <w:rPr>
          <w:rFonts w:ascii="Arial" w:hAnsi="Arial" w:cs="Arial"/>
          <w:b/>
          <w:szCs w:val="20"/>
          <w:lang w:eastAsia="en-US"/>
        </w:rPr>
        <w:t xml:space="preserve">) no later than </w:t>
      </w:r>
      <w:r w:rsidRPr="00B27884">
        <w:rPr>
          <w:rFonts w:ascii="Arial" w:hAnsi="Arial" w:cs="Arial"/>
          <w:b/>
          <w:szCs w:val="20"/>
          <w:u w:val="single"/>
          <w:lang w:eastAsia="en-US"/>
        </w:rPr>
        <w:t>12pm, Monday 4th November 2019</w:t>
      </w:r>
      <w:r w:rsidRPr="00B27884">
        <w:rPr>
          <w:rFonts w:ascii="Arial" w:hAnsi="Arial" w:cs="Arial"/>
          <w:b/>
          <w:szCs w:val="20"/>
          <w:lang w:eastAsia="en-US"/>
        </w:rPr>
        <w:t xml:space="preserve">. </w:t>
      </w:r>
    </w:p>
    <w:p w14:paraId="6F44EA00"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 xml:space="preserve">Tenders received after the stated deadline will not be considered. </w:t>
      </w:r>
    </w:p>
    <w:p w14:paraId="41D1FFF4" w14:textId="77777777" w:rsidR="00B27884" w:rsidRPr="00B27884" w:rsidRDefault="00B27884" w:rsidP="00B27884">
      <w:pPr>
        <w:numPr>
          <w:ilvl w:val="1"/>
          <w:numId w:val="0"/>
        </w:numPr>
        <w:spacing w:after="160" w:line="256" w:lineRule="auto"/>
        <w:ind w:left="846" w:hanging="705"/>
        <w:outlineLvl w:val="1"/>
        <w:rPr>
          <w:rFonts w:ascii="Arial" w:hAnsi="Arial" w:cs="Arial"/>
          <w:szCs w:val="20"/>
          <w:lang w:eastAsia="en-US"/>
        </w:rPr>
      </w:pPr>
      <w:r w:rsidRPr="00B27884">
        <w:rPr>
          <w:rFonts w:ascii="Arial" w:hAnsi="Arial" w:cs="Arial"/>
          <w:szCs w:val="20"/>
          <w:lang w:eastAsia="en-US"/>
        </w:rPr>
        <w:t>In summary, tenderers should note the following:</w:t>
      </w:r>
    </w:p>
    <w:tbl>
      <w:tblPr>
        <w:tblStyle w:val="TableGrid1"/>
        <w:tblW w:w="8355" w:type="dxa"/>
        <w:tblInd w:w="709" w:type="dxa"/>
        <w:tblLayout w:type="fixed"/>
        <w:tblLook w:val="04A0" w:firstRow="1" w:lastRow="0" w:firstColumn="1" w:lastColumn="0" w:noHBand="0" w:noVBand="1"/>
      </w:tblPr>
      <w:tblGrid>
        <w:gridCol w:w="1981"/>
        <w:gridCol w:w="3824"/>
        <w:gridCol w:w="2550"/>
      </w:tblGrid>
      <w:tr w:rsidR="00B27884" w:rsidRPr="00B27884" w14:paraId="589E1A48" w14:textId="77777777" w:rsidTr="00B27884">
        <w:trPr>
          <w:trHeight w:val="254"/>
          <w:tblHeader/>
        </w:trPr>
        <w:tc>
          <w:tcPr>
            <w:tcW w:w="1982" w:type="dxa"/>
            <w:tcBorders>
              <w:top w:val="single" w:sz="4" w:space="0" w:color="auto"/>
              <w:left w:val="single" w:sz="4" w:space="0" w:color="auto"/>
              <w:bottom w:val="single" w:sz="4" w:space="0" w:color="auto"/>
              <w:right w:val="single" w:sz="4" w:space="0" w:color="auto"/>
            </w:tcBorders>
            <w:shd w:val="clear" w:color="auto" w:fill="008080"/>
            <w:hideMark/>
          </w:tcPr>
          <w:p w14:paraId="30551A85"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Action</w:t>
            </w:r>
          </w:p>
        </w:tc>
        <w:tc>
          <w:tcPr>
            <w:tcW w:w="3825" w:type="dxa"/>
            <w:tcBorders>
              <w:top w:val="single" w:sz="4" w:space="0" w:color="auto"/>
              <w:left w:val="single" w:sz="4" w:space="0" w:color="auto"/>
              <w:bottom w:val="single" w:sz="4" w:space="0" w:color="auto"/>
              <w:right w:val="single" w:sz="4" w:space="0" w:color="auto"/>
            </w:tcBorders>
            <w:shd w:val="clear" w:color="auto" w:fill="008080"/>
            <w:hideMark/>
          </w:tcPr>
          <w:p w14:paraId="4BE722DA"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Due date</w:t>
            </w:r>
          </w:p>
        </w:tc>
        <w:tc>
          <w:tcPr>
            <w:tcW w:w="2551" w:type="dxa"/>
            <w:tcBorders>
              <w:top w:val="single" w:sz="4" w:space="0" w:color="auto"/>
              <w:left w:val="single" w:sz="4" w:space="0" w:color="auto"/>
              <w:bottom w:val="single" w:sz="4" w:space="0" w:color="auto"/>
              <w:right w:val="single" w:sz="4" w:space="0" w:color="auto"/>
            </w:tcBorders>
            <w:shd w:val="clear" w:color="auto" w:fill="008080"/>
            <w:hideMark/>
          </w:tcPr>
          <w:p w14:paraId="7D30EA6C" w14:textId="77777777" w:rsidR="00B27884" w:rsidRPr="00B27884" w:rsidRDefault="00B27884" w:rsidP="00B27884">
            <w:pPr>
              <w:rPr>
                <w:rFonts w:ascii="Arial" w:hAnsi="Arial" w:cs="Arial"/>
                <w:b/>
                <w:color w:val="FFFFFF"/>
                <w:szCs w:val="20"/>
              </w:rPr>
            </w:pPr>
            <w:r w:rsidRPr="00B27884">
              <w:rPr>
                <w:rFonts w:ascii="Arial" w:hAnsi="Arial" w:cs="Arial"/>
                <w:b/>
                <w:color w:val="FFFFFF"/>
                <w:szCs w:val="20"/>
              </w:rPr>
              <w:t>Contact</w:t>
            </w:r>
          </w:p>
        </w:tc>
      </w:tr>
      <w:tr w:rsidR="00B27884" w:rsidRPr="00B27884" w14:paraId="0BD36686" w14:textId="77777777" w:rsidTr="00B27884">
        <w:trPr>
          <w:trHeight w:val="254"/>
        </w:trPr>
        <w:tc>
          <w:tcPr>
            <w:tcW w:w="1982" w:type="dxa"/>
            <w:tcBorders>
              <w:top w:val="single" w:sz="4" w:space="0" w:color="auto"/>
              <w:left w:val="single" w:sz="4" w:space="0" w:color="auto"/>
              <w:bottom w:val="single" w:sz="4" w:space="0" w:color="auto"/>
              <w:right w:val="single" w:sz="4" w:space="0" w:color="auto"/>
            </w:tcBorders>
            <w:hideMark/>
          </w:tcPr>
          <w:p w14:paraId="44632F79" w14:textId="77777777" w:rsidR="00B27884" w:rsidRPr="00B27884" w:rsidRDefault="00B27884" w:rsidP="00B27884">
            <w:pPr>
              <w:rPr>
                <w:rFonts w:ascii="Arial" w:hAnsi="Arial" w:cs="Arial"/>
                <w:szCs w:val="20"/>
              </w:rPr>
            </w:pPr>
            <w:r w:rsidRPr="00B27884">
              <w:rPr>
                <w:rFonts w:ascii="Arial" w:hAnsi="Arial" w:cs="Arial"/>
                <w:szCs w:val="20"/>
              </w:rPr>
              <w:t>ITT issued</w:t>
            </w:r>
          </w:p>
        </w:tc>
        <w:tc>
          <w:tcPr>
            <w:tcW w:w="3825" w:type="dxa"/>
            <w:tcBorders>
              <w:top w:val="single" w:sz="4" w:space="0" w:color="auto"/>
              <w:left w:val="single" w:sz="4" w:space="0" w:color="auto"/>
              <w:bottom w:val="single" w:sz="4" w:space="0" w:color="auto"/>
              <w:right w:val="single" w:sz="4" w:space="0" w:color="auto"/>
            </w:tcBorders>
            <w:hideMark/>
          </w:tcPr>
          <w:p w14:paraId="2C20FD57" w14:textId="77777777" w:rsidR="00B27884" w:rsidRPr="00B27884" w:rsidRDefault="00B27884" w:rsidP="00B27884">
            <w:pPr>
              <w:rPr>
                <w:rFonts w:ascii="Arial" w:hAnsi="Arial" w:cs="Arial"/>
                <w:szCs w:val="20"/>
              </w:rPr>
            </w:pPr>
            <w:r w:rsidRPr="00B27884">
              <w:rPr>
                <w:rFonts w:ascii="Arial" w:hAnsi="Arial" w:cs="Arial"/>
                <w:szCs w:val="20"/>
              </w:rPr>
              <w:t>Wednesday 16</w:t>
            </w:r>
            <w:r w:rsidRPr="00B27884">
              <w:rPr>
                <w:rFonts w:ascii="Arial" w:hAnsi="Arial" w:cs="Arial"/>
                <w:szCs w:val="20"/>
                <w:vertAlign w:val="superscript"/>
              </w:rPr>
              <w:t>th</w:t>
            </w:r>
            <w:r w:rsidRPr="00B27884">
              <w:rPr>
                <w:rFonts w:ascii="Arial" w:hAnsi="Arial" w:cs="Arial"/>
                <w:szCs w:val="20"/>
              </w:rPr>
              <w:t xml:space="preserve"> October 2019</w:t>
            </w:r>
          </w:p>
        </w:tc>
        <w:tc>
          <w:tcPr>
            <w:tcW w:w="2551" w:type="dxa"/>
            <w:tcBorders>
              <w:top w:val="single" w:sz="4" w:space="0" w:color="auto"/>
              <w:left w:val="single" w:sz="4" w:space="0" w:color="auto"/>
              <w:bottom w:val="single" w:sz="4" w:space="0" w:color="auto"/>
              <w:right w:val="single" w:sz="4" w:space="0" w:color="auto"/>
            </w:tcBorders>
            <w:hideMark/>
          </w:tcPr>
          <w:p w14:paraId="08A3B7EB" w14:textId="77777777" w:rsidR="00B27884" w:rsidRPr="00B27884" w:rsidRDefault="00B27884" w:rsidP="00B27884">
            <w:pPr>
              <w:rPr>
                <w:rFonts w:ascii="Arial" w:hAnsi="Arial" w:cs="Arial"/>
                <w:szCs w:val="20"/>
              </w:rPr>
            </w:pPr>
            <w:r w:rsidRPr="00B27884">
              <w:rPr>
                <w:rFonts w:ascii="Arial" w:hAnsi="Arial" w:cs="Arial"/>
                <w:szCs w:val="20"/>
              </w:rPr>
              <w:t>Emma Glassey</w:t>
            </w:r>
          </w:p>
        </w:tc>
      </w:tr>
      <w:tr w:rsidR="00B27884" w:rsidRPr="00B27884" w14:paraId="112C562F" w14:textId="77777777" w:rsidTr="00B27884">
        <w:trPr>
          <w:trHeight w:val="254"/>
        </w:trPr>
        <w:tc>
          <w:tcPr>
            <w:tcW w:w="1982" w:type="dxa"/>
            <w:tcBorders>
              <w:top w:val="single" w:sz="4" w:space="0" w:color="auto"/>
              <w:left w:val="single" w:sz="4" w:space="0" w:color="auto"/>
              <w:bottom w:val="single" w:sz="4" w:space="0" w:color="auto"/>
              <w:right w:val="single" w:sz="4" w:space="0" w:color="auto"/>
            </w:tcBorders>
            <w:hideMark/>
          </w:tcPr>
          <w:p w14:paraId="4810E657" w14:textId="77777777" w:rsidR="00B27884" w:rsidRPr="00B27884" w:rsidRDefault="00B27884" w:rsidP="00B27884">
            <w:pPr>
              <w:rPr>
                <w:rFonts w:ascii="Arial" w:hAnsi="Arial" w:cs="Arial"/>
                <w:szCs w:val="20"/>
              </w:rPr>
            </w:pPr>
            <w:r w:rsidRPr="00B27884">
              <w:rPr>
                <w:rFonts w:ascii="Arial" w:hAnsi="Arial" w:cs="Arial"/>
                <w:szCs w:val="20"/>
              </w:rPr>
              <w:t xml:space="preserve">Submit queries </w:t>
            </w:r>
          </w:p>
        </w:tc>
        <w:tc>
          <w:tcPr>
            <w:tcW w:w="3825" w:type="dxa"/>
            <w:tcBorders>
              <w:top w:val="single" w:sz="4" w:space="0" w:color="auto"/>
              <w:left w:val="single" w:sz="4" w:space="0" w:color="auto"/>
              <w:bottom w:val="single" w:sz="4" w:space="0" w:color="auto"/>
              <w:right w:val="single" w:sz="4" w:space="0" w:color="auto"/>
            </w:tcBorders>
            <w:hideMark/>
          </w:tcPr>
          <w:p w14:paraId="4B617245" w14:textId="77777777" w:rsidR="00B27884" w:rsidRPr="00B27884" w:rsidRDefault="00B27884" w:rsidP="00B27884">
            <w:pPr>
              <w:rPr>
                <w:rFonts w:ascii="Arial" w:hAnsi="Arial" w:cs="Arial"/>
                <w:szCs w:val="20"/>
              </w:rPr>
            </w:pPr>
            <w:r w:rsidRPr="00B27884">
              <w:rPr>
                <w:rFonts w:ascii="Arial" w:hAnsi="Arial" w:cs="Arial"/>
                <w:szCs w:val="20"/>
              </w:rPr>
              <w:t>12pm, Wednesday 23</w:t>
            </w:r>
            <w:r w:rsidRPr="00B27884">
              <w:rPr>
                <w:rFonts w:ascii="Arial" w:hAnsi="Arial" w:cs="Arial"/>
                <w:szCs w:val="20"/>
                <w:vertAlign w:val="superscript"/>
              </w:rPr>
              <w:t>rd</w:t>
            </w:r>
            <w:r w:rsidRPr="00B27884">
              <w:rPr>
                <w:rFonts w:ascii="Arial" w:hAnsi="Arial" w:cs="Arial"/>
                <w:szCs w:val="20"/>
              </w:rPr>
              <w:t xml:space="preserve"> October 2019</w:t>
            </w:r>
          </w:p>
        </w:tc>
        <w:tc>
          <w:tcPr>
            <w:tcW w:w="2551" w:type="dxa"/>
            <w:tcBorders>
              <w:top w:val="single" w:sz="4" w:space="0" w:color="auto"/>
              <w:left w:val="single" w:sz="4" w:space="0" w:color="auto"/>
              <w:bottom w:val="single" w:sz="4" w:space="0" w:color="auto"/>
              <w:right w:val="single" w:sz="4" w:space="0" w:color="auto"/>
            </w:tcBorders>
            <w:hideMark/>
          </w:tcPr>
          <w:p w14:paraId="746992A9" w14:textId="77777777" w:rsidR="00B27884" w:rsidRPr="00B27884" w:rsidRDefault="00B27884" w:rsidP="00B27884">
            <w:pPr>
              <w:rPr>
                <w:rFonts w:ascii="Arial" w:hAnsi="Arial" w:cs="Arial"/>
                <w:szCs w:val="20"/>
              </w:rPr>
            </w:pPr>
            <w:r w:rsidRPr="00B27884">
              <w:rPr>
                <w:rFonts w:ascii="Arial" w:hAnsi="Arial" w:cs="Arial"/>
                <w:szCs w:val="20"/>
              </w:rPr>
              <w:t xml:space="preserve">Emma Glassey/Megan White </w:t>
            </w:r>
          </w:p>
        </w:tc>
      </w:tr>
      <w:tr w:rsidR="00B27884" w:rsidRPr="00B27884" w14:paraId="46A7BDD2" w14:textId="77777777" w:rsidTr="00B27884">
        <w:trPr>
          <w:trHeight w:val="254"/>
        </w:trPr>
        <w:tc>
          <w:tcPr>
            <w:tcW w:w="1982" w:type="dxa"/>
            <w:tcBorders>
              <w:top w:val="single" w:sz="4" w:space="0" w:color="auto"/>
              <w:left w:val="single" w:sz="4" w:space="0" w:color="auto"/>
              <w:bottom w:val="single" w:sz="4" w:space="0" w:color="auto"/>
              <w:right w:val="single" w:sz="4" w:space="0" w:color="auto"/>
            </w:tcBorders>
            <w:hideMark/>
          </w:tcPr>
          <w:p w14:paraId="6CF2F50E" w14:textId="77777777" w:rsidR="00B27884" w:rsidRPr="00B27884" w:rsidRDefault="00B27884" w:rsidP="00B27884">
            <w:pPr>
              <w:rPr>
                <w:rFonts w:ascii="Arial" w:hAnsi="Arial" w:cs="Arial"/>
                <w:szCs w:val="20"/>
              </w:rPr>
            </w:pPr>
            <w:r w:rsidRPr="00B27884">
              <w:rPr>
                <w:rFonts w:ascii="Arial" w:hAnsi="Arial" w:cs="Arial"/>
                <w:szCs w:val="20"/>
              </w:rPr>
              <w:t>Answers will be provided</w:t>
            </w:r>
          </w:p>
        </w:tc>
        <w:tc>
          <w:tcPr>
            <w:tcW w:w="3825" w:type="dxa"/>
            <w:tcBorders>
              <w:top w:val="single" w:sz="4" w:space="0" w:color="auto"/>
              <w:left w:val="single" w:sz="4" w:space="0" w:color="auto"/>
              <w:bottom w:val="single" w:sz="4" w:space="0" w:color="auto"/>
              <w:right w:val="single" w:sz="4" w:space="0" w:color="auto"/>
            </w:tcBorders>
            <w:hideMark/>
          </w:tcPr>
          <w:p w14:paraId="3FB00BD4" w14:textId="77777777" w:rsidR="00B27884" w:rsidRPr="00B27884" w:rsidRDefault="00B27884" w:rsidP="00B27884">
            <w:pPr>
              <w:rPr>
                <w:rFonts w:ascii="Arial" w:hAnsi="Arial" w:cs="Arial"/>
                <w:szCs w:val="20"/>
              </w:rPr>
            </w:pPr>
            <w:r w:rsidRPr="00B27884">
              <w:rPr>
                <w:rFonts w:ascii="Arial" w:hAnsi="Arial" w:cs="Arial"/>
                <w:szCs w:val="20"/>
              </w:rPr>
              <w:t>Thursday 24</w:t>
            </w:r>
            <w:r w:rsidRPr="00B27884">
              <w:rPr>
                <w:rFonts w:ascii="Arial" w:hAnsi="Arial" w:cs="Arial"/>
                <w:szCs w:val="20"/>
                <w:vertAlign w:val="superscript"/>
              </w:rPr>
              <w:t>th</w:t>
            </w:r>
            <w:r w:rsidRPr="00B27884">
              <w:rPr>
                <w:rFonts w:ascii="Arial" w:hAnsi="Arial" w:cs="Arial"/>
                <w:szCs w:val="20"/>
              </w:rPr>
              <w:t xml:space="preserve"> October 2019</w:t>
            </w:r>
          </w:p>
        </w:tc>
        <w:tc>
          <w:tcPr>
            <w:tcW w:w="2551" w:type="dxa"/>
            <w:tcBorders>
              <w:top w:val="single" w:sz="4" w:space="0" w:color="auto"/>
              <w:left w:val="single" w:sz="4" w:space="0" w:color="auto"/>
              <w:bottom w:val="single" w:sz="4" w:space="0" w:color="auto"/>
              <w:right w:val="single" w:sz="4" w:space="0" w:color="auto"/>
            </w:tcBorders>
            <w:hideMark/>
          </w:tcPr>
          <w:p w14:paraId="5FC293AA" w14:textId="77777777" w:rsidR="00B27884" w:rsidRPr="00B27884" w:rsidRDefault="00B27884" w:rsidP="00B27884">
            <w:pPr>
              <w:rPr>
                <w:rFonts w:ascii="Arial" w:hAnsi="Arial" w:cs="Arial"/>
                <w:szCs w:val="20"/>
              </w:rPr>
            </w:pPr>
            <w:r w:rsidRPr="00B27884">
              <w:rPr>
                <w:rFonts w:ascii="Arial" w:hAnsi="Arial" w:cs="Arial"/>
                <w:szCs w:val="20"/>
              </w:rPr>
              <w:t>Emma Glassey/Megan White</w:t>
            </w:r>
          </w:p>
        </w:tc>
      </w:tr>
      <w:tr w:rsidR="00B27884" w:rsidRPr="00B27884" w14:paraId="49D74DA0" w14:textId="77777777" w:rsidTr="00B27884">
        <w:trPr>
          <w:trHeight w:val="522"/>
        </w:trPr>
        <w:tc>
          <w:tcPr>
            <w:tcW w:w="1982" w:type="dxa"/>
            <w:tcBorders>
              <w:top w:val="single" w:sz="4" w:space="0" w:color="auto"/>
              <w:left w:val="single" w:sz="4" w:space="0" w:color="auto"/>
              <w:bottom w:val="single" w:sz="4" w:space="0" w:color="auto"/>
              <w:right w:val="single" w:sz="4" w:space="0" w:color="auto"/>
            </w:tcBorders>
            <w:hideMark/>
          </w:tcPr>
          <w:p w14:paraId="2C29EBB2" w14:textId="77777777" w:rsidR="00B27884" w:rsidRPr="00B27884" w:rsidRDefault="00B27884" w:rsidP="00B27884">
            <w:pPr>
              <w:rPr>
                <w:rFonts w:ascii="Arial" w:hAnsi="Arial" w:cs="Arial"/>
                <w:szCs w:val="20"/>
              </w:rPr>
            </w:pPr>
            <w:r w:rsidRPr="00B27884">
              <w:rPr>
                <w:rFonts w:ascii="Arial" w:hAnsi="Arial" w:cs="Arial"/>
                <w:szCs w:val="20"/>
              </w:rPr>
              <w:lastRenderedPageBreak/>
              <w:t>Notify your intention to submit a proposal</w:t>
            </w:r>
          </w:p>
        </w:tc>
        <w:tc>
          <w:tcPr>
            <w:tcW w:w="3825" w:type="dxa"/>
            <w:tcBorders>
              <w:top w:val="single" w:sz="4" w:space="0" w:color="auto"/>
              <w:left w:val="single" w:sz="4" w:space="0" w:color="auto"/>
              <w:bottom w:val="single" w:sz="4" w:space="0" w:color="auto"/>
              <w:right w:val="single" w:sz="4" w:space="0" w:color="auto"/>
            </w:tcBorders>
          </w:tcPr>
          <w:p w14:paraId="5F43CD4D" w14:textId="77777777" w:rsidR="00B27884" w:rsidRPr="00B27884" w:rsidRDefault="00B27884" w:rsidP="00B27884">
            <w:pPr>
              <w:rPr>
                <w:rFonts w:ascii="Arial" w:hAnsi="Arial" w:cs="Arial"/>
                <w:szCs w:val="20"/>
              </w:rPr>
            </w:pPr>
            <w:r w:rsidRPr="00B27884">
              <w:rPr>
                <w:rFonts w:ascii="Arial" w:hAnsi="Arial" w:cs="Arial"/>
                <w:szCs w:val="20"/>
              </w:rPr>
              <w:t>Friday 25</w:t>
            </w:r>
            <w:r w:rsidRPr="00B27884">
              <w:rPr>
                <w:rFonts w:ascii="Arial" w:hAnsi="Arial" w:cs="Arial"/>
                <w:szCs w:val="20"/>
                <w:vertAlign w:val="superscript"/>
              </w:rPr>
              <w:t>th</w:t>
            </w:r>
            <w:r w:rsidRPr="00B27884">
              <w:rPr>
                <w:rFonts w:ascii="Arial" w:hAnsi="Arial" w:cs="Arial"/>
                <w:szCs w:val="20"/>
              </w:rPr>
              <w:t xml:space="preserve"> October 2019</w:t>
            </w:r>
          </w:p>
          <w:p w14:paraId="4727E14F" w14:textId="77777777" w:rsidR="00B27884" w:rsidRPr="00B27884" w:rsidRDefault="00B27884" w:rsidP="00B27884">
            <w:pPr>
              <w:ind w:left="709" w:hanging="709"/>
              <w:jc w:val="center"/>
              <w:rPr>
                <w:rFonts w:ascii="Arial" w:hAnsi="Arial" w:cs="Arial"/>
                <w:szCs w:val="20"/>
              </w:rPr>
            </w:pPr>
          </w:p>
        </w:tc>
        <w:tc>
          <w:tcPr>
            <w:tcW w:w="2551" w:type="dxa"/>
            <w:tcBorders>
              <w:top w:val="single" w:sz="4" w:space="0" w:color="auto"/>
              <w:left w:val="single" w:sz="4" w:space="0" w:color="auto"/>
              <w:bottom w:val="single" w:sz="4" w:space="0" w:color="auto"/>
              <w:right w:val="single" w:sz="4" w:space="0" w:color="auto"/>
            </w:tcBorders>
            <w:hideMark/>
          </w:tcPr>
          <w:p w14:paraId="5FFB6179" w14:textId="77777777" w:rsidR="00B27884" w:rsidRPr="00B27884" w:rsidRDefault="00B27884" w:rsidP="00B27884">
            <w:pPr>
              <w:rPr>
                <w:rFonts w:ascii="Arial" w:hAnsi="Arial" w:cs="Arial"/>
                <w:szCs w:val="20"/>
              </w:rPr>
            </w:pPr>
            <w:r w:rsidRPr="00B27884">
              <w:rPr>
                <w:rFonts w:ascii="Arial" w:hAnsi="Arial" w:cs="Arial"/>
                <w:szCs w:val="20"/>
              </w:rPr>
              <w:t>Emma Glassey/Megan White</w:t>
            </w:r>
          </w:p>
        </w:tc>
      </w:tr>
      <w:tr w:rsidR="00B27884" w:rsidRPr="00B27884" w14:paraId="530DA1D3" w14:textId="77777777" w:rsidTr="00B27884">
        <w:trPr>
          <w:trHeight w:val="508"/>
        </w:trPr>
        <w:tc>
          <w:tcPr>
            <w:tcW w:w="1982" w:type="dxa"/>
            <w:tcBorders>
              <w:top w:val="single" w:sz="4" w:space="0" w:color="auto"/>
              <w:left w:val="single" w:sz="4" w:space="0" w:color="auto"/>
              <w:bottom w:val="single" w:sz="4" w:space="0" w:color="auto"/>
              <w:right w:val="single" w:sz="4" w:space="0" w:color="auto"/>
            </w:tcBorders>
            <w:hideMark/>
          </w:tcPr>
          <w:p w14:paraId="63C9D7D4" w14:textId="77777777" w:rsidR="00B27884" w:rsidRPr="00B27884" w:rsidRDefault="00B27884" w:rsidP="00B27884">
            <w:pPr>
              <w:rPr>
                <w:rFonts w:ascii="Arial" w:hAnsi="Arial" w:cs="Arial"/>
                <w:szCs w:val="20"/>
              </w:rPr>
            </w:pPr>
            <w:r w:rsidRPr="00B27884">
              <w:rPr>
                <w:rFonts w:ascii="Arial" w:hAnsi="Arial" w:cs="Arial"/>
                <w:szCs w:val="20"/>
              </w:rPr>
              <w:t xml:space="preserve">Submit read only tender and cost proposal via email </w:t>
            </w:r>
          </w:p>
        </w:tc>
        <w:tc>
          <w:tcPr>
            <w:tcW w:w="3825" w:type="dxa"/>
            <w:tcBorders>
              <w:top w:val="single" w:sz="4" w:space="0" w:color="auto"/>
              <w:left w:val="single" w:sz="4" w:space="0" w:color="auto"/>
              <w:bottom w:val="single" w:sz="4" w:space="0" w:color="auto"/>
              <w:right w:val="single" w:sz="4" w:space="0" w:color="auto"/>
            </w:tcBorders>
            <w:hideMark/>
          </w:tcPr>
          <w:p w14:paraId="5169BEA6" w14:textId="77777777" w:rsidR="00B27884" w:rsidRPr="00B27884" w:rsidRDefault="00B27884" w:rsidP="00B27884">
            <w:pPr>
              <w:rPr>
                <w:rFonts w:ascii="Arial" w:hAnsi="Arial" w:cs="Arial"/>
                <w:szCs w:val="20"/>
              </w:rPr>
            </w:pPr>
            <w:r w:rsidRPr="00B27884">
              <w:rPr>
                <w:rFonts w:ascii="Arial" w:hAnsi="Arial" w:cs="Arial"/>
                <w:szCs w:val="20"/>
              </w:rPr>
              <w:t>12pm, Monday 4th November 2019</w:t>
            </w:r>
          </w:p>
        </w:tc>
        <w:tc>
          <w:tcPr>
            <w:tcW w:w="2551" w:type="dxa"/>
            <w:tcBorders>
              <w:top w:val="single" w:sz="4" w:space="0" w:color="auto"/>
              <w:left w:val="single" w:sz="4" w:space="0" w:color="auto"/>
              <w:bottom w:val="single" w:sz="4" w:space="0" w:color="auto"/>
              <w:right w:val="single" w:sz="4" w:space="0" w:color="auto"/>
            </w:tcBorders>
            <w:hideMark/>
          </w:tcPr>
          <w:p w14:paraId="60C3CFF4" w14:textId="77777777" w:rsidR="00B27884" w:rsidRPr="00B27884" w:rsidRDefault="00B27884" w:rsidP="00B27884">
            <w:pPr>
              <w:rPr>
                <w:rFonts w:ascii="Arial" w:hAnsi="Arial" w:cs="Arial"/>
                <w:szCs w:val="20"/>
                <w:highlight w:val="yellow"/>
              </w:rPr>
            </w:pPr>
            <w:r w:rsidRPr="00B27884">
              <w:rPr>
                <w:rFonts w:ascii="Arial" w:hAnsi="Arial" w:cs="Arial"/>
                <w:szCs w:val="20"/>
              </w:rPr>
              <w:t>Louise Cendrowska</w:t>
            </w:r>
          </w:p>
        </w:tc>
      </w:tr>
      <w:tr w:rsidR="00B27884" w:rsidRPr="00B27884" w14:paraId="5E1F28AA" w14:textId="77777777" w:rsidTr="00B27884">
        <w:trPr>
          <w:trHeight w:val="254"/>
        </w:trPr>
        <w:tc>
          <w:tcPr>
            <w:tcW w:w="1982" w:type="dxa"/>
            <w:tcBorders>
              <w:top w:val="single" w:sz="4" w:space="0" w:color="auto"/>
              <w:left w:val="single" w:sz="4" w:space="0" w:color="auto"/>
              <w:bottom w:val="single" w:sz="4" w:space="0" w:color="auto"/>
              <w:right w:val="single" w:sz="4" w:space="0" w:color="auto"/>
            </w:tcBorders>
            <w:hideMark/>
          </w:tcPr>
          <w:p w14:paraId="4D0601DB" w14:textId="77777777" w:rsidR="00B27884" w:rsidRPr="00B27884" w:rsidRDefault="00B27884" w:rsidP="00B27884">
            <w:pPr>
              <w:rPr>
                <w:rFonts w:ascii="Arial" w:hAnsi="Arial" w:cs="Arial"/>
                <w:szCs w:val="20"/>
              </w:rPr>
            </w:pPr>
            <w:r w:rsidRPr="00B27884">
              <w:rPr>
                <w:rFonts w:ascii="Arial" w:hAnsi="Arial" w:cs="Arial"/>
                <w:szCs w:val="20"/>
              </w:rPr>
              <w:t>Evaluation</w:t>
            </w:r>
          </w:p>
        </w:tc>
        <w:tc>
          <w:tcPr>
            <w:tcW w:w="3825" w:type="dxa"/>
            <w:tcBorders>
              <w:top w:val="single" w:sz="4" w:space="0" w:color="auto"/>
              <w:left w:val="single" w:sz="4" w:space="0" w:color="auto"/>
              <w:bottom w:val="single" w:sz="4" w:space="0" w:color="auto"/>
              <w:right w:val="single" w:sz="4" w:space="0" w:color="auto"/>
            </w:tcBorders>
            <w:hideMark/>
          </w:tcPr>
          <w:p w14:paraId="7A81FF1A" w14:textId="77777777" w:rsidR="00B27884" w:rsidRPr="00B27884" w:rsidRDefault="00B27884" w:rsidP="00B27884">
            <w:pPr>
              <w:rPr>
                <w:rFonts w:ascii="Arial" w:hAnsi="Arial" w:cs="Arial"/>
                <w:szCs w:val="20"/>
              </w:rPr>
            </w:pPr>
            <w:r w:rsidRPr="00B27884">
              <w:rPr>
                <w:rFonts w:ascii="Arial" w:hAnsi="Arial" w:cs="Arial"/>
                <w:szCs w:val="20"/>
              </w:rPr>
              <w:t>w/c Monday 4</w:t>
            </w:r>
            <w:r w:rsidRPr="00B27884">
              <w:rPr>
                <w:rFonts w:ascii="Arial" w:hAnsi="Arial" w:cs="Arial"/>
                <w:szCs w:val="20"/>
                <w:vertAlign w:val="superscript"/>
              </w:rPr>
              <w:t>th</w:t>
            </w:r>
            <w:r w:rsidRPr="00B27884">
              <w:rPr>
                <w:rFonts w:ascii="Arial" w:hAnsi="Arial" w:cs="Arial"/>
                <w:szCs w:val="20"/>
              </w:rPr>
              <w:t xml:space="preserve"> November 2019</w:t>
            </w:r>
          </w:p>
        </w:tc>
        <w:tc>
          <w:tcPr>
            <w:tcW w:w="2551" w:type="dxa"/>
            <w:tcBorders>
              <w:top w:val="single" w:sz="4" w:space="0" w:color="auto"/>
              <w:left w:val="single" w:sz="4" w:space="0" w:color="auto"/>
              <w:bottom w:val="single" w:sz="4" w:space="0" w:color="auto"/>
              <w:right w:val="single" w:sz="4" w:space="0" w:color="auto"/>
            </w:tcBorders>
            <w:hideMark/>
          </w:tcPr>
          <w:p w14:paraId="682492C3" w14:textId="77777777" w:rsidR="00B27884" w:rsidRPr="00B27884" w:rsidRDefault="00B27884" w:rsidP="00B27884">
            <w:pPr>
              <w:rPr>
                <w:rFonts w:ascii="Arial" w:hAnsi="Arial" w:cs="Arial"/>
                <w:szCs w:val="20"/>
              </w:rPr>
            </w:pPr>
            <w:r w:rsidRPr="00B27884">
              <w:rPr>
                <w:rFonts w:ascii="Arial" w:hAnsi="Arial" w:cs="Arial"/>
                <w:szCs w:val="20"/>
              </w:rPr>
              <w:t xml:space="preserve">Megan White </w:t>
            </w:r>
          </w:p>
        </w:tc>
      </w:tr>
      <w:tr w:rsidR="00B27884" w:rsidRPr="00B27884" w14:paraId="5D8E35BC" w14:textId="77777777" w:rsidTr="00B27884">
        <w:trPr>
          <w:trHeight w:val="777"/>
        </w:trPr>
        <w:tc>
          <w:tcPr>
            <w:tcW w:w="1982" w:type="dxa"/>
            <w:tcBorders>
              <w:top w:val="single" w:sz="4" w:space="0" w:color="auto"/>
              <w:left w:val="single" w:sz="4" w:space="0" w:color="auto"/>
              <w:bottom w:val="single" w:sz="4" w:space="0" w:color="auto"/>
              <w:right w:val="single" w:sz="4" w:space="0" w:color="auto"/>
            </w:tcBorders>
            <w:hideMark/>
          </w:tcPr>
          <w:p w14:paraId="6C67FC30" w14:textId="77777777" w:rsidR="00B27884" w:rsidRPr="00B27884" w:rsidRDefault="00B27884" w:rsidP="00B27884">
            <w:pPr>
              <w:rPr>
                <w:rFonts w:ascii="Arial" w:hAnsi="Arial" w:cs="Arial"/>
                <w:szCs w:val="20"/>
              </w:rPr>
            </w:pPr>
            <w:r w:rsidRPr="00B27884">
              <w:rPr>
                <w:rFonts w:ascii="Arial" w:hAnsi="Arial" w:cs="Arial"/>
                <w:szCs w:val="20"/>
              </w:rPr>
              <w:t>Providers noted of outcome (successful &amp; unsuccessful)</w:t>
            </w:r>
          </w:p>
        </w:tc>
        <w:tc>
          <w:tcPr>
            <w:tcW w:w="3825" w:type="dxa"/>
            <w:tcBorders>
              <w:top w:val="single" w:sz="4" w:space="0" w:color="auto"/>
              <w:left w:val="single" w:sz="4" w:space="0" w:color="auto"/>
              <w:bottom w:val="single" w:sz="4" w:space="0" w:color="auto"/>
              <w:right w:val="single" w:sz="4" w:space="0" w:color="auto"/>
            </w:tcBorders>
            <w:hideMark/>
          </w:tcPr>
          <w:p w14:paraId="6C42B5FF" w14:textId="77777777" w:rsidR="00B27884" w:rsidRPr="00B27884" w:rsidRDefault="00B27884" w:rsidP="00B27884">
            <w:pPr>
              <w:rPr>
                <w:rFonts w:ascii="Arial" w:hAnsi="Arial" w:cs="Arial"/>
                <w:szCs w:val="20"/>
              </w:rPr>
            </w:pPr>
            <w:r w:rsidRPr="00B27884">
              <w:rPr>
                <w:rFonts w:ascii="Arial" w:hAnsi="Arial" w:cs="Arial"/>
                <w:szCs w:val="20"/>
              </w:rPr>
              <w:t>w/c Monday 4</w:t>
            </w:r>
            <w:r w:rsidRPr="00B27884">
              <w:rPr>
                <w:rFonts w:ascii="Arial" w:hAnsi="Arial" w:cs="Arial"/>
                <w:szCs w:val="20"/>
                <w:vertAlign w:val="superscript"/>
              </w:rPr>
              <w:t>th</w:t>
            </w:r>
            <w:r w:rsidRPr="00B27884">
              <w:rPr>
                <w:rFonts w:ascii="Arial" w:hAnsi="Arial" w:cs="Arial"/>
                <w:szCs w:val="20"/>
              </w:rPr>
              <w:t xml:space="preserve"> November 2019</w:t>
            </w:r>
          </w:p>
        </w:tc>
        <w:tc>
          <w:tcPr>
            <w:tcW w:w="2551" w:type="dxa"/>
            <w:tcBorders>
              <w:top w:val="single" w:sz="4" w:space="0" w:color="auto"/>
              <w:left w:val="single" w:sz="4" w:space="0" w:color="auto"/>
              <w:bottom w:val="single" w:sz="4" w:space="0" w:color="auto"/>
              <w:right w:val="single" w:sz="4" w:space="0" w:color="auto"/>
            </w:tcBorders>
            <w:hideMark/>
          </w:tcPr>
          <w:p w14:paraId="564CDB84" w14:textId="77777777" w:rsidR="00B27884" w:rsidRPr="00B27884" w:rsidRDefault="00B27884" w:rsidP="00B27884">
            <w:pPr>
              <w:rPr>
                <w:rFonts w:ascii="Arial" w:hAnsi="Arial" w:cs="Arial"/>
                <w:szCs w:val="20"/>
              </w:rPr>
            </w:pPr>
            <w:r w:rsidRPr="00B27884">
              <w:rPr>
                <w:rFonts w:ascii="Arial" w:hAnsi="Arial" w:cs="Arial"/>
                <w:szCs w:val="20"/>
              </w:rPr>
              <w:t xml:space="preserve">Megan White </w:t>
            </w:r>
          </w:p>
        </w:tc>
      </w:tr>
      <w:tr w:rsidR="00B27884" w:rsidRPr="00B27884" w14:paraId="736357C7" w14:textId="77777777" w:rsidTr="00B27884">
        <w:trPr>
          <w:trHeight w:val="777"/>
        </w:trPr>
        <w:tc>
          <w:tcPr>
            <w:tcW w:w="1982" w:type="dxa"/>
            <w:tcBorders>
              <w:top w:val="single" w:sz="4" w:space="0" w:color="auto"/>
              <w:left w:val="single" w:sz="4" w:space="0" w:color="auto"/>
              <w:bottom w:val="single" w:sz="4" w:space="0" w:color="auto"/>
              <w:right w:val="single" w:sz="4" w:space="0" w:color="auto"/>
            </w:tcBorders>
            <w:hideMark/>
          </w:tcPr>
          <w:p w14:paraId="33B064E2" w14:textId="77777777" w:rsidR="00B27884" w:rsidRPr="00B27884" w:rsidRDefault="00B27884" w:rsidP="00B27884">
            <w:pPr>
              <w:rPr>
                <w:rFonts w:ascii="Arial" w:hAnsi="Arial" w:cs="Arial"/>
                <w:szCs w:val="20"/>
              </w:rPr>
            </w:pPr>
            <w:r w:rsidRPr="00B27884">
              <w:rPr>
                <w:rFonts w:ascii="Arial" w:hAnsi="Arial" w:cs="Arial"/>
                <w:szCs w:val="20"/>
              </w:rPr>
              <w:t>Contract award completed</w:t>
            </w:r>
          </w:p>
        </w:tc>
        <w:tc>
          <w:tcPr>
            <w:tcW w:w="3825" w:type="dxa"/>
            <w:tcBorders>
              <w:top w:val="single" w:sz="4" w:space="0" w:color="auto"/>
              <w:left w:val="single" w:sz="4" w:space="0" w:color="auto"/>
              <w:bottom w:val="single" w:sz="4" w:space="0" w:color="auto"/>
              <w:right w:val="single" w:sz="4" w:space="0" w:color="auto"/>
            </w:tcBorders>
            <w:hideMark/>
          </w:tcPr>
          <w:p w14:paraId="111B080C" w14:textId="77777777" w:rsidR="00B27884" w:rsidRPr="00B27884" w:rsidRDefault="00B27884" w:rsidP="00B27884">
            <w:pPr>
              <w:ind w:left="709" w:hanging="709"/>
              <w:rPr>
                <w:rFonts w:ascii="Arial" w:hAnsi="Arial" w:cs="Arial"/>
                <w:szCs w:val="20"/>
              </w:rPr>
            </w:pPr>
            <w:r w:rsidRPr="00B27884">
              <w:rPr>
                <w:rFonts w:ascii="Arial" w:hAnsi="Arial" w:cs="Arial"/>
                <w:szCs w:val="20"/>
              </w:rPr>
              <w:t>w/c Monday 11</w:t>
            </w:r>
            <w:r w:rsidRPr="00B27884">
              <w:rPr>
                <w:rFonts w:ascii="Arial" w:hAnsi="Arial" w:cs="Arial"/>
                <w:szCs w:val="20"/>
                <w:vertAlign w:val="superscript"/>
              </w:rPr>
              <w:t>th</w:t>
            </w:r>
            <w:r w:rsidRPr="00B27884">
              <w:rPr>
                <w:rFonts w:ascii="Arial" w:hAnsi="Arial" w:cs="Arial"/>
                <w:szCs w:val="20"/>
              </w:rPr>
              <w:t xml:space="preserve"> November 2019</w:t>
            </w:r>
          </w:p>
        </w:tc>
        <w:tc>
          <w:tcPr>
            <w:tcW w:w="2551" w:type="dxa"/>
            <w:tcBorders>
              <w:top w:val="single" w:sz="4" w:space="0" w:color="auto"/>
              <w:left w:val="single" w:sz="4" w:space="0" w:color="auto"/>
              <w:bottom w:val="single" w:sz="4" w:space="0" w:color="auto"/>
              <w:right w:val="single" w:sz="4" w:space="0" w:color="auto"/>
            </w:tcBorders>
            <w:hideMark/>
          </w:tcPr>
          <w:p w14:paraId="551074F2" w14:textId="77777777" w:rsidR="00B27884" w:rsidRPr="00B27884" w:rsidRDefault="00B27884" w:rsidP="00B27884">
            <w:pPr>
              <w:rPr>
                <w:rFonts w:ascii="Arial" w:hAnsi="Arial" w:cs="Arial"/>
                <w:szCs w:val="20"/>
              </w:rPr>
            </w:pPr>
            <w:r w:rsidRPr="00B27884">
              <w:rPr>
                <w:rFonts w:ascii="Arial" w:hAnsi="Arial" w:cs="Arial"/>
                <w:szCs w:val="20"/>
              </w:rPr>
              <w:t xml:space="preserve">Megan White </w:t>
            </w:r>
          </w:p>
        </w:tc>
      </w:tr>
    </w:tbl>
    <w:p w14:paraId="452B74C3" w14:textId="77777777" w:rsidR="00B27884" w:rsidRPr="00B27884" w:rsidRDefault="00B27884" w:rsidP="00B27884">
      <w:pPr>
        <w:spacing w:after="160" w:line="256" w:lineRule="auto"/>
        <w:rPr>
          <w:rFonts w:ascii="Arial" w:hAnsi="Arial" w:cs="Arial"/>
          <w:szCs w:val="20"/>
          <w:lang w:eastAsia="en-US"/>
        </w:rPr>
      </w:pPr>
    </w:p>
    <w:p w14:paraId="2F2B4644" w14:textId="77777777" w:rsidR="00B27884" w:rsidRPr="00B27884" w:rsidRDefault="00B27884" w:rsidP="00B27884">
      <w:pPr>
        <w:spacing w:after="160" w:line="256" w:lineRule="auto"/>
        <w:rPr>
          <w:rFonts w:ascii="Arial" w:hAnsi="Arial" w:cs="Arial"/>
          <w:szCs w:val="20"/>
          <w:lang w:eastAsia="en-US"/>
        </w:rPr>
      </w:pPr>
    </w:p>
    <w:p w14:paraId="16B66956" w14:textId="79BEEED1" w:rsidR="00B27884" w:rsidRDefault="00B27884" w:rsidP="002E656D"/>
    <w:p w14:paraId="2CDCBA7E" w14:textId="2AEB4346" w:rsidR="00B27884" w:rsidRDefault="00B27884" w:rsidP="002E656D"/>
    <w:p w14:paraId="1E80A38E" w14:textId="480F513B" w:rsidR="00B27884" w:rsidRDefault="00B27884" w:rsidP="002E656D"/>
    <w:p w14:paraId="0EAC2BB0" w14:textId="7E14BDF3" w:rsidR="00B27884" w:rsidRDefault="00B27884" w:rsidP="002E656D"/>
    <w:p w14:paraId="7CC80A43" w14:textId="213E9744" w:rsidR="00B27884" w:rsidRDefault="00B27884" w:rsidP="002E656D"/>
    <w:p w14:paraId="793DC6F8" w14:textId="52070BEF" w:rsidR="00B27884" w:rsidRDefault="00B27884" w:rsidP="002E656D"/>
    <w:p w14:paraId="7361A2C4" w14:textId="03AE3C55" w:rsidR="00B27884" w:rsidRDefault="00B27884" w:rsidP="002E656D"/>
    <w:p w14:paraId="4E4D378F" w14:textId="03594903" w:rsidR="00B27884" w:rsidRDefault="00B27884" w:rsidP="002E656D"/>
    <w:p w14:paraId="1352A653" w14:textId="64C37466" w:rsidR="00B27884" w:rsidRDefault="00B27884" w:rsidP="002E656D"/>
    <w:p w14:paraId="39555A60" w14:textId="1A78EF3E" w:rsidR="00B27884" w:rsidRDefault="00B27884" w:rsidP="002E656D"/>
    <w:p w14:paraId="2C7ED340" w14:textId="187AFACB" w:rsidR="00B27884" w:rsidRDefault="00B27884" w:rsidP="002E656D"/>
    <w:p w14:paraId="40F40E98" w14:textId="6DE0B6AE" w:rsidR="00B27884" w:rsidRDefault="00B27884" w:rsidP="002E656D"/>
    <w:p w14:paraId="60CD2CC4" w14:textId="3A3B4946" w:rsidR="00B27884" w:rsidRDefault="00B27884" w:rsidP="002E656D"/>
    <w:p w14:paraId="0F76D5C1" w14:textId="5CF2FFFD" w:rsidR="00B27884" w:rsidRDefault="00B27884" w:rsidP="002E656D"/>
    <w:p w14:paraId="7153738F" w14:textId="29852F4F" w:rsidR="00B27884" w:rsidRDefault="00B27884" w:rsidP="002E656D"/>
    <w:p w14:paraId="7574B500" w14:textId="1950AFE6" w:rsidR="00B27884" w:rsidRDefault="00B27884" w:rsidP="002E656D"/>
    <w:p w14:paraId="4778B770" w14:textId="7D2215F5" w:rsidR="00B27884" w:rsidRDefault="00B27884" w:rsidP="002E656D"/>
    <w:p w14:paraId="1FB142C7" w14:textId="6E5B9FFC" w:rsidR="00B27884" w:rsidRDefault="00B27884" w:rsidP="002E656D"/>
    <w:p w14:paraId="4C1582A1" w14:textId="70412C88" w:rsidR="00B27884" w:rsidRDefault="00B27884" w:rsidP="002E656D"/>
    <w:p w14:paraId="0F5659A4" w14:textId="7EB9A258" w:rsidR="00B27884" w:rsidRDefault="00B27884" w:rsidP="002E656D"/>
    <w:p w14:paraId="32960BE5" w14:textId="415328D5" w:rsidR="00B27884" w:rsidRDefault="00B27884" w:rsidP="002E656D"/>
    <w:p w14:paraId="2E5248A6" w14:textId="25B9D6E8" w:rsidR="00B27884" w:rsidRDefault="00B27884" w:rsidP="002E656D"/>
    <w:p w14:paraId="65764A83" w14:textId="06156154" w:rsidR="00B27884" w:rsidRDefault="00B27884" w:rsidP="002E656D"/>
    <w:p w14:paraId="7D438FE8" w14:textId="23F4A08F" w:rsidR="00B27884" w:rsidRDefault="00B27884" w:rsidP="002E656D"/>
    <w:p w14:paraId="7AC0495D" w14:textId="3DCB7690" w:rsidR="00B27884" w:rsidRDefault="00B27884" w:rsidP="002E656D"/>
    <w:p w14:paraId="41903CDE" w14:textId="557BE039" w:rsidR="00B27884" w:rsidRDefault="00B27884" w:rsidP="002E656D"/>
    <w:p w14:paraId="0C55C0CE" w14:textId="50D246FF" w:rsidR="00B27884" w:rsidRDefault="00B27884" w:rsidP="002E656D"/>
    <w:p w14:paraId="2DFA8C44" w14:textId="7FE3C831" w:rsidR="00B27884" w:rsidRDefault="00B27884" w:rsidP="002E656D"/>
    <w:p w14:paraId="6084088B" w14:textId="4448A95E" w:rsidR="00B27884" w:rsidRDefault="00B27884" w:rsidP="002E656D"/>
    <w:p w14:paraId="32965211" w14:textId="4BD724A0" w:rsidR="00B27884" w:rsidRDefault="00B27884" w:rsidP="002E656D"/>
    <w:p w14:paraId="17A4EEC9" w14:textId="587A667B" w:rsidR="00B27884" w:rsidRDefault="00B27884" w:rsidP="002E656D">
      <w:r>
        <w:lastRenderedPageBreak/>
        <w:t>Appendix 4: Supplier Response</w:t>
      </w:r>
    </w:p>
    <w:p w14:paraId="6ABA71F2" w14:textId="0DB23506" w:rsidR="00B27884" w:rsidRDefault="00B27884" w:rsidP="002E656D"/>
    <w:p w14:paraId="08A8CE12" w14:textId="458E92B9" w:rsidR="00B27884" w:rsidRDefault="00B27884" w:rsidP="002E656D">
      <w:r>
        <w:t>Redacted in line with FOI Act Section 43(2).</w:t>
      </w:r>
      <w:bookmarkStart w:id="73" w:name="_GoBack"/>
      <w:bookmarkEnd w:id="73"/>
    </w:p>
    <w:p w14:paraId="6A25FA52" w14:textId="77777777" w:rsidR="00B27884" w:rsidRDefault="00B27884" w:rsidP="002E656D"/>
    <w:sectPr w:rsidR="00B27884">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AE116" w14:textId="77777777" w:rsidR="00AF3B0B" w:rsidRDefault="00AF3B0B" w:rsidP="002E656D">
      <w:r>
        <w:separator/>
      </w:r>
    </w:p>
  </w:endnote>
  <w:endnote w:type="continuationSeparator" w:id="0">
    <w:p w14:paraId="193BA327" w14:textId="77777777" w:rsidR="00AF3B0B" w:rsidRDefault="00AF3B0B" w:rsidP="002E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8C59" w14:textId="77777777" w:rsidR="00B27884" w:rsidRDefault="00B27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3090" w14:textId="77777777" w:rsidR="002E656D" w:rsidRDefault="002E656D">
    <w:pPr>
      <w:pStyle w:val="Footer"/>
    </w:pPr>
    <w:r>
      <w:rPr>
        <w:noProof/>
      </w:rPr>
      <mc:AlternateContent>
        <mc:Choice Requires="wps">
          <w:drawing>
            <wp:anchor distT="0" distB="0" distL="114300" distR="114300" simplePos="0" relativeHeight="251659264" behindDoc="0" locked="0" layoutInCell="0" allowOverlap="1" wp14:anchorId="7E58E6DF" wp14:editId="339DFACA">
              <wp:simplePos x="0" y="0"/>
              <wp:positionH relativeFrom="page">
                <wp:posOffset>0</wp:posOffset>
              </wp:positionH>
              <wp:positionV relativeFrom="page">
                <wp:posOffset>10227945</wp:posOffset>
              </wp:positionV>
              <wp:extent cx="7560310" cy="273050"/>
              <wp:effectExtent l="0" t="0" r="0" b="12700"/>
              <wp:wrapNone/>
              <wp:docPr id="1" name="MSIPCMbe77493d9f472bf030a505c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697675" w14:textId="77777777" w:rsidR="002E656D" w:rsidRPr="002E656D" w:rsidRDefault="002E656D" w:rsidP="002E656D">
                          <w:pPr>
                            <w:jc w:val="center"/>
                            <w:rPr>
                              <w:rFonts w:ascii="Calibri" w:hAnsi="Calibri" w:cs="Calibri"/>
                              <w:color w:val="000000"/>
                              <w:sz w:val="20"/>
                            </w:rPr>
                          </w:pPr>
                          <w:r w:rsidRPr="002E656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58E6DF" id="_x0000_t202" coordsize="21600,21600" o:spt="202" path="m,l,21600r21600,l21600,xe">
              <v:stroke joinstyle="miter"/>
              <v:path gradientshapeok="t" o:connecttype="rect"/>
            </v:shapetype>
            <v:shape id="MSIPCMbe77493d9f472bf030a505c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NsxacMZAwAANwYAAA4AAAAAAAAAAAAA&#10;AAAALgIAAGRycy9lMm9Eb2MueG1sUEsBAi0AFAAGAAgAAAAhAJ/VQezfAAAACwEAAA8AAAAAAAAA&#10;AAAAAAAAcwUAAGRycy9kb3ducmV2LnhtbFBLBQYAAAAABAAEAPMAAAB/BgAAAAA=&#10;" o:allowincell="f" filled="f" stroked="f" strokeweight=".5pt">
              <v:textbox inset=",0,,0">
                <w:txbxContent>
                  <w:p w14:paraId="27697675" w14:textId="77777777" w:rsidR="002E656D" w:rsidRPr="002E656D" w:rsidRDefault="002E656D" w:rsidP="002E656D">
                    <w:pPr>
                      <w:jc w:val="center"/>
                      <w:rPr>
                        <w:rFonts w:ascii="Calibri" w:hAnsi="Calibri" w:cs="Calibri"/>
                        <w:color w:val="000000"/>
                        <w:sz w:val="20"/>
                      </w:rPr>
                    </w:pPr>
                    <w:r w:rsidRPr="002E656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D1E5" w14:textId="77777777" w:rsidR="00B27884" w:rsidRDefault="00B27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8A1FA" w14:textId="77777777" w:rsidR="00AF3B0B" w:rsidRDefault="00AF3B0B" w:rsidP="002E656D">
      <w:r>
        <w:separator/>
      </w:r>
    </w:p>
  </w:footnote>
  <w:footnote w:type="continuationSeparator" w:id="0">
    <w:p w14:paraId="0A56CD9F" w14:textId="77777777" w:rsidR="00AF3B0B" w:rsidRDefault="00AF3B0B" w:rsidP="002E656D">
      <w:r>
        <w:continuationSeparator/>
      </w:r>
    </w:p>
  </w:footnote>
  <w:footnote w:id="1">
    <w:p w14:paraId="559C65B7" w14:textId="77777777" w:rsidR="0064494F" w:rsidRDefault="0064494F" w:rsidP="0064494F">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6BF6FD03" w14:textId="77777777" w:rsidR="0064494F" w:rsidRDefault="0064494F" w:rsidP="0064494F">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7D554CA1" w14:textId="77777777" w:rsidR="0064494F" w:rsidRDefault="0064494F" w:rsidP="0064494F">
      <w:pPr>
        <w:pStyle w:val="FootnoteText"/>
        <w:jc w:val="both"/>
      </w:pPr>
      <w:r>
        <w:rPr>
          <w:rStyle w:val="FootnoteReference"/>
        </w:rPr>
        <w:footnoteRef/>
      </w:r>
      <w:r>
        <w:t xml:space="preserve"> “General Anti-Abuse Rule” means (a) the legislation in Part 5 of the Finance Act 2013; and (b) any</w:t>
      </w:r>
    </w:p>
    <w:p w14:paraId="4C69B619" w14:textId="77777777" w:rsidR="0064494F" w:rsidRDefault="0064494F" w:rsidP="0064494F">
      <w:pPr>
        <w:pStyle w:val="FootnoteText"/>
        <w:jc w:val="both"/>
      </w:pPr>
      <w:r>
        <w:t>future legislation introduced into Parliament to counteract tax advantages arising from abusive</w:t>
      </w:r>
    </w:p>
    <w:p w14:paraId="0E7BAF6E" w14:textId="77777777" w:rsidR="0064494F" w:rsidRDefault="0064494F" w:rsidP="0064494F">
      <w:pPr>
        <w:pStyle w:val="FootnoteText"/>
      </w:pPr>
      <w:r>
        <w:t>arrangements to avoid national insurance contributions</w:t>
      </w:r>
    </w:p>
  </w:footnote>
  <w:footnote w:id="4">
    <w:p w14:paraId="3A05DA57" w14:textId="77777777" w:rsidR="0064494F" w:rsidRDefault="0064494F" w:rsidP="0064494F">
      <w:pPr>
        <w:pStyle w:val="FootnoteText"/>
      </w:pPr>
      <w:r>
        <w:rPr>
          <w:rStyle w:val="FootnoteReference"/>
        </w:rPr>
        <w:footnoteRef/>
      </w:r>
      <w:r>
        <w:t xml:space="preserve"> “Halifax Abuse Principle” means the principle explained in the CJEU Case C-255/02 Halifax and others</w:t>
      </w:r>
    </w:p>
  </w:footnote>
  <w:footnote w:id="5">
    <w:p w14:paraId="0D960B1C" w14:textId="77777777" w:rsidR="0064494F" w:rsidRDefault="0064494F" w:rsidP="0064494F">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034D9EF" w14:textId="77777777" w:rsidR="0064494F" w:rsidRDefault="0064494F" w:rsidP="0064494F">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16997879" w14:textId="77777777" w:rsidR="0064494F" w:rsidRDefault="0064494F" w:rsidP="0064494F">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18AF7AD9" w14:textId="77777777" w:rsidR="0064494F" w:rsidRDefault="0064494F" w:rsidP="0064494F">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00FF" w14:textId="77777777" w:rsidR="00B27884" w:rsidRDefault="00B27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036B8" w14:textId="77777777" w:rsidR="00B27884" w:rsidRDefault="00B27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72A9" w14:textId="77777777" w:rsidR="00B27884" w:rsidRDefault="00B27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1DD"/>
    <w:multiLevelType w:val="hybridMultilevel"/>
    <w:tmpl w:val="EB06D8EA"/>
    <w:lvl w:ilvl="0" w:tplc="FE0A4F10">
      <w:start w:val="1"/>
      <w:numFmt w:val="lowerLetter"/>
      <w:pStyle w:val="Heading3"/>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740BE"/>
    <w:multiLevelType w:val="hybridMultilevel"/>
    <w:tmpl w:val="87A65222"/>
    <w:lvl w:ilvl="0" w:tplc="502C00BC">
      <w:start w:val="1"/>
      <w:numFmt w:val="lowerLetter"/>
      <w:lvlText w:val="%1)"/>
      <w:lvlJc w:val="left"/>
      <w:pPr>
        <w:ind w:left="1073" w:hanging="360"/>
      </w:pPr>
      <w:rPr>
        <w:b/>
      </w:rPr>
    </w:lvl>
    <w:lvl w:ilvl="1" w:tplc="08090019">
      <w:start w:val="1"/>
      <w:numFmt w:val="lowerLetter"/>
      <w:lvlText w:val="%2."/>
      <w:lvlJc w:val="left"/>
      <w:pPr>
        <w:ind w:left="1793" w:hanging="360"/>
      </w:pPr>
    </w:lvl>
    <w:lvl w:ilvl="2" w:tplc="0809001B">
      <w:start w:val="1"/>
      <w:numFmt w:val="lowerRoman"/>
      <w:lvlText w:val="%3."/>
      <w:lvlJc w:val="right"/>
      <w:pPr>
        <w:ind w:left="2513" w:hanging="180"/>
      </w:pPr>
    </w:lvl>
    <w:lvl w:ilvl="3" w:tplc="0809000F">
      <w:start w:val="1"/>
      <w:numFmt w:val="decimal"/>
      <w:lvlText w:val="%4."/>
      <w:lvlJc w:val="left"/>
      <w:pPr>
        <w:ind w:left="3233" w:hanging="360"/>
      </w:pPr>
    </w:lvl>
    <w:lvl w:ilvl="4" w:tplc="08090019">
      <w:start w:val="1"/>
      <w:numFmt w:val="lowerLetter"/>
      <w:lvlText w:val="%5."/>
      <w:lvlJc w:val="left"/>
      <w:pPr>
        <w:ind w:left="3953" w:hanging="360"/>
      </w:pPr>
    </w:lvl>
    <w:lvl w:ilvl="5" w:tplc="0809001B">
      <w:start w:val="1"/>
      <w:numFmt w:val="lowerRoman"/>
      <w:lvlText w:val="%6."/>
      <w:lvlJc w:val="right"/>
      <w:pPr>
        <w:ind w:left="4673" w:hanging="180"/>
      </w:pPr>
    </w:lvl>
    <w:lvl w:ilvl="6" w:tplc="0809000F">
      <w:start w:val="1"/>
      <w:numFmt w:val="decimal"/>
      <w:lvlText w:val="%7."/>
      <w:lvlJc w:val="left"/>
      <w:pPr>
        <w:ind w:left="5393" w:hanging="360"/>
      </w:pPr>
    </w:lvl>
    <w:lvl w:ilvl="7" w:tplc="08090019">
      <w:start w:val="1"/>
      <w:numFmt w:val="lowerLetter"/>
      <w:lvlText w:val="%8."/>
      <w:lvlJc w:val="left"/>
      <w:pPr>
        <w:ind w:left="6113" w:hanging="360"/>
      </w:pPr>
    </w:lvl>
    <w:lvl w:ilvl="8" w:tplc="0809001B">
      <w:start w:val="1"/>
      <w:numFmt w:val="lowerRoman"/>
      <w:lvlText w:val="%9."/>
      <w:lvlJc w:val="right"/>
      <w:pPr>
        <w:ind w:left="6833" w:hanging="180"/>
      </w:pPr>
    </w:lvl>
  </w:abstractNum>
  <w:abstractNum w:abstractNumId="3"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44C53"/>
    <w:multiLevelType w:val="hybridMultilevel"/>
    <w:tmpl w:val="9444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40174D1"/>
    <w:multiLevelType w:val="multilevel"/>
    <w:tmpl w:val="09544806"/>
    <w:lvl w:ilvl="0">
      <w:start w:val="1"/>
      <w:numFmt w:val="decimal"/>
      <w:lvlText w:val="%1."/>
      <w:lvlJc w:val="left"/>
      <w:pPr>
        <w:ind w:left="720" w:hanging="360"/>
      </w:pPr>
    </w:lvl>
    <w:lvl w:ilvl="1">
      <w:start w:val="1"/>
      <w:numFmt w:val="decimal"/>
      <w:pStyle w:val="Heading2"/>
      <w:lvlText w:val="%1.%2"/>
      <w:lvlJc w:val="left"/>
      <w:pPr>
        <w:ind w:left="846" w:hanging="705"/>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Roman"/>
      <w:lvlText w:val="%3."/>
      <w:lvlJc w:val="righ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2C9755F9"/>
    <w:multiLevelType w:val="hybridMultilevel"/>
    <w:tmpl w:val="FE9E99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E1B792C"/>
    <w:multiLevelType w:val="hybridMultilevel"/>
    <w:tmpl w:val="AABA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475F5"/>
    <w:multiLevelType w:val="hybridMultilevel"/>
    <w:tmpl w:val="1DFC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A690E"/>
    <w:multiLevelType w:val="hybridMultilevel"/>
    <w:tmpl w:val="32EA961E"/>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E21A5"/>
    <w:multiLevelType w:val="hybridMultilevel"/>
    <w:tmpl w:val="1B04D22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5" w15:restartNumberingAfterBreak="0">
    <w:nsid w:val="3B7070FD"/>
    <w:multiLevelType w:val="multilevel"/>
    <w:tmpl w:val="93244524"/>
    <w:lvl w:ilvl="0">
      <w:start w:val="1"/>
      <w:numFmt w:val="decimal"/>
      <w:pStyle w:val="Heading1"/>
      <w:lvlText w:val="%1."/>
      <w:lvlJc w:val="left"/>
      <w:pPr>
        <w:ind w:left="720" w:hanging="36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5205485B"/>
    <w:multiLevelType w:val="hybridMultilevel"/>
    <w:tmpl w:val="08DC4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A772BA"/>
    <w:multiLevelType w:val="hybridMultilevel"/>
    <w:tmpl w:val="4B685DD0"/>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2" w15:restartNumberingAfterBreak="0">
    <w:nsid w:val="5E8E4A16"/>
    <w:multiLevelType w:val="hybridMultilevel"/>
    <w:tmpl w:val="7FEA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7664DE"/>
    <w:multiLevelType w:val="hybridMultilevel"/>
    <w:tmpl w:val="E02E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6" w15:restartNumberingAfterBreak="0">
    <w:nsid w:val="6791683A"/>
    <w:multiLevelType w:val="hybridMultilevel"/>
    <w:tmpl w:val="6FEA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31526"/>
    <w:multiLevelType w:val="hybridMultilevel"/>
    <w:tmpl w:val="1E08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543987"/>
    <w:multiLevelType w:val="hybridMultilevel"/>
    <w:tmpl w:val="7B74A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6962371"/>
    <w:multiLevelType w:val="hybridMultilevel"/>
    <w:tmpl w:val="1178AEC4"/>
    <w:lvl w:ilvl="0" w:tplc="08090019">
      <w:start w:val="1"/>
      <w:numFmt w:val="lowerLetter"/>
      <w:lvlText w:val="%1."/>
      <w:lvlJc w:val="left"/>
      <w:pPr>
        <w:ind w:left="2149" w:hanging="360"/>
      </w:pPr>
    </w:lvl>
    <w:lvl w:ilvl="1" w:tplc="08090019">
      <w:start w:val="1"/>
      <w:numFmt w:val="lowerLetter"/>
      <w:lvlText w:val="%2."/>
      <w:lvlJc w:val="left"/>
      <w:pPr>
        <w:ind w:left="2869" w:hanging="360"/>
      </w:pPr>
    </w:lvl>
    <w:lvl w:ilvl="2" w:tplc="0809001B">
      <w:start w:val="1"/>
      <w:numFmt w:val="lowerRoman"/>
      <w:lvlText w:val="%3."/>
      <w:lvlJc w:val="right"/>
      <w:pPr>
        <w:ind w:left="3589" w:hanging="180"/>
      </w:pPr>
    </w:lvl>
    <w:lvl w:ilvl="3" w:tplc="0809000F">
      <w:start w:val="1"/>
      <w:numFmt w:val="decimal"/>
      <w:lvlText w:val="%4."/>
      <w:lvlJc w:val="left"/>
      <w:pPr>
        <w:ind w:left="4309" w:hanging="360"/>
      </w:pPr>
    </w:lvl>
    <w:lvl w:ilvl="4" w:tplc="08090019">
      <w:start w:val="1"/>
      <w:numFmt w:val="lowerLetter"/>
      <w:lvlText w:val="%5."/>
      <w:lvlJc w:val="left"/>
      <w:pPr>
        <w:ind w:left="5029" w:hanging="360"/>
      </w:pPr>
    </w:lvl>
    <w:lvl w:ilvl="5" w:tplc="0809001B">
      <w:start w:val="1"/>
      <w:numFmt w:val="lowerRoman"/>
      <w:lvlText w:val="%6."/>
      <w:lvlJc w:val="right"/>
      <w:pPr>
        <w:ind w:left="5749" w:hanging="180"/>
      </w:pPr>
    </w:lvl>
    <w:lvl w:ilvl="6" w:tplc="0809000F">
      <w:start w:val="1"/>
      <w:numFmt w:val="decimal"/>
      <w:lvlText w:val="%7."/>
      <w:lvlJc w:val="left"/>
      <w:pPr>
        <w:ind w:left="6469" w:hanging="360"/>
      </w:pPr>
    </w:lvl>
    <w:lvl w:ilvl="7" w:tplc="08090019">
      <w:start w:val="1"/>
      <w:numFmt w:val="lowerLetter"/>
      <w:lvlText w:val="%8."/>
      <w:lvlJc w:val="left"/>
      <w:pPr>
        <w:ind w:left="7189" w:hanging="360"/>
      </w:pPr>
    </w:lvl>
    <w:lvl w:ilvl="8" w:tplc="0809001B">
      <w:start w:val="1"/>
      <w:numFmt w:val="lowerRoman"/>
      <w:lvlText w:val="%9."/>
      <w:lvlJc w:val="right"/>
      <w:pPr>
        <w:ind w:left="7909" w:hanging="180"/>
      </w:pPr>
    </w:lvl>
  </w:abstractNum>
  <w:abstractNum w:abstractNumId="32" w15:restartNumberingAfterBreak="0">
    <w:nsid w:val="77FB2CF8"/>
    <w:multiLevelType w:val="hybridMultilevel"/>
    <w:tmpl w:val="5B2E80A8"/>
    <w:lvl w:ilvl="0" w:tplc="0809000F">
      <w:start w:val="1"/>
      <w:numFmt w:val="decimal"/>
      <w:lvlText w:val="%1."/>
      <w:lvlJc w:val="left"/>
      <w:pPr>
        <w:ind w:left="720" w:hanging="360"/>
      </w:pPr>
      <w:rPr>
        <w:rFonts w:cs="Times New Roman"/>
      </w:rPr>
    </w:lvl>
    <w:lvl w:ilvl="1" w:tplc="08090001">
      <w:numFmt w:val="decimal"/>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7"/>
  </w:num>
  <w:num w:numId="3">
    <w:abstractNumId w:val="29"/>
  </w:num>
  <w:num w:numId="4">
    <w:abstractNumId w:val="16"/>
  </w:num>
  <w:num w:numId="5">
    <w:abstractNumId w:val="23"/>
    <w:lvlOverride w:ilvl="0">
      <w:lvl w:ilvl="0">
        <w:numFmt w:val="decimal"/>
        <w:lvlText w:val="%1."/>
        <w:lvlJc w:val="left"/>
      </w:lvl>
    </w:lvlOverride>
    <w:lvlOverride w:ilvl="1">
      <w:lvl w:ilvl="1">
        <w:numFmt w:val="lowerLetter"/>
        <w:lvlText w:val="%2."/>
        <w:lvlJc w:val="left"/>
      </w:lvl>
    </w:lvlOverride>
  </w:num>
  <w:num w:numId="6">
    <w:abstractNumId w:val="11"/>
    <w:lvlOverride w:ilvl="1">
      <w:lvl w:ilvl="1">
        <w:numFmt w:val="lowerRoman"/>
        <w:lvlText w:val="%2."/>
        <w:lvlJc w:val="right"/>
      </w:lvl>
    </w:lvlOverride>
  </w:num>
  <w:num w:numId="7">
    <w:abstractNumId w:val="33"/>
  </w:num>
  <w:num w:numId="8">
    <w:abstractNumId w:val="1"/>
  </w:num>
  <w:num w:numId="9">
    <w:abstractNumId w:val="7"/>
  </w:num>
  <w:num w:numId="10">
    <w:abstractNumId w:val="21"/>
  </w:num>
  <w:num w:numId="11">
    <w:abstractNumId w:val="27"/>
  </w:num>
  <w:num w:numId="12">
    <w:abstractNumId w:val="3"/>
  </w:num>
  <w:num w:numId="13">
    <w:abstractNumId w:val="20"/>
  </w:num>
  <w:num w:numId="14">
    <w:abstractNumId w:val="25"/>
  </w:num>
  <w:num w:numId="15">
    <w:abstractNumId w:val="5"/>
  </w:num>
  <w:num w:numId="16">
    <w:abstractNumId w:val="19"/>
  </w:num>
  <w:num w:numId="17">
    <w:abstractNumId w:val="4"/>
  </w:num>
  <w:num w:numId="18">
    <w:abstractNumId w:val="10"/>
  </w:num>
  <w:num w:numId="19">
    <w:abstractNumId w:val="26"/>
  </w:num>
  <w:num w:numId="20">
    <w:abstractNumId w:val="28"/>
  </w:num>
  <w:num w:numId="21">
    <w:abstractNumId w:val="24"/>
  </w:num>
  <w:num w:numId="22">
    <w:abstractNumId w:val="22"/>
  </w:num>
  <w:num w:numId="23">
    <w:abstractNumId w:val="9"/>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lvlOverride w:ilvl="2"/>
    <w:lvlOverride w:ilvl="3"/>
    <w:lvlOverride w:ilvl="4"/>
    <w:lvlOverride w:ilvl="5"/>
    <w:lvlOverride w:ilvl="6"/>
    <w:lvlOverride w:ilvl="7"/>
    <w:lvlOverride w:ilvl="8"/>
  </w:num>
  <w:num w:numId="30">
    <w:abstractNumId w:val="32"/>
  </w:num>
  <w:num w:numId="31">
    <w:abstractNumId w:val="14"/>
    <w:lvlOverride w:ilvl="0"/>
    <w:lvlOverride w:ilvl="1"/>
    <w:lvlOverride w:ilvl="2"/>
    <w:lvlOverride w:ilvl="3"/>
    <w:lvlOverride w:ilvl="4"/>
    <w:lvlOverride w:ilvl="5"/>
    <w:lvlOverride w:ilvl="6"/>
    <w:lvlOverride w:ilvl="7"/>
    <w:lvlOverride w:ilvl="8"/>
  </w:num>
  <w:num w:numId="32">
    <w:abstractNumId w:val="12"/>
    <w:lvlOverride w:ilvl="0"/>
    <w:lvlOverride w:ilvl="1"/>
    <w:lvlOverride w:ilvl="2"/>
    <w:lvlOverride w:ilvl="3"/>
    <w:lvlOverride w:ilvl="4"/>
    <w:lvlOverride w:ilvl="5"/>
    <w:lvlOverride w:ilvl="6"/>
    <w:lvlOverride w:ilvl="7"/>
    <w:lvlOverride w:ilvl="8"/>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D"/>
    <w:rsid w:val="00076AA5"/>
    <w:rsid w:val="000F6753"/>
    <w:rsid w:val="0010382B"/>
    <w:rsid w:val="00130ADD"/>
    <w:rsid w:val="001725F8"/>
    <w:rsid w:val="0018478A"/>
    <w:rsid w:val="00251053"/>
    <w:rsid w:val="002A789A"/>
    <w:rsid w:val="002C1796"/>
    <w:rsid w:val="002E4BDC"/>
    <w:rsid w:val="002E656D"/>
    <w:rsid w:val="003D058B"/>
    <w:rsid w:val="004C2B79"/>
    <w:rsid w:val="00552639"/>
    <w:rsid w:val="0059373A"/>
    <w:rsid w:val="0064494F"/>
    <w:rsid w:val="00663195"/>
    <w:rsid w:val="006849CD"/>
    <w:rsid w:val="006A2093"/>
    <w:rsid w:val="00764837"/>
    <w:rsid w:val="007766DF"/>
    <w:rsid w:val="00784873"/>
    <w:rsid w:val="007B5623"/>
    <w:rsid w:val="00832BF9"/>
    <w:rsid w:val="0087688E"/>
    <w:rsid w:val="008F4F76"/>
    <w:rsid w:val="008F5050"/>
    <w:rsid w:val="009328C2"/>
    <w:rsid w:val="009978EC"/>
    <w:rsid w:val="009B10E9"/>
    <w:rsid w:val="009E5290"/>
    <w:rsid w:val="00A23370"/>
    <w:rsid w:val="00A9041B"/>
    <w:rsid w:val="00AA3B5C"/>
    <w:rsid w:val="00AD1188"/>
    <w:rsid w:val="00AF3B0B"/>
    <w:rsid w:val="00B172C2"/>
    <w:rsid w:val="00B27884"/>
    <w:rsid w:val="00B56C67"/>
    <w:rsid w:val="00B81EEB"/>
    <w:rsid w:val="00C83073"/>
    <w:rsid w:val="00CA2C7E"/>
    <w:rsid w:val="00D10F2D"/>
    <w:rsid w:val="00DC182E"/>
    <w:rsid w:val="00DE6C58"/>
    <w:rsid w:val="00DF213E"/>
    <w:rsid w:val="00DF266A"/>
    <w:rsid w:val="00E37C6A"/>
    <w:rsid w:val="00EB53D5"/>
    <w:rsid w:val="00F10FE1"/>
    <w:rsid w:val="00F8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9EDEFA"/>
  <w15:chartTrackingRefBased/>
  <w15:docId w15:val="{38713F05-80B4-4094-83E4-9B6C64EC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56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78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64494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64494F"/>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B278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6D"/>
    <w:pPr>
      <w:tabs>
        <w:tab w:val="center" w:pos="4513"/>
        <w:tab w:val="right" w:pos="9026"/>
      </w:tabs>
    </w:pPr>
  </w:style>
  <w:style w:type="character" w:customStyle="1" w:styleId="HeaderChar">
    <w:name w:val="Header Char"/>
    <w:basedOn w:val="DefaultParagraphFont"/>
    <w:link w:val="Header"/>
    <w:uiPriority w:val="99"/>
    <w:rsid w:val="002E65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E656D"/>
    <w:pPr>
      <w:tabs>
        <w:tab w:val="center" w:pos="4513"/>
        <w:tab w:val="right" w:pos="9026"/>
      </w:tabs>
    </w:pPr>
  </w:style>
  <w:style w:type="character" w:customStyle="1" w:styleId="FooterChar">
    <w:name w:val="Footer Char"/>
    <w:basedOn w:val="DefaultParagraphFont"/>
    <w:link w:val="Footer"/>
    <w:uiPriority w:val="99"/>
    <w:rsid w:val="002E656D"/>
    <w:rPr>
      <w:rFonts w:ascii="Times New Roman" w:eastAsia="Times New Roman" w:hAnsi="Times New Roman" w:cs="Times New Roman"/>
      <w:sz w:val="24"/>
      <w:szCs w:val="24"/>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6449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494F"/>
    <w:rPr>
      <w:rFonts w:asciiTheme="majorHAnsi" w:eastAsiaTheme="majorEastAsia" w:hAnsiTheme="majorHAnsi" w:cstheme="majorBidi"/>
      <w:color w:val="1F3763" w:themeColor="accent1" w:themeShade="7F"/>
      <w:sz w:val="24"/>
      <w:szCs w:val="24"/>
    </w:rPr>
  </w:style>
  <w:style w:type="paragraph" w:customStyle="1" w:styleId="Body2">
    <w:name w:val="Body2"/>
    <w:basedOn w:val="Normal"/>
    <w:uiPriority w:val="99"/>
    <w:rsid w:val="0064494F"/>
    <w:pPr>
      <w:spacing w:after="220"/>
      <w:ind w:left="709"/>
      <w:jc w:val="both"/>
    </w:pPr>
    <w:rPr>
      <w:rFonts w:ascii="Trebuchet MS" w:hAnsi="Trebuchet MS"/>
      <w:sz w:val="20"/>
      <w:szCs w:val="20"/>
      <w:lang w:eastAsia="en-US"/>
    </w:rPr>
  </w:style>
  <w:style w:type="table" w:styleId="TableGrid">
    <w:name w:val="Table Grid"/>
    <w:basedOn w:val="TableNormal"/>
    <w:uiPriority w:val="39"/>
    <w:rsid w:val="0064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94F"/>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semiHidden/>
    <w:rsid w:val="0064494F"/>
    <w:pPr>
      <w:spacing w:after="120"/>
    </w:pPr>
  </w:style>
  <w:style w:type="character" w:customStyle="1" w:styleId="BodyTextChar">
    <w:name w:val="Body Text Char"/>
    <w:basedOn w:val="DefaultParagraphFont"/>
    <w:link w:val="BodyText"/>
    <w:semiHidden/>
    <w:rsid w:val="0064494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4494F"/>
    <w:rPr>
      <w:color w:val="0000FF"/>
      <w:u w:val="single"/>
    </w:rPr>
  </w:style>
  <w:style w:type="paragraph" w:styleId="NormalWeb">
    <w:name w:val="Normal (Web)"/>
    <w:basedOn w:val="Normal"/>
    <w:uiPriority w:val="99"/>
    <w:rsid w:val="0064494F"/>
    <w:pPr>
      <w:spacing w:after="100" w:afterAutospacing="1" w:line="312" w:lineRule="atLeast"/>
    </w:pPr>
    <w:rPr>
      <w:rFonts w:ascii="Arial Unicode MS" w:eastAsia="Arial Unicode MS" w:hAnsi="Arial Unicode MS" w:cs="Arial Unicode MS"/>
      <w:lang w:eastAsia="en-US"/>
    </w:rPr>
  </w:style>
  <w:style w:type="paragraph" w:styleId="FootnoteText">
    <w:name w:val="footnote text"/>
    <w:basedOn w:val="Normal"/>
    <w:link w:val="FootnoteTextChar"/>
    <w:uiPriority w:val="99"/>
    <w:unhideWhenUsed/>
    <w:rsid w:val="0064494F"/>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64494F"/>
    <w:rPr>
      <w:rFonts w:ascii="Calibri" w:eastAsia="Calibri" w:hAnsi="Calibri" w:cs="Times New Roman"/>
      <w:sz w:val="20"/>
      <w:szCs w:val="20"/>
    </w:rPr>
  </w:style>
  <w:style w:type="character" w:styleId="FootnoteReference">
    <w:name w:val="footnote reference"/>
    <w:uiPriority w:val="99"/>
    <w:unhideWhenUsed/>
    <w:rsid w:val="0064494F"/>
    <w:rPr>
      <w:vertAlign w:val="superscript"/>
    </w:rPr>
  </w:style>
  <w:style w:type="paragraph" w:customStyle="1" w:styleId="paragraph">
    <w:name w:val="paragraph"/>
    <w:basedOn w:val="Normal"/>
    <w:rsid w:val="0064494F"/>
  </w:style>
  <w:style w:type="character" w:customStyle="1" w:styleId="normaltextrun1">
    <w:name w:val="normaltextrun1"/>
    <w:basedOn w:val="DefaultParagraphFont"/>
    <w:rsid w:val="0064494F"/>
  </w:style>
  <w:style w:type="paragraph" w:styleId="BalloonText">
    <w:name w:val="Balloon Text"/>
    <w:basedOn w:val="Normal"/>
    <w:link w:val="BalloonTextChar"/>
    <w:uiPriority w:val="99"/>
    <w:semiHidden/>
    <w:unhideWhenUsed/>
    <w:rsid w:val="00644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4F"/>
    <w:rPr>
      <w:rFonts w:ascii="Segoe UI" w:eastAsia="Times New Roman" w:hAnsi="Segoe UI" w:cs="Segoe UI"/>
      <w:sz w:val="18"/>
      <w:szCs w:val="18"/>
      <w:lang w:eastAsia="en-GB"/>
    </w:rPr>
  </w:style>
  <w:style w:type="character" w:customStyle="1" w:styleId="w-page-head">
    <w:name w:val="w-page-head"/>
    <w:basedOn w:val="DefaultParagraphFont"/>
    <w:rsid w:val="0064494F"/>
  </w:style>
  <w:style w:type="character" w:styleId="CommentReference">
    <w:name w:val="annotation reference"/>
    <w:basedOn w:val="DefaultParagraphFont"/>
    <w:uiPriority w:val="99"/>
    <w:semiHidden/>
    <w:unhideWhenUsed/>
    <w:rsid w:val="0064494F"/>
    <w:rPr>
      <w:sz w:val="16"/>
      <w:szCs w:val="16"/>
    </w:rPr>
  </w:style>
  <w:style w:type="paragraph" w:styleId="CommentText">
    <w:name w:val="annotation text"/>
    <w:basedOn w:val="Normal"/>
    <w:link w:val="CommentTextChar"/>
    <w:uiPriority w:val="99"/>
    <w:semiHidden/>
    <w:unhideWhenUsed/>
    <w:rsid w:val="0064494F"/>
    <w:rPr>
      <w:sz w:val="20"/>
      <w:szCs w:val="20"/>
    </w:rPr>
  </w:style>
  <w:style w:type="character" w:customStyle="1" w:styleId="CommentTextChar">
    <w:name w:val="Comment Text Char"/>
    <w:basedOn w:val="DefaultParagraphFont"/>
    <w:link w:val="CommentText"/>
    <w:uiPriority w:val="99"/>
    <w:semiHidden/>
    <w:rsid w:val="006449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4494F"/>
    <w:rPr>
      <w:b/>
      <w:bCs/>
    </w:rPr>
  </w:style>
  <w:style w:type="character" w:customStyle="1" w:styleId="CommentSubjectChar">
    <w:name w:val="Comment Subject Char"/>
    <w:basedOn w:val="CommentTextChar"/>
    <w:link w:val="CommentSubject"/>
    <w:uiPriority w:val="99"/>
    <w:semiHidden/>
    <w:rsid w:val="0064494F"/>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C2B79"/>
    <w:rPr>
      <w:color w:val="605E5C"/>
      <w:shd w:val="clear" w:color="auto" w:fill="E1DFDD"/>
    </w:rPr>
  </w:style>
  <w:style w:type="character" w:customStyle="1" w:styleId="Heading1Char">
    <w:name w:val="Heading 1 Char"/>
    <w:basedOn w:val="DefaultParagraphFont"/>
    <w:link w:val="Heading1"/>
    <w:uiPriority w:val="9"/>
    <w:rsid w:val="00B27884"/>
    <w:rPr>
      <w:rFonts w:asciiTheme="majorHAnsi" w:eastAsiaTheme="majorEastAsia" w:hAnsiTheme="majorHAnsi" w:cstheme="majorBidi"/>
      <w:color w:val="2F5496" w:themeColor="accent1" w:themeShade="BF"/>
      <w:sz w:val="32"/>
      <w:szCs w:val="32"/>
      <w:lang w:eastAsia="en-GB"/>
    </w:rPr>
  </w:style>
  <w:style w:type="character" w:customStyle="1" w:styleId="Heading4Char">
    <w:name w:val="Heading 4 Char"/>
    <w:basedOn w:val="DefaultParagraphFont"/>
    <w:link w:val="Heading4"/>
    <w:uiPriority w:val="9"/>
    <w:semiHidden/>
    <w:rsid w:val="00B27884"/>
    <w:rPr>
      <w:rFonts w:asciiTheme="majorHAnsi" w:eastAsiaTheme="majorEastAsia" w:hAnsiTheme="majorHAnsi" w:cstheme="majorBidi"/>
      <w:i/>
      <w:iCs/>
      <w:color w:val="2F5496" w:themeColor="accent1" w:themeShade="BF"/>
      <w:sz w:val="24"/>
      <w:szCs w:val="24"/>
      <w:lang w:eastAsia="en-GB"/>
    </w:rPr>
  </w:style>
  <w:style w:type="table" w:customStyle="1" w:styleId="TableGrid1">
    <w:name w:val="Table Grid1"/>
    <w:basedOn w:val="TableNormal"/>
    <w:next w:val="TableGrid"/>
    <w:rsid w:val="00B2788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486268">
      <w:bodyDiv w:val="1"/>
      <w:marLeft w:val="0"/>
      <w:marRight w:val="0"/>
      <w:marTop w:val="0"/>
      <w:marBottom w:val="0"/>
      <w:divBdr>
        <w:top w:val="none" w:sz="0" w:space="0" w:color="auto"/>
        <w:left w:val="none" w:sz="0" w:space="0" w:color="auto"/>
        <w:bottom w:val="none" w:sz="0" w:space="0" w:color="auto"/>
        <w:right w:val="none" w:sz="0" w:space="0" w:color="auto"/>
      </w:divBdr>
    </w:div>
    <w:div w:id="1391617720">
      <w:bodyDiv w:val="1"/>
      <w:marLeft w:val="0"/>
      <w:marRight w:val="0"/>
      <w:marTop w:val="0"/>
      <w:marBottom w:val="0"/>
      <w:divBdr>
        <w:top w:val="none" w:sz="0" w:space="0" w:color="auto"/>
        <w:left w:val="none" w:sz="0" w:space="0" w:color="auto"/>
        <w:bottom w:val="none" w:sz="0" w:space="0" w:color="auto"/>
        <w:right w:val="none" w:sz="0" w:space="0" w:color="auto"/>
      </w:divBdr>
    </w:div>
    <w:div w:id="1659991941">
      <w:bodyDiv w:val="1"/>
      <w:marLeft w:val="0"/>
      <w:marRight w:val="0"/>
      <w:marTop w:val="0"/>
      <w:marBottom w:val="0"/>
      <w:divBdr>
        <w:top w:val="none" w:sz="0" w:space="0" w:color="auto"/>
        <w:left w:val="none" w:sz="0" w:space="0" w:color="auto"/>
        <w:bottom w:val="none" w:sz="0" w:space="0" w:color="auto"/>
        <w:right w:val="none" w:sz="0" w:space="0" w:color="auto"/>
      </w:divBdr>
    </w:div>
    <w:div w:id="1678732334">
      <w:bodyDiv w:val="1"/>
      <w:marLeft w:val="0"/>
      <w:marRight w:val="0"/>
      <w:marTop w:val="0"/>
      <w:marBottom w:val="0"/>
      <w:divBdr>
        <w:top w:val="none" w:sz="0" w:space="0" w:color="auto"/>
        <w:left w:val="none" w:sz="0" w:space="0" w:color="auto"/>
        <w:bottom w:val="none" w:sz="0" w:space="0" w:color="auto"/>
        <w:right w:val="none" w:sz="0" w:space="0" w:color="auto"/>
      </w:divBdr>
    </w:div>
    <w:div w:id="1728070502">
      <w:bodyDiv w:val="1"/>
      <w:marLeft w:val="0"/>
      <w:marRight w:val="0"/>
      <w:marTop w:val="0"/>
      <w:marBottom w:val="0"/>
      <w:divBdr>
        <w:top w:val="none" w:sz="0" w:space="0" w:color="auto"/>
        <w:left w:val="none" w:sz="0" w:space="0" w:color="auto"/>
        <w:bottom w:val="none" w:sz="0" w:space="0" w:color="auto"/>
        <w:right w:val="none" w:sz="0" w:space="0" w:color="auto"/>
      </w:divBdr>
    </w:div>
    <w:div w:id="1748456201">
      <w:bodyDiv w:val="1"/>
      <w:marLeft w:val="0"/>
      <w:marRight w:val="0"/>
      <w:marTop w:val="0"/>
      <w:marBottom w:val="0"/>
      <w:divBdr>
        <w:top w:val="none" w:sz="0" w:space="0" w:color="auto"/>
        <w:left w:val="none" w:sz="0" w:space="0" w:color="auto"/>
        <w:bottom w:val="none" w:sz="0" w:space="0" w:color="auto"/>
        <w:right w:val="none" w:sz="0" w:space="0" w:color="auto"/>
      </w:divBdr>
    </w:div>
    <w:div w:id="1899782235">
      <w:bodyDiv w:val="1"/>
      <w:marLeft w:val="0"/>
      <w:marRight w:val="0"/>
      <w:marTop w:val="0"/>
      <w:marBottom w:val="0"/>
      <w:divBdr>
        <w:top w:val="none" w:sz="0" w:space="0" w:color="auto"/>
        <w:left w:val="none" w:sz="0" w:space="0" w:color="auto"/>
        <w:bottom w:val="none" w:sz="0" w:space="0" w:color="auto"/>
        <w:right w:val="none" w:sz="0" w:space="0" w:color="auto"/>
      </w:divBdr>
    </w:div>
    <w:div w:id="2071148600">
      <w:bodyDiv w:val="1"/>
      <w:marLeft w:val="0"/>
      <w:marRight w:val="0"/>
      <w:marTop w:val="0"/>
      <w:marBottom w:val="0"/>
      <w:divBdr>
        <w:top w:val="none" w:sz="0" w:space="0" w:color="auto"/>
        <w:left w:val="none" w:sz="0" w:space="0" w:color="auto"/>
        <w:bottom w:val="none" w:sz="0" w:space="0" w:color="auto"/>
        <w:right w:val="none" w:sz="0" w:space="0" w:color="auto"/>
      </w:divBdr>
    </w:div>
    <w:div w:id="21399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18"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6"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4" Type="http://schemas.openxmlformats.org/officeDocument/2006/relationships/hyperlink" Target="mailto:megan.white@hmrc.gov.uk"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17"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5"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3" Type="http://schemas.openxmlformats.org/officeDocument/2006/relationships/hyperlink" Target="mailto:emma.glassey@hmrc.gov.u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0"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9"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4"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2" Type="http://schemas.openxmlformats.org/officeDocument/2006/relationships/hyperlink" Target="https://www.gov.uk/guidance/accessibility-requirements-for-public-sector-websites-and-apps" TargetMode="External"/><Relationship Id="rId37" Type="http://schemas.openxmlformats.org/officeDocument/2006/relationships/hyperlink" Target="mailto:louise.cendrowska@hmrc.gov.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3"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8"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6" Type="http://schemas.openxmlformats.org/officeDocument/2006/relationships/hyperlink" Target="mailto:megan.white@hmrc.gov.uk" TargetMode="External"/><Relationship Id="rId10" Type="http://schemas.openxmlformats.org/officeDocument/2006/relationships/image" Target="media/image3.png"/><Relationship Id="rId19"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1"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2"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27"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0" Type="http://schemas.openxmlformats.org/officeDocument/2006/relationships/hyperlink" Target="file:///\\c\s\CAF1\CD%20Sourcing%20and%20Contract%20Management\Live%20Sourcing%20Events\Understanding%20the%20Customs%20Intermediaries%20sector%20SR547336931\7.%20FINALISATION%20OF%20CONTRACT%20CORRESPONDENCE\HMRC%20Invitation%20to%20Tender_Research%20on%20Customs%20Intermediaries.docx" TargetMode="External"/><Relationship Id="rId35" Type="http://schemas.openxmlformats.org/officeDocument/2006/relationships/hyperlink" Target="mailto:emma.glassey@hmrc.gov.uk"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5F68-F1E2-4E67-9015-3EE3189B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10464</Words>
  <Characters>59651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Catherine (Commercial)</dc:creator>
  <cp:keywords/>
  <dc:description/>
  <cp:lastModifiedBy>Moore, Catherine (Commercial)</cp:lastModifiedBy>
  <cp:revision>3</cp:revision>
  <dcterms:created xsi:type="dcterms:W3CDTF">2021-02-25T18:01:00Z</dcterms:created>
  <dcterms:modified xsi:type="dcterms:W3CDTF">2021-02-25T18:10:00Z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2020-11-04T15:53:19Z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5672fa44-7a71-4fa1-9880-8b7525a60e04</vt:lpwstr>
  </property>
  <property fmtid="{D5CDD505-2E9C-101B-9397-08002B2CF9AE}" pid="8" name="MSIP_Label_f9af038e-07b4-4369-a678-c835687cb272_ContentBits">
    <vt:lpwstr>2</vt:lpwstr>
  </property>
</Properties>
</file>