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B4" w:rsidRDefault="005B054C">
      <w:pPr>
        <w:spacing w:after="189" w:line="259" w:lineRule="auto"/>
        <w:ind w:left="733" w:firstLine="0"/>
      </w:pPr>
      <w:r>
        <w:rPr>
          <w:noProof/>
        </w:rPr>
        <w:drawing>
          <wp:inline distT="0" distB="0" distL="0" distR="0">
            <wp:extent cx="1861566" cy="154813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1861566" cy="1548130"/>
                    </a:xfrm>
                    <a:prstGeom prst="rect">
                      <a:avLst/>
                    </a:prstGeom>
                  </pic:spPr>
                </pic:pic>
              </a:graphicData>
            </a:graphic>
          </wp:inline>
        </w:drawing>
      </w:r>
      <w:r>
        <w:t xml:space="preserve">  </w:t>
      </w:r>
    </w:p>
    <w:p w:rsidR="009D3DB4" w:rsidRDefault="005B054C">
      <w:pPr>
        <w:spacing w:after="230" w:line="259" w:lineRule="auto"/>
        <w:ind w:left="708" w:firstLine="0"/>
      </w:pPr>
      <w:r>
        <w:t xml:space="preserve">  </w:t>
      </w:r>
    </w:p>
    <w:p w:rsidR="009D3DB4" w:rsidRDefault="005B054C">
      <w:pPr>
        <w:spacing w:after="763" w:line="259" w:lineRule="auto"/>
        <w:ind w:left="708" w:firstLine="0"/>
      </w:pPr>
      <w:r>
        <w:t xml:space="preserve">  </w:t>
      </w:r>
    </w:p>
    <w:p w:rsidR="009D3DB4" w:rsidRDefault="005B054C">
      <w:pPr>
        <w:spacing w:after="0" w:line="259" w:lineRule="auto"/>
        <w:ind w:left="708" w:firstLine="0"/>
      </w:pPr>
      <w:r>
        <w:rPr>
          <w:sz w:val="48"/>
        </w:rPr>
        <w:t xml:space="preserve">G-Cloud 9 Call-Off Contract </w:t>
      </w:r>
      <w:r>
        <w:t xml:space="preserve"> </w:t>
      </w:r>
    </w:p>
    <w:p w:rsidR="009D3DB4" w:rsidRDefault="005B054C">
      <w:pPr>
        <w:spacing w:after="171" w:line="259" w:lineRule="auto"/>
        <w:ind w:left="708" w:firstLine="0"/>
      </w:pPr>
      <w:r>
        <w:rPr>
          <w:sz w:val="28"/>
        </w:rPr>
        <w:t xml:space="preserve"> </w:t>
      </w:r>
      <w:r>
        <w:t xml:space="preserve"> </w:t>
      </w:r>
    </w:p>
    <w:p w:rsidR="009D3DB4" w:rsidRDefault="005B054C">
      <w:pPr>
        <w:spacing w:after="74" w:line="259" w:lineRule="auto"/>
        <w:ind w:left="708" w:firstLine="0"/>
      </w:pPr>
      <w:r>
        <w:rPr>
          <w:sz w:val="28"/>
        </w:rPr>
        <w:t xml:space="preserve"> </w:t>
      </w:r>
      <w:r>
        <w:t xml:space="preserve"> </w:t>
      </w:r>
    </w:p>
    <w:p w:rsidR="009D3DB4" w:rsidRDefault="005B054C">
      <w:pPr>
        <w:spacing w:after="0"/>
        <w:ind w:right="5"/>
      </w:pPr>
      <w:r>
        <w:t xml:space="preserve">This Call-Off Contract for the G-Cloud 9 Framework Agreement (RM1557ix) includes:  </w:t>
      </w:r>
    </w:p>
    <w:sdt>
      <w:sdtPr>
        <w:rPr>
          <w:rFonts w:ascii="Arial" w:eastAsia="Arial" w:hAnsi="Arial" w:cs="Arial"/>
          <w:sz w:val="20"/>
        </w:rPr>
        <w:id w:val="-1908225279"/>
        <w:docPartObj>
          <w:docPartGallery w:val="Table of Contents"/>
        </w:docPartObj>
      </w:sdtPr>
      <w:sdtEndPr/>
      <w:sdtContent>
        <w:p w:rsidR="009D3DB4" w:rsidRDefault="005B054C">
          <w:pPr>
            <w:pStyle w:val="TOC1"/>
            <w:tabs>
              <w:tab w:val="right" w:pos="11238"/>
            </w:tabs>
            <w:rPr>
              <w:noProof/>
            </w:rPr>
          </w:pPr>
          <w:r>
            <w:fldChar w:fldCharType="begin"/>
          </w:r>
          <w:r>
            <w:instrText xml:space="preserve"> TOC \o "1-1" \h \z \u </w:instrText>
          </w:r>
          <w:r>
            <w:fldChar w:fldCharType="separate"/>
          </w:r>
          <w:hyperlink w:anchor="_Toc59167">
            <w:r>
              <w:rPr>
                <w:noProof/>
              </w:rPr>
              <w:t xml:space="preserve">Part A - Order Form  </w:t>
            </w:r>
            <w:r>
              <w:rPr>
                <w:noProof/>
              </w:rPr>
              <w:tab/>
            </w:r>
            <w:r>
              <w:rPr>
                <w:noProof/>
              </w:rPr>
              <w:fldChar w:fldCharType="begin"/>
            </w:r>
            <w:r>
              <w:rPr>
                <w:noProof/>
              </w:rPr>
              <w:instrText>PAGEREF _Toc59167 \h</w:instrText>
            </w:r>
            <w:r>
              <w:rPr>
                <w:noProof/>
              </w:rPr>
            </w:r>
            <w:r>
              <w:rPr>
                <w:noProof/>
              </w:rPr>
              <w:fldChar w:fldCharType="separate"/>
            </w:r>
            <w:r w:rsidR="00852880">
              <w:rPr>
                <w:noProof/>
              </w:rPr>
              <w:t>1</w:t>
            </w:r>
            <w:r>
              <w:rPr>
                <w:noProof/>
              </w:rPr>
              <w:fldChar w:fldCharType="end"/>
            </w:r>
          </w:hyperlink>
        </w:p>
        <w:p w:rsidR="009D3DB4" w:rsidRDefault="00B22144">
          <w:pPr>
            <w:pStyle w:val="TOC1"/>
            <w:tabs>
              <w:tab w:val="right" w:pos="11238"/>
            </w:tabs>
            <w:rPr>
              <w:noProof/>
            </w:rPr>
          </w:pPr>
          <w:hyperlink w:anchor="_Toc59168">
            <w:r w:rsidR="005B054C">
              <w:rPr>
                <w:noProof/>
              </w:rPr>
              <w:t xml:space="preserve">Schedule 1 - Services  </w:t>
            </w:r>
            <w:r w:rsidR="005B054C">
              <w:rPr>
                <w:noProof/>
              </w:rPr>
              <w:tab/>
            </w:r>
            <w:r w:rsidR="005B054C">
              <w:rPr>
                <w:noProof/>
              </w:rPr>
              <w:fldChar w:fldCharType="begin"/>
            </w:r>
            <w:r w:rsidR="005B054C">
              <w:rPr>
                <w:noProof/>
              </w:rPr>
              <w:instrText>PAGEREF _Toc59168 \h</w:instrText>
            </w:r>
            <w:r w:rsidR="005B054C">
              <w:rPr>
                <w:noProof/>
              </w:rPr>
            </w:r>
            <w:r w:rsidR="005B054C">
              <w:rPr>
                <w:noProof/>
              </w:rPr>
              <w:fldChar w:fldCharType="separate"/>
            </w:r>
            <w:r w:rsidR="00852880">
              <w:rPr>
                <w:noProof/>
              </w:rPr>
              <w:t>15</w:t>
            </w:r>
            <w:r w:rsidR="005B054C">
              <w:rPr>
                <w:noProof/>
              </w:rPr>
              <w:fldChar w:fldCharType="end"/>
            </w:r>
          </w:hyperlink>
        </w:p>
        <w:p w:rsidR="009D3DB4" w:rsidRDefault="00B22144">
          <w:pPr>
            <w:pStyle w:val="TOC1"/>
            <w:tabs>
              <w:tab w:val="right" w:pos="11238"/>
            </w:tabs>
            <w:rPr>
              <w:noProof/>
            </w:rPr>
          </w:pPr>
          <w:hyperlink w:anchor="_Toc59169">
            <w:r w:rsidR="005B054C">
              <w:rPr>
                <w:noProof/>
              </w:rPr>
              <w:t xml:space="preserve">Schedule 2 - Call-Off Contract charges  </w:t>
            </w:r>
            <w:r w:rsidR="005B054C">
              <w:rPr>
                <w:noProof/>
              </w:rPr>
              <w:tab/>
            </w:r>
            <w:r w:rsidR="005B054C">
              <w:rPr>
                <w:noProof/>
              </w:rPr>
              <w:fldChar w:fldCharType="begin"/>
            </w:r>
            <w:r w:rsidR="005B054C">
              <w:rPr>
                <w:noProof/>
              </w:rPr>
              <w:instrText>PAGEREF _Toc59169 \h</w:instrText>
            </w:r>
            <w:r w:rsidR="005B054C">
              <w:rPr>
                <w:noProof/>
              </w:rPr>
            </w:r>
            <w:r w:rsidR="005B054C">
              <w:rPr>
                <w:noProof/>
              </w:rPr>
              <w:fldChar w:fldCharType="separate"/>
            </w:r>
            <w:r w:rsidR="00852880">
              <w:rPr>
                <w:noProof/>
              </w:rPr>
              <w:t>15</w:t>
            </w:r>
            <w:r w:rsidR="005B054C">
              <w:rPr>
                <w:noProof/>
              </w:rPr>
              <w:fldChar w:fldCharType="end"/>
            </w:r>
          </w:hyperlink>
        </w:p>
        <w:p w:rsidR="009D3DB4" w:rsidRDefault="00B22144">
          <w:pPr>
            <w:pStyle w:val="TOC1"/>
            <w:tabs>
              <w:tab w:val="right" w:pos="11238"/>
            </w:tabs>
            <w:rPr>
              <w:noProof/>
            </w:rPr>
          </w:pPr>
          <w:hyperlink w:anchor="_Toc59170">
            <w:r w:rsidR="005B054C">
              <w:rPr>
                <w:noProof/>
              </w:rPr>
              <w:t xml:space="preserve">Part B - Terms and conditions  </w:t>
            </w:r>
            <w:r w:rsidR="005B054C">
              <w:rPr>
                <w:noProof/>
              </w:rPr>
              <w:tab/>
            </w:r>
            <w:r w:rsidR="005B054C">
              <w:rPr>
                <w:noProof/>
              </w:rPr>
              <w:fldChar w:fldCharType="begin"/>
            </w:r>
            <w:r w:rsidR="005B054C">
              <w:rPr>
                <w:noProof/>
              </w:rPr>
              <w:instrText>PAGEREF _Toc59170 \h</w:instrText>
            </w:r>
            <w:r w:rsidR="005B054C">
              <w:rPr>
                <w:noProof/>
              </w:rPr>
            </w:r>
            <w:r w:rsidR="005B054C">
              <w:rPr>
                <w:noProof/>
              </w:rPr>
              <w:fldChar w:fldCharType="separate"/>
            </w:r>
            <w:r w:rsidR="00852880">
              <w:rPr>
                <w:noProof/>
              </w:rPr>
              <w:t>15</w:t>
            </w:r>
            <w:r w:rsidR="005B054C">
              <w:rPr>
                <w:noProof/>
              </w:rPr>
              <w:fldChar w:fldCharType="end"/>
            </w:r>
          </w:hyperlink>
        </w:p>
        <w:p w:rsidR="009D3DB4" w:rsidRDefault="00B22144">
          <w:pPr>
            <w:pStyle w:val="TOC1"/>
            <w:tabs>
              <w:tab w:val="right" w:pos="11238"/>
            </w:tabs>
            <w:rPr>
              <w:noProof/>
            </w:rPr>
          </w:pPr>
          <w:hyperlink w:anchor="_Toc59171">
            <w:r w:rsidR="005B054C">
              <w:rPr>
                <w:noProof/>
              </w:rPr>
              <w:t xml:space="preserve">Schedule 3 - Collaboration agreement  </w:t>
            </w:r>
            <w:r w:rsidR="005B054C">
              <w:rPr>
                <w:noProof/>
              </w:rPr>
              <w:tab/>
            </w:r>
            <w:r w:rsidR="005B054C">
              <w:rPr>
                <w:noProof/>
              </w:rPr>
              <w:fldChar w:fldCharType="begin"/>
            </w:r>
            <w:r w:rsidR="005B054C">
              <w:rPr>
                <w:noProof/>
              </w:rPr>
              <w:instrText>PAGEREF _Toc59171 \h</w:instrText>
            </w:r>
            <w:r w:rsidR="005B054C">
              <w:rPr>
                <w:noProof/>
              </w:rPr>
            </w:r>
            <w:r w:rsidR="005B054C">
              <w:rPr>
                <w:noProof/>
              </w:rPr>
              <w:fldChar w:fldCharType="separate"/>
            </w:r>
            <w:r w:rsidR="00852880">
              <w:rPr>
                <w:noProof/>
              </w:rPr>
              <w:t>30</w:t>
            </w:r>
            <w:r w:rsidR="005B054C">
              <w:rPr>
                <w:noProof/>
              </w:rPr>
              <w:fldChar w:fldCharType="end"/>
            </w:r>
          </w:hyperlink>
        </w:p>
        <w:p w:rsidR="009D3DB4" w:rsidRDefault="005B054C">
          <w:r>
            <w:fldChar w:fldCharType="end"/>
          </w:r>
        </w:p>
      </w:sdtContent>
    </w:sdt>
    <w:p w:rsidR="009D3DB4" w:rsidRDefault="005B054C">
      <w:pPr>
        <w:spacing w:after="160" w:line="259" w:lineRule="auto"/>
        <w:ind w:left="0" w:firstLine="0"/>
      </w:pPr>
      <w:r>
        <w:t xml:space="preserve"> </w:t>
      </w:r>
    </w:p>
    <w:p w:rsidR="009D3DB4" w:rsidRDefault="005B054C">
      <w:pPr>
        <w:tabs>
          <w:tab w:val="center" w:pos="2235"/>
          <w:tab w:val="right" w:pos="11238"/>
        </w:tabs>
        <w:spacing w:after="160" w:line="259" w:lineRule="auto"/>
        <w:ind w:left="0" w:firstLine="0"/>
      </w:pPr>
      <w:r>
        <w:rPr>
          <w:rFonts w:ascii="Calibri" w:eastAsia="Calibri" w:hAnsi="Calibri" w:cs="Calibri"/>
          <w:sz w:val="22"/>
        </w:rPr>
        <w:tab/>
      </w:r>
      <w:r>
        <w:rPr>
          <w:b/>
        </w:rPr>
        <w:t xml:space="preserve">Schedule 4 - Alternative clauses </w:t>
      </w:r>
      <w:r>
        <w:rPr>
          <w:b/>
        </w:rPr>
        <w:tab/>
        <w:t>32</w:t>
      </w:r>
      <w:r>
        <w:t xml:space="preserve">  </w:t>
      </w:r>
    </w:p>
    <w:p w:rsidR="009D3DB4" w:rsidRDefault="005B054C">
      <w:pPr>
        <w:tabs>
          <w:tab w:val="center" w:pos="1818"/>
          <w:tab w:val="right" w:pos="11238"/>
        </w:tabs>
        <w:spacing w:after="160" w:line="259" w:lineRule="auto"/>
        <w:ind w:left="0" w:firstLine="0"/>
      </w:pPr>
      <w:r>
        <w:rPr>
          <w:rFonts w:ascii="Calibri" w:eastAsia="Calibri" w:hAnsi="Calibri" w:cs="Calibri"/>
          <w:sz w:val="22"/>
        </w:rPr>
        <w:tab/>
      </w:r>
      <w:r>
        <w:rPr>
          <w:b/>
        </w:rPr>
        <w:t xml:space="preserve">Schedule 5 - Guarantee </w:t>
      </w:r>
      <w:r>
        <w:rPr>
          <w:b/>
        </w:rPr>
        <w:tab/>
        <w:t>35</w:t>
      </w:r>
      <w:r>
        <w:t xml:space="preserve">  </w:t>
      </w:r>
    </w:p>
    <w:p w:rsidR="009D3DB4" w:rsidRDefault="005B054C">
      <w:pPr>
        <w:tabs>
          <w:tab w:val="center" w:pos="2685"/>
          <w:tab w:val="right" w:pos="11238"/>
        </w:tabs>
        <w:spacing w:after="160" w:line="259" w:lineRule="auto"/>
        <w:ind w:left="0" w:firstLine="0"/>
      </w:pPr>
      <w:r>
        <w:rPr>
          <w:rFonts w:ascii="Calibri" w:eastAsia="Calibri" w:hAnsi="Calibri" w:cs="Calibri"/>
          <w:sz w:val="22"/>
        </w:rPr>
        <w:tab/>
      </w:r>
      <w:r>
        <w:rPr>
          <w:b/>
        </w:rPr>
        <w:t xml:space="preserve">Schedule 6 - Glossary and interpretations </w:t>
      </w:r>
      <w:r>
        <w:rPr>
          <w:b/>
        </w:rPr>
        <w:tab/>
        <w:t>41</w:t>
      </w:r>
      <w:r>
        <w:t xml:space="preserve">  </w:t>
      </w:r>
    </w:p>
    <w:p w:rsidR="009D3DB4" w:rsidRDefault="005B054C">
      <w:pPr>
        <w:spacing w:after="233" w:line="259" w:lineRule="auto"/>
        <w:ind w:left="708" w:firstLine="0"/>
      </w:pPr>
      <w:r>
        <w:t xml:space="preserve">  </w:t>
      </w:r>
    </w:p>
    <w:p w:rsidR="009D3DB4" w:rsidRDefault="005B054C">
      <w:pPr>
        <w:spacing w:after="431" w:line="259" w:lineRule="auto"/>
        <w:ind w:left="708" w:firstLine="0"/>
      </w:pPr>
      <w:r>
        <w:t xml:space="preserve">  </w:t>
      </w:r>
    </w:p>
    <w:p w:rsidR="009D3DB4" w:rsidRDefault="005B054C">
      <w:pPr>
        <w:spacing w:after="249" w:line="259" w:lineRule="auto"/>
        <w:ind w:left="708" w:firstLine="0"/>
      </w:pPr>
      <w:r>
        <w:rPr>
          <w:b/>
          <w:sz w:val="36"/>
        </w:rPr>
        <w:t xml:space="preserve"> </w:t>
      </w:r>
      <w:r>
        <w:t xml:space="preserve"> </w:t>
      </w:r>
    </w:p>
    <w:p w:rsidR="009D3DB4" w:rsidRDefault="005B054C">
      <w:pPr>
        <w:spacing w:after="11" w:line="259" w:lineRule="auto"/>
        <w:ind w:left="708" w:firstLine="0"/>
      </w:pPr>
      <w:r>
        <w:rPr>
          <w:b/>
          <w:sz w:val="36"/>
        </w:rPr>
        <w:t xml:space="preserve">  </w:t>
      </w:r>
      <w:r>
        <w:rPr>
          <w:b/>
          <w:sz w:val="36"/>
        </w:rPr>
        <w:tab/>
        <w:t xml:space="preserve">  </w:t>
      </w:r>
    </w:p>
    <w:p w:rsidR="009D3DB4" w:rsidRDefault="005B054C">
      <w:pPr>
        <w:spacing w:after="0" w:line="259" w:lineRule="auto"/>
        <w:ind w:left="708" w:firstLine="0"/>
      </w:pPr>
      <w:r>
        <w:rPr>
          <w:b/>
          <w:sz w:val="36"/>
        </w:rPr>
        <w:t xml:space="preserve"> </w:t>
      </w:r>
    </w:p>
    <w:p w:rsidR="009D3DB4" w:rsidRDefault="005B054C">
      <w:pPr>
        <w:spacing w:after="0" w:line="259" w:lineRule="auto"/>
        <w:ind w:left="708" w:firstLine="0"/>
      </w:pPr>
      <w:r>
        <w:rPr>
          <w:b/>
          <w:sz w:val="36"/>
        </w:rPr>
        <w:t xml:space="preserve"> </w:t>
      </w:r>
    </w:p>
    <w:p w:rsidR="009D3DB4" w:rsidRDefault="005B054C">
      <w:pPr>
        <w:spacing w:after="0" w:line="259" w:lineRule="auto"/>
        <w:ind w:left="708" w:firstLine="0"/>
      </w:pPr>
      <w:r>
        <w:rPr>
          <w:b/>
          <w:sz w:val="36"/>
        </w:rPr>
        <w:t xml:space="preserve"> </w:t>
      </w:r>
    </w:p>
    <w:p w:rsidR="009D3DB4" w:rsidRDefault="005B054C">
      <w:pPr>
        <w:spacing w:after="0" w:line="259" w:lineRule="auto"/>
        <w:ind w:left="708" w:firstLine="0"/>
      </w:pPr>
      <w:r>
        <w:rPr>
          <w:b/>
          <w:sz w:val="36"/>
        </w:rPr>
        <w:t xml:space="preserve"> </w:t>
      </w:r>
    </w:p>
    <w:p w:rsidR="009D3DB4" w:rsidRDefault="005B054C">
      <w:pPr>
        <w:spacing w:after="0" w:line="259" w:lineRule="auto"/>
        <w:ind w:left="708" w:firstLine="0"/>
      </w:pPr>
      <w:r>
        <w:t xml:space="preserve"> </w:t>
      </w:r>
    </w:p>
    <w:p w:rsidR="009D3DB4" w:rsidRDefault="005B054C">
      <w:pPr>
        <w:pStyle w:val="Heading1"/>
        <w:ind w:left="689"/>
      </w:pPr>
      <w:bookmarkStart w:id="0" w:name="_Toc59167"/>
      <w:r>
        <w:t xml:space="preserve">Part </w:t>
      </w:r>
      <w:proofErr w:type="gramStart"/>
      <w:r>
        <w:t>A</w:t>
      </w:r>
      <w:proofErr w:type="gramEnd"/>
      <w:r>
        <w:t xml:space="preserve"> - Order Form   </w:t>
      </w:r>
      <w:bookmarkEnd w:id="0"/>
    </w:p>
    <w:tbl>
      <w:tblPr>
        <w:tblStyle w:val="TableGrid"/>
        <w:tblW w:w="10567" w:type="dxa"/>
        <w:tblInd w:w="595" w:type="dxa"/>
        <w:tblCellMar>
          <w:top w:w="48" w:type="dxa"/>
          <w:left w:w="115" w:type="dxa"/>
          <w:right w:w="115" w:type="dxa"/>
        </w:tblCellMar>
        <w:tblLook w:val="04A0" w:firstRow="1" w:lastRow="0" w:firstColumn="1" w:lastColumn="0" w:noHBand="0" w:noVBand="1"/>
      </w:tblPr>
      <w:tblGrid>
        <w:gridCol w:w="5284"/>
        <w:gridCol w:w="5283"/>
      </w:tblGrid>
      <w:tr w:rsidR="009D3DB4">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Digital Marketplace service ID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rFonts w:ascii="Calibri" w:eastAsia="Calibri" w:hAnsi="Calibri" w:cs="Calibri"/>
                <w:sz w:val="22"/>
              </w:rPr>
              <w:t xml:space="preserve">850908657687175 </w:t>
            </w:r>
          </w:p>
        </w:tc>
      </w:tr>
      <w:tr w:rsidR="009D3DB4">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lastRenderedPageBreak/>
              <w:t xml:space="preserve">Call-Off Contract reference: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rFonts w:ascii="Calibri" w:eastAsia="Calibri" w:hAnsi="Calibri" w:cs="Calibri"/>
                <w:sz w:val="22"/>
              </w:rPr>
              <w:t>PSCR 2167 SR76525838</w:t>
            </w:r>
            <w:r>
              <w:t xml:space="preserve"> </w:t>
            </w:r>
          </w:p>
        </w:tc>
      </w:tr>
      <w:tr w:rsidR="009D3DB4">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Call-Off Contract title: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Data Engineering </w:t>
            </w:r>
          </w:p>
        </w:tc>
      </w:tr>
      <w:tr w:rsidR="009D3DB4">
        <w:trPr>
          <w:trHeight w:val="883"/>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Call-Off Contract description: </w:t>
            </w:r>
            <w:r>
              <w:t xml:space="preserve"> </w:t>
            </w:r>
          </w:p>
        </w:tc>
        <w:tc>
          <w:tcPr>
            <w:tcW w:w="5283"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Calibri" w:eastAsia="Calibri" w:hAnsi="Calibri" w:cs="Calibri"/>
                <w:sz w:val="22"/>
              </w:rPr>
              <w:t>Organizational and Operational design, building out scale, cultural transformation and supporting Delivery and Operations.</w:t>
            </w:r>
            <w:r>
              <w:t xml:space="preserve"> </w:t>
            </w:r>
          </w:p>
        </w:tc>
      </w:tr>
      <w:tr w:rsidR="009D3DB4">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Start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1</w:t>
            </w:r>
            <w:r>
              <w:rPr>
                <w:vertAlign w:val="superscript"/>
              </w:rPr>
              <w:t>st</w:t>
            </w:r>
            <w:r>
              <w:t xml:space="preserve"> August 2017 </w:t>
            </w:r>
          </w:p>
        </w:tc>
      </w:tr>
      <w:tr w:rsidR="009D3DB4">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Expiry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31</w:t>
            </w:r>
            <w:r>
              <w:rPr>
                <w:vertAlign w:val="superscript"/>
              </w:rPr>
              <w:t>st</w:t>
            </w:r>
            <w:r>
              <w:t xml:space="preserve"> July 2019 </w:t>
            </w:r>
          </w:p>
        </w:tc>
      </w:tr>
      <w:tr w:rsidR="009D3DB4">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Call-Off Contract value: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£19.8m </w:t>
            </w:r>
          </w:p>
        </w:tc>
      </w:tr>
      <w:tr w:rsidR="009D3DB4">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Charging method: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Monthly invoice as per </w:t>
            </w:r>
            <w:proofErr w:type="spellStart"/>
            <w:r>
              <w:t>SoW</w:t>
            </w:r>
            <w:proofErr w:type="spellEnd"/>
            <w:r>
              <w:t xml:space="preserve"> </w:t>
            </w:r>
          </w:p>
        </w:tc>
      </w:tr>
      <w:tr w:rsidR="009D3DB4">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 xml:space="preserve">Purchase order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TBC – mandatory with invoice submissions </w:t>
            </w:r>
          </w:p>
        </w:tc>
      </w:tr>
    </w:tbl>
    <w:p w:rsidR="009D3DB4" w:rsidRDefault="005B054C">
      <w:pPr>
        <w:spacing w:after="233" w:line="259" w:lineRule="auto"/>
        <w:ind w:left="708" w:firstLine="0"/>
      </w:pPr>
      <w:r>
        <w:t xml:space="preserve">  </w:t>
      </w:r>
    </w:p>
    <w:p w:rsidR="009D3DB4" w:rsidRDefault="005B054C">
      <w:pPr>
        <w:ind w:right="5"/>
      </w:pPr>
      <w:r>
        <w:t xml:space="preserve">This Order Form is issued under the G-Cloud 9 Framework Agreement (RM1557ix).   </w:t>
      </w:r>
    </w:p>
    <w:p w:rsidR="009D3DB4" w:rsidRDefault="005B054C">
      <w:pPr>
        <w:ind w:right="5"/>
      </w:pPr>
      <w:r>
        <w:t xml:space="preserve">Buyers can use this order form to specify their G-Cloud service requirements when placing an Order.  </w:t>
      </w:r>
    </w:p>
    <w:p w:rsidR="009D3DB4" w:rsidRDefault="005B054C">
      <w:pPr>
        <w:ind w:right="5"/>
      </w:pPr>
      <w:r>
        <w:t xml:space="preserve">The Order Form cannot be used to alter existing terms or add any extra terms that materially change the Deliverables offered by the Supplier and defined in the Application.   </w:t>
      </w:r>
    </w:p>
    <w:p w:rsidR="009D3DB4" w:rsidRDefault="005B054C">
      <w:pPr>
        <w:spacing w:after="0"/>
        <w:ind w:right="5"/>
      </w:pPr>
      <w:r>
        <w:t xml:space="preserve">There are terms in the Call-Off Contract that may be defined in the Order Form. These are identified in the contract with square brackets.  </w:t>
      </w:r>
    </w:p>
    <w:tbl>
      <w:tblPr>
        <w:tblStyle w:val="TableGrid"/>
        <w:tblW w:w="10610" w:type="dxa"/>
        <w:tblInd w:w="595" w:type="dxa"/>
        <w:tblCellMar>
          <w:top w:w="122" w:type="dxa"/>
          <w:left w:w="115" w:type="dxa"/>
          <w:right w:w="115" w:type="dxa"/>
        </w:tblCellMar>
        <w:tblLook w:val="04A0" w:firstRow="1" w:lastRow="0" w:firstColumn="1" w:lastColumn="0" w:noHBand="0" w:noVBand="1"/>
      </w:tblPr>
      <w:tblGrid>
        <w:gridCol w:w="2141"/>
        <w:gridCol w:w="8469"/>
      </w:tblGrid>
      <w:tr w:rsidR="009D3DB4">
        <w:trPr>
          <w:trHeight w:val="2508"/>
        </w:trPr>
        <w:tc>
          <w:tcPr>
            <w:tcW w:w="2141"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From: the Buyer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5B054C" w:rsidRDefault="005B054C" w:rsidP="005B054C">
            <w:pPr>
              <w:spacing w:after="24" w:line="259" w:lineRule="auto"/>
              <w:ind w:left="0" w:firstLine="0"/>
            </w:pPr>
            <w:proofErr w:type="spellStart"/>
            <w:r>
              <w:t>Readacted</w:t>
            </w:r>
            <w:proofErr w:type="spellEnd"/>
          </w:p>
          <w:p w:rsidR="005B054C" w:rsidRDefault="005B054C" w:rsidP="005B054C">
            <w:pPr>
              <w:spacing w:after="24" w:line="259" w:lineRule="auto"/>
              <w:ind w:left="0" w:firstLine="0"/>
            </w:pPr>
            <w:proofErr w:type="spellStart"/>
            <w:r>
              <w:t>Readacted</w:t>
            </w:r>
            <w:proofErr w:type="spellEnd"/>
          </w:p>
          <w:p w:rsidR="005B054C" w:rsidRDefault="005B054C" w:rsidP="005B054C">
            <w:pPr>
              <w:spacing w:after="24" w:line="259" w:lineRule="auto"/>
              <w:ind w:left="0" w:firstLine="0"/>
            </w:pPr>
            <w:proofErr w:type="spellStart"/>
            <w:r>
              <w:t>Readacted</w:t>
            </w:r>
            <w:proofErr w:type="spellEnd"/>
          </w:p>
          <w:p w:rsidR="00E5474D" w:rsidRDefault="00E5474D" w:rsidP="00E5474D">
            <w:pPr>
              <w:spacing w:after="24" w:line="259" w:lineRule="auto"/>
              <w:ind w:left="0" w:firstLine="0"/>
            </w:pPr>
            <w:proofErr w:type="spellStart"/>
            <w:r>
              <w:t>Readacted</w:t>
            </w:r>
            <w:proofErr w:type="spellEnd"/>
          </w:p>
          <w:p w:rsidR="005B054C" w:rsidRDefault="005B054C" w:rsidP="005B054C">
            <w:pPr>
              <w:spacing w:after="24" w:line="259" w:lineRule="auto"/>
              <w:ind w:left="0" w:firstLine="0"/>
            </w:pPr>
            <w:proofErr w:type="spellStart"/>
            <w:r>
              <w:t>Readacted</w:t>
            </w:r>
            <w:proofErr w:type="spellEnd"/>
          </w:p>
          <w:p w:rsidR="005B054C" w:rsidRDefault="005B054C" w:rsidP="005B054C">
            <w:pPr>
              <w:spacing w:after="24" w:line="259" w:lineRule="auto"/>
              <w:ind w:left="0" w:firstLine="0"/>
            </w:pPr>
            <w:proofErr w:type="spellStart"/>
            <w:r>
              <w:t>Readacted</w:t>
            </w:r>
            <w:proofErr w:type="spellEnd"/>
          </w:p>
          <w:p w:rsidR="005B054C" w:rsidRDefault="005B054C" w:rsidP="005B054C">
            <w:pPr>
              <w:spacing w:after="24" w:line="259" w:lineRule="auto"/>
              <w:ind w:left="0" w:firstLine="0"/>
            </w:pPr>
            <w:proofErr w:type="spellStart"/>
            <w:r>
              <w:t>Readacted</w:t>
            </w:r>
            <w:proofErr w:type="spellEnd"/>
          </w:p>
          <w:p w:rsidR="005B054C" w:rsidRDefault="005B054C" w:rsidP="005B054C">
            <w:pPr>
              <w:spacing w:after="24" w:line="259" w:lineRule="auto"/>
              <w:ind w:left="0" w:firstLine="0"/>
            </w:pPr>
            <w:proofErr w:type="spellStart"/>
            <w:r>
              <w:t>Readacted</w:t>
            </w:r>
            <w:proofErr w:type="spellEnd"/>
          </w:p>
          <w:p w:rsidR="009D3DB4" w:rsidRDefault="009D3DB4">
            <w:pPr>
              <w:spacing w:after="0" w:line="259" w:lineRule="auto"/>
              <w:ind w:left="0" w:firstLine="0"/>
            </w:pPr>
          </w:p>
        </w:tc>
      </w:tr>
      <w:tr w:rsidR="009D3DB4">
        <w:trPr>
          <w:trHeight w:val="3586"/>
        </w:trPr>
        <w:tc>
          <w:tcPr>
            <w:tcW w:w="2141" w:type="dxa"/>
            <w:tcBorders>
              <w:top w:val="single" w:sz="6" w:space="0" w:color="000000"/>
              <w:left w:val="single" w:sz="6" w:space="0" w:color="000000"/>
              <w:bottom w:val="single" w:sz="6" w:space="0" w:color="000000"/>
              <w:right w:val="single" w:sz="6" w:space="0" w:color="000000"/>
            </w:tcBorders>
          </w:tcPr>
          <w:p w:rsidR="009D3DB4" w:rsidRDefault="005B054C">
            <w:pPr>
              <w:spacing w:after="26" w:line="259" w:lineRule="auto"/>
              <w:ind w:left="0" w:firstLine="0"/>
            </w:pPr>
            <w:r>
              <w:rPr>
                <w:b/>
              </w:rPr>
              <w:t xml:space="preserve">To: the Supplier </w:t>
            </w:r>
            <w:r>
              <w:t xml:space="preserve"> </w:t>
            </w:r>
          </w:p>
          <w:p w:rsidR="009D3DB4" w:rsidRDefault="005B054C">
            <w:pPr>
              <w:spacing w:after="21" w:line="259" w:lineRule="auto"/>
              <w:ind w:left="0" w:firstLine="0"/>
            </w:pPr>
            <w:r>
              <w:rPr>
                <w:b/>
              </w:rPr>
              <w:t xml:space="preserve"> </w:t>
            </w:r>
            <w:r>
              <w:t xml:space="preserve"> </w:t>
            </w:r>
          </w:p>
          <w:p w:rsidR="009D3DB4" w:rsidRDefault="005B054C">
            <w:pPr>
              <w:spacing w:after="24" w:line="259" w:lineRule="auto"/>
              <w:ind w:left="0" w:firstLine="0"/>
            </w:pPr>
            <w:r>
              <w:rPr>
                <w:b/>
              </w:rPr>
              <w:t xml:space="preserve"> </w:t>
            </w:r>
            <w:r>
              <w:t xml:space="preserve"> </w:t>
            </w:r>
          </w:p>
          <w:p w:rsidR="009D3DB4" w:rsidRDefault="005B054C">
            <w:pPr>
              <w:spacing w:after="0" w:line="259" w:lineRule="auto"/>
              <w:ind w:left="0" w:firstLine="0"/>
            </w:pPr>
            <w:r>
              <w:rPr>
                <w:b/>
              </w:rPr>
              <w:t xml:space="preserve">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24" w:line="259" w:lineRule="auto"/>
              <w:ind w:left="0" w:firstLine="0"/>
            </w:pPr>
            <w:r>
              <w:t xml:space="preserve">Equal Experts </w:t>
            </w:r>
          </w:p>
          <w:p w:rsidR="005B054C" w:rsidRDefault="005B054C" w:rsidP="005B054C">
            <w:pPr>
              <w:spacing w:after="24" w:line="259" w:lineRule="auto"/>
              <w:ind w:left="0" w:firstLine="0"/>
            </w:pPr>
            <w:proofErr w:type="spellStart"/>
            <w:r>
              <w:t>Readacted</w:t>
            </w:r>
            <w:proofErr w:type="spellEnd"/>
          </w:p>
          <w:p w:rsidR="009D3DB4" w:rsidRDefault="005B054C">
            <w:pPr>
              <w:spacing w:after="19" w:line="259" w:lineRule="auto"/>
              <w:ind w:left="0" w:firstLine="0"/>
            </w:pPr>
            <w:r>
              <w:rPr>
                <w:color w:val="0B0C0C"/>
                <w:sz w:val="22"/>
              </w:rPr>
              <w:t xml:space="preserve">30 Brock Street, </w:t>
            </w:r>
          </w:p>
          <w:p w:rsidR="009D3DB4" w:rsidRDefault="005B054C">
            <w:pPr>
              <w:spacing w:after="21" w:line="259" w:lineRule="auto"/>
              <w:ind w:left="0" w:firstLine="0"/>
            </w:pPr>
            <w:r>
              <w:rPr>
                <w:color w:val="0B0C0C"/>
                <w:sz w:val="22"/>
              </w:rPr>
              <w:t xml:space="preserve">London, </w:t>
            </w:r>
          </w:p>
          <w:p w:rsidR="009D3DB4" w:rsidRDefault="005B054C">
            <w:pPr>
              <w:spacing w:after="21" w:line="259" w:lineRule="auto"/>
              <w:ind w:left="0" w:firstLine="0"/>
            </w:pPr>
            <w:r>
              <w:rPr>
                <w:color w:val="0B0C0C"/>
                <w:sz w:val="22"/>
              </w:rPr>
              <w:t xml:space="preserve">NW1 3FG </w:t>
            </w:r>
          </w:p>
          <w:p w:rsidR="009D3DB4" w:rsidRDefault="005B054C">
            <w:pPr>
              <w:spacing w:after="2" w:line="259" w:lineRule="auto"/>
              <w:ind w:left="0" w:firstLine="0"/>
            </w:pPr>
            <w:r>
              <w:rPr>
                <w:color w:val="0B0C0C"/>
                <w:sz w:val="22"/>
              </w:rPr>
              <w:t xml:space="preserve"> </w:t>
            </w:r>
          </w:p>
          <w:p w:rsidR="009D3DB4" w:rsidRDefault="005B054C">
            <w:pPr>
              <w:spacing w:after="43" w:line="259" w:lineRule="auto"/>
              <w:ind w:left="0" w:firstLine="0"/>
            </w:pPr>
            <w:r>
              <w:t xml:space="preserve">Company number:   </w:t>
            </w:r>
          </w:p>
          <w:p w:rsidR="009D3DB4" w:rsidRDefault="005B054C">
            <w:pPr>
              <w:spacing w:after="2" w:line="259" w:lineRule="auto"/>
              <w:ind w:left="0" w:firstLine="0"/>
            </w:pPr>
            <w:r>
              <w:rPr>
                <w:color w:val="0B0C0C"/>
                <w:sz w:val="22"/>
              </w:rPr>
              <w:t>06191086</w:t>
            </w:r>
            <w:r>
              <w:rPr>
                <w:b/>
                <w:sz w:val="22"/>
              </w:rPr>
              <w:t xml:space="preserve"> </w:t>
            </w:r>
          </w:p>
          <w:p w:rsidR="009D3DB4" w:rsidRDefault="005B054C">
            <w:pPr>
              <w:spacing w:after="0" w:line="259" w:lineRule="auto"/>
              <w:ind w:left="0" w:firstLine="0"/>
            </w:pPr>
            <w:r>
              <w:t xml:space="preserve">  </w:t>
            </w:r>
          </w:p>
        </w:tc>
      </w:tr>
    </w:tbl>
    <w:p w:rsidR="009D3DB4" w:rsidRDefault="005B054C">
      <w:pPr>
        <w:pBdr>
          <w:top w:val="single" w:sz="6" w:space="0" w:color="000000"/>
          <w:left w:val="single" w:sz="6" w:space="0" w:color="000000"/>
          <w:bottom w:val="single" w:sz="6" w:space="0" w:color="000000"/>
          <w:right w:val="single" w:sz="6" w:space="0" w:color="000000"/>
        </w:pBdr>
        <w:spacing w:after="473" w:line="259" w:lineRule="auto"/>
        <w:ind w:left="710" w:firstLine="0"/>
      </w:pPr>
      <w:r>
        <w:rPr>
          <w:b/>
        </w:rPr>
        <w:t xml:space="preserve">Together: the ‘Parties’ </w:t>
      </w:r>
      <w:r>
        <w:t xml:space="preserve"> </w:t>
      </w:r>
    </w:p>
    <w:p w:rsidR="009D3DB4" w:rsidRDefault="005B054C">
      <w:pPr>
        <w:spacing w:line="259" w:lineRule="auto"/>
        <w:ind w:left="708" w:firstLine="0"/>
      </w:pPr>
      <w:r>
        <w:rPr>
          <w:b/>
        </w:rPr>
        <w:lastRenderedPageBreak/>
        <w:t xml:space="preserve"> </w:t>
      </w:r>
      <w:r>
        <w:t xml:space="preserve"> </w:t>
      </w:r>
    </w:p>
    <w:p w:rsidR="009D3DB4" w:rsidRDefault="005B054C">
      <w:pPr>
        <w:pStyle w:val="Heading3"/>
        <w:spacing w:after="0"/>
        <w:ind w:left="698"/>
      </w:pPr>
      <w:r>
        <w:t xml:space="preserve">Principle contact details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2141"/>
        <w:gridCol w:w="8426"/>
      </w:tblGrid>
      <w:tr w:rsidR="009D3DB4">
        <w:trPr>
          <w:trHeight w:val="1452"/>
        </w:trPr>
        <w:tc>
          <w:tcPr>
            <w:tcW w:w="2141" w:type="dxa"/>
            <w:tcBorders>
              <w:top w:val="single" w:sz="6" w:space="0" w:color="000000"/>
              <w:left w:val="single" w:sz="6" w:space="0" w:color="000000"/>
              <w:bottom w:val="single" w:sz="6" w:space="0" w:color="000000"/>
              <w:right w:val="single" w:sz="6" w:space="0" w:color="000000"/>
            </w:tcBorders>
          </w:tcPr>
          <w:p w:rsidR="009D3DB4" w:rsidRDefault="005B054C">
            <w:pPr>
              <w:spacing w:after="26" w:line="259" w:lineRule="auto"/>
              <w:ind w:left="0" w:firstLine="0"/>
            </w:pPr>
            <w:r>
              <w:rPr>
                <w:b/>
              </w:rPr>
              <w:t xml:space="preserve">For the Buyer: </w:t>
            </w:r>
            <w:r>
              <w:t xml:space="preserve"> </w:t>
            </w:r>
          </w:p>
          <w:p w:rsidR="009D3DB4" w:rsidRDefault="005B054C">
            <w:pPr>
              <w:spacing w:after="21" w:line="259" w:lineRule="auto"/>
              <w:ind w:left="0" w:firstLine="0"/>
            </w:pPr>
            <w:r>
              <w:rPr>
                <w:b/>
              </w:rPr>
              <w:t xml:space="preserve"> </w:t>
            </w:r>
            <w:r>
              <w:t xml:space="preserve"> </w:t>
            </w:r>
          </w:p>
          <w:p w:rsidR="009D3DB4" w:rsidRDefault="005B054C">
            <w:pPr>
              <w:spacing w:after="0" w:line="259" w:lineRule="auto"/>
              <w:ind w:left="0" w:firstLine="0"/>
            </w:pPr>
            <w:r>
              <w:rPr>
                <w:b/>
              </w:rPr>
              <w:t xml:space="preserve">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5B054C" w:rsidRDefault="005B054C" w:rsidP="005B054C">
            <w:pPr>
              <w:spacing w:after="24" w:line="259" w:lineRule="auto"/>
              <w:ind w:left="0" w:firstLine="0"/>
            </w:pPr>
            <w:r>
              <w:t xml:space="preserve">Title: </w:t>
            </w:r>
            <w:proofErr w:type="spellStart"/>
            <w:r>
              <w:t>Readacted</w:t>
            </w:r>
            <w:proofErr w:type="spellEnd"/>
          </w:p>
          <w:p w:rsidR="005B054C" w:rsidRDefault="005B054C" w:rsidP="005B054C">
            <w:pPr>
              <w:spacing w:after="24" w:line="259" w:lineRule="auto"/>
              <w:ind w:left="0" w:firstLine="0"/>
            </w:pPr>
            <w:r>
              <w:t xml:space="preserve">Name: </w:t>
            </w:r>
            <w:proofErr w:type="spellStart"/>
            <w:r>
              <w:t>Readacted</w:t>
            </w:r>
            <w:proofErr w:type="spellEnd"/>
          </w:p>
          <w:p w:rsidR="005B054C" w:rsidRDefault="005B054C" w:rsidP="005B054C">
            <w:pPr>
              <w:spacing w:after="24" w:line="259" w:lineRule="auto"/>
              <w:ind w:left="0" w:firstLine="0"/>
            </w:pPr>
            <w:r>
              <w:t xml:space="preserve">Email: </w:t>
            </w:r>
            <w:proofErr w:type="spellStart"/>
            <w:r>
              <w:t>Readacted</w:t>
            </w:r>
            <w:proofErr w:type="spellEnd"/>
          </w:p>
          <w:p w:rsidR="005B054C" w:rsidRDefault="005B054C" w:rsidP="005B054C">
            <w:pPr>
              <w:spacing w:after="24" w:line="259" w:lineRule="auto"/>
              <w:ind w:left="0" w:firstLine="0"/>
            </w:pPr>
            <w:r>
              <w:t xml:space="preserve">Phone: </w:t>
            </w:r>
            <w:proofErr w:type="spellStart"/>
            <w:r>
              <w:t>Readacted</w:t>
            </w:r>
            <w:proofErr w:type="spellEnd"/>
          </w:p>
          <w:p w:rsidR="009D3DB4" w:rsidRDefault="009D3DB4">
            <w:pPr>
              <w:spacing w:after="0" w:line="259" w:lineRule="auto"/>
              <w:ind w:left="0" w:firstLine="0"/>
            </w:pPr>
          </w:p>
        </w:tc>
      </w:tr>
      <w:tr w:rsidR="009D3DB4">
        <w:trPr>
          <w:trHeight w:val="1649"/>
        </w:trPr>
        <w:tc>
          <w:tcPr>
            <w:tcW w:w="2141"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For the Supplier: </w:t>
            </w:r>
            <w:r>
              <w:t xml:space="preserve"> </w:t>
            </w:r>
          </w:p>
        </w:tc>
        <w:tc>
          <w:tcPr>
            <w:tcW w:w="8426" w:type="dxa"/>
            <w:tcBorders>
              <w:top w:val="single" w:sz="6" w:space="0" w:color="000000"/>
              <w:left w:val="single" w:sz="6" w:space="0" w:color="000000"/>
              <w:bottom w:val="single" w:sz="6" w:space="0" w:color="000000"/>
              <w:right w:val="single" w:sz="6" w:space="0" w:color="000000"/>
            </w:tcBorders>
            <w:vAlign w:val="center"/>
          </w:tcPr>
          <w:p w:rsidR="005B054C" w:rsidRDefault="005B054C" w:rsidP="005B054C">
            <w:pPr>
              <w:spacing w:after="24" w:line="259" w:lineRule="auto"/>
              <w:ind w:left="0" w:firstLine="0"/>
            </w:pPr>
            <w:r>
              <w:t xml:space="preserve">Title:  </w:t>
            </w:r>
            <w:proofErr w:type="spellStart"/>
            <w:r>
              <w:t>Readacted</w:t>
            </w:r>
            <w:proofErr w:type="spellEnd"/>
          </w:p>
          <w:p w:rsidR="005B054C" w:rsidRDefault="005B054C" w:rsidP="005B054C">
            <w:pPr>
              <w:spacing w:after="24" w:line="259" w:lineRule="auto"/>
              <w:ind w:left="0" w:firstLine="0"/>
            </w:pPr>
            <w:r>
              <w:t xml:space="preserve">Name: </w:t>
            </w:r>
            <w:proofErr w:type="spellStart"/>
            <w:r>
              <w:t>Readacted</w:t>
            </w:r>
            <w:proofErr w:type="spellEnd"/>
          </w:p>
          <w:p w:rsidR="009D3DB4" w:rsidRDefault="009D3DB4">
            <w:pPr>
              <w:spacing w:after="148" w:line="259" w:lineRule="auto"/>
              <w:ind w:left="0" w:firstLine="0"/>
            </w:pPr>
          </w:p>
          <w:p w:rsidR="005B054C" w:rsidRDefault="005B054C" w:rsidP="005B054C">
            <w:pPr>
              <w:spacing w:after="24" w:line="259" w:lineRule="auto"/>
              <w:ind w:left="0" w:firstLine="0"/>
            </w:pPr>
            <w:r>
              <w:t xml:space="preserve">Email: </w:t>
            </w:r>
            <w:proofErr w:type="spellStart"/>
            <w:r>
              <w:t>Readacted</w:t>
            </w:r>
            <w:proofErr w:type="spellEnd"/>
          </w:p>
          <w:p w:rsidR="005B054C" w:rsidRDefault="005B054C" w:rsidP="005B054C">
            <w:pPr>
              <w:spacing w:after="24" w:line="259" w:lineRule="auto"/>
              <w:ind w:left="0" w:firstLine="0"/>
            </w:pPr>
            <w:r>
              <w:t>Phone:</w:t>
            </w:r>
            <w:r>
              <w:rPr>
                <w:rFonts w:ascii="Calibri" w:eastAsia="Calibri" w:hAnsi="Calibri" w:cs="Calibri"/>
                <w:color w:val="1F497D"/>
                <w:sz w:val="22"/>
              </w:rPr>
              <w:t xml:space="preserve"> </w:t>
            </w:r>
            <w:proofErr w:type="spellStart"/>
            <w:r>
              <w:t>Readacted</w:t>
            </w:r>
            <w:proofErr w:type="spellEnd"/>
          </w:p>
          <w:p w:rsidR="009D3DB4" w:rsidRDefault="009D3DB4">
            <w:pPr>
              <w:spacing w:after="0" w:line="259" w:lineRule="auto"/>
              <w:ind w:left="0" w:firstLine="0"/>
            </w:pPr>
          </w:p>
        </w:tc>
      </w:tr>
    </w:tbl>
    <w:p w:rsidR="009D3DB4" w:rsidRDefault="005B054C">
      <w:pPr>
        <w:spacing w:after="230" w:line="259" w:lineRule="auto"/>
        <w:ind w:left="708" w:firstLine="0"/>
      </w:pPr>
      <w:r>
        <w:t xml:space="preserve">  </w:t>
      </w:r>
    </w:p>
    <w:p w:rsidR="009D3DB4" w:rsidRDefault="005B054C">
      <w:pPr>
        <w:pStyle w:val="Heading3"/>
        <w:spacing w:after="0"/>
        <w:ind w:left="698"/>
      </w:pPr>
      <w:r>
        <w:t xml:space="preserve">Call-Off Contract term  </w:t>
      </w:r>
    </w:p>
    <w:tbl>
      <w:tblPr>
        <w:tblStyle w:val="TableGrid"/>
        <w:tblW w:w="10536" w:type="dxa"/>
        <w:tblInd w:w="595" w:type="dxa"/>
        <w:tblCellMar>
          <w:top w:w="122" w:type="dxa"/>
          <w:left w:w="115" w:type="dxa"/>
          <w:right w:w="115" w:type="dxa"/>
        </w:tblCellMar>
        <w:tblLook w:val="04A0" w:firstRow="1" w:lastRow="0" w:firstColumn="1" w:lastColumn="0" w:noHBand="0" w:noVBand="1"/>
      </w:tblPr>
      <w:tblGrid>
        <w:gridCol w:w="2634"/>
        <w:gridCol w:w="7902"/>
      </w:tblGrid>
      <w:tr w:rsidR="009D3DB4">
        <w:trPr>
          <w:trHeight w:val="893"/>
        </w:trPr>
        <w:tc>
          <w:tcPr>
            <w:tcW w:w="263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24" w:line="259" w:lineRule="auto"/>
              <w:ind w:left="0" w:firstLine="0"/>
            </w:pPr>
            <w:r>
              <w:rPr>
                <w:b/>
              </w:rPr>
              <w:t xml:space="preserve">Start date: </w:t>
            </w:r>
            <w:r>
              <w:t xml:space="preserve"> </w:t>
            </w:r>
          </w:p>
          <w:p w:rsidR="009D3DB4" w:rsidRDefault="005B054C">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This Call-Off Contract Starts on 1</w:t>
            </w:r>
            <w:r>
              <w:rPr>
                <w:vertAlign w:val="superscript"/>
              </w:rPr>
              <w:t>st</w:t>
            </w:r>
            <w:r>
              <w:t xml:space="preserve"> August 2017 and is valid for 24 months. </w:t>
            </w:r>
          </w:p>
        </w:tc>
      </w:tr>
      <w:tr w:rsidR="009D3DB4">
        <w:trPr>
          <w:trHeight w:val="1159"/>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Ending (termination):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notice period needed for Ending the Call-Off Contract is 90 Working Days from the date of written notice for disputed sums or at least 30 days from the date of written notice for Ending without cause.   </w:t>
            </w:r>
          </w:p>
        </w:tc>
      </w:tr>
      <w:tr w:rsidR="009D3DB4">
        <w:trPr>
          <w:trHeight w:val="3317"/>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Extension period: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7" w:line="375" w:lineRule="auto"/>
              <w:ind w:left="0" w:right="96" w:firstLine="0"/>
            </w:pPr>
            <w:r>
              <w:t>This Call-Off Contract can be extended by the Buyer for 2 period(s) of  up to 12 months each, by giving the Supplier 1 months written notice before its expiry.</w:t>
            </w:r>
          </w:p>
          <w:p w:rsidR="009D3DB4" w:rsidRDefault="005B054C">
            <w:pPr>
              <w:spacing w:after="98" w:line="259" w:lineRule="auto"/>
              <w:ind w:left="0" w:firstLine="0"/>
            </w:pPr>
            <w:r>
              <w:rPr>
                <w:rFonts w:ascii="Calibri" w:eastAsia="Calibri" w:hAnsi="Calibri" w:cs="Calibri"/>
              </w:rPr>
              <w:t xml:space="preserve"> </w:t>
            </w:r>
            <w:r>
              <w:rPr>
                <w:rFonts w:ascii="Calibri" w:eastAsia="Calibri" w:hAnsi="Calibri" w:cs="Calibri"/>
              </w:rPr>
              <w:tab/>
            </w:r>
            <w:r>
              <w:t xml:space="preserve">  </w:t>
            </w:r>
          </w:p>
          <w:p w:rsidR="009D3DB4" w:rsidRDefault="005B054C">
            <w:pPr>
              <w:spacing w:after="21" w:line="259" w:lineRule="auto"/>
              <w:ind w:left="0" w:firstLine="0"/>
            </w:pPr>
            <w:r>
              <w:t xml:space="preserve">Extensions which extend the Term beyond 24 months are only permitted if the  </w:t>
            </w:r>
          </w:p>
          <w:p w:rsidR="009D3DB4" w:rsidRDefault="005B054C">
            <w:pPr>
              <w:spacing w:after="0" w:line="259" w:lineRule="auto"/>
              <w:ind w:left="0" w:firstLine="0"/>
            </w:pPr>
            <w:r>
              <w:t xml:space="preserve">Supplier complies with the additional exit plan requirements at clauses 21.3 to 21.8.  </w:t>
            </w:r>
          </w:p>
        </w:tc>
      </w:tr>
    </w:tbl>
    <w:p w:rsidR="009D3DB4" w:rsidRDefault="005B054C">
      <w:pPr>
        <w:spacing w:line="259" w:lineRule="auto"/>
        <w:ind w:left="708" w:firstLine="0"/>
      </w:pPr>
      <w:r>
        <w:rPr>
          <w:b/>
        </w:rPr>
        <w:t xml:space="preserve"> </w:t>
      </w:r>
      <w:r>
        <w:t xml:space="preserve"> </w:t>
      </w:r>
    </w:p>
    <w:p w:rsidR="009D3DB4" w:rsidRDefault="005B054C">
      <w:pPr>
        <w:pStyle w:val="Heading3"/>
        <w:ind w:left="698"/>
      </w:pPr>
      <w:r>
        <w:t xml:space="preserve">Buyer contractual details  </w:t>
      </w:r>
    </w:p>
    <w:p w:rsidR="009D3DB4" w:rsidRDefault="005B054C">
      <w:pPr>
        <w:spacing w:after="0"/>
        <w:ind w:right="5"/>
      </w:pPr>
      <w:r>
        <w:t xml:space="preserve">This Order is for the G-Cloud Services outlined below. It is acknowledged by the Parties that the volume of the G-Cloud Services used by the Buyer may vary during this Call-Off Contract.  </w:t>
      </w:r>
    </w:p>
    <w:tbl>
      <w:tblPr>
        <w:tblStyle w:val="TableGrid"/>
        <w:tblW w:w="10536" w:type="dxa"/>
        <w:tblInd w:w="595" w:type="dxa"/>
        <w:tblCellMar>
          <w:top w:w="125" w:type="dxa"/>
          <w:left w:w="115" w:type="dxa"/>
          <w:right w:w="110" w:type="dxa"/>
        </w:tblCellMar>
        <w:tblLook w:val="04A0" w:firstRow="1" w:lastRow="0" w:firstColumn="1" w:lastColumn="0" w:noHBand="0" w:noVBand="1"/>
      </w:tblPr>
      <w:tblGrid>
        <w:gridCol w:w="2634"/>
        <w:gridCol w:w="7902"/>
      </w:tblGrid>
      <w:tr w:rsidR="009D3DB4">
        <w:trPr>
          <w:trHeight w:val="143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G-Cloud lot: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right="1959" w:firstLine="0"/>
            </w:pPr>
            <w:r>
              <w:t xml:space="preserve">This Call-Off Contract is for the provision of Services under:    Lot 3 - Cloud support  </w:t>
            </w:r>
          </w:p>
        </w:tc>
      </w:tr>
      <w:tr w:rsidR="009D3DB4">
        <w:trPr>
          <w:trHeight w:val="9205"/>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G-Cloud services required: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84" w:lineRule="auto"/>
              <w:ind w:left="0" w:firstLine="0"/>
            </w:pPr>
            <w:r>
              <w:t xml:space="preserve">The Services to be provided by the Supplier under the above Lot are listed in the </w:t>
            </w:r>
            <w:proofErr w:type="spellStart"/>
            <w:r>
              <w:t>SoW</w:t>
            </w:r>
            <w:proofErr w:type="spellEnd"/>
            <w:r>
              <w:t xml:space="preserve"> and outlined below: </w:t>
            </w:r>
          </w:p>
          <w:p w:rsidR="009D3DB4" w:rsidRDefault="005B054C">
            <w:pPr>
              <w:spacing w:after="41" w:line="259" w:lineRule="auto"/>
              <w:ind w:left="0" w:firstLine="0"/>
            </w:pPr>
            <w:r>
              <w:t xml:space="preserve"> </w:t>
            </w:r>
          </w:p>
          <w:p w:rsidR="009D3DB4" w:rsidRDefault="005B054C">
            <w:pPr>
              <w:numPr>
                <w:ilvl w:val="0"/>
                <w:numId w:val="34"/>
              </w:numPr>
              <w:spacing w:after="3" w:line="275" w:lineRule="auto"/>
              <w:ind w:hanging="360"/>
            </w:pPr>
            <w:r>
              <w:rPr>
                <w:sz w:val="22"/>
              </w:rPr>
              <w:t xml:space="preserve">Devising and building the Data Engineering operating model in conjunction with HMRC  </w:t>
            </w:r>
          </w:p>
          <w:p w:rsidR="009D3DB4" w:rsidRDefault="005B054C">
            <w:pPr>
              <w:numPr>
                <w:ilvl w:val="0"/>
                <w:numId w:val="34"/>
              </w:numPr>
              <w:spacing w:after="0" w:line="275" w:lineRule="auto"/>
              <w:ind w:hanging="360"/>
            </w:pPr>
            <w:r>
              <w:rPr>
                <w:sz w:val="22"/>
              </w:rPr>
              <w:t xml:space="preserve">Seeking approval for the new operating model from the relevant governance bodies in HMRC </w:t>
            </w:r>
          </w:p>
          <w:p w:rsidR="009D3DB4" w:rsidRDefault="005B054C">
            <w:pPr>
              <w:numPr>
                <w:ilvl w:val="0"/>
                <w:numId w:val="34"/>
              </w:numPr>
              <w:spacing w:after="0" w:line="275" w:lineRule="auto"/>
              <w:ind w:hanging="360"/>
            </w:pPr>
            <w:r>
              <w:rPr>
                <w:sz w:val="22"/>
              </w:rPr>
              <w:t xml:space="preserve">Designing team structure. Including roles, responsibilities, skills, experience and grades </w:t>
            </w:r>
          </w:p>
          <w:p w:rsidR="009D3DB4" w:rsidRDefault="005B054C">
            <w:pPr>
              <w:numPr>
                <w:ilvl w:val="0"/>
                <w:numId w:val="34"/>
              </w:numPr>
              <w:spacing w:after="0" w:line="277" w:lineRule="auto"/>
              <w:ind w:hanging="360"/>
            </w:pPr>
            <w:r>
              <w:rPr>
                <w:sz w:val="22"/>
              </w:rPr>
              <w:t xml:space="preserve">Co-ordinating and defining internal and supplier handoffs for data engineering </w:t>
            </w:r>
          </w:p>
          <w:p w:rsidR="009D3DB4" w:rsidRDefault="005B054C">
            <w:pPr>
              <w:numPr>
                <w:ilvl w:val="0"/>
                <w:numId w:val="34"/>
              </w:numPr>
              <w:spacing w:after="0" w:line="275" w:lineRule="auto"/>
              <w:ind w:hanging="360"/>
            </w:pPr>
            <w:r>
              <w:rPr>
                <w:sz w:val="22"/>
              </w:rPr>
              <w:t xml:space="preserve">Designing and operating the resource and commercial processes required for the running of a Data Engineering Centre </w:t>
            </w:r>
          </w:p>
          <w:p w:rsidR="009D3DB4" w:rsidRDefault="005B054C">
            <w:pPr>
              <w:numPr>
                <w:ilvl w:val="0"/>
                <w:numId w:val="34"/>
              </w:numPr>
              <w:spacing w:after="20" w:line="259" w:lineRule="auto"/>
              <w:ind w:hanging="360"/>
            </w:pPr>
            <w:r>
              <w:rPr>
                <w:sz w:val="22"/>
              </w:rPr>
              <w:t xml:space="preserve">Defining governance structure, reporting regime and service levels </w:t>
            </w:r>
          </w:p>
          <w:p w:rsidR="009D3DB4" w:rsidRDefault="005B054C">
            <w:pPr>
              <w:numPr>
                <w:ilvl w:val="0"/>
                <w:numId w:val="34"/>
              </w:numPr>
              <w:spacing w:after="19" w:line="259" w:lineRule="auto"/>
              <w:ind w:hanging="360"/>
            </w:pPr>
            <w:r>
              <w:rPr>
                <w:sz w:val="22"/>
              </w:rPr>
              <w:t xml:space="preserve">Assisting with stakeholder management, both internal and external </w:t>
            </w:r>
          </w:p>
          <w:p w:rsidR="009D3DB4" w:rsidRDefault="005B054C">
            <w:pPr>
              <w:numPr>
                <w:ilvl w:val="0"/>
                <w:numId w:val="34"/>
              </w:numPr>
              <w:spacing w:after="17" w:line="259" w:lineRule="auto"/>
              <w:ind w:hanging="360"/>
            </w:pPr>
            <w:r>
              <w:rPr>
                <w:sz w:val="22"/>
              </w:rPr>
              <w:t xml:space="preserve">Building a knowledge centre </w:t>
            </w:r>
          </w:p>
          <w:p w:rsidR="009D3DB4" w:rsidRDefault="005B054C">
            <w:pPr>
              <w:numPr>
                <w:ilvl w:val="0"/>
                <w:numId w:val="34"/>
              </w:numPr>
              <w:spacing w:after="1" w:line="275" w:lineRule="auto"/>
              <w:ind w:hanging="360"/>
            </w:pPr>
            <w:r>
              <w:rPr>
                <w:sz w:val="22"/>
              </w:rPr>
              <w:t xml:space="preserve">Planning and support of transition of new model, process and knowledge to HMRC resource </w:t>
            </w:r>
          </w:p>
          <w:p w:rsidR="009D3DB4" w:rsidRDefault="005B054C">
            <w:pPr>
              <w:numPr>
                <w:ilvl w:val="0"/>
                <w:numId w:val="34"/>
              </w:numPr>
              <w:spacing w:after="20" w:line="259" w:lineRule="auto"/>
              <w:ind w:hanging="360"/>
            </w:pPr>
            <w:r>
              <w:rPr>
                <w:sz w:val="22"/>
              </w:rPr>
              <w:t xml:space="preserve">Support of cultural transformation </w:t>
            </w:r>
          </w:p>
          <w:p w:rsidR="009D3DB4" w:rsidRDefault="005B054C">
            <w:pPr>
              <w:numPr>
                <w:ilvl w:val="0"/>
                <w:numId w:val="34"/>
              </w:numPr>
              <w:spacing w:after="1" w:line="275" w:lineRule="auto"/>
              <w:ind w:hanging="360"/>
            </w:pPr>
            <w:r>
              <w:rPr>
                <w:sz w:val="22"/>
              </w:rPr>
              <w:t xml:space="preserve">Enable delivery of the following Projects/Programs as outlined in the </w:t>
            </w:r>
            <w:proofErr w:type="spellStart"/>
            <w:r>
              <w:rPr>
                <w:sz w:val="22"/>
              </w:rPr>
              <w:t>SoW</w:t>
            </w:r>
            <w:proofErr w:type="spellEnd"/>
            <w:r>
              <w:rPr>
                <w:sz w:val="22"/>
              </w:rPr>
              <w:t xml:space="preserve">: </w:t>
            </w:r>
          </w:p>
          <w:p w:rsidR="009D3DB4" w:rsidRDefault="005B054C">
            <w:pPr>
              <w:numPr>
                <w:ilvl w:val="0"/>
                <w:numId w:val="34"/>
              </w:numPr>
              <w:spacing w:after="17" w:line="259" w:lineRule="auto"/>
              <w:ind w:hanging="360"/>
            </w:pPr>
            <w:r>
              <w:rPr>
                <w:sz w:val="22"/>
              </w:rPr>
              <w:t xml:space="preserve">Compliance for the Future: Strategic Risking </w:t>
            </w:r>
          </w:p>
          <w:p w:rsidR="009D3DB4" w:rsidRDefault="005B054C">
            <w:pPr>
              <w:numPr>
                <w:ilvl w:val="0"/>
                <w:numId w:val="34"/>
              </w:numPr>
              <w:spacing w:after="0" w:line="277" w:lineRule="auto"/>
              <w:ind w:hanging="360"/>
            </w:pPr>
            <w:r>
              <w:rPr>
                <w:sz w:val="22"/>
              </w:rPr>
              <w:t xml:space="preserve">Enterprise Data Hub: Managing early operation of live EDH services, providing expert consulting to get EDH back on track. </w:t>
            </w:r>
          </w:p>
          <w:p w:rsidR="009D3DB4" w:rsidRDefault="005B054C">
            <w:pPr>
              <w:numPr>
                <w:ilvl w:val="0"/>
                <w:numId w:val="34"/>
              </w:numPr>
              <w:spacing w:after="1" w:line="275" w:lineRule="auto"/>
              <w:ind w:hanging="360"/>
            </w:pPr>
            <w:r>
              <w:rPr>
                <w:sz w:val="22"/>
              </w:rPr>
              <w:t xml:space="preserve">Data Strategy: Integration of Machine Learning. Building Data Engineering Knowledge. </w:t>
            </w:r>
          </w:p>
          <w:p w:rsidR="009D3DB4" w:rsidRDefault="005B054C">
            <w:pPr>
              <w:numPr>
                <w:ilvl w:val="0"/>
                <w:numId w:val="34"/>
              </w:numPr>
              <w:spacing w:after="18" w:line="259" w:lineRule="auto"/>
              <w:ind w:hanging="360"/>
            </w:pPr>
            <w:r>
              <w:rPr>
                <w:sz w:val="22"/>
              </w:rPr>
              <w:t xml:space="preserve">Policy Driven Change: </w:t>
            </w:r>
            <w:proofErr w:type="spellStart"/>
            <w:r>
              <w:rPr>
                <w:sz w:val="22"/>
              </w:rPr>
              <w:t>CbC</w:t>
            </w:r>
            <w:proofErr w:type="spellEnd"/>
            <w:r>
              <w:rPr>
                <w:sz w:val="22"/>
              </w:rPr>
              <w:t xml:space="preserve"> </w:t>
            </w:r>
          </w:p>
          <w:p w:rsidR="009D3DB4" w:rsidRDefault="005B054C">
            <w:pPr>
              <w:numPr>
                <w:ilvl w:val="0"/>
                <w:numId w:val="34"/>
              </w:numPr>
              <w:spacing w:after="20" w:line="259" w:lineRule="auto"/>
              <w:ind w:hanging="360"/>
            </w:pPr>
            <w:r>
              <w:rPr>
                <w:sz w:val="22"/>
              </w:rPr>
              <w:t xml:space="preserve">Customs Transformation: CDS then BSP </w:t>
            </w:r>
          </w:p>
          <w:p w:rsidR="009D3DB4" w:rsidRDefault="005B054C">
            <w:pPr>
              <w:numPr>
                <w:ilvl w:val="0"/>
                <w:numId w:val="34"/>
              </w:numPr>
              <w:spacing w:after="0" w:line="275" w:lineRule="auto"/>
              <w:ind w:hanging="360"/>
            </w:pPr>
            <w:r>
              <w:rPr>
                <w:sz w:val="22"/>
              </w:rPr>
              <w:t xml:space="preserve">Columbus Programme; Building DEDG, Interim Management, DevOps Capability, Service delivery and Transformation  </w:t>
            </w:r>
          </w:p>
          <w:p w:rsidR="009D3DB4" w:rsidRDefault="005B054C">
            <w:pPr>
              <w:spacing w:after="0" w:line="259" w:lineRule="auto"/>
              <w:ind w:left="0" w:firstLine="0"/>
            </w:pPr>
            <w:r>
              <w:t xml:space="preserve"> </w:t>
            </w:r>
          </w:p>
        </w:tc>
      </w:tr>
    </w:tbl>
    <w:p w:rsidR="009D3DB4" w:rsidRDefault="005B054C">
      <w:pPr>
        <w:spacing w:after="0" w:line="259" w:lineRule="auto"/>
        <w:ind w:left="0" w:firstLine="0"/>
        <w:jc w:val="both"/>
      </w:pPr>
      <w:r>
        <w:t xml:space="preserve"> </w:t>
      </w:r>
    </w:p>
    <w:tbl>
      <w:tblPr>
        <w:tblStyle w:val="TableGrid"/>
        <w:tblW w:w="10536" w:type="dxa"/>
        <w:tblInd w:w="600" w:type="dxa"/>
        <w:tblCellMar>
          <w:top w:w="120" w:type="dxa"/>
          <w:left w:w="110" w:type="dxa"/>
          <w:bottom w:w="21" w:type="dxa"/>
          <w:right w:w="115" w:type="dxa"/>
        </w:tblCellMar>
        <w:tblLook w:val="04A0" w:firstRow="1" w:lastRow="0" w:firstColumn="1" w:lastColumn="0" w:noHBand="0" w:noVBand="1"/>
      </w:tblPr>
      <w:tblGrid>
        <w:gridCol w:w="2634"/>
        <w:gridCol w:w="7902"/>
      </w:tblGrid>
      <w:tr w:rsidR="009D3DB4">
        <w:trPr>
          <w:trHeight w:val="622"/>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5" w:firstLine="0"/>
            </w:pPr>
            <w:r>
              <w:t xml:space="preserve"> </w:t>
            </w:r>
          </w:p>
        </w:tc>
      </w:tr>
      <w:tr w:rsidR="009D3DB4">
        <w:trPr>
          <w:trHeight w:val="1157"/>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rPr>
                <w:b/>
              </w:rPr>
              <w:t xml:space="preserve">Additional services: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5" w:firstLine="0"/>
            </w:pPr>
            <w:r>
              <w:t xml:space="preserve"> NOT REQUIRED. </w:t>
            </w:r>
          </w:p>
        </w:tc>
      </w:tr>
      <w:tr w:rsidR="009D3DB4">
        <w:trPr>
          <w:trHeight w:val="3478"/>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rPr>
                <w:b/>
              </w:rPr>
              <w:lastRenderedPageBreak/>
              <w:t xml:space="preserve">Location: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9D3DB4" w:rsidRDefault="005B054C">
            <w:pPr>
              <w:spacing w:after="0" w:line="259" w:lineRule="auto"/>
              <w:ind w:left="0" w:firstLine="0"/>
            </w:pPr>
            <w:r>
              <w:t xml:space="preserve">The Services will be delivered at HMRC premises in the following locations: </w:t>
            </w:r>
          </w:p>
          <w:p w:rsidR="009D3DB4" w:rsidRDefault="005B054C">
            <w:pPr>
              <w:spacing w:after="0" w:line="259" w:lineRule="auto"/>
              <w:ind w:left="725" w:firstLine="0"/>
            </w:pPr>
            <w:r>
              <w:rPr>
                <w:color w:val="00B050"/>
              </w:rPr>
              <w:t xml:space="preserve"> </w:t>
            </w:r>
          </w:p>
          <w:p w:rsidR="009D3DB4" w:rsidRDefault="005B054C">
            <w:pPr>
              <w:spacing w:after="0" w:line="259" w:lineRule="auto"/>
              <w:ind w:left="0" w:firstLine="0"/>
            </w:pPr>
            <w:r>
              <w:t xml:space="preserve">London  </w:t>
            </w:r>
          </w:p>
          <w:p w:rsidR="009D3DB4" w:rsidRDefault="005B054C">
            <w:pPr>
              <w:spacing w:after="2" w:line="259" w:lineRule="auto"/>
              <w:ind w:left="0" w:firstLine="0"/>
            </w:pPr>
            <w:r>
              <w:t xml:space="preserve">Telford </w:t>
            </w:r>
          </w:p>
          <w:p w:rsidR="009D3DB4" w:rsidRDefault="005B054C">
            <w:pPr>
              <w:spacing w:after="2" w:line="259" w:lineRule="auto"/>
              <w:ind w:left="0" w:firstLine="0"/>
            </w:pPr>
            <w:r>
              <w:t xml:space="preserve">Manchester </w:t>
            </w:r>
          </w:p>
          <w:p w:rsidR="009D3DB4" w:rsidRDefault="005B054C">
            <w:pPr>
              <w:spacing w:after="0" w:line="259" w:lineRule="auto"/>
              <w:ind w:left="5" w:firstLine="0"/>
            </w:pPr>
            <w:r>
              <w:t xml:space="preserve">Southend </w:t>
            </w:r>
          </w:p>
          <w:p w:rsidR="009D3DB4" w:rsidRDefault="005B054C">
            <w:pPr>
              <w:spacing w:after="0" w:line="259" w:lineRule="auto"/>
              <w:ind w:left="0" w:firstLine="0"/>
            </w:pPr>
            <w:r>
              <w:t xml:space="preserve">Shipley </w:t>
            </w:r>
          </w:p>
          <w:p w:rsidR="009D3DB4" w:rsidRDefault="005B054C">
            <w:pPr>
              <w:spacing w:after="0" w:line="259" w:lineRule="auto"/>
              <w:ind w:left="0" w:firstLine="0"/>
            </w:pPr>
            <w:r>
              <w:t xml:space="preserve">Woking </w:t>
            </w:r>
          </w:p>
          <w:p w:rsidR="009D3DB4" w:rsidRDefault="005B054C">
            <w:pPr>
              <w:spacing w:after="0" w:line="259" w:lineRule="auto"/>
              <w:ind w:left="5" w:firstLine="0"/>
            </w:pPr>
            <w:r>
              <w:t xml:space="preserve"> </w:t>
            </w:r>
          </w:p>
          <w:p w:rsidR="009D3DB4" w:rsidRDefault="005B054C">
            <w:pPr>
              <w:spacing w:after="84" w:line="259" w:lineRule="auto"/>
              <w:ind w:left="5" w:firstLine="0"/>
            </w:pPr>
            <w:r>
              <w:t xml:space="preserve">This may be complemented by delivery at Equal Experts offices in London and Manchester , including: </w:t>
            </w:r>
          </w:p>
          <w:p w:rsidR="009D3DB4" w:rsidRDefault="005B054C">
            <w:pPr>
              <w:spacing w:after="97" w:line="259" w:lineRule="auto"/>
              <w:ind w:left="5" w:firstLine="0"/>
            </w:pPr>
            <w:r>
              <w:t xml:space="preserve"> </w:t>
            </w:r>
          </w:p>
          <w:p w:rsidR="009D3DB4" w:rsidRDefault="005B054C">
            <w:pPr>
              <w:tabs>
                <w:tab w:val="center" w:pos="411"/>
                <w:tab w:val="center" w:pos="2968"/>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25 </w:t>
            </w:r>
            <w:proofErr w:type="spellStart"/>
            <w:r>
              <w:t>Lavington</w:t>
            </w:r>
            <w:proofErr w:type="spellEnd"/>
            <w:r>
              <w:t xml:space="preserve"> Street, Southwark, London, SE1 0NZ </w:t>
            </w:r>
          </w:p>
        </w:tc>
      </w:tr>
    </w:tbl>
    <w:p w:rsidR="009D3DB4" w:rsidRDefault="009D3DB4">
      <w:pPr>
        <w:spacing w:after="0" w:line="259" w:lineRule="auto"/>
        <w:ind w:left="0" w:right="102" w:firstLine="0"/>
      </w:pPr>
    </w:p>
    <w:tbl>
      <w:tblPr>
        <w:tblStyle w:val="TableGrid"/>
        <w:tblW w:w="10536" w:type="dxa"/>
        <w:tblInd w:w="600" w:type="dxa"/>
        <w:tblCellMar>
          <w:top w:w="120" w:type="dxa"/>
          <w:left w:w="110" w:type="dxa"/>
          <w:right w:w="60" w:type="dxa"/>
        </w:tblCellMar>
        <w:tblLook w:val="04A0" w:firstRow="1" w:lastRow="0" w:firstColumn="1" w:lastColumn="0" w:noHBand="0" w:noVBand="1"/>
      </w:tblPr>
      <w:tblGrid>
        <w:gridCol w:w="2634"/>
        <w:gridCol w:w="7902"/>
      </w:tblGrid>
      <w:tr w:rsidR="009D3DB4">
        <w:trPr>
          <w:trHeight w:val="1548"/>
        </w:trPr>
        <w:tc>
          <w:tcPr>
            <w:tcW w:w="2634" w:type="dxa"/>
            <w:tcBorders>
              <w:top w:val="single" w:sz="6" w:space="0" w:color="000000"/>
              <w:left w:val="single" w:sz="6" w:space="0" w:color="000000"/>
              <w:bottom w:val="single" w:sz="6" w:space="0" w:color="000000"/>
              <w:right w:val="single" w:sz="6" w:space="0" w:color="000000"/>
            </w:tcBorders>
          </w:tcPr>
          <w:p w:rsidR="009D3DB4" w:rsidRDefault="009D3DB4">
            <w:pPr>
              <w:spacing w:after="160" w:line="259" w:lineRule="auto"/>
              <w:ind w:left="0" w:firstLine="0"/>
            </w:pP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tabs>
                <w:tab w:val="center" w:pos="411"/>
                <w:tab w:val="center" w:pos="344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Central Working, 231 – 233 </w:t>
            </w:r>
            <w:proofErr w:type="spellStart"/>
            <w:r>
              <w:t>Deansgate</w:t>
            </w:r>
            <w:proofErr w:type="spellEnd"/>
            <w:r>
              <w:t xml:space="preserve">, Manchester, M3 4EB </w:t>
            </w:r>
          </w:p>
          <w:p w:rsidR="009D3DB4" w:rsidRDefault="005B054C">
            <w:pPr>
              <w:spacing w:after="0" w:line="259" w:lineRule="auto"/>
              <w:ind w:left="5" w:firstLine="0"/>
            </w:pPr>
            <w:r>
              <w:t xml:space="preserve"> </w:t>
            </w:r>
          </w:p>
        </w:tc>
      </w:tr>
      <w:tr w:rsidR="009D3DB4">
        <w:trPr>
          <w:trHeight w:val="1121"/>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rPr>
                <w:b/>
              </w:rPr>
              <w:t xml:space="preserve">Quality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t xml:space="preserve">The quality standards required for this Call-Off Contract are: </w:t>
            </w:r>
          </w:p>
          <w:p w:rsidR="009D3DB4" w:rsidRDefault="005B054C">
            <w:pPr>
              <w:spacing w:after="2" w:line="259" w:lineRule="auto"/>
              <w:ind w:left="5" w:firstLine="0"/>
            </w:pPr>
            <w:r>
              <w:t xml:space="preserve"> </w:t>
            </w:r>
          </w:p>
          <w:p w:rsidR="009D3DB4" w:rsidRDefault="005B054C">
            <w:pPr>
              <w:spacing w:after="0" w:line="259" w:lineRule="auto"/>
              <w:ind w:left="5" w:firstLine="0"/>
            </w:pPr>
            <w:r>
              <w:t xml:space="preserve">Included in </w:t>
            </w:r>
            <w:proofErr w:type="spellStart"/>
            <w:r>
              <w:t>SoW</w:t>
            </w:r>
            <w:proofErr w:type="spellEnd"/>
            <w:r>
              <w:t xml:space="preserve"> </w:t>
            </w:r>
          </w:p>
          <w:p w:rsidR="009D3DB4" w:rsidRDefault="005B054C">
            <w:pPr>
              <w:spacing w:after="0" w:line="259" w:lineRule="auto"/>
              <w:ind w:left="720" w:firstLine="0"/>
            </w:pPr>
            <w:r>
              <w:t xml:space="preserve"> </w:t>
            </w:r>
          </w:p>
        </w:tc>
      </w:tr>
      <w:tr w:rsidR="009D3DB4">
        <w:trPr>
          <w:trHeight w:val="107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rPr>
                <w:b/>
              </w:rPr>
              <w:t xml:space="preserve">Technical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81" w:line="259" w:lineRule="auto"/>
              <w:ind w:left="5" w:firstLine="0"/>
            </w:pPr>
            <w:r>
              <w:t xml:space="preserve">The technical standards required for this Call-Off Contract are: </w:t>
            </w:r>
          </w:p>
          <w:p w:rsidR="009D3DB4" w:rsidRDefault="005B054C">
            <w:pPr>
              <w:spacing w:after="0" w:line="259" w:lineRule="auto"/>
              <w:ind w:left="5" w:firstLine="0"/>
            </w:pPr>
            <w:r>
              <w:t xml:space="preserve">Included in </w:t>
            </w:r>
            <w:proofErr w:type="spellStart"/>
            <w:r>
              <w:t>SoW</w:t>
            </w:r>
            <w:proofErr w:type="spellEnd"/>
            <w:r>
              <w:t xml:space="preserve"> </w:t>
            </w:r>
          </w:p>
        </w:tc>
      </w:tr>
      <w:tr w:rsidR="009D3DB4">
        <w:trPr>
          <w:trHeight w:val="4606"/>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rPr>
                <w:b/>
              </w:rPr>
              <w:t xml:space="preserve">Service level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237" w:line="259" w:lineRule="auto"/>
              <w:ind w:left="0" w:firstLine="0"/>
            </w:pPr>
            <w:r>
              <w:t xml:space="preserve"> The service level and availability criteria required for this Call-Off Contract are: </w:t>
            </w:r>
          </w:p>
          <w:p w:rsidR="009D3DB4" w:rsidRDefault="005B054C">
            <w:pPr>
              <w:spacing w:after="223" w:line="272" w:lineRule="auto"/>
              <w:ind w:left="10" w:hanging="10"/>
            </w:pPr>
            <w:r>
              <w:t xml:space="preserve">The supplier will deliver </w:t>
            </w:r>
            <w:proofErr w:type="spellStart"/>
            <w:r>
              <w:t>SoW’s</w:t>
            </w:r>
            <w:proofErr w:type="spellEnd"/>
            <w:r>
              <w:t xml:space="preserve"> through monthly iterations on time, to the required quality and technical standards agreed at iteration planning stage. At the end of each iteration there will be a review to ensure the </w:t>
            </w:r>
            <w:proofErr w:type="spellStart"/>
            <w:r>
              <w:t>SoW</w:t>
            </w:r>
            <w:proofErr w:type="spellEnd"/>
            <w:r>
              <w:t xml:space="preserve"> has been delivered to the agreed standard. </w:t>
            </w:r>
          </w:p>
          <w:p w:rsidR="009D3DB4" w:rsidRDefault="005B054C">
            <w:pPr>
              <w:spacing w:after="221" w:line="274" w:lineRule="auto"/>
              <w:ind w:left="10" w:hanging="10"/>
            </w:pPr>
            <w:r>
              <w:t xml:space="preserve"> The supplier will provide performance stats for each monthly iteration highlighting exceptions and issues relating to delivery. </w:t>
            </w:r>
          </w:p>
          <w:p w:rsidR="009D3DB4" w:rsidRDefault="005B054C">
            <w:pPr>
              <w:spacing w:after="223" w:line="272" w:lineRule="auto"/>
              <w:ind w:left="10" w:hanging="10"/>
            </w:pPr>
            <w:r>
              <w:t xml:space="preserve">Any dependencies that will affect the delivery of a particular iteration's commitments will be raised either in the planning stage or in a timely manner before the iteration is complete. </w:t>
            </w:r>
          </w:p>
          <w:p w:rsidR="009D3DB4" w:rsidRDefault="005B054C">
            <w:pPr>
              <w:spacing w:after="223" w:line="272" w:lineRule="auto"/>
              <w:ind w:left="10" w:hanging="10"/>
            </w:pPr>
            <w:r>
              <w:t xml:space="preserve"> The supplier will provide an </w:t>
            </w:r>
            <w:proofErr w:type="spellStart"/>
            <w:r>
              <w:t>on site</w:t>
            </w:r>
            <w:proofErr w:type="spellEnd"/>
            <w:r>
              <w:t xml:space="preserve"> engagement lead to manage delivery, reporting and communications. </w:t>
            </w:r>
          </w:p>
          <w:p w:rsidR="009D3DB4" w:rsidRDefault="005B054C">
            <w:pPr>
              <w:spacing w:after="0" w:line="259" w:lineRule="auto"/>
              <w:ind w:left="0" w:firstLine="0"/>
            </w:pPr>
            <w:r>
              <w:t xml:space="preserve"> </w:t>
            </w:r>
          </w:p>
        </w:tc>
      </w:tr>
      <w:tr w:rsidR="009D3DB4">
        <w:trPr>
          <w:trHeight w:val="2374"/>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proofErr w:type="spellStart"/>
            <w:r>
              <w:rPr>
                <w:b/>
              </w:rPr>
              <w:lastRenderedPageBreak/>
              <w:t>Onboarding</w:t>
            </w:r>
            <w:proofErr w:type="spellEnd"/>
            <w:r>
              <w:rPr>
                <w:b/>
              </w:rPr>
              <w:t xml:space="preserve">: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125" w:line="259" w:lineRule="auto"/>
              <w:ind w:left="5" w:firstLine="0"/>
            </w:pPr>
            <w:r>
              <w:t xml:space="preserve">The </w:t>
            </w:r>
            <w:proofErr w:type="spellStart"/>
            <w:r>
              <w:t>onboarding</w:t>
            </w:r>
            <w:proofErr w:type="spellEnd"/>
            <w:r>
              <w:t xml:space="preserve"> plan for this Call-Off Contract to include the following: </w:t>
            </w:r>
          </w:p>
          <w:p w:rsidR="009D3DB4" w:rsidRDefault="005B054C">
            <w:pPr>
              <w:numPr>
                <w:ilvl w:val="0"/>
                <w:numId w:val="35"/>
              </w:numPr>
              <w:spacing w:after="6" w:line="268" w:lineRule="auto"/>
              <w:ind w:hanging="360"/>
            </w:pPr>
            <w:r>
              <w:t xml:space="preserve">Supplier and Client will meet to discuss services required, expected deliverables and ways of working. </w:t>
            </w:r>
          </w:p>
          <w:p w:rsidR="009D3DB4" w:rsidRDefault="005B054C">
            <w:pPr>
              <w:numPr>
                <w:ilvl w:val="0"/>
                <w:numId w:val="35"/>
              </w:numPr>
              <w:spacing w:after="14" w:line="262" w:lineRule="auto"/>
              <w:ind w:hanging="360"/>
            </w:pPr>
            <w:r>
              <w:t xml:space="preserve">The supplier will select suitably qualified and experienced staff to deliver the service and will ensure the relevant security checks i.e. BPSS as a minimum are completed prior to arrival on site. </w:t>
            </w:r>
          </w:p>
          <w:p w:rsidR="009D3DB4" w:rsidRDefault="005B054C">
            <w:pPr>
              <w:numPr>
                <w:ilvl w:val="0"/>
                <w:numId w:val="35"/>
              </w:numPr>
              <w:spacing w:after="0" w:line="259" w:lineRule="auto"/>
              <w:ind w:hanging="360"/>
            </w:pPr>
            <w:r>
              <w:t xml:space="preserve">The supplier may substitute staff at any point providing the replacement staff are equally qualified/experienced,  </w:t>
            </w:r>
          </w:p>
        </w:tc>
      </w:tr>
      <w:tr w:rsidR="009D3DB4">
        <w:trPr>
          <w:trHeight w:val="1481"/>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proofErr w:type="spellStart"/>
            <w:r>
              <w:rPr>
                <w:b/>
              </w:rPr>
              <w:t>Offboarding</w:t>
            </w:r>
            <w:proofErr w:type="spellEnd"/>
            <w:r>
              <w:rPr>
                <w:b/>
              </w:rPr>
              <w:t xml:space="preserve">: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128" w:line="259" w:lineRule="auto"/>
              <w:ind w:left="5" w:firstLine="0"/>
            </w:pPr>
            <w:r>
              <w:t xml:space="preserve">The </w:t>
            </w:r>
            <w:proofErr w:type="spellStart"/>
            <w:r>
              <w:t>offboarding</w:t>
            </w:r>
            <w:proofErr w:type="spellEnd"/>
            <w:r>
              <w:t xml:space="preserve"> plan for this Call-Off Contract to include the following: </w:t>
            </w:r>
          </w:p>
          <w:p w:rsidR="009D3DB4" w:rsidRDefault="005B054C">
            <w:pPr>
              <w:numPr>
                <w:ilvl w:val="0"/>
                <w:numId w:val="36"/>
              </w:numPr>
              <w:spacing w:after="0" w:line="259" w:lineRule="auto"/>
              <w:ind w:hanging="360"/>
            </w:pPr>
            <w:r>
              <w:t xml:space="preserve">Supplier to provide appropriate documentation for all deliverables. </w:t>
            </w:r>
          </w:p>
          <w:p w:rsidR="009D3DB4" w:rsidRDefault="005B054C">
            <w:pPr>
              <w:numPr>
                <w:ilvl w:val="0"/>
                <w:numId w:val="36"/>
              </w:numPr>
              <w:spacing w:after="78" w:line="259" w:lineRule="auto"/>
              <w:ind w:hanging="360"/>
            </w:pPr>
            <w:r>
              <w:t xml:space="preserve">A comprehensive handover will be delivered. </w:t>
            </w:r>
          </w:p>
          <w:p w:rsidR="009D3DB4" w:rsidRDefault="005B054C">
            <w:pPr>
              <w:spacing w:after="0" w:line="259" w:lineRule="auto"/>
              <w:ind w:left="5" w:firstLine="0"/>
            </w:pPr>
            <w:r>
              <w:t xml:space="preserve">  </w:t>
            </w:r>
          </w:p>
        </w:tc>
      </w:tr>
      <w:tr w:rsidR="009D3DB4">
        <w:trPr>
          <w:trHeight w:val="131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right="41" w:firstLine="0"/>
            </w:pPr>
            <w:r>
              <w:rPr>
                <w:b/>
              </w:rPr>
              <w:t xml:space="preserve">Collaboration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t xml:space="preserve">NOT USED.  </w:t>
            </w:r>
          </w:p>
        </w:tc>
      </w:tr>
    </w:tbl>
    <w:p w:rsidR="009D3DB4" w:rsidRDefault="009D3DB4">
      <w:pPr>
        <w:spacing w:after="0" w:line="259" w:lineRule="auto"/>
        <w:ind w:left="0" w:right="102" w:firstLine="0"/>
      </w:pPr>
    </w:p>
    <w:tbl>
      <w:tblPr>
        <w:tblStyle w:val="TableGrid"/>
        <w:tblW w:w="10536" w:type="dxa"/>
        <w:tblInd w:w="600" w:type="dxa"/>
        <w:tblCellMar>
          <w:top w:w="122" w:type="dxa"/>
          <w:left w:w="103" w:type="dxa"/>
          <w:right w:w="17" w:type="dxa"/>
        </w:tblCellMar>
        <w:tblLook w:val="04A0" w:firstRow="1" w:lastRow="0" w:firstColumn="1" w:lastColumn="0" w:noHBand="0" w:noVBand="1"/>
      </w:tblPr>
      <w:tblGrid>
        <w:gridCol w:w="2634"/>
        <w:gridCol w:w="7902"/>
      </w:tblGrid>
      <w:tr w:rsidR="009D3DB4">
        <w:trPr>
          <w:trHeight w:val="3584"/>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rPr>
                <w:b/>
              </w:rPr>
              <w:t xml:space="preserve">Limit on Parties’ liability: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2" w:line="362" w:lineRule="auto"/>
              <w:ind w:left="12" w:hanging="12"/>
              <w:jc w:val="both"/>
            </w:pPr>
            <w:r>
              <w:t xml:space="preserve">The annual total liability of either Party for all Property defaults will not exceed 125% of the Charges payable by the Buyer to the Supplier during the Call-Off Contract term.   </w:t>
            </w:r>
          </w:p>
          <w:p w:rsidR="009D3DB4" w:rsidRDefault="005B054C">
            <w:pPr>
              <w:spacing w:after="113" w:line="251" w:lineRule="auto"/>
              <w:ind w:left="12" w:hanging="12"/>
            </w:pPr>
            <w:r>
              <w:t>The annual total liability for Buyer Data defaults will not exceed 125% of the Charges payable by the Buyer to the Supplier during the Call-</w:t>
            </w:r>
            <w:proofErr w:type="gramStart"/>
            <w:r>
              <w:t>Off  Contract</w:t>
            </w:r>
            <w:proofErr w:type="gramEnd"/>
            <w:r>
              <w:t xml:space="preserve"> Term. </w:t>
            </w:r>
          </w:p>
          <w:p w:rsidR="009D3DB4" w:rsidRDefault="005B054C">
            <w:pPr>
              <w:spacing w:after="0" w:line="365" w:lineRule="auto"/>
              <w:ind w:left="12" w:hanging="12"/>
            </w:pPr>
            <w:r>
              <w:t xml:space="preserve">The annual total liability for all other defaults will not exceed 125% of the Charges payable by the Buyer to the Supplier during </w:t>
            </w:r>
            <w:proofErr w:type="gramStart"/>
            <w:r>
              <w:t>the  Call</w:t>
            </w:r>
            <w:proofErr w:type="gramEnd"/>
            <w:r>
              <w:t xml:space="preserve">-Off Contract Term.  </w:t>
            </w:r>
          </w:p>
          <w:p w:rsidR="009D3DB4" w:rsidRDefault="005B054C">
            <w:pPr>
              <w:spacing w:after="0" w:line="259" w:lineRule="auto"/>
              <w:ind w:left="12" w:firstLine="0"/>
            </w:pPr>
            <w:r>
              <w:t xml:space="preserve"> </w:t>
            </w:r>
          </w:p>
        </w:tc>
      </w:tr>
      <w:tr w:rsidR="009D3DB4">
        <w:trPr>
          <w:trHeight w:val="3147"/>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rPr>
                <w:b/>
              </w:rPr>
              <w:t xml:space="preserve">Insurance: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15" w:line="259" w:lineRule="auto"/>
              <w:ind w:left="12" w:firstLine="0"/>
            </w:pPr>
            <w:r>
              <w:t xml:space="preserve">The insurance(s) required will be:  </w:t>
            </w:r>
          </w:p>
          <w:p w:rsidR="009D3DB4" w:rsidRDefault="005B054C">
            <w:pPr>
              <w:numPr>
                <w:ilvl w:val="0"/>
                <w:numId w:val="37"/>
              </w:numPr>
              <w:spacing w:after="1" w:line="261" w:lineRule="auto"/>
              <w:ind w:right="18" w:hanging="360"/>
            </w:pPr>
            <w:r>
              <w:t xml:space="preserve">a minimum insurance period of 6 years following the expiration or Ending of this Call-Off Contract </w:t>
            </w:r>
          </w:p>
          <w:p w:rsidR="009D3DB4" w:rsidRDefault="005B054C">
            <w:pPr>
              <w:spacing w:after="15" w:line="259" w:lineRule="auto"/>
              <w:ind w:left="732" w:firstLine="0"/>
            </w:pPr>
            <w:r>
              <w:t xml:space="preserve"> </w:t>
            </w:r>
          </w:p>
          <w:p w:rsidR="009D3DB4" w:rsidRDefault="005B054C">
            <w:pPr>
              <w:numPr>
                <w:ilvl w:val="0"/>
                <w:numId w:val="37"/>
              </w:numPr>
              <w:spacing w:after="0" w:line="262" w:lineRule="auto"/>
              <w:ind w:right="18" w:hanging="360"/>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9D3DB4" w:rsidRDefault="005B054C">
            <w:pPr>
              <w:spacing w:after="15" w:line="259" w:lineRule="auto"/>
              <w:ind w:left="12" w:firstLine="0"/>
            </w:pPr>
            <w:r>
              <w:t xml:space="preserve"> </w:t>
            </w:r>
          </w:p>
          <w:p w:rsidR="009D3DB4" w:rsidRDefault="005B054C">
            <w:pPr>
              <w:numPr>
                <w:ilvl w:val="0"/>
                <w:numId w:val="37"/>
              </w:numPr>
              <w:spacing w:after="0" w:line="259" w:lineRule="auto"/>
              <w:ind w:right="18" w:hanging="360"/>
            </w:pPr>
            <w:r>
              <w:t xml:space="preserve">Employers' liability insurance with a minimum limit of £5,000,000 or any higher minimum limit as required by law from time to time. </w:t>
            </w:r>
          </w:p>
        </w:tc>
      </w:tr>
      <w:tr w:rsidR="009D3DB4">
        <w:trPr>
          <w:trHeight w:val="83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rPr>
                <w:b/>
              </w:rPr>
              <w:t xml:space="preserve">Force majeure: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right="50" w:firstLine="0"/>
            </w:pPr>
            <w:r>
              <w:t xml:space="preserve">A Party may End this Call-Off Contract if the Other Party is affected by a Force Majeure Event that lasts for more than 15 consecutive days.  </w:t>
            </w:r>
          </w:p>
        </w:tc>
      </w:tr>
      <w:tr w:rsidR="009D3DB4">
        <w:trPr>
          <w:trHeight w:val="1548"/>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rPr>
                <w:b/>
              </w:rPr>
              <w:lastRenderedPageBreak/>
              <w:t xml:space="preserve">Audit: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99" w:lineRule="auto"/>
              <w:ind w:left="12" w:firstLine="0"/>
            </w:pPr>
            <w:r>
              <w:t xml:space="preserve">The following Framework Agreement audit provisions will be incorporated under clause 2.1 of this Call-Off Contract to enable the Buyer to carry out audits. Clauses 7.4 to 7.13 of the Framework Agreement. </w:t>
            </w:r>
          </w:p>
          <w:p w:rsidR="009D3DB4" w:rsidRDefault="005B054C">
            <w:pPr>
              <w:spacing w:after="0" w:line="259" w:lineRule="auto"/>
              <w:ind w:left="12" w:firstLine="0"/>
            </w:pPr>
            <w:r>
              <w:t xml:space="preserve">  </w:t>
            </w:r>
          </w:p>
        </w:tc>
      </w:tr>
      <w:tr w:rsidR="009D3DB4">
        <w:trPr>
          <w:trHeight w:val="4076"/>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rPr>
                <w:b/>
              </w:rPr>
              <w:t xml:space="preserve">Buyer’s responsibilities: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38" w:line="259" w:lineRule="auto"/>
              <w:ind w:left="12" w:firstLine="0"/>
            </w:pPr>
            <w:r>
              <w:t xml:space="preserve">The Buyer is responsible for: </w:t>
            </w:r>
          </w:p>
          <w:p w:rsidR="009D3DB4" w:rsidRDefault="005B054C">
            <w:pPr>
              <w:spacing w:after="53" w:line="259" w:lineRule="auto"/>
              <w:ind w:left="727" w:firstLine="0"/>
            </w:pPr>
            <w:r>
              <w:t xml:space="preserve"> </w:t>
            </w:r>
          </w:p>
          <w:p w:rsidR="009D3DB4" w:rsidRDefault="005B054C">
            <w:pPr>
              <w:numPr>
                <w:ilvl w:val="0"/>
                <w:numId w:val="38"/>
              </w:numPr>
              <w:spacing w:after="0" w:line="319" w:lineRule="auto"/>
              <w:ind w:hanging="360"/>
            </w:pPr>
            <w:r>
              <w:t xml:space="preserve">Facilitating quarterly contract review meetings. When these are held at HMRC site(s) the Buyer is responsible for providing access and building passes </w:t>
            </w:r>
            <w:proofErr w:type="gramStart"/>
            <w:r>
              <w:t>for  the</w:t>
            </w:r>
            <w:proofErr w:type="gramEnd"/>
            <w:r>
              <w:t xml:space="preserve"> Supplier’s personnel. </w:t>
            </w:r>
          </w:p>
          <w:p w:rsidR="009D3DB4" w:rsidRDefault="005B054C">
            <w:pPr>
              <w:spacing w:after="0" w:line="259" w:lineRule="auto"/>
              <w:ind w:left="727" w:firstLine="0"/>
            </w:pPr>
            <w:r>
              <w:rPr>
                <w:color w:val="00B050"/>
              </w:rPr>
              <w:t xml:space="preserve"> </w:t>
            </w:r>
          </w:p>
          <w:p w:rsidR="009D3DB4" w:rsidRDefault="005B054C">
            <w:pPr>
              <w:numPr>
                <w:ilvl w:val="0"/>
                <w:numId w:val="38"/>
              </w:numPr>
              <w:spacing w:after="0" w:line="246" w:lineRule="auto"/>
              <w:ind w:hanging="360"/>
            </w:pPr>
            <w:r>
              <w:t xml:space="preserve">Applying a change control mechanism to ensure that any changes in requirements and priorities are impacted and properly agreed with the supplier </w:t>
            </w:r>
          </w:p>
          <w:p w:rsidR="009D3DB4" w:rsidRDefault="005B054C">
            <w:pPr>
              <w:spacing w:after="0" w:line="259" w:lineRule="auto"/>
              <w:ind w:left="727" w:firstLine="0"/>
            </w:pPr>
            <w:r>
              <w:t xml:space="preserve"> </w:t>
            </w:r>
          </w:p>
          <w:p w:rsidR="009D3DB4" w:rsidRDefault="005B054C">
            <w:pPr>
              <w:numPr>
                <w:ilvl w:val="0"/>
                <w:numId w:val="38"/>
              </w:numPr>
              <w:spacing w:after="0" w:line="246" w:lineRule="auto"/>
              <w:ind w:hanging="360"/>
            </w:pPr>
            <w:r>
              <w:t xml:space="preserve">Adjusting expected deliverables where necessary during monthly sprints and the delivery of </w:t>
            </w:r>
            <w:proofErr w:type="spellStart"/>
            <w:r>
              <w:t>SoWs</w:t>
            </w:r>
            <w:proofErr w:type="spellEnd"/>
            <w:r>
              <w:t xml:space="preserve">, agreeing these changes with the supplier  </w:t>
            </w:r>
          </w:p>
          <w:p w:rsidR="009D3DB4" w:rsidRDefault="005B054C">
            <w:pPr>
              <w:spacing w:after="0" w:line="259" w:lineRule="auto"/>
              <w:ind w:left="727" w:firstLine="0"/>
            </w:pPr>
            <w:r>
              <w:t xml:space="preserve">  </w:t>
            </w:r>
          </w:p>
          <w:p w:rsidR="009D3DB4" w:rsidRDefault="005B054C">
            <w:pPr>
              <w:numPr>
                <w:ilvl w:val="0"/>
                <w:numId w:val="38"/>
              </w:numPr>
              <w:spacing w:after="0" w:line="306" w:lineRule="auto"/>
              <w:ind w:hanging="360"/>
            </w:pPr>
            <w:r>
              <w:t xml:space="preserve">Assessing and validating the </w:t>
            </w:r>
            <w:proofErr w:type="spellStart"/>
            <w:r>
              <w:t>SoW</w:t>
            </w:r>
            <w:proofErr w:type="spellEnd"/>
            <w:r>
              <w:t xml:space="preserve"> delivery against agreed deliverables and standards at the end of each monthly sprint process </w:t>
            </w:r>
          </w:p>
          <w:p w:rsidR="009D3DB4" w:rsidRDefault="005B054C">
            <w:pPr>
              <w:spacing w:after="0" w:line="259" w:lineRule="auto"/>
              <w:ind w:left="12" w:firstLine="0"/>
            </w:pPr>
            <w:r>
              <w:t xml:space="preserve"> </w:t>
            </w:r>
          </w:p>
        </w:tc>
      </w:tr>
      <w:tr w:rsidR="009D3DB4">
        <w:trPr>
          <w:trHeight w:val="1418"/>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rPr>
                <w:b/>
              </w:rPr>
              <w:t xml:space="preserve">Buyer’s equipment: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2" w:firstLine="0"/>
            </w:pPr>
            <w:r>
              <w:t xml:space="preserve">The only Buyer’s equipment available to be used with this Call-Off Contract is environments and tooling when required. </w:t>
            </w:r>
          </w:p>
        </w:tc>
      </w:tr>
    </w:tbl>
    <w:p w:rsidR="009D3DB4" w:rsidRDefault="005B054C">
      <w:pPr>
        <w:spacing w:after="265" w:line="259" w:lineRule="auto"/>
        <w:ind w:left="708" w:firstLine="0"/>
      </w:pPr>
      <w:r>
        <w:t xml:space="preserve">  </w:t>
      </w:r>
    </w:p>
    <w:p w:rsidR="009D3DB4" w:rsidRDefault="005B054C">
      <w:pPr>
        <w:pStyle w:val="Heading3"/>
        <w:spacing w:after="0"/>
        <w:ind w:left="698"/>
      </w:pPr>
      <w:r>
        <w:t xml:space="preserve">Supplier’s information  </w:t>
      </w:r>
    </w:p>
    <w:tbl>
      <w:tblPr>
        <w:tblStyle w:val="TableGrid"/>
        <w:tblW w:w="10536" w:type="dxa"/>
        <w:tblInd w:w="600" w:type="dxa"/>
        <w:tblCellMar>
          <w:top w:w="123" w:type="dxa"/>
          <w:left w:w="110" w:type="dxa"/>
          <w:right w:w="732" w:type="dxa"/>
        </w:tblCellMar>
        <w:tblLook w:val="04A0" w:firstRow="1" w:lastRow="0" w:firstColumn="1" w:lastColumn="0" w:noHBand="0" w:noVBand="1"/>
      </w:tblPr>
      <w:tblGrid>
        <w:gridCol w:w="2634"/>
        <w:gridCol w:w="7902"/>
      </w:tblGrid>
      <w:tr w:rsidR="009D3DB4">
        <w:trPr>
          <w:trHeight w:val="831"/>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rPr>
                <w:b/>
              </w:rPr>
              <w:t xml:space="preserve">Subcontractors or partners: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2" w:line="259" w:lineRule="auto"/>
              <w:ind w:left="0" w:right="91" w:firstLine="0"/>
              <w:jc w:val="right"/>
            </w:pPr>
            <w:r>
              <w:t xml:space="preserve"> </w:t>
            </w:r>
          </w:p>
          <w:p w:rsidR="009D3DB4" w:rsidRDefault="005B054C">
            <w:pPr>
              <w:spacing w:after="0" w:line="259" w:lineRule="auto"/>
              <w:ind w:left="0" w:firstLine="0"/>
            </w:pPr>
            <w:r>
              <w:t xml:space="preserve">NOT USED. </w:t>
            </w:r>
          </w:p>
        </w:tc>
      </w:tr>
    </w:tbl>
    <w:p w:rsidR="009D3DB4" w:rsidRDefault="005B054C">
      <w:pPr>
        <w:spacing w:after="230" w:line="259" w:lineRule="auto"/>
        <w:ind w:left="708" w:firstLine="0"/>
      </w:pPr>
      <w:r>
        <w:t xml:space="preserve">  </w:t>
      </w:r>
    </w:p>
    <w:p w:rsidR="009D3DB4" w:rsidRDefault="005B054C">
      <w:pPr>
        <w:pStyle w:val="Heading3"/>
        <w:ind w:left="698"/>
      </w:pPr>
      <w:r>
        <w:t xml:space="preserve">Call-Off Contract charges and payment  </w:t>
      </w:r>
    </w:p>
    <w:p w:rsidR="009D3DB4" w:rsidRDefault="005B054C">
      <w:pPr>
        <w:spacing w:after="0"/>
        <w:ind w:right="5"/>
      </w:pPr>
      <w:r>
        <w:t xml:space="preserve">The Call-Off Contract charges and payment details are in the table below. See Schedule 2 for a full breakdown.  </w:t>
      </w:r>
    </w:p>
    <w:tbl>
      <w:tblPr>
        <w:tblStyle w:val="TableGrid"/>
        <w:tblW w:w="10536" w:type="dxa"/>
        <w:tblInd w:w="600" w:type="dxa"/>
        <w:tblCellMar>
          <w:top w:w="120" w:type="dxa"/>
          <w:left w:w="115" w:type="dxa"/>
          <w:right w:w="86" w:type="dxa"/>
        </w:tblCellMar>
        <w:tblLook w:val="04A0" w:firstRow="1" w:lastRow="0" w:firstColumn="1" w:lastColumn="0" w:noHBand="0" w:noVBand="1"/>
      </w:tblPr>
      <w:tblGrid>
        <w:gridCol w:w="2634"/>
        <w:gridCol w:w="7902"/>
      </w:tblGrid>
      <w:tr w:rsidR="009D3DB4">
        <w:trPr>
          <w:trHeight w:val="59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Payment method :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payment method for this Call-Off Contract is BACS </w:t>
            </w:r>
          </w:p>
        </w:tc>
      </w:tr>
      <w:tr w:rsidR="009D3DB4">
        <w:trPr>
          <w:trHeight w:val="107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Payment profile: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payment profile for this Call-Off Contract is monthly in arrears.  </w:t>
            </w:r>
          </w:p>
        </w:tc>
      </w:tr>
      <w:tr w:rsidR="009D3DB4">
        <w:trPr>
          <w:trHeight w:val="872"/>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Invoice details: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Supplier will issue electronic invoices monthly in arrears. The Buyer will pay the Supplier within 30 days of receipt of a valid invoice. Invoices will be supplemented with a backing sheet detailing the days worked against each </w:t>
            </w:r>
            <w:proofErr w:type="spellStart"/>
            <w:r>
              <w:t>SoW.</w:t>
            </w:r>
            <w:proofErr w:type="spellEnd"/>
            <w:r>
              <w:t xml:space="preserve"> </w:t>
            </w:r>
          </w:p>
        </w:tc>
      </w:tr>
      <w:tr w:rsidR="009D3DB4">
        <w:trPr>
          <w:trHeight w:val="410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Who and where to send invoices to: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Invoices will be sent to: </w:t>
            </w:r>
            <w:r>
              <w:rPr>
                <w:color w:val="0563C1"/>
                <w:u w:val="single" w:color="0563C1"/>
              </w:rPr>
              <w:t>payments.team@hmrc.gsi.gov.uk</w:t>
            </w:r>
            <w:r>
              <w:t xml:space="preserve"> </w:t>
            </w:r>
          </w:p>
          <w:p w:rsidR="009D3DB4" w:rsidRDefault="005B054C">
            <w:pPr>
              <w:spacing w:after="2" w:line="259" w:lineRule="auto"/>
              <w:ind w:left="0" w:firstLine="0"/>
            </w:pPr>
            <w:r>
              <w:t xml:space="preserve"> </w:t>
            </w:r>
          </w:p>
          <w:p w:rsidR="009D3DB4" w:rsidRDefault="005B054C">
            <w:pPr>
              <w:spacing w:after="0" w:line="259" w:lineRule="auto"/>
              <w:ind w:left="0" w:firstLine="0"/>
            </w:pPr>
            <w:r>
              <w:t xml:space="preserve">Financial Shared Services </w:t>
            </w:r>
          </w:p>
          <w:p w:rsidR="009D3DB4" w:rsidRDefault="005B054C">
            <w:pPr>
              <w:spacing w:after="2" w:line="259" w:lineRule="auto"/>
              <w:ind w:left="0" w:firstLine="0"/>
            </w:pPr>
            <w:r>
              <w:t xml:space="preserve">Account Payable </w:t>
            </w:r>
          </w:p>
          <w:p w:rsidR="009D3DB4" w:rsidRDefault="005B054C">
            <w:pPr>
              <w:spacing w:after="0" w:line="259" w:lineRule="auto"/>
              <w:ind w:left="0" w:firstLine="0"/>
            </w:pPr>
            <w:r>
              <w:t xml:space="preserve">B Spur South Block </w:t>
            </w:r>
          </w:p>
          <w:p w:rsidR="009D3DB4" w:rsidRDefault="005B054C">
            <w:pPr>
              <w:spacing w:after="0" w:line="259" w:lineRule="auto"/>
              <w:ind w:left="0" w:firstLine="0"/>
            </w:pPr>
            <w:r>
              <w:t xml:space="preserve">Barrington Road </w:t>
            </w:r>
          </w:p>
          <w:p w:rsidR="009D3DB4" w:rsidRDefault="005B054C">
            <w:pPr>
              <w:spacing w:after="2" w:line="259" w:lineRule="auto"/>
              <w:ind w:left="0" w:firstLine="0"/>
            </w:pPr>
            <w:r>
              <w:t xml:space="preserve">Worthing </w:t>
            </w:r>
          </w:p>
          <w:p w:rsidR="009D3DB4" w:rsidRDefault="005B054C">
            <w:pPr>
              <w:spacing w:after="0" w:line="259" w:lineRule="auto"/>
              <w:ind w:left="0" w:firstLine="0"/>
            </w:pPr>
            <w:r>
              <w:t xml:space="preserve">West Sussex </w:t>
            </w:r>
          </w:p>
          <w:p w:rsidR="009D3DB4" w:rsidRDefault="005B054C">
            <w:pPr>
              <w:spacing w:after="2" w:line="259" w:lineRule="auto"/>
              <w:ind w:left="0" w:firstLine="0"/>
            </w:pPr>
            <w:r>
              <w:t xml:space="preserve">BN12 4XH </w:t>
            </w:r>
            <w:bookmarkStart w:id="1" w:name="_GoBack"/>
            <w:bookmarkEnd w:id="1"/>
          </w:p>
          <w:p w:rsidR="009D3DB4" w:rsidRDefault="005B054C">
            <w:pPr>
              <w:spacing w:after="0" w:line="259" w:lineRule="auto"/>
              <w:ind w:left="0" w:firstLine="0"/>
            </w:pPr>
            <w:r>
              <w:t xml:space="preserve"> </w:t>
            </w:r>
          </w:p>
          <w:p w:rsidR="009D3DB4" w:rsidRDefault="009D3DB4">
            <w:pPr>
              <w:spacing w:after="2" w:line="259" w:lineRule="auto"/>
              <w:ind w:left="0" w:firstLine="0"/>
            </w:pPr>
          </w:p>
          <w:p w:rsidR="009D3DB4" w:rsidRDefault="005B054C">
            <w:pPr>
              <w:spacing w:after="0" w:line="259" w:lineRule="auto"/>
              <w:ind w:left="0" w:firstLine="0"/>
            </w:pPr>
            <w:r>
              <w:t xml:space="preserve">HMRC </w:t>
            </w:r>
          </w:p>
          <w:p w:rsidR="009D3DB4" w:rsidRDefault="005B054C">
            <w:pPr>
              <w:spacing w:after="0" w:line="259" w:lineRule="auto"/>
              <w:ind w:left="0" w:firstLine="0"/>
            </w:pPr>
            <w:r>
              <w:t xml:space="preserve">Alexander House </w:t>
            </w:r>
          </w:p>
          <w:p w:rsidR="009D3DB4" w:rsidRDefault="005B054C">
            <w:pPr>
              <w:spacing w:after="2" w:line="259" w:lineRule="auto"/>
              <w:ind w:left="0" w:firstLine="0"/>
            </w:pPr>
            <w:r>
              <w:t xml:space="preserve">Southend </w:t>
            </w:r>
          </w:p>
          <w:p w:rsidR="009D3DB4" w:rsidRDefault="005B054C">
            <w:pPr>
              <w:spacing w:after="0" w:line="259" w:lineRule="auto"/>
              <w:ind w:left="0" w:firstLine="0"/>
            </w:pPr>
            <w:r>
              <w:t xml:space="preserve">SS99 1AA </w:t>
            </w:r>
          </w:p>
          <w:p w:rsidR="009D3DB4" w:rsidRDefault="005B054C">
            <w:pPr>
              <w:spacing w:after="0" w:line="259" w:lineRule="auto"/>
              <w:ind w:left="0" w:firstLine="0"/>
            </w:pPr>
            <w:r>
              <w:t xml:space="preserve"> </w:t>
            </w:r>
          </w:p>
        </w:tc>
      </w:tr>
      <w:tr w:rsidR="009D3DB4">
        <w:trPr>
          <w:trHeight w:val="1308"/>
        </w:trPr>
        <w:tc>
          <w:tcPr>
            <w:tcW w:w="2634"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rPr>
                <w:b/>
              </w:rPr>
              <w:t>Invoice information required</w:t>
            </w:r>
            <w:r>
              <w:t xml:space="preserve"> – for example purchase order, project reference: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All invoices must include the purchase/limit order number. </w:t>
            </w:r>
          </w:p>
        </w:tc>
      </w:tr>
      <w:tr w:rsidR="009D3DB4">
        <w:trPr>
          <w:trHeight w:val="590"/>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Invoice frequency: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Invoice and Invoice Support Template will be sent to the Buyer monthly. </w:t>
            </w:r>
          </w:p>
        </w:tc>
      </w:tr>
      <w:tr w:rsidR="009D3DB4">
        <w:trPr>
          <w:trHeight w:val="593"/>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Call-Off Contract value: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total value of this Call-Off Contract is a maximum of £19.8m </w:t>
            </w:r>
          </w:p>
        </w:tc>
      </w:tr>
      <w:tr w:rsidR="009D3DB4">
        <w:trPr>
          <w:trHeight w:val="1309"/>
        </w:trPr>
        <w:tc>
          <w:tcPr>
            <w:tcW w:w="2634"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Call-Off Contract charges: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N/A </w:t>
            </w:r>
          </w:p>
        </w:tc>
      </w:tr>
    </w:tbl>
    <w:p w:rsidR="009D3DB4" w:rsidRDefault="005B054C">
      <w:pPr>
        <w:spacing w:after="0" w:line="259" w:lineRule="auto"/>
        <w:ind w:left="708" w:firstLine="0"/>
      </w:pPr>
      <w:r>
        <w:t xml:space="preserve">  </w:t>
      </w:r>
    </w:p>
    <w:p w:rsidR="009D3DB4" w:rsidRDefault="005B054C">
      <w:pPr>
        <w:pStyle w:val="Heading3"/>
        <w:spacing w:after="0"/>
        <w:ind w:left="698"/>
      </w:pPr>
      <w:r>
        <w:lastRenderedPageBreak/>
        <w:t xml:space="preserve">Additional buyer terms  </w:t>
      </w:r>
    </w:p>
    <w:tbl>
      <w:tblPr>
        <w:tblStyle w:val="TableGrid"/>
        <w:tblW w:w="10906" w:type="dxa"/>
        <w:tblInd w:w="600" w:type="dxa"/>
        <w:tblCellMar>
          <w:top w:w="120" w:type="dxa"/>
          <w:left w:w="113" w:type="dxa"/>
          <w:bottom w:w="11" w:type="dxa"/>
        </w:tblCellMar>
        <w:tblLook w:val="04A0" w:firstRow="1" w:lastRow="0" w:firstColumn="1" w:lastColumn="0" w:noHBand="0" w:noVBand="1"/>
      </w:tblPr>
      <w:tblGrid>
        <w:gridCol w:w="2648"/>
        <w:gridCol w:w="8258"/>
      </w:tblGrid>
      <w:tr w:rsidR="009D3DB4">
        <w:trPr>
          <w:trHeight w:val="5876"/>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Performance of the service and deliverables:  </w:t>
            </w:r>
            <w:r>
              <w:t xml:space="preserve"> </w:t>
            </w:r>
          </w:p>
        </w:tc>
        <w:tc>
          <w:tcPr>
            <w:tcW w:w="8257" w:type="dxa"/>
            <w:tcBorders>
              <w:top w:val="single" w:sz="6" w:space="0" w:color="000000"/>
              <w:left w:val="single" w:sz="6" w:space="0" w:color="000000"/>
              <w:bottom w:val="single" w:sz="6" w:space="0" w:color="000000"/>
              <w:right w:val="single" w:sz="6" w:space="0" w:color="000000"/>
            </w:tcBorders>
            <w:vAlign w:val="bottom"/>
          </w:tcPr>
          <w:p w:rsidR="009D3DB4" w:rsidRDefault="005B054C">
            <w:pPr>
              <w:spacing w:after="0" w:line="242" w:lineRule="auto"/>
              <w:ind w:left="10" w:hanging="10"/>
            </w:pPr>
            <w:r>
              <w:t xml:space="preserve">This Call-Off Contract will be supplemented by Statements of Work which will set out the implementation plan, milestones and specific ways of working of each service item/project.  HMRC will update existing SOW and issue new SOW with the agreement of the supplier during the course of the contract.  All services provided will fall within the original G-Cloud requirement.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 The supplier will: </w:t>
            </w:r>
          </w:p>
          <w:p w:rsidR="009D3DB4" w:rsidRDefault="005B054C">
            <w:pPr>
              <w:spacing w:after="0" w:line="259" w:lineRule="auto"/>
              <w:ind w:left="0" w:firstLine="0"/>
            </w:pPr>
            <w:r>
              <w:t xml:space="preserve"> </w:t>
            </w:r>
          </w:p>
          <w:p w:rsidR="009D3DB4" w:rsidRDefault="005B054C">
            <w:pPr>
              <w:spacing w:after="0" w:line="241" w:lineRule="auto"/>
              <w:ind w:left="10" w:hanging="10"/>
              <w:jc w:val="both"/>
            </w:pPr>
            <w:r>
              <w:t xml:space="preserve">Agree all Statements of Work and cost estimates with HMRC prior to commencement of work. </w:t>
            </w:r>
          </w:p>
          <w:p w:rsidR="009D3DB4" w:rsidRDefault="005B054C">
            <w:pPr>
              <w:spacing w:after="0" w:line="259" w:lineRule="auto"/>
              <w:ind w:left="0" w:firstLine="0"/>
            </w:pPr>
            <w:r>
              <w:t xml:space="preserve"> </w:t>
            </w:r>
          </w:p>
          <w:p w:rsidR="009D3DB4" w:rsidRDefault="005B054C">
            <w:pPr>
              <w:spacing w:after="2" w:line="239" w:lineRule="auto"/>
              <w:ind w:left="10" w:hanging="10"/>
            </w:pPr>
            <w:r>
              <w:t xml:space="preserve">Participate in regular contract review meetings, to be held at least quarterly supplying appropriate performance metrics. </w:t>
            </w:r>
          </w:p>
          <w:p w:rsidR="009D3DB4" w:rsidRDefault="005B054C">
            <w:pPr>
              <w:spacing w:after="0" w:line="259" w:lineRule="auto"/>
              <w:ind w:left="0" w:firstLine="0"/>
            </w:pPr>
            <w:r>
              <w:t xml:space="preserve"> </w:t>
            </w:r>
          </w:p>
          <w:p w:rsidR="009D3DB4" w:rsidRDefault="005B054C">
            <w:pPr>
              <w:spacing w:after="0" w:line="241" w:lineRule="auto"/>
              <w:ind w:left="10" w:hanging="10"/>
              <w:jc w:val="both"/>
            </w:pPr>
            <w:r>
              <w:t xml:space="preserve">Select, supply and substitute, as required, suitably qualified and experienced staff to manage and deliver each service item/project.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Manage the performance and attendance of staff.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Ensure staff complete necessary timesheets to support costs.  </w:t>
            </w:r>
          </w:p>
          <w:p w:rsidR="009D3DB4" w:rsidRDefault="005B054C">
            <w:pPr>
              <w:spacing w:after="0" w:line="259" w:lineRule="auto"/>
              <w:ind w:left="0" w:firstLine="0"/>
            </w:pPr>
            <w:r>
              <w:t xml:space="preserve"> </w:t>
            </w:r>
          </w:p>
          <w:p w:rsidR="009D3DB4" w:rsidRDefault="005B054C">
            <w:pPr>
              <w:spacing w:after="0" w:line="241" w:lineRule="auto"/>
              <w:ind w:left="10" w:hanging="10"/>
            </w:pPr>
            <w:r>
              <w:t xml:space="preserve">Provide coaching, mentoring and knowledge transfer to the in house team as part of the Handover.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This call off is supported by a Statement of Work. </w:t>
            </w:r>
          </w:p>
        </w:tc>
      </w:tr>
      <w:tr w:rsidR="009D3DB4">
        <w:trPr>
          <w:trHeight w:val="1310"/>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Guarantee: </w:t>
            </w:r>
            <w:r>
              <w:t xml:space="preserve"> </w:t>
            </w: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t xml:space="preserve">NOT USED.  </w:t>
            </w:r>
          </w:p>
        </w:tc>
      </w:tr>
      <w:tr w:rsidR="009D3DB4">
        <w:trPr>
          <w:trHeight w:val="1308"/>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Warranties, representations:  </w:t>
            </w:r>
            <w:r>
              <w:t xml:space="preserve"> </w:t>
            </w: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t xml:space="preserve">NOT USED. </w:t>
            </w:r>
          </w:p>
        </w:tc>
      </w:tr>
      <w:tr w:rsidR="009D3DB4">
        <w:trPr>
          <w:trHeight w:val="5900"/>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lastRenderedPageBreak/>
              <w:t xml:space="preserve">Supplemental requirements in addition to the Call-Off terms: </w:t>
            </w:r>
            <w:r>
              <w:t xml:space="preserve"> </w:t>
            </w: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62" w:line="259" w:lineRule="auto"/>
              <w:ind w:left="5" w:right="74" w:firstLine="0"/>
              <w:jc w:val="both"/>
            </w:pPr>
            <w:r>
              <w:t xml:space="preserve">Within the scope of the Call-Off Contract, the Supplier will adhere to the following additional terms: </w:t>
            </w:r>
          </w:p>
          <w:p w:rsidR="009D3DB4" w:rsidRDefault="005B054C">
            <w:pPr>
              <w:numPr>
                <w:ilvl w:val="0"/>
                <w:numId w:val="39"/>
              </w:numPr>
              <w:spacing w:after="74" w:line="259" w:lineRule="auto"/>
              <w:ind w:hanging="166"/>
            </w:pPr>
            <w:r>
              <w:rPr>
                <w:b/>
              </w:rPr>
              <w:t xml:space="preserve">Purchase order mandatory policy </w:t>
            </w:r>
          </w:p>
          <w:p w:rsidR="009D3DB4" w:rsidRDefault="005B054C">
            <w:pPr>
              <w:numPr>
                <w:ilvl w:val="1"/>
                <w:numId w:val="39"/>
              </w:numPr>
              <w:spacing w:after="48" w:line="285" w:lineRule="auto"/>
              <w:ind w:hanging="331"/>
            </w:pPr>
            <w:r>
              <w:t xml:space="preserve">HMRC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HMRC's ERP system or, exceptionally, by any other procedure that has been specifically agreed in writing with HMRC Commercial Directorate. </w:t>
            </w:r>
          </w:p>
          <w:p w:rsidR="009D3DB4" w:rsidRDefault="005B054C">
            <w:pPr>
              <w:numPr>
                <w:ilvl w:val="1"/>
                <w:numId w:val="39"/>
              </w:numPr>
              <w:spacing w:after="63" w:line="272" w:lineRule="auto"/>
              <w:ind w:hanging="331"/>
            </w:pPr>
            <w:r>
              <w:t xml:space="preserve">Any orders that are received by means other than those described in above are not authorized or sanctioned by HMRC and should not be processed by suppliers. </w:t>
            </w:r>
          </w:p>
          <w:p w:rsidR="009D3DB4" w:rsidRDefault="005B054C">
            <w:pPr>
              <w:numPr>
                <w:ilvl w:val="1"/>
                <w:numId w:val="39"/>
              </w:numPr>
              <w:spacing w:after="72" w:line="259" w:lineRule="auto"/>
              <w:ind w:hanging="331"/>
            </w:pPr>
            <w:r>
              <w:t xml:space="preserve">The purchase order mandatory policy applies to HMRC only.  </w:t>
            </w:r>
          </w:p>
          <w:p w:rsidR="009D3DB4" w:rsidRDefault="005B054C">
            <w:pPr>
              <w:spacing w:after="69" w:line="259" w:lineRule="auto"/>
              <w:ind w:left="0" w:firstLine="0"/>
            </w:pPr>
            <w:r>
              <w:t xml:space="preserve"> </w:t>
            </w:r>
          </w:p>
          <w:p w:rsidR="009D3DB4" w:rsidRDefault="005B054C">
            <w:pPr>
              <w:numPr>
                <w:ilvl w:val="0"/>
                <w:numId w:val="39"/>
              </w:numPr>
              <w:spacing w:after="74" w:line="259" w:lineRule="auto"/>
              <w:ind w:hanging="166"/>
            </w:pPr>
            <w:r>
              <w:rPr>
                <w:b/>
              </w:rPr>
              <w:t xml:space="preserve">Purchase order references </w:t>
            </w:r>
          </w:p>
          <w:p w:rsidR="009D3DB4" w:rsidRDefault="005B054C">
            <w:pPr>
              <w:numPr>
                <w:ilvl w:val="1"/>
                <w:numId w:val="39"/>
              </w:numPr>
              <w:spacing w:after="59" w:line="272" w:lineRule="auto"/>
              <w:ind w:hanging="331"/>
            </w:pPr>
            <w:r>
              <w:t xml:space="preserve">Suppliers should ensure that the relevant purchase order reference number is shown on all invoices and other ancillary documentation, such as delivery notes or order acknowledgements. Invoices must include the HMRC purchase order number for them to be processed efficiently. </w:t>
            </w:r>
          </w:p>
          <w:p w:rsidR="009D3DB4" w:rsidRDefault="005B054C">
            <w:pPr>
              <w:numPr>
                <w:ilvl w:val="1"/>
                <w:numId w:val="39"/>
              </w:numPr>
              <w:spacing w:after="0" w:line="259" w:lineRule="auto"/>
              <w:ind w:hanging="331"/>
            </w:pPr>
            <w:r>
              <w:t xml:space="preserve">Failure to comply with the above requirement may result in invoices being returned to suppliers or payments delayed. </w:t>
            </w:r>
          </w:p>
        </w:tc>
      </w:tr>
    </w:tbl>
    <w:p w:rsidR="009D3DB4" w:rsidRDefault="009D3DB4">
      <w:pPr>
        <w:spacing w:after="0" w:line="259" w:lineRule="auto"/>
        <w:ind w:left="0" w:right="11238" w:firstLine="0"/>
      </w:pPr>
    </w:p>
    <w:tbl>
      <w:tblPr>
        <w:tblStyle w:val="TableGrid"/>
        <w:tblW w:w="10906" w:type="dxa"/>
        <w:tblInd w:w="600" w:type="dxa"/>
        <w:tblCellMar>
          <w:top w:w="127" w:type="dxa"/>
          <w:left w:w="113" w:type="dxa"/>
          <w:right w:w="32" w:type="dxa"/>
        </w:tblCellMar>
        <w:tblLook w:val="04A0" w:firstRow="1" w:lastRow="0" w:firstColumn="1" w:lastColumn="0" w:noHBand="0" w:noVBand="1"/>
      </w:tblPr>
      <w:tblGrid>
        <w:gridCol w:w="2648"/>
        <w:gridCol w:w="8258"/>
      </w:tblGrid>
      <w:tr w:rsidR="009D3DB4">
        <w:trPr>
          <w:trHeight w:val="14618"/>
        </w:trPr>
        <w:tc>
          <w:tcPr>
            <w:tcW w:w="2648" w:type="dxa"/>
            <w:tcBorders>
              <w:top w:val="single" w:sz="6" w:space="0" w:color="000000"/>
              <w:left w:val="single" w:sz="6" w:space="0" w:color="000000"/>
              <w:bottom w:val="single" w:sz="6" w:space="0" w:color="000000"/>
              <w:right w:val="single" w:sz="6" w:space="0" w:color="000000"/>
            </w:tcBorders>
          </w:tcPr>
          <w:p w:rsidR="009D3DB4" w:rsidRDefault="009D3DB4">
            <w:pPr>
              <w:spacing w:after="160" w:line="259" w:lineRule="auto"/>
              <w:ind w:left="0" w:firstLine="0"/>
            </w:pP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69" w:line="259" w:lineRule="auto"/>
              <w:ind w:left="0" w:firstLine="0"/>
            </w:pPr>
            <w:r>
              <w:t xml:space="preserve"> </w:t>
            </w:r>
          </w:p>
          <w:p w:rsidR="009D3DB4" w:rsidRDefault="005B054C">
            <w:pPr>
              <w:numPr>
                <w:ilvl w:val="0"/>
                <w:numId w:val="40"/>
              </w:numPr>
              <w:spacing w:after="75" w:line="259" w:lineRule="auto"/>
              <w:ind w:hanging="166"/>
            </w:pPr>
            <w:r>
              <w:rPr>
                <w:b/>
              </w:rPr>
              <w:t xml:space="preserve">Payment of Invoices </w:t>
            </w:r>
          </w:p>
          <w:p w:rsidR="009D3DB4" w:rsidRDefault="005B054C">
            <w:pPr>
              <w:numPr>
                <w:ilvl w:val="1"/>
                <w:numId w:val="40"/>
              </w:numPr>
              <w:spacing w:after="58" w:line="274" w:lineRule="auto"/>
              <w:ind w:hanging="10"/>
            </w:pPr>
            <w:r>
              <w:t xml:space="preserve">The financial systems used by suppliers must be able to accept payment by the Bankers Automated Clearing Service (BACS). </w:t>
            </w:r>
          </w:p>
          <w:p w:rsidR="009D3DB4" w:rsidRDefault="005B054C">
            <w:pPr>
              <w:numPr>
                <w:ilvl w:val="1"/>
                <w:numId w:val="40"/>
              </w:numPr>
              <w:spacing w:after="0" w:line="272" w:lineRule="auto"/>
              <w:ind w:hanging="10"/>
            </w:pPr>
            <w:r>
              <w:t xml:space="preserve">The Supplier will complete and return the attached Invoice Support </w:t>
            </w:r>
            <w:proofErr w:type="spellStart"/>
            <w:r>
              <w:t>SupplierTemplate</w:t>
            </w:r>
            <w:proofErr w:type="spellEnd"/>
            <w:r>
              <w:t xml:space="preserve"> on a monthly basis including all the information for resources providing services to HMRC via the following email address: </w:t>
            </w:r>
            <w:r>
              <w:rPr>
                <w:color w:val="0563C1"/>
                <w:u w:val="single" w:color="0563C1"/>
              </w:rPr>
              <w:t>services.professional@hmrc.gsi.gov.uk</w:t>
            </w:r>
            <w:r>
              <w:t xml:space="preserve">  </w:t>
            </w:r>
          </w:p>
          <w:p w:rsidR="009D3DB4" w:rsidRDefault="005B054C">
            <w:pPr>
              <w:spacing w:after="73" w:line="259" w:lineRule="auto"/>
              <w:ind w:left="507" w:firstLine="0"/>
            </w:pPr>
            <w:r>
              <w:rPr>
                <w:noProof/>
              </w:rPr>
              <w:drawing>
                <wp:inline distT="0" distB="0" distL="0" distR="0">
                  <wp:extent cx="306814" cy="307717"/>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flipV="1">
                            <a:off x="0" y="0"/>
                            <a:ext cx="306814" cy="307717"/>
                          </a:xfrm>
                          <a:prstGeom prst="rect">
                            <a:avLst/>
                          </a:prstGeom>
                        </pic:spPr>
                      </pic:pic>
                    </a:graphicData>
                  </a:graphic>
                </wp:inline>
              </w:drawing>
            </w:r>
          </w:p>
          <w:p w:rsidR="009D3DB4" w:rsidRDefault="005B054C">
            <w:pPr>
              <w:spacing w:after="142" w:line="290" w:lineRule="auto"/>
              <w:ind w:left="0" w:right="6155" w:firstLine="189"/>
              <w:jc w:val="both"/>
            </w:pPr>
            <w:r>
              <w:rPr>
                <w:rFonts w:ascii="Segoe UI" w:eastAsia="Segoe UI" w:hAnsi="Segoe UI" w:cs="Segoe UI"/>
                <w:sz w:val="16"/>
              </w:rPr>
              <w:t xml:space="preserve">170314 Supplier template Invoice </w:t>
            </w:r>
            <w:proofErr w:type="spellStart"/>
            <w:r>
              <w:rPr>
                <w:rFonts w:ascii="Segoe UI" w:eastAsia="Segoe UI" w:hAnsi="Segoe UI" w:cs="Segoe UI"/>
                <w:sz w:val="16"/>
              </w:rPr>
              <w:t>Supp</w:t>
            </w:r>
            <w:proofErr w:type="spellEnd"/>
            <w:r>
              <w:t xml:space="preserve"> </w:t>
            </w:r>
          </w:p>
          <w:p w:rsidR="009D3DB4" w:rsidRDefault="005B054C">
            <w:pPr>
              <w:spacing w:after="69" w:line="259" w:lineRule="auto"/>
              <w:ind w:left="0" w:firstLine="0"/>
            </w:pPr>
            <w:r>
              <w:t xml:space="preserve"> </w:t>
            </w:r>
          </w:p>
          <w:p w:rsidR="009D3DB4" w:rsidRDefault="005B054C">
            <w:pPr>
              <w:numPr>
                <w:ilvl w:val="0"/>
                <w:numId w:val="41"/>
              </w:numPr>
              <w:spacing w:after="111" w:line="259" w:lineRule="auto"/>
              <w:ind w:hanging="166"/>
            </w:pPr>
            <w:r>
              <w:rPr>
                <w:b/>
              </w:rPr>
              <w:t xml:space="preserve">Compliance with Value Added Tax and Other Tax Requirements </w:t>
            </w:r>
          </w:p>
          <w:p w:rsidR="009D3DB4" w:rsidRDefault="005B054C">
            <w:pPr>
              <w:numPr>
                <w:ilvl w:val="1"/>
                <w:numId w:val="41"/>
              </w:numPr>
              <w:spacing w:after="215" w:line="280" w:lineRule="auto"/>
              <w:ind w:hanging="331"/>
            </w:pPr>
            <w:r>
              <w:t xml:space="preserve">The Supplier shall at all times comply with the Value Added Tax Act 1994 and all other statutes relating to direct or indirect taxes </w:t>
            </w:r>
          </w:p>
          <w:p w:rsidR="009D3DB4" w:rsidRDefault="005B054C">
            <w:pPr>
              <w:numPr>
                <w:ilvl w:val="1"/>
                <w:numId w:val="41"/>
              </w:numPr>
              <w:spacing w:after="222" w:line="273" w:lineRule="auto"/>
              <w:ind w:hanging="331"/>
            </w:pPr>
            <w:r>
              <w:t xml:space="preserve">Failure to comply may constitute a material breach of this Call-Off Agreement and the Customer may exercise the rights and provisions conferred by Clause 8.29 (Material breach termination) hereof. </w:t>
            </w:r>
          </w:p>
          <w:p w:rsidR="009D3DB4" w:rsidRDefault="005B054C">
            <w:pPr>
              <w:numPr>
                <w:ilvl w:val="1"/>
                <w:numId w:val="41"/>
              </w:numPr>
              <w:spacing w:after="220" w:line="272" w:lineRule="auto"/>
              <w:ind w:hanging="331"/>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9D3DB4" w:rsidRDefault="005B054C">
            <w:pPr>
              <w:numPr>
                <w:ilvl w:val="0"/>
                <w:numId w:val="41"/>
              </w:numPr>
              <w:spacing w:after="75" w:line="259" w:lineRule="auto"/>
              <w:ind w:hanging="166"/>
            </w:pPr>
            <w:r>
              <w:rPr>
                <w:b/>
              </w:rPr>
              <w:t xml:space="preserve">SPATA </w:t>
            </w:r>
          </w:p>
          <w:p w:rsidR="009D3DB4" w:rsidRDefault="005B054C">
            <w:pPr>
              <w:numPr>
                <w:ilvl w:val="1"/>
                <w:numId w:val="41"/>
              </w:numPr>
              <w:spacing w:after="59" w:line="272" w:lineRule="auto"/>
              <w:ind w:hanging="331"/>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9D3DB4" w:rsidRDefault="005B054C">
            <w:pPr>
              <w:numPr>
                <w:ilvl w:val="1"/>
                <w:numId w:val="41"/>
              </w:numPr>
              <w:spacing w:after="223" w:line="272" w:lineRule="auto"/>
              <w:ind w:hanging="331"/>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9D3DB4" w:rsidRDefault="005B054C">
            <w:pPr>
              <w:numPr>
                <w:ilvl w:val="1"/>
                <w:numId w:val="41"/>
              </w:numPr>
              <w:spacing w:after="222" w:line="273" w:lineRule="auto"/>
              <w:ind w:hanging="331"/>
            </w:pPr>
            <w:r>
              <w:t xml:space="preserve">HMRC may, at any time during the term of this contract, request any personnel engaged in the provision of this contract to provide information which demonstrates how they comply with Clauses 5.1 and 5.2 above or why those Clauses do not apply to it.    </w:t>
            </w:r>
          </w:p>
          <w:p w:rsidR="009D3DB4" w:rsidRDefault="005B054C">
            <w:pPr>
              <w:numPr>
                <w:ilvl w:val="1"/>
                <w:numId w:val="41"/>
              </w:numPr>
              <w:spacing w:after="223" w:line="272" w:lineRule="auto"/>
              <w:ind w:hanging="331"/>
            </w:pPr>
            <w:r>
              <w:t xml:space="preserve">A request under Clause 5.3 above may specify the information which any personnel engaged in the provision of this contract must provide and the period within which that information must be provided.    </w:t>
            </w:r>
          </w:p>
          <w:p w:rsidR="009D3DB4" w:rsidRDefault="005B054C">
            <w:pPr>
              <w:numPr>
                <w:ilvl w:val="1"/>
                <w:numId w:val="41"/>
              </w:numPr>
              <w:spacing w:after="237" w:line="259" w:lineRule="auto"/>
              <w:ind w:hanging="331"/>
            </w:pPr>
            <w:r>
              <w:t xml:space="preserve">HMRC may terminate this contract if-      </w:t>
            </w:r>
          </w:p>
          <w:p w:rsidR="009D3DB4" w:rsidRDefault="005B054C">
            <w:pPr>
              <w:spacing w:after="235" w:line="259" w:lineRule="auto"/>
              <w:ind w:left="0" w:firstLine="0"/>
            </w:pPr>
            <w:r>
              <w:t xml:space="preserve">(a) in the case of a request mentioned in Clause 5.3 above-    </w:t>
            </w:r>
          </w:p>
          <w:p w:rsidR="009D3DB4" w:rsidRDefault="005B054C">
            <w:pPr>
              <w:spacing w:after="0" w:line="259" w:lineRule="auto"/>
              <w:ind w:left="10" w:hanging="10"/>
            </w:pPr>
            <w:r>
              <w:t>(</w:t>
            </w:r>
            <w:proofErr w:type="spellStart"/>
            <w:r>
              <w:t>i</w:t>
            </w:r>
            <w:proofErr w:type="spellEnd"/>
            <w:r>
              <w:t xml:space="preserve">) any personnel engaged in the provision of this contract fails to provide information in response to the request within a reasonable time, or    </w:t>
            </w:r>
          </w:p>
        </w:tc>
      </w:tr>
    </w:tbl>
    <w:p w:rsidR="009D3DB4" w:rsidRDefault="009D3DB4">
      <w:pPr>
        <w:sectPr w:rsidR="009D3DB4">
          <w:headerReference w:type="even" r:id="rId9"/>
          <w:headerReference w:type="default" r:id="rId10"/>
          <w:footerReference w:type="even" r:id="rId11"/>
          <w:footerReference w:type="default" r:id="rId12"/>
          <w:headerReference w:type="first" r:id="rId13"/>
          <w:footerReference w:type="first" r:id="rId14"/>
          <w:pgSz w:w="11880" w:h="16819"/>
          <w:pgMar w:top="1162" w:right="642" w:bottom="924" w:left="0" w:header="249" w:footer="371" w:gutter="0"/>
          <w:cols w:space="720"/>
        </w:sectPr>
      </w:pPr>
    </w:p>
    <w:p w:rsidR="009D3DB4" w:rsidRDefault="009D3DB4">
      <w:pPr>
        <w:spacing w:after="0" w:line="259" w:lineRule="auto"/>
        <w:ind w:left="0" w:right="11309" w:firstLine="0"/>
      </w:pPr>
    </w:p>
    <w:tbl>
      <w:tblPr>
        <w:tblStyle w:val="TableGrid"/>
        <w:tblW w:w="10906" w:type="dxa"/>
        <w:tblInd w:w="600" w:type="dxa"/>
        <w:tblCellMar>
          <w:top w:w="122" w:type="dxa"/>
          <w:left w:w="113" w:type="dxa"/>
          <w:right w:w="42" w:type="dxa"/>
        </w:tblCellMar>
        <w:tblLook w:val="04A0" w:firstRow="1" w:lastRow="0" w:firstColumn="1" w:lastColumn="0" w:noHBand="0" w:noVBand="1"/>
      </w:tblPr>
      <w:tblGrid>
        <w:gridCol w:w="2648"/>
        <w:gridCol w:w="8258"/>
      </w:tblGrid>
      <w:tr w:rsidR="009D3DB4">
        <w:trPr>
          <w:trHeight w:val="11937"/>
        </w:trPr>
        <w:tc>
          <w:tcPr>
            <w:tcW w:w="2648" w:type="dxa"/>
            <w:tcBorders>
              <w:top w:val="single" w:sz="6" w:space="0" w:color="000000"/>
              <w:left w:val="single" w:sz="6" w:space="0" w:color="000000"/>
              <w:bottom w:val="single" w:sz="6" w:space="0" w:color="000000"/>
              <w:right w:val="single" w:sz="6" w:space="0" w:color="000000"/>
            </w:tcBorders>
          </w:tcPr>
          <w:p w:rsidR="009D3DB4" w:rsidRDefault="009D3DB4">
            <w:pPr>
              <w:spacing w:after="160" w:line="259" w:lineRule="auto"/>
              <w:ind w:left="0" w:firstLine="0"/>
            </w:pP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225" w:line="272" w:lineRule="auto"/>
              <w:ind w:left="10" w:hanging="10"/>
            </w:pPr>
            <w:r>
              <w:t xml:space="preserve">(ii) any personnel engaged in the provision of this contract provides information which is inadequate to demonstrate either how they comply with Clauses 5.1 and 5.2 above or why those Clauses do not apply to it;    </w:t>
            </w:r>
          </w:p>
          <w:p w:rsidR="009D3DB4" w:rsidRDefault="005B054C">
            <w:pPr>
              <w:numPr>
                <w:ilvl w:val="0"/>
                <w:numId w:val="42"/>
              </w:numPr>
              <w:spacing w:after="223" w:line="272" w:lineRule="auto"/>
              <w:ind w:hanging="10"/>
            </w:pPr>
            <w:r>
              <w:t xml:space="preserve">in the case of a request mentioned in Clause 5.4 above, any personnel engaged in the provision of this contract fails to provide the specified information within the specified period, or    </w:t>
            </w:r>
          </w:p>
          <w:p w:rsidR="009D3DB4" w:rsidRDefault="005B054C">
            <w:pPr>
              <w:numPr>
                <w:ilvl w:val="0"/>
                <w:numId w:val="42"/>
              </w:numPr>
              <w:spacing w:after="222" w:line="273" w:lineRule="auto"/>
              <w:ind w:hanging="10"/>
            </w:pPr>
            <w:proofErr w:type="gramStart"/>
            <w:r>
              <w:t>it</w:t>
            </w:r>
            <w:proofErr w:type="gramEnd"/>
            <w:r>
              <w:t xml:space="preserve"> receives information which demonstrates that, at any time when Clauses 5.1 and 5.2 apply to any personnel engaged in the provision of this contract, they are not complying with those Clauses.    </w:t>
            </w:r>
          </w:p>
          <w:p w:rsidR="009D3DB4" w:rsidRDefault="005B054C">
            <w:pPr>
              <w:spacing w:after="46" w:line="259" w:lineRule="auto"/>
              <w:ind w:left="0" w:firstLine="0"/>
            </w:pPr>
            <w:r>
              <w:t xml:space="preserve">5.6 HMRC may supply any information which it receives under Clause 5.3 to the </w:t>
            </w:r>
          </w:p>
          <w:p w:rsidR="009D3DB4" w:rsidRDefault="005B054C">
            <w:pPr>
              <w:spacing w:after="221" w:line="272" w:lineRule="auto"/>
              <w:ind w:left="10" w:firstLine="0"/>
            </w:pPr>
            <w:r>
              <w:t xml:space="preserve">Commissioners of Her Majesty’s Revenue &amp; Customs for the purpose of the collection and management of revenue for which they are responsible. </w:t>
            </w:r>
          </w:p>
          <w:p w:rsidR="009D3DB4" w:rsidRDefault="005B054C">
            <w:pPr>
              <w:numPr>
                <w:ilvl w:val="0"/>
                <w:numId w:val="43"/>
              </w:numPr>
              <w:spacing w:after="238" w:line="259" w:lineRule="auto"/>
              <w:ind w:hanging="166"/>
            </w:pPr>
            <w:r>
              <w:rPr>
                <w:b/>
              </w:rPr>
              <w:t xml:space="preserve">HMRC Specific Policies </w:t>
            </w:r>
          </w:p>
          <w:p w:rsidR="009D3DB4" w:rsidRDefault="005B054C">
            <w:pPr>
              <w:numPr>
                <w:ilvl w:val="1"/>
                <w:numId w:val="43"/>
              </w:numPr>
              <w:spacing w:after="16" w:line="259" w:lineRule="auto"/>
              <w:ind w:hanging="331"/>
            </w:pPr>
            <w:r>
              <w:t xml:space="preserve">The Supplier will comply with HMRCs Security Policy </w:t>
            </w:r>
          </w:p>
          <w:p w:rsidR="009D3DB4" w:rsidRDefault="005B054C">
            <w:pPr>
              <w:spacing w:after="67" w:line="259" w:lineRule="auto"/>
              <w:ind w:left="520" w:firstLine="0"/>
            </w:pPr>
            <w:r>
              <w:rPr>
                <w:noProof/>
              </w:rPr>
              <w:drawing>
                <wp:inline distT="0" distB="0" distL="0" distR="0">
                  <wp:extent cx="307532" cy="307953"/>
                  <wp:effectExtent l="0" t="0" r="0" b="0"/>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15"/>
                          <a:stretch>
                            <a:fillRect/>
                          </a:stretch>
                        </pic:blipFill>
                        <pic:spPr>
                          <a:xfrm flipV="1">
                            <a:off x="0" y="0"/>
                            <a:ext cx="307532" cy="307953"/>
                          </a:xfrm>
                          <a:prstGeom prst="rect">
                            <a:avLst/>
                          </a:prstGeom>
                        </pic:spPr>
                      </pic:pic>
                    </a:graphicData>
                  </a:graphic>
                </wp:inline>
              </w:drawing>
            </w:r>
          </w:p>
          <w:p w:rsidR="009D3DB4" w:rsidRDefault="005B054C">
            <w:pPr>
              <w:spacing w:after="0" w:line="259" w:lineRule="auto"/>
              <w:ind w:left="97" w:firstLine="0"/>
            </w:pPr>
            <w:proofErr w:type="spellStart"/>
            <w:r>
              <w:rPr>
                <w:rFonts w:ascii="Segoe UI" w:eastAsia="Segoe UI" w:hAnsi="Segoe UI" w:cs="Segoe UI"/>
                <w:sz w:val="16"/>
              </w:rPr>
              <w:t>CSIR_Trusted</w:t>
            </w:r>
            <w:proofErr w:type="spellEnd"/>
            <w:r>
              <w:rPr>
                <w:rFonts w:ascii="Segoe UI" w:eastAsia="Segoe UI" w:hAnsi="Segoe UI" w:cs="Segoe UI"/>
                <w:sz w:val="16"/>
              </w:rPr>
              <w:t xml:space="preserve"> Third </w:t>
            </w:r>
          </w:p>
          <w:p w:rsidR="009D3DB4" w:rsidRDefault="005B054C">
            <w:pPr>
              <w:spacing w:after="0" w:line="259" w:lineRule="auto"/>
              <w:ind w:left="0" w:firstLine="0"/>
            </w:pPr>
            <w:r>
              <w:rPr>
                <w:rFonts w:ascii="Segoe UI" w:eastAsia="Segoe UI" w:hAnsi="Segoe UI" w:cs="Segoe UI"/>
                <w:sz w:val="16"/>
              </w:rPr>
              <w:t>Party Access GPG V2_1</w:t>
            </w:r>
          </w:p>
          <w:p w:rsidR="009D3DB4" w:rsidRDefault="005B054C">
            <w:pPr>
              <w:spacing w:after="194" w:line="259" w:lineRule="auto"/>
              <w:ind w:left="1531" w:firstLine="0"/>
            </w:pPr>
            <w:r>
              <w:t xml:space="preserve"> </w:t>
            </w:r>
          </w:p>
          <w:p w:rsidR="009D3DB4" w:rsidRDefault="005B054C">
            <w:pPr>
              <w:numPr>
                <w:ilvl w:val="1"/>
                <w:numId w:val="43"/>
              </w:numPr>
              <w:spacing w:after="0" w:line="259" w:lineRule="auto"/>
              <w:ind w:hanging="331"/>
            </w:pPr>
            <w:r>
              <w:t xml:space="preserve">The Supplier will comply with HMRCs Health and Safety Requirements </w:t>
            </w:r>
          </w:p>
          <w:p w:rsidR="009D3DB4" w:rsidRDefault="005B054C">
            <w:pPr>
              <w:spacing w:after="60" w:line="259" w:lineRule="auto"/>
              <w:ind w:left="537" w:firstLine="0"/>
            </w:pPr>
            <w:r>
              <w:rPr>
                <w:noProof/>
              </w:rPr>
              <w:drawing>
                <wp:inline distT="0" distB="0" distL="0" distR="0">
                  <wp:extent cx="305895" cy="309357"/>
                  <wp:effectExtent l="0" t="0" r="0" b="0"/>
                  <wp:docPr id="2250" name="Picture 2250"/>
                  <wp:cNvGraphicFramePr/>
                  <a:graphic xmlns:a="http://schemas.openxmlformats.org/drawingml/2006/main">
                    <a:graphicData uri="http://schemas.openxmlformats.org/drawingml/2006/picture">
                      <pic:pic xmlns:pic="http://schemas.openxmlformats.org/drawingml/2006/picture">
                        <pic:nvPicPr>
                          <pic:cNvPr id="2250" name="Picture 2250"/>
                          <pic:cNvPicPr/>
                        </pic:nvPicPr>
                        <pic:blipFill>
                          <a:blip r:embed="rId16"/>
                          <a:stretch>
                            <a:fillRect/>
                          </a:stretch>
                        </pic:blipFill>
                        <pic:spPr>
                          <a:xfrm flipV="1">
                            <a:off x="0" y="0"/>
                            <a:ext cx="305895" cy="309357"/>
                          </a:xfrm>
                          <a:prstGeom prst="rect">
                            <a:avLst/>
                          </a:prstGeom>
                        </pic:spPr>
                      </pic:pic>
                    </a:graphicData>
                  </a:graphic>
                </wp:inline>
              </w:drawing>
            </w:r>
          </w:p>
          <w:p w:rsidR="009D3DB4" w:rsidRDefault="005B054C">
            <w:pPr>
              <w:spacing w:after="0" w:line="259" w:lineRule="auto"/>
              <w:ind w:left="85" w:firstLine="0"/>
            </w:pPr>
            <w:r>
              <w:rPr>
                <w:rFonts w:ascii="Segoe UI" w:eastAsia="Segoe UI" w:hAnsi="Segoe UI" w:cs="Segoe UI"/>
                <w:sz w:val="17"/>
              </w:rPr>
              <w:t xml:space="preserve">HMRC Health and </w:t>
            </w:r>
          </w:p>
          <w:p w:rsidR="009D3DB4" w:rsidRDefault="005B054C">
            <w:pPr>
              <w:spacing w:after="0" w:line="259" w:lineRule="auto"/>
              <w:ind w:left="131" w:firstLine="0"/>
            </w:pPr>
            <w:r>
              <w:rPr>
                <w:rFonts w:ascii="Segoe UI" w:eastAsia="Segoe UI" w:hAnsi="Segoe UI" w:cs="Segoe UI"/>
                <w:sz w:val="17"/>
              </w:rPr>
              <w:t>Safety Policy.doc</w:t>
            </w:r>
          </w:p>
          <w:p w:rsidR="009D3DB4" w:rsidRDefault="005B054C">
            <w:pPr>
              <w:spacing w:after="267" w:line="259" w:lineRule="auto"/>
              <w:ind w:left="1570" w:firstLine="0"/>
            </w:pPr>
            <w:r>
              <w:t xml:space="preserve"> </w:t>
            </w:r>
          </w:p>
          <w:p w:rsidR="009D3DB4" w:rsidRDefault="005B054C">
            <w:pPr>
              <w:numPr>
                <w:ilvl w:val="1"/>
                <w:numId w:val="43"/>
              </w:numPr>
              <w:spacing w:after="0" w:line="259" w:lineRule="auto"/>
              <w:ind w:hanging="331"/>
            </w:pPr>
            <w:r>
              <w:t xml:space="preserve">The Supplier will comply with HMRCs Behaviours Standards   </w:t>
            </w:r>
            <w:r>
              <w:rPr>
                <w:b/>
                <w:color w:val="00B050"/>
                <w:sz w:val="28"/>
              </w:rPr>
              <w:t xml:space="preserve"> </w:t>
            </w:r>
          </w:p>
          <w:p w:rsidR="009D3DB4" w:rsidRDefault="005B054C">
            <w:pPr>
              <w:spacing w:after="80" w:line="259" w:lineRule="auto"/>
              <w:ind w:left="694" w:firstLine="0"/>
            </w:pPr>
            <w:r>
              <w:rPr>
                <w:noProof/>
              </w:rPr>
              <w:drawing>
                <wp:inline distT="0" distB="0" distL="0" distR="0">
                  <wp:extent cx="402778" cy="410223"/>
                  <wp:effectExtent l="0" t="0" r="0" b="0"/>
                  <wp:docPr id="2259" name="Picture 2259"/>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17"/>
                          <a:stretch>
                            <a:fillRect/>
                          </a:stretch>
                        </pic:blipFill>
                        <pic:spPr>
                          <a:xfrm flipV="1">
                            <a:off x="0" y="0"/>
                            <a:ext cx="402778" cy="410223"/>
                          </a:xfrm>
                          <a:prstGeom prst="rect">
                            <a:avLst/>
                          </a:prstGeom>
                        </pic:spPr>
                      </pic:pic>
                    </a:graphicData>
                  </a:graphic>
                </wp:inline>
              </w:drawing>
            </w:r>
          </w:p>
          <w:p w:rsidR="009D3DB4" w:rsidRDefault="005B054C">
            <w:pPr>
              <w:spacing w:after="0" w:line="259" w:lineRule="auto"/>
              <w:ind w:left="555" w:firstLine="0"/>
            </w:pPr>
            <w:r>
              <w:rPr>
                <w:rFonts w:ascii="Segoe UI" w:eastAsia="Segoe UI" w:hAnsi="Segoe UI" w:cs="Segoe UI"/>
                <w:sz w:val="22"/>
              </w:rPr>
              <w:t xml:space="preserve">Summary </w:t>
            </w:r>
          </w:p>
          <w:p w:rsidR="009D3DB4" w:rsidRDefault="005B054C">
            <w:pPr>
              <w:spacing w:after="0" w:line="259" w:lineRule="auto"/>
              <w:ind w:left="0" w:firstLine="0"/>
            </w:pPr>
            <w:r>
              <w:rPr>
                <w:rFonts w:ascii="Segoe UI" w:eastAsia="Segoe UI" w:hAnsi="Segoe UI" w:cs="Segoe UI"/>
                <w:sz w:val="22"/>
              </w:rPr>
              <w:t xml:space="preserve">Competency </w:t>
            </w:r>
            <w:proofErr w:type="spellStart"/>
            <w:r>
              <w:rPr>
                <w:rFonts w:ascii="Segoe UI" w:eastAsia="Segoe UI" w:hAnsi="Segoe UI" w:cs="Segoe UI"/>
                <w:sz w:val="22"/>
              </w:rPr>
              <w:t>Framew</w:t>
            </w:r>
            <w:proofErr w:type="spellEnd"/>
          </w:p>
          <w:p w:rsidR="009D3DB4" w:rsidRDefault="005B054C">
            <w:pPr>
              <w:spacing w:after="192" w:line="259" w:lineRule="auto"/>
              <w:ind w:left="2055" w:firstLine="0"/>
            </w:pPr>
            <w:r>
              <w:t xml:space="preserve"> </w:t>
            </w:r>
          </w:p>
          <w:p w:rsidR="009D3DB4" w:rsidRDefault="005B054C">
            <w:pPr>
              <w:numPr>
                <w:ilvl w:val="1"/>
                <w:numId w:val="43"/>
              </w:numPr>
              <w:spacing w:after="19" w:line="259" w:lineRule="auto"/>
              <w:ind w:hanging="331"/>
            </w:pPr>
            <w:r>
              <w:t xml:space="preserve">The Supplier will comply with HMRCs Equality and Diversity Policy </w:t>
            </w:r>
          </w:p>
          <w:p w:rsidR="009D3DB4" w:rsidRDefault="005B054C">
            <w:pPr>
              <w:spacing w:after="60" w:line="259" w:lineRule="auto"/>
              <w:ind w:left="527" w:firstLine="0"/>
            </w:pPr>
            <w:r>
              <w:rPr>
                <w:noProof/>
              </w:rPr>
              <w:drawing>
                <wp:inline distT="0" distB="0" distL="0" distR="0">
                  <wp:extent cx="305896" cy="309357"/>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16"/>
                          <a:stretch>
                            <a:fillRect/>
                          </a:stretch>
                        </pic:blipFill>
                        <pic:spPr>
                          <a:xfrm flipV="1">
                            <a:off x="0" y="0"/>
                            <a:ext cx="305896" cy="309357"/>
                          </a:xfrm>
                          <a:prstGeom prst="rect">
                            <a:avLst/>
                          </a:prstGeom>
                        </pic:spPr>
                      </pic:pic>
                    </a:graphicData>
                  </a:graphic>
                </wp:inline>
              </w:drawing>
            </w:r>
          </w:p>
          <w:p w:rsidR="009D3DB4" w:rsidRDefault="005B054C">
            <w:pPr>
              <w:spacing w:after="0" w:line="216" w:lineRule="auto"/>
              <w:ind w:left="45" w:right="5886" w:hanging="30"/>
              <w:jc w:val="both"/>
            </w:pPr>
            <w:r>
              <w:rPr>
                <w:rFonts w:ascii="Segoe UI" w:eastAsia="Segoe UI" w:hAnsi="Segoe UI" w:cs="Segoe UI"/>
                <w:sz w:val="17"/>
              </w:rPr>
              <w:t>HMRC diversity and equality policy.doc</w:t>
            </w:r>
          </w:p>
          <w:p w:rsidR="009D3DB4" w:rsidRDefault="005B054C">
            <w:pPr>
              <w:spacing w:after="192" w:line="259" w:lineRule="auto"/>
              <w:ind w:left="1560" w:firstLine="0"/>
            </w:pPr>
            <w:r>
              <w:t xml:space="preserve"> </w:t>
            </w:r>
          </w:p>
          <w:p w:rsidR="009D3DB4" w:rsidRDefault="005B054C">
            <w:pPr>
              <w:spacing w:after="0" w:line="259" w:lineRule="auto"/>
              <w:ind w:left="0" w:firstLine="0"/>
            </w:pPr>
            <w:r>
              <w:t xml:space="preserve"> </w:t>
            </w:r>
          </w:p>
        </w:tc>
      </w:tr>
      <w:tr w:rsidR="009D3DB4">
        <w:trPr>
          <w:trHeight w:val="1069"/>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Alternative clauses: </w:t>
            </w:r>
            <w:r>
              <w:t xml:space="preserve"> </w:t>
            </w: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NOT USED.  </w:t>
            </w:r>
          </w:p>
        </w:tc>
      </w:tr>
      <w:tr w:rsidR="009D3DB4">
        <w:trPr>
          <w:trHeight w:val="1613"/>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62" w:lineRule="auto"/>
              <w:ind w:left="2" w:firstLine="0"/>
            </w:pPr>
            <w:r>
              <w:rPr>
                <w:b/>
              </w:rPr>
              <w:lastRenderedPageBreak/>
              <w:t xml:space="preserve">Buyer specific </w:t>
            </w:r>
            <w:r>
              <w:t xml:space="preserve"> </w:t>
            </w:r>
            <w:r>
              <w:rPr>
                <w:b/>
              </w:rPr>
              <w:t xml:space="preserve">amendments </w:t>
            </w:r>
            <w:r>
              <w:t xml:space="preserve"> </w:t>
            </w:r>
          </w:p>
          <w:p w:rsidR="009D3DB4" w:rsidRDefault="005B054C">
            <w:pPr>
              <w:spacing w:after="2" w:line="259" w:lineRule="auto"/>
              <w:ind w:left="2" w:firstLine="0"/>
            </w:pPr>
            <w:r>
              <w:rPr>
                <w:b/>
              </w:rPr>
              <w:t xml:space="preserve">to/refinements of the </w:t>
            </w:r>
          </w:p>
          <w:p w:rsidR="009D3DB4" w:rsidRDefault="005B054C">
            <w:pPr>
              <w:spacing w:after="0" w:line="259" w:lineRule="auto"/>
              <w:ind w:left="2" w:firstLine="0"/>
            </w:pPr>
            <w:r>
              <w:rPr>
                <w:b/>
              </w:rPr>
              <w:t xml:space="preserve">Call-Off Contract terms: </w:t>
            </w:r>
            <w:r>
              <w:t xml:space="preserve"> </w:t>
            </w: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272" w:line="259" w:lineRule="auto"/>
              <w:ind w:left="0" w:firstLine="0"/>
            </w:pPr>
            <w:r>
              <w:t xml:space="preserve">Within the scope of the Call-Off Contract, the Supplier will ensure that: </w:t>
            </w:r>
          </w:p>
          <w:p w:rsidR="009D3DB4" w:rsidRDefault="005B054C">
            <w:pPr>
              <w:spacing w:after="0" w:line="259" w:lineRule="auto"/>
              <w:ind w:left="10" w:hanging="10"/>
            </w:pPr>
            <w:r>
              <w:t xml:space="preserve"> All intellectual</w:t>
            </w:r>
            <w:r>
              <w:rPr>
                <w:sz w:val="24"/>
              </w:rPr>
              <w:t xml:space="preserve"> </w:t>
            </w:r>
            <w:r>
              <w:t>Property Rights in any guidance, Specifications, instructions, toolkits, plans, data, drawings, databases, patents, patterns, models, designs or other material (the "</w:t>
            </w:r>
            <w:proofErr w:type="spellStart"/>
            <w:r>
              <w:t>lP</w:t>
            </w:r>
            <w:proofErr w:type="spellEnd"/>
            <w:r>
              <w:t xml:space="preserve"> Materials"): </w:t>
            </w:r>
          </w:p>
        </w:tc>
      </w:tr>
      <w:tr w:rsidR="009D3DB4">
        <w:trPr>
          <w:trHeight w:val="4421"/>
        </w:trPr>
        <w:tc>
          <w:tcPr>
            <w:tcW w:w="2648" w:type="dxa"/>
            <w:tcBorders>
              <w:top w:val="single" w:sz="6" w:space="0" w:color="000000"/>
              <w:left w:val="single" w:sz="6" w:space="0" w:color="000000"/>
              <w:bottom w:val="single" w:sz="6" w:space="0" w:color="000000"/>
              <w:right w:val="single" w:sz="6" w:space="0" w:color="000000"/>
            </w:tcBorders>
            <w:vAlign w:val="bottom"/>
          </w:tcPr>
          <w:p w:rsidR="009D3DB4" w:rsidRDefault="009D3DB4">
            <w:pPr>
              <w:spacing w:after="160" w:line="259" w:lineRule="auto"/>
              <w:ind w:left="0" w:firstLine="0"/>
            </w:pP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numPr>
                <w:ilvl w:val="0"/>
                <w:numId w:val="44"/>
              </w:numPr>
              <w:spacing w:after="224" w:line="272" w:lineRule="auto"/>
              <w:ind w:hanging="10"/>
            </w:pPr>
            <w:r>
              <w:t xml:space="preserve">furnished to or made available to the Contractor by or on behalf of the Client shall remain the Property of the Client; and </w:t>
            </w:r>
          </w:p>
          <w:p w:rsidR="009D3DB4" w:rsidRDefault="005B054C">
            <w:pPr>
              <w:numPr>
                <w:ilvl w:val="0"/>
                <w:numId w:val="44"/>
              </w:numPr>
              <w:spacing w:after="223" w:line="272" w:lineRule="auto"/>
              <w:ind w:hanging="10"/>
            </w:pPr>
            <w:r>
              <w:t xml:space="preserve">prepared by or for the Contractor on behalf of the Client for use, or intended use, in relation to the performance by the Contractor of its obligations under the Contract shall belong to the Client; and the Contractor shall not, and shall ensure that the Staff shall not, (except when necessary for the performance of the Contract) without prior Approval, use or disclose any intellectual Property Rights in the </w:t>
            </w:r>
            <w:proofErr w:type="spellStart"/>
            <w:r>
              <w:t>lP</w:t>
            </w:r>
            <w:proofErr w:type="spellEnd"/>
            <w:r>
              <w:t xml:space="preserve"> Materials. </w:t>
            </w:r>
          </w:p>
          <w:p w:rsidR="009D3DB4" w:rsidRDefault="005B054C">
            <w:pPr>
              <w:spacing w:after="220" w:line="272" w:lineRule="auto"/>
              <w:ind w:left="10" w:hanging="10"/>
            </w:pPr>
            <w:r>
              <w:t xml:space="preserve">Additionally, the Contractor hereby assigns to the Client, with full title guarantee, all intellectual Property Rights which may subsist in the </w:t>
            </w:r>
            <w:proofErr w:type="spellStart"/>
            <w:r>
              <w:t>lP</w:t>
            </w:r>
            <w:proofErr w:type="spellEnd"/>
            <w: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Contactor. The Contractor shall execute all documentation necessary to execute this assignment. </w:t>
            </w:r>
          </w:p>
          <w:p w:rsidR="009D3DB4" w:rsidRDefault="005B054C">
            <w:pPr>
              <w:spacing w:after="0" w:line="259" w:lineRule="auto"/>
              <w:ind w:left="5" w:firstLine="0"/>
            </w:pPr>
            <w:r>
              <w:t xml:space="preserve"> </w:t>
            </w:r>
          </w:p>
        </w:tc>
      </w:tr>
      <w:tr w:rsidR="009D3DB4">
        <w:trPr>
          <w:trHeight w:val="5975"/>
        </w:trPr>
        <w:tc>
          <w:tcPr>
            <w:tcW w:w="264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Public Services Network (PSN): </w:t>
            </w:r>
            <w:r>
              <w:t xml:space="preserve"> </w:t>
            </w:r>
          </w:p>
        </w:tc>
        <w:tc>
          <w:tcPr>
            <w:tcW w:w="8257"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 w:firstLine="0"/>
            </w:pPr>
            <w:r>
              <w:t xml:space="preserve">The Public Services Network (PSN) is the Government’s secure network.  </w:t>
            </w:r>
          </w:p>
          <w:p w:rsidR="009D3DB4" w:rsidRDefault="005B054C">
            <w:pPr>
              <w:spacing w:after="0" w:line="259" w:lineRule="auto"/>
              <w:ind w:left="5" w:firstLine="0"/>
            </w:pPr>
            <w:r>
              <w:t xml:space="preserve"> </w:t>
            </w:r>
          </w:p>
          <w:p w:rsidR="009D3DB4" w:rsidRDefault="005B054C">
            <w:pPr>
              <w:spacing w:after="0" w:line="259" w:lineRule="auto"/>
              <w:ind w:left="0" w:firstLine="0"/>
            </w:pPr>
            <w:r>
              <w:rPr>
                <w:b/>
              </w:rPr>
              <w:t xml:space="preserve">Delivery of PSN Compliant Services </w:t>
            </w:r>
          </w:p>
          <w:p w:rsidR="009D3DB4" w:rsidRDefault="005B054C">
            <w:pPr>
              <w:spacing w:after="0" w:line="256" w:lineRule="auto"/>
              <w:ind w:left="0" w:right="2065" w:firstLine="0"/>
            </w:pPr>
            <w:r>
              <w:t xml:space="preserve">If requested to do so by the Buyer, the Supplier shall ensure that the G-Cloud Services adhere to the conditions and obligations identified in the PSN Code of Practice at the Supplier’s cost. </w:t>
            </w:r>
          </w:p>
          <w:p w:rsidR="009D3DB4" w:rsidRDefault="005B054C">
            <w:pPr>
              <w:spacing w:after="0" w:line="259" w:lineRule="auto"/>
              <w:ind w:left="0" w:firstLine="0"/>
            </w:pPr>
            <w:r>
              <w:t xml:space="preserve"> </w:t>
            </w:r>
          </w:p>
          <w:p w:rsidR="009D3DB4" w:rsidRDefault="005B054C">
            <w:pPr>
              <w:spacing w:after="18" w:line="240" w:lineRule="auto"/>
              <w:ind w:left="0" w:right="1956" w:firstLine="0"/>
            </w:pPr>
            <w:r>
              <w:t xml:space="preserve">If any PSN Services are Sub-Contracted by the Supplier, the Supplier must ensure that services have the relevant PSN compliance certification, which includes: </w:t>
            </w:r>
          </w:p>
          <w:p w:rsidR="009D3DB4" w:rsidRDefault="005B054C">
            <w:pPr>
              <w:numPr>
                <w:ilvl w:val="0"/>
                <w:numId w:val="45"/>
              </w:numPr>
              <w:spacing w:after="0" w:line="259" w:lineRule="auto"/>
              <w:ind w:hanging="360"/>
            </w:pPr>
            <w:r>
              <w:t xml:space="preserve">Buyer environments  </w:t>
            </w:r>
          </w:p>
          <w:p w:rsidR="009D3DB4" w:rsidRDefault="005B054C">
            <w:pPr>
              <w:numPr>
                <w:ilvl w:val="0"/>
                <w:numId w:val="45"/>
              </w:numPr>
              <w:spacing w:after="0" w:line="259" w:lineRule="auto"/>
              <w:ind w:hanging="360"/>
            </w:pPr>
            <w:r>
              <w:t xml:space="preserve">communications components  </w:t>
            </w:r>
          </w:p>
          <w:p w:rsidR="009D3DB4" w:rsidRDefault="005B054C">
            <w:pPr>
              <w:numPr>
                <w:ilvl w:val="0"/>
                <w:numId w:val="45"/>
              </w:numPr>
              <w:spacing w:after="0" w:line="259" w:lineRule="auto"/>
              <w:ind w:hanging="360"/>
            </w:pPr>
            <w:r>
              <w:t xml:space="preserve">compliant and certified  </w:t>
            </w:r>
          </w:p>
          <w:p w:rsidR="009D3DB4" w:rsidRDefault="005B054C">
            <w:pPr>
              <w:spacing w:after="0" w:line="259" w:lineRule="auto"/>
              <w:ind w:left="0" w:firstLine="0"/>
            </w:pPr>
            <w:r>
              <w:t xml:space="preserve"> </w:t>
            </w:r>
          </w:p>
          <w:p w:rsidR="009D3DB4" w:rsidRDefault="005B054C">
            <w:pPr>
              <w:spacing w:after="0" w:line="259" w:lineRule="auto"/>
              <w:ind w:left="0" w:firstLine="0"/>
            </w:pPr>
            <w:r>
              <w:rPr>
                <w:b/>
              </w:rPr>
              <w:t xml:space="preserve">Role of the PSN authority  </w:t>
            </w:r>
          </w:p>
          <w:p w:rsidR="009D3DB4" w:rsidRDefault="005B054C">
            <w:pPr>
              <w:spacing w:after="0" w:line="241" w:lineRule="auto"/>
              <w:ind w:left="0" w:right="2169" w:firstLine="0"/>
            </w:pPr>
            <w:r>
              <w:t xml:space="preserve">The Supplier will immediately disconnect its G-Cloud Services from the PSN if instructed to do so by the PSN Authority following an event affecting national security, or the security of the PSN. The Supplier agrees that the PSN Authority shall not be liable for </w:t>
            </w:r>
            <w:proofErr w:type="gramStart"/>
            <w:r>
              <w:t>any  actions</w:t>
            </w:r>
            <w:proofErr w:type="gramEnd"/>
            <w:r>
              <w:t xml:space="preserve">, damages, costs, and any other liabilities which may arise as a consequence.  </w:t>
            </w:r>
          </w:p>
          <w:p w:rsidR="009D3DB4" w:rsidRDefault="005B054C">
            <w:pPr>
              <w:spacing w:after="0" w:line="241" w:lineRule="auto"/>
              <w:ind w:left="10" w:hanging="10"/>
            </w:pPr>
            <w:r>
              <w:t xml:space="preserve">This clause may be enforced by the PSN Authority, notwithstanding the fact that the PSN Authority is not a party to this Call-Off Contract. </w:t>
            </w:r>
          </w:p>
          <w:p w:rsidR="009D3DB4" w:rsidRDefault="005B054C">
            <w:pPr>
              <w:spacing w:after="0" w:line="259" w:lineRule="auto"/>
              <w:ind w:left="5" w:firstLine="0"/>
            </w:pPr>
            <w:r>
              <w:t xml:space="preserve"> </w:t>
            </w:r>
          </w:p>
        </w:tc>
      </w:tr>
    </w:tbl>
    <w:p w:rsidR="009D3DB4" w:rsidRDefault="005B054C">
      <w:pPr>
        <w:spacing w:line="259" w:lineRule="auto"/>
        <w:ind w:left="708" w:firstLine="0"/>
      </w:pPr>
      <w:r>
        <w:t xml:space="preserve">  </w:t>
      </w:r>
    </w:p>
    <w:p w:rsidR="009D3DB4" w:rsidRDefault="005B054C">
      <w:pPr>
        <w:pStyle w:val="Heading3"/>
        <w:ind w:left="698"/>
      </w:pPr>
      <w:r>
        <w:t xml:space="preserve">1. Formation of contract   </w:t>
      </w:r>
    </w:p>
    <w:p w:rsidR="009D3DB4" w:rsidRDefault="005B054C">
      <w:pPr>
        <w:ind w:left="1412" w:right="5" w:hanging="718"/>
      </w:pPr>
      <w:r>
        <w:t xml:space="preserve">1.1 </w:t>
      </w:r>
      <w:r>
        <w:tab/>
        <w:t xml:space="preserve">By signing and returning this Order Form (Part A), the Supplier agrees to enter into a Call-Off Contract with the Buyer.  </w:t>
      </w:r>
    </w:p>
    <w:p w:rsidR="009D3DB4" w:rsidRDefault="005B054C">
      <w:pPr>
        <w:ind w:left="1412" w:right="5" w:hanging="718"/>
      </w:pPr>
      <w:r>
        <w:t xml:space="preserve">1.2 </w:t>
      </w:r>
      <w:r>
        <w:tab/>
        <w:t xml:space="preserve">The Parties agree that they have read the Order Form (Part A) and the Call-Off Contract terms and by signing below agree to be bound by this Call-Off Contract.  </w:t>
      </w:r>
    </w:p>
    <w:p w:rsidR="009D3DB4" w:rsidRDefault="005B054C">
      <w:pPr>
        <w:ind w:left="1412" w:right="5" w:hanging="718"/>
      </w:pPr>
      <w:r>
        <w:lastRenderedPageBreak/>
        <w:t xml:space="preserve">1.3 This Call-Off Contract will be formed when the Buyer acknowledges receipt of the signed copy of the Order Form from the Supplier.  </w:t>
      </w:r>
    </w:p>
    <w:p w:rsidR="009D3DB4" w:rsidRDefault="005B054C">
      <w:pPr>
        <w:ind w:right="5"/>
      </w:pPr>
      <w:r>
        <w:t xml:space="preserve">1.4 </w:t>
      </w:r>
      <w:r>
        <w:tab/>
        <w:t xml:space="preserve">In cases of any ambiguity or conflict the terms and conditions of the Call-Off Contract and Order Form will supersede those of the Supplier Terms and Conditions.  </w:t>
      </w:r>
    </w:p>
    <w:p w:rsidR="009D3DB4" w:rsidRDefault="005B054C">
      <w:pPr>
        <w:pStyle w:val="Heading3"/>
        <w:ind w:left="698"/>
      </w:pPr>
      <w:r>
        <w:t xml:space="preserve">2. Background to the agreement   </w:t>
      </w:r>
    </w:p>
    <w:p w:rsidR="009D3DB4" w:rsidRDefault="005B054C">
      <w:pPr>
        <w:numPr>
          <w:ilvl w:val="0"/>
          <w:numId w:val="1"/>
        </w:numPr>
        <w:ind w:right="5" w:hanging="718"/>
      </w:pPr>
      <w:r>
        <w:t xml:space="preserve">The Supplier is a provider of G-Cloud Services and agreed to provide the Services under the terms of Framework Agreement number RM1557ix.  </w:t>
      </w:r>
    </w:p>
    <w:p w:rsidR="009D3DB4" w:rsidRDefault="005B054C">
      <w:pPr>
        <w:numPr>
          <w:ilvl w:val="0"/>
          <w:numId w:val="1"/>
        </w:numPr>
        <w:spacing w:after="9"/>
        <w:ind w:right="5" w:hanging="718"/>
      </w:pPr>
      <w:r>
        <w:t xml:space="preserve">The Buyer provided an Order Form for Services to the Supplier.  </w:t>
      </w:r>
    </w:p>
    <w:p w:rsidR="009D3DB4" w:rsidRDefault="005B054C">
      <w:pPr>
        <w:spacing w:after="0" w:line="259" w:lineRule="auto"/>
        <w:ind w:left="1426" w:firstLine="0"/>
      </w:pPr>
      <w:r>
        <w:t xml:space="preserve"> </w:t>
      </w:r>
    </w:p>
    <w:tbl>
      <w:tblPr>
        <w:tblStyle w:val="TableGrid"/>
        <w:tblW w:w="10596" w:type="dxa"/>
        <w:tblInd w:w="595" w:type="dxa"/>
        <w:tblCellMar>
          <w:top w:w="80" w:type="dxa"/>
          <w:right w:w="115" w:type="dxa"/>
        </w:tblCellMar>
        <w:tblLook w:val="04A0" w:firstRow="1" w:lastRow="0" w:firstColumn="1" w:lastColumn="0" w:noHBand="0" w:noVBand="1"/>
      </w:tblPr>
      <w:tblGrid>
        <w:gridCol w:w="2276"/>
        <w:gridCol w:w="4160"/>
        <w:gridCol w:w="4160"/>
      </w:tblGrid>
      <w:tr w:rsidR="009D3DB4">
        <w:trPr>
          <w:trHeight w:val="691"/>
        </w:trPr>
        <w:tc>
          <w:tcPr>
            <w:tcW w:w="2276"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rPr>
                <w:b/>
              </w:rPr>
              <w:t xml:space="preserve">Signed: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t xml:space="preserve">Equal Experts </w:t>
            </w:r>
          </w:p>
        </w:tc>
        <w:tc>
          <w:tcPr>
            <w:tcW w:w="416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t xml:space="preserve">Buyer  </w:t>
            </w:r>
          </w:p>
        </w:tc>
      </w:tr>
      <w:tr w:rsidR="009D3DB4">
        <w:trPr>
          <w:trHeight w:val="691"/>
        </w:trPr>
        <w:tc>
          <w:tcPr>
            <w:tcW w:w="2276"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rPr>
                <w:b/>
              </w:rPr>
              <w:t xml:space="preserve">Name: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5B054C" w:rsidRDefault="005B054C" w:rsidP="005B054C">
            <w:pPr>
              <w:spacing w:after="24" w:line="259" w:lineRule="auto"/>
              <w:ind w:left="0" w:firstLine="0"/>
            </w:pPr>
            <w:proofErr w:type="spellStart"/>
            <w:r>
              <w:t>Readacted</w:t>
            </w:r>
            <w:proofErr w:type="spellEnd"/>
          </w:p>
          <w:p w:rsidR="009D3DB4" w:rsidRDefault="009D3DB4">
            <w:pPr>
              <w:spacing w:after="0" w:line="259" w:lineRule="auto"/>
              <w:ind w:left="115" w:firstLine="0"/>
            </w:pPr>
          </w:p>
        </w:tc>
        <w:tc>
          <w:tcPr>
            <w:tcW w:w="4160" w:type="dxa"/>
            <w:tcBorders>
              <w:top w:val="single" w:sz="6" w:space="0" w:color="000000"/>
              <w:left w:val="single" w:sz="6" w:space="0" w:color="000000"/>
              <w:bottom w:val="single" w:sz="6" w:space="0" w:color="000000"/>
              <w:right w:val="single" w:sz="6" w:space="0" w:color="000000"/>
            </w:tcBorders>
          </w:tcPr>
          <w:p w:rsidR="005B054C" w:rsidRDefault="005B054C" w:rsidP="005B054C">
            <w:pPr>
              <w:spacing w:after="24" w:line="259" w:lineRule="auto"/>
              <w:ind w:left="0" w:firstLine="0"/>
            </w:pPr>
            <w:r>
              <w:rPr>
                <w:shd w:val="clear" w:color="auto" w:fill="FFFF00"/>
              </w:rPr>
              <w:t>[Enter text]</w:t>
            </w:r>
            <w:r>
              <w:t xml:space="preserve"> </w:t>
            </w:r>
            <w:proofErr w:type="spellStart"/>
            <w:r>
              <w:t>Readacted</w:t>
            </w:r>
            <w:proofErr w:type="spellEnd"/>
          </w:p>
          <w:p w:rsidR="009D3DB4" w:rsidRDefault="009D3DB4">
            <w:pPr>
              <w:spacing w:after="0" w:line="259" w:lineRule="auto"/>
              <w:ind w:left="115" w:firstLine="0"/>
            </w:pPr>
          </w:p>
        </w:tc>
      </w:tr>
      <w:tr w:rsidR="009D3DB4">
        <w:trPr>
          <w:trHeight w:val="694"/>
        </w:trPr>
        <w:tc>
          <w:tcPr>
            <w:tcW w:w="2276"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rPr>
                <w:b/>
              </w:rPr>
              <w:t xml:space="preserve">Title: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5B054C" w:rsidRDefault="005B054C" w:rsidP="005B054C">
            <w:pPr>
              <w:spacing w:after="24" w:line="259" w:lineRule="auto"/>
              <w:ind w:left="0" w:firstLine="0"/>
            </w:pPr>
            <w:proofErr w:type="spellStart"/>
            <w:r>
              <w:t>Readacted</w:t>
            </w:r>
            <w:proofErr w:type="spellEnd"/>
          </w:p>
          <w:p w:rsidR="009D3DB4" w:rsidRDefault="009D3DB4">
            <w:pPr>
              <w:spacing w:after="0" w:line="259" w:lineRule="auto"/>
              <w:ind w:left="115" w:firstLine="0"/>
            </w:pPr>
          </w:p>
        </w:tc>
        <w:tc>
          <w:tcPr>
            <w:tcW w:w="4160" w:type="dxa"/>
            <w:tcBorders>
              <w:top w:val="single" w:sz="6" w:space="0" w:color="000000"/>
              <w:left w:val="single" w:sz="6" w:space="0" w:color="000000"/>
              <w:bottom w:val="single" w:sz="6" w:space="0" w:color="000000"/>
              <w:right w:val="single" w:sz="6" w:space="0" w:color="000000"/>
            </w:tcBorders>
          </w:tcPr>
          <w:p w:rsidR="00E5474D" w:rsidRDefault="005B054C" w:rsidP="00E5474D">
            <w:pPr>
              <w:spacing w:after="24" w:line="259" w:lineRule="auto"/>
              <w:ind w:left="0" w:firstLine="0"/>
            </w:pPr>
            <w:r>
              <w:rPr>
                <w:shd w:val="clear" w:color="auto" w:fill="FFFF00"/>
              </w:rPr>
              <w:t>[Enter text</w:t>
            </w:r>
            <w:r w:rsidR="00E5474D">
              <w:t xml:space="preserve"> </w:t>
            </w:r>
            <w:proofErr w:type="spellStart"/>
            <w:r w:rsidR="00E5474D">
              <w:t>Readacted</w:t>
            </w:r>
            <w:proofErr w:type="spellEnd"/>
          </w:p>
          <w:p w:rsidR="009D3DB4" w:rsidRDefault="005B054C">
            <w:pPr>
              <w:spacing w:after="0" w:line="259" w:lineRule="auto"/>
              <w:ind w:left="115" w:firstLine="0"/>
            </w:pPr>
            <w:r>
              <w:rPr>
                <w:shd w:val="clear" w:color="auto" w:fill="FFFF00"/>
              </w:rPr>
              <w:t>]</w:t>
            </w:r>
            <w:r>
              <w:t xml:space="preserve">  </w:t>
            </w:r>
          </w:p>
        </w:tc>
      </w:tr>
      <w:tr w:rsidR="009D3DB4">
        <w:trPr>
          <w:trHeight w:val="1169"/>
        </w:trPr>
        <w:tc>
          <w:tcPr>
            <w:tcW w:w="2276"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rPr>
                <w:b/>
              </w:rPr>
              <w:t xml:space="preserve">Signature: </w:t>
            </w:r>
            <w:r>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5B054C" w:rsidRDefault="005B054C" w:rsidP="005B054C">
            <w:pPr>
              <w:spacing w:after="24" w:line="259" w:lineRule="auto"/>
              <w:ind w:left="0" w:firstLine="0"/>
            </w:pPr>
            <w:proofErr w:type="spellStart"/>
            <w:r>
              <w:t>Readacted</w:t>
            </w:r>
            <w:proofErr w:type="spellEnd"/>
          </w:p>
          <w:p w:rsidR="009D3DB4" w:rsidRDefault="005B054C">
            <w:pPr>
              <w:spacing w:after="0" w:line="259" w:lineRule="auto"/>
              <w:ind w:left="-174" w:right="919" w:firstLine="0"/>
              <w:jc w:val="center"/>
            </w:pPr>
            <w:r>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9D3DB4" w:rsidRDefault="00AA388A">
            <w:pPr>
              <w:spacing w:after="0" w:line="259" w:lineRule="auto"/>
              <w:ind w:left="-110" w:right="919" w:firstLine="0"/>
              <w:jc w:val="center"/>
            </w:pPr>
            <w:proofErr w:type="spellStart"/>
            <w:r>
              <w:t>Readacted</w:t>
            </w:r>
            <w:proofErr w:type="spellEnd"/>
            <w:r w:rsidR="005B054C">
              <w:t xml:space="preserve">  </w:t>
            </w:r>
          </w:p>
        </w:tc>
      </w:tr>
      <w:tr w:rsidR="009D3DB4">
        <w:trPr>
          <w:trHeight w:val="694"/>
        </w:trPr>
        <w:tc>
          <w:tcPr>
            <w:tcW w:w="2276"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rPr>
                <w:b/>
              </w:rPr>
              <w:t xml:space="preserve">Date: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115" w:firstLine="0"/>
            </w:pPr>
            <w:r>
              <w:rPr>
                <w:shd w:val="clear" w:color="auto" w:fill="FFFF00"/>
              </w:rPr>
              <w:t>[Enter text]</w:t>
            </w:r>
            <w:r>
              <w:t xml:space="preserve">  </w:t>
            </w:r>
          </w:p>
          <w:p w:rsidR="009D3DB4" w:rsidRDefault="005B054C">
            <w:pPr>
              <w:spacing w:after="0" w:line="259" w:lineRule="auto"/>
              <w:ind w:left="54" w:firstLine="0"/>
            </w:pPr>
            <w:r>
              <w:rPr>
                <w:rFonts w:ascii="Lucida Console" w:eastAsia="Lucida Console" w:hAnsi="Lucida Console" w:cs="Lucida Console"/>
                <w:sz w:val="18"/>
              </w:rPr>
              <w:t>8</w:t>
            </w:r>
            <w:r>
              <w:rPr>
                <w:rFonts w:ascii="Lucida Console" w:eastAsia="Lucida Console" w:hAnsi="Lucida Console" w:cs="Lucida Console"/>
                <w:sz w:val="18"/>
                <w:shd w:val="clear" w:color="auto" w:fill="FFFF00"/>
              </w:rPr>
              <w:t>/3/2017</w:t>
            </w:r>
          </w:p>
        </w:tc>
        <w:tc>
          <w:tcPr>
            <w:tcW w:w="416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51" w:firstLine="0"/>
            </w:pPr>
            <w:r>
              <w:rPr>
                <w:rFonts w:ascii="Lucida Console" w:eastAsia="Lucida Console" w:hAnsi="Lucida Console" w:cs="Lucida Console"/>
                <w:sz w:val="18"/>
              </w:rPr>
              <w:t>8</w:t>
            </w:r>
            <w:r>
              <w:rPr>
                <w:shd w:val="clear" w:color="auto" w:fill="FFFF00"/>
              </w:rPr>
              <w:t>[</w:t>
            </w:r>
            <w:r>
              <w:rPr>
                <w:rFonts w:ascii="Lucida Console" w:eastAsia="Lucida Console" w:hAnsi="Lucida Console" w:cs="Lucida Console"/>
                <w:sz w:val="18"/>
                <w:shd w:val="clear" w:color="auto" w:fill="FFFF00"/>
              </w:rPr>
              <w:t>/</w:t>
            </w:r>
            <w:r>
              <w:rPr>
                <w:shd w:val="clear" w:color="auto" w:fill="FFFF00"/>
              </w:rPr>
              <w:t>Enter text</w:t>
            </w:r>
            <w:r>
              <w:rPr>
                <w:rFonts w:ascii="Lucida Console" w:eastAsia="Lucida Console" w:hAnsi="Lucida Console" w:cs="Lucida Console"/>
                <w:sz w:val="18"/>
                <w:shd w:val="clear" w:color="auto" w:fill="FFFF00"/>
              </w:rPr>
              <w:t xml:space="preserve">3/2017 </w:t>
            </w:r>
            <w:r>
              <w:rPr>
                <w:shd w:val="clear" w:color="auto" w:fill="FFFF00"/>
              </w:rPr>
              <w:t>]</w:t>
            </w:r>
            <w:r>
              <w:t xml:space="preserve">  </w:t>
            </w:r>
          </w:p>
        </w:tc>
      </w:tr>
    </w:tbl>
    <w:p w:rsidR="009D3DB4" w:rsidRDefault="005B054C">
      <w:pPr>
        <w:spacing w:after="173" w:line="259" w:lineRule="auto"/>
        <w:ind w:left="708" w:firstLine="0"/>
      </w:pPr>
      <w:r>
        <w:rPr>
          <w:b/>
        </w:rPr>
        <w:t xml:space="preserve">  </w:t>
      </w:r>
    </w:p>
    <w:p w:rsidR="009D3DB4" w:rsidRDefault="005B054C">
      <w:pPr>
        <w:spacing w:after="173" w:line="259" w:lineRule="auto"/>
        <w:ind w:left="708" w:firstLine="0"/>
      </w:pPr>
      <w:r>
        <w:rPr>
          <w:b/>
        </w:rPr>
        <w:t xml:space="preserve"> </w:t>
      </w:r>
    </w:p>
    <w:p w:rsidR="009D3DB4" w:rsidRDefault="005B054C">
      <w:pPr>
        <w:spacing w:after="317" w:line="259" w:lineRule="auto"/>
        <w:ind w:left="708" w:firstLine="0"/>
      </w:pPr>
      <w:r>
        <w:t xml:space="preserve"> </w:t>
      </w:r>
    </w:p>
    <w:p w:rsidR="009D3DB4" w:rsidRDefault="005B054C">
      <w:pPr>
        <w:pStyle w:val="Heading1"/>
        <w:ind w:left="689"/>
      </w:pPr>
      <w:bookmarkStart w:id="2" w:name="_Toc59168"/>
      <w:r>
        <w:t xml:space="preserve">Schedule 1 - Services  </w:t>
      </w:r>
      <w:bookmarkEnd w:id="2"/>
    </w:p>
    <w:p w:rsidR="009D3DB4" w:rsidRDefault="005B054C">
      <w:pPr>
        <w:spacing w:after="305"/>
        <w:ind w:left="716" w:right="5"/>
      </w:pPr>
      <w:r>
        <w:t xml:space="preserve">See </w:t>
      </w:r>
      <w:proofErr w:type="spellStart"/>
      <w:r>
        <w:t>SoW’s</w:t>
      </w:r>
      <w:proofErr w:type="spellEnd"/>
      <w:r>
        <w:t xml:space="preserve">. </w:t>
      </w:r>
    </w:p>
    <w:p w:rsidR="009D3DB4" w:rsidRDefault="005B054C">
      <w:pPr>
        <w:pStyle w:val="Heading1"/>
        <w:ind w:left="689"/>
      </w:pPr>
      <w:bookmarkStart w:id="3" w:name="_Toc59169"/>
      <w:r>
        <w:t xml:space="preserve">Schedule 2 - Call-Off Contract charges  </w:t>
      </w:r>
      <w:bookmarkEnd w:id="3"/>
    </w:p>
    <w:p w:rsidR="009D3DB4" w:rsidRDefault="005B054C">
      <w:pPr>
        <w:spacing w:after="10"/>
        <w:ind w:right="5"/>
      </w:pPr>
      <w:r>
        <w:t xml:space="preserve">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w:t>
      </w:r>
    </w:p>
    <w:p w:rsidR="009D3DB4" w:rsidRDefault="005B054C">
      <w:pPr>
        <w:spacing w:after="21" w:line="259" w:lineRule="auto"/>
        <w:ind w:left="694" w:firstLine="0"/>
      </w:pPr>
      <w:r>
        <w:t xml:space="preserve"> </w:t>
      </w:r>
    </w:p>
    <w:p w:rsidR="009D3DB4" w:rsidRDefault="005B054C">
      <w:pPr>
        <w:spacing w:after="12"/>
        <w:ind w:right="5"/>
      </w:pPr>
      <w:r>
        <w:t xml:space="preserve">The G-Cloud 9 rate card will apply. </w:t>
      </w:r>
    </w:p>
    <w:p w:rsidR="009D3DB4" w:rsidRDefault="005B054C">
      <w:pPr>
        <w:spacing w:after="12"/>
        <w:ind w:right="5"/>
      </w:pPr>
      <w:r>
        <w:t xml:space="preserve">HMRC will not pay expenses.  </w:t>
      </w:r>
    </w:p>
    <w:p w:rsidR="009D3DB4" w:rsidRDefault="005B054C">
      <w:pPr>
        <w:spacing w:after="319" w:line="259" w:lineRule="auto"/>
        <w:ind w:left="708" w:firstLine="0"/>
      </w:pPr>
      <w:r>
        <w:t xml:space="preserve"> </w:t>
      </w:r>
    </w:p>
    <w:p w:rsidR="009D3DB4" w:rsidRDefault="005B054C">
      <w:pPr>
        <w:pStyle w:val="Heading1"/>
        <w:ind w:left="689"/>
      </w:pPr>
      <w:bookmarkStart w:id="4" w:name="_Toc59170"/>
      <w:r>
        <w:t xml:space="preserve">Part B - Terms and conditions  </w:t>
      </w:r>
      <w:bookmarkEnd w:id="4"/>
    </w:p>
    <w:p w:rsidR="009D3DB4" w:rsidRDefault="005B054C">
      <w:pPr>
        <w:spacing w:after="21" w:line="259" w:lineRule="auto"/>
        <w:ind w:left="708" w:firstLine="0"/>
      </w:pPr>
      <w:r>
        <w:rPr>
          <w:b/>
        </w:rPr>
        <w:t xml:space="preserve"> </w:t>
      </w:r>
      <w:r>
        <w:t xml:space="preserve"> </w:t>
      </w:r>
    </w:p>
    <w:p w:rsidR="009D3DB4" w:rsidRDefault="005B054C">
      <w:pPr>
        <w:pStyle w:val="Heading3"/>
        <w:ind w:left="698"/>
      </w:pPr>
      <w:r>
        <w:t>1. Call-Off Contract start date and length</w:t>
      </w:r>
      <w:r>
        <w:rPr>
          <w:b w:val="0"/>
        </w:rPr>
        <w:t xml:space="preserve"> </w:t>
      </w:r>
      <w:r>
        <w:t xml:space="preserve"> </w:t>
      </w:r>
    </w:p>
    <w:p w:rsidR="009D3DB4" w:rsidRDefault="005B054C">
      <w:pPr>
        <w:tabs>
          <w:tab w:val="center" w:pos="832"/>
          <w:tab w:val="center" w:pos="5296"/>
        </w:tabs>
        <w:ind w:left="0" w:firstLine="0"/>
      </w:pPr>
      <w:r>
        <w:rPr>
          <w:rFonts w:ascii="Calibri" w:eastAsia="Calibri" w:hAnsi="Calibri" w:cs="Calibri"/>
          <w:sz w:val="22"/>
        </w:rPr>
        <w:tab/>
      </w:r>
      <w:r>
        <w:t xml:space="preserve">1.1 </w:t>
      </w:r>
      <w:r>
        <w:tab/>
        <w:t xml:space="preserve">The Supplier must start providing the Services on the date specified in the Order Form.  </w:t>
      </w:r>
    </w:p>
    <w:p w:rsidR="009D3DB4" w:rsidRDefault="005B054C">
      <w:pPr>
        <w:ind w:left="1412" w:right="5" w:hanging="718"/>
      </w:pPr>
      <w:r>
        <w:lastRenderedPageBreak/>
        <w:t xml:space="preserve">1.2 </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rsidR="009D3DB4" w:rsidRDefault="005B054C">
      <w:pPr>
        <w:ind w:left="1426" w:right="5" w:hanging="732"/>
      </w:pPr>
      <w:r>
        <w:t xml:space="preserve">1.3 </w:t>
      </w:r>
      <w:r>
        <w:tab/>
        <w:t xml:space="preserve">The Buyer can extend this Call-Off Contract, with written notice to the Supplier, by the period in the </w:t>
      </w:r>
      <w:proofErr w:type="gramStart"/>
      <w:r>
        <w:t>Order  Form</w:t>
      </w:r>
      <w:proofErr w:type="gramEnd"/>
      <w:r>
        <w:t xml:space="preserve">, as long as this is within the maximum permitted under the Framework Agreement of 2 periods of up to 12 months each.  </w:t>
      </w:r>
    </w:p>
    <w:p w:rsidR="009D3DB4" w:rsidRDefault="005B054C">
      <w:pPr>
        <w:ind w:left="1412" w:right="5" w:hanging="718"/>
      </w:pPr>
      <w:r>
        <w:t xml:space="preserve">1.4 </w:t>
      </w:r>
      <w:r>
        <w:tab/>
        <w:t xml:space="preserve">The Parties must comply with the requirements under clauses 21.3 to 21.8 if the Buyer reserves the right in the Order Form to extend the contract beyond 24 months.  </w:t>
      </w:r>
    </w:p>
    <w:p w:rsidR="009D3DB4" w:rsidRDefault="005B054C">
      <w:pPr>
        <w:pStyle w:val="Heading3"/>
        <w:ind w:left="698"/>
      </w:pPr>
      <w:r>
        <w:t xml:space="preserve">2. Incorporation of terms  </w:t>
      </w:r>
    </w:p>
    <w:p w:rsidR="009D3DB4" w:rsidRDefault="005B054C">
      <w:pPr>
        <w:ind w:left="1412" w:right="5" w:hanging="718"/>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9D3DB4" w:rsidRDefault="005B054C">
      <w:pPr>
        <w:numPr>
          <w:ilvl w:val="0"/>
          <w:numId w:val="2"/>
        </w:numPr>
        <w:ind w:right="5" w:hanging="358"/>
      </w:pPr>
      <w:r>
        <w:t xml:space="preserve">4.1 (Warranties and representations)  </w:t>
      </w:r>
    </w:p>
    <w:p w:rsidR="009D3DB4" w:rsidRDefault="005B054C">
      <w:pPr>
        <w:numPr>
          <w:ilvl w:val="0"/>
          <w:numId w:val="2"/>
        </w:numPr>
        <w:ind w:right="5" w:hanging="358"/>
      </w:pPr>
      <w:r>
        <w:t xml:space="preserve">4.2 to 4.7 (Liability)   </w:t>
      </w:r>
    </w:p>
    <w:p w:rsidR="009D3DB4" w:rsidRDefault="005B054C">
      <w:pPr>
        <w:numPr>
          <w:ilvl w:val="0"/>
          <w:numId w:val="2"/>
        </w:numPr>
        <w:ind w:right="5" w:hanging="358"/>
      </w:pPr>
      <w:r>
        <w:t xml:space="preserve">4.11 to 4.12 (IR35)  </w:t>
      </w:r>
    </w:p>
    <w:p w:rsidR="009D3DB4" w:rsidRDefault="005B054C">
      <w:pPr>
        <w:numPr>
          <w:ilvl w:val="0"/>
          <w:numId w:val="2"/>
        </w:numPr>
        <w:ind w:right="5" w:hanging="358"/>
      </w:pPr>
      <w:r>
        <w:t xml:space="preserve">5.4 to 5.5 (Force majeure)  </w:t>
      </w:r>
    </w:p>
    <w:p w:rsidR="009D3DB4" w:rsidRDefault="005B054C">
      <w:pPr>
        <w:numPr>
          <w:ilvl w:val="0"/>
          <w:numId w:val="2"/>
        </w:numPr>
        <w:ind w:right="5" w:hanging="358"/>
      </w:pPr>
      <w:r>
        <w:t xml:space="preserve">5.8 (Continuing rights)  </w:t>
      </w:r>
    </w:p>
    <w:p w:rsidR="009D3DB4" w:rsidRDefault="005B054C">
      <w:pPr>
        <w:numPr>
          <w:ilvl w:val="0"/>
          <w:numId w:val="2"/>
        </w:numPr>
        <w:ind w:right="5" w:hanging="358"/>
      </w:pPr>
      <w:r>
        <w:t xml:space="preserve">5.9 to 5.11 (Change of control)   </w:t>
      </w:r>
    </w:p>
    <w:p w:rsidR="009D3DB4" w:rsidRDefault="005B054C">
      <w:pPr>
        <w:numPr>
          <w:ilvl w:val="0"/>
          <w:numId w:val="2"/>
        </w:numPr>
        <w:ind w:right="5" w:hanging="358"/>
      </w:pPr>
      <w:r>
        <w:t xml:space="preserve">5.12 (Fraud)  </w:t>
      </w:r>
    </w:p>
    <w:p w:rsidR="009D3DB4" w:rsidRDefault="005B054C">
      <w:pPr>
        <w:numPr>
          <w:ilvl w:val="0"/>
          <w:numId w:val="2"/>
        </w:numPr>
        <w:ind w:right="5" w:hanging="358"/>
      </w:pPr>
      <w:r>
        <w:t xml:space="preserve">5.13 (Notice of fraud)  </w:t>
      </w:r>
    </w:p>
    <w:p w:rsidR="009D3DB4" w:rsidRDefault="005B054C">
      <w:pPr>
        <w:numPr>
          <w:ilvl w:val="0"/>
          <w:numId w:val="2"/>
        </w:numPr>
        <w:ind w:right="5" w:hanging="358"/>
      </w:pPr>
      <w:r>
        <w:t xml:space="preserve">7.1 to 7.2 (Transparency)  </w:t>
      </w:r>
    </w:p>
    <w:p w:rsidR="009D3DB4" w:rsidRDefault="005B054C">
      <w:pPr>
        <w:numPr>
          <w:ilvl w:val="0"/>
          <w:numId w:val="2"/>
        </w:numPr>
        <w:ind w:right="5" w:hanging="358"/>
      </w:pPr>
      <w:r>
        <w:t xml:space="preserve">8.3 (Order of precedence)  </w:t>
      </w:r>
    </w:p>
    <w:p w:rsidR="009D3DB4" w:rsidRDefault="005B054C">
      <w:pPr>
        <w:numPr>
          <w:ilvl w:val="0"/>
          <w:numId w:val="2"/>
        </w:numPr>
        <w:ind w:right="5" w:hanging="358"/>
      </w:pPr>
      <w:r>
        <w:t xml:space="preserve">8.4 (Relationship)  </w:t>
      </w:r>
    </w:p>
    <w:p w:rsidR="009D3DB4" w:rsidRDefault="005B054C">
      <w:pPr>
        <w:numPr>
          <w:ilvl w:val="0"/>
          <w:numId w:val="2"/>
        </w:numPr>
        <w:ind w:right="5" w:hanging="358"/>
      </w:pPr>
      <w:r>
        <w:t xml:space="preserve">8.7 to 8.9 (Entire agreement)  </w:t>
      </w:r>
    </w:p>
    <w:p w:rsidR="009D3DB4" w:rsidRDefault="005B054C">
      <w:pPr>
        <w:numPr>
          <w:ilvl w:val="0"/>
          <w:numId w:val="2"/>
        </w:numPr>
        <w:ind w:right="5" w:hanging="358"/>
      </w:pPr>
      <w:r>
        <w:t xml:space="preserve">8.10 (Law and jurisdiction)  </w:t>
      </w:r>
    </w:p>
    <w:p w:rsidR="009D3DB4" w:rsidRDefault="005B054C">
      <w:pPr>
        <w:numPr>
          <w:ilvl w:val="0"/>
          <w:numId w:val="2"/>
        </w:numPr>
        <w:ind w:right="5" w:hanging="358"/>
      </w:pPr>
      <w:r>
        <w:t xml:space="preserve">8.11 to 8.12 (Legislative change)  </w:t>
      </w:r>
    </w:p>
    <w:p w:rsidR="009D3DB4" w:rsidRDefault="005B054C">
      <w:pPr>
        <w:numPr>
          <w:ilvl w:val="0"/>
          <w:numId w:val="2"/>
        </w:numPr>
        <w:ind w:right="5" w:hanging="358"/>
      </w:pPr>
      <w:r>
        <w:t xml:space="preserve">8.13 to 8.17 (Bribery and corruption)  </w:t>
      </w:r>
    </w:p>
    <w:p w:rsidR="009D3DB4" w:rsidRDefault="005B054C">
      <w:pPr>
        <w:numPr>
          <w:ilvl w:val="0"/>
          <w:numId w:val="2"/>
        </w:numPr>
        <w:ind w:right="5" w:hanging="358"/>
      </w:pPr>
      <w:r>
        <w:t xml:space="preserve">8.18 to 8.27 (Freedom of Information Act)  </w:t>
      </w:r>
    </w:p>
    <w:p w:rsidR="009D3DB4" w:rsidRDefault="005B054C">
      <w:pPr>
        <w:numPr>
          <w:ilvl w:val="0"/>
          <w:numId w:val="2"/>
        </w:numPr>
        <w:ind w:right="5" w:hanging="358"/>
      </w:pPr>
      <w:r>
        <w:t xml:space="preserve">8.28 to 8.29 (Promoting tax compliance)   </w:t>
      </w:r>
    </w:p>
    <w:p w:rsidR="009D3DB4" w:rsidRDefault="005B054C">
      <w:pPr>
        <w:numPr>
          <w:ilvl w:val="0"/>
          <w:numId w:val="2"/>
        </w:numPr>
        <w:ind w:right="5" w:hanging="358"/>
      </w:pPr>
      <w:r>
        <w:t xml:space="preserve">8.30 to 8.31 (Official Secrets Act)  </w:t>
      </w:r>
    </w:p>
    <w:p w:rsidR="009D3DB4" w:rsidRDefault="005B054C">
      <w:pPr>
        <w:numPr>
          <w:ilvl w:val="0"/>
          <w:numId w:val="2"/>
        </w:numPr>
        <w:ind w:right="5" w:hanging="358"/>
      </w:pPr>
      <w:r>
        <w:t xml:space="preserve">8.32 to 8.35 (Transfer and subcontracting)  </w:t>
      </w:r>
    </w:p>
    <w:p w:rsidR="009D3DB4" w:rsidRDefault="005B054C">
      <w:pPr>
        <w:numPr>
          <w:ilvl w:val="0"/>
          <w:numId w:val="2"/>
        </w:numPr>
        <w:ind w:right="5" w:hanging="358"/>
      </w:pPr>
      <w:r>
        <w:t xml:space="preserve">8.38 to 8.41 (Complaints handling and resolution)  </w:t>
      </w:r>
    </w:p>
    <w:p w:rsidR="009D3DB4" w:rsidRDefault="005B054C">
      <w:pPr>
        <w:numPr>
          <w:ilvl w:val="0"/>
          <w:numId w:val="2"/>
        </w:numPr>
        <w:ind w:right="5" w:hanging="358"/>
      </w:pPr>
      <w:r>
        <w:t xml:space="preserve">8.49 to 8.51 (Publicity and branding)  </w:t>
      </w:r>
    </w:p>
    <w:p w:rsidR="009D3DB4" w:rsidRDefault="005B054C">
      <w:pPr>
        <w:numPr>
          <w:ilvl w:val="0"/>
          <w:numId w:val="2"/>
        </w:numPr>
        <w:ind w:right="5" w:hanging="358"/>
      </w:pPr>
      <w:r>
        <w:t xml:space="preserve">8.42 to 8.48 (Conflicts of interest and ethical walls)  </w:t>
      </w:r>
    </w:p>
    <w:p w:rsidR="009D3DB4" w:rsidRDefault="005B054C">
      <w:pPr>
        <w:numPr>
          <w:ilvl w:val="0"/>
          <w:numId w:val="2"/>
        </w:numPr>
        <w:ind w:right="5" w:hanging="358"/>
      </w:pPr>
      <w:r>
        <w:lastRenderedPageBreak/>
        <w:t xml:space="preserve">8.52 to 8.54 (Equality and diversity)  </w:t>
      </w:r>
    </w:p>
    <w:p w:rsidR="009D3DB4" w:rsidRDefault="005B054C">
      <w:pPr>
        <w:numPr>
          <w:ilvl w:val="0"/>
          <w:numId w:val="2"/>
        </w:numPr>
        <w:ind w:right="5" w:hanging="358"/>
      </w:pPr>
      <w:r>
        <w:t xml:space="preserve">8.57 to 8.62 (Data protection and disclosure)  </w:t>
      </w:r>
    </w:p>
    <w:p w:rsidR="009D3DB4" w:rsidRDefault="005B054C">
      <w:pPr>
        <w:numPr>
          <w:ilvl w:val="0"/>
          <w:numId w:val="2"/>
        </w:numPr>
        <w:ind w:right="5" w:hanging="358"/>
      </w:pPr>
      <w:r>
        <w:t xml:space="preserve">8.66 to 8.67 (Severability)  </w:t>
      </w:r>
    </w:p>
    <w:p w:rsidR="009D3DB4" w:rsidRDefault="005B054C">
      <w:pPr>
        <w:numPr>
          <w:ilvl w:val="0"/>
          <w:numId w:val="2"/>
        </w:numPr>
        <w:ind w:right="5" w:hanging="358"/>
      </w:pPr>
      <w:r>
        <w:t xml:space="preserve">8.68 to 8.82 (Managing disputes)   </w:t>
      </w:r>
    </w:p>
    <w:p w:rsidR="009D3DB4" w:rsidRDefault="005B054C">
      <w:pPr>
        <w:numPr>
          <w:ilvl w:val="0"/>
          <w:numId w:val="2"/>
        </w:numPr>
        <w:ind w:right="5" w:hanging="358"/>
      </w:pPr>
      <w:r>
        <w:t xml:space="preserve">8.83 to 8.91 (Confidentiality)  </w:t>
      </w:r>
    </w:p>
    <w:p w:rsidR="009D3DB4" w:rsidRDefault="005B054C">
      <w:pPr>
        <w:numPr>
          <w:ilvl w:val="0"/>
          <w:numId w:val="2"/>
        </w:numPr>
        <w:ind w:right="5" w:hanging="358"/>
      </w:pPr>
      <w:r>
        <w:t xml:space="preserve">8.92 to 8.93 (Waiver and cumulative remedies)  </w:t>
      </w:r>
    </w:p>
    <w:p w:rsidR="009D3DB4" w:rsidRDefault="005B054C">
      <w:pPr>
        <w:numPr>
          <w:ilvl w:val="0"/>
          <w:numId w:val="2"/>
        </w:numPr>
        <w:ind w:right="5" w:hanging="358"/>
      </w:pPr>
      <w:r>
        <w:t xml:space="preserve">paragraphs 1 to 10 of the Framework Agreement glossary and interpretations  </w:t>
      </w:r>
    </w:p>
    <w:p w:rsidR="009D3DB4" w:rsidRDefault="005B054C">
      <w:pPr>
        <w:numPr>
          <w:ilvl w:val="0"/>
          <w:numId w:val="2"/>
        </w:numPr>
        <w:ind w:right="5" w:hanging="358"/>
      </w:pPr>
      <w:r>
        <w:t xml:space="preserve">any audit provisions from the Framework Agreement set out by the Buyer in the Order Form  </w:t>
      </w:r>
    </w:p>
    <w:p w:rsidR="009D3DB4" w:rsidRDefault="005B054C">
      <w:pPr>
        <w:tabs>
          <w:tab w:val="center" w:pos="832"/>
          <w:tab w:val="center" w:pos="4930"/>
        </w:tabs>
        <w:spacing w:after="263"/>
        <w:ind w:left="0" w:firstLine="0"/>
      </w:pPr>
      <w:r>
        <w:rPr>
          <w:rFonts w:ascii="Calibri" w:eastAsia="Calibri" w:hAnsi="Calibri" w:cs="Calibri"/>
          <w:sz w:val="22"/>
        </w:rPr>
        <w:tab/>
      </w:r>
      <w:r>
        <w:t xml:space="preserve">2.2 </w:t>
      </w:r>
      <w:r>
        <w:tab/>
        <w:t xml:space="preserve">The Framework Agreement provisions in clause 2.1 will be modified as follows:  </w:t>
      </w:r>
    </w:p>
    <w:p w:rsidR="009D3DB4" w:rsidRDefault="005B054C">
      <w:pPr>
        <w:numPr>
          <w:ilvl w:val="0"/>
          <w:numId w:val="2"/>
        </w:numPr>
        <w:spacing w:after="266"/>
        <w:ind w:right="5" w:hanging="358"/>
      </w:pPr>
      <w:r>
        <w:t xml:space="preserve">a reference to the ‘Framework Agreement’ will be a reference to the ‘Call-Off Contract’  </w:t>
      </w:r>
    </w:p>
    <w:p w:rsidR="009D3DB4" w:rsidRDefault="005B054C">
      <w:pPr>
        <w:numPr>
          <w:ilvl w:val="0"/>
          <w:numId w:val="2"/>
        </w:numPr>
        <w:spacing w:after="267"/>
        <w:ind w:right="5" w:hanging="358"/>
      </w:pPr>
      <w:r>
        <w:t xml:space="preserve">a reference to ‘CCS’ will be a reference to ‘the Buyer’  </w:t>
      </w:r>
    </w:p>
    <w:p w:rsidR="009D3DB4" w:rsidRDefault="005B054C">
      <w:pPr>
        <w:numPr>
          <w:ilvl w:val="0"/>
          <w:numId w:val="2"/>
        </w:numPr>
        <w:ind w:right="5" w:hanging="358"/>
      </w:pPr>
      <w:r>
        <w:t xml:space="preserve">a reference to the ‘Parties’ and a ‘Party’ will be a reference to the Buyer and Supplier as Parties under this Call-Off Contract  </w:t>
      </w:r>
    </w:p>
    <w:p w:rsidR="009D3DB4" w:rsidRDefault="005B054C">
      <w:pPr>
        <w:numPr>
          <w:ilvl w:val="1"/>
          <w:numId w:val="3"/>
        </w:numPr>
        <w:ind w:right="5" w:hanging="718"/>
      </w:pPr>
      <w:r>
        <w:t xml:space="preserve">The Framework Agreement incorporated clauses will be referred to as ‘incorporated Framework clause XX’, where ‘XX’ is the Framework Agreement clause number.  </w:t>
      </w:r>
    </w:p>
    <w:p w:rsidR="009D3DB4" w:rsidRDefault="005B054C">
      <w:pPr>
        <w:numPr>
          <w:ilvl w:val="1"/>
          <w:numId w:val="3"/>
        </w:numPr>
        <w:spacing w:after="9"/>
        <w:ind w:right="5" w:hanging="718"/>
      </w:pPr>
      <w:r>
        <w:t>When an Order Form is signed, the terms and conditions agreed in it will be incorporated into this Call-</w:t>
      </w:r>
    </w:p>
    <w:p w:rsidR="009D3DB4" w:rsidRDefault="005B054C">
      <w:pPr>
        <w:ind w:left="1426" w:right="7977" w:firstLine="720"/>
      </w:pPr>
      <w:proofErr w:type="gramStart"/>
      <w:r>
        <w:t>Off  Contract</w:t>
      </w:r>
      <w:proofErr w:type="gramEnd"/>
      <w:r>
        <w:t xml:space="preserve">.  </w:t>
      </w:r>
    </w:p>
    <w:p w:rsidR="009D3DB4" w:rsidRDefault="005B054C">
      <w:pPr>
        <w:pStyle w:val="Heading3"/>
        <w:ind w:left="698"/>
      </w:pPr>
      <w:r>
        <w:t xml:space="preserve">3. Supply of services  </w:t>
      </w:r>
    </w:p>
    <w:p w:rsidR="009D3DB4" w:rsidRDefault="005B054C">
      <w:pPr>
        <w:ind w:left="1412" w:right="5" w:hanging="718"/>
      </w:pPr>
      <w:r>
        <w:t xml:space="preserve">3.1 </w:t>
      </w:r>
      <w:r>
        <w:tab/>
        <w:t xml:space="preserve">The Supplier agrees to supply the G-Cloud Services and any Additional Services under the terms of the Call-Off Contract and the Supplier’s Application.  </w:t>
      </w:r>
    </w:p>
    <w:p w:rsidR="009D3DB4" w:rsidRDefault="005B054C">
      <w:pPr>
        <w:ind w:left="1426" w:right="5" w:hanging="732"/>
      </w:pPr>
      <w:r>
        <w:t xml:space="preserve">3.2 </w:t>
      </w:r>
      <w:r>
        <w:tab/>
        <w:t xml:space="preserve">The Supplier undertakes that each G-Cloud Service will meet the Buyer’s acceptance criteria, as defined in </w:t>
      </w:r>
      <w:proofErr w:type="gramStart"/>
      <w:r>
        <w:t>the  Order</w:t>
      </w:r>
      <w:proofErr w:type="gramEnd"/>
      <w:r>
        <w:t xml:space="preserve"> Form.  </w:t>
      </w:r>
    </w:p>
    <w:p w:rsidR="009D3DB4" w:rsidRDefault="005B054C">
      <w:pPr>
        <w:pStyle w:val="Heading3"/>
        <w:ind w:left="698"/>
      </w:pPr>
      <w:r>
        <w:t xml:space="preserve">4. Supplier staff  </w:t>
      </w:r>
    </w:p>
    <w:p w:rsidR="009D3DB4" w:rsidRDefault="005B054C">
      <w:pPr>
        <w:tabs>
          <w:tab w:val="center" w:pos="832"/>
          <w:tab w:val="center" w:pos="2504"/>
        </w:tabs>
        <w:ind w:left="0" w:firstLine="0"/>
      </w:pPr>
      <w:r>
        <w:rPr>
          <w:rFonts w:ascii="Calibri" w:eastAsia="Calibri" w:hAnsi="Calibri" w:cs="Calibri"/>
          <w:sz w:val="22"/>
        </w:rPr>
        <w:tab/>
      </w:r>
      <w:r>
        <w:t xml:space="preserve">4.1 </w:t>
      </w:r>
      <w:r>
        <w:tab/>
        <w:t xml:space="preserve">The Supplier Staff must:  </w:t>
      </w:r>
    </w:p>
    <w:p w:rsidR="009D3DB4" w:rsidRDefault="005B054C">
      <w:pPr>
        <w:numPr>
          <w:ilvl w:val="0"/>
          <w:numId w:val="4"/>
        </w:numPr>
        <w:ind w:right="5" w:hanging="358"/>
      </w:pPr>
      <w:r>
        <w:t xml:space="preserve">be appropriately experienced, qualified and trained to supply the Services  </w:t>
      </w:r>
    </w:p>
    <w:p w:rsidR="009D3DB4" w:rsidRDefault="005B054C">
      <w:pPr>
        <w:numPr>
          <w:ilvl w:val="0"/>
          <w:numId w:val="4"/>
        </w:numPr>
        <w:ind w:right="5" w:hanging="358"/>
      </w:pPr>
      <w:r>
        <w:t xml:space="preserve">apply all due skill, care and diligence in faithfully performing those duties  </w:t>
      </w:r>
    </w:p>
    <w:p w:rsidR="009D3DB4" w:rsidRDefault="005B054C">
      <w:pPr>
        <w:numPr>
          <w:ilvl w:val="0"/>
          <w:numId w:val="4"/>
        </w:numPr>
        <w:ind w:right="5" w:hanging="358"/>
      </w:pPr>
      <w:r>
        <w:t xml:space="preserve">obey all lawful instructions and reasonable directions of the Buyer and provide the Services to the reasonable satisfaction of the Buyer  </w:t>
      </w:r>
    </w:p>
    <w:p w:rsidR="009D3DB4" w:rsidRDefault="005B054C">
      <w:pPr>
        <w:numPr>
          <w:ilvl w:val="0"/>
          <w:numId w:val="4"/>
        </w:numPr>
        <w:ind w:right="5" w:hanging="358"/>
      </w:pPr>
      <w:r>
        <w:t xml:space="preserve">respond to any enquiries about the Services as soon as reasonably possible  </w:t>
      </w:r>
    </w:p>
    <w:p w:rsidR="009D3DB4" w:rsidRDefault="005B054C">
      <w:pPr>
        <w:numPr>
          <w:ilvl w:val="0"/>
          <w:numId w:val="4"/>
        </w:numPr>
        <w:ind w:right="5" w:hanging="358"/>
      </w:pPr>
      <w:r>
        <w:t xml:space="preserve">complete any necessary Supplier Staff vetting as specified by the Buyer  </w:t>
      </w:r>
    </w:p>
    <w:p w:rsidR="009D3DB4" w:rsidRDefault="005B054C">
      <w:pPr>
        <w:numPr>
          <w:ilvl w:val="1"/>
          <w:numId w:val="5"/>
        </w:numPr>
        <w:ind w:right="5" w:hanging="718"/>
      </w:pPr>
      <w:r>
        <w:t xml:space="preserve">The Supplier must retain overall control of the Supplier Staff so that they are not considered to be employees, workers, agents or contractors of the Buyer.  </w:t>
      </w:r>
    </w:p>
    <w:p w:rsidR="009D3DB4" w:rsidRDefault="005B054C">
      <w:pPr>
        <w:numPr>
          <w:ilvl w:val="1"/>
          <w:numId w:val="5"/>
        </w:numPr>
        <w:spacing w:after="259"/>
        <w:ind w:right="5" w:hanging="718"/>
      </w:pPr>
      <w:r>
        <w:lastRenderedPageBreak/>
        <w:t xml:space="preserve">The Supplier may substitute any Supplier Staff as long as they have the equivalent experience and qualifications to the substituted staff member.  </w:t>
      </w:r>
    </w:p>
    <w:p w:rsidR="009D3DB4" w:rsidRDefault="005B054C">
      <w:pPr>
        <w:numPr>
          <w:ilvl w:val="1"/>
          <w:numId w:val="5"/>
        </w:numPr>
        <w:ind w:right="5" w:hanging="718"/>
      </w:pPr>
      <w:r>
        <w:t xml:space="preserve">The Buyer may conduct IR35 Assessments using the ESI tool to assess whether the Supplier’s engagement under the Call-Off Contract is Inside or Outside IR35.  </w:t>
      </w:r>
    </w:p>
    <w:p w:rsidR="009D3DB4" w:rsidRDefault="005B054C">
      <w:pPr>
        <w:numPr>
          <w:ilvl w:val="1"/>
          <w:numId w:val="5"/>
        </w:numPr>
        <w:ind w:right="5" w:hanging="718"/>
      </w:pPr>
      <w:r>
        <w:t xml:space="preserve">The Buyer may End this Call-Off Contract for Material Breach if the Supplier is delivering the Services </w:t>
      </w:r>
      <w:proofErr w:type="gramStart"/>
      <w:r>
        <w:t>Inside</w:t>
      </w:r>
      <w:proofErr w:type="gramEnd"/>
      <w:r>
        <w:t xml:space="preserve"> IR35.  </w:t>
      </w:r>
    </w:p>
    <w:p w:rsidR="009D3DB4" w:rsidRDefault="005B054C">
      <w:pPr>
        <w:numPr>
          <w:ilvl w:val="1"/>
          <w:numId w:val="5"/>
        </w:numPr>
        <w:spacing w:after="9"/>
        <w:ind w:right="5" w:hanging="718"/>
      </w:pPr>
      <w:r>
        <w:t xml:space="preserve">The Buyer may need the Supplier to complete an Indicative Test using the ESI tool before the Start </w:t>
      </w:r>
    </w:p>
    <w:p w:rsidR="009D3DB4" w:rsidRDefault="005B054C">
      <w:pPr>
        <w:ind w:left="2154" w:right="5"/>
      </w:pPr>
      <w:r>
        <w:t xml:space="preserve">Date or at any time during the provision of Services to provide a preliminary view of whether the </w:t>
      </w:r>
    </w:p>
    <w:p w:rsidR="009D3DB4" w:rsidRDefault="005B054C">
      <w:pPr>
        <w:ind w:left="2154" w:right="5"/>
      </w:pPr>
      <w:r>
        <w:t xml:space="preserve">Services are being delivered Inside or Outside IR35. If the Supplier has completed the Indicative Test, it must download and  </w:t>
      </w:r>
    </w:p>
    <w:p w:rsidR="009D3DB4" w:rsidRDefault="005B054C">
      <w:pPr>
        <w:spacing w:after="6" w:line="269" w:lineRule="auto"/>
        <w:ind w:left="1246" w:right="380" w:hanging="10"/>
        <w:jc w:val="center"/>
      </w:pPr>
      <w:proofErr w:type="gramStart"/>
      <w:r>
        <w:t>provide</w:t>
      </w:r>
      <w:proofErr w:type="gramEnd"/>
      <w:r>
        <w:t xml:space="preserve"> a copy of the PDF with the 14-digit ESI reference number from the summary outcome screen and </w:t>
      </w:r>
    </w:p>
    <w:p w:rsidR="009D3DB4" w:rsidRDefault="005B054C">
      <w:pPr>
        <w:ind w:left="1444" w:right="5"/>
      </w:pPr>
      <w:proofErr w:type="gramStart"/>
      <w:r>
        <w:t>promptly</w:t>
      </w:r>
      <w:proofErr w:type="gramEnd"/>
      <w:r>
        <w:t xml:space="preserve"> provide a copy to the Buyer.  </w:t>
      </w:r>
    </w:p>
    <w:p w:rsidR="009D3DB4" w:rsidRDefault="005B054C">
      <w:pPr>
        <w:numPr>
          <w:ilvl w:val="1"/>
          <w:numId w:val="5"/>
        </w:numPr>
        <w:ind w:right="5"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9D3DB4" w:rsidRDefault="005B054C">
      <w:pPr>
        <w:numPr>
          <w:ilvl w:val="1"/>
          <w:numId w:val="5"/>
        </w:numPr>
        <w:ind w:right="5" w:hanging="718"/>
      </w:pPr>
      <w:r>
        <w:t xml:space="preserve">If it is determined by the Buyer that the Supplier is Outside IR35, the Buyer will provide the ESI reference number and a copy of the PDF to the Supplier.  </w:t>
      </w:r>
    </w:p>
    <w:p w:rsidR="009D3DB4" w:rsidRDefault="005B054C">
      <w:pPr>
        <w:pStyle w:val="Heading3"/>
        <w:ind w:left="698"/>
      </w:pPr>
      <w:r>
        <w:t xml:space="preserve">5. Due diligence  </w:t>
      </w:r>
    </w:p>
    <w:p w:rsidR="009D3DB4" w:rsidRDefault="005B054C">
      <w:pPr>
        <w:tabs>
          <w:tab w:val="center" w:pos="832"/>
          <w:tab w:val="center" w:pos="4420"/>
        </w:tabs>
        <w:ind w:left="0" w:firstLine="0"/>
      </w:pPr>
      <w:r>
        <w:rPr>
          <w:rFonts w:ascii="Calibri" w:eastAsia="Calibri" w:hAnsi="Calibri" w:cs="Calibri"/>
          <w:sz w:val="22"/>
        </w:rPr>
        <w:tab/>
      </w:r>
      <w:r>
        <w:t xml:space="preserve">5.1 </w:t>
      </w:r>
      <w:r>
        <w:tab/>
        <w:t xml:space="preserve">Both Parties agree that when entering into a Call-Off Contract </w:t>
      </w:r>
      <w:proofErr w:type="gramStart"/>
      <w:r>
        <w:t>they</w:t>
      </w:r>
      <w:proofErr w:type="gramEnd"/>
      <w:r>
        <w:t xml:space="preserve">:  </w:t>
      </w:r>
    </w:p>
    <w:p w:rsidR="009D3DB4" w:rsidRDefault="005B054C">
      <w:pPr>
        <w:numPr>
          <w:ilvl w:val="0"/>
          <w:numId w:val="6"/>
        </w:numPr>
        <w:ind w:right="5" w:hanging="358"/>
      </w:pPr>
      <w:r>
        <w:t xml:space="preserve">have made their own enquiries and are satisfied by the accuracy of any information supplied by the other Party  </w:t>
      </w:r>
    </w:p>
    <w:p w:rsidR="009D3DB4" w:rsidRDefault="005B054C">
      <w:pPr>
        <w:numPr>
          <w:ilvl w:val="0"/>
          <w:numId w:val="6"/>
        </w:numPr>
        <w:ind w:right="5" w:hanging="358"/>
      </w:pPr>
      <w:r>
        <w:t xml:space="preserve">are confident that they can fulfil their obligations according to the Call-Off Contract terms  </w:t>
      </w:r>
    </w:p>
    <w:p w:rsidR="009D3DB4" w:rsidRDefault="005B054C">
      <w:pPr>
        <w:numPr>
          <w:ilvl w:val="0"/>
          <w:numId w:val="6"/>
        </w:numPr>
        <w:ind w:right="5" w:hanging="358"/>
      </w:pPr>
      <w:r>
        <w:t xml:space="preserve">have raised all due diligence questions before signing the Call-Off Contract  </w:t>
      </w:r>
    </w:p>
    <w:p w:rsidR="009D3DB4" w:rsidRDefault="005B054C">
      <w:pPr>
        <w:numPr>
          <w:ilvl w:val="0"/>
          <w:numId w:val="6"/>
        </w:numPr>
        <w:ind w:right="5" w:hanging="358"/>
      </w:pPr>
      <w:r>
        <w:t xml:space="preserve">have entered into the Call-Off Contract relying on its own due diligence  </w:t>
      </w:r>
    </w:p>
    <w:p w:rsidR="009D3DB4" w:rsidRDefault="005B054C">
      <w:pPr>
        <w:pStyle w:val="Heading3"/>
        <w:ind w:left="698"/>
      </w:pPr>
      <w:r>
        <w:t xml:space="preserve">6. Business continuity and disaster recovery  </w:t>
      </w:r>
    </w:p>
    <w:p w:rsidR="009D3DB4" w:rsidRDefault="005B054C">
      <w:pPr>
        <w:tabs>
          <w:tab w:val="center" w:pos="832"/>
          <w:tab w:val="center" w:pos="6086"/>
        </w:tabs>
        <w:spacing w:after="266"/>
        <w:ind w:left="0" w:firstLine="0"/>
      </w:pPr>
      <w:r>
        <w:rPr>
          <w:rFonts w:ascii="Calibri" w:eastAsia="Calibri" w:hAnsi="Calibri" w:cs="Calibri"/>
          <w:sz w:val="22"/>
        </w:rPr>
        <w:tab/>
      </w:r>
      <w:r>
        <w:t xml:space="preserve">6.1 </w:t>
      </w:r>
      <w:r>
        <w:tab/>
        <w:t xml:space="preserve">The Supplier will have a clear business continuity and disaster recovery plan in their service descriptions.  </w:t>
      </w:r>
    </w:p>
    <w:p w:rsidR="009D3DB4" w:rsidRDefault="005B054C">
      <w:pPr>
        <w:ind w:left="1412" w:right="5" w:hanging="718"/>
      </w:pPr>
      <w:r>
        <w:t xml:space="preserve">6.2 </w:t>
      </w:r>
      <w:r>
        <w:tab/>
        <w:t xml:space="preserve">The Supplier’s business continuity and disaster recovery services are part of the Services and will be performed by the Supplier when required.  </w:t>
      </w:r>
    </w:p>
    <w:p w:rsidR="009D3DB4" w:rsidRDefault="005B054C">
      <w:pPr>
        <w:ind w:left="1412" w:right="5" w:hanging="718"/>
      </w:pPr>
      <w:r>
        <w:t xml:space="preserve">6.3 </w:t>
      </w:r>
      <w:r>
        <w:tab/>
        <w:t xml:space="preserve">If requested by the Buyer prior to entering into this Call-Off Contract, the Supplier must ensure that its business continuity and disaster recovery plan is consistent with the Buyer’s own plans.  </w:t>
      </w:r>
    </w:p>
    <w:p w:rsidR="009D3DB4" w:rsidRDefault="005B054C">
      <w:pPr>
        <w:pStyle w:val="Heading3"/>
        <w:spacing w:after="268"/>
        <w:ind w:left="698"/>
      </w:pPr>
      <w:r>
        <w:t xml:space="preserve">7. Payment, VAT and Call-Off Contract charges  </w:t>
      </w:r>
    </w:p>
    <w:p w:rsidR="009D3DB4" w:rsidRDefault="005B054C">
      <w:pPr>
        <w:tabs>
          <w:tab w:val="center" w:pos="832"/>
          <w:tab w:val="center" w:pos="6065"/>
        </w:tabs>
        <w:ind w:left="0" w:firstLine="0"/>
      </w:pPr>
      <w:r>
        <w:rPr>
          <w:rFonts w:ascii="Calibri" w:eastAsia="Calibri" w:hAnsi="Calibri" w:cs="Calibri"/>
          <w:sz w:val="22"/>
        </w:rPr>
        <w:tab/>
      </w:r>
      <w:r>
        <w:t xml:space="preserve">7.1 </w:t>
      </w:r>
      <w:r>
        <w:tab/>
        <w:t xml:space="preserve">The Buyer must pay the Charges following clauses 7.2 to 7.11 for the Supplier’s delivery of the Services.  </w:t>
      </w:r>
    </w:p>
    <w:p w:rsidR="009D3DB4" w:rsidRDefault="005B054C">
      <w:pPr>
        <w:ind w:left="1412" w:right="5" w:hanging="718"/>
      </w:pPr>
      <w:r>
        <w:t xml:space="preserve">7.2 </w:t>
      </w:r>
      <w:r>
        <w:tab/>
        <w:t xml:space="preserve">The Buyer will pay the Supplier within the number of days specified in the Order Form on receipt of a valid invoice.  </w:t>
      </w:r>
    </w:p>
    <w:p w:rsidR="009D3DB4" w:rsidRDefault="005B054C">
      <w:pPr>
        <w:ind w:left="1412" w:right="5" w:hanging="718"/>
      </w:pPr>
      <w:r>
        <w:t xml:space="preserve">7.3 </w:t>
      </w:r>
      <w:r>
        <w:tab/>
        <w:t xml:space="preserve">The Call-Off Contract Charges include all Charges for payment processing. All invoices submitted to the Buyer for the Services will be exclusive of any Management Charge.  </w:t>
      </w:r>
    </w:p>
    <w:p w:rsidR="009D3DB4" w:rsidRDefault="005B054C">
      <w:pPr>
        <w:ind w:left="1412" w:right="5" w:hanging="718"/>
      </w:pPr>
      <w:r>
        <w:lastRenderedPageBreak/>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9D3DB4" w:rsidRDefault="005B054C">
      <w:pPr>
        <w:ind w:left="1412" w:right="5" w:hanging="718"/>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9D3DB4" w:rsidRDefault="005B054C">
      <w:pPr>
        <w:ind w:left="716" w:right="5"/>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9D3DB4" w:rsidRDefault="005B054C">
      <w:pPr>
        <w:tabs>
          <w:tab w:val="center" w:pos="832"/>
          <w:tab w:val="center" w:pos="5369"/>
        </w:tabs>
        <w:ind w:left="0" w:firstLine="0"/>
      </w:pPr>
      <w:r>
        <w:rPr>
          <w:rFonts w:ascii="Calibri" w:eastAsia="Calibri" w:hAnsi="Calibri" w:cs="Calibri"/>
          <w:sz w:val="22"/>
        </w:rPr>
        <w:tab/>
      </w:r>
      <w:r>
        <w:t xml:space="preserve">7.7 </w:t>
      </w:r>
      <w:r>
        <w:tab/>
        <w:t xml:space="preserve">All Charges payable by the Buyer to the Supplier will include VAT at the appropriate rate.  </w:t>
      </w:r>
    </w:p>
    <w:p w:rsidR="009D3DB4" w:rsidRDefault="005B054C">
      <w:pPr>
        <w:ind w:left="1412" w:right="5" w:hanging="718"/>
      </w:pPr>
      <w:r>
        <w:t xml:space="preserve">7.8 </w:t>
      </w:r>
      <w:r>
        <w:tab/>
        <w:t xml:space="preserve">The Supplier must add VAT to the Charges at the appropriate rate with visibility of the amount as a separate line item.   </w:t>
      </w:r>
    </w:p>
    <w:p w:rsidR="009D3DB4" w:rsidRDefault="005B054C">
      <w:pPr>
        <w:ind w:right="5"/>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9D3DB4" w:rsidRDefault="005B054C">
      <w:pPr>
        <w:tabs>
          <w:tab w:val="center" w:pos="887"/>
          <w:tab w:val="center" w:pos="6195"/>
        </w:tabs>
        <w:spacing w:after="40"/>
        <w:ind w:left="0" w:firstLine="0"/>
      </w:pPr>
      <w:r>
        <w:rPr>
          <w:rFonts w:ascii="Calibri" w:eastAsia="Calibri" w:hAnsi="Calibri" w:cs="Calibri"/>
          <w:sz w:val="22"/>
        </w:rPr>
        <w:tab/>
      </w:r>
      <w:r>
        <w:t xml:space="preserve">7.10 </w:t>
      </w:r>
      <w:r>
        <w:tab/>
        <w:t xml:space="preserve">The Supplier must not suspend the supply of the G-Cloud Services unless the Supplier is entitled to End this </w:t>
      </w:r>
    </w:p>
    <w:p w:rsidR="009D3DB4" w:rsidRDefault="005B054C">
      <w:pPr>
        <w:spacing w:after="257"/>
        <w:ind w:left="1420" w:right="5"/>
      </w:pPr>
      <w:r>
        <w:t xml:space="preserve">Call-Off Contract under clause 18.6 for Buyer’s failure to pay undisputed sums of money. Interest will be payable by the Buyer on the late payment of any undisputed sums of money properly invoiced under the Late Payment of Commercial Debts (Interest) Act 1998.   </w:t>
      </w:r>
    </w:p>
    <w:p w:rsidR="009D3DB4" w:rsidRDefault="005B054C">
      <w:pPr>
        <w:ind w:left="1412" w:right="5" w:hanging="718"/>
      </w:pPr>
      <w:r>
        <w:t xml:space="preserve">7.11 </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9D3DB4" w:rsidRDefault="005B054C">
      <w:pPr>
        <w:ind w:left="1412" w:right="5" w:hanging="718"/>
      </w:pPr>
      <w:r>
        <w:t xml:space="preserve">7.12 </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9D3DB4" w:rsidRDefault="005B054C">
      <w:pPr>
        <w:numPr>
          <w:ilvl w:val="0"/>
          <w:numId w:val="7"/>
        </w:numPr>
        <w:spacing w:after="237" w:line="259" w:lineRule="auto"/>
        <w:ind w:hanging="221"/>
      </w:pPr>
      <w:r>
        <w:rPr>
          <w:b/>
        </w:rPr>
        <w:t xml:space="preserve">Recovery of sums due and right of set-off  </w:t>
      </w:r>
    </w:p>
    <w:p w:rsidR="009D3DB4" w:rsidRDefault="005B054C">
      <w:pPr>
        <w:tabs>
          <w:tab w:val="center" w:pos="832"/>
          <w:tab w:val="center" w:pos="6158"/>
        </w:tabs>
        <w:ind w:left="0" w:firstLine="0"/>
      </w:pPr>
      <w:r>
        <w:rPr>
          <w:rFonts w:ascii="Calibri" w:eastAsia="Calibri" w:hAnsi="Calibri" w:cs="Calibri"/>
          <w:sz w:val="22"/>
        </w:rPr>
        <w:tab/>
      </w:r>
      <w:r>
        <w:t xml:space="preserve">8.1 </w:t>
      </w:r>
      <w:r>
        <w:tab/>
        <w:t xml:space="preserve">If a Supplier owes money to the Buyer, the Buyer may deduct that sum from the Call-Off Contract Charges. </w:t>
      </w:r>
    </w:p>
    <w:p w:rsidR="009D3DB4" w:rsidRDefault="005B054C">
      <w:pPr>
        <w:pStyle w:val="Heading3"/>
        <w:ind w:left="698"/>
      </w:pPr>
      <w:r>
        <w:rPr>
          <w:b w:val="0"/>
        </w:rPr>
        <w:t xml:space="preserve"> </w:t>
      </w:r>
      <w:r>
        <w:t xml:space="preserve">9. Insurance </w:t>
      </w:r>
      <w:r>
        <w:rPr>
          <w:b w:val="0"/>
        </w:rPr>
        <w:t xml:space="preserve"> </w:t>
      </w:r>
    </w:p>
    <w:p w:rsidR="009D3DB4" w:rsidRDefault="005B054C">
      <w:pPr>
        <w:tabs>
          <w:tab w:val="center" w:pos="832"/>
          <w:tab w:val="center" w:pos="5573"/>
        </w:tabs>
        <w:ind w:left="0" w:firstLine="0"/>
      </w:pPr>
      <w:r>
        <w:rPr>
          <w:rFonts w:ascii="Calibri" w:eastAsia="Calibri" w:hAnsi="Calibri" w:cs="Calibri"/>
          <w:sz w:val="22"/>
        </w:rPr>
        <w:tab/>
      </w:r>
      <w:r>
        <w:t xml:space="preserve">9.1 </w:t>
      </w:r>
      <w:r>
        <w:tab/>
        <w:t xml:space="preserve">The Supplier will maintain the insurances required by the Buyer including those in this clause.  </w:t>
      </w:r>
    </w:p>
    <w:p w:rsidR="009D3DB4" w:rsidRDefault="005B054C">
      <w:pPr>
        <w:tabs>
          <w:tab w:val="center" w:pos="832"/>
          <w:tab w:val="center" w:pos="2714"/>
        </w:tabs>
        <w:ind w:left="0" w:firstLine="0"/>
      </w:pPr>
      <w:r>
        <w:rPr>
          <w:rFonts w:ascii="Calibri" w:eastAsia="Calibri" w:hAnsi="Calibri" w:cs="Calibri"/>
          <w:sz w:val="22"/>
        </w:rPr>
        <w:tab/>
      </w:r>
      <w:r>
        <w:t xml:space="preserve">9.2 </w:t>
      </w:r>
      <w:r>
        <w:tab/>
        <w:t xml:space="preserve">The Supplier will ensure that:  </w:t>
      </w:r>
    </w:p>
    <w:p w:rsidR="009D3DB4" w:rsidRDefault="005B054C">
      <w:pPr>
        <w:numPr>
          <w:ilvl w:val="0"/>
          <w:numId w:val="8"/>
        </w:numPr>
        <w:spacing w:after="258"/>
        <w:ind w:right="5" w:hanging="403"/>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9D3DB4" w:rsidRDefault="005B054C">
      <w:pPr>
        <w:numPr>
          <w:ilvl w:val="0"/>
          <w:numId w:val="8"/>
        </w:numPr>
        <w:ind w:right="5" w:hanging="403"/>
      </w:pPr>
      <w:r>
        <w:t xml:space="preserve">the third-party public and products liability insurance contains an ‘indemnity to principals’ clause for the Buyer’s benefit   </w:t>
      </w:r>
    </w:p>
    <w:p w:rsidR="009D3DB4" w:rsidRDefault="005B054C">
      <w:pPr>
        <w:numPr>
          <w:ilvl w:val="0"/>
          <w:numId w:val="8"/>
        </w:numPr>
        <w:ind w:right="5" w:hanging="403"/>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9D3DB4" w:rsidRDefault="005B054C">
      <w:pPr>
        <w:numPr>
          <w:ilvl w:val="0"/>
          <w:numId w:val="8"/>
        </w:numPr>
        <w:ind w:right="5" w:hanging="403"/>
      </w:pPr>
      <w:r>
        <w:lastRenderedPageBreak/>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9D3DB4" w:rsidRDefault="005B054C">
      <w:pPr>
        <w:numPr>
          <w:ilvl w:val="1"/>
          <w:numId w:val="9"/>
        </w:numPr>
        <w:ind w:right="5" w:hanging="718"/>
      </w:pPr>
      <w:r>
        <w:t xml:space="preserve">If requested by the Buyer, the Supplier will obtain additional insurance policies, or extend existing policies bought under the Framework Agreement.  </w:t>
      </w:r>
    </w:p>
    <w:p w:rsidR="009D3DB4" w:rsidRDefault="005B054C">
      <w:pPr>
        <w:numPr>
          <w:ilvl w:val="1"/>
          <w:numId w:val="9"/>
        </w:numPr>
        <w:ind w:right="5" w:hanging="718"/>
      </w:pPr>
      <w:r>
        <w:t xml:space="preserve">If requested by the Buyer, the Supplier will provide the following to show compliance with this clause:  </w:t>
      </w:r>
    </w:p>
    <w:p w:rsidR="009D3DB4" w:rsidRDefault="005B054C">
      <w:pPr>
        <w:numPr>
          <w:ilvl w:val="0"/>
          <w:numId w:val="8"/>
        </w:numPr>
        <w:ind w:right="5" w:hanging="403"/>
      </w:pPr>
      <w:r>
        <w:t xml:space="preserve">a broker's verification of insurance  </w:t>
      </w:r>
    </w:p>
    <w:p w:rsidR="009D3DB4" w:rsidRDefault="005B054C">
      <w:pPr>
        <w:numPr>
          <w:ilvl w:val="0"/>
          <w:numId w:val="8"/>
        </w:numPr>
        <w:ind w:right="5" w:hanging="403"/>
      </w:pPr>
      <w:r>
        <w:t xml:space="preserve">receipts for the insurance premium  </w:t>
      </w:r>
    </w:p>
    <w:p w:rsidR="009D3DB4" w:rsidRDefault="005B054C">
      <w:pPr>
        <w:numPr>
          <w:ilvl w:val="0"/>
          <w:numId w:val="8"/>
        </w:numPr>
        <w:ind w:right="5" w:hanging="403"/>
      </w:pPr>
      <w:r>
        <w:t xml:space="preserve">evidence of payment of the latest premiums due  </w:t>
      </w:r>
    </w:p>
    <w:p w:rsidR="009D3DB4" w:rsidRDefault="005B054C">
      <w:pPr>
        <w:ind w:left="1412" w:right="5" w:hanging="718"/>
      </w:pPr>
      <w:r>
        <w:t xml:space="preserve">9.5 </w:t>
      </w:r>
      <w:r>
        <w:tab/>
        <w:t xml:space="preserve">Insurance will not relieve the Supplier of any liabilities under the Framework Agreement or this Call-Off Contract and the Supplier will:  </w:t>
      </w:r>
    </w:p>
    <w:p w:rsidR="009D3DB4" w:rsidRDefault="005B054C">
      <w:pPr>
        <w:numPr>
          <w:ilvl w:val="0"/>
          <w:numId w:val="8"/>
        </w:numPr>
        <w:ind w:right="5" w:hanging="403"/>
      </w:pPr>
      <w:r>
        <w:t xml:space="preserve">take all risk control measures using Good Industry Practice, including the investigation and reports of claims to insurers  </w:t>
      </w:r>
    </w:p>
    <w:p w:rsidR="009D3DB4" w:rsidRDefault="005B054C">
      <w:pPr>
        <w:numPr>
          <w:ilvl w:val="0"/>
          <w:numId w:val="8"/>
        </w:numPr>
        <w:ind w:right="5" w:hanging="403"/>
      </w:pPr>
      <w:r>
        <w:t xml:space="preserve">promptly notify the insurers in writing of any relevant material fact under any insurances   </w:t>
      </w:r>
    </w:p>
    <w:p w:rsidR="009D3DB4" w:rsidRDefault="005B054C">
      <w:pPr>
        <w:numPr>
          <w:ilvl w:val="0"/>
          <w:numId w:val="8"/>
        </w:numPr>
        <w:ind w:right="5" w:hanging="403"/>
      </w:pPr>
      <w:r>
        <w:t xml:space="preserve">hold all insurance policies and require any broker arranging the insurance to hold any insurance slips and other evidence of insurance  </w:t>
      </w:r>
    </w:p>
    <w:p w:rsidR="009D3DB4" w:rsidRDefault="005B054C">
      <w:pPr>
        <w:numPr>
          <w:ilvl w:val="1"/>
          <w:numId w:val="10"/>
        </w:numPr>
        <w:ind w:right="5" w:hanging="718"/>
      </w:pPr>
      <w:r>
        <w:t xml:space="preserve">The Supplier will not do or omit to do anything, which would destroy or impair the legal validity of the insurance.  </w:t>
      </w:r>
    </w:p>
    <w:p w:rsidR="009D3DB4" w:rsidRDefault="005B054C">
      <w:pPr>
        <w:numPr>
          <w:ilvl w:val="1"/>
          <w:numId w:val="10"/>
        </w:numPr>
        <w:ind w:right="5" w:hanging="718"/>
      </w:pPr>
      <w:r>
        <w:t xml:space="preserve">The Supplier will notify CCS and the Buyer as soon as possible if any insurance policies have been, or are due to be, cancelled, suspended, Ended or not renewed.  </w:t>
      </w:r>
    </w:p>
    <w:p w:rsidR="009D3DB4" w:rsidRDefault="005B054C">
      <w:pPr>
        <w:numPr>
          <w:ilvl w:val="1"/>
          <w:numId w:val="10"/>
        </w:numPr>
        <w:ind w:right="5" w:hanging="718"/>
      </w:pPr>
      <w:r>
        <w:t xml:space="preserve">The Supplier will be liable for the payment of any:  </w:t>
      </w:r>
    </w:p>
    <w:p w:rsidR="009D3DB4" w:rsidRDefault="005B054C">
      <w:pPr>
        <w:numPr>
          <w:ilvl w:val="0"/>
          <w:numId w:val="8"/>
        </w:numPr>
        <w:ind w:right="5" w:hanging="403"/>
      </w:pPr>
      <w:r>
        <w:t xml:space="preserve">premiums, which it will pay promptly  </w:t>
      </w:r>
    </w:p>
    <w:p w:rsidR="009D3DB4" w:rsidRDefault="005B054C">
      <w:pPr>
        <w:numPr>
          <w:ilvl w:val="0"/>
          <w:numId w:val="8"/>
        </w:numPr>
        <w:ind w:right="5" w:hanging="403"/>
      </w:pPr>
      <w:r>
        <w:t xml:space="preserve">excess or deductibles and will not be entitled to recover this from the Buyer   </w:t>
      </w:r>
    </w:p>
    <w:p w:rsidR="009D3DB4" w:rsidRDefault="005B054C">
      <w:pPr>
        <w:pStyle w:val="Heading3"/>
        <w:ind w:left="698"/>
      </w:pPr>
      <w:r>
        <w:t xml:space="preserve">10. Confidentiality   </w:t>
      </w:r>
    </w:p>
    <w:p w:rsidR="009D3DB4" w:rsidRDefault="005B054C">
      <w:pPr>
        <w:tabs>
          <w:tab w:val="center" w:pos="887"/>
          <w:tab w:val="right" w:pos="11309"/>
        </w:tabs>
        <w:spacing w:after="21"/>
        <w:ind w:left="0" w:firstLine="0"/>
      </w:pPr>
      <w:r>
        <w:rPr>
          <w:rFonts w:ascii="Calibri" w:eastAsia="Calibri" w:hAnsi="Calibri" w:cs="Calibri"/>
          <w:sz w:val="22"/>
        </w:rPr>
        <w:tab/>
      </w:r>
      <w:r>
        <w:t xml:space="preserve">10.1 </w:t>
      </w:r>
      <w:r>
        <w:tab/>
        <w:t xml:space="preserve">Subject to clause 24.1 the Supplier must during and after the Term keep the Buyer fully indemnified against all  </w:t>
      </w:r>
    </w:p>
    <w:p w:rsidR="009D3DB4" w:rsidRDefault="005B054C">
      <w:pPr>
        <w:ind w:left="1434" w:right="5"/>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9D3DB4" w:rsidRDefault="005B054C">
      <w:pPr>
        <w:pStyle w:val="Heading3"/>
        <w:ind w:left="698"/>
      </w:pPr>
      <w:r>
        <w:t xml:space="preserve">11. Intellectual Property Rights  </w:t>
      </w:r>
    </w:p>
    <w:p w:rsidR="009D3DB4" w:rsidRDefault="005B054C">
      <w:pPr>
        <w:ind w:left="1412" w:right="5" w:hanging="718"/>
      </w:pPr>
      <w:r>
        <w:t xml:space="preserve">11.1 </w:t>
      </w:r>
      <w:r>
        <w:tab/>
        <w:t xml:space="preserve">Unless otherwise specified in this Call-Off Contract, a Party will not acquire any right, title or interest in or to the Intellectual Property Rights (IPRs) of the other Party or its licensors.  </w:t>
      </w:r>
    </w:p>
    <w:p w:rsidR="009D3DB4" w:rsidRDefault="005B054C">
      <w:pPr>
        <w:ind w:left="1412" w:right="5" w:hanging="718"/>
      </w:pPr>
      <w:r>
        <w:t xml:space="preserve">11.2 </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9D3DB4" w:rsidRDefault="005B054C">
      <w:pPr>
        <w:spacing w:after="255"/>
        <w:ind w:left="1412" w:right="5" w:hanging="718"/>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9D3DB4" w:rsidRDefault="005B054C">
      <w:pPr>
        <w:ind w:left="1412" w:right="5" w:hanging="718"/>
      </w:pPr>
      <w:r>
        <w:lastRenderedPageBreak/>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9D3DB4" w:rsidRDefault="005B054C">
      <w:pPr>
        <w:ind w:left="1412" w:right="5" w:hanging="718"/>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9D3DB4" w:rsidRDefault="005B054C">
      <w:pPr>
        <w:numPr>
          <w:ilvl w:val="0"/>
          <w:numId w:val="11"/>
        </w:numPr>
        <w:spacing w:after="267"/>
        <w:ind w:right="5" w:hanging="358"/>
      </w:pPr>
      <w:r>
        <w:t xml:space="preserve">rights granted to the Buyer under this Call-Off Contract  </w:t>
      </w:r>
    </w:p>
    <w:p w:rsidR="009D3DB4" w:rsidRDefault="005B054C">
      <w:pPr>
        <w:numPr>
          <w:ilvl w:val="0"/>
          <w:numId w:val="11"/>
        </w:numPr>
        <w:ind w:right="5" w:hanging="358"/>
      </w:pPr>
      <w:r>
        <w:t xml:space="preserve">Supplier’s performance of the Services   </w:t>
      </w:r>
    </w:p>
    <w:p w:rsidR="009D3DB4" w:rsidRDefault="005B054C">
      <w:pPr>
        <w:numPr>
          <w:ilvl w:val="0"/>
          <w:numId w:val="11"/>
        </w:numPr>
        <w:ind w:right="5" w:hanging="358"/>
      </w:pPr>
      <w:r>
        <w:t xml:space="preserve">use by the Buyer of the Services   </w:t>
      </w:r>
    </w:p>
    <w:p w:rsidR="009D3DB4" w:rsidRDefault="005B054C">
      <w:pPr>
        <w:ind w:left="1412" w:right="5" w:hanging="718"/>
      </w:pPr>
      <w:r>
        <w:t xml:space="preserve">11.6 </w:t>
      </w:r>
      <w:r>
        <w:tab/>
        <w:t xml:space="preserve">If an IPR Claim is made, or is likely to be made, the Supplier will immediately notify the Buyer in writing and must at its own expense after written approval from the Buyer, either:  </w:t>
      </w:r>
    </w:p>
    <w:p w:rsidR="009D3DB4" w:rsidRDefault="005B054C">
      <w:pPr>
        <w:numPr>
          <w:ilvl w:val="0"/>
          <w:numId w:val="11"/>
        </w:numPr>
        <w:ind w:right="5" w:hanging="358"/>
      </w:pPr>
      <w:r>
        <w:t xml:space="preserve">modify the relevant part of the Services without reducing its functionality or performance  </w:t>
      </w:r>
    </w:p>
    <w:p w:rsidR="009D3DB4" w:rsidRDefault="005B054C">
      <w:pPr>
        <w:numPr>
          <w:ilvl w:val="0"/>
          <w:numId w:val="11"/>
        </w:numPr>
        <w:ind w:right="5" w:hanging="358"/>
      </w:pPr>
      <w:r>
        <w:t xml:space="preserve">substitute Services of equivalent functionality and performance, to avoid the infringement or the  </w:t>
      </w:r>
    </w:p>
    <w:p w:rsidR="009D3DB4" w:rsidRDefault="005B054C">
      <w:pPr>
        <w:ind w:left="2152" w:right="5"/>
      </w:pPr>
      <w:proofErr w:type="gramStart"/>
      <w:r>
        <w:t>alleged</w:t>
      </w:r>
      <w:proofErr w:type="gramEnd"/>
      <w:r>
        <w:t xml:space="preserve"> infringement, as long as there is no additional cost or burden to the Buyer  </w:t>
      </w:r>
    </w:p>
    <w:p w:rsidR="009D3DB4" w:rsidRDefault="005B054C">
      <w:pPr>
        <w:numPr>
          <w:ilvl w:val="0"/>
          <w:numId w:val="11"/>
        </w:numPr>
        <w:ind w:right="5" w:hanging="358"/>
      </w:pPr>
      <w:r>
        <w:t xml:space="preserve">buy a licence to use and supply the Services which are the subject of the alleged infringement, on terms acceptable to the Buyer  </w:t>
      </w:r>
    </w:p>
    <w:p w:rsidR="009D3DB4" w:rsidRDefault="005B054C">
      <w:pPr>
        <w:tabs>
          <w:tab w:val="center" w:pos="887"/>
          <w:tab w:val="center" w:pos="3645"/>
        </w:tabs>
        <w:spacing w:after="265"/>
        <w:ind w:left="0" w:firstLine="0"/>
      </w:pPr>
      <w:r>
        <w:rPr>
          <w:rFonts w:ascii="Calibri" w:eastAsia="Calibri" w:hAnsi="Calibri" w:cs="Calibri"/>
          <w:sz w:val="22"/>
        </w:rPr>
        <w:tab/>
      </w:r>
      <w:r>
        <w:t xml:space="preserve">11.7 </w:t>
      </w:r>
      <w:r>
        <w:tab/>
        <w:t xml:space="preserve">Clause 11.5 will not apply if the IPR Claim is from:  </w:t>
      </w:r>
    </w:p>
    <w:p w:rsidR="009D3DB4" w:rsidRDefault="005B054C">
      <w:pPr>
        <w:numPr>
          <w:ilvl w:val="0"/>
          <w:numId w:val="11"/>
        </w:numPr>
        <w:ind w:right="5" w:hanging="358"/>
      </w:pPr>
      <w:r>
        <w:t xml:space="preserve">the use of data supplied by the Buyer which the Supplier isn’t required to verify under this Call-Off Contract  </w:t>
      </w:r>
    </w:p>
    <w:p w:rsidR="009D3DB4" w:rsidRDefault="005B054C">
      <w:pPr>
        <w:numPr>
          <w:ilvl w:val="0"/>
          <w:numId w:val="11"/>
        </w:numPr>
        <w:ind w:right="5" w:hanging="358"/>
      </w:pPr>
      <w:r>
        <w:t xml:space="preserve">other material provided by the Buyer necessary for the Services  </w:t>
      </w:r>
    </w:p>
    <w:p w:rsidR="009D3DB4" w:rsidRDefault="005B054C">
      <w:pPr>
        <w:spacing w:after="113" w:line="389" w:lineRule="auto"/>
        <w:ind w:right="116"/>
      </w:pPr>
      <w:r>
        <w:t xml:space="preserve">11.8 </w:t>
      </w:r>
      <w:r>
        <w:tab/>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rsidR="009D3DB4" w:rsidRDefault="005B054C">
      <w:pPr>
        <w:tabs>
          <w:tab w:val="center" w:pos="887"/>
          <w:tab w:val="center" w:pos="2268"/>
        </w:tabs>
        <w:spacing w:after="252"/>
        <w:ind w:left="0" w:firstLine="0"/>
      </w:pPr>
      <w:r>
        <w:rPr>
          <w:rFonts w:ascii="Calibri" w:eastAsia="Calibri" w:hAnsi="Calibri" w:cs="Calibri"/>
          <w:sz w:val="22"/>
        </w:rPr>
        <w:tab/>
      </w:r>
      <w:r>
        <w:t xml:space="preserve">12.1 </w:t>
      </w:r>
      <w:r>
        <w:tab/>
        <w:t xml:space="preserve">The Supplier must:  </w:t>
      </w:r>
    </w:p>
    <w:p w:rsidR="009D3DB4" w:rsidRDefault="005B054C">
      <w:pPr>
        <w:numPr>
          <w:ilvl w:val="0"/>
          <w:numId w:val="11"/>
        </w:numPr>
        <w:ind w:right="5" w:hanging="358"/>
      </w:pPr>
      <w:r>
        <w:t xml:space="preserve">comply with the Buyer’s written instructions and this Call-Off Contract when Processing Buyer Personal Data  </w:t>
      </w:r>
    </w:p>
    <w:p w:rsidR="009D3DB4" w:rsidRDefault="005B054C">
      <w:pPr>
        <w:numPr>
          <w:ilvl w:val="0"/>
          <w:numId w:val="11"/>
        </w:numPr>
        <w:ind w:right="5" w:hanging="358"/>
      </w:pPr>
      <w:r>
        <w:t xml:space="preserve">only Process the Buyer Personal Data as necessary for the provision of the G-Cloud Services or as required by Law or any Regulatory Body  </w:t>
      </w:r>
    </w:p>
    <w:p w:rsidR="009D3DB4" w:rsidRDefault="005B054C">
      <w:pPr>
        <w:numPr>
          <w:ilvl w:val="0"/>
          <w:numId w:val="11"/>
        </w:numPr>
        <w:ind w:right="5" w:hanging="358"/>
      </w:pPr>
      <w:r>
        <w:t xml:space="preserve">take reasonable steps to ensure that any Supplier Staff who have access to Buyer Personal Data act in compliance with Supplier's security processes  </w:t>
      </w:r>
    </w:p>
    <w:p w:rsidR="009D3DB4" w:rsidRDefault="005B054C">
      <w:pPr>
        <w:tabs>
          <w:tab w:val="center" w:pos="887"/>
          <w:tab w:val="center" w:pos="5761"/>
        </w:tabs>
        <w:ind w:left="0" w:firstLine="0"/>
      </w:pPr>
      <w:r>
        <w:rPr>
          <w:rFonts w:ascii="Calibri" w:eastAsia="Calibri" w:hAnsi="Calibri" w:cs="Calibri"/>
          <w:sz w:val="22"/>
        </w:rPr>
        <w:tab/>
      </w:r>
      <w:r>
        <w:t xml:space="preserve">12.2 </w:t>
      </w:r>
      <w:r>
        <w:tab/>
        <w:t xml:space="preserve">The Supplier must fully assist with any complaint or request for Buyer Personal Data including by:  </w:t>
      </w:r>
    </w:p>
    <w:p w:rsidR="009D3DB4" w:rsidRDefault="005B054C">
      <w:pPr>
        <w:numPr>
          <w:ilvl w:val="0"/>
          <w:numId w:val="11"/>
        </w:numPr>
        <w:ind w:right="5" w:hanging="358"/>
      </w:pPr>
      <w:r>
        <w:t xml:space="preserve">providing the Buyer with full details of the complaint or request  </w:t>
      </w:r>
    </w:p>
    <w:p w:rsidR="009D3DB4" w:rsidRDefault="005B054C">
      <w:pPr>
        <w:numPr>
          <w:ilvl w:val="0"/>
          <w:numId w:val="11"/>
        </w:numPr>
        <w:ind w:right="5" w:hanging="358"/>
      </w:pPr>
      <w:r>
        <w:t xml:space="preserve">complying with a data access request within the timescales in the Data Protection Legislation and following the Buyer’s instructions  </w:t>
      </w:r>
    </w:p>
    <w:p w:rsidR="009D3DB4" w:rsidRDefault="005B054C">
      <w:pPr>
        <w:numPr>
          <w:ilvl w:val="0"/>
          <w:numId w:val="11"/>
        </w:numPr>
        <w:ind w:right="5" w:hanging="358"/>
      </w:pPr>
      <w:r>
        <w:t xml:space="preserve">providing the Buyer with any Buyer Personal Data it holds about a Data Subject (within the timescales required by the Buyer)  </w:t>
      </w:r>
    </w:p>
    <w:p w:rsidR="009D3DB4" w:rsidRDefault="005B054C">
      <w:pPr>
        <w:numPr>
          <w:ilvl w:val="0"/>
          <w:numId w:val="11"/>
        </w:numPr>
        <w:ind w:right="5" w:hanging="358"/>
      </w:pPr>
      <w:r>
        <w:t xml:space="preserve">providing the Buyer with any information requested by the Data Subject  </w:t>
      </w:r>
    </w:p>
    <w:p w:rsidR="009D3DB4" w:rsidRDefault="005B054C">
      <w:pPr>
        <w:ind w:left="1412" w:right="5" w:hanging="718"/>
      </w:pPr>
      <w:r>
        <w:lastRenderedPageBreak/>
        <w:t xml:space="preserve">12.3 </w:t>
      </w:r>
      <w:r>
        <w:tab/>
        <w:t>The Supplier must get prior written consent from the Buyer to transfer Buyer Personal Data to any other person (including any Subcontractors) for the provision of the G-Cloud Services.</w:t>
      </w:r>
      <w:r>
        <w:rPr>
          <w:b/>
        </w:rPr>
        <w:t xml:space="preserve"> </w:t>
      </w:r>
      <w:r>
        <w:t xml:space="preserve"> </w:t>
      </w:r>
    </w:p>
    <w:p w:rsidR="009D3DB4" w:rsidRDefault="005B054C">
      <w:pPr>
        <w:pStyle w:val="Heading3"/>
        <w:spacing w:after="24"/>
        <w:ind w:left="698"/>
      </w:pPr>
      <w:r>
        <w:t xml:space="preserve">13. Buyer data  </w:t>
      </w:r>
    </w:p>
    <w:p w:rsidR="009D3DB4" w:rsidRDefault="005B054C">
      <w:pPr>
        <w:spacing w:after="26" w:line="259" w:lineRule="auto"/>
        <w:ind w:left="708" w:firstLine="0"/>
      </w:pPr>
      <w:r>
        <w:rPr>
          <w:b/>
        </w:rPr>
        <w:t xml:space="preserve"> </w:t>
      </w:r>
      <w:r>
        <w:t xml:space="preserve"> </w:t>
      </w:r>
    </w:p>
    <w:p w:rsidR="009D3DB4" w:rsidRDefault="005B054C">
      <w:pPr>
        <w:tabs>
          <w:tab w:val="center" w:pos="887"/>
          <w:tab w:val="center" w:pos="4645"/>
        </w:tabs>
        <w:ind w:left="0" w:firstLine="0"/>
      </w:pPr>
      <w:r>
        <w:rPr>
          <w:rFonts w:ascii="Calibri" w:eastAsia="Calibri" w:hAnsi="Calibri" w:cs="Calibri"/>
          <w:sz w:val="22"/>
        </w:rPr>
        <w:tab/>
      </w:r>
      <w:r>
        <w:t xml:space="preserve">13.1 </w:t>
      </w:r>
      <w:r>
        <w:tab/>
        <w:t xml:space="preserve">The Supplier must not remove any proprietary notices in the Buyer Data.  </w:t>
      </w:r>
    </w:p>
    <w:p w:rsidR="009D3DB4" w:rsidRDefault="005B054C">
      <w:pPr>
        <w:tabs>
          <w:tab w:val="center" w:pos="887"/>
          <w:tab w:val="center" w:pos="5303"/>
        </w:tabs>
        <w:ind w:left="0" w:firstLine="0"/>
      </w:pPr>
      <w:r>
        <w:rPr>
          <w:rFonts w:ascii="Calibri" w:eastAsia="Calibri" w:hAnsi="Calibri" w:cs="Calibri"/>
          <w:sz w:val="22"/>
        </w:rPr>
        <w:tab/>
      </w:r>
      <w:r>
        <w:t xml:space="preserve">13.2 </w:t>
      </w:r>
      <w:r>
        <w:tab/>
        <w:t xml:space="preserve">The Supplier will not store or use Buyer Data except if necessary to fulfil its obligations.  </w:t>
      </w:r>
    </w:p>
    <w:p w:rsidR="009D3DB4" w:rsidRDefault="005B054C">
      <w:pPr>
        <w:tabs>
          <w:tab w:val="center" w:pos="887"/>
          <w:tab w:val="center" w:pos="5988"/>
        </w:tabs>
        <w:ind w:left="0" w:firstLine="0"/>
      </w:pPr>
      <w:r>
        <w:rPr>
          <w:rFonts w:ascii="Calibri" w:eastAsia="Calibri" w:hAnsi="Calibri" w:cs="Calibri"/>
          <w:sz w:val="22"/>
        </w:rPr>
        <w:tab/>
      </w:r>
      <w:r>
        <w:t xml:space="preserve">13.3 </w:t>
      </w:r>
      <w:r>
        <w:tab/>
        <w:t xml:space="preserve">If Buyer Data is processed by the Supplier, the Supplier will supply the data to the Buyer as requested.  </w:t>
      </w:r>
    </w:p>
    <w:p w:rsidR="009D3DB4" w:rsidRDefault="005B054C">
      <w:pPr>
        <w:ind w:left="1412" w:right="5" w:hanging="718"/>
      </w:pPr>
      <w:r>
        <w:t xml:space="preserve">13.4 </w:t>
      </w:r>
      <w:r>
        <w:tab/>
        <w:t xml:space="preserve">The Supplier must ensure that any Supplier system that holds any Buyer Data is a secure system that complies with the Supplier’s and Buyer’s security policy and all Buyer requirements in the Order Form.   </w:t>
      </w:r>
    </w:p>
    <w:p w:rsidR="009D3DB4" w:rsidRDefault="005B054C">
      <w:pPr>
        <w:ind w:left="1412" w:right="5" w:hanging="718"/>
      </w:pPr>
      <w:r>
        <w:t xml:space="preserve">13.5 </w:t>
      </w:r>
      <w:r>
        <w:tab/>
        <w:t xml:space="preserve">The Supplier will preserve the integrity of Buyer Data processed by the Supplier and prevent its corruption and loss.  </w:t>
      </w:r>
    </w:p>
    <w:p w:rsidR="009D3DB4" w:rsidRDefault="005B054C">
      <w:pPr>
        <w:ind w:right="5"/>
      </w:pPr>
      <w:r>
        <w:t xml:space="preserve">13.6 </w:t>
      </w:r>
      <w:r>
        <w:tab/>
        <w:t xml:space="preserve">The Supplier will ensure that any Supplier system which holds any protectively marked Buyer Data or other government data will comply with:  </w:t>
      </w:r>
    </w:p>
    <w:p w:rsidR="009D3DB4" w:rsidRDefault="005B054C">
      <w:pPr>
        <w:numPr>
          <w:ilvl w:val="0"/>
          <w:numId w:val="12"/>
        </w:numPr>
        <w:spacing w:after="167" w:line="331" w:lineRule="auto"/>
        <w:ind w:right="5" w:hanging="358"/>
      </w:pPr>
      <w:r>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 xml:space="preserve"> </w:t>
      </w:r>
      <w:r>
        <w:t xml:space="preserve"> Classification policy at  </w:t>
      </w:r>
      <w:r>
        <w:rPr>
          <w:color w:val="1155CC"/>
          <w:u w:val="single" w:color="1155CC"/>
        </w:rPr>
        <w:t>https://www.gov.uk/government/publications/government-security-classifications</w:t>
      </w:r>
      <w:r>
        <w:t xml:space="preserve">  </w:t>
      </w:r>
    </w:p>
    <w:p w:rsidR="009D3DB4" w:rsidRDefault="005B054C">
      <w:pPr>
        <w:numPr>
          <w:ilvl w:val="0"/>
          <w:numId w:val="12"/>
        </w:numPr>
        <w:spacing w:after="328"/>
        <w:ind w:right="5" w:hanging="358"/>
      </w:pPr>
      <w:r>
        <w:t xml:space="preserve">guidance issued by the Centre for Protection of National Infrastructure on Risk Management at </w:t>
      </w:r>
      <w:r>
        <w:rPr>
          <w:color w:val="1155CC"/>
          <w:u w:val="single" w:color="1155CC"/>
        </w:rPr>
        <w:t>https://www.cpni.gov.uk/content/adopt-risk-management-approach</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 xml:space="preserve"> </w:t>
      </w:r>
      <w:r>
        <w:t xml:space="preserve">   </w:t>
      </w:r>
    </w:p>
    <w:p w:rsidR="009D3DB4" w:rsidRDefault="005B054C">
      <w:pPr>
        <w:numPr>
          <w:ilvl w:val="0"/>
          <w:numId w:val="12"/>
        </w:numPr>
        <w:ind w:right="5" w:hanging="358"/>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9D3DB4" w:rsidRDefault="005B054C">
      <w:pPr>
        <w:numPr>
          <w:ilvl w:val="0"/>
          <w:numId w:val="12"/>
        </w:numPr>
        <w:ind w:right="5" w:hanging="358"/>
      </w:pPr>
      <w:r>
        <w:t xml:space="preserve">government best practice </w:t>
      </w:r>
      <w:r>
        <w:rPr>
          <w:rFonts w:ascii="Calibri" w:eastAsia="Calibri" w:hAnsi="Calibri" w:cs="Calibri"/>
        </w:rPr>
        <w:t xml:space="preserve"> </w:t>
      </w:r>
      <w:proofErr w:type="spellStart"/>
      <w:r>
        <w:t>i</w:t>
      </w:r>
      <w:proofErr w:type="spellEnd"/>
      <w:r>
        <w:rPr>
          <w:rFonts w:ascii="Calibri" w:eastAsia="Calibri" w:hAnsi="Calibri" w:cs="Calibri"/>
        </w:rPr>
        <w:t xml:space="preserve"> </w:t>
      </w:r>
      <w:r>
        <w:t xml:space="preserve">n </w:t>
      </w:r>
      <w:r>
        <w:rPr>
          <w:rFonts w:ascii="Calibri" w:eastAsia="Calibri" w:hAnsi="Calibri" w:cs="Calibri"/>
        </w:rPr>
        <w:t xml:space="preserve"> </w:t>
      </w:r>
      <w:r>
        <w:t xml:space="preserve">the design and implementation of system components, including network principles, security design principles for digital services and the secure email blueprint, available at </w:t>
      </w:r>
      <w:r>
        <w:rPr>
          <w:color w:val="1155CC"/>
          <w:u w:val="single" w:color="1155CC"/>
        </w:rPr>
        <w:t xml:space="preserve">https://www.gov.uk/government/publications/technology-code-of-practice/technology-code-of-practi </w:t>
      </w:r>
      <w:proofErr w:type="spellStart"/>
      <w:r>
        <w:rPr>
          <w:color w:val="1155CC"/>
          <w:u w:val="single" w:color="1155CC"/>
        </w:rPr>
        <w:t>ce</w:t>
      </w:r>
      <w:proofErr w:type="spellEnd"/>
      <w:r>
        <w:t xml:space="preserve">  </w:t>
      </w:r>
    </w:p>
    <w:p w:rsidR="009D3DB4" w:rsidRDefault="005B054C">
      <w:pPr>
        <w:numPr>
          <w:ilvl w:val="0"/>
          <w:numId w:val="12"/>
        </w:numPr>
        <w:spacing w:after="8"/>
        <w:ind w:right="5" w:hanging="358"/>
      </w:pPr>
      <w:r>
        <w:t xml:space="preserve">the security requirements of cloud services using the NCSC Cloud Security Principles and accompanying guidance at </w:t>
      </w:r>
      <w:r>
        <w:rPr>
          <w:color w:val="1155CC"/>
          <w:u w:val="single" w:color="1155CC"/>
        </w:rPr>
        <w:t>https://www.ncsc.gov.uk/guidance/implementing-cloud-security-principles</w:t>
      </w:r>
    </w:p>
    <w:p w:rsidR="009D3DB4" w:rsidRDefault="005B054C">
      <w:pPr>
        <w:spacing w:after="315" w:line="259" w:lineRule="auto"/>
        <w:ind w:left="2144" w:firstLine="0"/>
      </w:pPr>
      <w:r>
        <w:rPr>
          <w:rFonts w:ascii="Calibri" w:eastAsia="Calibri" w:hAnsi="Calibri" w:cs="Calibri"/>
        </w:rPr>
        <w:t xml:space="preserve"> </w:t>
      </w:r>
      <w:r>
        <w:t xml:space="preserve">   </w:t>
      </w:r>
    </w:p>
    <w:p w:rsidR="009D3DB4" w:rsidRDefault="005B054C">
      <w:pPr>
        <w:numPr>
          <w:ilvl w:val="1"/>
          <w:numId w:val="13"/>
        </w:numPr>
        <w:ind w:right="5" w:hanging="718"/>
      </w:pPr>
      <w:r>
        <w:t xml:space="preserve">The Buyer will specify any security requirements for this project in the Order Form.  </w:t>
      </w:r>
    </w:p>
    <w:p w:rsidR="009D3DB4" w:rsidRDefault="005B054C">
      <w:pPr>
        <w:numPr>
          <w:ilvl w:val="1"/>
          <w:numId w:val="13"/>
        </w:numPr>
        <w:ind w:right="5"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9D3DB4" w:rsidRDefault="005B054C">
      <w:pPr>
        <w:numPr>
          <w:ilvl w:val="1"/>
          <w:numId w:val="13"/>
        </w:numPr>
        <w:ind w:right="5" w:hanging="718"/>
      </w:pPr>
      <w:r>
        <w:t xml:space="preserve">The Supplier agrees to use the appropriate organisational, operational and technological processes to keep the Buyer Data safe from unauthorised use or access, loss, destruction, theft or disclosure.  </w:t>
      </w:r>
    </w:p>
    <w:p w:rsidR="009D3DB4" w:rsidRDefault="005B054C">
      <w:pPr>
        <w:numPr>
          <w:ilvl w:val="1"/>
          <w:numId w:val="13"/>
        </w:numPr>
        <w:ind w:right="5" w:hanging="718"/>
      </w:pPr>
      <w:r>
        <w:t>The provisions of this clause 13 will apply during the term of this Call-Off Contract and for as long as the Supplier holds the Buyer’s Data.</w:t>
      </w:r>
      <w:r>
        <w:rPr>
          <w:b/>
        </w:rPr>
        <w:t xml:space="preserve"> </w:t>
      </w:r>
      <w:r>
        <w:t xml:space="preserve"> </w:t>
      </w:r>
    </w:p>
    <w:p w:rsidR="009D3DB4" w:rsidRDefault="005B054C">
      <w:pPr>
        <w:pStyle w:val="Heading3"/>
        <w:ind w:left="698"/>
      </w:pPr>
      <w:r>
        <w:t xml:space="preserve">14. Standards and quality  </w:t>
      </w:r>
    </w:p>
    <w:p w:rsidR="009D3DB4" w:rsidRDefault="005B054C">
      <w:pPr>
        <w:ind w:left="1412" w:right="5" w:hanging="718"/>
      </w:pPr>
      <w:r>
        <w:t xml:space="preserve">14.1 </w:t>
      </w:r>
      <w:r>
        <w:tab/>
        <w:t xml:space="preserve">The Supplier will comply with any standards in this Call-Off Contract, the Order Form and the Framework Agreement.  </w:t>
      </w:r>
    </w:p>
    <w:p w:rsidR="009D3DB4" w:rsidRDefault="005B054C">
      <w:pPr>
        <w:tabs>
          <w:tab w:val="center" w:pos="887"/>
          <w:tab w:val="center" w:pos="6209"/>
        </w:tabs>
        <w:spacing w:after="6"/>
        <w:ind w:left="0" w:firstLine="0"/>
      </w:pPr>
      <w:r>
        <w:rPr>
          <w:rFonts w:ascii="Calibri" w:eastAsia="Calibri" w:hAnsi="Calibri" w:cs="Calibri"/>
          <w:sz w:val="22"/>
        </w:rPr>
        <w:lastRenderedPageBreak/>
        <w:tab/>
      </w:r>
      <w:r>
        <w:t xml:space="preserve">14.2 </w:t>
      </w:r>
      <w:r>
        <w:tab/>
        <w:t xml:space="preserve">The Supplier will deliver the Services in a way that enables the Buyer to comply with its obligations under the </w:t>
      </w:r>
    </w:p>
    <w:p w:rsidR="009D3DB4" w:rsidRDefault="005B054C">
      <w:pPr>
        <w:spacing w:after="221" w:line="270" w:lineRule="auto"/>
        <w:ind w:left="1594" w:hanging="182"/>
      </w:pPr>
      <w:r>
        <w:t xml:space="preserve">Technology Code of Practice, which is available </w:t>
      </w:r>
      <w:proofErr w:type="gramStart"/>
      <w:r>
        <w:t xml:space="preserve">at  </w:t>
      </w:r>
      <w:r>
        <w:rPr>
          <w:color w:val="1155CC"/>
          <w:u w:val="single" w:color="1155CC"/>
        </w:rPr>
        <w:t>https</w:t>
      </w:r>
      <w:proofErr w:type="gramEnd"/>
      <w:r>
        <w:rPr>
          <w:color w:val="1155CC"/>
          <w:u w:val="single" w:color="1155CC"/>
        </w:rPr>
        <w:t>://www.gov.uk/government/publications/technology-code-of-practice/technology-code-of-practice</w:t>
      </w:r>
      <w:r>
        <w:t xml:space="preserve">  </w:t>
      </w:r>
    </w:p>
    <w:p w:rsidR="009D3DB4" w:rsidRDefault="005B054C">
      <w:pPr>
        <w:ind w:left="1412" w:right="5" w:hanging="718"/>
      </w:pPr>
      <w:r>
        <w:t xml:space="preserve">14.3 </w:t>
      </w:r>
      <w:r>
        <w:tab/>
        <w:t xml:space="preserve">If requested by the Buyer, the Supplier must, at its own cost, ensure that the G-Cloud Services comply with the requirements in the PSN Code of Practice.  </w:t>
      </w:r>
    </w:p>
    <w:p w:rsidR="009D3DB4" w:rsidRDefault="005B054C">
      <w:pPr>
        <w:ind w:left="1412" w:right="5" w:hanging="718"/>
      </w:pPr>
      <w:r>
        <w:t xml:space="preserve">14.4 </w:t>
      </w:r>
      <w:r>
        <w:tab/>
        <w:t xml:space="preserve">If any PSN Services are </w:t>
      </w:r>
      <w:proofErr w:type="gramStart"/>
      <w:r>
        <w:t>Subcontracted</w:t>
      </w:r>
      <w:proofErr w:type="gramEnd"/>
      <w:r>
        <w:t xml:space="preserve"> by the Supplier, the Supplier must ensure that the services have the relevant PSN compliance certification.  </w:t>
      </w:r>
    </w:p>
    <w:p w:rsidR="009D3DB4" w:rsidRDefault="005B054C">
      <w:pPr>
        <w:tabs>
          <w:tab w:val="center" w:pos="887"/>
          <w:tab w:val="center" w:pos="6267"/>
        </w:tabs>
        <w:spacing w:after="21"/>
        <w:ind w:left="0" w:firstLine="0"/>
      </w:pPr>
      <w:r>
        <w:rPr>
          <w:rFonts w:ascii="Calibri" w:eastAsia="Calibri" w:hAnsi="Calibri" w:cs="Calibri"/>
          <w:sz w:val="22"/>
        </w:rPr>
        <w:tab/>
      </w:r>
      <w:r>
        <w:t xml:space="preserve">14.5 </w:t>
      </w:r>
      <w:r>
        <w:tab/>
        <w:t xml:space="preserve">The Supplier must immediately disconnect its G-Cloud Services from the PSN if the PSN Authority considers  </w:t>
      </w:r>
    </w:p>
    <w:p w:rsidR="009D3DB4" w:rsidRDefault="005B054C">
      <w:pPr>
        <w:spacing w:after="5"/>
        <w:ind w:left="1434" w:right="5"/>
      </w:pPr>
      <w:proofErr w:type="gramStart"/>
      <w:r>
        <w:t>there</w:t>
      </w:r>
      <w:proofErr w:type="gramEnd"/>
      <w:r>
        <w:t xml:space="preserve"> is a risk to the PSN’s security and the Supplier agrees that the Buyer and the PSN Authority will not be </w:t>
      </w:r>
    </w:p>
    <w:p w:rsidR="009D3DB4" w:rsidRDefault="005B054C">
      <w:pPr>
        <w:spacing w:after="307"/>
        <w:ind w:left="1444" w:right="5"/>
      </w:pPr>
      <w:proofErr w:type="gramStart"/>
      <w:r>
        <w:t>liable</w:t>
      </w:r>
      <w:proofErr w:type="gramEnd"/>
      <w:r>
        <w:t xml:space="preserve"> for any actions, damages, costs, and any other Supplier liabilities which may arise.  </w:t>
      </w:r>
    </w:p>
    <w:p w:rsidR="009D3DB4" w:rsidRDefault="005B054C">
      <w:pPr>
        <w:pStyle w:val="Heading3"/>
        <w:ind w:left="698"/>
      </w:pPr>
      <w:r>
        <w:t xml:space="preserve">15. Open source  </w:t>
      </w:r>
    </w:p>
    <w:p w:rsidR="009D3DB4" w:rsidRDefault="005B054C">
      <w:pPr>
        <w:ind w:right="5"/>
      </w:pPr>
      <w:r>
        <w:t xml:space="preserve">15.1 All software created for the Buyer must be suitable for publication as open source, unless otherwise agreed by the Buyer.  </w:t>
      </w:r>
    </w:p>
    <w:p w:rsidR="009D3DB4" w:rsidRDefault="005B054C">
      <w:pPr>
        <w:ind w:left="1412" w:right="5" w:hanging="718"/>
      </w:pPr>
      <w:r>
        <w:t xml:space="preserve">15.2 </w:t>
      </w:r>
      <w:r>
        <w:tab/>
        <w:t xml:space="preserve">If software needs to be converted before publication as open source, the Supplier must also provide the converted format unless otherwise agreed by the Buyer.  </w:t>
      </w:r>
    </w:p>
    <w:p w:rsidR="009D3DB4" w:rsidRDefault="005B054C">
      <w:pPr>
        <w:pStyle w:val="Heading3"/>
        <w:ind w:left="698"/>
      </w:pPr>
      <w:r>
        <w:t xml:space="preserve">16. Security  </w:t>
      </w:r>
    </w:p>
    <w:p w:rsidR="009D3DB4" w:rsidRDefault="005B054C">
      <w:pPr>
        <w:spacing w:after="32"/>
        <w:ind w:left="1426" w:right="5" w:hanging="732"/>
      </w:pPr>
      <w:r>
        <w:t xml:space="preserve">16.1 </w:t>
      </w:r>
      <w:r>
        <w:tab/>
        <w:t xml:space="preserve">If requested to do so by the Buyer, prior to entering into this Call-Off Contract, the Supplier will, within 15  Working Days of the date of this Call-Off Contract, develop (and obtain the Buyer’s written approval of) a  </w:t>
      </w:r>
    </w:p>
    <w:p w:rsidR="009D3DB4" w:rsidRDefault="005B054C">
      <w:pPr>
        <w:spacing w:after="14"/>
        <w:ind w:left="1434" w:right="5"/>
      </w:pPr>
      <w:r>
        <w:t xml:space="preserve">Security Management Plan and an Information Security Management System. After Buyer approval the  </w:t>
      </w:r>
    </w:p>
    <w:p w:rsidR="009D3DB4" w:rsidRDefault="005B054C">
      <w:pPr>
        <w:ind w:left="1434" w:right="5"/>
      </w:pPr>
      <w:r>
        <w:t xml:space="preserve">Security Management Plan and Information Security Management System will apply during the Term of this Call-Off Contract. Both plans will comply with the Buyer’s security policy and protect all aspects and processes associated with the delivery of the Services.  </w:t>
      </w:r>
    </w:p>
    <w:p w:rsidR="009D3DB4" w:rsidRDefault="005B054C">
      <w:pPr>
        <w:tabs>
          <w:tab w:val="center" w:pos="887"/>
          <w:tab w:val="center" w:pos="5519"/>
          <w:tab w:val="center" w:pos="10480"/>
        </w:tabs>
        <w:spacing w:after="116"/>
        <w:ind w:left="0" w:firstLine="0"/>
      </w:pPr>
      <w:r>
        <w:rPr>
          <w:rFonts w:ascii="Calibri" w:eastAsia="Calibri" w:hAnsi="Calibri" w:cs="Calibri"/>
          <w:sz w:val="22"/>
        </w:rPr>
        <w:tab/>
      </w:r>
      <w:r>
        <w:t xml:space="preserve">16.2 </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 xml:space="preserve"> </w:t>
      </w:r>
      <w:r>
        <w:rPr>
          <w:rFonts w:ascii="Calibri" w:eastAsia="Calibri" w:hAnsi="Calibri" w:cs="Calibri"/>
        </w:rPr>
        <w:tab/>
      </w:r>
      <w:r>
        <w:t xml:space="preserve"> industry-</w:t>
      </w:r>
    </w:p>
    <w:p w:rsidR="009D3DB4" w:rsidRDefault="005B054C">
      <w:pPr>
        <w:ind w:left="1420" w:right="5"/>
      </w:pPr>
      <w:proofErr w:type="gramStart"/>
      <w:r>
        <w:t>accepted</w:t>
      </w:r>
      <w:proofErr w:type="gramEnd"/>
      <w:r>
        <w:t xml:space="preserve"> antivirus software seller to minimise the impact of Malicious Software.  </w:t>
      </w:r>
    </w:p>
    <w:p w:rsidR="009D3DB4" w:rsidRDefault="005B054C">
      <w:pPr>
        <w:ind w:left="1412" w:right="5" w:hanging="718"/>
      </w:pPr>
      <w:r>
        <w:t xml:space="preserve">16.3 </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9D3DB4" w:rsidRDefault="005B054C">
      <w:pPr>
        <w:tabs>
          <w:tab w:val="center" w:pos="887"/>
          <w:tab w:val="center" w:pos="3085"/>
        </w:tabs>
        <w:spacing w:after="269"/>
        <w:ind w:left="0" w:firstLine="0"/>
      </w:pPr>
      <w:r>
        <w:rPr>
          <w:rFonts w:ascii="Calibri" w:eastAsia="Calibri" w:hAnsi="Calibri" w:cs="Calibri"/>
          <w:sz w:val="22"/>
        </w:rPr>
        <w:tab/>
      </w:r>
      <w:r>
        <w:t xml:space="preserve">16.4 </w:t>
      </w:r>
      <w:r>
        <w:tab/>
        <w:t xml:space="preserve">Responsibility for costs will be at the:  </w:t>
      </w:r>
    </w:p>
    <w:p w:rsidR="009D3DB4" w:rsidRDefault="005B054C">
      <w:pPr>
        <w:numPr>
          <w:ilvl w:val="0"/>
          <w:numId w:val="14"/>
        </w:numPr>
        <w:spacing w:after="258"/>
        <w:ind w:right="5" w:hanging="358"/>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9D3DB4" w:rsidRDefault="005B054C">
      <w:pPr>
        <w:numPr>
          <w:ilvl w:val="0"/>
          <w:numId w:val="14"/>
        </w:numPr>
        <w:ind w:right="5" w:hanging="358"/>
      </w:pPr>
      <w:r>
        <w:t xml:space="preserve">Buyer’s expense if the Malicious Software originates from the Buyer software or the Service Data, while the Service Data was under the Buyer’s control  </w:t>
      </w:r>
    </w:p>
    <w:p w:rsidR="009D3DB4" w:rsidRDefault="005B054C">
      <w:pPr>
        <w:numPr>
          <w:ilvl w:val="1"/>
          <w:numId w:val="15"/>
        </w:numPr>
        <w:spacing w:after="11"/>
        <w:ind w:right="5" w:hanging="718"/>
      </w:pPr>
      <w:r>
        <w:t xml:space="preserve">The Supplier will immediately notify CCS of any breach of security of CCS’s Confidential Information </w:t>
      </w:r>
    </w:p>
    <w:p w:rsidR="009D3DB4" w:rsidRDefault="005B054C">
      <w:pPr>
        <w:spacing w:after="13"/>
        <w:ind w:left="2154" w:right="5"/>
      </w:pPr>
      <w:r>
        <w:t>(</w:t>
      </w:r>
      <w:proofErr w:type="gramStart"/>
      <w:r>
        <w:t>and</w:t>
      </w:r>
      <w:proofErr w:type="gramEnd"/>
      <w:r>
        <w:t xml:space="preserve"> the Buyer of any Buyer Confidential Information breach). Where the breach occurred because of a Supplier  </w:t>
      </w:r>
    </w:p>
    <w:p w:rsidR="009D3DB4" w:rsidRDefault="005B054C">
      <w:pPr>
        <w:spacing w:after="259"/>
        <w:ind w:left="1434" w:right="5"/>
      </w:pPr>
      <w:r>
        <w:t xml:space="preserve">Default, the Supplier will recover the CCS and Buyer Confidential Information however it may be recorded.  </w:t>
      </w:r>
    </w:p>
    <w:p w:rsidR="009D3DB4" w:rsidRDefault="005B054C">
      <w:pPr>
        <w:numPr>
          <w:ilvl w:val="1"/>
          <w:numId w:val="15"/>
        </w:numPr>
        <w:spacing w:after="303"/>
        <w:ind w:right="5"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 xml:space="preserve"> </w:t>
      </w:r>
      <w:r>
        <w:rPr>
          <w:rFonts w:ascii="Calibri" w:eastAsia="Calibri" w:hAnsi="Calibri" w:cs="Calibri"/>
          <w:u w:val="single" w:color="1155CC"/>
        </w:rPr>
        <w:tab/>
      </w:r>
      <w:r>
        <w:t xml:space="preserve">  </w:t>
      </w:r>
    </w:p>
    <w:p w:rsidR="009D3DB4" w:rsidRDefault="005B054C">
      <w:pPr>
        <w:numPr>
          <w:ilvl w:val="1"/>
          <w:numId w:val="15"/>
        </w:numPr>
        <w:spacing w:after="161" w:line="324" w:lineRule="auto"/>
        <w:ind w:right="5" w:hanging="718"/>
      </w:pPr>
      <w:r>
        <w:lastRenderedPageBreak/>
        <w:t xml:space="preserve">If a Buyer has requested in the Order Form that the Supplier has a Cyber Essentials certificate, the Supplier must provide the Buyer with a valid Cyber Essentials certificate (or equivalent) required for the Services </w:t>
      </w:r>
      <w:proofErr w:type="gramStart"/>
      <w:r>
        <w:t>before</w:t>
      </w:r>
      <w:r>
        <w:rPr>
          <w:rFonts w:ascii="Calibri" w:eastAsia="Calibri" w:hAnsi="Calibri" w:cs="Calibri"/>
        </w:rPr>
        <w:t xml:space="preserve"> </w:t>
      </w:r>
      <w:r>
        <w:t xml:space="preserve"> the</w:t>
      </w:r>
      <w:proofErr w:type="gramEnd"/>
      <w:r>
        <w:t xml:space="preserve"> Start Date.   </w:t>
      </w:r>
    </w:p>
    <w:p w:rsidR="009D3DB4" w:rsidRDefault="005B054C">
      <w:pPr>
        <w:pStyle w:val="Heading3"/>
        <w:ind w:left="698"/>
      </w:pPr>
      <w:r>
        <w:t xml:space="preserve">17. Guarantee  </w:t>
      </w:r>
    </w:p>
    <w:p w:rsidR="009D3DB4" w:rsidRDefault="005B054C">
      <w:pPr>
        <w:ind w:left="1412" w:right="5" w:hanging="718"/>
      </w:pPr>
      <w:r>
        <w:t xml:space="preserve">17.1 </w:t>
      </w:r>
      <w:r>
        <w:tab/>
        <w:t xml:space="preserve">If this Call-Off Contract is conditional on receipt of a Guarantee that is acceptable to the Buyer, the Supplier must give the Buyer on or before the Start Date:  </w:t>
      </w:r>
    </w:p>
    <w:p w:rsidR="009D3DB4" w:rsidRDefault="005B054C">
      <w:pPr>
        <w:numPr>
          <w:ilvl w:val="0"/>
          <w:numId w:val="16"/>
        </w:numPr>
        <w:ind w:right="5" w:hanging="358"/>
      </w:pPr>
      <w:r>
        <w:t xml:space="preserve">an executed Guarantee in the form at Schedule 5   </w:t>
      </w:r>
    </w:p>
    <w:p w:rsidR="009D3DB4" w:rsidRDefault="005B054C">
      <w:pPr>
        <w:numPr>
          <w:ilvl w:val="0"/>
          <w:numId w:val="16"/>
        </w:numPr>
        <w:ind w:right="5" w:hanging="358"/>
      </w:pPr>
      <w:r>
        <w:t xml:space="preserve">a certified copy of the passed resolution or board minutes of the guarantor approving the execution of the Guarantee  </w:t>
      </w:r>
    </w:p>
    <w:p w:rsidR="009D3DB4" w:rsidRDefault="005B054C">
      <w:pPr>
        <w:pStyle w:val="Heading3"/>
        <w:ind w:left="698"/>
      </w:pPr>
      <w:r>
        <w:t xml:space="preserve">18. Ending the Call-Off Contract  </w:t>
      </w:r>
    </w:p>
    <w:p w:rsidR="009D3DB4" w:rsidRDefault="005B054C">
      <w:pPr>
        <w:ind w:left="1412" w:right="5" w:hanging="718"/>
      </w:pPr>
      <w:r>
        <w:t xml:space="preserve">18.1 </w:t>
      </w:r>
      <w:r>
        <w:tab/>
        <w:t xml:space="preserve">The Buyer can End this Call-Off Contract at any time by giving the notice to the Supplier specified in the Order Form. The Supplier’s obligation to provide the Services will end on the date in the notice.  </w:t>
      </w:r>
    </w:p>
    <w:p w:rsidR="009D3DB4" w:rsidRDefault="005B054C">
      <w:pPr>
        <w:tabs>
          <w:tab w:val="center" w:pos="887"/>
          <w:tab w:val="center" w:pos="2604"/>
        </w:tabs>
        <w:ind w:left="0" w:firstLine="0"/>
      </w:pPr>
      <w:r>
        <w:rPr>
          <w:rFonts w:ascii="Calibri" w:eastAsia="Calibri" w:hAnsi="Calibri" w:cs="Calibri"/>
          <w:sz w:val="22"/>
        </w:rPr>
        <w:tab/>
      </w:r>
      <w:r>
        <w:t xml:space="preserve">18.2 </w:t>
      </w:r>
      <w:r>
        <w:tab/>
        <w:t xml:space="preserve">The Parties agree that the:  </w:t>
      </w:r>
    </w:p>
    <w:p w:rsidR="009D3DB4" w:rsidRDefault="005B054C">
      <w:pPr>
        <w:numPr>
          <w:ilvl w:val="0"/>
          <w:numId w:val="17"/>
        </w:numPr>
        <w:ind w:right="5" w:hanging="358"/>
      </w:pPr>
      <w:r>
        <w:t xml:space="preserve">Buyer’s right to End the Call-Off Contract under clause 18.1 is reasonable considering the type of  </w:t>
      </w:r>
    </w:p>
    <w:p w:rsidR="009D3DB4" w:rsidRDefault="005B054C">
      <w:pPr>
        <w:ind w:left="2152" w:right="5"/>
      </w:pPr>
      <w:proofErr w:type="gramStart"/>
      <w:r>
        <w:t>cloud</w:t>
      </w:r>
      <w:proofErr w:type="gramEnd"/>
      <w:r>
        <w:t xml:space="preserve"> Service being provided  </w:t>
      </w:r>
    </w:p>
    <w:p w:rsidR="009D3DB4" w:rsidRDefault="005B054C">
      <w:pPr>
        <w:numPr>
          <w:ilvl w:val="0"/>
          <w:numId w:val="17"/>
        </w:numPr>
        <w:ind w:right="5" w:hanging="358"/>
      </w:pPr>
      <w:r>
        <w:t xml:space="preserve">Call-Off Contract Charges paid during the notice period is reasonable compensation and covers all the Supplier’s avoidable costs or Losses  </w:t>
      </w:r>
    </w:p>
    <w:p w:rsidR="009D3DB4" w:rsidRDefault="005B054C">
      <w:pPr>
        <w:numPr>
          <w:ilvl w:val="1"/>
          <w:numId w:val="18"/>
        </w:numPr>
        <w:spacing w:after="13"/>
        <w:ind w:right="5" w:hanging="718"/>
      </w:pPr>
      <w:r>
        <w:t xml:space="preserve">Subject to clause 24 (Liability), if the Buyer Ends this Call-Off Contract under clause 18.1, it will indemnify the  </w:t>
      </w:r>
    </w:p>
    <w:p w:rsidR="009D3DB4" w:rsidRDefault="005B054C">
      <w:pPr>
        <w:ind w:left="1434" w:right="5"/>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9D3DB4" w:rsidRDefault="005B054C">
      <w:pPr>
        <w:numPr>
          <w:ilvl w:val="1"/>
          <w:numId w:val="18"/>
        </w:numPr>
        <w:ind w:right="5" w:hanging="718"/>
      </w:pPr>
      <w:r>
        <w:t xml:space="preserve">The Buyer will have the right to End this Call-Off Contract at any time with immediate effect by written notice to the Supplier if either the Supplier commits:  </w:t>
      </w:r>
    </w:p>
    <w:p w:rsidR="009D3DB4" w:rsidRDefault="005B054C">
      <w:pPr>
        <w:numPr>
          <w:ilvl w:val="0"/>
          <w:numId w:val="17"/>
        </w:numPr>
        <w:ind w:right="5" w:hanging="358"/>
      </w:pPr>
      <w:r>
        <w:t xml:space="preserve">a Supplier Default and if the Supplier Default cannot, in the reasonable opinion of the Buyer, be remedied  </w:t>
      </w:r>
    </w:p>
    <w:p w:rsidR="009D3DB4" w:rsidRDefault="005B054C">
      <w:pPr>
        <w:numPr>
          <w:ilvl w:val="0"/>
          <w:numId w:val="17"/>
        </w:numPr>
        <w:ind w:right="5" w:hanging="358"/>
      </w:pPr>
      <w:r>
        <w:t xml:space="preserve">any fraud  </w:t>
      </w:r>
    </w:p>
    <w:p w:rsidR="009D3DB4" w:rsidRDefault="005B054C">
      <w:pPr>
        <w:tabs>
          <w:tab w:val="center" w:pos="887"/>
          <w:tab w:val="center" w:pos="5496"/>
        </w:tabs>
        <w:ind w:left="0" w:firstLine="0"/>
      </w:pPr>
      <w:r>
        <w:rPr>
          <w:rFonts w:ascii="Calibri" w:eastAsia="Calibri" w:hAnsi="Calibri" w:cs="Calibri"/>
          <w:sz w:val="22"/>
        </w:rPr>
        <w:tab/>
      </w:r>
      <w:r>
        <w:t xml:space="preserve">18.5 </w:t>
      </w:r>
      <w:r>
        <w:tab/>
        <w:t xml:space="preserve">A Party can End this Call-Off Contract at any time with immediate effect by written notice if:  </w:t>
      </w:r>
    </w:p>
    <w:p w:rsidR="009D3DB4" w:rsidRDefault="005B054C">
      <w:pPr>
        <w:numPr>
          <w:ilvl w:val="0"/>
          <w:numId w:val="17"/>
        </w:numPr>
        <w:ind w:right="5" w:hanging="35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9D3DB4" w:rsidRDefault="005B054C">
      <w:pPr>
        <w:numPr>
          <w:ilvl w:val="0"/>
          <w:numId w:val="17"/>
        </w:numPr>
        <w:ind w:right="5" w:hanging="358"/>
      </w:pPr>
      <w:r>
        <w:t xml:space="preserve">an Insolvency Event of the other Party happens  </w:t>
      </w:r>
    </w:p>
    <w:p w:rsidR="009D3DB4" w:rsidRDefault="005B054C">
      <w:pPr>
        <w:numPr>
          <w:ilvl w:val="0"/>
          <w:numId w:val="17"/>
        </w:numPr>
        <w:ind w:right="5" w:hanging="358"/>
      </w:pPr>
      <w:r>
        <w:t xml:space="preserve">the other Party ceases or threatens to cease to carry on the whole or any material part of its business  </w:t>
      </w:r>
    </w:p>
    <w:p w:rsidR="009D3DB4" w:rsidRDefault="005B054C">
      <w:pPr>
        <w:numPr>
          <w:ilvl w:val="1"/>
          <w:numId w:val="19"/>
        </w:numPr>
        <w:spacing w:after="252"/>
        <w:ind w:right="5"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9D3DB4" w:rsidRDefault="005B054C">
      <w:pPr>
        <w:numPr>
          <w:ilvl w:val="1"/>
          <w:numId w:val="19"/>
        </w:numPr>
        <w:spacing w:after="12"/>
        <w:ind w:right="5" w:hanging="718"/>
      </w:pPr>
      <w:r>
        <w:lastRenderedPageBreak/>
        <w:t xml:space="preserve">A Party who isn’t relying on a Force Majeure event will have the right to End this Call-Off Contract if clause  </w:t>
      </w:r>
    </w:p>
    <w:p w:rsidR="009D3DB4" w:rsidRDefault="005B054C">
      <w:pPr>
        <w:ind w:left="1434" w:right="5"/>
      </w:pPr>
      <w:r>
        <w:t xml:space="preserve">23.1 applies.  </w:t>
      </w:r>
    </w:p>
    <w:p w:rsidR="009D3DB4" w:rsidRDefault="005B054C">
      <w:pPr>
        <w:pStyle w:val="Heading3"/>
        <w:ind w:left="698"/>
      </w:pPr>
      <w:r>
        <w:t xml:space="preserve">19. Consequences of suspension, ending and expiry  </w:t>
      </w:r>
    </w:p>
    <w:p w:rsidR="009D3DB4" w:rsidRDefault="005B054C">
      <w:pPr>
        <w:tabs>
          <w:tab w:val="center" w:pos="887"/>
          <w:tab w:val="right" w:pos="11309"/>
        </w:tabs>
        <w:spacing w:after="21"/>
        <w:ind w:left="0" w:firstLine="0"/>
      </w:pPr>
      <w:r>
        <w:rPr>
          <w:rFonts w:ascii="Calibri" w:eastAsia="Calibri" w:hAnsi="Calibri" w:cs="Calibri"/>
          <w:sz w:val="22"/>
        </w:rPr>
        <w:tab/>
      </w:r>
      <w:r>
        <w:t xml:space="preserve">19.1 </w:t>
      </w:r>
      <w:r>
        <w:tab/>
        <w:t xml:space="preserve">If a Buyer has the right to End a Call-Off Contract, it may elect to suspend this Call-Off Contract or any part of  </w:t>
      </w:r>
    </w:p>
    <w:p w:rsidR="009D3DB4" w:rsidRDefault="005B054C">
      <w:pPr>
        <w:ind w:left="1434" w:right="5"/>
      </w:pPr>
      <w:proofErr w:type="gramStart"/>
      <w:r>
        <w:t>it</w:t>
      </w:r>
      <w:proofErr w:type="gramEnd"/>
      <w:r>
        <w:t xml:space="preserve">.  </w:t>
      </w:r>
    </w:p>
    <w:p w:rsidR="009D3DB4" w:rsidRDefault="005B054C">
      <w:pPr>
        <w:ind w:left="1412" w:right="5" w:hanging="718"/>
      </w:pPr>
      <w:r>
        <w:t xml:space="preserve">19.2 </w:t>
      </w:r>
      <w:r>
        <w:tab/>
        <w:t xml:space="preserve">Even if a notice has been served to End this Call-Off Contract or any part of it, the Supplier must continue to provide the Ordered G-Cloud Services until the dates set out in the notice.  </w:t>
      </w:r>
    </w:p>
    <w:p w:rsidR="009D3DB4" w:rsidRDefault="005B054C">
      <w:pPr>
        <w:ind w:left="1412" w:right="5" w:hanging="718"/>
      </w:pPr>
      <w:r>
        <w:t xml:space="preserve">19.3 </w:t>
      </w:r>
      <w:r>
        <w:tab/>
        <w:t xml:space="preserve">The rights and obligations of the Parties will cease on the Expiry Date or End Date (whichever applies) of this Call-Off Contract, except those continuing provisions described in clause 19.4.  </w:t>
      </w:r>
    </w:p>
    <w:p w:rsidR="009D3DB4" w:rsidRDefault="005B054C">
      <w:pPr>
        <w:tabs>
          <w:tab w:val="center" w:pos="887"/>
          <w:tab w:val="center" w:pos="3889"/>
        </w:tabs>
        <w:ind w:left="0" w:firstLine="0"/>
      </w:pPr>
      <w:r>
        <w:rPr>
          <w:rFonts w:ascii="Calibri" w:eastAsia="Calibri" w:hAnsi="Calibri" w:cs="Calibri"/>
          <w:sz w:val="22"/>
        </w:rPr>
        <w:tab/>
      </w:r>
      <w:r>
        <w:t xml:space="preserve">19.4 </w:t>
      </w:r>
      <w:r>
        <w:tab/>
        <w:t xml:space="preserve">Ending or expiry of this Call-Off Contract will not affect:  </w:t>
      </w:r>
    </w:p>
    <w:p w:rsidR="009D3DB4" w:rsidRDefault="005B054C">
      <w:pPr>
        <w:numPr>
          <w:ilvl w:val="0"/>
          <w:numId w:val="20"/>
        </w:numPr>
        <w:ind w:right="5" w:hanging="403"/>
      </w:pPr>
      <w:r>
        <w:t xml:space="preserve">any rights, remedies or obligations accrued before its Ending or expiration  </w:t>
      </w:r>
    </w:p>
    <w:p w:rsidR="009D3DB4" w:rsidRDefault="005B054C">
      <w:pPr>
        <w:numPr>
          <w:ilvl w:val="0"/>
          <w:numId w:val="20"/>
        </w:numPr>
        <w:ind w:right="5" w:hanging="403"/>
      </w:pPr>
      <w:r>
        <w:t xml:space="preserve">the right of either Party to recover any amount outstanding at the time of Ending or expiry  </w:t>
      </w:r>
    </w:p>
    <w:p w:rsidR="009D3DB4" w:rsidRDefault="005B054C">
      <w:pPr>
        <w:numPr>
          <w:ilvl w:val="0"/>
          <w:numId w:val="20"/>
        </w:numPr>
        <w:spacing w:after="8"/>
        <w:ind w:right="5" w:hanging="403"/>
      </w:pPr>
      <w:r>
        <w:t xml:space="preserve">the continuing rights, remedies or obligations of the Buyer or the Supplier under clauses 7 (Payment, VAT and Call-Off Contract charges); 8 (Recovery of sums due and right of set-off); 9 (Insurance); 10 </w:t>
      </w:r>
    </w:p>
    <w:p w:rsidR="009D3DB4" w:rsidRDefault="005B054C">
      <w:pPr>
        <w:ind w:left="2197" w:right="5"/>
      </w:pPr>
      <w:r>
        <w:t>(Confidentiality); 11 (Intellectual property rights); 12 (Protection of information); 13 (Buyer data)</w:t>
      </w:r>
      <w:proofErr w:type="gramStart"/>
      <w:r>
        <w:t>;19</w:t>
      </w:r>
      <w:proofErr w:type="gramEnd"/>
      <w:r>
        <w:t xml:space="preserve"> </w:t>
      </w:r>
    </w:p>
    <w:p w:rsidR="009D3DB4" w:rsidRDefault="005B054C">
      <w:pPr>
        <w:ind w:left="2197" w:right="5"/>
      </w:pPr>
      <w:r>
        <w:t xml:space="preserve">(Consequences of suspension, ending and expiry); 24 (Liability); incorporated Framework Agreement clauses: 4.2 to 4.7 (Liability); 8.42 to 8.48 (Conflicts of interest and ethical walls) and 8.92 to 8.93  </w:t>
      </w:r>
    </w:p>
    <w:p w:rsidR="009D3DB4" w:rsidRDefault="005B054C">
      <w:pPr>
        <w:ind w:left="2152" w:right="5"/>
      </w:pPr>
      <w:r>
        <w:t xml:space="preserve">(Waiver and cumulative remedies)  </w:t>
      </w:r>
    </w:p>
    <w:p w:rsidR="009D3DB4" w:rsidRDefault="005B054C">
      <w:pPr>
        <w:numPr>
          <w:ilvl w:val="0"/>
          <w:numId w:val="20"/>
        </w:numPr>
        <w:ind w:right="5" w:hanging="403"/>
      </w:pPr>
      <w:r>
        <w:t xml:space="preserve">any other provision of the Framework Agreement or this Call-Off Contract which expressly or by implication is in force even if it Ends or expires  </w:t>
      </w:r>
    </w:p>
    <w:p w:rsidR="009D3DB4" w:rsidRDefault="005B054C">
      <w:pPr>
        <w:tabs>
          <w:tab w:val="center" w:pos="887"/>
          <w:tab w:val="center" w:pos="4505"/>
        </w:tabs>
        <w:ind w:left="0" w:firstLine="0"/>
      </w:pPr>
      <w:r>
        <w:rPr>
          <w:rFonts w:ascii="Calibri" w:eastAsia="Calibri" w:hAnsi="Calibri" w:cs="Calibri"/>
          <w:sz w:val="22"/>
        </w:rPr>
        <w:tab/>
      </w:r>
      <w:r>
        <w:t xml:space="preserve">19.5 </w:t>
      </w:r>
      <w:r>
        <w:tab/>
        <w:t xml:space="preserve">At the end of the Call-Off Contract Term, the Supplier must promptly:  </w:t>
      </w:r>
    </w:p>
    <w:p w:rsidR="009D3DB4" w:rsidRDefault="005B054C">
      <w:pPr>
        <w:numPr>
          <w:ilvl w:val="0"/>
          <w:numId w:val="20"/>
        </w:numPr>
        <w:ind w:right="5" w:hanging="403"/>
      </w:pPr>
      <w:r>
        <w:t xml:space="preserve">return all Buyer Data including all copies of Buyer software, code and any other software licensed by the Buyer to the Supplier under it  </w:t>
      </w:r>
    </w:p>
    <w:p w:rsidR="009D3DB4" w:rsidRDefault="005B054C">
      <w:pPr>
        <w:numPr>
          <w:ilvl w:val="0"/>
          <w:numId w:val="20"/>
        </w:numPr>
        <w:ind w:right="5" w:hanging="403"/>
      </w:pPr>
      <w:r>
        <w:t xml:space="preserve">return any materials created by the Supplier under this Call-Off Contract if the IPRs are owned by the Buyer  </w:t>
      </w:r>
    </w:p>
    <w:p w:rsidR="009D3DB4" w:rsidRDefault="005B054C">
      <w:pPr>
        <w:numPr>
          <w:ilvl w:val="0"/>
          <w:numId w:val="20"/>
        </w:numPr>
        <w:spacing w:after="259"/>
        <w:ind w:right="5" w:hanging="403"/>
      </w:pPr>
      <w:r>
        <w:t xml:space="preserve">stop using the Buyer Data and, at the direction of the Buyer, provide the Buyer with a complete and uncorrupted version in electronic form in the formats and on media agreed with the Buyer  </w:t>
      </w:r>
    </w:p>
    <w:p w:rsidR="009D3DB4" w:rsidRDefault="005B054C">
      <w:pPr>
        <w:numPr>
          <w:ilvl w:val="0"/>
          <w:numId w:val="20"/>
        </w:numPr>
        <w:ind w:right="5" w:hanging="403"/>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9D3DB4" w:rsidRDefault="005B054C">
      <w:pPr>
        <w:numPr>
          <w:ilvl w:val="0"/>
          <w:numId w:val="20"/>
        </w:numPr>
        <w:ind w:right="5" w:hanging="403"/>
      </w:pPr>
      <w:r>
        <w:t xml:space="preserve">work with the Buyer on any ongoing work   </w:t>
      </w:r>
    </w:p>
    <w:p w:rsidR="009D3DB4" w:rsidRDefault="005B054C">
      <w:pPr>
        <w:numPr>
          <w:ilvl w:val="0"/>
          <w:numId w:val="20"/>
        </w:numPr>
        <w:spacing w:after="255"/>
        <w:ind w:right="5" w:hanging="403"/>
      </w:pPr>
      <w:r>
        <w:t xml:space="preserve">return any sums prepaid for Services which have not been delivered to the Buyer, within 10 Working Days of the End or Expiry Date  </w:t>
      </w:r>
    </w:p>
    <w:p w:rsidR="009D3DB4" w:rsidRDefault="005B054C">
      <w:pPr>
        <w:numPr>
          <w:ilvl w:val="1"/>
          <w:numId w:val="22"/>
        </w:numPr>
        <w:ind w:right="105" w:hanging="718"/>
      </w:pPr>
      <w:r>
        <w:t xml:space="preserve">Each Party will return all of the other Party’s Confidential Information and confirm this has been done, unless there is a legal requirement to keep it or this Call-Off Contract states otherwise.  </w:t>
      </w:r>
    </w:p>
    <w:p w:rsidR="009D3DB4" w:rsidRDefault="005B054C">
      <w:pPr>
        <w:numPr>
          <w:ilvl w:val="1"/>
          <w:numId w:val="22"/>
        </w:numPr>
        <w:spacing w:after="149" w:line="349" w:lineRule="auto"/>
        <w:ind w:right="105" w:hanging="718"/>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r>
        <w:rPr>
          <w:b/>
        </w:rPr>
        <w:t xml:space="preserve">20. Notices  </w:t>
      </w:r>
    </w:p>
    <w:p w:rsidR="009D3DB4" w:rsidRDefault="005B054C">
      <w:pPr>
        <w:numPr>
          <w:ilvl w:val="1"/>
          <w:numId w:val="21"/>
        </w:numPr>
        <w:spacing w:after="0"/>
        <w:ind w:right="5" w:hanging="797"/>
      </w:pPr>
      <w:r>
        <w:t xml:space="preserve">Any notices sent must be in writing. For the purpose of this clause, an email is accepted as being 'in writing'.  </w:t>
      </w:r>
    </w:p>
    <w:tbl>
      <w:tblPr>
        <w:tblStyle w:val="TableGrid"/>
        <w:tblW w:w="9876" w:type="dxa"/>
        <w:tblInd w:w="1316" w:type="dxa"/>
        <w:tblCellMar>
          <w:top w:w="122" w:type="dxa"/>
          <w:left w:w="113" w:type="dxa"/>
          <w:right w:w="88" w:type="dxa"/>
        </w:tblCellMar>
        <w:tblLook w:val="04A0" w:firstRow="1" w:lastRow="0" w:firstColumn="1" w:lastColumn="0" w:noHBand="0" w:noVBand="1"/>
      </w:tblPr>
      <w:tblGrid>
        <w:gridCol w:w="3292"/>
        <w:gridCol w:w="3291"/>
        <w:gridCol w:w="3293"/>
      </w:tblGrid>
      <w:tr w:rsidR="009D3DB4">
        <w:trPr>
          <w:trHeight w:val="590"/>
        </w:trPr>
        <w:tc>
          <w:tcPr>
            <w:tcW w:w="3291"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Manner of delivery </w:t>
            </w:r>
            <w:r>
              <w:t xml:space="preserve"> </w:t>
            </w:r>
          </w:p>
        </w:tc>
        <w:tc>
          <w:tcPr>
            <w:tcW w:w="3291"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Deemed time of delivery </w:t>
            </w:r>
            <w:r>
              <w:t xml:space="preserve"> </w:t>
            </w:r>
          </w:p>
        </w:tc>
        <w:tc>
          <w:tcPr>
            <w:tcW w:w="3293"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rPr>
                <w:b/>
              </w:rPr>
              <w:t xml:space="preserve">Proof of service </w:t>
            </w:r>
            <w:r>
              <w:t xml:space="preserve"> </w:t>
            </w:r>
          </w:p>
        </w:tc>
      </w:tr>
      <w:tr w:rsidR="009D3DB4">
        <w:trPr>
          <w:trHeight w:val="1073"/>
        </w:trPr>
        <w:tc>
          <w:tcPr>
            <w:tcW w:w="3291"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Email  </w:t>
            </w:r>
          </w:p>
        </w:tc>
        <w:tc>
          <w:tcPr>
            <w:tcW w:w="3291"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t xml:space="preserve">9am on the first Working Day after sending  </w:t>
            </w:r>
          </w:p>
        </w:tc>
        <w:tc>
          <w:tcPr>
            <w:tcW w:w="3293"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2" w:firstLine="0"/>
            </w:pPr>
            <w:r>
              <w:t xml:space="preserve">Sent by pdf to the correct email  address without getting an error  message  </w:t>
            </w:r>
          </w:p>
        </w:tc>
      </w:tr>
    </w:tbl>
    <w:p w:rsidR="009D3DB4" w:rsidRDefault="005B054C">
      <w:pPr>
        <w:spacing w:after="235" w:line="259" w:lineRule="auto"/>
        <w:ind w:left="708" w:firstLine="0"/>
      </w:pPr>
      <w:r>
        <w:t xml:space="preserve">  </w:t>
      </w:r>
    </w:p>
    <w:p w:rsidR="009D3DB4" w:rsidRDefault="005B054C">
      <w:pPr>
        <w:numPr>
          <w:ilvl w:val="1"/>
          <w:numId w:val="21"/>
        </w:numPr>
        <w:ind w:right="5" w:hanging="797"/>
      </w:pPr>
      <w:r>
        <w:t xml:space="preserve">This clause does not apply to any legal action or other method of dispute resolution which should be sent to the addresses in the Order Form (other than a dispute notice under this Call-Off Contract).  </w:t>
      </w:r>
    </w:p>
    <w:p w:rsidR="009D3DB4" w:rsidRDefault="005B054C">
      <w:pPr>
        <w:pStyle w:val="Heading3"/>
        <w:ind w:left="698"/>
      </w:pPr>
      <w:r>
        <w:t xml:space="preserve">21. Exit plan  </w:t>
      </w:r>
    </w:p>
    <w:p w:rsidR="009D3DB4" w:rsidRDefault="005B054C">
      <w:pPr>
        <w:ind w:left="1412" w:right="5" w:hanging="718"/>
      </w:pPr>
      <w:r>
        <w:t xml:space="preserve">21.1 </w:t>
      </w:r>
      <w:r>
        <w:tab/>
        <w:t xml:space="preserve">The Supplier must provide an exit plan in its Application which ensures continuity of service and the Supplier will follow it.  </w:t>
      </w:r>
    </w:p>
    <w:p w:rsidR="009D3DB4" w:rsidRDefault="005B054C">
      <w:pPr>
        <w:ind w:left="1412" w:right="5" w:hanging="718"/>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9D3DB4" w:rsidRDefault="005B054C">
      <w:pPr>
        <w:spacing w:after="257"/>
        <w:ind w:left="1412" w:right="5" w:hanging="718"/>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9D3DB4" w:rsidRDefault="005B054C">
      <w:pPr>
        <w:ind w:left="1412" w:right="5" w:hanging="718"/>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  </w:t>
      </w:r>
    </w:p>
    <w:p w:rsidR="009D3DB4" w:rsidRDefault="005B054C">
      <w:pPr>
        <w:spacing w:after="254"/>
        <w:ind w:left="1412" w:right="5" w:hanging="718"/>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9D3DB4" w:rsidRDefault="005B054C">
      <w:pPr>
        <w:ind w:left="1412" w:right="5" w:hanging="718"/>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9D3DB4" w:rsidRDefault="005B054C">
      <w:pPr>
        <w:numPr>
          <w:ilvl w:val="0"/>
          <w:numId w:val="23"/>
        </w:numPr>
        <w:ind w:right="5" w:hanging="358"/>
      </w:pPr>
      <w:r>
        <w:t xml:space="preserve">the Buyer will be able to transfer the Services to a replacement supplier before the expiry or Ending of the extension period on terms that are commercially reasonable and acceptable to the Buyer  </w:t>
      </w:r>
    </w:p>
    <w:p w:rsidR="009D3DB4" w:rsidRDefault="005B054C">
      <w:pPr>
        <w:numPr>
          <w:ilvl w:val="0"/>
          <w:numId w:val="23"/>
        </w:numPr>
        <w:spacing w:after="253"/>
        <w:ind w:right="5" w:hanging="358"/>
      </w:pPr>
      <w:r>
        <w:t xml:space="preserve">there will be no adverse impact on service continuity  </w:t>
      </w:r>
    </w:p>
    <w:p w:rsidR="009D3DB4" w:rsidRDefault="005B054C">
      <w:pPr>
        <w:numPr>
          <w:ilvl w:val="0"/>
          <w:numId w:val="23"/>
        </w:numPr>
        <w:ind w:right="5" w:hanging="358"/>
      </w:pPr>
      <w:r>
        <w:t xml:space="preserve">there is no vendor lock-in to the Supplier’s Service at exit  </w:t>
      </w:r>
    </w:p>
    <w:p w:rsidR="009D3DB4" w:rsidRDefault="005B054C">
      <w:pPr>
        <w:numPr>
          <w:ilvl w:val="0"/>
          <w:numId w:val="23"/>
        </w:numPr>
        <w:ind w:right="5" w:hanging="358"/>
      </w:pPr>
      <w:r>
        <w:t xml:space="preserve">it enables the Buyer to meet its obligations under the Technology Code Of Practice  </w:t>
      </w:r>
    </w:p>
    <w:p w:rsidR="009D3DB4" w:rsidRDefault="005B054C">
      <w:pPr>
        <w:numPr>
          <w:ilvl w:val="1"/>
          <w:numId w:val="24"/>
        </w:numPr>
        <w:ind w:right="5" w:hanging="718"/>
      </w:pPr>
      <w:r>
        <w:t xml:space="preserve">If approval is obtained by the Buyer to extend the Term, then the Supplier will comply with its obligations in the additional exit plan.  </w:t>
      </w:r>
    </w:p>
    <w:p w:rsidR="009D3DB4" w:rsidRDefault="005B054C">
      <w:pPr>
        <w:numPr>
          <w:ilvl w:val="1"/>
          <w:numId w:val="24"/>
        </w:numPr>
        <w:ind w:right="5" w:hanging="718"/>
      </w:pPr>
      <w:r>
        <w:t xml:space="preserve">The additional exit plan must set out full details of timescales, activities and roles and responsibilities of the  Parties for:  </w:t>
      </w:r>
    </w:p>
    <w:p w:rsidR="009D3DB4" w:rsidRDefault="005B054C">
      <w:pPr>
        <w:numPr>
          <w:ilvl w:val="0"/>
          <w:numId w:val="23"/>
        </w:numPr>
        <w:ind w:right="5" w:hanging="358"/>
      </w:pPr>
      <w:r>
        <w:lastRenderedPageBreak/>
        <w:t xml:space="preserve">the transfer to the Buyer of any technical information, instructions, manuals and code reasonably required by the Buyer to enable a smooth migration from the Supplier  </w:t>
      </w:r>
    </w:p>
    <w:p w:rsidR="009D3DB4" w:rsidRDefault="005B054C">
      <w:pPr>
        <w:numPr>
          <w:ilvl w:val="0"/>
          <w:numId w:val="23"/>
        </w:numPr>
        <w:ind w:right="5" w:hanging="358"/>
      </w:pPr>
      <w:r>
        <w:t xml:space="preserve">the strategy for exportation and migration of Buyer Data from the Supplier system to the Buyer or a replacement supplier, including conversion to open standards or other standards required by the Buyer  </w:t>
      </w:r>
    </w:p>
    <w:p w:rsidR="009D3DB4" w:rsidRDefault="005B054C">
      <w:pPr>
        <w:numPr>
          <w:ilvl w:val="0"/>
          <w:numId w:val="23"/>
        </w:numPr>
        <w:ind w:right="5" w:hanging="358"/>
      </w:pPr>
      <w:r>
        <w:t xml:space="preserve">the transfer of Project Specific IPR items and other Buyer customisations, configurations and databases to the Buyer or a replacement supplier  </w:t>
      </w:r>
    </w:p>
    <w:p w:rsidR="009D3DB4" w:rsidRDefault="005B054C">
      <w:pPr>
        <w:numPr>
          <w:ilvl w:val="0"/>
          <w:numId w:val="23"/>
        </w:numPr>
        <w:ind w:right="5" w:hanging="358"/>
      </w:pPr>
      <w:r>
        <w:t xml:space="preserve">the testing and assurance strategy for exported Buyer Data  </w:t>
      </w:r>
    </w:p>
    <w:p w:rsidR="009D3DB4" w:rsidRDefault="005B054C">
      <w:pPr>
        <w:numPr>
          <w:ilvl w:val="0"/>
          <w:numId w:val="23"/>
        </w:numPr>
        <w:ind w:right="5" w:hanging="358"/>
      </w:pPr>
      <w:r>
        <w:t xml:space="preserve">if relevant, TUPE-related activity to comply with the TUPE regulations  </w:t>
      </w:r>
    </w:p>
    <w:p w:rsidR="009D3DB4" w:rsidRDefault="005B054C">
      <w:pPr>
        <w:numPr>
          <w:ilvl w:val="0"/>
          <w:numId w:val="23"/>
        </w:numPr>
        <w:ind w:right="5" w:hanging="358"/>
      </w:pPr>
      <w:r>
        <w:t xml:space="preserve">any other activities and information which is reasonably required to ensure continuity of Service during the exit period and an orderly transition   </w:t>
      </w:r>
    </w:p>
    <w:p w:rsidR="009D3DB4" w:rsidRDefault="005B054C">
      <w:pPr>
        <w:pStyle w:val="Heading3"/>
        <w:ind w:left="698"/>
      </w:pPr>
      <w:r>
        <w:t xml:space="preserve">22. Handover to replacement supplier  </w:t>
      </w:r>
    </w:p>
    <w:p w:rsidR="009D3DB4" w:rsidRDefault="005B054C">
      <w:pPr>
        <w:tabs>
          <w:tab w:val="center" w:pos="887"/>
          <w:tab w:val="center" w:pos="5545"/>
        </w:tabs>
        <w:spacing w:after="267"/>
        <w:ind w:left="0" w:firstLine="0"/>
      </w:pPr>
      <w:r>
        <w:rPr>
          <w:rFonts w:ascii="Calibri" w:eastAsia="Calibri" w:hAnsi="Calibri" w:cs="Calibri"/>
          <w:sz w:val="22"/>
        </w:rPr>
        <w:tab/>
      </w:r>
      <w:r>
        <w:t xml:space="preserve">22.1 </w:t>
      </w:r>
      <w:r>
        <w:tab/>
        <w:t xml:space="preserve">At least 10 Working Days before the Expiry Date or End Date, the Supplier must provide any:  </w:t>
      </w:r>
    </w:p>
    <w:p w:rsidR="009D3DB4" w:rsidRDefault="005B054C">
      <w:pPr>
        <w:numPr>
          <w:ilvl w:val="0"/>
          <w:numId w:val="25"/>
        </w:numPr>
        <w:ind w:right="5" w:hanging="358"/>
      </w:pPr>
      <w:r>
        <w:t xml:space="preserve">data (including Buyer Data), Buyer Personal Data and Buyer Confidential Information in the Supplier’s possession, power or control  </w:t>
      </w:r>
    </w:p>
    <w:p w:rsidR="009D3DB4" w:rsidRDefault="005B054C">
      <w:pPr>
        <w:numPr>
          <w:ilvl w:val="0"/>
          <w:numId w:val="25"/>
        </w:numPr>
        <w:ind w:right="5" w:hanging="358"/>
      </w:pPr>
      <w:r>
        <w:t xml:space="preserve">other information reasonably requested by the Buyer  </w:t>
      </w:r>
    </w:p>
    <w:p w:rsidR="009D3DB4" w:rsidRDefault="005B054C">
      <w:pPr>
        <w:numPr>
          <w:ilvl w:val="1"/>
          <w:numId w:val="26"/>
        </w:numPr>
        <w:ind w:right="5" w:hanging="718"/>
      </w:pPr>
      <w:r>
        <w:t xml:space="preserve">On reasonable notice at any point during the Term, the Supplier will provide any information and data about the G-Cloud Services reasonably requested by the Buyer (including information on volumes, </w:t>
      </w:r>
    </w:p>
    <w:p w:rsidR="009D3DB4" w:rsidRDefault="005B054C">
      <w:pPr>
        <w:ind w:left="2154" w:right="5"/>
      </w:pPr>
      <w:proofErr w:type="gramStart"/>
      <w:r>
        <w:t>usage</w:t>
      </w:r>
      <w:proofErr w:type="gramEnd"/>
      <w:r>
        <w:t xml:space="preserve">, technical aspects, service performance and staffing). This will help the Buyer understand how the Services have been provided and to run a fair competition for a new supplier.  </w:t>
      </w:r>
    </w:p>
    <w:p w:rsidR="009D3DB4" w:rsidRDefault="005B054C">
      <w:pPr>
        <w:numPr>
          <w:ilvl w:val="1"/>
          <w:numId w:val="26"/>
        </w:numPr>
        <w:ind w:right="5"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9D3DB4" w:rsidRDefault="005B054C">
      <w:pPr>
        <w:pStyle w:val="Heading3"/>
        <w:ind w:left="698"/>
      </w:pPr>
      <w:r>
        <w:t xml:space="preserve">23. Force majeure  </w:t>
      </w:r>
    </w:p>
    <w:p w:rsidR="009D3DB4" w:rsidRDefault="005B054C">
      <w:pPr>
        <w:ind w:left="1412" w:right="5" w:hanging="718"/>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9D3DB4" w:rsidRDefault="005B054C">
      <w:pPr>
        <w:pStyle w:val="Heading3"/>
        <w:ind w:left="698"/>
      </w:pPr>
      <w:r>
        <w:t xml:space="preserve">24. Liability  </w:t>
      </w:r>
    </w:p>
    <w:p w:rsidR="009D3DB4" w:rsidRDefault="005B054C">
      <w:pPr>
        <w:ind w:left="1412" w:right="5" w:hanging="718"/>
      </w:pPr>
      <w:r>
        <w:t xml:space="preserve">24.1 </w:t>
      </w:r>
      <w:r>
        <w:tab/>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   </w:t>
      </w:r>
    </w:p>
    <w:p w:rsidR="009D3DB4" w:rsidRDefault="005B054C">
      <w:pPr>
        <w:numPr>
          <w:ilvl w:val="0"/>
          <w:numId w:val="27"/>
        </w:numPr>
        <w:ind w:right="5" w:hanging="358"/>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9D3DB4" w:rsidRDefault="005B054C">
      <w:pPr>
        <w:numPr>
          <w:ilvl w:val="0"/>
          <w:numId w:val="27"/>
        </w:numPr>
        <w:ind w:right="5" w:hanging="358"/>
      </w:pPr>
      <w:r>
        <w:t xml:space="preserve">Buyer Data: for all defaults resulting in direct loss, destruction, corruption, degradation or damage to any Buyer Data caused by the Supplier's default will not exceed the amount in the Order Form  </w:t>
      </w:r>
    </w:p>
    <w:p w:rsidR="009D3DB4" w:rsidRDefault="005B054C">
      <w:pPr>
        <w:numPr>
          <w:ilvl w:val="0"/>
          <w:numId w:val="27"/>
        </w:numPr>
        <w:ind w:right="5" w:hanging="358"/>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9D3DB4" w:rsidRDefault="005B054C">
      <w:pPr>
        <w:pStyle w:val="Heading3"/>
        <w:spacing w:after="269"/>
        <w:ind w:left="698"/>
      </w:pPr>
      <w:r>
        <w:lastRenderedPageBreak/>
        <w:t xml:space="preserve">25. Premises  </w:t>
      </w:r>
    </w:p>
    <w:p w:rsidR="009D3DB4" w:rsidRDefault="005B054C">
      <w:pPr>
        <w:spacing w:after="255"/>
        <w:ind w:left="1412" w:right="5" w:hanging="718"/>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9D3DB4" w:rsidRDefault="005B054C">
      <w:pPr>
        <w:ind w:left="1412" w:right="5" w:hanging="718"/>
      </w:pPr>
      <w:r>
        <w:t xml:space="preserve">25.2 </w:t>
      </w:r>
      <w:r>
        <w:tab/>
        <w:t xml:space="preserve">The Supplier will use the Buyer’s premises solely for the performance of its obligations under this Call-Off Contract.  </w:t>
      </w:r>
    </w:p>
    <w:p w:rsidR="009D3DB4" w:rsidRDefault="005B054C">
      <w:pPr>
        <w:tabs>
          <w:tab w:val="center" w:pos="887"/>
          <w:tab w:val="center" w:pos="5421"/>
        </w:tabs>
        <w:ind w:left="0" w:firstLine="0"/>
      </w:pPr>
      <w:r>
        <w:rPr>
          <w:rFonts w:ascii="Calibri" w:eastAsia="Calibri" w:hAnsi="Calibri" w:cs="Calibri"/>
          <w:sz w:val="22"/>
        </w:rPr>
        <w:tab/>
      </w:r>
      <w:r>
        <w:t xml:space="preserve">25.3 </w:t>
      </w:r>
      <w:r>
        <w:tab/>
        <w:t xml:space="preserve">The Supplier will vacate the Buyer’s premises when the Call-Off Contract Ends or expires.  </w:t>
      </w:r>
    </w:p>
    <w:p w:rsidR="009D3DB4" w:rsidRDefault="005B054C">
      <w:pPr>
        <w:tabs>
          <w:tab w:val="center" w:pos="887"/>
          <w:tab w:val="center" w:pos="4566"/>
        </w:tabs>
        <w:spacing w:after="266"/>
        <w:ind w:left="0" w:firstLine="0"/>
      </w:pPr>
      <w:r>
        <w:rPr>
          <w:rFonts w:ascii="Calibri" w:eastAsia="Calibri" w:hAnsi="Calibri" w:cs="Calibri"/>
          <w:sz w:val="22"/>
        </w:rPr>
        <w:tab/>
      </w:r>
      <w:r>
        <w:t xml:space="preserve">25.4 </w:t>
      </w:r>
      <w:r>
        <w:tab/>
        <w:t xml:space="preserve">This clause does not create a tenancy or exclusive right of occupation.  </w:t>
      </w:r>
    </w:p>
    <w:p w:rsidR="009D3DB4" w:rsidRDefault="005B054C">
      <w:pPr>
        <w:tabs>
          <w:tab w:val="center" w:pos="887"/>
          <w:tab w:val="center" w:pos="3571"/>
        </w:tabs>
        <w:ind w:left="0" w:firstLine="0"/>
      </w:pPr>
      <w:r>
        <w:rPr>
          <w:rFonts w:ascii="Calibri" w:eastAsia="Calibri" w:hAnsi="Calibri" w:cs="Calibri"/>
          <w:sz w:val="22"/>
        </w:rPr>
        <w:tab/>
      </w:r>
      <w:r>
        <w:t xml:space="preserve">25.5 </w:t>
      </w:r>
      <w:r>
        <w:tab/>
        <w:t xml:space="preserve">While on the Buyer’s premises, the Supplier will:  </w:t>
      </w:r>
    </w:p>
    <w:p w:rsidR="009D3DB4" w:rsidRDefault="005B054C">
      <w:pPr>
        <w:numPr>
          <w:ilvl w:val="0"/>
          <w:numId w:val="28"/>
        </w:numPr>
        <w:ind w:right="5" w:hanging="358"/>
      </w:pPr>
      <w:r>
        <w:t xml:space="preserve">comply with any security requirements at the premises and not do anything to weaken the security of the premises  </w:t>
      </w:r>
    </w:p>
    <w:p w:rsidR="009D3DB4" w:rsidRDefault="005B054C">
      <w:pPr>
        <w:numPr>
          <w:ilvl w:val="0"/>
          <w:numId w:val="28"/>
        </w:numPr>
        <w:ind w:right="5" w:hanging="358"/>
      </w:pPr>
      <w:r>
        <w:t xml:space="preserve">comply with Buyer requirements for the conduct of personnel  </w:t>
      </w:r>
    </w:p>
    <w:p w:rsidR="009D3DB4" w:rsidRDefault="005B054C">
      <w:pPr>
        <w:numPr>
          <w:ilvl w:val="0"/>
          <w:numId w:val="28"/>
        </w:numPr>
        <w:ind w:right="5" w:hanging="358"/>
      </w:pPr>
      <w:r>
        <w:t xml:space="preserve">comply with any health and safety measures implemented by the Buyer  </w:t>
      </w:r>
    </w:p>
    <w:p w:rsidR="009D3DB4" w:rsidRDefault="005B054C">
      <w:pPr>
        <w:numPr>
          <w:ilvl w:val="0"/>
          <w:numId w:val="28"/>
        </w:numPr>
        <w:ind w:right="5" w:hanging="358"/>
      </w:pPr>
      <w:r>
        <w:t xml:space="preserve">immediately notify the Buyer of any incident on the premises that causes any damage to Property which could cause personal injury  </w:t>
      </w:r>
    </w:p>
    <w:p w:rsidR="009D3DB4" w:rsidRDefault="005B054C">
      <w:pPr>
        <w:ind w:left="1412" w:right="5" w:hanging="718"/>
      </w:pPr>
      <w:r>
        <w:t xml:space="preserve">25.6 </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9D3DB4" w:rsidRDefault="005B054C">
      <w:pPr>
        <w:pStyle w:val="Heading3"/>
        <w:ind w:left="698"/>
      </w:pPr>
      <w:r>
        <w:t xml:space="preserve">26. Equipment  </w:t>
      </w:r>
    </w:p>
    <w:p w:rsidR="009D3DB4" w:rsidRDefault="005B054C">
      <w:pPr>
        <w:tabs>
          <w:tab w:val="center" w:pos="887"/>
          <w:tab w:val="center" w:pos="6242"/>
        </w:tabs>
        <w:ind w:left="0" w:firstLine="0"/>
      </w:pPr>
      <w:r>
        <w:rPr>
          <w:rFonts w:ascii="Calibri" w:eastAsia="Calibri" w:hAnsi="Calibri" w:cs="Calibri"/>
          <w:sz w:val="22"/>
        </w:rPr>
        <w:tab/>
      </w:r>
      <w:r>
        <w:t xml:space="preserve">26.1 </w:t>
      </w:r>
      <w:r>
        <w:tab/>
        <w:t xml:space="preserve">The Supplier is responsible for providing any Equipment which the Supplier requires to provide the Services.   </w:t>
      </w:r>
    </w:p>
    <w:p w:rsidR="009D3DB4" w:rsidRDefault="005B054C">
      <w:pPr>
        <w:ind w:right="5"/>
      </w:pPr>
      <w:r>
        <w:t xml:space="preserve">26.2 </w:t>
      </w:r>
      <w:r>
        <w:tab/>
        <w:t xml:space="preserve">Any Equipment brought onto the premises will be at the Supplier's own risk and the Buyer will have no liability for any loss of, or damage to, any Equipment.  </w:t>
      </w:r>
    </w:p>
    <w:p w:rsidR="009D3DB4" w:rsidRDefault="005B054C">
      <w:pPr>
        <w:ind w:left="1412" w:right="5" w:hanging="718"/>
      </w:pPr>
      <w:r>
        <w:t xml:space="preserve">26.3 </w:t>
      </w:r>
      <w:r>
        <w:tab/>
        <w:t xml:space="preserve">When the Call-Off Contract Ends or expires, the Supplier will remove the Equipment and any other materials leaving the premises in a safe and clean condition.  </w:t>
      </w:r>
    </w:p>
    <w:p w:rsidR="009D3DB4" w:rsidRDefault="005B054C">
      <w:pPr>
        <w:pStyle w:val="Heading3"/>
        <w:ind w:left="698"/>
      </w:pPr>
      <w:r>
        <w:t xml:space="preserve">27. The Contracts (Rights of Third Parties) Act 1999  </w:t>
      </w:r>
    </w:p>
    <w:p w:rsidR="009D3DB4" w:rsidRDefault="005B054C">
      <w:pPr>
        <w:ind w:left="1412" w:right="5" w:hanging="718"/>
      </w:pPr>
      <w:r>
        <w:t xml:space="preserve">27.1 </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9D3DB4" w:rsidRDefault="005B054C">
      <w:pPr>
        <w:pStyle w:val="Heading3"/>
        <w:ind w:left="698"/>
      </w:pPr>
      <w:r>
        <w:t xml:space="preserve">28. Environmental requirements  </w:t>
      </w:r>
    </w:p>
    <w:p w:rsidR="009D3DB4" w:rsidRDefault="005B054C">
      <w:pPr>
        <w:ind w:left="1412" w:right="5" w:hanging="718"/>
      </w:pPr>
      <w:r>
        <w:t xml:space="preserve">28.1 The Buyer will provide a copy of its environmental policy to the Supplier on request, which the Supplier will comply with.  </w:t>
      </w:r>
    </w:p>
    <w:p w:rsidR="009D3DB4" w:rsidRDefault="005B054C">
      <w:pPr>
        <w:ind w:left="1412" w:right="5" w:hanging="718"/>
      </w:pPr>
      <w:r>
        <w:t xml:space="preserve">28.2 </w:t>
      </w:r>
      <w:r>
        <w:tab/>
        <w:t xml:space="preserve">The Supplier must provide reasonable support to enable Buyers to work in an environmentally friendly way, for example by helping them recycle or lower their carbon footprint.  </w:t>
      </w:r>
    </w:p>
    <w:p w:rsidR="009D3DB4" w:rsidRDefault="005B054C">
      <w:pPr>
        <w:pStyle w:val="Heading3"/>
        <w:ind w:left="698"/>
      </w:pPr>
      <w:r>
        <w:t xml:space="preserve">29. The Employment Regulations (TUPE)  </w:t>
      </w:r>
    </w:p>
    <w:p w:rsidR="009D3DB4" w:rsidRDefault="005B054C">
      <w:pPr>
        <w:ind w:left="1412" w:right="5" w:hanging="718"/>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9D3DB4" w:rsidRDefault="005B054C">
      <w:pPr>
        <w:ind w:left="1412" w:right="5" w:hanging="718"/>
      </w:pPr>
      <w:r>
        <w:lastRenderedPageBreak/>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9D3DB4" w:rsidRDefault="005B054C">
      <w:pPr>
        <w:numPr>
          <w:ilvl w:val="0"/>
          <w:numId w:val="29"/>
        </w:numPr>
        <w:ind w:right="5" w:hanging="358"/>
      </w:pPr>
      <w:r>
        <w:t xml:space="preserve">the activities they perform  </w:t>
      </w:r>
    </w:p>
    <w:p w:rsidR="009D3DB4" w:rsidRDefault="005B054C">
      <w:pPr>
        <w:numPr>
          <w:ilvl w:val="0"/>
          <w:numId w:val="29"/>
        </w:numPr>
        <w:ind w:right="5" w:hanging="358"/>
      </w:pPr>
      <w:r>
        <w:t xml:space="preserve">age  </w:t>
      </w:r>
    </w:p>
    <w:p w:rsidR="009D3DB4" w:rsidRDefault="005B054C">
      <w:pPr>
        <w:numPr>
          <w:ilvl w:val="0"/>
          <w:numId w:val="29"/>
        </w:numPr>
        <w:ind w:right="5" w:hanging="358"/>
      </w:pPr>
      <w:r>
        <w:t xml:space="preserve">start date   </w:t>
      </w:r>
    </w:p>
    <w:p w:rsidR="009D3DB4" w:rsidRDefault="005B054C">
      <w:pPr>
        <w:numPr>
          <w:ilvl w:val="0"/>
          <w:numId w:val="29"/>
        </w:numPr>
        <w:ind w:right="5" w:hanging="358"/>
      </w:pPr>
      <w:r>
        <w:t xml:space="preserve">place of work  </w:t>
      </w:r>
    </w:p>
    <w:p w:rsidR="009D3DB4" w:rsidRDefault="005B054C">
      <w:pPr>
        <w:numPr>
          <w:ilvl w:val="0"/>
          <w:numId w:val="29"/>
        </w:numPr>
        <w:ind w:right="5" w:hanging="358"/>
      </w:pPr>
      <w:r>
        <w:t xml:space="preserve">notice period  </w:t>
      </w:r>
    </w:p>
    <w:p w:rsidR="009D3DB4" w:rsidRDefault="005B054C">
      <w:pPr>
        <w:numPr>
          <w:ilvl w:val="0"/>
          <w:numId w:val="29"/>
        </w:numPr>
        <w:ind w:right="5" w:hanging="358"/>
      </w:pPr>
      <w:r>
        <w:t xml:space="preserve">redundancy payment entitlement  </w:t>
      </w:r>
    </w:p>
    <w:p w:rsidR="009D3DB4" w:rsidRDefault="005B054C">
      <w:pPr>
        <w:numPr>
          <w:ilvl w:val="0"/>
          <w:numId w:val="29"/>
        </w:numPr>
        <w:ind w:right="5" w:hanging="358"/>
      </w:pPr>
      <w:r>
        <w:t xml:space="preserve">salary, benefits and pension entitlements  </w:t>
      </w:r>
    </w:p>
    <w:p w:rsidR="009D3DB4" w:rsidRDefault="005B054C">
      <w:pPr>
        <w:numPr>
          <w:ilvl w:val="0"/>
          <w:numId w:val="29"/>
        </w:numPr>
        <w:ind w:right="5" w:hanging="358"/>
      </w:pPr>
      <w:r>
        <w:t xml:space="preserve">employment status  </w:t>
      </w:r>
    </w:p>
    <w:p w:rsidR="009D3DB4" w:rsidRDefault="005B054C">
      <w:pPr>
        <w:numPr>
          <w:ilvl w:val="0"/>
          <w:numId w:val="29"/>
        </w:numPr>
        <w:ind w:right="5" w:hanging="358"/>
      </w:pPr>
      <w:r>
        <w:t xml:space="preserve">identity of employer  </w:t>
      </w:r>
    </w:p>
    <w:p w:rsidR="009D3DB4" w:rsidRDefault="005B054C">
      <w:pPr>
        <w:numPr>
          <w:ilvl w:val="0"/>
          <w:numId w:val="29"/>
        </w:numPr>
        <w:ind w:right="5" w:hanging="358"/>
      </w:pPr>
      <w:r>
        <w:t xml:space="preserve">working arrangements  </w:t>
      </w:r>
    </w:p>
    <w:p w:rsidR="009D3DB4" w:rsidRDefault="005B054C">
      <w:pPr>
        <w:numPr>
          <w:ilvl w:val="0"/>
          <w:numId w:val="29"/>
        </w:numPr>
        <w:ind w:right="5" w:hanging="358"/>
      </w:pPr>
      <w:r>
        <w:t xml:space="preserve">outstanding liabilities  </w:t>
      </w:r>
    </w:p>
    <w:p w:rsidR="009D3DB4" w:rsidRDefault="005B054C">
      <w:pPr>
        <w:numPr>
          <w:ilvl w:val="0"/>
          <w:numId w:val="29"/>
        </w:numPr>
        <w:ind w:right="5" w:hanging="358"/>
      </w:pPr>
      <w:r>
        <w:t xml:space="preserve">sickness absence  </w:t>
      </w:r>
    </w:p>
    <w:p w:rsidR="009D3DB4" w:rsidRDefault="005B054C">
      <w:pPr>
        <w:numPr>
          <w:ilvl w:val="0"/>
          <w:numId w:val="29"/>
        </w:numPr>
        <w:ind w:right="5" w:hanging="358"/>
      </w:pPr>
      <w:r>
        <w:t xml:space="preserve">copies of all relevant employment contracts and related documents  </w:t>
      </w:r>
    </w:p>
    <w:p w:rsidR="009D3DB4" w:rsidRDefault="005B054C">
      <w:pPr>
        <w:numPr>
          <w:ilvl w:val="0"/>
          <w:numId w:val="29"/>
        </w:numPr>
        <w:ind w:right="5" w:hanging="358"/>
      </w:pPr>
      <w:r>
        <w:t xml:space="preserve">all information required under regulation 11 of TUPE or as reasonably requested by the Buyer   </w:t>
      </w:r>
    </w:p>
    <w:p w:rsidR="009D3DB4" w:rsidRDefault="005B054C">
      <w:pPr>
        <w:numPr>
          <w:ilvl w:val="1"/>
          <w:numId w:val="30"/>
        </w:numPr>
        <w:ind w:right="5"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9D3DB4" w:rsidRDefault="005B054C">
      <w:pPr>
        <w:numPr>
          <w:ilvl w:val="1"/>
          <w:numId w:val="30"/>
        </w:numPr>
        <w:ind w:right="5"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9D3DB4" w:rsidRDefault="005B054C">
      <w:pPr>
        <w:numPr>
          <w:ilvl w:val="1"/>
          <w:numId w:val="30"/>
        </w:numPr>
        <w:ind w:right="5" w:hanging="718"/>
      </w:pPr>
      <w:r>
        <w:t xml:space="preserve">The Supplier will co-operate with the re-tendering of this Call-Off Contract by allowing the Replacement Supplier to communicate with and meet the affected employees or their representatives.  </w:t>
      </w:r>
    </w:p>
    <w:p w:rsidR="009D3DB4" w:rsidRDefault="005B054C">
      <w:pPr>
        <w:numPr>
          <w:ilvl w:val="1"/>
          <w:numId w:val="30"/>
        </w:numPr>
        <w:ind w:right="5" w:hanging="718"/>
      </w:pPr>
      <w:r>
        <w:t xml:space="preserve">The Supplier will indemnify the Buyer or any Replacement Supplier for all Loss arising from both:  </w:t>
      </w:r>
    </w:p>
    <w:p w:rsidR="009D3DB4" w:rsidRDefault="005B054C">
      <w:pPr>
        <w:numPr>
          <w:ilvl w:val="0"/>
          <w:numId w:val="29"/>
        </w:numPr>
        <w:ind w:right="5" w:hanging="358"/>
      </w:pPr>
      <w:r>
        <w:t xml:space="preserve">its failure to comply with the provisions of this clause  </w:t>
      </w:r>
    </w:p>
    <w:p w:rsidR="009D3DB4" w:rsidRDefault="005B054C">
      <w:pPr>
        <w:numPr>
          <w:ilvl w:val="0"/>
          <w:numId w:val="29"/>
        </w:numPr>
        <w:ind w:right="5" w:hanging="358"/>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9D3DB4" w:rsidRDefault="005B054C">
      <w:pPr>
        <w:numPr>
          <w:ilvl w:val="1"/>
          <w:numId w:val="31"/>
        </w:numPr>
        <w:ind w:right="5" w:hanging="718"/>
      </w:pPr>
      <w:r>
        <w:t xml:space="preserve">The provisions of this clause apply during the Term of this Call-Off Contract and indefinitely after it </w:t>
      </w:r>
      <w:proofErr w:type="gramStart"/>
      <w:r>
        <w:t>Ends</w:t>
      </w:r>
      <w:proofErr w:type="gramEnd"/>
      <w:r>
        <w:t xml:space="preserve"> or expires.  </w:t>
      </w:r>
    </w:p>
    <w:p w:rsidR="009D3DB4" w:rsidRDefault="005B054C">
      <w:pPr>
        <w:numPr>
          <w:ilvl w:val="1"/>
          <w:numId w:val="31"/>
        </w:numPr>
        <w:spacing w:after="220" w:line="269" w:lineRule="auto"/>
        <w:ind w:right="5" w:hanging="718"/>
      </w:pPr>
      <w:r>
        <w:t xml:space="preserve">For these TUPE clauses, the relevant third party will be able to enforce its rights under this clause but their consent will not be required to vary these clauses as the Buyer and Supplier may agree.  </w:t>
      </w:r>
    </w:p>
    <w:p w:rsidR="009D3DB4" w:rsidRDefault="005B054C">
      <w:pPr>
        <w:pStyle w:val="Heading3"/>
        <w:spacing w:after="271"/>
        <w:ind w:left="698"/>
      </w:pPr>
      <w:r>
        <w:lastRenderedPageBreak/>
        <w:t xml:space="preserve">30. Additional G-Cloud services  </w:t>
      </w:r>
    </w:p>
    <w:p w:rsidR="009D3DB4" w:rsidRDefault="005B054C">
      <w:pPr>
        <w:ind w:left="1426" w:right="5" w:hanging="732"/>
      </w:pPr>
      <w:r>
        <w:t xml:space="preserve">30.1 </w:t>
      </w:r>
      <w:r>
        <w:tab/>
        <w:t xml:space="preserve">The Buyer may require the Supplier to provide Additional Services. The Buyer doesn’t have to buy </w:t>
      </w:r>
      <w:proofErr w:type="gramStart"/>
      <w:r>
        <w:t>any  Additional</w:t>
      </w:r>
      <w:proofErr w:type="gramEnd"/>
      <w:r>
        <w:t xml:space="preserve"> Services from the Supplier and can buy services that are the same as or similar to the Additional Services from any third party.   </w:t>
      </w:r>
    </w:p>
    <w:p w:rsidR="009D3DB4" w:rsidRDefault="005B054C">
      <w:pPr>
        <w:ind w:left="1412" w:right="5" w:hanging="718"/>
      </w:pPr>
      <w:r>
        <w:t xml:space="preserve">30.2 </w:t>
      </w:r>
      <w:r>
        <w:tab/>
        <w:t xml:space="preserve">If reasonably requested to do so by the Buyer in the Order Form, the Supplier must provide and monitor performance of the Additional Services using an Implementation Plan.  </w:t>
      </w:r>
    </w:p>
    <w:p w:rsidR="009D3DB4" w:rsidRDefault="005B054C">
      <w:pPr>
        <w:pStyle w:val="Heading3"/>
        <w:ind w:left="698"/>
      </w:pPr>
      <w:r>
        <w:t xml:space="preserve">31. Collaboration  </w:t>
      </w:r>
    </w:p>
    <w:p w:rsidR="009D3DB4" w:rsidRDefault="005B054C">
      <w:pPr>
        <w:tabs>
          <w:tab w:val="center" w:pos="887"/>
          <w:tab w:val="center" w:pos="5826"/>
        </w:tabs>
        <w:spacing w:after="11"/>
        <w:ind w:left="0" w:firstLine="0"/>
      </w:pPr>
      <w:r>
        <w:rPr>
          <w:rFonts w:ascii="Calibri" w:eastAsia="Calibri" w:hAnsi="Calibri" w:cs="Calibri"/>
          <w:sz w:val="22"/>
        </w:rPr>
        <w:tab/>
      </w:r>
      <w:r>
        <w:t xml:space="preserve">31.1 </w:t>
      </w:r>
      <w:r>
        <w:tab/>
        <w:t xml:space="preserve">If the Buyer has specified in the Order Form that it requires the Supplier to enter into a Collaboration </w:t>
      </w:r>
    </w:p>
    <w:p w:rsidR="009D3DB4" w:rsidRDefault="005B054C">
      <w:pPr>
        <w:ind w:left="1420" w:right="5"/>
      </w:pPr>
      <w:r>
        <w:t xml:space="preserve">Agreement, the Supplier must give the Buyer an executed Collaboration Agreement before the Start Date in the form set out in Schedule 3.  </w:t>
      </w:r>
    </w:p>
    <w:p w:rsidR="009D3DB4" w:rsidRDefault="005B054C">
      <w:pPr>
        <w:tabs>
          <w:tab w:val="center" w:pos="887"/>
          <w:tab w:val="center" w:pos="5175"/>
        </w:tabs>
        <w:spacing w:after="267"/>
        <w:ind w:left="0" w:firstLine="0"/>
      </w:pPr>
      <w:r>
        <w:rPr>
          <w:rFonts w:ascii="Calibri" w:eastAsia="Calibri" w:hAnsi="Calibri" w:cs="Calibri"/>
          <w:sz w:val="22"/>
        </w:rPr>
        <w:tab/>
      </w:r>
      <w:r>
        <w:t xml:space="preserve">31.2 </w:t>
      </w:r>
      <w:r>
        <w:tab/>
        <w:t xml:space="preserve">In addition to any obligations under the Collaboration Agreement, the Supplier must:  </w:t>
      </w:r>
    </w:p>
    <w:p w:rsidR="009D3DB4" w:rsidRDefault="005B054C">
      <w:pPr>
        <w:numPr>
          <w:ilvl w:val="0"/>
          <w:numId w:val="32"/>
        </w:numPr>
        <w:spacing w:after="265"/>
        <w:ind w:right="5" w:hanging="358"/>
      </w:pPr>
      <w:r>
        <w:t xml:space="preserve">work proactively and in good faith with each of the Buyer’s contractors  </w:t>
      </w:r>
    </w:p>
    <w:p w:rsidR="009D3DB4" w:rsidRDefault="005B054C">
      <w:pPr>
        <w:numPr>
          <w:ilvl w:val="0"/>
          <w:numId w:val="32"/>
        </w:numPr>
        <w:ind w:right="5" w:hanging="358"/>
      </w:pPr>
      <w:r>
        <w:t xml:space="preserve">co-operate and share information with the Buyer’s contractors to enable the efficient operation of the Buyer’s ICT services and G-Cloud Services  </w:t>
      </w:r>
    </w:p>
    <w:p w:rsidR="009D3DB4" w:rsidRDefault="005B054C">
      <w:pPr>
        <w:pStyle w:val="Heading3"/>
        <w:ind w:left="698"/>
      </w:pPr>
      <w:r>
        <w:t xml:space="preserve">32. Variation process  </w:t>
      </w:r>
    </w:p>
    <w:p w:rsidR="009D3DB4" w:rsidRDefault="005B054C">
      <w:pPr>
        <w:ind w:left="1412" w:right="5" w:hanging="718"/>
      </w:pPr>
      <w:r>
        <w:t xml:space="preserve">32.1 </w:t>
      </w:r>
      <w:r>
        <w:tab/>
        <w:t xml:space="preserve">The Buyer can request in writing a change to this Call-Off Contract if it is not a material change to the Framework Agreement/or this Call-Off Contract. Once implemented, it is called a Variation.  </w:t>
      </w:r>
    </w:p>
    <w:p w:rsidR="009D3DB4" w:rsidRDefault="005B054C">
      <w:pPr>
        <w:spacing w:after="220" w:line="269" w:lineRule="auto"/>
        <w:ind w:left="511" w:hanging="10"/>
        <w:jc w:val="center"/>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9D3DB4" w:rsidRDefault="005B054C">
      <w:pPr>
        <w:ind w:left="1412" w:right="5" w:hanging="718"/>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9D3DB4" w:rsidRDefault="005B054C">
      <w:pPr>
        <w:spacing w:after="527" w:line="259" w:lineRule="auto"/>
        <w:ind w:left="708" w:firstLine="0"/>
      </w:pPr>
      <w:r>
        <w:t xml:space="preserve">  </w:t>
      </w:r>
    </w:p>
    <w:p w:rsidR="009D3DB4" w:rsidRDefault="005B054C">
      <w:pPr>
        <w:pStyle w:val="Heading1"/>
        <w:ind w:left="689"/>
      </w:pPr>
      <w:bookmarkStart w:id="5" w:name="_Toc59171"/>
      <w:r>
        <w:t>Schedule 3 - Collaboration agreement</w:t>
      </w:r>
      <w:r>
        <w:rPr>
          <w:vertAlign w:val="subscript"/>
        </w:rPr>
        <w:t xml:space="preserve"> </w:t>
      </w:r>
      <w:r>
        <w:t xml:space="preserve"> </w:t>
      </w:r>
      <w:bookmarkEnd w:id="5"/>
    </w:p>
    <w:p w:rsidR="009D3DB4" w:rsidRDefault="005B054C">
      <w:pPr>
        <w:tabs>
          <w:tab w:val="center" w:pos="5714"/>
          <w:tab w:val="center" w:pos="10949"/>
        </w:tabs>
        <w:spacing w:after="309" w:line="270" w:lineRule="auto"/>
        <w:ind w:left="0" w:firstLine="0"/>
      </w:pPr>
      <w:r>
        <w:rPr>
          <w:rFonts w:ascii="Calibri" w:eastAsia="Calibri" w:hAnsi="Calibri" w:cs="Calibri"/>
          <w:sz w:val="22"/>
        </w:rPr>
        <w:tab/>
      </w: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 xml:space="preserve"> </w:t>
      </w:r>
      <w:r>
        <w:rPr>
          <w:rFonts w:ascii="Calibri" w:eastAsia="Calibri" w:hAnsi="Calibri" w:cs="Calibri"/>
          <w:u w:val="single" w:color="1155CC"/>
        </w:rPr>
        <w:tab/>
      </w:r>
      <w:r>
        <w:t xml:space="preserve"> </w:t>
      </w:r>
      <w:r>
        <w:rPr>
          <w:b/>
        </w:rPr>
        <w:t xml:space="preserve"> </w:t>
      </w:r>
      <w:r>
        <w:t xml:space="preserve"> </w:t>
      </w:r>
    </w:p>
    <w:p w:rsidR="009D3DB4" w:rsidRDefault="005B054C">
      <w:pPr>
        <w:spacing w:after="531" w:line="259" w:lineRule="auto"/>
        <w:ind w:left="708" w:firstLine="0"/>
      </w:pPr>
      <w:r>
        <w:t xml:space="preserve">  </w:t>
      </w:r>
    </w:p>
    <w:p w:rsidR="009D3DB4" w:rsidRDefault="005B054C">
      <w:pPr>
        <w:spacing w:after="0" w:line="259" w:lineRule="auto"/>
        <w:ind w:left="689" w:hanging="10"/>
      </w:pPr>
      <w:r>
        <w:rPr>
          <w:b/>
          <w:sz w:val="36"/>
        </w:rPr>
        <w:t>Schedule 4 - Alternative clauses</w:t>
      </w:r>
      <w:r>
        <w:rPr>
          <w:b/>
          <w:sz w:val="36"/>
          <w:vertAlign w:val="subscript"/>
        </w:rPr>
        <w:t xml:space="preserve"> </w:t>
      </w:r>
      <w:r>
        <w:rPr>
          <w:sz w:val="31"/>
          <w:vertAlign w:val="subscript"/>
        </w:rPr>
        <w:t xml:space="preserve"> </w:t>
      </w:r>
    </w:p>
    <w:p w:rsidR="009D3DB4" w:rsidRDefault="005B054C">
      <w:pPr>
        <w:spacing w:after="309" w:line="270" w:lineRule="auto"/>
        <w:ind w:left="689" w:hanging="1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9D3DB4" w:rsidRDefault="005B054C">
      <w:pPr>
        <w:spacing w:after="530" w:line="259" w:lineRule="auto"/>
        <w:ind w:left="708" w:firstLine="0"/>
      </w:pPr>
      <w:r>
        <w:t xml:space="preserve">  </w:t>
      </w:r>
    </w:p>
    <w:p w:rsidR="009D3DB4" w:rsidRDefault="005B054C">
      <w:pPr>
        <w:spacing w:after="0" w:line="259" w:lineRule="auto"/>
        <w:ind w:left="689" w:hanging="10"/>
      </w:pPr>
      <w:r>
        <w:rPr>
          <w:b/>
          <w:sz w:val="36"/>
        </w:rPr>
        <w:t xml:space="preserve">Schedule 5 - Guarantee </w:t>
      </w:r>
      <w:r>
        <w:t xml:space="preserve"> </w:t>
      </w:r>
    </w:p>
    <w:p w:rsidR="009D3DB4" w:rsidRDefault="005B054C">
      <w:pPr>
        <w:spacing w:after="309" w:line="270" w:lineRule="auto"/>
        <w:ind w:left="689" w:hanging="1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9D3DB4" w:rsidRDefault="005B054C">
      <w:pPr>
        <w:spacing w:after="528" w:line="259" w:lineRule="auto"/>
        <w:ind w:left="708" w:firstLine="0"/>
      </w:pPr>
      <w:r>
        <w:t xml:space="preserve">  </w:t>
      </w:r>
    </w:p>
    <w:p w:rsidR="009D3DB4" w:rsidRDefault="005B054C">
      <w:pPr>
        <w:pStyle w:val="Heading2"/>
        <w:ind w:left="689"/>
      </w:pPr>
      <w:r>
        <w:lastRenderedPageBreak/>
        <w:t xml:space="preserve">Schedule 6 - Glossary and interpretations  </w:t>
      </w:r>
    </w:p>
    <w:p w:rsidR="009D3DB4" w:rsidRDefault="005B054C">
      <w:pPr>
        <w:spacing w:after="0"/>
        <w:ind w:right="5"/>
      </w:pPr>
      <w:r>
        <w:t xml:space="preserve">In this Call-Off Contract the following expressions mean:  </w:t>
      </w:r>
    </w:p>
    <w:tbl>
      <w:tblPr>
        <w:tblStyle w:val="TableGrid"/>
        <w:tblW w:w="10567" w:type="dxa"/>
        <w:tblInd w:w="595" w:type="dxa"/>
        <w:tblCellMar>
          <w:top w:w="122" w:type="dxa"/>
          <w:left w:w="115" w:type="dxa"/>
          <w:right w:w="113" w:type="dxa"/>
        </w:tblCellMar>
        <w:tblLook w:val="04A0" w:firstRow="1" w:lastRow="0" w:firstColumn="1" w:lastColumn="0" w:noHBand="0" w:noVBand="1"/>
      </w:tblPr>
      <w:tblGrid>
        <w:gridCol w:w="3428"/>
        <w:gridCol w:w="7139"/>
      </w:tblGrid>
      <w:tr w:rsidR="009D3DB4">
        <w:trPr>
          <w:trHeight w:val="107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Additional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services ancillary to the G-Cloud Services that are in the scope of Framework Agreement Section 2 (Services Offered) which a Buyer may request.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Admission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agreement to be entered into to enable the Supplier to participate in the relevant Civil Service pension scheme(s).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Application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response submitted by the Supplier to the Invitation to Tender (known as the Invitation to Apply on the Digital Marketplace).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Audit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 audit carried out under the incorporated Framework Agreement clauses specified by the Buyer in the Order (if any).  </w:t>
            </w:r>
          </w:p>
        </w:tc>
      </w:tr>
      <w:tr w:rsidR="009D3DB4">
        <w:trPr>
          <w:trHeight w:val="2924"/>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Background IPRs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17" w:line="259" w:lineRule="auto"/>
              <w:ind w:left="0" w:firstLine="0"/>
            </w:pPr>
            <w:r>
              <w:t xml:space="preserve">For each Party, IPRs:  </w:t>
            </w:r>
          </w:p>
          <w:p w:rsidR="009D3DB4" w:rsidRDefault="005B054C">
            <w:pPr>
              <w:numPr>
                <w:ilvl w:val="0"/>
                <w:numId w:val="46"/>
              </w:numPr>
              <w:spacing w:after="1" w:line="334" w:lineRule="auto"/>
              <w:ind w:firstLine="0"/>
            </w:pPr>
            <w:r>
              <w:t>owned by that Party before the date of this Call-Off Contract (</w:t>
            </w:r>
            <w:r>
              <w:rPr>
                <w:color w:val="555555"/>
                <w:sz w:val="21"/>
              </w:rPr>
              <w:t xml:space="preserve">as may be enhanced and/or modified but not as a consequence of the </w:t>
            </w:r>
          </w:p>
          <w:p w:rsidR="009D3DB4" w:rsidRDefault="005B054C">
            <w:pPr>
              <w:spacing w:after="3" w:line="304" w:lineRule="auto"/>
              <w:ind w:left="718" w:firstLine="0"/>
            </w:pPr>
            <w:r>
              <w:rPr>
                <w:color w:val="555555"/>
                <w:sz w:val="21"/>
              </w:rPr>
              <w:t xml:space="preserve">Services) </w:t>
            </w:r>
            <w:r>
              <w:t xml:space="preserve">including IPRs contained in any of the Party's Know-How, </w:t>
            </w:r>
            <w:r>
              <w:rPr>
                <w:rFonts w:ascii="Calibri" w:eastAsia="Calibri" w:hAnsi="Calibri" w:cs="Calibri"/>
                <w:color w:val="555555"/>
                <w:sz w:val="21"/>
              </w:rPr>
              <w:t xml:space="preserve"> </w:t>
            </w:r>
            <w:r>
              <w:t xml:space="preserve"> documentation and processes   </w:t>
            </w:r>
          </w:p>
          <w:p w:rsidR="009D3DB4" w:rsidRDefault="005B054C">
            <w:pPr>
              <w:numPr>
                <w:ilvl w:val="0"/>
                <w:numId w:val="46"/>
              </w:numPr>
              <w:spacing w:after="6" w:line="259" w:lineRule="auto"/>
              <w:ind w:firstLine="0"/>
            </w:pPr>
            <w:r>
              <w:t xml:space="preserve">created by the Party independently of this Call-Off Contract, or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Buyer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contracting authority ordering services as set out in the Order Form.  </w:t>
            </w:r>
          </w:p>
        </w:tc>
      </w:tr>
      <w:tr w:rsidR="009D3DB4">
        <w:trPr>
          <w:trHeight w:val="83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Buyer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All data supplied by the Buyer to the Supplier including Personal Data and Service Data that is owned and managed by the Buyer.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Buyer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personal data supplied by the Buyer to the Supplier for purposes of, or in connection with, this Call-Off Contract.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Buyer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representative appointed by the Buyer under this Call-Off Contract.  </w:t>
            </w:r>
          </w:p>
        </w:tc>
      </w:tr>
    </w:tbl>
    <w:p w:rsidR="009D3DB4" w:rsidRDefault="005B054C">
      <w:pPr>
        <w:spacing w:after="0" w:line="259" w:lineRule="auto"/>
        <w:ind w:left="0" w:firstLine="0"/>
        <w:jc w:val="both"/>
      </w:pPr>
      <w:r>
        <w:t xml:space="preserve"> </w:t>
      </w:r>
    </w:p>
    <w:tbl>
      <w:tblPr>
        <w:tblStyle w:val="TableGrid"/>
        <w:tblW w:w="10567" w:type="dxa"/>
        <w:tblInd w:w="595" w:type="dxa"/>
        <w:tblCellMar>
          <w:top w:w="122" w:type="dxa"/>
          <w:left w:w="115" w:type="dxa"/>
          <w:right w:w="50" w:type="dxa"/>
        </w:tblCellMar>
        <w:tblLook w:val="04A0" w:firstRow="1" w:lastRow="0" w:firstColumn="1" w:lastColumn="0" w:noHBand="0" w:noVBand="1"/>
      </w:tblPr>
      <w:tblGrid>
        <w:gridCol w:w="3428"/>
        <w:gridCol w:w="7139"/>
      </w:tblGrid>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Buyer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2" w:line="259" w:lineRule="auto"/>
              <w:ind w:left="0" w:firstLine="0"/>
            </w:pPr>
            <w:r>
              <w:t xml:space="preserve">Software owned by or licensed to the Buyer (other than under this  </w:t>
            </w:r>
          </w:p>
          <w:p w:rsidR="009D3DB4" w:rsidRDefault="005B054C">
            <w:pPr>
              <w:spacing w:after="0" w:line="259" w:lineRule="auto"/>
              <w:ind w:left="0" w:firstLine="0"/>
            </w:pPr>
            <w:r>
              <w:t xml:space="preserve">Agreement), which is or will be used by the Supplier to provide the Services.  </w:t>
            </w:r>
          </w:p>
        </w:tc>
      </w:tr>
      <w:tr w:rsidR="009D3DB4">
        <w:trPr>
          <w:trHeight w:val="131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Call-Off 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This call-off contract entered into following the provisions of the Framework  </w:t>
            </w:r>
          </w:p>
          <w:p w:rsidR="009D3DB4" w:rsidRDefault="005B054C">
            <w:pPr>
              <w:spacing w:after="0" w:line="259" w:lineRule="auto"/>
              <w:ind w:left="0" w:firstLine="0"/>
            </w:pPr>
            <w:r>
              <w:t xml:space="preserve">Agreement for the provision of Services made between the Buyer and </w:t>
            </w:r>
            <w:proofErr w:type="gramStart"/>
            <w:r>
              <w:t>the  Supplier</w:t>
            </w:r>
            <w:proofErr w:type="gramEnd"/>
            <w:r>
              <w:t xml:space="preserve"> comprising the Order Form, the Call-Off terms and conditions, the  Call-Off schedules and the Collaboration Agreement.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Charges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prices (excluding any applicable VAT), payable to the Supplier by the Buyer under this Call-Off Contract.  </w:t>
            </w:r>
          </w:p>
        </w:tc>
      </w:tr>
      <w:tr w:rsidR="009D3DB4">
        <w:trPr>
          <w:trHeight w:val="131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Collaboration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w:t>
            </w:r>
            <w:proofErr w:type="gramStart"/>
            <w:r>
              <w:t>its  IT</w:t>
            </w:r>
            <w:proofErr w:type="gramEnd"/>
            <w:r>
              <w:t xml:space="preserve"> estate.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Commercially Sensitive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right="76" w:firstLine="0"/>
              <w:jc w:val="both"/>
            </w:pPr>
            <w:r>
              <w:t xml:space="preserve">Information, which the Buyer has been notified about by the Supplier in writing before the Start Date with full details of why the Information is deemed to be commercially sensitive.  </w:t>
            </w:r>
          </w:p>
        </w:tc>
      </w:tr>
      <w:tr w:rsidR="009D3DB4">
        <w:trPr>
          <w:trHeight w:val="2508"/>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Confidential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2" w:lineRule="auto"/>
              <w:ind w:left="0" w:firstLine="0"/>
              <w:jc w:val="both"/>
            </w:pPr>
            <w:r>
              <w:t xml:space="preserve">Data, personal data and any information, which may include (but is not limited to) any:  </w:t>
            </w:r>
          </w:p>
          <w:p w:rsidR="009D3DB4" w:rsidRDefault="005B054C">
            <w:pPr>
              <w:numPr>
                <w:ilvl w:val="0"/>
                <w:numId w:val="47"/>
              </w:numPr>
              <w:spacing w:after="0" w:line="255" w:lineRule="auto"/>
              <w:ind w:hanging="358"/>
            </w:pPr>
            <w:r>
              <w:t xml:space="preserve">information about business, affairs, developments, trade secrets, know-how, personnel, and third parties, including all Intellectual Property Rights (IPRs), together with all information derived from any of the above  </w:t>
            </w:r>
          </w:p>
          <w:p w:rsidR="009D3DB4" w:rsidRDefault="005B054C">
            <w:pPr>
              <w:numPr>
                <w:ilvl w:val="0"/>
                <w:numId w:val="47"/>
              </w:numPr>
              <w:spacing w:after="0" w:line="259" w:lineRule="auto"/>
              <w:ind w:hanging="358"/>
            </w:pPr>
            <w:proofErr w:type="gramStart"/>
            <w:r>
              <w:t>other</w:t>
            </w:r>
            <w:proofErr w:type="gramEnd"/>
            <w:r>
              <w:t xml:space="preserve"> information clearly designated as being confidential or which ought reasonably be considered to be confidential (whether or not it is marked 'confidential').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Control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right="636" w:firstLine="0"/>
            </w:pPr>
            <w:r>
              <w:t xml:space="preserve">‘Control’ as defined in section 1124 and 450 of the Corporation </w:t>
            </w:r>
            <w:proofErr w:type="gramStart"/>
            <w:r>
              <w:t>Tax  Act</w:t>
            </w:r>
            <w:proofErr w:type="gramEnd"/>
            <w:r>
              <w:t xml:space="preserve"> 2010. 'Controls' and 'Controlled' will be interpreted accordingly.  </w:t>
            </w:r>
          </w:p>
        </w:tc>
      </w:tr>
      <w:tr w:rsidR="009D3DB4">
        <w:trPr>
          <w:trHeight w:val="155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2" w:line="259" w:lineRule="auto"/>
              <w:ind w:left="0" w:firstLine="0"/>
            </w:pPr>
            <w:r>
              <w:rPr>
                <w:b/>
              </w:rPr>
              <w:t xml:space="preserve">Crown </w:t>
            </w:r>
            <w:r>
              <w:t xml:space="preserve"> </w:t>
            </w:r>
          </w:p>
          <w:p w:rsidR="009D3DB4" w:rsidRDefault="005B054C">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government of the United Kingdom (including the Northern Ireland  </w:t>
            </w:r>
          </w:p>
          <w:p w:rsidR="009D3DB4" w:rsidRDefault="005B054C">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9D3DB4">
        <w:trPr>
          <w:trHeight w:val="2508"/>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Data Protection Legislation or DPA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Data Protection Act 1998, the EU Data Protection Directive 95/46/EC, the </w:t>
            </w:r>
          </w:p>
          <w:p w:rsidR="009D3DB4" w:rsidRDefault="005B054C">
            <w:pPr>
              <w:spacing w:after="0" w:line="259" w:lineRule="auto"/>
              <w:ind w:left="0" w:firstLine="0"/>
            </w:pPr>
            <w:r>
              <w:t xml:space="preserve">Regulation of Investigatory Powers Act 2000, the Telecommunications  </w:t>
            </w:r>
          </w:p>
          <w:p w:rsidR="009D3DB4" w:rsidRDefault="005B054C">
            <w:pPr>
              <w:spacing w:after="0" w:line="259" w:lineRule="auto"/>
              <w:ind w:left="0" w:firstLine="0"/>
            </w:pPr>
            <w:r>
              <w:t xml:space="preserve">(Lawful Business Practice) (Interception of Communications) Regulations  </w:t>
            </w:r>
          </w:p>
          <w:p w:rsidR="009D3DB4" w:rsidRDefault="005B054C">
            <w:pPr>
              <w:spacing w:after="2" w:line="259" w:lineRule="auto"/>
              <w:ind w:left="0" w:firstLine="0"/>
            </w:pPr>
            <w:r>
              <w:t xml:space="preserve">2000 (SI 2000/2699), the Electronic Communications Data Protection  </w:t>
            </w:r>
          </w:p>
          <w:p w:rsidR="009D3DB4" w:rsidRDefault="005B054C">
            <w:pPr>
              <w:spacing w:after="0" w:line="259" w:lineRule="auto"/>
              <w:ind w:left="0"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9D3DB4">
        <w:trPr>
          <w:trHeight w:val="59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Data Subject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Will have the same meaning as set out in the Data Protection Act 1998.  </w:t>
            </w:r>
          </w:p>
        </w:tc>
      </w:tr>
      <w:tr w:rsidR="009D3DB4">
        <w:trPr>
          <w:trHeight w:val="2569"/>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Default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3" w:line="259" w:lineRule="auto"/>
              <w:ind w:left="0" w:firstLine="0"/>
            </w:pPr>
            <w:r>
              <w:t xml:space="preserve">Default is any:  </w:t>
            </w:r>
          </w:p>
          <w:p w:rsidR="009D3DB4" w:rsidRDefault="005B054C">
            <w:pPr>
              <w:numPr>
                <w:ilvl w:val="0"/>
                <w:numId w:val="48"/>
              </w:numPr>
              <w:spacing w:after="0" w:line="258" w:lineRule="auto"/>
              <w:ind w:hanging="358"/>
            </w:pPr>
            <w:r>
              <w:t xml:space="preserve">breach of the obligations of the Supplier (including any fundamental breach or breach of a fundamental term)  </w:t>
            </w:r>
          </w:p>
          <w:p w:rsidR="009D3DB4" w:rsidRDefault="005B054C">
            <w:pPr>
              <w:numPr>
                <w:ilvl w:val="0"/>
                <w:numId w:val="48"/>
              </w:numPr>
              <w:spacing w:after="0" w:line="256" w:lineRule="auto"/>
              <w:ind w:hanging="358"/>
            </w:pPr>
            <w:r>
              <w:t xml:space="preserve">other default, negligence or negligent statement of the Supplier, of its Subcontractors or any Supplier Staff (whether by act or omission), in connection with or in relation to this Call-Off Contract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9D3DB4" w:rsidRDefault="005B054C">
      <w:pPr>
        <w:spacing w:after="0" w:line="259" w:lineRule="auto"/>
        <w:ind w:left="0" w:firstLine="0"/>
        <w:jc w:val="both"/>
      </w:pPr>
      <w:r>
        <w:t xml:space="preserve"> </w:t>
      </w:r>
    </w:p>
    <w:tbl>
      <w:tblPr>
        <w:tblStyle w:val="TableGrid"/>
        <w:tblW w:w="10567" w:type="dxa"/>
        <w:tblInd w:w="595" w:type="dxa"/>
        <w:tblCellMar>
          <w:top w:w="122" w:type="dxa"/>
          <w:left w:w="115" w:type="dxa"/>
          <w:right w:w="53" w:type="dxa"/>
        </w:tblCellMar>
        <w:tblLook w:val="04A0" w:firstRow="1" w:lastRow="0" w:firstColumn="1" w:lastColumn="0" w:noHBand="0" w:noVBand="1"/>
      </w:tblPr>
      <w:tblGrid>
        <w:gridCol w:w="3428"/>
        <w:gridCol w:w="7139"/>
      </w:tblGrid>
      <w:tr w:rsidR="009D3DB4">
        <w:trPr>
          <w:trHeight w:val="859"/>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24" w:line="259" w:lineRule="auto"/>
              <w:ind w:left="0" w:firstLine="0"/>
            </w:pPr>
            <w:proofErr w:type="gramStart"/>
            <w:r>
              <w:t>of</w:t>
            </w:r>
            <w:proofErr w:type="gramEnd"/>
            <w:r>
              <w:t xml:space="preserve"> the Call-Off Contract, the Supplier is liable to the Buyer.  </w:t>
            </w:r>
          </w:p>
          <w:p w:rsidR="009D3DB4" w:rsidRDefault="005B054C">
            <w:pPr>
              <w:spacing w:after="0" w:line="259" w:lineRule="auto"/>
              <w:ind w:left="0" w:firstLine="0"/>
            </w:pPr>
            <w:r>
              <w:t xml:space="preserve">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Deliverable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G-Cloud Services the Buyer contracts the Supplier to provide under this Call-Off Contract.  </w:t>
            </w:r>
          </w:p>
        </w:tc>
      </w:tr>
      <w:tr w:rsidR="009D3DB4">
        <w:trPr>
          <w:trHeight w:val="107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Digital Marketplace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government marketplace where Services are available for Buyers to buy.  </w:t>
            </w:r>
          </w:p>
          <w:p w:rsidR="009D3DB4" w:rsidRDefault="005B054C">
            <w:pPr>
              <w:spacing w:after="3" w:line="259" w:lineRule="auto"/>
              <w:ind w:left="0" w:firstLine="0"/>
            </w:pPr>
            <w:r>
              <w:t xml:space="preserve">Buyers to enable them to be bought  </w:t>
            </w:r>
          </w:p>
          <w:p w:rsidR="009D3DB4" w:rsidRDefault="005B054C">
            <w:pPr>
              <w:spacing w:after="0" w:line="259" w:lineRule="auto"/>
              <w:ind w:left="0" w:firstLine="0"/>
            </w:pPr>
            <w:r>
              <w:rPr>
                <w:rFonts w:ascii="Calibri" w:eastAsia="Calibri" w:hAnsi="Calibri" w:cs="Calibri"/>
                <w:sz w:val="22"/>
              </w:rPr>
              <w:t xml:space="preserve"> </w:t>
            </w:r>
            <w:r>
              <w:t>(</w:t>
            </w:r>
            <w:r>
              <w:rPr>
                <w:color w:val="1155CC"/>
                <w:u w:val="single" w:color="1155CC"/>
              </w:rPr>
              <w:t>https://www.digitalmarketplace.service.gov.uk</w:t>
            </w:r>
            <w:r>
              <w:rPr>
                <w:rFonts w:ascii="Calibri" w:eastAsia="Calibri" w:hAnsi="Calibri" w:cs="Calibri"/>
                <w:u w:val="single" w:color="1155CC"/>
              </w:rPr>
              <w:t xml:space="preserve"> </w:t>
            </w:r>
            <w:r>
              <w:t xml:space="preserve">/ )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Employment Regulations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Transfer of Undertakings (Protection of Employment) Regulations 2006 (SI 2006/246) (‘TUPE’) which implements the Acquired Rights Directive.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End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Means to terminate; and Ended and Ending are construed accordingly.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jc w:val="both"/>
            </w:pPr>
            <w:r>
              <w:rPr>
                <w:b/>
              </w:rPr>
              <w:t xml:space="preserve">Environmental Information Regulations or EIR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9D3DB4">
        <w:trPr>
          <w:trHeight w:val="131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Equipment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right="1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ESI Reference Number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14 digit ESI reference number from the summary of outcome screen of the ESI tool.  </w:t>
            </w:r>
          </w:p>
        </w:tc>
      </w:tr>
      <w:tr w:rsidR="009D3DB4">
        <w:trPr>
          <w:trHeight w:val="107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Employment Status Indicator test tool or ESI tool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Expiry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expiry date of this Call-Off Contract in the Order Form.  </w:t>
            </w:r>
          </w:p>
        </w:tc>
      </w:tr>
      <w:tr w:rsidR="009D3DB4">
        <w:trPr>
          <w:trHeight w:val="5619"/>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Force Majeure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3" w:line="251" w:lineRule="auto"/>
              <w:ind w:left="0" w:firstLine="0"/>
              <w:jc w:val="both"/>
            </w:pPr>
            <w:r>
              <w:t xml:space="preserve">A Force Majeure event means anything affecting either Party's performance of their obligations arising from any:  </w:t>
            </w:r>
          </w:p>
          <w:p w:rsidR="009D3DB4" w:rsidRDefault="005B054C">
            <w:pPr>
              <w:numPr>
                <w:ilvl w:val="0"/>
                <w:numId w:val="49"/>
              </w:numPr>
              <w:spacing w:after="0" w:line="258" w:lineRule="auto"/>
              <w:ind w:hanging="358"/>
            </w:pPr>
            <w:r>
              <w:t xml:space="preserve">acts, events or omissions beyond the reasonable control of the affected Party  </w:t>
            </w:r>
          </w:p>
          <w:p w:rsidR="009D3DB4" w:rsidRDefault="005B054C">
            <w:pPr>
              <w:numPr>
                <w:ilvl w:val="0"/>
                <w:numId w:val="49"/>
              </w:numPr>
              <w:spacing w:after="0" w:line="252" w:lineRule="auto"/>
              <w:ind w:hanging="358"/>
            </w:pPr>
            <w:r>
              <w:t xml:space="preserve">riots, war or armed conflict, acts of terrorism, nuclear, biological or chemical warfare  </w:t>
            </w:r>
          </w:p>
          <w:p w:rsidR="009D3DB4" w:rsidRDefault="005B054C">
            <w:pPr>
              <w:numPr>
                <w:ilvl w:val="0"/>
                <w:numId w:val="49"/>
              </w:numPr>
              <w:spacing w:after="9" w:line="259" w:lineRule="auto"/>
              <w:ind w:hanging="358"/>
            </w:pPr>
            <w:r>
              <w:t xml:space="preserve">acts of government, local government or Regulatory Bodies  </w:t>
            </w:r>
          </w:p>
          <w:p w:rsidR="009D3DB4" w:rsidRDefault="005B054C">
            <w:pPr>
              <w:numPr>
                <w:ilvl w:val="0"/>
                <w:numId w:val="49"/>
              </w:numPr>
              <w:spacing w:after="9" w:line="259" w:lineRule="auto"/>
              <w:ind w:hanging="358"/>
            </w:pPr>
            <w:r>
              <w:t xml:space="preserve">fire, flood or disaster and any failure or shortage of power or fuel  </w:t>
            </w:r>
          </w:p>
          <w:p w:rsidR="009D3DB4" w:rsidRDefault="005B054C">
            <w:pPr>
              <w:numPr>
                <w:ilvl w:val="0"/>
                <w:numId w:val="49"/>
              </w:numPr>
              <w:spacing w:after="0" w:line="261" w:lineRule="auto"/>
              <w:ind w:hanging="358"/>
            </w:pPr>
            <w:r>
              <w:t xml:space="preserve">industrial dispute affecting a third party for which a substitute third party is not reasonably available  </w:t>
            </w:r>
          </w:p>
          <w:p w:rsidR="009D3DB4" w:rsidRDefault="005B054C">
            <w:pPr>
              <w:spacing w:after="0" w:line="259" w:lineRule="auto"/>
              <w:ind w:left="0" w:firstLine="0"/>
            </w:pPr>
            <w:r>
              <w:t xml:space="preserve">  </w:t>
            </w:r>
          </w:p>
          <w:p w:rsidR="009D3DB4" w:rsidRDefault="005B054C">
            <w:pPr>
              <w:spacing w:after="5" w:line="259" w:lineRule="auto"/>
              <w:ind w:left="0" w:firstLine="0"/>
            </w:pPr>
            <w:r>
              <w:t xml:space="preserve">The following do not constitute a Force Majeure event:  </w:t>
            </w:r>
          </w:p>
          <w:p w:rsidR="009D3DB4" w:rsidRDefault="005B054C">
            <w:pPr>
              <w:numPr>
                <w:ilvl w:val="0"/>
                <w:numId w:val="49"/>
              </w:numPr>
              <w:spacing w:after="0" w:line="295" w:lineRule="auto"/>
              <w:ind w:hanging="358"/>
            </w:pPr>
            <w:r>
              <w:t xml:space="preserve">any industrial dispute about the Supplier, its staff, or failure in the Supplier’s (or a Subcontractor's) supply chain  </w:t>
            </w:r>
          </w:p>
          <w:p w:rsidR="009D3DB4" w:rsidRDefault="005B054C">
            <w:pPr>
              <w:numPr>
                <w:ilvl w:val="0"/>
                <w:numId w:val="49"/>
              </w:numPr>
              <w:spacing w:after="0" w:line="255" w:lineRule="auto"/>
              <w:ind w:hanging="358"/>
            </w:pPr>
            <w:r>
              <w:t xml:space="preserve">any event which is attributable to the wilful act, neglect or failure to take reasonable precautions by the Party seeking to rely on Force Majeure  </w:t>
            </w:r>
          </w:p>
          <w:p w:rsidR="009D3DB4" w:rsidRDefault="005B054C">
            <w:pPr>
              <w:numPr>
                <w:ilvl w:val="0"/>
                <w:numId w:val="49"/>
              </w:numPr>
              <w:spacing w:after="0" w:line="258" w:lineRule="auto"/>
              <w:ind w:hanging="358"/>
            </w:pPr>
            <w:r>
              <w:t xml:space="preserve">the event was foreseeable by the Party seeking to rely on Force Majeure at the time this Call-Off Contract was entered into  </w:t>
            </w:r>
          </w:p>
          <w:p w:rsidR="009D3DB4" w:rsidRDefault="005B054C">
            <w:pPr>
              <w:numPr>
                <w:ilvl w:val="0"/>
                <w:numId w:val="49"/>
              </w:numPr>
              <w:spacing w:after="0" w:line="259" w:lineRule="auto"/>
              <w:ind w:hanging="358"/>
            </w:pPr>
            <w:r>
              <w:t xml:space="preserve">any event which is attributable to the Party seeking to rely on Force Majeure and its failure to comply with its own business continuity and disaster recovery plans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Former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62" w:lineRule="auto"/>
              <w:ind w:left="0" w:firstLine="0"/>
            </w:pPr>
            <w:r>
              <w:t xml:space="preserve">A supplier supplying services to the Buyer before the Start Date that are the same as or substantially similar to the Services. This also includes any </w:t>
            </w:r>
          </w:p>
          <w:p w:rsidR="009D3DB4" w:rsidRDefault="005B054C">
            <w:pPr>
              <w:spacing w:after="0" w:line="259" w:lineRule="auto"/>
              <w:ind w:left="0" w:firstLine="0"/>
            </w:pPr>
            <w:r>
              <w:t xml:space="preserve">Subcontractor or the Supplier (or any subcontractor of the Subcontractor).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Framework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clauses of framework agreement RM1557ix together with the Framework  </w:t>
            </w:r>
          </w:p>
        </w:tc>
      </w:tr>
    </w:tbl>
    <w:p w:rsidR="009D3DB4" w:rsidRDefault="005B054C">
      <w:pPr>
        <w:spacing w:after="0" w:line="259" w:lineRule="auto"/>
        <w:ind w:left="0" w:firstLine="0"/>
        <w:jc w:val="both"/>
      </w:pPr>
      <w:r>
        <w:t xml:space="preserve">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3428"/>
        <w:gridCol w:w="7139"/>
      </w:tblGrid>
      <w:tr w:rsidR="009D3DB4">
        <w:trPr>
          <w:trHeight w:val="59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Schedules.  </w:t>
            </w:r>
          </w:p>
        </w:tc>
      </w:tr>
      <w:tr w:rsidR="009D3DB4">
        <w:trPr>
          <w:trHeight w:val="131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Fraud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1" w:lineRule="auto"/>
              <w:ind w:left="0" w:firstLine="0"/>
            </w:pPr>
            <w:r>
              <w:t xml:space="preserve">Any offence under Laws creating offences in respect of fraudulent acts (including the Misrepresentation Act 1967) or at common law in respect of  </w:t>
            </w:r>
          </w:p>
          <w:p w:rsidR="009D3DB4" w:rsidRDefault="005B054C">
            <w:pPr>
              <w:spacing w:after="0" w:line="259" w:lineRule="auto"/>
              <w:ind w:left="0" w:right="28" w:firstLine="0"/>
            </w:pPr>
            <w:proofErr w:type="gramStart"/>
            <w:r>
              <w:t>fraudulent</w:t>
            </w:r>
            <w:proofErr w:type="gramEnd"/>
            <w:r>
              <w:t xml:space="preserve"> acts in relation to this Call-Off Contract or defrauding or  attempting to defraud or conspiring to defraud the Crown.  </w:t>
            </w:r>
          </w:p>
        </w:tc>
      </w:tr>
      <w:tr w:rsidR="009D3DB4">
        <w:trPr>
          <w:trHeight w:val="131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Freedom of Information Act or </w:t>
            </w:r>
            <w:proofErr w:type="spellStart"/>
            <w:r>
              <w:rPr>
                <w:b/>
              </w:rPr>
              <w:t>FoIA</w:t>
            </w:r>
            <w:proofErr w:type="spellEnd"/>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9D3DB4">
        <w:trPr>
          <w:trHeight w:val="1549"/>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9D3DB4">
        <w:trPr>
          <w:trHeight w:val="155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Good Industry Practice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Guarantee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guarantee described in Schedule 5.  </w:t>
            </w:r>
          </w:p>
        </w:tc>
      </w:tr>
      <w:tr w:rsidR="009D3DB4">
        <w:trPr>
          <w:trHeight w:val="131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Guidance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2" w:line="259" w:lineRule="auto"/>
              <w:ind w:left="0" w:firstLine="0"/>
            </w:pPr>
            <w:r>
              <w:t xml:space="preserve">Any current UK Government Guidance on the Public Contracts Regulations  </w:t>
            </w:r>
          </w:p>
          <w:p w:rsidR="009D3DB4" w:rsidRDefault="005B054C">
            <w:pPr>
              <w:spacing w:after="0" w:line="259" w:lineRule="auto"/>
              <w:ind w:left="0" w:right="818" w:firstLine="0"/>
              <w:jc w:val="both"/>
            </w:pPr>
            <w:r>
              <w:t xml:space="preserve">2015. In the event of a conflict between any current UK Government Guidance and the Crown Commercial Service Guidance, current </w:t>
            </w:r>
            <w:proofErr w:type="gramStart"/>
            <w:r>
              <w:t>UK  Government</w:t>
            </w:r>
            <w:proofErr w:type="gramEnd"/>
            <w:r>
              <w:t xml:space="preserve"> Guidance will take precedence.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Indicative Test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ESI tool completed by contractors on their own behalf at the request of CCS or the Buyer (as applicable) under clause 4.6.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Information Security Management System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information security management system and process developed by the Supplier in accordance with clause 16.1.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Contractual engagements which would be determined to be within the scope of the IR35 Intermediaries legislation if assessed using the ESI tool.  </w:t>
            </w:r>
          </w:p>
        </w:tc>
      </w:tr>
      <w:tr w:rsidR="009D3DB4">
        <w:trPr>
          <w:trHeight w:val="1788"/>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Insolvency Event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2" w:line="259" w:lineRule="auto"/>
              <w:ind w:left="0" w:firstLine="0"/>
            </w:pPr>
            <w:r>
              <w:t xml:space="preserve">Can be:  </w:t>
            </w:r>
          </w:p>
          <w:p w:rsidR="009D3DB4" w:rsidRDefault="005B054C">
            <w:pPr>
              <w:numPr>
                <w:ilvl w:val="0"/>
                <w:numId w:val="50"/>
              </w:numPr>
              <w:spacing w:after="11" w:line="259" w:lineRule="auto"/>
              <w:ind w:firstLine="0"/>
            </w:pPr>
            <w:r>
              <w:t xml:space="preserve">a voluntary arrangement  </w:t>
            </w:r>
          </w:p>
          <w:p w:rsidR="009D3DB4" w:rsidRDefault="005B054C">
            <w:pPr>
              <w:numPr>
                <w:ilvl w:val="0"/>
                <w:numId w:val="50"/>
              </w:numPr>
              <w:spacing w:after="7" w:line="259" w:lineRule="auto"/>
              <w:ind w:firstLine="0"/>
            </w:pPr>
            <w:r>
              <w:t xml:space="preserve">a winding-up petition  </w:t>
            </w:r>
          </w:p>
          <w:p w:rsidR="009D3DB4" w:rsidRDefault="005B054C">
            <w:pPr>
              <w:numPr>
                <w:ilvl w:val="0"/>
                <w:numId w:val="50"/>
              </w:numPr>
              <w:spacing w:after="0" w:line="259" w:lineRule="auto"/>
              <w:ind w:firstLine="0"/>
            </w:pPr>
            <w:proofErr w:type="gramStart"/>
            <w:r>
              <w:t>the</w:t>
            </w:r>
            <w:proofErr w:type="gramEnd"/>
            <w:r>
              <w:t xml:space="preserve"> appointment of a receiver or administrator  ● </w:t>
            </w:r>
            <w:r>
              <w:tab/>
              <w:t xml:space="preserve">an unresolved statutory demand   ● </w:t>
            </w:r>
            <w:r>
              <w:tab/>
              <w:t xml:space="preserve">a Schedule A1 moratorium.  </w:t>
            </w:r>
          </w:p>
        </w:tc>
      </w:tr>
      <w:tr w:rsidR="009D3DB4">
        <w:trPr>
          <w:trHeight w:val="2986"/>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Intellectual Property Rights or IPR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3" w:line="259" w:lineRule="auto"/>
              <w:ind w:left="0" w:firstLine="0"/>
            </w:pPr>
            <w:r>
              <w:t xml:space="preserve">Intellectual Property Rights are:  </w:t>
            </w:r>
          </w:p>
          <w:p w:rsidR="009D3DB4" w:rsidRDefault="005B054C">
            <w:pPr>
              <w:numPr>
                <w:ilvl w:val="0"/>
                <w:numId w:val="51"/>
              </w:numPr>
              <w:spacing w:after="0" w:line="254" w:lineRule="auto"/>
              <w:ind w:hanging="358"/>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proofErr w:type="spellStart"/>
            <w:r>
              <w:t>KnowHow</w:t>
            </w:r>
            <w:proofErr w:type="spellEnd"/>
            <w:r>
              <w:t xml:space="preserve">, trade secrets and other rights in Confidential Information  </w:t>
            </w:r>
          </w:p>
          <w:p w:rsidR="009D3DB4" w:rsidRDefault="005B054C">
            <w:pPr>
              <w:numPr>
                <w:ilvl w:val="0"/>
                <w:numId w:val="51"/>
              </w:numPr>
              <w:spacing w:after="1" w:line="252" w:lineRule="auto"/>
              <w:ind w:hanging="358"/>
            </w:pPr>
            <w:r>
              <w:t xml:space="preserve">applications for registration, and the right to apply for registration, for any of the rights listed at (a) that are capable of being registered in any country or jurisdiction  </w:t>
            </w:r>
          </w:p>
          <w:p w:rsidR="009D3DB4" w:rsidRDefault="005B054C">
            <w:pPr>
              <w:numPr>
                <w:ilvl w:val="0"/>
                <w:numId w:val="51"/>
              </w:numPr>
              <w:spacing w:after="0" w:line="259" w:lineRule="auto"/>
              <w:ind w:hanging="358"/>
            </w:pPr>
            <w:r>
              <w:t xml:space="preserve">all other rights having equivalent or similar effect in any country or  </w:t>
            </w:r>
          </w:p>
        </w:tc>
      </w:tr>
    </w:tbl>
    <w:p w:rsidR="009D3DB4" w:rsidRDefault="005B054C">
      <w:pPr>
        <w:spacing w:after="0" w:line="259" w:lineRule="auto"/>
        <w:ind w:left="0" w:firstLine="0"/>
        <w:jc w:val="both"/>
      </w:pPr>
      <w:r>
        <w:t xml:space="preserve"> </w:t>
      </w:r>
    </w:p>
    <w:tbl>
      <w:tblPr>
        <w:tblStyle w:val="TableGrid"/>
        <w:tblW w:w="10567" w:type="dxa"/>
        <w:tblInd w:w="595" w:type="dxa"/>
        <w:tblCellMar>
          <w:top w:w="122" w:type="dxa"/>
          <w:left w:w="115" w:type="dxa"/>
          <w:right w:w="39" w:type="dxa"/>
        </w:tblCellMar>
        <w:tblLook w:val="04A0" w:firstRow="1" w:lastRow="0" w:firstColumn="1" w:lastColumn="0" w:noHBand="0" w:noVBand="1"/>
      </w:tblPr>
      <w:tblGrid>
        <w:gridCol w:w="3428"/>
        <w:gridCol w:w="7139"/>
      </w:tblGrid>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718" w:firstLine="0"/>
            </w:pPr>
            <w:r>
              <w:t xml:space="preserve">jurisdiction  </w:t>
            </w:r>
          </w:p>
        </w:tc>
      </w:tr>
      <w:tr w:rsidR="009D3DB4">
        <w:trPr>
          <w:trHeight w:val="2029"/>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Intermediary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1" w:line="259" w:lineRule="auto"/>
              <w:ind w:left="0" w:firstLine="0"/>
            </w:pPr>
            <w:r>
              <w:t xml:space="preserve">For the purposes of the IR35 rules an intermediary can be:  </w:t>
            </w:r>
          </w:p>
          <w:p w:rsidR="009D3DB4" w:rsidRDefault="005B054C">
            <w:pPr>
              <w:numPr>
                <w:ilvl w:val="0"/>
                <w:numId w:val="52"/>
              </w:numPr>
              <w:spacing w:after="10" w:line="259" w:lineRule="auto"/>
              <w:ind w:hanging="358"/>
            </w:pPr>
            <w:r>
              <w:t xml:space="preserve">the supplier's own limited company  </w:t>
            </w:r>
          </w:p>
          <w:p w:rsidR="009D3DB4" w:rsidRDefault="005B054C">
            <w:pPr>
              <w:numPr>
                <w:ilvl w:val="0"/>
                <w:numId w:val="52"/>
              </w:numPr>
              <w:spacing w:after="9" w:line="259" w:lineRule="auto"/>
              <w:ind w:hanging="358"/>
            </w:pPr>
            <w:r>
              <w:t xml:space="preserve">a service or a personal service company  </w:t>
            </w:r>
          </w:p>
          <w:p w:rsidR="009D3DB4" w:rsidRDefault="005B054C">
            <w:pPr>
              <w:numPr>
                <w:ilvl w:val="0"/>
                <w:numId w:val="52"/>
              </w:numPr>
              <w:spacing w:after="9" w:line="259" w:lineRule="auto"/>
              <w:ind w:hanging="358"/>
            </w:pPr>
            <w:r>
              <w:t xml:space="preserve">a partnership  </w:t>
            </w:r>
          </w:p>
          <w:p w:rsidR="009D3DB4" w:rsidRDefault="005B054C">
            <w:pPr>
              <w:spacing w:after="0" w:line="259" w:lineRule="auto"/>
              <w:ind w:left="0" w:firstLine="0"/>
            </w:pPr>
            <w:r>
              <w:t xml:space="preserve">  </w:t>
            </w:r>
          </w:p>
          <w:p w:rsidR="009D3DB4" w:rsidRDefault="005B054C">
            <w:pPr>
              <w:spacing w:after="0" w:line="259" w:lineRule="auto"/>
              <w:ind w:left="0" w:firstLine="0"/>
            </w:pPr>
            <w:r>
              <w:t xml:space="preserve">It does not apply if you work for a client through a Managed Service Company (MSC) or agency (for example, an employment agency).  </w:t>
            </w:r>
          </w:p>
        </w:tc>
      </w:tr>
      <w:tr w:rsidR="009D3DB4">
        <w:trPr>
          <w:trHeight w:val="59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IPR Claim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As set out in clause 11.5.  </w:t>
            </w:r>
          </w:p>
        </w:tc>
      </w:tr>
      <w:tr w:rsidR="009D3DB4">
        <w:trPr>
          <w:trHeight w:val="107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IR35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9D3DB4">
        <w:trPr>
          <w:trHeight w:val="83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IR35 Assessment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Assessment of employment status using the ESI tool to determine if engagement is Inside or Outside IR35.  </w:t>
            </w:r>
          </w:p>
        </w:tc>
      </w:tr>
      <w:tr w:rsidR="009D3DB4">
        <w:trPr>
          <w:trHeight w:val="131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Know-How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All ideas, concepts, schemes, information, knowledge, techniques, methodology, and anything else in the nature of know-how relating to the </w:t>
            </w:r>
            <w:proofErr w:type="spellStart"/>
            <w:r>
              <w:t>GCloud</w:t>
            </w:r>
            <w:proofErr w:type="spellEnd"/>
            <w:r>
              <w:t xml:space="preserve"> Services but excluding know-how already in the Supplier’s or CCS’s possession before the Start Date.  </w:t>
            </w:r>
          </w:p>
        </w:tc>
      </w:tr>
      <w:tr w:rsidR="009D3DB4">
        <w:trPr>
          <w:trHeight w:val="155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Law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9D3DB4">
        <w:trPr>
          <w:trHeight w:val="1549"/>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 </w:t>
            </w:r>
            <w:r>
              <w:t xml:space="preserve"> </w:t>
            </w:r>
          </w:p>
          <w:p w:rsidR="009D3DB4" w:rsidRDefault="005B054C">
            <w:pPr>
              <w:spacing w:after="5" w:line="259" w:lineRule="auto"/>
              <w:ind w:left="0" w:firstLine="0"/>
            </w:pPr>
            <w:r>
              <w:rPr>
                <w:b/>
              </w:rPr>
              <w:t xml:space="preserve">Loss </w:t>
            </w:r>
            <w:r>
              <w:t xml:space="preserve"> </w:t>
            </w:r>
          </w:p>
          <w:p w:rsidR="009D3DB4" w:rsidRDefault="005B054C">
            <w:pPr>
              <w:spacing w:after="0" w:line="259" w:lineRule="auto"/>
              <w:ind w:left="0" w:firstLine="0"/>
            </w:pPr>
            <w:r>
              <w:rPr>
                <w:b/>
              </w:rPr>
              <w:t xml:space="preserve"> </w:t>
            </w:r>
            <w:r>
              <w:t xml:space="preserve"> </w:t>
            </w:r>
          </w:p>
          <w:p w:rsidR="009D3DB4" w:rsidRDefault="005B054C">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xml:space="preserve">' will be interpreted accordingly.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Lot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of the 3 Lots specified in the ITT and Lots will be construed accordingly.  </w:t>
            </w:r>
          </w:p>
        </w:tc>
      </w:tr>
      <w:tr w:rsidR="009D3DB4">
        <w:trPr>
          <w:trHeight w:val="1548"/>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Malicious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right="34"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w:t>
            </w:r>
            <w:proofErr w:type="gramStart"/>
            <w:r>
              <w:t>introduced  wilfully</w:t>
            </w:r>
            <w:proofErr w:type="gramEnd"/>
            <w:r>
              <w:t xml:space="preserve">, negligently or without knowledge of its existence.  </w:t>
            </w:r>
          </w:p>
        </w:tc>
      </w:tr>
      <w:tr w:rsidR="009D3DB4">
        <w:trPr>
          <w:trHeight w:val="131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Management Charge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right="7"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Management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management information specified in Framework Agreement section 6 (What you report to CCS).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Material Breach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Ministry of Justice Code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Ministry of Justice’s Code of Practice on the Discharge of the Functions of Public Authorities under Part 1 of the Freedom of Information Act 2000.  </w:t>
            </w:r>
          </w:p>
        </w:tc>
      </w:tr>
      <w:tr w:rsidR="009D3DB4">
        <w:trPr>
          <w:trHeight w:val="83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New Fair Deal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right="3" w:firstLine="0"/>
            </w:pPr>
            <w:r>
              <w:t xml:space="preserve">The revised Fair Deal position in the HM Treasury guidance: “Fair Deal for staff pensions: staff transfer from central government” issued in October  </w:t>
            </w:r>
          </w:p>
        </w:tc>
      </w:tr>
    </w:tbl>
    <w:p w:rsidR="009D3DB4" w:rsidRDefault="005B054C">
      <w:pPr>
        <w:spacing w:after="0" w:line="259" w:lineRule="auto"/>
        <w:ind w:left="0" w:firstLine="0"/>
        <w:jc w:val="both"/>
      </w:pPr>
      <w:r>
        <w:t xml:space="preserve"> </w:t>
      </w:r>
    </w:p>
    <w:tbl>
      <w:tblPr>
        <w:tblStyle w:val="TableGrid"/>
        <w:tblW w:w="10567" w:type="dxa"/>
        <w:tblInd w:w="595" w:type="dxa"/>
        <w:tblCellMar>
          <w:top w:w="125" w:type="dxa"/>
          <w:left w:w="115" w:type="dxa"/>
          <w:right w:w="93" w:type="dxa"/>
        </w:tblCellMar>
        <w:tblLook w:val="04A0" w:firstRow="1" w:lastRow="0" w:firstColumn="1" w:lastColumn="0" w:noHBand="0" w:noVBand="1"/>
      </w:tblPr>
      <w:tblGrid>
        <w:gridCol w:w="3428"/>
        <w:gridCol w:w="7139"/>
      </w:tblGrid>
      <w:tr w:rsidR="009D3DB4">
        <w:trPr>
          <w:trHeight w:val="59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2013 as amended.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Order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 order for G-Cloud Services placed by a Contracting Body with the Supplier in accordance with the Ordering Processes.  </w:t>
            </w:r>
          </w:p>
        </w:tc>
      </w:tr>
    </w:tbl>
    <w:p w:rsidR="009D3DB4" w:rsidRDefault="009D3DB4">
      <w:pPr>
        <w:spacing w:after="0" w:line="259" w:lineRule="auto"/>
        <w:ind w:left="0" w:right="146" w:firstLine="0"/>
      </w:pPr>
    </w:p>
    <w:tbl>
      <w:tblPr>
        <w:tblStyle w:val="TableGrid"/>
        <w:tblW w:w="10567" w:type="dxa"/>
        <w:tblInd w:w="595" w:type="dxa"/>
        <w:tblCellMar>
          <w:top w:w="122" w:type="dxa"/>
          <w:left w:w="115" w:type="dxa"/>
          <w:right w:w="60" w:type="dxa"/>
        </w:tblCellMar>
        <w:tblLook w:val="04A0" w:firstRow="1" w:lastRow="0" w:firstColumn="1" w:lastColumn="0" w:noHBand="0" w:noVBand="1"/>
      </w:tblPr>
      <w:tblGrid>
        <w:gridCol w:w="3428"/>
        <w:gridCol w:w="7139"/>
      </w:tblGrid>
      <w:tr w:rsidR="009D3DB4">
        <w:trPr>
          <w:trHeight w:val="83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Order Form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order form set out in Part A of the Call-Off Contract to be used by a Buyer to order G-Cloud Services.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Ordered 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G-Cloud Services which are the subject of an Order by the Buyer.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Outside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Contractual engagements which would be determined to not be within the scope of the IR35 intermediaries legislation if assessed using the ESI tool.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Party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Buyer or the Supplier and ‘Parties’ will be interpreted accordingly.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3" w:line="259" w:lineRule="auto"/>
              <w:ind w:left="0" w:firstLine="0"/>
            </w:pPr>
            <w:r>
              <w:t xml:space="preserve">As described in the Data Protection Act 1998  </w:t>
            </w:r>
          </w:p>
          <w:p w:rsidR="009D3DB4" w:rsidRDefault="005B054C">
            <w:pPr>
              <w:spacing w:after="0" w:line="259" w:lineRule="auto"/>
              <w:ind w:left="0" w:firstLine="0"/>
            </w:pPr>
            <w:r>
              <w:rPr>
                <w:rFonts w:ascii="Calibri" w:eastAsia="Calibri" w:hAnsi="Calibri" w:cs="Calibri"/>
                <w:sz w:val="22"/>
              </w:rPr>
              <w:t xml:space="preserve"> </w:t>
            </w:r>
            <w:r>
              <w:t>(</w:t>
            </w:r>
            <w:r>
              <w:rPr>
                <w:color w:val="1155CC"/>
                <w:u w:val="single" w:color="1155CC"/>
              </w:rPr>
              <w:t>http://www.legislation.gov.uk/ukpga/1998/29/contents</w:t>
            </w:r>
            <w:r>
              <w:rPr>
                <w:rFonts w:ascii="Calibri" w:eastAsia="Calibri" w:hAnsi="Calibri" w:cs="Calibri"/>
                <w:u w:val="single" w:color="1155CC"/>
              </w:rPr>
              <w:t xml:space="preserve"> </w:t>
            </w:r>
            <w:r>
              <w:t xml:space="preserve">)  </w:t>
            </w:r>
          </w:p>
        </w:tc>
      </w:tr>
      <w:tr w:rsidR="009D3DB4">
        <w:trPr>
          <w:trHeight w:val="131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Processing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9D3DB4">
        <w:trPr>
          <w:trHeight w:val="3226"/>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Prohibited 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1" w:line="251" w:lineRule="auto"/>
              <w:ind w:left="0" w:right="722" w:firstLine="0"/>
            </w:pPr>
            <w:r>
              <w:t xml:space="preserve">To directly or indirectly offer, promise or give any person working for or engaged by a Buyer or CCS a financial or other advantage to:  </w:t>
            </w:r>
          </w:p>
          <w:p w:rsidR="009D3DB4" w:rsidRDefault="005B054C">
            <w:pPr>
              <w:numPr>
                <w:ilvl w:val="0"/>
                <w:numId w:val="53"/>
              </w:numPr>
              <w:spacing w:after="6" w:line="259" w:lineRule="auto"/>
              <w:ind w:hanging="358"/>
            </w:pPr>
            <w:r>
              <w:t xml:space="preserve">induce that person to perform improperly a relevant function or  </w:t>
            </w:r>
          </w:p>
          <w:p w:rsidR="009D3DB4" w:rsidRDefault="005B054C">
            <w:pPr>
              <w:spacing w:after="1" w:line="259" w:lineRule="auto"/>
              <w:ind w:left="718" w:firstLine="0"/>
            </w:pPr>
            <w:r>
              <w:t xml:space="preserve">activity  </w:t>
            </w:r>
          </w:p>
          <w:p w:rsidR="009D3DB4" w:rsidRDefault="005B054C">
            <w:pPr>
              <w:numPr>
                <w:ilvl w:val="0"/>
                <w:numId w:val="53"/>
              </w:numPr>
              <w:spacing w:after="9" w:line="259" w:lineRule="auto"/>
              <w:ind w:hanging="358"/>
            </w:pPr>
            <w:r>
              <w:t xml:space="preserve">reward that person for improper performance of a relevant function  </w:t>
            </w:r>
          </w:p>
          <w:p w:rsidR="009D3DB4" w:rsidRDefault="005B054C">
            <w:pPr>
              <w:spacing w:after="2" w:line="259" w:lineRule="auto"/>
              <w:ind w:left="718" w:firstLine="0"/>
            </w:pPr>
            <w:r>
              <w:t xml:space="preserve">or activity  </w:t>
            </w:r>
          </w:p>
          <w:p w:rsidR="009D3DB4" w:rsidRDefault="005B054C">
            <w:pPr>
              <w:numPr>
                <w:ilvl w:val="0"/>
                <w:numId w:val="53"/>
              </w:numPr>
              <w:spacing w:after="11" w:line="259" w:lineRule="auto"/>
              <w:ind w:hanging="358"/>
            </w:pPr>
            <w:r>
              <w:t xml:space="preserve">commit any offence:  </w:t>
            </w:r>
          </w:p>
          <w:p w:rsidR="009D3DB4" w:rsidRDefault="005B054C">
            <w:pPr>
              <w:tabs>
                <w:tab w:val="center" w:pos="0"/>
                <w:tab w:val="center" w:pos="1138"/>
                <w:tab w:val="center" w:pos="2635"/>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under the Bribery Act 2010  </w:t>
            </w:r>
          </w:p>
          <w:p w:rsidR="009D3DB4" w:rsidRDefault="005B054C">
            <w:pPr>
              <w:spacing w:after="1" w:line="252" w:lineRule="auto"/>
              <w:ind w:left="1078" w:right="535" w:firstLine="0"/>
              <w:jc w:val="both"/>
            </w:pPr>
            <w:r>
              <w:t xml:space="preserve">○ under legislation creating offences concerning Fraud ○  at common Law concerning Fraud  </w:t>
            </w:r>
          </w:p>
          <w:p w:rsidR="009D3DB4" w:rsidRDefault="005B054C">
            <w:pPr>
              <w:tabs>
                <w:tab w:val="center" w:pos="0"/>
                <w:tab w:val="center" w:pos="1138"/>
                <w:tab w:val="center" w:pos="3937"/>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committing or attempting or conspiring to commit Fraud  </w:t>
            </w:r>
          </w:p>
        </w:tc>
      </w:tr>
      <w:tr w:rsidR="009D3DB4">
        <w:trPr>
          <w:trHeight w:val="1548"/>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Project Specific IPRs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Property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Assets and property including technical infrastructure, IPRs and equipment.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PSN or Public Services Network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9D3DB4">
        <w:trPr>
          <w:trHeight w:val="107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Regulatory Body or Bodies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9D3DB4">
        <w:trPr>
          <w:trHeight w:val="107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Relevant Person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employee, agent, servant, or representative of the Buyer, any other public body or person employed by or on behalf of the Buyer, or any other public body.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Relevant Transfer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 transfer of employment to which the Employment Regulations applies.  </w:t>
            </w:r>
          </w:p>
        </w:tc>
      </w:tr>
    </w:tbl>
    <w:p w:rsidR="009D3DB4" w:rsidRDefault="009D3DB4">
      <w:pPr>
        <w:spacing w:after="0" w:line="259" w:lineRule="auto"/>
        <w:ind w:left="0" w:right="146" w:firstLine="0"/>
      </w:pPr>
    </w:p>
    <w:tbl>
      <w:tblPr>
        <w:tblStyle w:val="TableGrid"/>
        <w:tblW w:w="10567" w:type="dxa"/>
        <w:tblInd w:w="595" w:type="dxa"/>
        <w:tblCellMar>
          <w:top w:w="122" w:type="dxa"/>
          <w:left w:w="115" w:type="dxa"/>
          <w:right w:w="51" w:type="dxa"/>
        </w:tblCellMar>
        <w:tblLook w:val="04A0" w:firstRow="1" w:lastRow="0" w:firstColumn="1" w:lastColumn="0" w:noHBand="0" w:noVBand="1"/>
      </w:tblPr>
      <w:tblGrid>
        <w:gridCol w:w="3428"/>
        <w:gridCol w:w="7139"/>
      </w:tblGrid>
      <w:tr w:rsidR="009D3DB4">
        <w:trPr>
          <w:trHeight w:val="107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Replacement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proofErr w:type="gramStart"/>
            <w:r>
              <w:t>those</w:t>
            </w:r>
            <w:proofErr w:type="gramEnd"/>
            <w:r>
              <w:t xml:space="preserve"> services are provided by the Buyer or a third party.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Replacement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services ordered by the Buyer as set out in the Order Form.  </w:t>
            </w:r>
          </w:p>
        </w:tc>
      </w:tr>
      <w:tr w:rsidR="009D3DB4">
        <w:trPr>
          <w:trHeight w:val="83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Service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Data that is owned or managed by the Buyer and used for the G-Cloud Services, including backup data.  </w:t>
            </w:r>
          </w:p>
        </w:tc>
      </w:tr>
      <w:tr w:rsidR="009D3DB4">
        <w:trPr>
          <w:trHeight w:val="107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Service Definition(s)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definition of the Supplier's G-Cloud </w:t>
            </w:r>
            <w:proofErr w:type="gramStart"/>
            <w:r>
              <w:t>Services  provided</w:t>
            </w:r>
            <w:proofErr w:type="gramEnd"/>
            <w:r>
              <w:t xml:space="preserve"> as part of their  Application that includes, but is not limited to, those items listed in Section 2 (Services Offered) of the Framework Agreement.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Service Description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description of the Supplier service offering as published on the Digital Marketplace.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Service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right="21" w:firstLine="0"/>
            </w:pPr>
            <w:r>
              <w:t xml:space="preserve">The Personal Data supplied by a Buyer to the Supplier in the course of the use of the G-Cloud Services for purposes of or in connection with this Call-Off Contract.  </w:t>
            </w:r>
          </w:p>
        </w:tc>
      </w:tr>
      <w:tr w:rsidR="009D3DB4">
        <w:trPr>
          <w:trHeight w:val="131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Spend Controls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4" w:lineRule="auto"/>
              <w:ind w:left="0" w:firstLine="0"/>
            </w:pPr>
            <w:r>
              <w:t xml:space="preserve">The approval process used by a central government Buyer if it needs to spend money on certain digital or technology services, see  </w:t>
            </w:r>
          </w:p>
          <w:p w:rsidR="009D3DB4" w:rsidRDefault="005B054C">
            <w:pPr>
              <w:spacing w:after="0" w:line="259" w:lineRule="auto"/>
              <w:ind w:left="0" w:firstLine="0"/>
            </w:pPr>
            <w:r>
              <w:rPr>
                <w:color w:val="1155CC"/>
                <w:u w:val="single" w:color="1155CC"/>
              </w:rPr>
              <w:t>https://www.gov.uk/service-manual/agile-delivery/spend-controls-check-if-y</w:t>
            </w:r>
            <w:r>
              <w:rPr>
                <w:color w:val="1155CC"/>
              </w:rPr>
              <w:t xml:space="preserve"> </w:t>
            </w:r>
            <w:proofErr w:type="spellStart"/>
            <w:r>
              <w:rPr>
                <w:color w:val="1155CC"/>
                <w:u w:val="single" w:color="1155CC"/>
              </w:rPr>
              <w:t>ou</w:t>
            </w:r>
            <w:proofErr w:type="spellEnd"/>
            <w:r>
              <w:rPr>
                <w:color w:val="1155CC"/>
                <w:u w:val="single" w:color="1155CC"/>
              </w:rPr>
              <w:t>-need-approval-to-spend-money-on-a-service</w:t>
            </w:r>
            <w:r>
              <w:t xml:space="preserve">  </w:t>
            </w:r>
          </w:p>
        </w:tc>
      </w:tr>
      <w:tr w:rsidR="009D3DB4">
        <w:trPr>
          <w:trHeight w:val="59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Start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start date of this Call-Off Contract as set out in the Order Form.  </w:t>
            </w:r>
          </w:p>
        </w:tc>
      </w:tr>
      <w:tr w:rsidR="009D3DB4">
        <w:trPr>
          <w:trHeight w:val="131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Subcontract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9D3DB4">
        <w:trPr>
          <w:trHeight w:val="107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Subcontractor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9D3DB4">
        <w:trPr>
          <w:trHeight w:val="83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Supplier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representative appointed by the Supplier from time to time in relation to the Call-Off Contract.  </w:t>
            </w:r>
          </w:p>
        </w:tc>
      </w:tr>
      <w:tr w:rsidR="009D3DB4">
        <w:trPr>
          <w:trHeight w:val="1070"/>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Supplier Staff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9D3DB4" w:rsidRDefault="005B054C">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Supplier Terms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relevant G-Cloud Service terms and conditions as set out in the Terms and Conditions document supplied as part of the Supplier’s Application.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Term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The term of this Call-Off Contract as set out in the Order Form.   </w:t>
            </w:r>
          </w:p>
        </w:tc>
      </w:tr>
      <w:tr w:rsidR="009D3DB4">
        <w:trPr>
          <w:trHeight w:val="591"/>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Variation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This has the meaning given to it in clause 32 (Variation process).  </w:t>
            </w:r>
          </w:p>
        </w:tc>
      </w:tr>
      <w:tr w:rsidR="009D3DB4">
        <w:trPr>
          <w:trHeight w:val="83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lastRenderedPageBreak/>
              <w:t xml:space="preserve">Working Days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Any day other than a Saturday, Sunday or public holiday in England and Wales.  </w:t>
            </w:r>
          </w:p>
        </w:tc>
      </w:tr>
      <w:tr w:rsidR="009D3DB4">
        <w:trPr>
          <w:trHeight w:val="593"/>
        </w:trPr>
        <w:tc>
          <w:tcPr>
            <w:tcW w:w="3428"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b/>
              </w:rPr>
              <w:t xml:space="preserve">Year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t xml:space="preserve">A contract year.  </w:t>
            </w:r>
          </w:p>
        </w:tc>
      </w:tr>
    </w:tbl>
    <w:p w:rsidR="009D3DB4" w:rsidRDefault="005B054C">
      <w:pPr>
        <w:spacing w:after="0" w:line="259" w:lineRule="auto"/>
        <w:ind w:left="708" w:firstLine="0"/>
        <w:jc w:val="both"/>
      </w:pPr>
      <w:r>
        <w:t xml:space="preserve">  </w:t>
      </w:r>
    </w:p>
    <w:p w:rsidR="009D3DB4" w:rsidRDefault="009D3DB4">
      <w:pPr>
        <w:sectPr w:rsidR="009D3DB4">
          <w:headerReference w:type="even" r:id="rId18"/>
          <w:headerReference w:type="default" r:id="rId19"/>
          <w:footerReference w:type="even" r:id="rId20"/>
          <w:footerReference w:type="default" r:id="rId21"/>
          <w:headerReference w:type="first" r:id="rId22"/>
          <w:footerReference w:type="first" r:id="rId23"/>
          <w:pgSz w:w="11880" w:h="16819"/>
          <w:pgMar w:top="1164" w:right="571" w:bottom="926" w:left="0" w:header="249" w:footer="371" w:gutter="0"/>
          <w:cols w:space="720"/>
        </w:sectPr>
      </w:pPr>
    </w:p>
    <w:p w:rsidR="009D3DB4" w:rsidRDefault="005B054C">
      <w:pPr>
        <w:spacing w:after="100" w:line="259" w:lineRule="auto"/>
        <w:ind w:left="9640" w:right="-989" w:firstLine="0"/>
      </w:pPr>
      <w:r>
        <w:rPr>
          <w:noProof/>
        </w:rPr>
        <w:lastRenderedPageBreak/>
        <w:drawing>
          <wp:inline distT="0" distB="0" distL="0" distR="0">
            <wp:extent cx="1016001" cy="313267"/>
            <wp:effectExtent l="0" t="0" r="0" b="0"/>
            <wp:docPr id="7691" name="Picture 7691"/>
            <wp:cNvGraphicFramePr/>
            <a:graphic xmlns:a="http://schemas.openxmlformats.org/drawingml/2006/main">
              <a:graphicData uri="http://schemas.openxmlformats.org/drawingml/2006/picture">
                <pic:pic xmlns:pic="http://schemas.openxmlformats.org/drawingml/2006/picture">
                  <pic:nvPicPr>
                    <pic:cNvPr id="7691" name="Picture 7691"/>
                    <pic:cNvPicPr/>
                  </pic:nvPicPr>
                  <pic:blipFill>
                    <a:blip r:embed="rId24"/>
                    <a:stretch>
                      <a:fillRect/>
                    </a:stretch>
                  </pic:blipFill>
                  <pic:spPr>
                    <a:xfrm>
                      <a:off x="0" y="0"/>
                      <a:ext cx="1016001" cy="313267"/>
                    </a:xfrm>
                    <a:prstGeom prst="rect">
                      <a:avLst/>
                    </a:prstGeom>
                  </pic:spPr>
                </pic:pic>
              </a:graphicData>
            </a:graphic>
          </wp:inline>
        </w:drawing>
      </w:r>
    </w:p>
    <w:tbl>
      <w:tblPr>
        <w:tblStyle w:val="TableGrid"/>
        <w:tblW w:w="11240" w:type="dxa"/>
        <w:tblInd w:w="0" w:type="dxa"/>
        <w:tblCellMar>
          <w:top w:w="48" w:type="dxa"/>
          <w:bottom w:w="48" w:type="dxa"/>
        </w:tblCellMar>
        <w:tblLook w:val="04A0" w:firstRow="1" w:lastRow="0" w:firstColumn="1" w:lastColumn="0" w:noHBand="0" w:noVBand="1"/>
      </w:tblPr>
      <w:tblGrid>
        <w:gridCol w:w="3746"/>
        <w:gridCol w:w="3747"/>
        <w:gridCol w:w="1574"/>
        <w:gridCol w:w="2173"/>
      </w:tblGrid>
      <w:tr w:rsidR="009D3DB4">
        <w:trPr>
          <w:trHeight w:val="326"/>
        </w:trPr>
        <w:tc>
          <w:tcPr>
            <w:tcW w:w="7493"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Certificate Of Completion</w:t>
            </w:r>
          </w:p>
        </w:tc>
        <w:tc>
          <w:tcPr>
            <w:tcW w:w="3747" w:type="dxa"/>
            <w:gridSpan w:val="2"/>
            <w:tcBorders>
              <w:top w:val="nil"/>
              <w:left w:val="nil"/>
              <w:bottom w:val="nil"/>
              <w:right w:val="nil"/>
            </w:tcBorders>
            <w:shd w:val="clear" w:color="auto" w:fill="DCDCDC"/>
          </w:tcPr>
          <w:p w:rsidR="009D3DB4" w:rsidRDefault="009D3DB4">
            <w:pPr>
              <w:spacing w:after="160" w:line="259" w:lineRule="auto"/>
              <w:ind w:left="0" w:firstLine="0"/>
            </w:pPr>
          </w:p>
        </w:tc>
      </w:tr>
      <w:tr w:rsidR="009D3DB4">
        <w:trPr>
          <w:trHeight w:val="281"/>
        </w:trPr>
        <w:tc>
          <w:tcPr>
            <w:tcW w:w="7493" w:type="dxa"/>
            <w:gridSpan w:val="2"/>
            <w:tcBorders>
              <w:top w:val="nil"/>
              <w:left w:val="nil"/>
              <w:bottom w:val="nil"/>
              <w:right w:val="nil"/>
            </w:tcBorders>
          </w:tcPr>
          <w:p w:rsidR="009D3DB4" w:rsidRDefault="005B054C">
            <w:pPr>
              <w:spacing w:after="0" w:line="259" w:lineRule="auto"/>
              <w:ind w:left="0" w:firstLine="0"/>
            </w:pPr>
            <w:r>
              <w:rPr>
                <w:sz w:val="16"/>
              </w:rPr>
              <w:t>Envelope Id: 7F2FFFF66CD34098B3435AE11AEC6C39</w:t>
            </w:r>
          </w:p>
        </w:tc>
        <w:tc>
          <w:tcPr>
            <w:tcW w:w="3747" w:type="dxa"/>
            <w:gridSpan w:val="2"/>
            <w:tcBorders>
              <w:top w:val="nil"/>
              <w:left w:val="nil"/>
              <w:bottom w:val="nil"/>
              <w:right w:val="nil"/>
            </w:tcBorders>
          </w:tcPr>
          <w:p w:rsidR="009D3DB4" w:rsidRDefault="005B054C">
            <w:pPr>
              <w:spacing w:after="0" w:line="259" w:lineRule="auto"/>
              <w:ind w:left="0" w:firstLine="0"/>
            </w:pPr>
            <w:r>
              <w:rPr>
                <w:sz w:val="16"/>
              </w:rPr>
              <w:t>Status: Completed</w:t>
            </w:r>
          </w:p>
        </w:tc>
      </w:tr>
      <w:tr w:rsidR="009D3DB4">
        <w:trPr>
          <w:trHeight w:val="735"/>
        </w:trPr>
        <w:tc>
          <w:tcPr>
            <w:tcW w:w="3747" w:type="dxa"/>
            <w:tcBorders>
              <w:top w:val="nil"/>
              <w:left w:val="nil"/>
              <w:bottom w:val="nil"/>
              <w:right w:val="nil"/>
            </w:tcBorders>
          </w:tcPr>
          <w:p w:rsidR="009D3DB4" w:rsidRDefault="005B054C">
            <w:pPr>
              <w:spacing w:after="0" w:line="320" w:lineRule="auto"/>
              <w:ind w:left="0" w:right="-1029" w:firstLine="0"/>
            </w:pPr>
            <w:r>
              <w:rPr>
                <w:sz w:val="16"/>
              </w:rPr>
              <w:t xml:space="preserve">Subject: CW11204 - G-Cloud Contract Data Engineering v 1 2.docx Source Envelope: </w:t>
            </w:r>
          </w:p>
          <w:p w:rsidR="009D3DB4" w:rsidRDefault="005B054C">
            <w:pPr>
              <w:spacing w:after="0" w:line="259" w:lineRule="auto"/>
              <w:ind w:left="0" w:firstLine="0"/>
            </w:pPr>
            <w:r>
              <w:rPr>
                <w:sz w:val="16"/>
              </w:rPr>
              <w:t>Document Pages: 35</w:t>
            </w:r>
          </w:p>
        </w:tc>
        <w:tc>
          <w:tcPr>
            <w:tcW w:w="3747" w:type="dxa"/>
            <w:tcBorders>
              <w:top w:val="nil"/>
              <w:left w:val="nil"/>
              <w:bottom w:val="nil"/>
              <w:right w:val="nil"/>
            </w:tcBorders>
            <w:vAlign w:val="bottom"/>
          </w:tcPr>
          <w:p w:rsidR="009D3DB4" w:rsidRDefault="005B054C">
            <w:pPr>
              <w:spacing w:after="0" w:line="259" w:lineRule="auto"/>
              <w:ind w:left="0" w:firstLine="0"/>
            </w:pPr>
            <w:r>
              <w:rPr>
                <w:sz w:val="16"/>
              </w:rPr>
              <w:t>Signatures: 2</w:t>
            </w:r>
          </w:p>
        </w:tc>
        <w:tc>
          <w:tcPr>
            <w:tcW w:w="3747" w:type="dxa"/>
            <w:gridSpan w:val="2"/>
            <w:tcBorders>
              <w:top w:val="nil"/>
              <w:left w:val="nil"/>
              <w:bottom w:val="nil"/>
              <w:right w:val="nil"/>
            </w:tcBorders>
            <w:vAlign w:val="bottom"/>
          </w:tcPr>
          <w:p w:rsidR="009D3DB4" w:rsidRDefault="005B054C">
            <w:pPr>
              <w:spacing w:after="0" w:line="259" w:lineRule="auto"/>
              <w:ind w:left="0" w:firstLine="0"/>
            </w:pPr>
            <w:r>
              <w:rPr>
                <w:sz w:val="16"/>
              </w:rPr>
              <w:t xml:space="preserve">Envelope Originator: </w:t>
            </w:r>
          </w:p>
        </w:tc>
      </w:tr>
      <w:tr w:rsidR="009D3DB4">
        <w:trPr>
          <w:trHeight w:val="245"/>
        </w:trPr>
        <w:tc>
          <w:tcPr>
            <w:tcW w:w="3747" w:type="dxa"/>
            <w:tcBorders>
              <w:top w:val="nil"/>
              <w:left w:val="nil"/>
              <w:bottom w:val="nil"/>
              <w:right w:val="nil"/>
            </w:tcBorders>
          </w:tcPr>
          <w:p w:rsidR="009D3DB4" w:rsidRDefault="005B054C">
            <w:pPr>
              <w:spacing w:after="0" w:line="259" w:lineRule="auto"/>
              <w:ind w:left="0" w:firstLine="0"/>
            </w:pPr>
            <w:r>
              <w:rPr>
                <w:sz w:val="16"/>
              </w:rPr>
              <w:t>Supplemental Document Pages: 0</w:t>
            </w:r>
          </w:p>
        </w:tc>
        <w:tc>
          <w:tcPr>
            <w:tcW w:w="3747" w:type="dxa"/>
            <w:tcBorders>
              <w:top w:val="nil"/>
              <w:left w:val="nil"/>
              <w:bottom w:val="nil"/>
              <w:right w:val="nil"/>
            </w:tcBorders>
          </w:tcPr>
          <w:p w:rsidR="009D3DB4" w:rsidRDefault="005B054C">
            <w:pPr>
              <w:spacing w:after="0" w:line="259" w:lineRule="auto"/>
              <w:ind w:left="0" w:firstLine="0"/>
            </w:pPr>
            <w:r>
              <w:rPr>
                <w:sz w:val="16"/>
              </w:rPr>
              <w:t>Initials: 0</w:t>
            </w:r>
          </w:p>
        </w:tc>
        <w:tc>
          <w:tcPr>
            <w:tcW w:w="3747" w:type="dxa"/>
            <w:gridSpan w:val="2"/>
            <w:tcBorders>
              <w:top w:val="nil"/>
              <w:left w:val="nil"/>
              <w:bottom w:val="nil"/>
              <w:right w:val="nil"/>
            </w:tcBorders>
          </w:tcPr>
          <w:p w:rsidR="00E5474D" w:rsidRDefault="00E5474D" w:rsidP="00E5474D">
            <w:pPr>
              <w:spacing w:after="24" w:line="259" w:lineRule="auto"/>
              <w:ind w:left="0" w:firstLine="0"/>
            </w:pPr>
            <w:proofErr w:type="spellStart"/>
            <w:r>
              <w:t>Readacted</w:t>
            </w:r>
            <w:proofErr w:type="spellEnd"/>
          </w:p>
          <w:p w:rsidR="009D3DB4" w:rsidRDefault="009D3DB4">
            <w:pPr>
              <w:spacing w:after="0" w:line="259" w:lineRule="auto"/>
              <w:ind w:left="0" w:firstLine="0"/>
            </w:pPr>
          </w:p>
        </w:tc>
      </w:tr>
      <w:tr w:rsidR="009D3DB4">
        <w:trPr>
          <w:trHeight w:val="1339"/>
        </w:trPr>
        <w:tc>
          <w:tcPr>
            <w:tcW w:w="3747" w:type="dxa"/>
            <w:tcBorders>
              <w:top w:val="nil"/>
              <w:left w:val="nil"/>
              <w:bottom w:val="nil"/>
              <w:right w:val="nil"/>
            </w:tcBorders>
          </w:tcPr>
          <w:p w:rsidR="009D3DB4" w:rsidRDefault="005B054C">
            <w:pPr>
              <w:spacing w:after="46" w:line="259" w:lineRule="auto"/>
              <w:ind w:left="0" w:firstLine="0"/>
            </w:pPr>
            <w:r>
              <w:rPr>
                <w:sz w:val="16"/>
              </w:rPr>
              <w:t>Certificate Pages: 5</w:t>
            </w:r>
          </w:p>
          <w:p w:rsidR="009D3DB4" w:rsidRDefault="005B054C">
            <w:pPr>
              <w:spacing w:after="46" w:line="259" w:lineRule="auto"/>
              <w:ind w:left="0" w:firstLine="0"/>
            </w:pPr>
            <w:proofErr w:type="spellStart"/>
            <w:r>
              <w:rPr>
                <w:sz w:val="16"/>
              </w:rPr>
              <w:t>AutoNav</w:t>
            </w:r>
            <w:proofErr w:type="spellEnd"/>
            <w:r>
              <w:rPr>
                <w:sz w:val="16"/>
              </w:rPr>
              <w:t>: Enabled</w:t>
            </w:r>
          </w:p>
          <w:p w:rsidR="009D3DB4" w:rsidRDefault="005B054C">
            <w:pPr>
              <w:spacing w:after="46" w:line="259" w:lineRule="auto"/>
              <w:ind w:left="0" w:firstLine="0"/>
            </w:pPr>
            <w:proofErr w:type="spellStart"/>
            <w:r>
              <w:rPr>
                <w:sz w:val="16"/>
              </w:rPr>
              <w:t>EnvelopeId</w:t>
            </w:r>
            <w:proofErr w:type="spellEnd"/>
            <w:r>
              <w:rPr>
                <w:sz w:val="16"/>
              </w:rPr>
              <w:t xml:space="preserve"> Stamping: Enabled</w:t>
            </w:r>
          </w:p>
          <w:p w:rsidR="009D3DB4" w:rsidRDefault="005B054C">
            <w:pPr>
              <w:spacing w:after="46" w:line="259" w:lineRule="auto"/>
              <w:ind w:left="0" w:firstLine="0"/>
            </w:pPr>
            <w:r>
              <w:rPr>
                <w:sz w:val="16"/>
              </w:rPr>
              <w:t xml:space="preserve">Time Zone: (UTC) Dublin, Edinburgh, Lisbon, </w:t>
            </w:r>
          </w:p>
          <w:p w:rsidR="009D3DB4" w:rsidRDefault="005B054C">
            <w:pPr>
              <w:spacing w:after="0" w:line="259" w:lineRule="auto"/>
              <w:ind w:left="0" w:firstLine="0"/>
            </w:pPr>
            <w:r>
              <w:rPr>
                <w:sz w:val="16"/>
              </w:rPr>
              <w:t>London</w:t>
            </w:r>
          </w:p>
        </w:tc>
        <w:tc>
          <w:tcPr>
            <w:tcW w:w="3747" w:type="dxa"/>
            <w:tcBorders>
              <w:top w:val="nil"/>
              <w:left w:val="nil"/>
              <w:bottom w:val="nil"/>
              <w:right w:val="nil"/>
            </w:tcBorders>
          </w:tcPr>
          <w:p w:rsidR="009D3DB4" w:rsidRDefault="005B054C">
            <w:pPr>
              <w:spacing w:after="0" w:line="259" w:lineRule="auto"/>
              <w:ind w:left="0" w:firstLine="0"/>
            </w:pPr>
            <w:r>
              <w:rPr>
                <w:sz w:val="16"/>
              </w:rPr>
              <w:t>Payments: 0</w:t>
            </w:r>
          </w:p>
        </w:tc>
        <w:tc>
          <w:tcPr>
            <w:tcW w:w="3747" w:type="dxa"/>
            <w:gridSpan w:val="2"/>
            <w:tcBorders>
              <w:top w:val="nil"/>
              <w:left w:val="nil"/>
              <w:bottom w:val="nil"/>
              <w:right w:val="nil"/>
            </w:tcBorders>
            <w:vAlign w:val="bottom"/>
          </w:tcPr>
          <w:p w:rsidR="00E5474D" w:rsidRDefault="005B054C" w:rsidP="00E5474D">
            <w:pPr>
              <w:spacing w:after="24" w:line="259" w:lineRule="auto"/>
              <w:ind w:left="0" w:firstLine="0"/>
            </w:pPr>
            <w:r>
              <w:rPr>
                <w:sz w:val="16"/>
              </w:rPr>
              <w:t xml:space="preserve">100 Parliament Street London,   SW1A2BQ </w:t>
            </w:r>
            <w:proofErr w:type="spellStart"/>
            <w:r w:rsidR="00E5474D">
              <w:t>Readacted</w:t>
            </w:r>
            <w:proofErr w:type="spellEnd"/>
          </w:p>
          <w:p w:rsidR="009D3DB4" w:rsidRDefault="005B054C">
            <w:pPr>
              <w:spacing w:after="0" w:line="259" w:lineRule="auto"/>
              <w:ind w:left="0" w:right="1548" w:firstLine="0"/>
              <w:jc w:val="both"/>
            </w:pPr>
            <w:r>
              <w:rPr>
                <w:sz w:val="16"/>
              </w:rPr>
              <w:t xml:space="preserve">k IP Address: 194.39.128.20  </w:t>
            </w: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Record Tracking</w:t>
            </w:r>
          </w:p>
        </w:tc>
        <w:tc>
          <w:tcPr>
            <w:tcW w:w="3747" w:type="dxa"/>
            <w:tcBorders>
              <w:top w:val="nil"/>
              <w:left w:val="nil"/>
              <w:bottom w:val="nil"/>
              <w:right w:val="nil"/>
            </w:tcBorders>
            <w:shd w:val="clear" w:color="auto" w:fill="DCDCDC"/>
          </w:tcPr>
          <w:p w:rsidR="009D3DB4" w:rsidRDefault="009D3DB4">
            <w:pPr>
              <w:spacing w:after="160" w:line="259" w:lineRule="auto"/>
              <w:ind w:left="0" w:firstLine="0"/>
            </w:pPr>
          </w:p>
        </w:tc>
        <w:tc>
          <w:tcPr>
            <w:tcW w:w="3747" w:type="dxa"/>
            <w:gridSpan w:val="2"/>
            <w:tcBorders>
              <w:top w:val="nil"/>
              <w:left w:val="nil"/>
              <w:bottom w:val="nil"/>
              <w:right w:val="nil"/>
            </w:tcBorders>
            <w:shd w:val="clear" w:color="auto" w:fill="DCDCDC"/>
          </w:tcPr>
          <w:p w:rsidR="009D3DB4" w:rsidRDefault="009D3DB4">
            <w:pPr>
              <w:spacing w:after="160" w:line="259" w:lineRule="auto"/>
              <w:ind w:left="0" w:firstLine="0"/>
            </w:pPr>
          </w:p>
        </w:tc>
      </w:tr>
      <w:tr w:rsidR="009D3DB4">
        <w:trPr>
          <w:trHeight w:val="640"/>
        </w:trPr>
        <w:tc>
          <w:tcPr>
            <w:tcW w:w="3747" w:type="dxa"/>
            <w:tcBorders>
              <w:top w:val="nil"/>
              <w:left w:val="nil"/>
              <w:bottom w:val="nil"/>
              <w:right w:val="nil"/>
            </w:tcBorders>
          </w:tcPr>
          <w:p w:rsidR="009D3DB4" w:rsidRDefault="005B054C">
            <w:pPr>
              <w:spacing w:after="46" w:line="259" w:lineRule="auto"/>
              <w:ind w:left="0" w:firstLine="0"/>
            </w:pPr>
            <w:r>
              <w:rPr>
                <w:sz w:val="16"/>
              </w:rPr>
              <w:t>Status: Original</w:t>
            </w:r>
          </w:p>
          <w:p w:rsidR="009D3DB4" w:rsidRDefault="005B054C">
            <w:pPr>
              <w:spacing w:after="0" w:line="259" w:lineRule="auto"/>
              <w:ind w:left="0" w:firstLine="0"/>
            </w:pPr>
            <w:r>
              <w:rPr>
                <w:sz w:val="16"/>
              </w:rPr>
              <w:t xml:space="preserve">             8/1/2017 2:16:38 PM</w:t>
            </w:r>
          </w:p>
        </w:tc>
        <w:tc>
          <w:tcPr>
            <w:tcW w:w="3747" w:type="dxa"/>
            <w:tcBorders>
              <w:top w:val="nil"/>
              <w:left w:val="nil"/>
              <w:bottom w:val="nil"/>
              <w:right w:val="nil"/>
            </w:tcBorders>
          </w:tcPr>
          <w:p w:rsidR="00E5474D" w:rsidRDefault="005B054C" w:rsidP="00E5474D">
            <w:pPr>
              <w:spacing w:after="24" w:line="259" w:lineRule="auto"/>
              <w:ind w:left="0" w:firstLine="0"/>
            </w:pPr>
            <w:r>
              <w:rPr>
                <w:sz w:val="16"/>
              </w:rPr>
              <w:t xml:space="preserve">Holder: </w:t>
            </w:r>
            <w:proofErr w:type="spellStart"/>
            <w:r w:rsidR="00E5474D">
              <w:t>Readacted</w:t>
            </w:r>
            <w:proofErr w:type="spellEnd"/>
          </w:p>
          <w:p w:rsidR="00E5474D" w:rsidRDefault="005B054C" w:rsidP="00E5474D">
            <w:pPr>
              <w:spacing w:after="24" w:line="259" w:lineRule="auto"/>
              <w:ind w:left="0" w:firstLine="0"/>
            </w:pPr>
            <w:r>
              <w:rPr>
                <w:sz w:val="16"/>
              </w:rPr>
              <w:t xml:space="preserve">             </w:t>
            </w:r>
            <w:proofErr w:type="spellStart"/>
            <w:r w:rsidR="00E5474D">
              <w:t>Readacted</w:t>
            </w:r>
            <w:proofErr w:type="spellEnd"/>
          </w:p>
          <w:p w:rsidR="009D3DB4" w:rsidRDefault="009D3DB4">
            <w:pPr>
              <w:spacing w:after="0" w:line="259" w:lineRule="auto"/>
              <w:ind w:left="0" w:firstLine="0"/>
            </w:pPr>
          </w:p>
        </w:tc>
        <w:tc>
          <w:tcPr>
            <w:tcW w:w="3747" w:type="dxa"/>
            <w:gridSpan w:val="2"/>
            <w:tcBorders>
              <w:top w:val="nil"/>
              <w:left w:val="nil"/>
              <w:bottom w:val="nil"/>
              <w:right w:val="nil"/>
            </w:tcBorders>
          </w:tcPr>
          <w:p w:rsidR="009D3DB4" w:rsidRDefault="005B054C">
            <w:pPr>
              <w:spacing w:after="0" w:line="259" w:lineRule="auto"/>
              <w:ind w:left="0" w:firstLine="0"/>
            </w:pPr>
            <w:r>
              <w:rPr>
                <w:sz w:val="16"/>
              </w:rPr>
              <w:t>Location: DocuSign</w:t>
            </w: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Signer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Signature</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299"/>
        </w:trPr>
        <w:tc>
          <w:tcPr>
            <w:tcW w:w="3747" w:type="dxa"/>
            <w:tcBorders>
              <w:top w:val="nil"/>
              <w:left w:val="nil"/>
              <w:bottom w:val="nil"/>
              <w:right w:val="nil"/>
            </w:tcBorders>
          </w:tcPr>
          <w:p w:rsidR="00E5474D" w:rsidRDefault="00E5474D" w:rsidP="00E5474D">
            <w:pPr>
              <w:spacing w:after="24" w:line="259" w:lineRule="auto"/>
              <w:ind w:left="0" w:firstLine="0"/>
            </w:pPr>
            <w:proofErr w:type="spellStart"/>
            <w:r>
              <w:t>Readacted</w:t>
            </w:r>
            <w:proofErr w:type="spellEnd"/>
          </w:p>
          <w:p w:rsidR="00E5474D" w:rsidRDefault="00E5474D" w:rsidP="00E5474D">
            <w:pPr>
              <w:spacing w:after="24" w:line="259" w:lineRule="auto"/>
              <w:ind w:left="0" w:firstLine="0"/>
            </w:pPr>
            <w:proofErr w:type="spellStart"/>
            <w:r>
              <w:t>Readacted</w:t>
            </w:r>
            <w:proofErr w:type="spellEnd"/>
          </w:p>
          <w:p w:rsidR="009D3DB4" w:rsidRDefault="005B054C">
            <w:pPr>
              <w:spacing w:after="46" w:line="259" w:lineRule="auto"/>
              <w:ind w:left="0" w:firstLine="0"/>
            </w:pPr>
            <w:r>
              <w:rPr>
                <w:sz w:val="16"/>
              </w:rPr>
              <w:t>.com</w:t>
            </w:r>
          </w:p>
          <w:p w:rsidR="009D3DB4" w:rsidRDefault="005B054C">
            <w:pPr>
              <w:spacing w:after="46" w:line="259" w:lineRule="auto"/>
              <w:ind w:left="0" w:firstLine="0"/>
            </w:pPr>
            <w:r>
              <w:rPr>
                <w:sz w:val="16"/>
              </w:rPr>
              <w:t>CFO</w:t>
            </w:r>
          </w:p>
          <w:p w:rsidR="009D3DB4" w:rsidRDefault="005B054C">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bottom"/>
          </w:tcPr>
          <w:p w:rsidR="00E5474D" w:rsidRDefault="00E5474D" w:rsidP="00E5474D">
            <w:pPr>
              <w:spacing w:after="24" w:line="259" w:lineRule="auto"/>
              <w:ind w:left="0" w:firstLine="0"/>
            </w:pPr>
            <w:proofErr w:type="spellStart"/>
            <w:r>
              <w:t>Readacted</w:t>
            </w:r>
            <w:proofErr w:type="spellEnd"/>
          </w:p>
          <w:p w:rsidR="009D3DB4" w:rsidRDefault="009D3DB4">
            <w:pPr>
              <w:spacing w:after="339" w:line="259" w:lineRule="auto"/>
              <w:ind w:left="0" w:firstLine="0"/>
            </w:pPr>
          </w:p>
          <w:p w:rsidR="009D3DB4" w:rsidRDefault="005B054C">
            <w:pPr>
              <w:spacing w:after="0" w:line="259" w:lineRule="auto"/>
              <w:ind w:left="0" w:firstLine="0"/>
            </w:pPr>
            <w:r>
              <w:rPr>
                <w:sz w:val="16"/>
              </w:rPr>
              <w:t>Using IP Address: 5.148.6.178</w:t>
            </w:r>
          </w:p>
        </w:tc>
        <w:tc>
          <w:tcPr>
            <w:tcW w:w="3747" w:type="dxa"/>
            <w:gridSpan w:val="2"/>
            <w:tcBorders>
              <w:top w:val="nil"/>
              <w:left w:val="nil"/>
              <w:bottom w:val="nil"/>
              <w:right w:val="nil"/>
            </w:tcBorders>
          </w:tcPr>
          <w:p w:rsidR="009D3DB4" w:rsidRDefault="005B054C">
            <w:pPr>
              <w:spacing w:after="46" w:line="259" w:lineRule="auto"/>
              <w:ind w:left="0" w:firstLine="0"/>
            </w:pPr>
            <w:r>
              <w:rPr>
                <w:sz w:val="16"/>
              </w:rPr>
              <w:t>Sent: 8/1/2017 2:29:04 PM</w:t>
            </w:r>
          </w:p>
          <w:p w:rsidR="009D3DB4" w:rsidRDefault="005B054C">
            <w:pPr>
              <w:spacing w:after="46" w:line="259" w:lineRule="auto"/>
              <w:ind w:left="0" w:firstLine="0"/>
            </w:pPr>
            <w:r>
              <w:rPr>
                <w:sz w:val="16"/>
              </w:rPr>
              <w:t xml:space="preserve">Viewed: 8/1/2017 2:32:48 PM </w:t>
            </w:r>
          </w:p>
          <w:p w:rsidR="009D3DB4" w:rsidRDefault="005B054C">
            <w:pPr>
              <w:spacing w:after="0" w:line="259" w:lineRule="auto"/>
              <w:ind w:left="0" w:firstLine="0"/>
            </w:pPr>
            <w:r>
              <w:rPr>
                <w:sz w:val="16"/>
              </w:rPr>
              <w:t>Signed: 8/3/2017 11:52:48 AM</w:t>
            </w:r>
          </w:p>
        </w:tc>
      </w:tr>
      <w:tr w:rsidR="009D3DB4">
        <w:trPr>
          <w:trHeight w:val="2893"/>
        </w:trPr>
        <w:tc>
          <w:tcPr>
            <w:tcW w:w="3747" w:type="dxa"/>
            <w:tcBorders>
              <w:top w:val="nil"/>
              <w:left w:val="nil"/>
              <w:bottom w:val="nil"/>
              <w:right w:val="nil"/>
            </w:tcBorders>
            <w:vAlign w:val="center"/>
          </w:tcPr>
          <w:p w:rsidR="009D3DB4" w:rsidRDefault="005B054C">
            <w:pPr>
              <w:spacing w:after="0" w:line="259" w:lineRule="auto"/>
              <w:ind w:left="0" w:firstLine="0"/>
            </w:pPr>
            <w:r>
              <w:rPr>
                <w:b/>
                <w:sz w:val="16"/>
              </w:rPr>
              <w:t xml:space="preserve">Electronic Record and Signature Disclosure: </w:t>
            </w:r>
          </w:p>
          <w:p w:rsidR="009D3DB4" w:rsidRDefault="005B054C">
            <w:pPr>
              <w:spacing w:after="0" w:line="259" w:lineRule="auto"/>
              <w:ind w:left="0" w:firstLine="0"/>
            </w:pPr>
            <w:r>
              <w:rPr>
                <w:sz w:val="16"/>
              </w:rPr>
              <w:t xml:space="preserve">      Accepted: 8/1/2017 2:32:48 PM</w:t>
            </w:r>
          </w:p>
          <w:p w:rsidR="009D3DB4" w:rsidRDefault="005B054C">
            <w:pPr>
              <w:spacing w:after="206" w:line="259" w:lineRule="auto"/>
              <w:ind w:left="0" w:firstLine="0"/>
            </w:pPr>
            <w:r>
              <w:rPr>
                <w:sz w:val="16"/>
              </w:rPr>
              <w:t xml:space="preserve">      ID: dc59ab53-1e7d-46ec-b4ce-89838cbd9575</w:t>
            </w:r>
          </w:p>
          <w:p w:rsidR="00E5474D" w:rsidRDefault="00E5474D" w:rsidP="00E5474D">
            <w:pPr>
              <w:spacing w:after="24" w:line="259" w:lineRule="auto"/>
              <w:ind w:left="0" w:firstLine="0"/>
            </w:pPr>
            <w:proofErr w:type="spellStart"/>
            <w:r>
              <w:t>Readacted</w:t>
            </w:r>
            <w:proofErr w:type="spellEnd"/>
          </w:p>
          <w:p w:rsidR="009D3DB4" w:rsidRDefault="005B054C">
            <w:pPr>
              <w:spacing w:after="46" w:line="259" w:lineRule="auto"/>
              <w:ind w:left="0" w:firstLine="0"/>
            </w:pPr>
            <w:r>
              <w:rPr>
                <w:sz w:val="16"/>
              </w:rPr>
              <w:t>Assistant Director</w:t>
            </w:r>
          </w:p>
          <w:p w:rsidR="009D3DB4" w:rsidRDefault="005B054C">
            <w:pPr>
              <w:spacing w:after="46" w:line="259" w:lineRule="auto"/>
              <w:ind w:left="0" w:firstLine="0"/>
            </w:pPr>
            <w:r>
              <w:rPr>
                <w:sz w:val="16"/>
              </w:rPr>
              <w:t>HMRC</w:t>
            </w:r>
          </w:p>
          <w:p w:rsidR="009D3DB4" w:rsidRDefault="005B054C">
            <w:pPr>
              <w:spacing w:after="65" w:line="241" w:lineRule="auto"/>
              <w:ind w:left="0" w:firstLine="0"/>
            </w:pPr>
            <w:r>
              <w:rPr>
                <w:sz w:val="16"/>
              </w:rPr>
              <w:t>Security Level: Email, Account Authentication (None)</w:t>
            </w:r>
          </w:p>
          <w:p w:rsidR="009D3DB4" w:rsidRDefault="005B054C">
            <w:pPr>
              <w:spacing w:after="0" w:line="259" w:lineRule="auto"/>
              <w:ind w:left="0" w:right="57"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vAlign w:val="bottom"/>
          </w:tcPr>
          <w:p w:rsidR="00E5474D" w:rsidRDefault="00E5474D" w:rsidP="00E5474D">
            <w:pPr>
              <w:spacing w:after="24" w:line="259" w:lineRule="auto"/>
              <w:ind w:left="0" w:firstLine="0"/>
            </w:pPr>
            <w:proofErr w:type="spellStart"/>
            <w:r>
              <w:t>Readacted</w:t>
            </w:r>
            <w:proofErr w:type="spellEnd"/>
          </w:p>
          <w:p w:rsidR="009D3DB4" w:rsidRDefault="009D3DB4">
            <w:pPr>
              <w:spacing w:after="339" w:line="259" w:lineRule="auto"/>
              <w:ind w:left="0" w:firstLine="0"/>
            </w:pPr>
          </w:p>
          <w:p w:rsidR="009D3DB4" w:rsidRDefault="005B054C">
            <w:pPr>
              <w:spacing w:after="0" w:line="259" w:lineRule="auto"/>
              <w:ind w:left="0" w:firstLine="0"/>
            </w:pPr>
            <w:r>
              <w:rPr>
                <w:sz w:val="16"/>
              </w:rPr>
              <w:t>Using IP Address: 163.171.0.4</w:t>
            </w:r>
          </w:p>
        </w:tc>
        <w:tc>
          <w:tcPr>
            <w:tcW w:w="3747" w:type="dxa"/>
            <w:gridSpan w:val="2"/>
            <w:tcBorders>
              <w:top w:val="nil"/>
              <w:left w:val="nil"/>
              <w:bottom w:val="nil"/>
              <w:right w:val="nil"/>
            </w:tcBorders>
          </w:tcPr>
          <w:p w:rsidR="009D3DB4" w:rsidRDefault="005B054C">
            <w:pPr>
              <w:spacing w:after="46" w:line="259" w:lineRule="auto"/>
              <w:ind w:left="0" w:firstLine="0"/>
            </w:pPr>
            <w:r>
              <w:rPr>
                <w:sz w:val="16"/>
              </w:rPr>
              <w:t>Sent: 8/3/2017 11:52:49 AM</w:t>
            </w:r>
          </w:p>
          <w:p w:rsidR="009D3DB4" w:rsidRDefault="005B054C">
            <w:pPr>
              <w:spacing w:after="46" w:line="259" w:lineRule="auto"/>
              <w:ind w:left="0" w:firstLine="0"/>
            </w:pPr>
            <w:r>
              <w:rPr>
                <w:sz w:val="16"/>
              </w:rPr>
              <w:t xml:space="preserve">Viewed: 8/3/2017 11:55:06 AM </w:t>
            </w:r>
          </w:p>
          <w:p w:rsidR="009D3DB4" w:rsidRDefault="005B054C">
            <w:pPr>
              <w:spacing w:after="0" w:line="259" w:lineRule="auto"/>
              <w:ind w:left="0" w:firstLine="0"/>
            </w:pPr>
            <w:r>
              <w:rPr>
                <w:sz w:val="16"/>
              </w:rPr>
              <w:t>Signed: 8/3/2017 11:57:34 AM</w:t>
            </w: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In Person Signer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Signature</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Editor Delivery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Status</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Agent Delivery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Status</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Intermediary Delivery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Status</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Certified Delivery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Status</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Carbon Copy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Status</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Notary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Signature</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w:t>
            </w:r>
          </w:p>
        </w:tc>
      </w:tr>
      <w:tr w:rsidR="009D3DB4">
        <w:trPr>
          <w:trHeight w:val="170"/>
        </w:trPr>
        <w:tc>
          <w:tcPr>
            <w:tcW w:w="3747" w:type="dxa"/>
            <w:tcBorders>
              <w:top w:val="nil"/>
              <w:left w:val="nil"/>
              <w:bottom w:val="nil"/>
              <w:right w:val="nil"/>
            </w:tcBorders>
          </w:tcPr>
          <w:p w:rsidR="009D3DB4" w:rsidRDefault="009D3DB4">
            <w:pPr>
              <w:spacing w:after="160" w:line="259" w:lineRule="auto"/>
              <w:ind w:left="0" w:firstLine="0"/>
            </w:pPr>
          </w:p>
        </w:tc>
        <w:tc>
          <w:tcPr>
            <w:tcW w:w="3747" w:type="dxa"/>
            <w:tcBorders>
              <w:top w:val="nil"/>
              <w:left w:val="nil"/>
              <w:bottom w:val="nil"/>
              <w:right w:val="nil"/>
            </w:tcBorders>
          </w:tcPr>
          <w:p w:rsidR="009D3DB4" w:rsidRDefault="009D3DB4">
            <w:pPr>
              <w:spacing w:after="160" w:line="259" w:lineRule="auto"/>
              <w:ind w:left="0" w:firstLine="0"/>
            </w:pPr>
          </w:p>
        </w:tc>
        <w:tc>
          <w:tcPr>
            <w:tcW w:w="3747" w:type="dxa"/>
            <w:gridSpan w:val="2"/>
            <w:tcBorders>
              <w:top w:val="nil"/>
              <w:left w:val="nil"/>
              <w:bottom w:val="nil"/>
              <w:right w:val="nil"/>
            </w:tcBorders>
          </w:tcPr>
          <w:p w:rsidR="009D3DB4" w:rsidRDefault="009D3DB4">
            <w:pPr>
              <w:spacing w:after="160" w:line="259" w:lineRule="auto"/>
              <w:ind w:left="0" w:firstLine="0"/>
            </w:pPr>
          </w:p>
        </w:tc>
      </w:tr>
      <w:tr w:rsidR="009D3DB4">
        <w:trPr>
          <w:trHeight w:val="326"/>
        </w:trPr>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Envelope Summary Events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Status</w:t>
            </w:r>
          </w:p>
        </w:tc>
        <w:tc>
          <w:tcPr>
            <w:tcW w:w="3747" w:type="dxa"/>
            <w:gridSpan w:val="2"/>
            <w:tcBorders>
              <w:top w:val="nil"/>
              <w:left w:val="nil"/>
              <w:bottom w:val="nil"/>
              <w:right w:val="nil"/>
            </w:tcBorders>
            <w:shd w:val="clear" w:color="auto" w:fill="DCDCDC"/>
          </w:tcPr>
          <w:p w:rsidR="009D3DB4" w:rsidRDefault="005B054C">
            <w:pPr>
              <w:spacing w:after="0" w:line="259" w:lineRule="auto"/>
              <w:ind w:left="0" w:firstLine="0"/>
            </w:pPr>
            <w:r>
              <w:rPr>
                <w:b/>
              </w:rPr>
              <w:t>Timestamps</w:t>
            </w:r>
          </w:p>
        </w:tc>
      </w:tr>
      <w:tr w:rsidR="009D3DB4">
        <w:tblPrEx>
          <w:tblCellMar>
            <w:top w:w="0" w:type="dxa"/>
            <w:bottom w:w="0" w:type="dxa"/>
          </w:tblCellMar>
        </w:tblPrEx>
        <w:trPr>
          <w:gridAfter w:val="1"/>
          <w:wAfter w:w="2173" w:type="dxa"/>
          <w:trHeight w:val="196"/>
        </w:trPr>
        <w:tc>
          <w:tcPr>
            <w:tcW w:w="3747" w:type="dxa"/>
            <w:tcBorders>
              <w:top w:val="nil"/>
              <w:left w:val="nil"/>
              <w:bottom w:val="nil"/>
              <w:right w:val="nil"/>
            </w:tcBorders>
          </w:tcPr>
          <w:p w:rsidR="009D3DB4" w:rsidRDefault="005B054C">
            <w:pPr>
              <w:spacing w:after="0" w:line="259" w:lineRule="auto"/>
              <w:ind w:left="0" w:firstLine="0"/>
            </w:pPr>
            <w:r>
              <w:rPr>
                <w:sz w:val="16"/>
              </w:rPr>
              <w:t>Envelope Sent</w:t>
            </w:r>
          </w:p>
        </w:tc>
        <w:tc>
          <w:tcPr>
            <w:tcW w:w="3747" w:type="dxa"/>
            <w:tcBorders>
              <w:top w:val="nil"/>
              <w:left w:val="nil"/>
              <w:bottom w:val="nil"/>
              <w:right w:val="nil"/>
            </w:tcBorders>
          </w:tcPr>
          <w:p w:rsidR="009D3DB4" w:rsidRDefault="005B054C">
            <w:pPr>
              <w:spacing w:after="0" w:line="259" w:lineRule="auto"/>
              <w:ind w:left="0" w:firstLine="0"/>
            </w:pPr>
            <w:r>
              <w:rPr>
                <w:sz w:val="16"/>
              </w:rPr>
              <w:t>Hashed/Encrypted</w:t>
            </w:r>
          </w:p>
        </w:tc>
        <w:tc>
          <w:tcPr>
            <w:tcW w:w="1574" w:type="dxa"/>
            <w:tcBorders>
              <w:top w:val="nil"/>
              <w:left w:val="nil"/>
              <w:bottom w:val="nil"/>
              <w:right w:val="nil"/>
            </w:tcBorders>
          </w:tcPr>
          <w:p w:rsidR="009D3DB4" w:rsidRDefault="005B054C">
            <w:pPr>
              <w:spacing w:after="0" w:line="259" w:lineRule="auto"/>
              <w:ind w:left="0" w:firstLine="0"/>
              <w:jc w:val="both"/>
            </w:pPr>
            <w:r>
              <w:rPr>
                <w:sz w:val="16"/>
              </w:rPr>
              <w:t>8/3/2017 11:52:49 AM</w:t>
            </w:r>
          </w:p>
        </w:tc>
      </w:tr>
      <w:tr w:rsidR="009D3DB4">
        <w:tblPrEx>
          <w:tblCellMar>
            <w:top w:w="0" w:type="dxa"/>
            <w:bottom w:w="0" w:type="dxa"/>
          </w:tblCellMar>
        </w:tblPrEx>
        <w:trPr>
          <w:gridAfter w:val="1"/>
          <w:wAfter w:w="2173" w:type="dxa"/>
          <w:trHeight w:val="245"/>
        </w:trPr>
        <w:tc>
          <w:tcPr>
            <w:tcW w:w="3747" w:type="dxa"/>
            <w:tcBorders>
              <w:top w:val="nil"/>
              <w:left w:val="nil"/>
              <w:bottom w:val="nil"/>
              <w:right w:val="nil"/>
            </w:tcBorders>
          </w:tcPr>
          <w:p w:rsidR="009D3DB4" w:rsidRDefault="005B054C">
            <w:pPr>
              <w:spacing w:after="0" w:line="259" w:lineRule="auto"/>
              <w:ind w:left="0" w:firstLine="0"/>
            </w:pPr>
            <w:r>
              <w:rPr>
                <w:sz w:val="16"/>
              </w:rPr>
              <w:t>Certified Delivered</w:t>
            </w:r>
          </w:p>
        </w:tc>
        <w:tc>
          <w:tcPr>
            <w:tcW w:w="3747" w:type="dxa"/>
            <w:tcBorders>
              <w:top w:val="nil"/>
              <w:left w:val="nil"/>
              <w:bottom w:val="nil"/>
              <w:right w:val="nil"/>
            </w:tcBorders>
          </w:tcPr>
          <w:p w:rsidR="009D3DB4" w:rsidRDefault="005B054C">
            <w:pPr>
              <w:spacing w:after="0" w:line="259" w:lineRule="auto"/>
              <w:ind w:left="0" w:firstLine="0"/>
            </w:pPr>
            <w:r>
              <w:rPr>
                <w:sz w:val="16"/>
              </w:rPr>
              <w:t>Security Checked</w:t>
            </w:r>
          </w:p>
        </w:tc>
        <w:tc>
          <w:tcPr>
            <w:tcW w:w="1574" w:type="dxa"/>
            <w:tcBorders>
              <w:top w:val="nil"/>
              <w:left w:val="nil"/>
              <w:bottom w:val="nil"/>
              <w:right w:val="nil"/>
            </w:tcBorders>
          </w:tcPr>
          <w:p w:rsidR="009D3DB4" w:rsidRDefault="005B054C">
            <w:pPr>
              <w:spacing w:after="0" w:line="259" w:lineRule="auto"/>
              <w:ind w:left="0" w:firstLine="0"/>
              <w:jc w:val="both"/>
            </w:pPr>
            <w:r>
              <w:rPr>
                <w:sz w:val="16"/>
              </w:rPr>
              <w:t>8/3/2017 11:55:06 AM</w:t>
            </w:r>
          </w:p>
        </w:tc>
      </w:tr>
      <w:tr w:rsidR="009D3DB4">
        <w:tblPrEx>
          <w:tblCellMar>
            <w:top w:w="0" w:type="dxa"/>
            <w:bottom w:w="0" w:type="dxa"/>
          </w:tblCellMar>
        </w:tblPrEx>
        <w:trPr>
          <w:gridAfter w:val="1"/>
          <w:wAfter w:w="2173" w:type="dxa"/>
          <w:trHeight w:val="245"/>
        </w:trPr>
        <w:tc>
          <w:tcPr>
            <w:tcW w:w="3747" w:type="dxa"/>
            <w:tcBorders>
              <w:top w:val="nil"/>
              <w:left w:val="nil"/>
              <w:bottom w:val="nil"/>
              <w:right w:val="nil"/>
            </w:tcBorders>
          </w:tcPr>
          <w:p w:rsidR="009D3DB4" w:rsidRDefault="005B054C">
            <w:pPr>
              <w:spacing w:after="0" w:line="259" w:lineRule="auto"/>
              <w:ind w:left="0" w:firstLine="0"/>
            </w:pPr>
            <w:r>
              <w:rPr>
                <w:sz w:val="16"/>
              </w:rPr>
              <w:t>Signing Complete</w:t>
            </w:r>
          </w:p>
        </w:tc>
        <w:tc>
          <w:tcPr>
            <w:tcW w:w="3747" w:type="dxa"/>
            <w:tcBorders>
              <w:top w:val="nil"/>
              <w:left w:val="nil"/>
              <w:bottom w:val="nil"/>
              <w:right w:val="nil"/>
            </w:tcBorders>
          </w:tcPr>
          <w:p w:rsidR="009D3DB4" w:rsidRDefault="005B054C">
            <w:pPr>
              <w:spacing w:after="0" w:line="259" w:lineRule="auto"/>
              <w:ind w:left="0" w:firstLine="0"/>
            </w:pPr>
            <w:r>
              <w:rPr>
                <w:sz w:val="16"/>
              </w:rPr>
              <w:t>Security Checked</w:t>
            </w:r>
          </w:p>
        </w:tc>
        <w:tc>
          <w:tcPr>
            <w:tcW w:w="1574" w:type="dxa"/>
            <w:tcBorders>
              <w:top w:val="nil"/>
              <w:left w:val="nil"/>
              <w:bottom w:val="nil"/>
              <w:right w:val="nil"/>
            </w:tcBorders>
          </w:tcPr>
          <w:p w:rsidR="009D3DB4" w:rsidRDefault="005B054C">
            <w:pPr>
              <w:spacing w:after="0" w:line="259" w:lineRule="auto"/>
              <w:ind w:left="0" w:firstLine="0"/>
              <w:jc w:val="both"/>
            </w:pPr>
            <w:r>
              <w:rPr>
                <w:sz w:val="16"/>
              </w:rPr>
              <w:t>8/3/2017 11:57:34 AM</w:t>
            </w:r>
          </w:p>
        </w:tc>
      </w:tr>
      <w:tr w:rsidR="009D3DB4">
        <w:tblPrEx>
          <w:tblCellMar>
            <w:top w:w="0" w:type="dxa"/>
            <w:bottom w:w="0" w:type="dxa"/>
          </w:tblCellMar>
        </w:tblPrEx>
        <w:trPr>
          <w:gridAfter w:val="1"/>
          <w:wAfter w:w="2173" w:type="dxa"/>
          <w:trHeight w:val="196"/>
        </w:trPr>
        <w:tc>
          <w:tcPr>
            <w:tcW w:w="3747" w:type="dxa"/>
            <w:tcBorders>
              <w:top w:val="nil"/>
              <w:left w:val="nil"/>
              <w:bottom w:val="nil"/>
              <w:right w:val="nil"/>
            </w:tcBorders>
          </w:tcPr>
          <w:p w:rsidR="009D3DB4" w:rsidRDefault="005B054C">
            <w:pPr>
              <w:spacing w:after="0" w:line="259" w:lineRule="auto"/>
              <w:ind w:left="0" w:firstLine="0"/>
            </w:pPr>
            <w:r>
              <w:rPr>
                <w:sz w:val="16"/>
              </w:rPr>
              <w:t>Completed</w:t>
            </w:r>
          </w:p>
        </w:tc>
        <w:tc>
          <w:tcPr>
            <w:tcW w:w="3747" w:type="dxa"/>
            <w:tcBorders>
              <w:top w:val="nil"/>
              <w:left w:val="nil"/>
              <w:bottom w:val="nil"/>
              <w:right w:val="nil"/>
            </w:tcBorders>
          </w:tcPr>
          <w:p w:rsidR="009D3DB4" w:rsidRDefault="005B054C">
            <w:pPr>
              <w:spacing w:after="0" w:line="259" w:lineRule="auto"/>
              <w:ind w:left="0" w:firstLine="0"/>
            </w:pPr>
            <w:r>
              <w:rPr>
                <w:sz w:val="16"/>
              </w:rPr>
              <w:t>Security Checked</w:t>
            </w:r>
          </w:p>
        </w:tc>
        <w:tc>
          <w:tcPr>
            <w:tcW w:w="1574" w:type="dxa"/>
            <w:tcBorders>
              <w:top w:val="nil"/>
              <w:left w:val="nil"/>
              <w:bottom w:val="nil"/>
              <w:right w:val="nil"/>
            </w:tcBorders>
          </w:tcPr>
          <w:p w:rsidR="009D3DB4" w:rsidRDefault="005B054C">
            <w:pPr>
              <w:spacing w:after="0" w:line="259" w:lineRule="auto"/>
              <w:ind w:left="0" w:firstLine="0"/>
              <w:jc w:val="both"/>
            </w:pPr>
            <w:r>
              <w:rPr>
                <w:sz w:val="16"/>
              </w:rPr>
              <w:t>8/3/2017 11:57:34 AM</w:t>
            </w:r>
          </w:p>
        </w:tc>
      </w:tr>
    </w:tbl>
    <w:p w:rsidR="009D3DB4" w:rsidRDefault="009D3DB4">
      <w:pPr>
        <w:spacing w:after="0" w:line="259" w:lineRule="auto"/>
        <w:ind w:left="-500" w:right="10751" w:firstLine="0"/>
      </w:pPr>
    </w:p>
    <w:tbl>
      <w:tblPr>
        <w:tblStyle w:val="TableGrid"/>
        <w:tblW w:w="11240" w:type="dxa"/>
        <w:tblInd w:w="0" w:type="dxa"/>
        <w:tblCellMar>
          <w:top w:w="89" w:type="dxa"/>
          <w:right w:w="115" w:type="dxa"/>
        </w:tblCellMar>
        <w:tblLook w:val="04A0" w:firstRow="1" w:lastRow="0" w:firstColumn="1" w:lastColumn="0" w:noHBand="0" w:noVBand="1"/>
      </w:tblPr>
      <w:tblGrid>
        <w:gridCol w:w="7493"/>
        <w:gridCol w:w="3747"/>
      </w:tblGrid>
      <w:tr w:rsidR="009D3DB4">
        <w:trPr>
          <w:trHeight w:val="351"/>
        </w:trPr>
        <w:tc>
          <w:tcPr>
            <w:tcW w:w="7493" w:type="dxa"/>
            <w:tcBorders>
              <w:top w:val="nil"/>
              <w:left w:val="nil"/>
              <w:bottom w:val="nil"/>
              <w:right w:val="nil"/>
            </w:tcBorders>
            <w:shd w:val="clear" w:color="auto" w:fill="DCDCDC"/>
          </w:tcPr>
          <w:p w:rsidR="009D3DB4" w:rsidRDefault="005B054C">
            <w:pPr>
              <w:tabs>
                <w:tab w:val="center" w:pos="773"/>
                <w:tab w:val="center" w:pos="4052"/>
              </w:tabs>
              <w:spacing w:after="0" w:line="259" w:lineRule="auto"/>
              <w:ind w:left="0" w:firstLine="0"/>
            </w:pPr>
            <w:r>
              <w:rPr>
                <w:rFonts w:ascii="Calibri" w:eastAsia="Calibri" w:hAnsi="Calibri" w:cs="Calibri"/>
                <w:sz w:val="22"/>
              </w:rPr>
              <w:tab/>
            </w:r>
            <w:r>
              <w:rPr>
                <w:b/>
              </w:rPr>
              <w:t>Payment Events</w:t>
            </w:r>
            <w:r>
              <w:rPr>
                <w:b/>
              </w:rPr>
              <w:tab/>
              <w:t>Status</w:t>
            </w:r>
          </w:p>
        </w:tc>
        <w:tc>
          <w:tcPr>
            <w:tcW w:w="3747" w:type="dxa"/>
            <w:tcBorders>
              <w:top w:val="nil"/>
              <w:left w:val="nil"/>
              <w:bottom w:val="nil"/>
              <w:right w:val="nil"/>
            </w:tcBorders>
            <w:shd w:val="clear" w:color="auto" w:fill="DCDCDC"/>
          </w:tcPr>
          <w:p w:rsidR="009D3DB4" w:rsidRDefault="005B054C">
            <w:pPr>
              <w:spacing w:after="0" w:line="259" w:lineRule="auto"/>
              <w:ind w:left="0" w:firstLine="0"/>
            </w:pPr>
            <w:r>
              <w:rPr>
                <w:b/>
              </w:rPr>
              <w:t>Timestamps</w:t>
            </w:r>
          </w:p>
        </w:tc>
      </w:tr>
      <w:tr w:rsidR="009D3DB4">
        <w:trPr>
          <w:trHeight w:val="351"/>
        </w:trPr>
        <w:tc>
          <w:tcPr>
            <w:tcW w:w="7493" w:type="dxa"/>
            <w:tcBorders>
              <w:top w:val="nil"/>
              <w:left w:val="nil"/>
              <w:bottom w:val="nil"/>
              <w:right w:val="nil"/>
            </w:tcBorders>
            <w:shd w:val="clear" w:color="auto" w:fill="DCDCDC"/>
          </w:tcPr>
          <w:p w:rsidR="009D3DB4" w:rsidRDefault="005B054C">
            <w:pPr>
              <w:spacing w:after="0" w:line="259" w:lineRule="auto"/>
              <w:ind w:left="0" w:firstLine="0"/>
            </w:pPr>
            <w:r>
              <w:rPr>
                <w:b/>
              </w:rPr>
              <w:t>Electronic Record and Signature Disclosure</w:t>
            </w:r>
          </w:p>
        </w:tc>
        <w:tc>
          <w:tcPr>
            <w:tcW w:w="3747" w:type="dxa"/>
            <w:tcBorders>
              <w:top w:val="nil"/>
              <w:left w:val="nil"/>
              <w:bottom w:val="nil"/>
              <w:right w:val="nil"/>
            </w:tcBorders>
            <w:shd w:val="clear" w:color="auto" w:fill="DCDCDC"/>
          </w:tcPr>
          <w:p w:rsidR="009D3DB4" w:rsidRDefault="009D3DB4">
            <w:pPr>
              <w:spacing w:after="160" w:line="259" w:lineRule="auto"/>
              <w:ind w:left="0" w:firstLine="0"/>
            </w:pPr>
          </w:p>
        </w:tc>
      </w:tr>
    </w:tbl>
    <w:p w:rsidR="009D3DB4" w:rsidRDefault="005B054C">
      <w:r>
        <w:br w:type="page"/>
      </w:r>
    </w:p>
    <w:p w:rsidR="009D3DB4" w:rsidRDefault="005B054C">
      <w:pPr>
        <w:spacing w:after="0" w:line="265" w:lineRule="auto"/>
        <w:ind w:left="-5" w:hanging="10"/>
      </w:pPr>
      <w:r>
        <w:rPr>
          <w:rFonts w:ascii="Arial Unicode MS" w:eastAsia="Arial Unicode MS" w:hAnsi="Arial Unicode MS" w:cs="Arial Unicode MS"/>
          <w:sz w:val="16"/>
        </w:rPr>
        <w:lastRenderedPageBreak/>
        <w:t>Electronic Record and Signature Disclosure created on: 4/14/2016 5:17:14 PM</w:t>
      </w:r>
    </w:p>
    <w:p w:rsidR="009D3DB4" w:rsidRDefault="005B054C">
      <w:pPr>
        <w:spacing w:after="919" w:line="265" w:lineRule="auto"/>
        <w:ind w:left="-5" w:hanging="10"/>
      </w:pPr>
      <w:r>
        <w:rPr>
          <w:rFonts w:ascii="Arial Unicode MS" w:eastAsia="Arial Unicode MS" w:hAnsi="Arial Unicode MS" w:cs="Arial Unicode MS"/>
          <w:sz w:val="16"/>
        </w:rPr>
        <w:t>Parties agreed to: David Laing</w:t>
      </w:r>
    </w:p>
    <w:p w:rsidR="009D3DB4" w:rsidRDefault="005B054C">
      <w:pPr>
        <w:pStyle w:val="Heading3"/>
        <w:spacing w:after="0"/>
        <w:ind w:left="935"/>
      </w:pPr>
      <w:r>
        <w:rPr>
          <w:rFonts w:ascii="Times New Roman" w:eastAsia="Times New Roman" w:hAnsi="Times New Roman" w:cs="Times New Roman"/>
          <w:sz w:val="24"/>
        </w:rPr>
        <w:t>ELECTRONIC RECORD AND SIGNATURE DISCLOSURE</w:t>
      </w:r>
      <w:r>
        <w:rPr>
          <w:rFonts w:ascii="Times New Roman" w:eastAsia="Times New Roman" w:hAnsi="Times New Roman" w:cs="Times New Roman"/>
          <w:b w:val="0"/>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From time to time, HMRC (SAP) (we, us or Company) may be required by law to provide to you</w:t>
      </w:r>
    </w:p>
    <w:p w:rsidR="009D3DB4" w:rsidRDefault="005B054C">
      <w:pPr>
        <w:spacing w:after="5" w:line="250" w:lineRule="auto"/>
        <w:ind w:left="935" w:hanging="10"/>
      </w:pPr>
      <w:proofErr w:type="gramStart"/>
      <w:r>
        <w:rPr>
          <w:rFonts w:ascii="Times New Roman" w:eastAsia="Times New Roman" w:hAnsi="Times New Roman" w:cs="Times New Roman"/>
          <w:sz w:val="24"/>
        </w:rPr>
        <w:t>certain</w:t>
      </w:r>
      <w:proofErr w:type="gramEnd"/>
      <w:r>
        <w:rPr>
          <w:rFonts w:ascii="Times New Roman" w:eastAsia="Times New Roman" w:hAnsi="Times New Roman" w:cs="Times New Roman"/>
          <w:sz w:val="24"/>
        </w:rPr>
        <w:t xml:space="preserve"> written notices or disclosures. Described below are the terms and conditions for providing to you such notices and disclosures electronically through your DocuSign, Inc. (DocuSign) Express user account. Please read the information below carefully and thoroughly, and if you can access this information electronically to your satisfaction and agree to these terms and conditions, please confirm your agreement by clicking the 'I agree' button at the bottom of this document. </w:t>
      </w:r>
      <w:r>
        <w:rPr>
          <w:rFonts w:ascii="Times New Roman" w:eastAsia="Times New Roman" w:hAnsi="Times New Roman" w:cs="Times New Roman"/>
          <w:b/>
          <w:sz w:val="24"/>
        </w:rPr>
        <w:t>Getting paper copies</w:t>
      </w:r>
      <w:r>
        <w:rPr>
          <w:rFonts w:ascii="Times New Roman" w:eastAsia="Times New Roman" w:hAnsi="Times New Roman" w:cs="Times New Roman"/>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 xml:space="preserve">At any time, you may request from us a paper copy of any record provided or made available electronically to you by us. For such copies, as long as you are an authorized user of the DocuSign system you will have the ability to download and print any documents we send to you through your DocuSign user account for a limited period of time (usually 30 days) after such documents are first sent to you. After such time, if you wish for us to send you paper copies of any such documents from our office to you, you will be charged a $0.00 per-page fee. You may request delivery of such paper copies from us by following the procedure described below. </w:t>
      </w:r>
    </w:p>
    <w:p w:rsidR="009D3DB4" w:rsidRDefault="005B054C">
      <w:pPr>
        <w:pStyle w:val="Heading3"/>
        <w:spacing w:after="0"/>
        <w:ind w:left="935"/>
      </w:pPr>
      <w:r>
        <w:rPr>
          <w:rFonts w:ascii="Times New Roman" w:eastAsia="Times New Roman" w:hAnsi="Times New Roman" w:cs="Times New Roman"/>
          <w:sz w:val="24"/>
        </w:rPr>
        <w:t xml:space="preserve">Withdrawing your consent </w:t>
      </w:r>
    </w:p>
    <w:p w:rsidR="009D3DB4" w:rsidRDefault="005B054C">
      <w:pPr>
        <w:spacing w:after="5" w:line="250" w:lineRule="auto"/>
        <w:ind w:left="935" w:hanging="10"/>
      </w:pPr>
      <w:r>
        <w:rPr>
          <w:rFonts w:ascii="Times New Roman" w:eastAsia="Times New Roman" w:hAnsi="Times New Roman" w:cs="Times New Roman"/>
          <w:sz w:val="24"/>
        </w:rPr>
        <w:t xml:space="preserve">If you decide to receive notices and disclosures from us electronically, you may at any time change your mind and tell us that thereafter you want to receive required notices and disclosures only in paper format. How you must inform us of your decision to receive future notices and disclosure in paper format and withdraw your consent to receive notices and disclosures electronically is described below. </w:t>
      </w:r>
    </w:p>
    <w:p w:rsidR="009D3DB4" w:rsidRDefault="005B054C">
      <w:pPr>
        <w:pStyle w:val="Heading3"/>
        <w:spacing w:after="0"/>
        <w:ind w:left="935"/>
      </w:pPr>
      <w:r>
        <w:rPr>
          <w:rFonts w:ascii="Times New Roman" w:eastAsia="Times New Roman" w:hAnsi="Times New Roman" w:cs="Times New Roman"/>
          <w:sz w:val="24"/>
        </w:rPr>
        <w:t>Consequences of changing your mind</w:t>
      </w:r>
      <w:r>
        <w:rPr>
          <w:rFonts w:ascii="Times New Roman" w:eastAsia="Times New Roman" w:hAnsi="Times New Roman" w:cs="Times New Roman"/>
          <w:b w:val="0"/>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 xml:space="preserve">If you elect to receive required notices and disclosures only in paper format, it will slow the speed at which we can complete certain steps in transactions with you and delivering services to you because we will need first to send the required notices or disclosures to you in paper format, and then wait until we receive back from you your acknowledgment of your receipt of such paper notices or disclosures. To indicate to us that you are changing your mind, you must withdraw your consent using the DocuSign 'Withdraw Consent' form on the signing page of your DocuSign account. This will indicate to us that you have withdrawn your consent to receive required notices and disclosures electronically from us and you will no longer be able to use your DocuSign Express user account to receive required notices and consents electronically from us or to sign electronically documents from us. </w:t>
      </w:r>
    </w:p>
    <w:p w:rsidR="009D3DB4" w:rsidRDefault="005B054C">
      <w:pPr>
        <w:pStyle w:val="Heading3"/>
        <w:spacing w:after="0"/>
        <w:ind w:left="935"/>
      </w:pPr>
      <w:r>
        <w:rPr>
          <w:rFonts w:ascii="Times New Roman" w:eastAsia="Times New Roman" w:hAnsi="Times New Roman" w:cs="Times New Roman"/>
          <w:sz w:val="24"/>
        </w:rPr>
        <w:t>All notices and disclosures will be sent to you electronically</w:t>
      </w:r>
      <w:r>
        <w:rPr>
          <w:rFonts w:ascii="Times New Roman" w:eastAsia="Times New Roman" w:hAnsi="Times New Roman" w:cs="Times New Roman"/>
          <w:b w:val="0"/>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 xml:space="preserve">Unless you tell us otherwise in accordance with the procedures described herein, we will provide electronically to you through your DocuSign user account all required notices, disclosures, authorizations, acknowledgements, and other documents that are required to be provided or made available to you during the course of our relationship with you. To reduce the chance of you inadvertently not receiving any notice or disclosure, we prefer to provide all of the required notices and disclosures to you by the same method and to the same address that you have given </w:t>
      </w:r>
      <w:r>
        <w:rPr>
          <w:rFonts w:ascii="Times New Roman" w:eastAsia="Times New Roman" w:hAnsi="Times New Roman" w:cs="Times New Roman"/>
          <w:sz w:val="24"/>
        </w:rPr>
        <w:lastRenderedPageBreak/>
        <w:t xml:space="preserve">us. Thus, you can receive all the disclosures and notices electronically or in paper format through the paper mail delivery system. If you do not agree with this process, please let us know as described below. Please also see the paragraph immediately above that describes the consequences of your electing not to receive delivery of the notices and disclosures electronically from us. </w:t>
      </w:r>
    </w:p>
    <w:p w:rsidR="009D3DB4" w:rsidRDefault="005B054C">
      <w:pPr>
        <w:spacing w:after="0" w:line="259" w:lineRule="auto"/>
        <w:ind w:left="935" w:hanging="10"/>
      </w:pPr>
      <w:r>
        <w:rPr>
          <w:rFonts w:ascii="Times New Roman" w:eastAsia="Times New Roman" w:hAnsi="Times New Roman" w:cs="Times New Roman"/>
          <w:b/>
          <w:sz w:val="24"/>
        </w:rPr>
        <w:t>How to contact HMRC (SAP):</w:t>
      </w:r>
      <w:r>
        <w:rPr>
          <w:rFonts w:ascii="Times New Roman" w:eastAsia="Times New Roman" w:hAnsi="Times New Roman" w:cs="Times New Roman"/>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You may contact us to let us know of your changes as to how we may contact you electronically, to request paper copies of certain information from us, and to withdraw your prior consent to receive notices and disclosures electronically as follows:</w:t>
      </w:r>
    </w:p>
    <w:p w:rsidR="009D3DB4" w:rsidRDefault="005B054C">
      <w:pPr>
        <w:spacing w:after="5" w:line="250" w:lineRule="auto"/>
        <w:ind w:left="935" w:hanging="10"/>
      </w:pPr>
      <w:r>
        <w:rPr>
          <w:rFonts w:ascii="Times New Roman" w:eastAsia="Times New Roman" w:hAnsi="Times New Roman" w:cs="Times New Roman"/>
          <w:sz w:val="24"/>
        </w:rPr>
        <w:t xml:space="preserve"> To contact us by email send messages to: peter.grieve@hmrc.gsi.gov.uk</w:t>
      </w:r>
    </w:p>
    <w:p w:rsidR="009D3DB4" w:rsidRDefault="005B054C">
      <w:pPr>
        <w:spacing w:after="0" w:line="259" w:lineRule="auto"/>
        <w:ind w:left="940" w:firstLine="0"/>
      </w:pPr>
      <w:r>
        <w:rPr>
          <w:rFonts w:ascii="Times New Roman" w:eastAsia="Times New Roman" w:hAnsi="Times New Roman" w:cs="Times New Roman"/>
          <w:sz w:val="24"/>
        </w:rPr>
        <w:t xml:space="preserve"> </w:t>
      </w:r>
    </w:p>
    <w:p w:rsidR="009D3DB4" w:rsidRDefault="005B054C">
      <w:pPr>
        <w:pStyle w:val="Heading3"/>
        <w:spacing w:after="0"/>
        <w:ind w:left="935"/>
      </w:pPr>
      <w:r>
        <w:rPr>
          <w:rFonts w:ascii="Times New Roman" w:eastAsia="Times New Roman" w:hAnsi="Times New Roman" w:cs="Times New Roman"/>
          <w:sz w:val="24"/>
        </w:rPr>
        <w:t xml:space="preserve">To advise HMRC (SAP) of your new e-mail address </w:t>
      </w:r>
    </w:p>
    <w:p w:rsidR="009D3DB4" w:rsidRDefault="005B054C">
      <w:pPr>
        <w:spacing w:after="5" w:line="250" w:lineRule="auto"/>
        <w:ind w:left="935" w:right="79" w:hanging="10"/>
      </w:pPr>
      <w:r>
        <w:rPr>
          <w:rFonts w:ascii="Times New Roman" w:eastAsia="Times New Roman" w:hAnsi="Times New Roman" w:cs="Times New Roman"/>
          <w:sz w:val="24"/>
        </w:rPr>
        <w:t>To let us know of a change in your e-mail address where we should send notices and disclosures electronically to you, you must send an email message to us at peter.grieve@hmrc.gsi.gov.uk and in the body of such request you must state: your previous e-mail address, your new e-mail address.  We do not require any other information from you to change your email address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In addition, you must notify DocuSign,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to arrange for your new email address to be reflected in your DocuSign account by following the process for changing e-mail in DocuSign. </w:t>
      </w:r>
    </w:p>
    <w:p w:rsidR="009D3DB4" w:rsidRDefault="005B054C">
      <w:pPr>
        <w:pStyle w:val="Heading3"/>
        <w:spacing w:after="0"/>
        <w:ind w:left="935"/>
      </w:pPr>
      <w:r>
        <w:rPr>
          <w:rFonts w:ascii="Times New Roman" w:eastAsia="Times New Roman" w:hAnsi="Times New Roman" w:cs="Times New Roman"/>
          <w:sz w:val="24"/>
        </w:rPr>
        <w:t>To request paper copies from HMRC (SAP)</w:t>
      </w:r>
      <w:r>
        <w:rPr>
          <w:rFonts w:ascii="Times New Roman" w:eastAsia="Times New Roman" w:hAnsi="Times New Roman" w:cs="Times New Roman"/>
          <w:b w:val="0"/>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 xml:space="preserve">To request delivery from us of paper copies of the notices and disclosures previously provided by us to you electronically, you must send us an e-mail to peter.grieve@hmrc.gsi.gov.uk and in the body of such request you must state your e-mail address, full name, US Postal address, and telephone number. We will bill you for any fees at that time, if any. </w:t>
      </w:r>
    </w:p>
    <w:p w:rsidR="009D3DB4" w:rsidRDefault="005B054C">
      <w:pPr>
        <w:pStyle w:val="Heading3"/>
        <w:spacing w:after="0"/>
        <w:ind w:left="935"/>
      </w:pPr>
      <w:r>
        <w:rPr>
          <w:rFonts w:ascii="Times New Roman" w:eastAsia="Times New Roman" w:hAnsi="Times New Roman" w:cs="Times New Roman"/>
          <w:sz w:val="24"/>
        </w:rPr>
        <w:t>To withdraw your consent with HMRC (SAP)</w:t>
      </w:r>
      <w:r>
        <w:rPr>
          <w:rFonts w:ascii="Times New Roman" w:eastAsia="Times New Roman" w:hAnsi="Times New Roman" w:cs="Times New Roman"/>
          <w:b w:val="0"/>
          <w:sz w:val="24"/>
        </w:rPr>
        <w:t xml:space="preserve"> </w:t>
      </w:r>
    </w:p>
    <w:p w:rsidR="009D3DB4" w:rsidRDefault="005B054C">
      <w:pPr>
        <w:spacing w:after="5" w:line="250" w:lineRule="auto"/>
        <w:ind w:left="935" w:hanging="10"/>
      </w:pPr>
      <w:r>
        <w:rPr>
          <w:rFonts w:ascii="Times New Roman" w:eastAsia="Times New Roman" w:hAnsi="Times New Roman" w:cs="Times New Roman"/>
          <w:sz w:val="24"/>
        </w:rPr>
        <w:t>To inform us that you no longer want to receive future notices and disclosures in electronic format you may:</w:t>
      </w:r>
    </w:p>
    <w:p w:rsidR="009D3DB4" w:rsidRDefault="005B054C">
      <w:pPr>
        <w:spacing w:after="279" w:line="250" w:lineRule="auto"/>
        <w:ind w:left="1550" w:right="117" w:hanging="10"/>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decline to sign a document from within your DocuSign account, and on the subsequent page, select the check-box indicating you wish to withdraw your consent, or you may; ii. </w:t>
      </w:r>
      <w:proofErr w:type="gramStart"/>
      <w:r>
        <w:rPr>
          <w:rFonts w:ascii="Times New Roman" w:eastAsia="Times New Roman" w:hAnsi="Times New Roman" w:cs="Times New Roman"/>
          <w:sz w:val="24"/>
        </w:rPr>
        <w:t>send</w:t>
      </w:r>
      <w:proofErr w:type="gramEnd"/>
      <w:r>
        <w:rPr>
          <w:rFonts w:ascii="Times New Roman" w:eastAsia="Times New Roman" w:hAnsi="Times New Roman" w:cs="Times New Roman"/>
          <w:sz w:val="24"/>
        </w:rPr>
        <w:t xml:space="preserve"> us an e-mail to peter.grieve@hmrc.gsi.gov.uk and in the body of such request you must state your e-mail, full name, IS Postal Address, telephone number, and account number. We do not need any other information from you to withdraw consent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The consequences of your withdrawing consent for online documents will be that transactions may take a longer time to process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rsidR="009D3DB4" w:rsidRDefault="005B054C">
      <w:pPr>
        <w:pStyle w:val="Heading3"/>
        <w:spacing w:after="0"/>
        <w:ind w:left="935"/>
      </w:pPr>
      <w:r>
        <w:rPr>
          <w:rFonts w:ascii="Times New Roman" w:eastAsia="Times New Roman" w:hAnsi="Times New Roman" w:cs="Times New Roman"/>
          <w:sz w:val="24"/>
        </w:rPr>
        <w:t>Required hardware and software</w:t>
      </w:r>
      <w:r>
        <w:rPr>
          <w:rFonts w:ascii="Times New Roman" w:eastAsia="Times New Roman" w:hAnsi="Times New Roman" w:cs="Times New Roman"/>
          <w:b w:val="0"/>
          <w:sz w:val="24"/>
        </w:rPr>
        <w:t xml:space="preserve"> </w:t>
      </w:r>
    </w:p>
    <w:tbl>
      <w:tblPr>
        <w:tblStyle w:val="TableGrid"/>
        <w:tblW w:w="9360" w:type="dxa"/>
        <w:tblInd w:w="940" w:type="dxa"/>
        <w:tblCellMar>
          <w:top w:w="58" w:type="dxa"/>
          <w:left w:w="31" w:type="dxa"/>
          <w:bottom w:w="5" w:type="dxa"/>
          <w:right w:w="287" w:type="dxa"/>
        </w:tblCellMar>
        <w:tblLook w:val="04A0" w:firstRow="1" w:lastRow="0" w:firstColumn="1" w:lastColumn="0" w:noHBand="0" w:noVBand="1"/>
      </w:tblPr>
      <w:tblGrid>
        <w:gridCol w:w="4680"/>
        <w:gridCol w:w="4680"/>
      </w:tblGrid>
      <w:tr w:rsidR="009D3DB4">
        <w:trPr>
          <w:trHeight w:val="290"/>
        </w:trPr>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Operating Systems: </w:t>
            </w:r>
          </w:p>
        </w:tc>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Windows2000? </w:t>
            </w:r>
            <w:proofErr w:type="gramStart"/>
            <w:r>
              <w:rPr>
                <w:rFonts w:ascii="Times New Roman" w:eastAsia="Times New Roman" w:hAnsi="Times New Roman" w:cs="Times New Roman"/>
                <w:sz w:val="24"/>
              </w:rPr>
              <w:t>or</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WindowsXP</w:t>
            </w:r>
            <w:proofErr w:type="spellEnd"/>
            <w:r>
              <w:rPr>
                <w:rFonts w:ascii="Times New Roman" w:eastAsia="Times New Roman" w:hAnsi="Times New Roman" w:cs="Times New Roman"/>
                <w:sz w:val="24"/>
              </w:rPr>
              <w:t xml:space="preserve">? </w:t>
            </w:r>
          </w:p>
        </w:tc>
      </w:tr>
      <w:tr w:rsidR="009D3DB4">
        <w:trPr>
          <w:trHeight w:val="295"/>
        </w:trPr>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Browsers (for SENDERS): </w:t>
            </w:r>
          </w:p>
        </w:tc>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Internet Explorer 6.0? or above </w:t>
            </w:r>
          </w:p>
        </w:tc>
      </w:tr>
      <w:tr w:rsidR="009D3DB4">
        <w:trPr>
          <w:trHeight w:val="571"/>
        </w:trPr>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Browsers (for SIGNERS): </w:t>
            </w:r>
          </w:p>
        </w:tc>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Internet Explorer 6.0?, Mozilla </w:t>
            </w:r>
            <w:proofErr w:type="spellStart"/>
            <w:r>
              <w:rPr>
                <w:rFonts w:ascii="Times New Roman" w:eastAsia="Times New Roman" w:hAnsi="Times New Roman" w:cs="Times New Roman"/>
                <w:sz w:val="24"/>
              </w:rPr>
              <w:t>FireFox</w:t>
            </w:r>
            <w:proofErr w:type="spellEnd"/>
            <w:r>
              <w:rPr>
                <w:rFonts w:ascii="Times New Roman" w:eastAsia="Times New Roman" w:hAnsi="Times New Roman" w:cs="Times New Roman"/>
                <w:sz w:val="24"/>
              </w:rPr>
              <w:t xml:space="preserve"> 1.0, </w:t>
            </w:r>
            <w:proofErr w:type="spellStart"/>
            <w:r>
              <w:rPr>
                <w:rFonts w:ascii="Times New Roman" w:eastAsia="Times New Roman" w:hAnsi="Times New Roman" w:cs="Times New Roman"/>
                <w:sz w:val="24"/>
              </w:rPr>
              <w:t>NetScape</w:t>
            </w:r>
            <w:proofErr w:type="spellEnd"/>
            <w:r>
              <w:rPr>
                <w:rFonts w:ascii="Times New Roman" w:eastAsia="Times New Roman" w:hAnsi="Times New Roman" w:cs="Times New Roman"/>
                <w:sz w:val="24"/>
              </w:rPr>
              <w:t xml:space="preserve"> 7.2 (or above) </w:t>
            </w:r>
          </w:p>
        </w:tc>
      </w:tr>
      <w:tr w:rsidR="009D3DB4">
        <w:trPr>
          <w:trHeight w:val="293"/>
        </w:trPr>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Email: </w:t>
            </w:r>
          </w:p>
        </w:tc>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Access to a valid email account </w:t>
            </w:r>
          </w:p>
        </w:tc>
      </w:tr>
      <w:tr w:rsidR="009D3DB4">
        <w:trPr>
          <w:trHeight w:val="293"/>
        </w:trPr>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Screen Resolution: </w:t>
            </w:r>
          </w:p>
        </w:tc>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t xml:space="preserve">800 x 600 minimum </w:t>
            </w:r>
          </w:p>
        </w:tc>
      </w:tr>
      <w:tr w:rsidR="009D3DB4">
        <w:trPr>
          <w:trHeight w:val="1687"/>
        </w:trPr>
        <w:tc>
          <w:tcPr>
            <w:tcW w:w="4680" w:type="dxa"/>
            <w:tcBorders>
              <w:top w:val="single" w:sz="6" w:space="0" w:color="000000"/>
              <w:left w:val="single" w:sz="6" w:space="0" w:color="000000"/>
              <w:bottom w:val="single" w:sz="6" w:space="0" w:color="000000"/>
              <w:right w:val="single" w:sz="6" w:space="0" w:color="000000"/>
            </w:tcBorders>
          </w:tcPr>
          <w:p w:rsidR="009D3DB4" w:rsidRDefault="005B054C">
            <w:pPr>
              <w:spacing w:after="0" w:line="259" w:lineRule="auto"/>
              <w:ind w:left="0" w:firstLine="0"/>
            </w:pPr>
            <w:r>
              <w:rPr>
                <w:rFonts w:ascii="Times New Roman" w:eastAsia="Times New Roman" w:hAnsi="Times New Roman" w:cs="Times New Roman"/>
                <w:sz w:val="24"/>
              </w:rPr>
              <w:lastRenderedPageBreak/>
              <w:t xml:space="preserve">Enabled Security Settings: </w:t>
            </w:r>
          </w:p>
        </w:tc>
        <w:tc>
          <w:tcPr>
            <w:tcW w:w="4680" w:type="dxa"/>
            <w:tcBorders>
              <w:top w:val="single" w:sz="6" w:space="0" w:color="000000"/>
              <w:left w:val="single" w:sz="6" w:space="0" w:color="000000"/>
              <w:bottom w:val="single" w:sz="6" w:space="0" w:color="000000"/>
              <w:right w:val="single" w:sz="6" w:space="0" w:color="000000"/>
            </w:tcBorders>
            <w:vAlign w:val="bottom"/>
          </w:tcPr>
          <w:p w:rsidR="009D3DB4" w:rsidRDefault="005B054C">
            <w:pPr>
              <w:spacing w:after="0" w:line="259" w:lineRule="auto"/>
              <w:ind w:left="0" w:firstLine="0"/>
            </w:pPr>
            <w:r>
              <w:rPr>
                <w:rFonts w:ascii="Times New Roman" w:eastAsia="Times New Roman" w:hAnsi="Times New Roman" w:cs="Times New Roman"/>
                <w:sz w:val="24"/>
              </w:rPr>
              <w:t>•Allow per session cookies</w:t>
            </w:r>
          </w:p>
          <w:p w:rsidR="009D3DB4" w:rsidRDefault="005B054C">
            <w:pPr>
              <w:spacing w:after="0" w:line="259" w:lineRule="auto"/>
              <w:ind w:left="360" w:firstLine="0"/>
            </w:pPr>
            <w:r>
              <w:rPr>
                <w:rFonts w:ascii="Times New Roman" w:eastAsia="Times New Roman" w:hAnsi="Times New Roman" w:cs="Times New Roman"/>
                <w:sz w:val="24"/>
              </w:rPr>
              <w:t xml:space="preserve"> </w:t>
            </w:r>
          </w:p>
          <w:p w:rsidR="009D3DB4" w:rsidRDefault="005B054C">
            <w:pPr>
              <w:spacing w:after="0" w:line="259" w:lineRule="auto"/>
              <w:ind w:left="360" w:hanging="360"/>
              <w:jc w:val="both"/>
            </w:pPr>
            <w:r>
              <w:rPr>
                <w:rFonts w:ascii="Times New Roman" w:eastAsia="Times New Roman" w:hAnsi="Times New Roman" w:cs="Times New Roman"/>
                <w:sz w:val="24"/>
              </w:rPr>
              <w:t xml:space="preserve">•Users accessing the internet behind a Proxy Server must enable HTTP 1.1 settings via proxy connection </w:t>
            </w:r>
          </w:p>
        </w:tc>
      </w:tr>
    </w:tbl>
    <w:p w:rsidR="009D3DB4" w:rsidRDefault="005B054C">
      <w:pPr>
        <w:spacing w:after="5" w:line="250" w:lineRule="auto"/>
        <w:ind w:left="1310" w:hanging="10"/>
      </w:pPr>
      <w:r>
        <w:rPr>
          <w:rFonts w:ascii="Times New Roman" w:eastAsia="Times New Roman" w:hAnsi="Times New Roman" w:cs="Times New Roman"/>
          <w:sz w:val="24"/>
        </w:rPr>
        <w:t xml:space="preserve">** These minimum requirements are subject to change. If these requirements change, we will provide you with an email message at the email address we have on file for you at that time providing you with the revised hardware and software requirements, at which time you will have the right to withdraw your consent. </w:t>
      </w:r>
    </w:p>
    <w:p w:rsidR="009D3DB4" w:rsidRDefault="005B054C">
      <w:pPr>
        <w:pStyle w:val="Heading3"/>
        <w:spacing w:after="0"/>
        <w:ind w:left="1310"/>
      </w:pPr>
      <w:r>
        <w:rPr>
          <w:rFonts w:ascii="Times New Roman" w:eastAsia="Times New Roman" w:hAnsi="Times New Roman" w:cs="Times New Roman"/>
          <w:sz w:val="24"/>
        </w:rPr>
        <w:t>Acknowledging your access and consent to receive materials electronically</w:t>
      </w:r>
      <w:r>
        <w:rPr>
          <w:rFonts w:ascii="Times New Roman" w:eastAsia="Times New Roman" w:hAnsi="Times New Roman" w:cs="Times New Roman"/>
          <w:b w:val="0"/>
          <w:sz w:val="24"/>
        </w:rPr>
        <w:t xml:space="preserve"> </w:t>
      </w:r>
    </w:p>
    <w:p w:rsidR="009D3DB4" w:rsidRDefault="005B054C">
      <w:pPr>
        <w:spacing w:after="290" w:line="250" w:lineRule="auto"/>
        <w:ind w:left="1310" w:right="96" w:hanging="10"/>
      </w:pPr>
      <w:r>
        <w:rPr>
          <w:rFonts w:ascii="Times New Roman" w:eastAsia="Times New Roman" w:hAnsi="Times New Roman" w:cs="Times New Roman"/>
          <w:sz w:val="24"/>
        </w:rPr>
        <w:t xml:space="preserve">To confirm to us that you can access this information electronically, which will be similar to other electronic notices and disclosures that we will provide to you, please verify that you were able to read this electronic disclosure and that you also were able to print on paper or electronically save this page for your future reference and access or that you were able to e-mail this disclosure and consent to an address where you will be able to print on paper or save it for your future reference and access. Further, if you consent to receiving notices and disclosures exclusively in electronic format on the terms and conditions described above, please let us know by clicking the 'I agree' button below. By checking the 'I Agree' box, I confirm that: </w:t>
      </w:r>
    </w:p>
    <w:p w:rsidR="009D3DB4" w:rsidRDefault="005B054C">
      <w:pPr>
        <w:numPr>
          <w:ilvl w:val="0"/>
          <w:numId w:val="33"/>
        </w:numPr>
        <w:spacing w:after="5" w:line="250" w:lineRule="auto"/>
        <w:ind w:hanging="360"/>
      </w:pPr>
      <w:r>
        <w:rPr>
          <w:rFonts w:ascii="Times New Roman" w:eastAsia="Times New Roman" w:hAnsi="Times New Roman" w:cs="Times New Roman"/>
          <w:sz w:val="24"/>
        </w:rPr>
        <w:t>I can access and read this Electronic CONSENT TO ELECTRONIC RECEIPT OF</w:t>
      </w:r>
    </w:p>
    <w:p w:rsidR="009D3DB4" w:rsidRDefault="005B054C">
      <w:pPr>
        <w:spacing w:after="0" w:line="259" w:lineRule="auto"/>
        <w:ind w:left="1202" w:firstLine="0"/>
        <w:jc w:val="center"/>
      </w:pPr>
      <w:r>
        <w:rPr>
          <w:rFonts w:ascii="Times New Roman" w:eastAsia="Times New Roman" w:hAnsi="Times New Roman" w:cs="Times New Roman"/>
          <w:sz w:val="24"/>
        </w:rPr>
        <w:t>ELECTRONIC RECORD AND SIGNATURE DISCLOSURES document; and</w:t>
      </w:r>
    </w:p>
    <w:p w:rsidR="009D3DB4" w:rsidRDefault="005B054C">
      <w:pPr>
        <w:spacing w:after="0" w:line="259" w:lineRule="auto"/>
        <w:ind w:left="1900" w:firstLine="0"/>
      </w:pPr>
      <w:r>
        <w:rPr>
          <w:rFonts w:ascii="Times New Roman" w:eastAsia="Times New Roman" w:hAnsi="Times New Roman" w:cs="Times New Roman"/>
          <w:sz w:val="24"/>
        </w:rPr>
        <w:t xml:space="preserve"> </w:t>
      </w:r>
    </w:p>
    <w:p w:rsidR="009D3DB4" w:rsidRDefault="005B054C">
      <w:pPr>
        <w:numPr>
          <w:ilvl w:val="0"/>
          <w:numId w:val="33"/>
        </w:numPr>
        <w:spacing w:after="5" w:line="250" w:lineRule="auto"/>
        <w:ind w:hanging="360"/>
      </w:pPr>
      <w:r>
        <w:rPr>
          <w:rFonts w:ascii="Times New Roman" w:eastAsia="Times New Roman" w:hAnsi="Times New Roman" w:cs="Times New Roman"/>
          <w:sz w:val="24"/>
        </w:rPr>
        <w:t>I can print on paper the disclosure or save or send the disclosure to a place where I can print it, for future reference and access; and</w:t>
      </w:r>
    </w:p>
    <w:p w:rsidR="009D3DB4" w:rsidRDefault="005B054C">
      <w:pPr>
        <w:spacing w:after="0" w:line="259" w:lineRule="auto"/>
        <w:ind w:left="1900" w:firstLine="0"/>
      </w:pPr>
      <w:r>
        <w:rPr>
          <w:rFonts w:ascii="Times New Roman" w:eastAsia="Times New Roman" w:hAnsi="Times New Roman" w:cs="Times New Roman"/>
          <w:sz w:val="24"/>
        </w:rPr>
        <w:t xml:space="preserve"> </w:t>
      </w:r>
    </w:p>
    <w:p w:rsidR="009D3DB4" w:rsidRDefault="005B054C">
      <w:pPr>
        <w:numPr>
          <w:ilvl w:val="0"/>
          <w:numId w:val="33"/>
        </w:numPr>
        <w:spacing w:after="5" w:line="250" w:lineRule="auto"/>
        <w:ind w:hanging="360"/>
      </w:pPr>
      <w:r>
        <w:rPr>
          <w:rFonts w:ascii="Times New Roman" w:eastAsia="Times New Roman" w:hAnsi="Times New Roman" w:cs="Times New Roman"/>
          <w:sz w:val="24"/>
        </w:rPr>
        <w:t xml:space="preserve">Until or unless I notify HMRC (SAP) as described above, I consent to receive from exclusively through electronic means all notices, disclosures, authorizations, acknowledgements, and other documents that are required to be provided or made available to me </w:t>
      </w:r>
      <w:proofErr w:type="gramStart"/>
      <w:r>
        <w:rPr>
          <w:rFonts w:ascii="Times New Roman" w:eastAsia="Times New Roman" w:hAnsi="Times New Roman" w:cs="Times New Roman"/>
          <w:sz w:val="24"/>
        </w:rPr>
        <w:t>by  HMRC</w:t>
      </w:r>
      <w:proofErr w:type="gramEnd"/>
      <w:r>
        <w:rPr>
          <w:rFonts w:ascii="Times New Roman" w:eastAsia="Times New Roman" w:hAnsi="Times New Roman" w:cs="Times New Roman"/>
          <w:sz w:val="24"/>
        </w:rPr>
        <w:t xml:space="preserve"> (SAP) during the course of my relationship with you.</w:t>
      </w:r>
    </w:p>
    <w:p w:rsidR="009D3DB4" w:rsidRDefault="005B054C">
      <w:pPr>
        <w:spacing w:after="0" w:line="259" w:lineRule="auto"/>
        <w:ind w:left="1900" w:firstLine="0"/>
      </w:pPr>
      <w:r>
        <w:rPr>
          <w:rFonts w:ascii="Times New Roman" w:eastAsia="Times New Roman" w:hAnsi="Times New Roman" w:cs="Times New Roman"/>
          <w:sz w:val="24"/>
        </w:rPr>
        <w:t xml:space="preserve"> </w:t>
      </w:r>
    </w:p>
    <w:sectPr w:rsidR="009D3DB4">
      <w:headerReference w:type="even" r:id="rId25"/>
      <w:headerReference w:type="default" r:id="rId26"/>
      <w:footerReference w:type="even" r:id="rId27"/>
      <w:footerReference w:type="default" r:id="rId28"/>
      <w:headerReference w:type="first" r:id="rId29"/>
      <w:footerReference w:type="first" r:id="rId30"/>
      <w:pgSz w:w="12240" w:h="15840"/>
      <w:pgMar w:top="176" w:right="1489" w:bottom="1377"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2A" w:rsidRDefault="00BB1D2A">
      <w:pPr>
        <w:spacing w:after="0" w:line="240" w:lineRule="auto"/>
      </w:pPr>
      <w:r>
        <w:separator/>
      </w:r>
    </w:p>
  </w:endnote>
  <w:endnote w:type="continuationSeparator" w:id="0">
    <w:p w:rsidR="00BB1D2A" w:rsidRDefault="00BB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Pr="00852880">
      <w:rPr>
        <w:noProof/>
        <w:sz w:val="16"/>
      </w:rPr>
      <w:t>45</w:t>
    </w:r>
    <w:r>
      <w:rPr>
        <w:sz w:val="16"/>
      </w:rPr>
      <w:fldChar w:fldCharType="end"/>
    </w:r>
    <w:r>
      <w:rPr>
        <w:sz w:val="16"/>
      </w:rPr>
      <w:t xml:space="preserve"> of 35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B22144" w:rsidRPr="00B22144">
      <w:rPr>
        <w:noProof/>
        <w:sz w:val="16"/>
      </w:rPr>
      <w:t>12</w:t>
    </w:r>
    <w:r>
      <w:rPr>
        <w:sz w:val="16"/>
      </w:rPr>
      <w:fldChar w:fldCharType="end"/>
    </w:r>
    <w:r>
      <w:rPr>
        <w:sz w:val="16"/>
      </w:rPr>
      <w:t xml:space="preserve"> of 35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Pr="00852880">
      <w:rPr>
        <w:noProof/>
        <w:sz w:val="16"/>
      </w:rPr>
      <w:t>45</w:t>
    </w:r>
    <w:r>
      <w:rPr>
        <w:sz w:val="16"/>
      </w:rPr>
      <w:fldChar w:fldCharType="end"/>
    </w:r>
    <w:r>
      <w:rPr>
        <w:sz w:val="16"/>
      </w:rPr>
      <w:t xml:space="preserve"> of 35 https://www.gov.uk/government/publications/g-cloud-9-call-off-contract</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Pr="00852880">
      <w:rPr>
        <w:noProof/>
        <w:sz w:val="16"/>
      </w:rPr>
      <w:t>45</w:t>
    </w:r>
    <w:r>
      <w:rPr>
        <w:sz w:val="16"/>
      </w:rPr>
      <w:fldChar w:fldCharType="end"/>
    </w:r>
    <w:r>
      <w:rPr>
        <w:sz w:val="16"/>
      </w:rPr>
      <w:t xml:space="preserve"> of 35 https://www.gov.uk/government/publications/g-cloud-9-call-off-contract</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B22144" w:rsidRPr="00B22144">
      <w:rPr>
        <w:noProof/>
        <w:sz w:val="16"/>
      </w:rPr>
      <w:t>21</w:t>
    </w:r>
    <w:r>
      <w:rPr>
        <w:sz w:val="16"/>
      </w:rPr>
      <w:fldChar w:fldCharType="end"/>
    </w:r>
    <w:r>
      <w:rPr>
        <w:sz w:val="16"/>
      </w:rPr>
      <w:t xml:space="preserve"> of 35 https://www.gov.uk/government/publications/g-cloud-9-call-off-contract</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Pr="00852880">
      <w:rPr>
        <w:noProof/>
        <w:sz w:val="16"/>
      </w:rPr>
      <w:t>45</w:t>
    </w:r>
    <w:r>
      <w:rPr>
        <w:sz w:val="16"/>
      </w:rPr>
      <w:fldChar w:fldCharType="end"/>
    </w:r>
    <w:r>
      <w:rPr>
        <w:sz w:val="16"/>
      </w:rPr>
      <w:t xml:space="preserve"> of 35 https://www.gov.uk/government/publications/g-cloud-9-call-off-contract</w: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160" w:line="259" w:lineRule="auto"/>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160" w:line="259" w:lineRule="auto"/>
      <w:ind w:lef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2A" w:rsidRDefault="00BB1D2A">
      <w:pPr>
        <w:spacing w:after="0" w:line="240" w:lineRule="auto"/>
      </w:pPr>
      <w:r>
        <w:separator/>
      </w:r>
    </w:p>
  </w:footnote>
  <w:footnote w:type="continuationSeparator" w:id="0">
    <w:p w:rsidR="00BB1D2A" w:rsidRDefault="00BB1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0" w:line="259" w:lineRule="auto"/>
      <w:ind w:left="340" w:firstLine="0"/>
    </w:pPr>
    <w:r>
      <w:rPr>
        <w:sz w:val="16"/>
      </w:rPr>
      <w:t>DocuSign Envelope ID: 7F2FFFF6-6CD3-4098-B343-5AE11AEC6C39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0" w:line="259" w:lineRule="auto"/>
      <w:ind w:left="340" w:firstLine="0"/>
    </w:pPr>
    <w:r>
      <w:rPr>
        <w:sz w:val="16"/>
      </w:rPr>
      <w:t>DocuSign Envelope ID: 7F2FFFF6-6CD3-4098-B343-5AE11AEC6C39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0" w:line="259" w:lineRule="auto"/>
      <w:ind w:left="340" w:firstLine="0"/>
    </w:pPr>
    <w:r>
      <w:rPr>
        <w:sz w:val="16"/>
      </w:rPr>
      <w:t>DocuSign Envelope ID: 7F2FFFF6-6CD3-4098-B343-5AE11AEC6C39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0" w:line="259" w:lineRule="auto"/>
      <w:ind w:left="340" w:firstLine="0"/>
    </w:pPr>
    <w:r>
      <w:rPr>
        <w:sz w:val="16"/>
      </w:rPr>
      <w:t>DocuSign Envelope ID: 7F2FFFF6-6CD3-4098-B343-5AE11AEC6C39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0" w:line="259" w:lineRule="auto"/>
      <w:ind w:left="340" w:firstLine="0"/>
    </w:pPr>
    <w:r>
      <w:rPr>
        <w:sz w:val="16"/>
      </w:rPr>
      <w:t>DocuSign Envelope ID: 7F2FFFF6-6CD3-4098-B343-5AE11AEC6C39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0" w:line="259" w:lineRule="auto"/>
      <w:ind w:left="340" w:firstLine="0"/>
    </w:pPr>
    <w:r>
      <w:rPr>
        <w:sz w:val="16"/>
      </w:rPr>
      <w:t>DocuSign Envelope ID: 7F2FFFF6-6CD3-4098-B343-5AE11AEC6C39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16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8A" w:rsidRDefault="00AA388A">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4BA0"/>
    <w:multiLevelType w:val="multilevel"/>
    <w:tmpl w:val="E53E31A8"/>
    <w:lvl w:ilvl="0">
      <w:start w:val="4"/>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6E6A1F"/>
    <w:multiLevelType w:val="hybridMultilevel"/>
    <w:tmpl w:val="FEC0A504"/>
    <w:lvl w:ilvl="0" w:tplc="0A720B9E">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6B6B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F6CCE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D646D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0846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5EBB0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98B72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2CC54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408E3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E5485E"/>
    <w:multiLevelType w:val="multilevel"/>
    <w:tmpl w:val="E2F0CBAE"/>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7E7B9C"/>
    <w:multiLevelType w:val="hybridMultilevel"/>
    <w:tmpl w:val="E4926116"/>
    <w:lvl w:ilvl="0" w:tplc="F6C21A64">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BEBA7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ED40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8E5D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687D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AC934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C090F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5074B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66F04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43839"/>
    <w:multiLevelType w:val="hybridMultilevel"/>
    <w:tmpl w:val="47B8BB6A"/>
    <w:lvl w:ilvl="0" w:tplc="53AEB722">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301B8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6265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74FA4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2D21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E7E4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0A3AB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6ED2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6C7DF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C601E4"/>
    <w:multiLevelType w:val="multilevel"/>
    <w:tmpl w:val="80522F20"/>
    <w:lvl w:ilvl="0">
      <w:start w:val="1"/>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F25149"/>
    <w:multiLevelType w:val="hybridMultilevel"/>
    <w:tmpl w:val="3F7C04E2"/>
    <w:lvl w:ilvl="0" w:tplc="A566E970">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469A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4AC37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3CC23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A8AF7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88361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9630D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6AE6C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1C1A4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564068"/>
    <w:multiLevelType w:val="hybridMultilevel"/>
    <w:tmpl w:val="22660194"/>
    <w:lvl w:ilvl="0" w:tplc="EF60D6B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B4DB4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92EAE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E05B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AEDB5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94522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42AE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4C20C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656B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1F6182"/>
    <w:multiLevelType w:val="hybridMultilevel"/>
    <w:tmpl w:val="F1E8E404"/>
    <w:lvl w:ilvl="0" w:tplc="FE023834">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4E3E3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1067C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380B7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54E96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A2139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5C16D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C989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E2129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225BB6"/>
    <w:multiLevelType w:val="hybridMultilevel"/>
    <w:tmpl w:val="46E2AD08"/>
    <w:lvl w:ilvl="0" w:tplc="9726FF9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E22F8E">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A2A846">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E2CCD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52140C">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EC3118">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E4D83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F41A3E">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4E9F1C">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CB7C51"/>
    <w:multiLevelType w:val="hybridMultilevel"/>
    <w:tmpl w:val="111252B8"/>
    <w:lvl w:ilvl="0" w:tplc="B7860F52">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36E26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6E851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DED8F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288D1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E4F6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7643F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20E9B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90FF9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43A164E"/>
    <w:multiLevelType w:val="hybridMultilevel"/>
    <w:tmpl w:val="B10A83B8"/>
    <w:lvl w:ilvl="0" w:tplc="9FA612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7E84BE">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8618FC">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C65E08">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98151C">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88662E">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FA28A4">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DA585E">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DEF83E">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4565682"/>
    <w:multiLevelType w:val="hybridMultilevel"/>
    <w:tmpl w:val="21180EFC"/>
    <w:lvl w:ilvl="0" w:tplc="2A22AE02">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C3A86">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325280">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30954C">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0307E">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AE5CC0">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7C3F7E">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E0B6">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24CF02">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5777BE"/>
    <w:multiLevelType w:val="multilevel"/>
    <w:tmpl w:val="ED627D94"/>
    <w:lvl w:ilvl="0">
      <w:start w:val="3"/>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CA93600"/>
    <w:multiLevelType w:val="hybridMultilevel"/>
    <w:tmpl w:val="A0207A72"/>
    <w:lvl w:ilvl="0" w:tplc="F60264B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0696F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ACB0C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EC94B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FA967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40FFC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F4FDB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606C0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F0DDD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D36534A"/>
    <w:multiLevelType w:val="multilevel"/>
    <w:tmpl w:val="0B00794E"/>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E166180"/>
    <w:multiLevelType w:val="hybridMultilevel"/>
    <w:tmpl w:val="67521E5A"/>
    <w:lvl w:ilvl="0" w:tplc="DEB211A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82C7A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0A6B0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062CD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3464E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3885A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A08D0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D24FC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22A9EA">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B1ACD"/>
    <w:multiLevelType w:val="multilevel"/>
    <w:tmpl w:val="C34CD608"/>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111EB4"/>
    <w:multiLevelType w:val="multilevel"/>
    <w:tmpl w:val="2F6CB8A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ABE6770"/>
    <w:multiLevelType w:val="hybridMultilevel"/>
    <w:tmpl w:val="0756D8AE"/>
    <w:lvl w:ilvl="0" w:tplc="26E0EC94">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CA49E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90F84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1C6EB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CC2E4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289A1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E09C6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3C2C0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C22F0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6429B1"/>
    <w:multiLevelType w:val="hybridMultilevel"/>
    <w:tmpl w:val="42C4A35C"/>
    <w:lvl w:ilvl="0" w:tplc="685063B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CE5F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FE5B3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A48174">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021E2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2C096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9EC86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EA2C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141AC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EA535C8"/>
    <w:multiLevelType w:val="hybridMultilevel"/>
    <w:tmpl w:val="E4122EFE"/>
    <w:lvl w:ilvl="0" w:tplc="2DAC8470">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4C46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EEDF6">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21C9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41D30">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A8C7E">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4D2C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A355E">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C4EC6">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A16FD9"/>
    <w:multiLevelType w:val="hybridMultilevel"/>
    <w:tmpl w:val="660C39E4"/>
    <w:lvl w:ilvl="0" w:tplc="2FDC939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60C8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A2B8F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7EAAF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C814A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247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442F7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90BE5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A229D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2E067EC"/>
    <w:multiLevelType w:val="multilevel"/>
    <w:tmpl w:val="2950560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3BE3340"/>
    <w:multiLevelType w:val="hybridMultilevel"/>
    <w:tmpl w:val="9522D156"/>
    <w:lvl w:ilvl="0" w:tplc="6720AB4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10381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B0673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6E5D4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F01B9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E687A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F86E7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0AA9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AAFD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42477AF"/>
    <w:multiLevelType w:val="hybridMultilevel"/>
    <w:tmpl w:val="67B878FE"/>
    <w:lvl w:ilvl="0" w:tplc="0C9037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FA19C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621CB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C407C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261FD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3EB5E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54780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BAE65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48AD9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4B77C53"/>
    <w:multiLevelType w:val="hybridMultilevel"/>
    <w:tmpl w:val="C5142016"/>
    <w:lvl w:ilvl="0" w:tplc="55D6584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5C6E7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6CD55A">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10A3D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D22E4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1C779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04690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0C34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4879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6EF1BD4"/>
    <w:multiLevelType w:val="multilevel"/>
    <w:tmpl w:val="AFF2613E"/>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7876B77"/>
    <w:multiLevelType w:val="multilevel"/>
    <w:tmpl w:val="27F2BE2C"/>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85D762B"/>
    <w:multiLevelType w:val="hybridMultilevel"/>
    <w:tmpl w:val="67EC6786"/>
    <w:lvl w:ilvl="0" w:tplc="F006BCB2">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E0338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D8FEE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E553E">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9808D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10167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30AE9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9225A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62E294">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A256726"/>
    <w:multiLevelType w:val="multilevel"/>
    <w:tmpl w:val="DCC2777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E7F5F3F"/>
    <w:multiLevelType w:val="hybridMultilevel"/>
    <w:tmpl w:val="70E2E670"/>
    <w:lvl w:ilvl="0" w:tplc="01346BF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42117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389BB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00A41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B2DE0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BC995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AA809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AC72D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C8D5B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0471D27"/>
    <w:multiLevelType w:val="multilevel"/>
    <w:tmpl w:val="29A04F6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28D61C2"/>
    <w:multiLevelType w:val="multilevel"/>
    <w:tmpl w:val="3E9C5CB6"/>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4C16130"/>
    <w:multiLevelType w:val="hybridMultilevel"/>
    <w:tmpl w:val="60E498E4"/>
    <w:lvl w:ilvl="0" w:tplc="0E845622">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447AFA">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D607F2">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801268">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1EF3D0">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E4FFA0">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160454">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26B8C0">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14A50E">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50B076C"/>
    <w:multiLevelType w:val="hybridMultilevel"/>
    <w:tmpl w:val="F02A280E"/>
    <w:lvl w:ilvl="0" w:tplc="1C58A60E">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CCD458">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920408">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F89EC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3C3C20">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CC686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707AC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9AB14E">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0AD716">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6492BB3"/>
    <w:multiLevelType w:val="multilevel"/>
    <w:tmpl w:val="52E23592"/>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86640E7"/>
    <w:multiLevelType w:val="multilevel"/>
    <w:tmpl w:val="252A2E68"/>
    <w:lvl w:ilvl="0">
      <w:start w:val="6"/>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CF7779C"/>
    <w:multiLevelType w:val="hybridMultilevel"/>
    <w:tmpl w:val="C7DE4C5C"/>
    <w:lvl w:ilvl="0" w:tplc="BB60D4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2CD52">
      <w:start w:val="1"/>
      <w:numFmt w:val="bullet"/>
      <w:lvlText w:val="o"/>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6CB5E">
      <w:start w:val="1"/>
      <w:numFmt w:val="bullet"/>
      <w:lvlText w:val="▪"/>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87C3E">
      <w:start w:val="1"/>
      <w:numFmt w:val="bullet"/>
      <w:lvlText w:val="•"/>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CFBE0">
      <w:start w:val="1"/>
      <w:numFmt w:val="bullet"/>
      <w:lvlText w:val="o"/>
      <w:lvlJc w:val="left"/>
      <w:pPr>
        <w:ind w:left="3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A8818E">
      <w:start w:val="1"/>
      <w:numFmt w:val="bullet"/>
      <w:lvlText w:val="▪"/>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453D2">
      <w:start w:val="1"/>
      <w:numFmt w:val="bullet"/>
      <w:lvlText w:val="•"/>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B63612">
      <w:start w:val="1"/>
      <w:numFmt w:val="bullet"/>
      <w:lvlText w:val="o"/>
      <w:lvlJc w:val="left"/>
      <w:pPr>
        <w:ind w:left="6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E646C2">
      <w:start w:val="1"/>
      <w:numFmt w:val="bullet"/>
      <w:lvlText w:val="▪"/>
      <w:lvlJc w:val="left"/>
      <w:pPr>
        <w:ind w:left="6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EEE4D34"/>
    <w:multiLevelType w:val="hybridMultilevel"/>
    <w:tmpl w:val="056662C4"/>
    <w:lvl w:ilvl="0" w:tplc="8A10EDE2">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0627B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EA205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BE235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48774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30190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441FE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E42AE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98E804">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4A45386"/>
    <w:multiLevelType w:val="multilevel"/>
    <w:tmpl w:val="22207904"/>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6471FD2"/>
    <w:multiLevelType w:val="multilevel"/>
    <w:tmpl w:val="DDB29ADA"/>
    <w:lvl w:ilvl="0">
      <w:start w:val="2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91E2DB8"/>
    <w:multiLevelType w:val="hybridMultilevel"/>
    <w:tmpl w:val="2C122116"/>
    <w:lvl w:ilvl="0" w:tplc="95BE0606">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EF426">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DEB03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48F2A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50BD7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76D36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CC973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609B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82E10A">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DE6116F"/>
    <w:multiLevelType w:val="hybridMultilevel"/>
    <w:tmpl w:val="20C80376"/>
    <w:lvl w:ilvl="0" w:tplc="2F0C474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0492F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A0D86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7635A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E80D1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E2A66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E4A0E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F0478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06E82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26B5BDE"/>
    <w:multiLevelType w:val="multilevel"/>
    <w:tmpl w:val="432E8C22"/>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3DF3CFA"/>
    <w:multiLevelType w:val="hybridMultilevel"/>
    <w:tmpl w:val="EC9EF7F2"/>
    <w:lvl w:ilvl="0" w:tplc="9878DD64">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ECC5E">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2C61CC">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88D912">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D67072">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4C8C6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8E8B3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4CABEA">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FEE49E">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4D51C34"/>
    <w:multiLevelType w:val="hybridMultilevel"/>
    <w:tmpl w:val="743A579A"/>
    <w:lvl w:ilvl="0" w:tplc="28C217BA">
      <w:start w:val="8"/>
      <w:numFmt w:val="decimal"/>
      <w:lvlText w:val="%1."/>
      <w:lvlJc w:val="left"/>
      <w:pPr>
        <w:ind w:left="9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54A7A9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C9868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22086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D36193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BE8D5C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FF801C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904111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9A49C6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A03417E"/>
    <w:multiLevelType w:val="hybridMultilevel"/>
    <w:tmpl w:val="7C5A1EE2"/>
    <w:lvl w:ilvl="0" w:tplc="1DCA54B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56E57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4C2E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FA2C5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E487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40F3E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9A840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68E4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3AFE5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14C3EC6"/>
    <w:multiLevelType w:val="hybridMultilevel"/>
    <w:tmpl w:val="C494EEA0"/>
    <w:lvl w:ilvl="0" w:tplc="0E4E339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2283D4">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C87BBE">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B8B82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F2A0A0">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E8DEA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78426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B43676">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0AA212">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4C61E6F"/>
    <w:multiLevelType w:val="hybridMultilevel"/>
    <w:tmpl w:val="86840B6A"/>
    <w:lvl w:ilvl="0" w:tplc="5C2EE29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3C53D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9AA04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76EB74">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1C8FC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CEA6F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62C61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2A89F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74F2B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A6F3C0B"/>
    <w:multiLevelType w:val="hybridMultilevel"/>
    <w:tmpl w:val="8A80C61E"/>
    <w:lvl w:ilvl="0" w:tplc="1AF0AE7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36699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4E032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626094">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80FD7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9C72E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8633F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DADB6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A2A06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A821E30"/>
    <w:multiLevelType w:val="hybridMultilevel"/>
    <w:tmpl w:val="A372FEE0"/>
    <w:lvl w:ilvl="0" w:tplc="943E82FA">
      <w:start w:val="1"/>
      <w:numFmt w:val="upperLetter"/>
      <w:lvlText w:val="(%1)"/>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255D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08F5C">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10EDB4">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32B1D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8A0DF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6B43A">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8EF17C">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BA276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F507378"/>
    <w:multiLevelType w:val="hybridMultilevel"/>
    <w:tmpl w:val="36A6F9BA"/>
    <w:lvl w:ilvl="0" w:tplc="DE1C59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54680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0A800A">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EC169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A15A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909CC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C8A77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E184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EBF7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1"/>
  </w:num>
  <w:num w:numId="2">
    <w:abstractNumId w:val="1"/>
  </w:num>
  <w:num w:numId="3">
    <w:abstractNumId w:val="23"/>
  </w:num>
  <w:num w:numId="4">
    <w:abstractNumId w:val="39"/>
  </w:num>
  <w:num w:numId="5">
    <w:abstractNumId w:val="36"/>
  </w:num>
  <w:num w:numId="6">
    <w:abstractNumId w:val="29"/>
  </w:num>
  <w:num w:numId="7">
    <w:abstractNumId w:val="46"/>
  </w:num>
  <w:num w:numId="8">
    <w:abstractNumId w:val="7"/>
  </w:num>
  <w:num w:numId="9">
    <w:abstractNumId w:val="18"/>
  </w:num>
  <w:num w:numId="10">
    <w:abstractNumId w:val="30"/>
  </w:num>
  <w:num w:numId="11">
    <w:abstractNumId w:val="49"/>
  </w:num>
  <w:num w:numId="12">
    <w:abstractNumId w:val="4"/>
  </w:num>
  <w:num w:numId="13">
    <w:abstractNumId w:val="2"/>
  </w:num>
  <w:num w:numId="14">
    <w:abstractNumId w:val="24"/>
  </w:num>
  <w:num w:numId="15">
    <w:abstractNumId w:val="33"/>
  </w:num>
  <w:num w:numId="16">
    <w:abstractNumId w:val="6"/>
  </w:num>
  <w:num w:numId="17">
    <w:abstractNumId w:val="20"/>
  </w:num>
  <w:num w:numId="18">
    <w:abstractNumId w:val="17"/>
  </w:num>
  <w:num w:numId="19">
    <w:abstractNumId w:val="32"/>
  </w:num>
  <w:num w:numId="20">
    <w:abstractNumId w:val="31"/>
  </w:num>
  <w:num w:numId="21">
    <w:abstractNumId w:val="41"/>
  </w:num>
  <w:num w:numId="22">
    <w:abstractNumId w:val="15"/>
  </w:num>
  <w:num w:numId="23">
    <w:abstractNumId w:val="3"/>
  </w:num>
  <w:num w:numId="24">
    <w:abstractNumId w:val="28"/>
  </w:num>
  <w:num w:numId="25">
    <w:abstractNumId w:val="8"/>
  </w:num>
  <w:num w:numId="26">
    <w:abstractNumId w:val="40"/>
  </w:num>
  <w:num w:numId="27">
    <w:abstractNumId w:val="10"/>
  </w:num>
  <w:num w:numId="28">
    <w:abstractNumId w:val="43"/>
  </w:num>
  <w:num w:numId="29">
    <w:abstractNumId w:val="19"/>
  </w:num>
  <w:num w:numId="30">
    <w:abstractNumId w:val="44"/>
  </w:num>
  <w:num w:numId="31">
    <w:abstractNumId w:val="27"/>
  </w:num>
  <w:num w:numId="32">
    <w:abstractNumId w:val="50"/>
  </w:num>
  <w:num w:numId="33">
    <w:abstractNumId w:val="21"/>
  </w:num>
  <w:num w:numId="34">
    <w:abstractNumId w:val="38"/>
  </w:num>
  <w:num w:numId="35">
    <w:abstractNumId w:val="48"/>
  </w:num>
  <w:num w:numId="36">
    <w:abstractNumId w:val="9"/>
  </w:num>
  <w:num w:numId="37">
    <w:abstractNumId w:val="35"/>
  </w:num>
  <w:num w:numId="38">
    <w:abstractNumId w:val="12"/>
  </w:num>
  <w:num w:numId="39">
    <w:abstractNumId w:val="5"/>
  </w:num>
  <w:num w:numId="40">
    <w:abstractNumId w:val="13"/>
  </w:num>
  <w:num w:numId="41">
    <w:abstractNumId w:val="0"/>
  </w:num>
  <w:num w:numId="42">
    <w:abstractNumId w:val="34"/>
  </w:num>
  <w:num w:numId="43">
    <w:abstractNumId w:val="37"/>
  </w:num>
  <w:num w:numId="44">
    <w:abstractNumId w:val="45"/>
  </w:num>
  <w:num w:numId="45">
    <w:abstractNumId w:val="11"/>
  </w:num>
  <w:num w:numId="46">
    <w:abstractNumId w:val="52"/>
  </w:num>
  <w:num w:numId="47">
    <w:abstractNumId w:val="22"/>
  </w:num>
  <w:num w:numId="48">
    <w:abstractNumId w:val="42"/>
  </w:num>
  <w:num w:numId="49">
    <w:abstractNumId w:val="47"/>
  </w:num>
  <w:num w:numId="50">
    <w:abstractNumId w:val="25"/>
  </w:num>
  <w:num w:numId="51">
    <w:abstractNumId w:val="14"/>
  </w:num>
  <w:num w:numId="52">
    <w:abstractNumId w:val="26"/>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B4"/>
    <w:rsid w:val="005B054C"/>
    <w:rsid w:val="005F136F"/>
    <w:rsid w:val="00852880"/>
    <w:rsid w:val="009D3DB4"/>
    <w:rsid w:val="00AA388A"/>
    <w:rsid w:val="00AF5786"/>
    <w:rsid w:val="00B22144"/>
    <w:rsid w:val="00BB1D2A"/>
    <w:rsid w:val="00E5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27673-A2E5-4CD9-8818-866A44D2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71" w:lineRule="auto"/>
      <w:ind w:left="702" w:hanging="8"/>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0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704"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37"/>
      <w:ind w:left="704"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45</Pages>
  <Words>13735</Words>
  <Characters>78296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91848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Hughes, Sue (Commercial)</cp:lastModifiedBy>
  <cp:revision>6</cp:revision>
  <dcterms:created xsi:type="dcterms:W3CDTF">2018-01-25T08:03:00Z</dcterms:created>
  <dcterms:modified xsi:type="dcterms:W3CDTF">2018-02-06T18:36:00Z</dcterms:modified>
</cp:coreProperties>
</file>