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627" w:rsidRPr="00FB2A87" w:rsidRDefault="00FB2A87">
      <w:pPr>
        <w:rPr>
          <w:b/>
          <w:sz w:val="28"/>
        </w:rPr>
      </w:pPr>
      <w:r w:rsidRPr="00FB2A87">
        <w:rPr>
          <w:b/>
          <w:sz w:val="28"/>
        </w:rPr>
        <w:t>Dynamic Timetabling – Scope of work</w:t>
      </w:r>
    </w:p>
    <w:p w:rsidR="00FB2A87" w:rsidRDefault="00FB2A87">
      <w:r>
        <w:t xml:space="preserve">RSSB is looking to </w:t>
      </w:r>
      <w:r w:rsidR="00714BE4">
        <w:t xml:space="preserve">develop the scope for a potential </w:t>
      </w:r>
      <w:r w:rsidR="008C44B8">
        <w:t xml:space="preserve">£3m </w:t>
      </w:r>
      <w:r w:rsidR="00714BE4">
        <w:t>competition in the ‘dynamic timetabling’ space</w:t>
      </w:r>
      <w:r>
        <w:t>.  This will involve interviewing key industry stakeholders and managing a workshop to produce a proposed scope of work for the competition.</w:t>
      </w:r>
    </w:p>
    <w:p w:rsidR="00020CF1" w:rsidRDefault="008C25FA">
      <w:r>
        <w:rPr>
          <w:b/>
        </w:rPr>
        <w:t>Work Required:</w:t>
      </w:r>
      <w:r>
        <w:t xml:space="preserve"> To understand current activity within the existing and future RSSSB R&amp;D and Innovation Portfolios that may have relevance to dynamic timetabling, </w:t>
      </w:r>
      <w:proofErr w:type="gramStart"/>
      <w:r>
        <w:t>in particular the</w:t>
      </w:r>
      <w:proofErr w:type="gramEnd"/>
      <w:r>
        <w:t xml:space="preserve"> </w:t>
      </w:r>
      <w:proofErr w:type="spellStart"/>
      <w:r>
        <w:t>FuTRO</w:t>
      </w:r>
      <w:proofErr w:type="spellEnd"/>
      <w:r>
        <w:t xml:space="preserve"> and PERFORM programmes of work.  Additionally, some work with the Network Rail Digital Rail Programme to understand their planned activities and aspirations and ensure </w:t>
      </w:r>
      <w:r w:rsidR="008C44B8">
        <w:t>coherent activity takes place</w:t>
      </w:r>
      <w:r>
        <w:t xml:space="preserve">.  </w:t>
      </w:r>
      <w:r w:rsidR="00020CF1">
        <w:t>Finally, it will be required to map the work to the Rail Technical Strategy (RTS) Capability Delivery Plan (CDP) to demonstrate that any proposed competition or activity undertaken fits within the delivery pathway for the RTS.</w:t>
      </w:r>
    </w:p>
    <w:p w:rsidR="00714BE4" w:rsidRDefault="005908E3">
      <w:r>
        <w:t xml:space="preserve">It will be required to engage through appropriate mechanisms and forums with key stakeholder groups and organisations </w:t>
      </w:r>
      <w:proofErr w:type="gramStart"/>
      <w:r>
        <w:t>in particular Vehicle/Train</w:t>
      </w:r>
      <w:proofErr w:type="gramEnd"/>
      <w:r>
        <w:t xml:space="preserve"> Control and Communication Systems Interface Committee (V/TC&amp;C SIC) and</w:t>
      </w:r>
      <w:r w:rsidR="00020CF1">
        <w:t xml:space="preserve"> the</w:t>
      </w:r>
      <w:r>
        <w:t xml:space="preserve"> Rail Delivery Group</w:t>
      </w:r>
      <w:r w:rsidR="00020CF1">
        <w:t xml:space="preserve"> as examples.</w:t>
      </w:r>
    </w:p>
    <w:p w:rsidR="005908E3" w:rsidRDefault="005908E3">
      <w:r>
        <w:t xml:space="preserve">From these inputs it is expected that a gaps and opportunities analysis will be done that will form the basis for a competition.  Areas of overlap across the various industry programme should also be identified and recommendations for how this should be tackled provided. </w:t>
      </w:r>
    </w:p>
    <w:p w:rsidR="00C96371" w:rsidRDefault="00C96371">
      <w:r>
        <w:t>Key deliverables</w:t>
      </w:r>
    </w:p>
    <w:p w:rsidR="0027180D" w:rsidRDefault="0027180D" w:rsidP="00C96371">
      <w:pPr>
        <w:pStyle w:val="ListParagraph"/>
        <w:numPr>
          <w:ilvl w:val="0"/>
          <w:numId w:val="1"/>
        </w:numPr>
      </w:pPr>
      <w:r>
        <w:t xml:space="preserve">Web-based search on Dynamic timetabling, including on sparkrail.org </w:t>
      </w:r>
    </w:p>
    <w:p w:rsidR="0027180D" w:rsidRDefault="0027180D" w:rsidP="00C96371">
      <w:pPr>
        <w:pStyle w:val="ListParagraph"/>
        <w:numPr>
          <w:ilvl w:val="0"/>
          <w:numId w:val="1"/>
        </w:numPr>
      </w:pPr>
      <w:r>
        <w:t>Interviews with PERFORM Programme manager, FUTRO chairman and Network Rail Digital Rail Programme</w:t>
      </w:r>
    </w:p>
    <w:p w:rsidR="0027180D" w:rsidRDefault="004963F1" w:rsidP="00C96371">
      <w:pPr>
        <w:pStyle w:val="ListParagraph"/>
        <w:numPr>
          <w:ilvl w:val="0"/>
          <w:numId w:val="1"/>
        </w:numPr>
      </w:pPr>
      <w:r>
        <w:t xml:space="preserve">Management and facilitation of an </w:t>
      </w:r>
      <w:r w:rsidR="0027180D">
        <w:t>Industry workshop to agree a scope of work for a competition in Dynamic Timetabling.</w:t>
      </w:r>
    </w:p>
    <w:p w:rsidR="00C96371" w:rsidRDefault="00C96371" w:rsidP="00C96371">
      <w:pPr>
        <w:pStyle w:val="ListParagraph"/>
        <w:numPr>
          <w:ilvl w:val="0"/>
          <w:numId w:val="1"/>
        </w:numPr>
      </w:pPr>
      <w:r>
        <w:t>Short report</w:t>
      </w:r>
      <w:r w:rsidR="0027180D">
        <w:t xml:space="preserve"> providing outputs from interviews</w:t>
      </w:r>
      <w:r w:rsidR="004963F1">
        <w:t xml:space="preserve">, </w:t>
      </w:r>
      <w:r w:rsidR="0027180D">
        <w:t xml:space="preserve">workshop and </w:t>
      </w:r>
      <w:r w:rsidR="004963F1">
        <w:t>agreed scope for a competition</w:t>
      </w:r>
    </w:p>
    <w:p w:rsidR="004963F1" w:rsidRDefault="004963F1" w:rsidP="004963F1">
      <w:r>
        <w:t xml:space="preserve">Resource </w:t>
      </w:r>
    </w:p>
    <w:p w:rsidR="004963F1" w:rsidRDefault="000674E3" w:rsidP="004963F1">
      <w:r>
        <w:t>A</w:t>
      </w:r>
      <w:r w:rsidR="00FB2A87">
        <w:t xml:space="preserve">round </w:t>
      </w:r>
      <w:r w:rsidR="004963F1">
        <w:t>2</w:t>
      </w:r>
      <w:r w:rsidR="00FB2A87">
        <w:t>5</w:t>
      </w:r>
      <w:r w:rsidR="004963F1">
        <w:t xml:space="preserve"> days for web searches, interviews and facilitation of industry workshop.  Writing up outputs. </w:t>
      </w:r>
    </w:p>
    <w:p w:rsidR="004963F1" w:rsidRDefault="004963F1" w:rsidP="004963F1">
      <w:r>
        <w:t>Timescales</w:t>
      </w:r>
    </w:p>
    <w:p w:rsidR="004963F1" w:rsidRDefault="004963F1" w:rsidP="004963F1">
      <w:r>
        <w:t>To be completed by 7</w:t>
      </w:r>
      <w:r w:rsidRPr="00021A7E">
        <w:rPr>
          <w:vertAlign w:val="superscript"/>
        </w:rPr>
        <w:t>th</w:t>
      </w:r>
      <w:r>
        <w:t xml:space="preserve"> December 2018</w:t>
      </w:r>
    </w:p>
    <w:p w:rsidR="00C93F81" w:rsidRDefault="00C93F81">
      <w:pPr>
        <w:rPr>
          <w:b/>
        </w:rPr>
      </w:pPr>
      <w:r>
        <w:rPr>
          <w:b/>
        </w:rPr>
        <w:t>Out of Scope</w:t>
      </w:r>
    </w:p>
    <w:p w:rsidR="00C93F81" w:rsidRPr="00C93F81" w:rsidRDefault="00C93F81">
      <w:r>
        <w:t xml:space="preserve">Preparation of </w:t>
      </w:r>
      <w:r w:rsidR="00FB2A87">
        <w:t xml:space="preserve">Internal </w:t>
      </w:r>
      <w:r>
        <w:t xml:space="preserve">RSSB </w:t>
      </w:r>
      <w:r w:rsidR="00FB2A87">
        <w:t xml:space="preserve">Gate Paper </w:t>
      </w:r>
      <w:r>
        <w:t>Documentation, and subsequent administration and management of any competition.</w:t>
      </w:r>
    </w:p>
    <w:p w:rsidR="005908E3" w:rsidRDefault="005908E3">
      <w:pPr>
        <w:rPr>
          <w:b/>
        </w:rPr>
      </w:pPr>
      <w:r>
        <w:rPr>
          <w:b/>
        </w:rPr>
        <w:t>Skills and Experience</w:t>
      </w:r>
    </w:p>
    <w:p w:rsidR="005908E3" w:rsidRDefault="005908E3">
      <w:pPr>
        <w:rPr>
          <w:b/>
        </w:rPr>
      </w:pPr>
      <w:r>
        <w:rPr>
          <w:b/>
        </w:rPr>
        <w:t>Required</w:t>
      </w:r>
    </w:p>
    <w:p w:rsidR="005908E3" w:rsidRDefault="00020CF1">
      <w:r>
        <w:t>Previous, demonstrable, experience of scoping innovation competitions for Innovate UK, RSSB or other innovation funding organisations</w:t>
      </w:r>
      <w:r w:rsidR="00D957E1">
        <w:t>, ideally within a rail context.</w:t>
      </w:r>
    </w:p>
    <w:p w:rsidR="00020CF1" w:rsidRDefault="00020CF1">
      <w:pPr>
        <w:rPr>
          <w:b/>
        </w:rPr>
      </w:pPr>
      <w:r>
        <w:rPr>
          <w:b/>
        </w:rPr>
        <w:t>Desirable</w:t>
      </w:r>
    </w:p>
    <w:p w:rsidR="00020CF1" w:rsidRDefault="00020CF1">
      <w:r>
        <w:lastRenderedPageBreak/>
        <w:t xml:space="preserve">Existing knowledge of the </w:t>
      </w:r>
      <w:proofErr w:type="spellStart"/>
      <w:r>
        <w:t>FuTRO</w:t>
      </w:r>
      <w:proofErr w:type="spellEnd"/>
      <w:r>
        <w:t xml:space="preserve"> programme</w:t>
      </w:r>
      <w:r w:rsidR="00B44790">
        <w:t xml:space="preserve">, </w:t>
      </w:r>
    </w:p>
    <w:p w:rsidR="00020CF1" w:rsidRDefault="00020CF1">
      <w:r>
        <w:t>Existing contacts at senior levels within the Digital Rail Programme</w:t>
      </w:r>
      <w:r w:rsidR="00B44790">
        <w:t xml:space="preserve"> and VT C&amp;C SIC</w:t>
      </w:r>
    </w:p>
    <w:p w:rsidR="00020CF1" w:rsidRDefault="00D957E1">
      <w:r>
        <w:t xml:space="preserve">A good understanding of the RTS CDP and </w:t>
      </w:r>
      <w:proofErr w:type="gramStart"/>
      <w:r>
        <w:t>in particular Key</w:t>
      </w:r>
      <w:proofErr w:type="gramEnd"/>
      <w:r>
        <w:t xml:space="preserve"> Capability 01 (Closer Running of Trains) and Key Capability 07 (Services Timed to the Second)</w:t>
      </w:r>
    </w:p>
    <w:p w:rsidR="00E00AEC" w:rsidRDefault="00E00AEC" w:rsidP="00E00AEC">
      <w:pPr>
        <w:pStyle w:val="Heading1"/>
      </w:pPr>
      <w:r>
        <w:t xml:space="preserve">Selection of supplier </w:t>
      </w:r>
    </w:p>
    <w:p w:rsidR="00E00AEC" w:rsidRPr="0068502F" w:rsidRDefault="00E00AEC" w:rsidP="00E00AEC">
      <w:pPr>
        <w:pStyle w:val="Bullet2"/>
        <w:numPr>
          <w:ilvl w:val="0"/>
          <w:numId w:val="0"/>
        </w:numPr>
      </w:pPr>
      <w:r w:rsidRPr="0068502F">
        <w:t>The supplier will be scored out of 5 according to the following criteria and weighted as below.</w:t>
      </w:r>
      <w:r>
        <w:t xml:space="preserve"> The Tenderer’s response should be no longer than 4 pages long.</w:t>
      </w:r>
    </w:p>
    <w:tbl>
      <w:tblPr>
        <w:tblW w:w="6417" w:type="pct"/>
        <w:tblInd w:w="-1286" w:type="dxa"/>
        <w:tblCellMar>
          <w:left w:w="0" w:type="dxa"/>
          <w:right w:w="0" w:type="dxa"/>
        </w:tblCellMar>
        <w:tblLook w:val="04A0" w:firstRow="1" w:lastRow="0" w:firstColumn="1" w:lastColumn="0" w:noHBand="0" w:noVBand="1"/>
      </w:tblPr>
      <w:tblGrid>
        <w:gridCol w:w="1465"/>
        <w:gridCol w:w="3352"/>
        <w:gridCol w:w="5675"/>
        <w:gridCol w:w="1066"/>
      </w:tblGrid>
      <w:tr w:rsidR="00E00AEC" w:rsidRPr="00E57F7E" w:rsidTr="00E00AEC">
        <w:trPr>
          <w:trHeight w:val="724"/>
        </w:trPr>
        <w:tc>
          <w:tcPr>
            <w:tcW w:w="63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rPr>
                <w:b/>
                <w:bCs/>
                <w:lang w:eastAsia="en-GB"/>
              </w:rPr>
            </w:pPr>
            <w:r w:rsidRPr="00E57F7E">
              <w:rPr>
                <w:b/>
                <w:bCs/>
                <w:lang w:eastAsia="en-GB"/>
              </w:rPr>
              <w:t>Heading</w:t>
            </w:r>
          </w:p>
        </w:tc>
        <w:tc>
          <w:tcPr>
            <w:tcW w:w="1450"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rPr>
                <w:b/>
                <w:bCs/>
                <w:lang w:eastAsia="en-GB"/>
              </w:rPr>
            </w:pPr>
            <w:r w:rsidRPr="00E57F7E">
              <w:rPr>
                <w:b/>
                <w:bCs/>
                <w:lang w:eastAsia="en-GB"/>
              </w:rPr>
              <w:t>Specific question(s)</w:t>
            </w:r>
          </w:p>
        </w:tc>
        <w:tc>
          <w:tcPr>
            <w:tcW w:w="245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rPr>
                <w:b/>
                <w:bCs/>
                <w:lang w:eastAsia="en-GB"/>
              </w:rPr>
            </w:pPr>
            <w:r w:rsidRPr="00E57F7E">
              <w:rPr>
                <w:b/>
                <w:bCs/>
                <w:lang w:eastAsia="en-GB"/>
              </w:rPr>
              <w:t>Evaluation Criteria</w:t>
            </w:r>
          </w:p>
        </w:tc>
        <w:tc>
          <w:tcPr>
            <w:tcW w:w="46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rPr>
                <w:b/>
                <w:bCs/>
                <w:lang w:eastAsia="en-GB"/>
              </w:rPr>
            </w:pPr>
            <w:r w:rsidRPr="00E57F7E">
              <w:rPr>
                <w:b/>
                <w:bCs/>
                <w:lang w:eastAsia="en-GB"/>
              </w:rPr>
              <w:t xml:space="preserve">Weight </w:t>
            </w:r>
          </w:p>
        </w:tc>
      </w:tr>
      <w:tr w:rsidR="00E00AEC" w:rsidRPr="00E57F7E" w:rsidTr="00E00AEC">
        <w:trPr>
          <w:trHeight w:val="724"/>
        </w:trPr>
        <w:tc>
          <w:tcPr>
            <w:tcW w:w="63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rPr>
                <w:lang w:eastAsia="en-GB"/>
              </w:rPr>
            </w:pPr>
            <w:r w:rsidRPr="00E57F7E">
              <w:rPr>
                <w:lang w:eastAsia="en-GB"/>
              </w:rPr>
              <w:t xml:space="preserve">Question 1 </w:t>
            </w:r>
            <w:r>
              <w:rPr>
                <w:lang w:eastAsia="en-GB"/>
              </w:rPr>
              <w:t>Capability</w:t>
            </w:r>
            <w:r w:rsidRPr="00E57F7E">
              <w:rPr>
                <w:lang w:eastAsia="en-GB"/>
              </w:rPr>
              <w:t xml:space="preserve"> -</w:t>
            </w:r>
            <w:r>
              <w:rPr>
                <w:lang w:eastAsia="en-GB"/>
              </w:rPr>
              <w:t xml:space="preserve"> </w:t>
            </w:r>
            <w:r w:rsidRPr="00E57F7E">
              <w:rPr>
                <w:lang w:eastAsia="en-GB"/>
              </w:rPr>
              <w:t xml:space="preserve">ability to </w:t>
            </w:r>
            <w:r>
              <w:rPr>
                <w:lang w:eastAsia="en-GB"/>
              </w:rPr>
              <w:t>carry out the work</w:t>
            </w:r>
          </w:p>
        </w:tc>
        <w:tc>
          <w:tcPr>
            <w:tcW w:w="1450"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Pr="00171F91" w:rsidRDefault="00E00AEC" w:rsidP="00666C10">
            <w:pPr>
              <w:spacing w:after="120" w:line="300" w:lineRule="exact"/>
              <w:rPr>
                <w:lang w:eastAsia="en-GB"/>
              </w:rPr>
            </w:pPr>
            <w:r w:rsidRPr="00171F91">
              <w:rPr>
                <w:lang w:eastAsia="en-GB"/>
              </w:rPr>
              <w:t xml:space="preserve">Tenderers should provide evidence of carrying out similar or relevant work in the past and the </w:t>
            </w:r>
            <w:r w:rsidRPr="00171F91">
              <w:t>ability to carry out the required works defined in the specification.</w:t>
            </w:r>
          </w:p>
          <w:p w:rsidR="00E00AEC" w:rsidRPr="00171F91" w:rsidRDefault="00E00AEC" w:rsidP="00666C10">
            <w:pPr>
              <w:spacing w:after="120" w:line="300" w:lineRule="exact"/>
              <w:rPr>
                <w:lang w:eastAsia="en-GB"/>
              </w:rPr>
            </w:pPr>
            <w:r w:rsidRPr="00171F91">
              <w:rPr>
                <w:lang w:eastAsia="en-GB"/>
              </w:rPr>
              <w:t xml:space="preserve"> </w:t>
            </w:r>
          </w:p>
        </w:tc>
        <w:tc>
          <w:tcPr>
            <w:tcW w:w="2455" w:type="pct"/>
            <w:tcBorders>
              <w:top w:val="nil"/>
              <w:left w:val="nil"/>
              <w:bottom w:val="single" w:sz="8" w:space="0" w:color="808080"/>
              <w:right w:val="single" w:sz="8" w:space="0" w:color="808080"/>
            </w:tcBorders>
            <w:tcMar>
              <w:top w:w="0" w:type="dxa"/>
              <w:left w:w="108" w:type="dxa"/>
              <w:bottom w:w="0" w:type="dxa"/>
              <w:right w:w="108" w:type="dxa"/>
            </w:tcMar>
          </w:tcPr>
          <w:p w:rsidR="00E00AEC" w:rsidRPr="00171F91" w:rsidRDefault="00E00AEC" w:rsidP="00666C10">
            <w:pPr>
              <w:spacing w:after="120" w:line="300" w:lineRule="exact"/>
              <w:rPr>
                <w:lang w:eastAsia="en-GB"/>
              </w:rPr>
            </w:pPr>
            <w:r w:rsidRPr="00171F91">
              <w:rPr>
                <w:lang w:eastAsia="en-GB"/>
              </w:rPr>
              <w:t>The tenderer’s response:</w:t>
            </w:r>
          </w:p>
          <w:p w:rsidR="00E00AEC" w:rsidRPr="00171F91" w:rsidRDefault="00E00AEC" w:rsidP="00E00AEC">
            <w:pPr>
              <w:pStyle w:val="ListParagraph"/>
              <w:numPr>
                <w:ilvl w:val="0"/>
                <w:numId w:val="4"/>
              </w:numPr>
              <w:spacing w:after="240" w:line="300" w:lineRule="exact"/>
            </w:pPr>
            <w:r w:rsidRPr="00171F91">
              <w:t>Provides evidenced example(s) of previous relevant work;</w:t>
            </w:r>
          </w:p>
          <w:p w:rsidR="00E00AEC" w:rsidRPr="00171F91" w:rsidRDefault="00E00AEC" w:rsidP="00E00AEC">
            <w:pPr>
              <w:pStyle w:val="ListParagraph"/>
              <w:numPr>
                <w:ilvl w:val="0"/>
                <w:numId w:val="4"/>
              </w:numPr>
              <w:spacing w:after="120" w:line="300" w:lineRule="exact"/>
            </w:pPr>
            <w:r w:rsidRPr="00171F91">
              <w:t>Explains how the tenderer will apply their expertise to meet the specification;</w:t>
            </w:r>
          </w:p>
          <w:p w:rsidR="00E00AEC" w:rsidRPr="00171F91" w:rsidRDefault="00E00AEC" w:rsidP="00E00AEC">
            <w:pPr>
              <w:pStyle w:val="ListParagraph"/>
              <w:numPr>
                <w:ilvl w:val="0"/>
                <w:numId w:val="4"/>
              </w:numPr>
              <w:spacing w:after="240" w:line="300" w:lineRule="exact"/>
            </w:pPr>
            <w:r w:rsidRPr="00171F91">
              <w:t>Demonstrates their understanding of the objectives;</w:t>
            </w:r>
          </w:p>
        </w:tc>
        <w:tc>
          <w:tcPr>
            <w:tcW w:w="462"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rPr>
                <w:lang w:eastAsia="en-GB"/>
              </w:rPr>
            </w:pPr>
            <w:r w:rsidRPr="00E57F7E">
              <w:rPr>
                <w:lang w:eastAsia="en-GB"/>
              </w:rPr>
              <w:t>50%</w:t>
            </w:r>
          </w:p>
        </w:tc>
      </w:tr>
      <w:tr w:rsidR="00E00AEC" w:rsidRPr="00E57F7E" w:rsidTr="00E00AEC">
        <w:trPr>
          <w:trHeight w:val="724"/>
        </w:trPr>
        <w:tc>
          <w:tcPr>
            <w:tcW w:w="63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171F91" w:rsidRDefault="00E00AEC" w:rsidP="00666C10">
            <w:pPr>
              <w:spacing w:after="120" w:line="300" w:lineRule="exact"/>
              <w:rPr>
                <w:lang w:eastAsia="en-GB"/>
              </w:rPr>
            </w:pPr>
            <w:r w:rsidRPr="00171F91">
              <w:rPr>
                <w:lang w:eastAsia="en-GB"/>
              </w:rPr>
              <w:t>Question 2 Project management: resource, quality, time</w:t>
            </w:r>
          </w:p>
        </w:tc>
        <w:tc>
          <w:tcPr>
            <w:tcW w:w="1450" w:type="pct"/>
            <w:tcBorders>
              <w:top w:val="nil"/>
              <w:left w:val="nil"/>
              <w:bottom w:val="single" w:sz="8" w:space="0" w:color="808080"/>
              <w:right w:val="single" w:sz="8" w:space="0" w:color="808080"/>
            </w:tcBorders>
            <w:tcMar>
              <w:top w:w="0" w:type="dxa"/>
              <w:left w:w="108" w:type="dxa"/>
              <w:bottom w:w="0" w:type="dxa"/>
              <w:right w:w="108" w:type="dxa"/>
            </w:tcMar>
          </w:tcPr>
          <w:p w:rsidR="00E00AEC" w:rsidRPr="00171F91" w:rsidRDefault="00E00AEC" w:rsidP="00666C10">
            <w:pPr>
              <w:spacing w:after="40" w:line="280" w:lineRule="exact"/>
              <w:rPr>
                <w:lang w:eastAsia="en-GB"/>
              </w:rPr>
            </w:pPr>
            <w:r w:rsidRPr="00171F91">
              <w:rPr>
                <w:lang w:eastAsia="en-GB"/>
              </w:rPr>
              <w:t xml:space="preserve">Tenderers should outline the processes and resources it proposes to use </w:t>
            </w:r>
            <w:proofErr w:type="gramStart"/>
            <w:r w:rsidRPr="00171F91">
              <w:rPr>
                <w:lang w:eastAsia="en-GB"/>
              </w:rPr>
              <w:t>in order to</w:t>
            </w:r>
            <w:proofErr w:type="gramEnd"/>
            <w:r w:rsidRPr="00171F91">
              <w:rPr>
                <w:lang w:eastAsia="en-GB"/>
              </w:rPr>
              <w:t xml:space="preserve"> fulfil RSSB requirements.</w:t>
            </w:r>
          </w:p>
          <w:p w:rsidR="00E00AEC" w:rsidRPr="00171F91" w:rsidRDefault="00E00AEC" w:rsidP="00666C10">
            <w:pPr>
              <w:spacing w:after="120" w:line="300" w:lineRule="exact"/>
              <w:rPr>
                <w:lang w:eastAsia="en-GB"/>
              </w:rPr>
            </w:pPr>
            <w:r w:rsidRPr="00171F91">
              <w:rPr>
                <w:lang w:eastAsia="en-GB"/>
              </w:rPr>
              <w:t>Tenderers should:</w:t>
            </w:r>
          </w:p>
          <w:p w:rsidR="00E00AEC" w:rsidRPr="00171F91" w:rsidRDefault="00E00AEC" w:rsidP="00E00AEC">
            <w:pPr>
              <w:numPr>
                <w:ilvl w:val="0"/>
                <w:numId w:val="5"/>
              </w:numPr>
              <w:spacing w:after="120" w:line="300" w:lineRule="exact"/>
              <w:contextualSpacing/>
              <w:rPr>
                <w:lang w:eastAsia="en-GB"/>
              </w:rPr>
            </w:pPr>
            <w:r w:rsidRPr="00171F91">
              <w:rPr>
                <w:lang w:eastAsia="en-GB"/>
              </w:rPr>
              <w:t>Clearly identify each team member’s role;</w:t>
            </w:r>
          </w:p>
          <w:p w:rsidR="00E00AEC" w:rsidRPr="00171F91" w:rsidRDefault="00E00AEC" w:rsidP="00E00AEC">
            <w:pPr>
              <w:numPr>
                <w:ilvl w:val="0"/>
                <w:numId w:val="5"/>
              </w:numPr>
              <w:spacing w:after="120" w:line="300" w:lineRule="exact"/>
              <w:contextualSpacing/>
              <w:rPr>
                <w:lang w:eastAsia="en-GB"/>
              </w:rPr>
            </w:pPr>
            <w:r w:rsidRPr="00171F91">
              <w:rPr>
                <w:lang w:eastAsia="en-GB"/>
              </w:rPr>
              <w:t>Provide adequate allocation of appropriate resources against deliverables;</w:t>
            </w:r>
          </w:p>
          <w:p w:rsidR="00E00AEC" w:rsidRPr="00171F91" w:rsidRDefault="00E00AEC" w:rsidP="00E00AEC">
            <w:pPr>
              <w:pStyle w:val="ListParagraph"/>
              <w:numPr>
                <w:ilvl w:val="0"/>
                <w:numId w:val="5"/>
              </w:numPr>
              <w:spacing w:after="120" w:line="300" w:lineRule="exact"/>
            </w:pPr>
            <w:r w:rsidRPr="00171F91">
              <w:t>Explain how they would meet the critical success factors for this piece of work;</w:t>
            </w:r>
          </w:p>
          <w:p w:rsidR="00E00AEC" w:rsidRPr="00171F91" w:rsidRDefault="00E00AEC" w:rsidP="00666C10">
            <w:pPr>
              <w:spacing w:after="120" w:line="300" w:lineRule="exact"/>
              <w:ind w:left="720"/>
              <w:contextualSpacing/>
              <w:rPr>
                <w:lang w:eastAsia="en-GB"/>
              </w:rPr>
            </w:pPr>
          </w:p>
        </w:tc>
        <w:tc>
          <w:tcPr>
            <w:tcW w:w="2455" w:type="pct"/>
            <w:tcBorders>
              <w:top w:val="nil"/>
              <w:left w:val="nil"/>
              <w:bottom w:val="single" w:sz="8" w:space="0" w:color="808080"/>
              <w:right w:val="single" w:sz="8" w:space="0" w:color="808080"/>
            </w:tcBorders>
            <w:tcMar>
              <w:top w:w="0" w:type="dxa"/>
              <w:left w:w="108" w:type="dxa"/>
              <w:bottom w:w="0" w:type="dxa"/>
              <w:right w:w="108" w:type="dxa"/>
            </w:tcMar>
          </w:tcPr>
          <w:p w:rsidR="00E00AEC" w:rsidRPr="00E57F7E" w:rsidRDefault="00E00AEC" w:rsidP="00666C10">
            <w:pPr>
              <w:spacing w:after="120" w:line="300" w:lineRule="exact"/>
              <w:rPr>
                <w:lang w:eastAsia="en-GB"/>
              </w:rPr>
            </w:pPr>
            <w:r w:rsidRPr="00E57F7E">
              <w:rPr>
                <w:lang w:eastAsia="en-GB"/>
              </w:rPr>
              <w:t>The tenderer’s response shows</w:t>
            </w:r>
            <w:r>
              <w:rPr>
                <w:lang w:eastAsia="en-GB"/>
              </w:rPr>
              <w:t xml:space="preserve"> </w:t>
            </w:r>
            <w:r w:rsidRPr="00E57F7E">
              <w:rPr>
                <w:lang w:eastAsia="en-GB"/>
              </w:rPr>
              <w:t>that it:</w:t>
            </w:r>
          </w:p>
          <w:p w:rsidR="00E00AEC" w:rsidRPr="00E57F7E" w:rsidRDefault="00E00AEC" w:rsidP="00E00AEC">
            <w:pPr>
              <w:pStyle w:val="ListParagraph"/>
              <w:numPr>
                <w:ilvl w:val="0"/>
                <w:numId w:val="6"/>
              </w:numPr>
              <w:spacing w:after="120" w:line="300" w:lineRule="exact"/>
            </w:pPr>
            <w:r w:rsidRPr="00E57F7E">
              <w:t>Has identified relevant individuals to deliver the work;</w:t>
            </w:r>
          </w:p>
          <w:p w:rsidR="00E00AEC" w:rsidRPr="00E57F7E" w:rsidRDefault="00E00AEC" w:rsidP="00E00AEC">
            <w:pPr>
              <w:pStyle w:val="ListParagraph"/>
              <w:numPr>
                <w:ilvl w:val="0"/>
                <w:numId w:val="6"/>
              </w:numPr>
              <w:spacing w:after="240" w:line="300" w:lineRule="exact"/>
            </w:pPr>
            <w:r w:rsidRPr="00E57F7E">
              <w:t>Has provided a credible plan for delivering successful outcomes to time, quality and cost;</w:t>
            </w:r>
          </w:p>
          <w:p w:rsidR="00E00AEC" w:rsidRPr="00E57F7E" w:rsidRDefault="00E00AEC" w:rsidP="00E00AEC">
            <w:pPr>
              <w:pStyle w:val="ListParagraph"/>
              <w:numPr>
                <w:ilvl w:val="0"/>
                <w:numId w:val="6"/>
              </w:numPr>
              <w:spacing w:after="120" w:line="300" w:lineRule="exact"/>
            </w:pPr>
            <w:r w:rsidRPr="00E57F7E">
              <w:t>Has identified suitable ways to address the project’s critical success factors;</w:t>
            </w:r>
          </w:p>
          <w:p w:rsidR="00E00AEC" w:rsidRPr="00E57F7E" w:rsidRDefault="00E00AEC" w:rsidP="00666C10">
            <w:pPr>
              <w:pStyle w:val="ListParagraph"/>
              <w:ind w:left="227"/>
            </w:pPr>
          </w:p>
        </w:tc>
        <w:tc>
          <w:tcPr>
            <w:tcW w:w="462"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rPr>
                <w:lang w:eastAsia="en-GB"/>
              </w:rPr>
            </w:pPr>
            <w:r w:rsidRPr="00E57F7E">
              <w:rPr>
                <w:lang w:eastAsia="en-GB"/>
              </w:rPr>
              <w:t>30%</w:t>
            </w:r>
          </w:p>
        </w:tc>
      </w:tr>
      <w:tr w:rsidR="00E00AEC" w:rsidRPr="00E57F7E" w:rsidTr="00E00AEC">
        <w:trPr>
          <w:trHeight w:val="724"/>
        </w:trPr>
        <w:tc>
          <w:tcPr>
            <w:tcW w:w="63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pPr>
            <w:r w:rsidRPr="00E57F7E">
              <w:t>Question 3 Cost of project</w:t>
            </w:r>
          </w:p>
        </w:tc>
        <w:tc>
          <w:tcPr>
            <w:tcW w:w="1450"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contextualSpacing/>
            </w:pPr>
            <w:r w:rsidRPr="00E57F7E">
              <w:t>What is the fixed cost for the whole project and the associated cost break down? How and why this represents value for money?</w:t>
            </w:r>
          </w:p>
        </w:tc>
        <w:tc>
          <w:tcPr>
            <w:tcW w:w="2455"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E00AEC">
            <w:pPr>
              <w:pStyle w:val="ListParagraph"/>
              <w:numPr>
                <w:ilvl w:val="0"/>
                <w:numId w:val="7"/>
              </w:numPr>
              <w:spacing w:after="120" w:line="276" w:lineRule="auto"/>
              <w:ind w:left="0" w:hanging="227"/>
            </w:pPr>
            <w:r w:rsidRPr="00E57F7E">
              <w:t>The tender with the lowest total cost will receive 100% of the available weighted score (20%).</w:t>
            </w:r>
          </w:p>
          <w:p w:rsidR="00E00AEC" w:rsidRPr="00E57F7E" w:rsidRDefault="00E00AEC" w:rsidP="00666C10">
            <w:pPr>
              <w:spacing w:after="120" w:line="276" w:lineRule="auto"/>
              <w:ind w:left="36"/>
            </w:pPr>
            <w:r w:rsidRPr="00E57F7E">
              <w:t>Other tenderer’s tenders will receive a pro-rated relative to the lowest cost according to the following formula:</w:t>
            </w:r>
          </w:p>
          <w:p w:rsidR="00E00AEC" w:rsidRPr="00E57F7E" w:rsidRDefault="00E00AEC" w:rsidP="00E00AEC">
            <w:pPr>
              <w:pStyle w:val="ListParagraph"/>
              <w:numPr>
                <w:ilvl w:val="0"/>
                <w:numId w:val="7"/>
              </w:numPr>
              <w:spacing w:after="120" w:line="276" w:lineRule="auto"/>
              <w:ind w:left="0" w:hanging="227"/>
            </w:pPr>
            <w:r w:rsidRPr="00E57F7E">
              <w:t xml:space="preserve">Score of other </w:t>
            </w:r>
            <w:proofErr w:type="gramStart"/>
            <w:r w:rsidRPr="00E57F7E">
              <w:t>tender</w:t>
            </w:r>
            <w:proofErr w:type="gramEnd"/>
            <w:r w:rsidRPr="00E57F7E">
              <w:t xml:space="preserve"> = lowest tender total cost / other tender total cost x 100%.</w:t>
            </w:r>
          </w:p>
        </w:tc>
        <w:tc>
          <w:tcPr>
            <w:tcW w:w="462"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after="120" w:line="300" w:lineRule="exact"/>
            </w:pPr>
            <w:r w:rsidRPr="00E57F7E">
              <w:t>20%</w:t>
            </w:r>
          </w:p>
        </w:tc>
      </w:tr>
    </w:tbl>
    <w:p w:rsidR="00E00AEC" w:rsidRDefault="00E00AEC" w:rsidP="00E00AEC">
      <w:pPr>
        <w:rPr>
          <w:rFonts w:asciiTheme="majorHAnsi" w:hAnsiTheme="majorHAnsi" w:cs="Arial"/>
          <w:color w:val="00968E"/>
          <w:sz w:val="36"/>
          <w:lang w:eastAsia="en-GB"/>
        </w:rPr>
      </w:pPr>
    </w:p>
    <w:p w:rsidR="00E00AEC" w:rsidRDefault="00E00AEC" w:rsidP="00E00AEC">
      <w:pPr>
        <w:pStyle w:val="Heading1"/>
      </w:pPr>
      <w:r>
        <w:lastRenderedPageBreak/>
        <w:t>Explanation of grading criteria</w:t>
      </w:r>
    </w:p>
    <w:p w:rsidR="00E00AEC" w:rsidRPr="00171F91" w:rsidRDefault="00E00AEC" w:rsidP="00E00AEC">
      <w:pPr>
        <w:pStyle w:val="Body"/>
        <w:rPr>
          <w:rFonts w:eastAsiaTheme="minorHAnsi"/>
        </w:rPr>
      </w:pPr>
      <w:r>
        <w:rPr>
          <w:rFonts w:eastAsiaTheme="minorHAnsi"/>
        </w:rPr>
        <w:t xml:space="preserve">Each of the criteria set out in section 8 - Selection of Supplier, are scored 0-5. The below </w:t>
      </w:r>
      <w:proofErr w:type="gramStart"/>
      <w:r>
        <w:rPr>
          <w:rFonts w:eastAsiaTheme="minorHAnsi"/>
        </w:rPr>
        <w:t>gives an explanation of</w:t>
      </w:r>
      <w:proofErr w:type="gramEnd"/>
      <w:r>
        <w:rPr>
          <w:rFonts w:eastAsiaTheme="minorHAnsi"/>
        </w:rPr>
        <w:t xml:space="preserve"> the scoring system used.</w:t>
      </w:r>
    </w:p>
    <w:tbl>
      <w:tblPr>
        <w:tblW w:w="9923" w:type="dxa"/>
        <w:tblInd w:w="-719" w:type="dxa"/>
        <w:tblCellMar>
          <w:left w:w="0" w:type="dxa"/>
          <w:right w:w="0" w:type="dxa"/>
        </w:tblCellMar>
        <w:tblLook w:val="04A0" w:firstRow="1" w:lastRow="0" w:firstColumn="1" w:lastColumn="0" w:noHBand="0" w:noVBand="1"/>
      </w:tblPr>
      <w:tblGrid>
        <w:gridCol w:w="851"/>
        <w:gridCol w:w="9072"/>
      </w:tblGrid>
      <w:tr w:rsidR="00E00AEC" w:rsidTr="00E00AEC">
        <w:trPr>
          <w:trHeight w:val="70"/>
        </w:trPr>
        <w:tc>
          <w:tcPr>
            <w:tcW w:w="851"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before="60" w:after="60"/>
              <w:ind w:left="709" w:hanging="709"/>
              <w:jc w:val="both"/>
              <w:rPr>
                <w:b/>
                <w:bCs/>
                <w:lang w:eastAsia="en-GB"/>
              </w:rPr>
            </w:pPr>
            <w:r w:rsidRPr="00E57F7E">
              <w:rPr>
                <w:b/>
                <w:bCs/>
                <w:lang w:eastAsia="en-GB"/>
              </w:rPr>
              <w:t>Grade</w:t>
            </w:r>
          </w:p>
        </w:tc>
        <w:tc>
          <w:tcPr>
            <w:tcW w:w="907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before="60" w:after="60"/>
              <w:ind w:left="709" w:hanging="709"/>
              <w:jc w:val="both"/>
              <w:rPr>
                <w:b/>
                <w:bCs/>
                <w:lang w:eastAsia="en-GB"/>
              </w:rPr>
            </w:pPr>
            <w:r w:rsidRPr="00E57F7E">
              <w:rPr>
                <w:b/>
                <w:bCs/>
                <w:lang w:eastAsia="en-GB"/>
              </w:rPr>
              <w:t>Definition of grade</w:t>
            </w:r>
          </w:p>
        </w:tc>
      </w:tr>
      <w:tr w:rsidR="00E00AEC" w:rsidTr="00E00AEC">
        <w:trPr>
          <w:trHeight w:val="862"/>
        </w:trPr>
        <w:tc>
          <w:tcPr>
            <w:tcW w:w="851"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ind w:left="709" w:hanging="709"/>
              <w:jc w:val="center"/>
              <w:rPr>
                <w:lang w:eastAsia="en-GB"/>
              </w:rPr>
            </w:pPr>
            <w:r w:rsidRPr="00E57F7E">
              <w:rPr>
                <w:lang w:eastAsia="en-GB"/>
              </w:rPr>
              <w:t>5</w:t>
            </w:r>
          </w:p>
        </w:tc>
        <w:tc>
          <w:tcPr>
            <w:tcW w:w="9072" w:type="dxa"/>
            <w:tcBorders>
              <w:top w:val="nil"/>
              <w:left w:val="nil"/>
              <w:bottom w:val="single" w:sz="8" w:space="0" w:color="808080"/>
              <w:right w:val="single" w:sz="8" w:space="0" w:color="808080"/>
            </w:tcBorders>
            <w:tcMar>
              <w:top w:w="0" w:type="dxa"/>
              <w:left w:w="108" w:type="dxa"/>
              <w:bottom w:w="0" w:type="dxa"/>
              <w:right w:w="108" w:type="dxa"/>
            </w:tcMar>
          </w:tcPr>
          <w:p w:rsidR="00E00AEC" w:rsidRPr="00E57F7E" w:rsidRDefault="00E00AEC" w:rsidP="00666C10">
            <w:pPr>
              <w:ind w:left="709" w:hanging="709"/>
              <w:jc w:val="both"/>
              <w:rPr>
                <w:lang w:eastAsia="en-GB"/>
              </w:rPr>
            </w:pPr>
            <w:r w:rsidRPr="00E57F7E">
              <w:rPr>
                <w:lang w:eastAsia="en-GB"/>
              </w:rPr>
              <w:t>A wholly excellent Tender Response that (where applicable):</w:t>
            </w:r>
          </w:p>
          <w:p w:rsidR="00E00AEC" w:rsidRPr="00E57F7E" w:rsidRDefault="00E00AEC" w:rsidP="00E00AEC">
            <w:pPr>
              <w:numPr>
                <w:ilvl w:val="0"/>
                <w:numId w:val="8"/>
              </w:numPr>
              <w:spacing w:after="0" w:line="240" w:lineRule="auto"/>
              <w:jc w:val="both"/>
              <w:rPr>
                <w:lang w:eastAsia="en-GB"/>
              </w:rPr>
            </w:pPr>
            <w:r w:rsidRPr="00E57F7E">
              <w:rPr>
                <w:lang w:eastAsia="en-GB"/>
              </w:rPr>
              <w:t xml:space="preserve">Addresses all aspects of the question in an informed and comprehensive manner; </w:t>
            </w:r>
          </w:p>
          <w:p w:rsidR="00E00AEC" w:rsidRPr="00E57F7E" w:rsidRDefault="00E00AEC" w:rsidP="00E00AEC">
            <w:pPr>
              <w:numPr>
                <w:ilvl w:val="0"/>
                <w:numId w:val="8"/>
              </w:numPr>
              <w:spacing w:after="0" w:line="240" w:lineRule="auto"/>
              <w:jc w:val="both"/>
              <w:rPr>
                <w:lang w:eastAsia="en-GB"/>
              </w:rPr>
            </w:pPr>
            <w:r w:rsidRPr="00E57F7E">
              <w:rPr>
                <w:lang w:eastAsia="en-GB"/>
              </w:rPr>
              <w:t>Demonstrates a thorough understanding of what is being asked for;</w:t>
            </w:r>
          </w:p>
          <w:p w:rsidR="00E00AEC" w:rsidRPr="00E57F7E" w:rsidRDefault="00E00AEC" w:rsidP="00E00AEC">
            <w:pPr>
              <w:numPr>
                <w:ilvl w:val="0"/>
                <w:numId w:val="8"/>
              </w:numPr>
              <w:spacing w:after="0" w:line="240" w:lineRule="auto"/>
              <w:jc w:val="both"/>
              <w:rPr>
                <w:lang w:eastAsia="en-GB"/>
              </w:rPr>
            </w:pPr>
            <w:r w:rsidRPr="00E57F7E">
              <w:rPr>
                <w:lang w:eastAsia="en-GB"/>
              </w:rPr>
              <w:t>Provides evidence of how that understanding can be applied in practice;</w:t>
            </w:r>
          </w:p>
          <w:p w:rsidR="00E00AEC" w:rsidRPr="00E57F7E" w:rsidRDefault="00E00AEC" w:rsidP="00E00AEC">
            <w:pPr>
              <w:numPr>
                <w:ilvl w:val="0"/>
                <w:numId w:val="8"/>
              </w:numPr>
              <w:spacing w:after="0" w:line="240" w:lineRule="auto"/>
              <w:jc w:val="both"/>
              <w:rPr>
                <w:lang w:eastAsia="en-GB"/>
              </w:rPr>
            </w:pPr>
            <w:r w:rsidRPr="00E57F7E">
              <w:rPr>
                <w:lang w:eastAsia="en-GB"/>
              </w:rPr>
              <w:t>Offers full confidence that the Tenderer will deliver the service in full;</w:t>
            </w:r>
          </w:p>
          <w:p w:rsidR="00E00AEC" w:rsidRPr="00E57F7E" w:rsidRDefault="00E00AEC" w:rsidP="00E00AEC">
            <w:pPr>
              <w:numPr>
                <w:ilvl w:val="0"/>
                <w:numId w:val="8"/>
              </w:numPr>
              <w:spacing w:after="0" w:line="240" w:lineRule="auto"/>
              <w:jc w:val="both"/>
              <w:rPr>
                <w:lang w:eastAsia="en-GB"/>
              </w:rPr>
            </w:pPr>
            <w:r w:rsidRPr="00E57F7E">
              <w:rPr>
                <w:lang w:eastAsia="en-GB"/>
              </w:rPr>
              <w:t xml:space="preserve">Addresses </w:t>
            </w:r>
            <w:proofErr w:type="gramStart"/>
            <w:r w:rsidRPr="00E57F7E">
              <w:rPr>
                <w:lang w:eastAsia="en-GB"/>
              </w:rPr>
              <w:t>the majority of</w:t>
            </w:r>
            <w:proofErr w:type="gramEnd"/>
            <w:r w:rsidRPr="00E57F7E">
              <w:rPr>
                <w:lang w:eastAsia="en-GB"/>
              </w:rPr>
              <w:t xml:space="preserve"> areas of doubt and uncertainty; and </w:t>
            </w:r>
          </w:p>
          <w:p w:rsidR="00E00AEC" w:rsidRPr="00E57F7E" w:rsidRDefault="00E00AEC" w:rsidP="00E00AEC">
            <w:pPr>
              <w:numPr>
                <w:ilvl w:val="0"/>
                <w:numId w:val="8"/>
              </w:numPr>
              <w:spacing w:after="0" w:line="240" w:lineRule="auto"/>
              <w:jc w:val="both"/>
              <w:rPr>
                <w:lang w:eastAsia="en-GB"/>
              </w:rPr>
            </w:pPr>
            <w:r w:rsidRPr="00E57F7E">
              <w:rPr>
                <w:lang w:eastAsia="en-GB"/>
              </w:rPr>
              <w:t xml:space="preserve">Provides certain, unambiguous commitments or statements of intent that permit reliance through translation into contractual terms </w:t>
            </w:r>
          </w:p>
        </w:tc>
      </w:tr>
      <w:tr w:rsidR="00E00AEC" w:rsidTr="00E00AEC">
        <w:trPr>
          <w:trHeight w:val="861"/>
        </w:trPr>
        <w:tc>
          <w:tcPr>
            <w:tcW w:w="851"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ind w:left="709" w:hanging="709"/>
              <w:jc w:val="center"/>
              <w:rPr>
                <w:lang w:eastAsia="en-GB"/>
              </w:rPr>
            </w:pPr>
            <w:r w:rsidRPr="00E57F7E">
              <w:rPr>
                <w:lang w:eastAsia="en-GB"/>
              </w:rPr>
              <w:t>4</w:t>
            </w:r>
          </w:p>
        </w:tc>
        <w:tc>
          <w:tcPr>
            <w:tcW w:w="9072" w:type="dxa"/>
            <w:tcBorders>
              <w:top w:val="nil"/>
              <w:left w:val="nil"/>
              <w:bottom w:val="single" w:sz="8" w:space="0" w:color="808080"/>
              <w:right w:val="single" w:sz="8" w:space="0" w:color="808080"/>
            </w:tcBorders>
            <w:tcMar>
              <w:top w:w="0" w:type="dxa"/>
              <w:left w:w="108" w:type="dxa"/>
              <w:bottom w:w="0" w:type="dxa"/>
              <w:right w:w="108" w:type="dxa"/>
            </w:tcMar>
          </w:tcPr>
          <w:p w:rsidR="00E00AEC" w:rsidRPr="00E57F7E" w:rsidRDefault="00E00AEC" w:rsidP="00666C10">
            <w:pPr>
              <w:jc w:val="both"/>
              <w:rPr>
                <w:lang w:eastAsia="en-GB"/>
              </w:rPr>
            </w:pPr>
            <w:r w:rsidRPr="00E57F7E">
              <w:rPr>
                <w:lang w:eastAsia="en-GB"/>
              </w:rPr>
              <w:t>A good Tender Response that (where applicable):</w:t>
            </w:r>
          </w:p>
          <w:p w:rsidR="00E00AEC" w:rsidRPr="00E57F7E" w:rsidRDefault="00E00AEC" w:rsidP="00E00AEC">
            <w:pPr>
              <w:numPr>
                <w:ilvl w:val="0"/>
                <w:numId w:val="9"/>
              </w:numPr>
              <w:spacing w:after="0" w:line="240" w:lineRule="auto"/>
              <w:jc w:val="both"/>
              <w:rPr>
                <w:lang w:eastAsia="en-GB"/>
              </w:rPr>
            </w:pPr>
            <w:r w:rsidRPr="00E57F7E">
              <w:rPr>
                <w:lang w:eastAsia="en-GB"/>
              </w:rPr>
              <w:t>Addresses all aspects of the question and is generally of a good standard;</w:t>
            </w:r>
          </w:p>
          <w:p w:rsidR="00E00AEC" w:rsidRPr="00E57F7E" w:rsidRDefault="00E00AEC" w:rsidP="00E00AEC">
            <w:pPr>
              <w:numPr>
                <w:ilvl w:val="0"/>
                <w:numId w:val="9"/>
              </w:numPr>
              <w:spacing w:after="0" w:line="240" w:lineRule="auto"/>
              <w:jc w:val="both"/>
              <w:rPr>
                <w:lang w:eastAsia="en-GB"/>
              </w:rPr>
            </w:pPr>
            <w:r w:rsidRPr="00E57F7E">
              <w:rPr>
                <w:lang w:eastAsia="en-GB"/>
              </w:rPr>
              <w:t>Demonstrates a good understanding of what is being asked for;</w:t>
            </w:r>
          </w:p>
          <w:p w:rsidR="00E00AEC" w:rsidRPr="00E57F7E" w:rsidRDefault="00E00AEC" w:rsidP="00E00AEC">
            <w:pPr>
              <w:numPr>
                <w:ilvl w:val="0"/>
                <w:numId w:val="9"/>
              </w:numPr>
              <w:spacing w:after="0" w:line="240" w:lineRule="auto"/>
              <w:jc w:val="both"/>
              <w:rPr>
                <w:lang w:eastAsia="en-GB"/>
              </w:rPr>
            </w:pPr>
            <w:r w:rsidRPr="00E57F7E">
              <w:rPr>
                <w:lang w:eastAsia="en-GB"/>
              </w:rPr>
              <w:t>Provides a worked-up methodical approach;</w:t>
            </w:r>
          </w:p>
          <w:p w:rsidR="00E00AEC" w:rsidRPr="00E57F7E" w:rsidRDefault="00E00AEC" w:rsidP="00E00AEC">
            <w:pPr>
              <w:numPr>
                <w:ilvl w:val="0"/>
                <w:numId w:val="9"/>
              </w:numPr>
              <w:spacing w:after="0" w:line="240" w:lineRule="auto"/>
              <w:jc w:val="both"/>
              <w:rPr>
                <w:lang w:eastAsia="en-GB"/>
              </w:rPr>
            </w:pPr>
            <w:r w:rsidRPr="00E57F7E">
              <w:rPr>
                <w:lang w:eastAsia="en-GB"/>
              </w:rPr>
              <w:t>Offers confidence that the Tenderer will deliver the service in full</w:t>
            </w:r>
            <w:r>
              <w:rPr>
                <w:lang w:eastAsia="en-GB"/>
              </w:rPr>
              <w:t>,</w:t>
            </w:r>
            <w:r w:rsidRPr="00E57F7E">
              <w:rPr>
                <w:lang w:eastAsia="en-GB"/>
              </w:rPr>
              <w:t xml:space="preserve"> with limited areas of doubt or uncertainty;</w:t>
            </w:r>
          </w:p>
          <w:p w:rsidR="00E00AEC" w:rsidRPr="00E57F7E" w:rsidRDefault="00E00AEC" w:rsidP="00E00AEC">
            <w:pPr>
              <w:numPr>
                <w:ilvl w:val="0"/>
                <w:numId w:val="9"/>
              </w:numPr>
              <w:spacing w:after="0" w:line="240" w:lineRule="auto"/>
              <w:jc w:val="both"/>
              <w:rPr>
                <w:lang w:eastAsia="en-GB"/>
              </w:rPr>
            </w:pPr>
            <w:r w:rsidRPr="00E57F7E">
              <w:rPr>
                <w:lang w:eastAsia="en-GB"/>
              </w:rPr>
              <w:t xml:space="preserve">Addresses key areas of doubt and uncertainty; and </w:t>
            </w:r>
          </w:p>
          <w:p w:rsidR="00E00AEC" w:rsidRPr="00E57F7E" w:rsidRDefault="00E00AEC" w:rsidP="00E00AEC">
            <w:pPr>
              <w:numPr>
                <w:ilvl w:val="0"/>
                <w:numId w:val="9"/>
              </w:numPr>
              <w:spacing w:after="0" w:line="240" w:lineRule="auto"/>
              <w:jc w:val="both"/>
              <w:rPr>
                <w:lang w:eastAsia="en-GB"/>
              </w:rPr>
            </w:pPr>
            <w:r w:rsidRPr="00E57F7E">
              <w:rPr>
                <w:lang w:eastAsia="en-GB"/>
              </w:rPr>
              <w:t>Provides commitments that can be translated well into contractual terms</w:t>
            </w:r>
          </w:p>
        </w:tc>
      </w:tr>
      <w:tr w:rsidR="00E00AEC" w:rsidTr="00E00AEC">
        <w:trPr>
          <w:trHeight w:val="862"/>
        </w:trPr>
        <w:tc>
          <w:tcPr>
            <w:tcW w:w="851"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before="60" w:after="60"/>
              <w:ind w:left="709" w:hanging="709"/>
              <w:jc w:val="center"/>
              <w:rPr>
                <w:lang w:eastAsia="en-GB"/>
              </w:rPr>
            </w:pPr>
            <w:r w:rsidRPr="00E57F7E">
              <w:rPr>
                <w:lang w:eastAsia="en-GB"/>
              </w:rPr>
              <w:t>3</w:t>
            </w:r>
          </w:p>
        </w:tc>
        <w:tc>
          <w:tcPr>
            <w:tcW w:w="9072" w:type="dxa"/>
            <w:tcBorders>
              <w:top w:val="nil"/>
              <w:left w:val="nil"/>
              <w:bottom w:val="single" w:sz="8" w:space="0" w:color="808080"/>
              <w:right w:val="single" w:sz="8" w:space="0" w:color="808080"/>
            </w:tcBorders>
            <w:tcMar>
              <w:top w:w="0" w:type="dxa"/>
              <w:left w:w="108" w:type="dxa"/>
              <w:bottom w:w="0" w:type="dxa"/>
              <w:right w:w="108" w:type="dxa"/>
            </w:tcMar>
          </w:tcPr>
          <w:p w:rsidR="00E00AEC" w:rsidRPr="00E57F7E" w:rsidRDefault="00E00AEC" w:rsidP="00666C10">
            <w:pPr>
              <w:ind w:left="709" w:hanging="709"/>
              <w:jc w:val="both"/>
              <w:rPr>
                <w:lang w:eastAsia="en-GB"/>
              </w:rPr>
            </w:pPr>
            <w:r w:rsidRPr="00E57F7E">
              <w:rPr>
                <w:lang w:eastAsia="en-GB"/>
              </w:rPr>
              <w:t>A satisfactory Tender Response that (where applicable):</w:t>
            </w:r>
          </w:p>
          <w:p w:rsidR="00E00AEC" w:rsidRPr="00E57F7E" w:rsidRDefault="00E00AEC" w:rsidP="00E00AEC">
            <w:pPr>
              <w:numPr>
                <w:ilvl w:val="0"/>
                <w:numId w:val="10"/>
              </w:numPr>
              <w:spacing w:after="0" w:line="240" w:lineRule="auto"/>
              <w:jc w:val="both"/>
              <w:rPr>
                <w:lang w:eastAsia="en-GB"/>
              </w:rPr>
            </w:pPr>
            <w:r w:rsidRPr="00E57F7E">
              <w:rPr>
                <w:lang w:eastAsia="en-GB"/>
              </w:rPr>
              <w:t xml:space="preserve">Addresses </w:t>
            </w:r>
            <w:proofErr w:type="gramStart"/>
            <w:r w:rsidRPr="00E57F7E">
              <w:rPr>
                <w:lang w:eastAsia="en-GB"/>
              </w:rPr>
              <w:t>the majority of</w:t>
            </w:r>
            <w:proofErr w:type="gramEnd"/>
            <w:r w:rsidRPr="00E57F7E">
              <w:rPr>
                <w:lang w:eastAsia="en-GB"/>
              </w:rPr>
              <w:t xml:space="preserve"> the question and is generally of a good standard but lacks substance or detail in some areas;</w:t>
            </w:r>
          </w:p>
          <w:p w:rsidR="00E00AEC" w:rsidRPr="00E57F7E" w:rsidRDefault="00E00AEC" w:rsidP="00E00AEC">
            <w:pPr>
              <w:numPr>
                <w:ilvl w:val="0"/>
                <w:numId w:val="10"/>
              </w:numPr>
              <w:spacing w:after="0" w:line="240" w:lineRule="auto"/>
              <w:jc w:val="both"/>
              <w:rPr>
                <w:lang w:eastAsia="en-GB"/>
              </w:rPr>
            </w:pPr>
            <w:r w:rsidRPr="00E57F7E">
              <w:rPr>
                <w:lang w:eastAsia="en-GB"/>
              </w:rPr>
              <w:t>Demonstrates an understanding of what is being asked for;</w:t>
            </w:r>
          </w:p>
          <w:p w:rsidR="00E00AEC" w:rsidRPr="00E57F7E" w:rsidRDefault="00E00AEC" w:rsidP="00E00AEC">
            <w:pPr>
              <w:numPr>
                <w:ilvl w:val="0"/>
                <w:numId w:val="10"/>
              </w:numPr>
              <w:spacing w:after="0" w:line="240" w:lineRule="auto"/>
              <w:jc w:val="both"/>
              <w:rPr>
                <w:lang w:eastAsia="en-GB"/>
              </w:rPr>
            </w:pPr>
            <w:r w:rsidRPr="00E57F7E">
              <w:rPr>
                <w:lang w:eastAsia="en-GB"/>
              </w:rPr>
              <w:t>Provides a satisfactory approach;</w:t>
            </w:r>
          </w:p>
          <w:p w:rsidR="00E00AEC" w:rsidRPr="00E57F7E" w:rsidRDefault="00E00AEC" w:rsidP="00E00AEC">
            <w:pPr>
              <w:numPr>
                <w:ilvl w:val="0"/>
                <w:numId w:val="10"/>
              </w:numPr>
              <w:spacing w:after="0" w:line="240" w:lineRule="auto"/>
              <w:jc w:val="both"/>
              <w:rPr>
                <w:lang w:eastAsia="en-GB"/>
              </w:rPr>
            </w:pPr>
            <w:r w:rsidRPr="00E57F7E">
              <w:rPr>
                <w:lang w:eastAsia="en-GB"/>
              </w:rPr>
              <w:t>Offers a general level of confidence that the Tenderer will deliver the service (but with room for doubt in some areas);</w:t>
            </w:r>
          </w:p>
          <w:p w:rsidR="00E00AEC" w:rsidRPr="00E57F7E" w:rsidRDefault="00E00AEC" w:rsidP="00E00AEC">
            <w:pPr>
              <w:numPr>
                <w:ilvl w:val="0"/>
                <w:numId w:val="10"/>
              </w:numPr>
              <w:spacing w:after="0" w:line="240" w:lineRule="auto"/>
              <w:jc w:val="both"/>
              <w:rPr>
                <w:lang w:eastAsia="en-GB"/>
              </w:rPr>
            </w:pPr>
            <w:r w:rsidRPr="00E57F7E">
              <w:rPr>
                <w:lang w:eastAsia="en-GB"/>
              </w:rPr>
              <w:t>Address some areas of doubt and uncertainty; and</w:t>
            </w:r>
          </w:p>
          <w:p w:rsidR="00E00AEC" w:rsidRPr="00E57F7E" w:rsidRDefault="00E00AEC" w:rsidP="00E00AEC">
            <w:pPr>
              <w:numPr>
                <w:ilvl w:val="0"/>
                <w:numId w:val="10"/>
              </w:numPr>
              <w:spacing w:after="0" w:line="240" w:lineRule="auto"/>
              <w:jc w:val="both"/>
              <w:rPr>
                <w:lang w:eastAsia="en-GB"/>
              </w:rPr>
            </w:pPr>
            <w:r w:rsidRPr="00E57F7E">
              <w:rPr>
                <w:lang w:eastAsia="en-GB"/>
              </w:rPr>
              <w:t>Provides some commitments that can be translated well into contractual terms.</w:t>
            </w:r>
          </w:p>
        </w:tc>
      </w:tr>
      <w:tr w:rsidR="00E00AEC" w:rsidTr="00E00AEC">
        <w:trPr>
          <w:trHeight w:val="862"/>
        </w:trPr>
        <w:tc>
          <w:tcPr>
            <w:tcW w:w="851"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spacing w:before="60" w:after="60"/>
              <w:ind w:left="709" w:hanging="709"/>
              <w:jc w:val="center"/>
              <w:rPr>
                <w:lang w:eastAsia="en-GB"/>
              </w:rPr>
            </w:pPr>
            <w:r w:rsidRPr="00E57F7E">
              <w:rPr>
                <w:lang w:eastAsia="en-GB"/>
              </w:rPr>
              <w:t>2</w:t>
            </w:r>
          </w:p>
        </w:tc>
        <w:tc>
          <w:tcPr>
            <w:tcW w:w="9072" w:type="dxa"/>
            <w:tcBorders>
              <w:top w:val="nil"/>
              <w:left w:val="nil"/>
              <w:bottom w:val="single" w:sz="8" w:space="0" w:color="808080"/>
              <w:right w:val="single" w:sz="8" w:space="0" w:color="808080"/>
            </w:tcBorders>
            <w:tcMar>
              <w:top w:w="0" w:type="dxa"/>
              <w:left w:w="108" w:type="dxa"/>
              <w:bottom w:w="0" w:type="dxa"/>
              <w:right w:w="108" w:type="dxa"/>
            </w:tcMar>
          </w:tcPr>
          <w:p w:rsidR="00E00AEC" w:rsidRPr="00E57F7E" w:rsidRDefault="00E00AEC" w:rsidP="00666C10">
            <w:pPr>
              <w:ind w:left="709" w:hanging="709"/>
              <w:jc w:val="both"/>
              <w:rPr>
                <w:lang w:eastAsia="en-GB"/>
              </w:rPr>
            </w:pPr>
            <w:r w:rsidRPr="00E57F7E">
              <w:rPr>
                <w:lang w:eastAsia="en-GB"/>
              </w:rPr>
              <w:t>A Tender Response that (where applicable):</w:t>
            </w:r>
          </w:p>
          <w:p w:rsidR="00E00AEC" w:rsidRPr="00E57F7E" w:rsidRDefault="00E00AEC" w:rsidP="00E00AEC">
            <w:pPr>
              <w:numPr>
                <w:ilvl w:val="0"/>
                <w:numId w:val="11"/>
              </w:numPr>
              <w:spacing w:after="0" w:line="240" w:lineRule="auto"/>
              <w:jc w:val="both"/>
              <w:rPr>
                <w:lang w:eastAsia="en-GB"/>
              </w:rPr>
            </w:pPr>
            <w:r w:rsidRPr="00E57F7E">
              <w:rPr>
                <w:lang w:eastAsia="en-GB"/>
              </w:rPr>
              <w:t xml:space="preserve">Addresses some of the question but </w:t>
            </w:r>
            <w:r w:rsidRPr="00E57F7E">
              <w:rPr>
                <w:i/>
                <w:iCs/>
                <w:lang w:eastAsia="en-GB"/>
              </w:rPr>
              <w:t xml:space="preserve">either </w:t>
            </w:r>
            <w:r w:rsidRPr="00E57F7E">
              <w:rPr>
                <w:lang w:eastAsia="en-GB"/>
              </w:rPr>
              <w:t xml:space="preserve">lacks relevant information and detail </w:t>
            </w:r>
            <w:r w:rsidRPr="00E57F7E">
              <w:rPr>
                <w:i/>
                <w:iCs/>
                <w:lang w:eastAsia="en-GB"/>
              </w:rPr>
              <w:t xml:space="preserve">or </w:t>
            </w:r>
            <w:r w:rsidRPr="00E57F7E">
              <w:rPr>
                <w:lang w:eastAsia="en-GB"/>
              </w:rPr>
              <w:t>lacks substance in a manner that would suggest the response is a “model answer”;</w:t>
            </w:r>
          </w:p>
          <w:p w:rsidR="00E00AEC" w:rsidRPr="00E57F7E" w:rsidRDefault="00E00AEC" w:rsidP="00E00AEC">
            <w:pPr>
              <w:numPr>
                <w:ilvl w:val="0"/>
                <w:numId w:val="11"/>
              </w:numPr>
              <w:spacing w:after="0" w:line="240" w:lineRule="auto"/>
              <w:jc w:val="both"/>
              <w:rPr>
                <w:lang w:eastAsia="en-GB"/>
              </w:rPr>
            </w:pPr>
            <w:r w:rsidRPr="00E57F7E">
              <w:rPr>
                <w:lang w:eastAsia="en-GB"/>
              </w:rPr>
              <w:t>Demonstrates some understanding but with a lack of clarity in key areas;</w:t>
            </w:r>
          </w:p>
          <w:p w:rsidR="00E00AEC" w:rsidRPr="00E57F7E" w:rsidRDefault="00E00AEC" w:rsidP="00E00AEC">
            <w:pPr>
              <w:numPr>
                <w:ilvl w:val="0"/>
                <w:numId w:val="11"/>
              </w:numPr>
              <w:spacing w:after="0" w:line="240" w:lineRule="auto"/>
              <w:jc w:val="both"/>
              <w:rPr>
                <w:lang w:eastAsia="en-GB"/>
              </w:rPr>
            </w:pPr>
            <w:r w:rsidRPr="00E57F7E">
              <w:rPr>
                <w:lang w:eastAsia="en-GB"/>
              </w:rPr>
              <w:t>Provides an approach which is not wholly appropriate or viable or</w:t>
            </w:r>
            <w:r w:rsidRPr="00E57F7E">
              <w:rPr>
                <w:i/>
                <w:iCs/>
                <w:lang w:eastAsia="en-GB"/>
              </w:rPr>
              <w:t xml:space="preserve"> </w:t>
            </w:r>
            <w:r w:rsidRPr="00E57F7E">
              <w:rPr>
                <w:lang w:eastAsia="en-GB"/>
              </w:rPr>
              <w:t>lacks evidence;</w:t>
            </w:r>
          </w:p>
          <w:p w:rsidR="00E00AEC" w:rsidRPr="00E57F7E" w:rsidRDefault="00E00AEC" w:rsidP="00E00AEC">
            <w:pPr>
              <w:numPr>
                <w:ilvl w:val="0"/>
                <w:numId w:val="11"/>
              </w:numPr>
              <w:spacing w:after="0" w:line="240" w:lineRule="auto"/>
              <w:jc w:val="both"/>
              <w:rPr>
                <w:lang w:eastAsia="en-GB"/>
              </w:rPr>
            </w:pPr>
            <w:r w:rsidRPr="00E57F7E">
              <w:rPr>
                <w:lang w:eastAsia="en-GB"/>
              </w:rPr>
              <w:t>Shows that the level of confidence that the supplier can deliver does not outweigh the doubt;</w:t>
            </w:r>
          </w:p>
          <w:p w:rsidR="00E00AEC" w:rsidRPr="00E57F7E" w:rsidRDefault="00E00AEC" w:rsidP="00E00AEC">
            <w:pPr>
              <w:numPr>
                <w:ilvl w:val="0"/>
                <w:numId w:val="11"/>
              </w:numPr>
              <w:spacing w:after="0" w:line="240" w:lineRule="auto"/>
              <w:jc w:val="both"/>
              <w:rPr>
                <w:lang w:eastAsia="en-GB"/>
              </w:rPr>
            </w:pPr>
            <w:r w:rsidRPr="00E57F7E">
              <w:rPr>
                <w:lang w:eastAsia="en-GB"/>
              </w:rPr>
              <w:t>Does not address many areas of doubt and uncertainty; and</w:t>
            </w:r>
          </w:p>
          <w:p w:rsidR="00E00AEC" w:rsidRPr="00E57F7E" w:rsidRDefault="00E00AEC" w:rsidP="00E00AEC">
            <w:pPr>
              <w:numPr>
                <w:ilvl w:val="0"/>
                <w:numId w:val="11"/>
              </w:numPr>
              <w:spacing w:after="0" w:line="240" w:lineRule="auto"/>
              <w:jc w:val="both"/>
              <w:rPr>
                <w:lang w:eastAsia="en-GB"/>
              </w:rPr>
            </w:pPr>
            <w:r w:rsidRPr="00E57F7E">
              <w:rPr>
                <w:lang w:eastAsia="en-GB"/>
              </w:rPr>
              <w:t xml:space="preserve">Does not offer </w:t>
            </w:r>
            <w:proofErr w:type="gramStart"/>
            <w:r w:rsidRPr="00E57F7E">
              <w:rPr>
                <w:lang w:eastAsia="en-GB"/>
              </w:rPr>
              <w:t>sufficient</w:t>
            </w:r>
            <w:proofErr w:type="gramEnd"/>
            <w:r w:rsidRPr="00E57F7E">
              <w:rPr>
                <w:lang w:eastAsia="en-GB"/>
              </w:rPr>
              <w:t xml:space="preserve"> commitment (with doubt as to the extent to which would translate into contractual terms)</w:t>
            </w:r>
            <w:r>
              <w:rPr>
                <w:lang w:eastAsia="en-GB"/>
              </w:rPr>
              <w:t>.</w:t>
            </w:r>
          </w:p>
        </w:tc>
      </w:tr>
      <w:tr w:rsidR="00E00AEC" w:rsidTr="00E00AEC">
        <w:trPr>
          <w:trHeight w:val="862"/>
        </w:trPr>
        <w:tc>
          <w:tcPr>
            <w:tcW w:w="851"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ind w:left="709" w:hanging="709"/>
              <w:jc w:val="center"/>
              <w:rPr>
                <w:lang w:eastAsia="en-GB"/>
              </w:rPr>
            </w:pPr>
            <w:r w:rsidRPr="00E57F7E">
              <w:rPr>
                <w:lang w:eastAsia="en-GB"/>
              </w:rPr>
              <w:t>1</w:t>
            </w:r>
          </w:p>
        </w:tc>
        <w:tc>
          <w:tcPr>
            <w:tcW w:w="9072" w:type="dxa"/>
            <w:tcBorders>
              <w:top w:val="nil"/>
              <w:left w:val="nil"/>
              <w:bottom w:val="single" w:sz="8" w:space="0" w:color="808080"/>
              <w:right w:val="single" w:sz="8" w:space="0" w:color="808080"/>
            </w:tcBorders>
            <w:tcMar>
              <w:top w:w="0" w:type="dxa"/>
              <w:left w:w="108" w:type="dxa"/>
              <w:bottom w:w="0" w:type="dxa"/>
              <w:right w:w="108" w:type="dxa"/>
            </w:tcMar>
          </w:tcPr>
          <w:p w:rsidR="00E00AEC" w:rsidRPr="00E57F7E" w:rsidRDefault="00E00AEC" w:rsidP="00666C10">
            <w:pPr>
              <w:ind w:left="709" w:hanging="709"/>
              <w:jc w:val="both"/>
              <w:rPr>
                <w:lang w:eastAsia="en-GB"/>
              </w:rPr>
            </w:pPr>
            <w:r w:rsidRPr="00E57F7E">
              <w:rPr>
                <w:lang w:eastAsia="en-GB"/>
              </w:rPr>
              <w:t>A generally unsatisfactory Tenderer response that (where applicable):</w:t>
            </w:r>
          </w:p>
          <w:p w:rsidR="00E00AEC" w:rsidRPr="00E57F7E" w:rsidRDefault="00E00AEC" w:rsidP="00E00AEC">
            <w:pPr>
              <w:numPr>
                <w:ilvl w:val="0"/>
                <w:numId w:val="12"/>
              </w:numPr>
              <w:spacing w:after="0" w:line="240" w:lineRule="auto"/>
              <w:jc w:val="both"/>
              <w:rPr>
                <w:lang w:eastAsia="en-GB"/>
              </w:rPr>
            </w:pPr>
            <w:r w:rsidRPr="00E57F7E">
              <w:rPr>
                <w:lang w:eastAsia="en-GB"/>
              </w:rPr>
              <w:t>Does not address the question or has omissions;</w:t>
            </w:r>
          </w:p>
          <w:p w:rsidR="00E00AEC" w:rsidRPr="00E57F7E" w:rsidRDefault="00E00AEC" w:rsidP="00E00AEC">
            <w:pPr>
              <w:numPr>
                <w:ilvl w:val="0"/>
                <w:numId w:val="12"/>
              </w:numPr>
              <w:spacing w:after="0" w:line="240" w:lineRule="auto"/>
              <w:jc w:val="both"/>
              <w:rPr>
                <w:lang w:eastAsia="en-GB"/>
              </w:rPr>
            </w:pPr>
            <w:r w:rsidRPr="00E57F7E">
              <w:rPr>
                <w:lang w:eastAsia="en-GB"/>
              </w:rPr>
              <w:t>Lacks understanding in significant areas:</w:t>
            </w:r>
          </w:p>
          <w:p w:rsidR="00E00AEC" w:rsidRPr="00E57F7E" w:rsidRDefault="00E00AEC" w:rsidP="00E00AEC">
            <w:pPr>
              <w:numPr>
                <w:ilvl w:val="0"/>
                <w:numId w:val="12"/>
              </w:numPr>
              <w:spacing w:after="0" w:line="240" w:lineRule="auto"/>
              <w:jc w:val="both"/>
              <w:rPr>
                <w:lang w:eastAsia="en-GB"/>
              </w:rPr>
            </w:pPr>
            <w:r w:rsidRPr="00E57F7E">
              <w:rPr>
                <w:lang w:eastAsia="en-GB"/>
              </w:rPr>
              <w:t>Provides an approach which has gaps or creates concerns;</w:t>
            </w:r>
          </w:p>
          <w:p w:rsidR="00E00AEC" w:rsidRPr="00E57F7E" w:rsidRDefault="00E00AEC" w:rsidP="00E00AEC">
            <w:pPr>
              <w:numPr>
                <w:ilvl w:val="0"/>
                <w:numId w:val="12"/>
              </w:numPr>
              <w:spacing w:after="0" w:line="240" w:lineRule="auto"/>
              <w:jc w:val="both"/>
              <w:rPr>
                <w:lang w:eastAsia="en-GB"/>
              </w:rPr>
            </w:pPr>
            <w:r w:rsidRPr="00E57F7E">
              <w:rPr>
                <w:lang w:eastAsia="en-GB"/>
              </w:rPr>
              <w:lastRenderedPageBreak/>
              <w:t>Shows that the level of confidence that the supplier can deliver is low;</w:t>
            </w:r>
          </w:p>
          <w:p w:rsidR="00E00AEC" w:rsidRPr="00E57F7E" w:rsidRDefault="00E00AEC" w:rsidP="00E00AEC">
            <w:pPr>
              <w:numPr>
                <w:ilvl w:val="0"/>
                <w:numId w:val="12"/>
              </w:numPr>
              <w:spacing w:after="0" w:line="240" w:lineRule="auto"/>
              <w:jc w:val="both"/>
              <w:rPr>
                <w:lang w:eastAsia="en-GB"/>
              </w:rPr>
            </w:pPr>
            <w:r w:rsidRPr="00E57F7E">
              <w:rPr>
                <w:lang w:eastAsia="en-GB"/>
              </w:rPr>
              <w:t>Creates uncertainty; and</w:t>
            </w:r>
          </w:p>
          <w:p w:rsidR="00E00AEC" w:rsidRPr="00E57F7E" w:rsidRDefault="00E00AEC" w:rsidP="00E00AEC">
            <w:pPr>
              <w:numPr>
                <w:ilvl w:val="0"/>
                <w:numId w:val="12"/>
              </w:numPr>
              <w:spacing w:after="0" w:line="240" w:lineRule="auto"/>
              <w:jc w:val="both"/>
              <w:rPr>
                <w:lang w:eastAsia="en-GB"/>
              </w:rPr>
            </w:pPr>
            <w:r w:rsidRPr="00E57F7E">
              <w:rPr>
                <w:lang w:eastAsia="en-GB"/>
              </w:rPr>
              <w:t> Displays significant lack of commitment (with doubt as to the extent to which would translate into contractual terms)</w:t>
            </w:r>
          </w:p>
        </w:tc>
      </w:tr>
      <w:tr w:rsidR="00E00AEC" w:rsidTr="00E00AEC">
        <w:trPr>
          <w:trHeight w:val="862"/>
        </w:trPr>
        <w:tc>
          <w:tcPr>
            <w:tcW w:w="851"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Pr="00E57F7E" w:rsidRDefault="00E00AEC" w:rsidP="00666C10">
            <w:pPr>
              <w:ind w:left="709" w:hanging="709"/>
              <w:jc w:val="center"/>
              <w:rPr>
                <w:lang w:eastAsia="en-GB"/>
              </w:rPr>
            </w:pPr>
            <w:r w:rsidRPr="00E57F7E">
              <w:rPr>
                <w:lang w:eastAsia="en-GB"/>
              </w:rPr>
              <w:lastRenderedPageBreak/>
              <w:t>0</w:t>
            </w:r>
          </w:p>
        </w:tc>
        <w:tc>
          <w:tcPr>
            <w:tcW w:w="9072" w:type="dxa"/>
            <w:tcBorders>
              <w:top w:val="nil"/>
              <w:left w:val="nil"/>
              <w:bottom w:val="single" w:sz="8" w:space="0" w:color="808080"/>
              <w:right w:val="single" w:sz="8" w:space="0" w:color="808080"/>
            </w:tcBorders>
            <w:tcMar>
              <w:top w:w="0" w:type="dxa"/>
              <w:left w:w="108" w:type="dxa"/>
              <w:bottom w:w="0" w:type="dxa"/>
              <w:right w:w="108" w:type="dxa"/>
            </w:tcMar>
          </w:tcPr>
          <w:p w:rsidR="00E00AEC" w:rsidRPr="00E57F7E" w:rsidRDefault="00E00AEC" w:rsidP="00666C10">
            <w:pPr>
              <w:ind w:left="709" w:hanging="709"/>
              <w:jc w:val="both"/>
              <w:rPr>
                <w:lang w:eastAsia="en-GB"/>
              </w:rPr>
            </w:pPr>
            <w:r w:rsidRPr="00E57F7E">
              <w:rPr>
                <w:lang w:eastAsia="en-GB"/>
              </w:rPr>
              <w:t>A wholly unsatisfactory Tenderer response that (where applicable):</w:t>
            </w:r>
          </w:p>
          <w:p w:rsidR="00E00AEC" w:rsidRPr="00E57F7E" w:rsidRDefault="00E00AEC" w:rsidP="00E00AEC">
            <w:pPr>
              <w:numPr>
                <w:ilvl w:val="0"/>
                <w:numId w:val="13"/>
              </w:numPr>
              <w:spacing w:after="0" w:line="240" w:lineRule="auto"/>
              <w:jc w:val="both"/>
              <w:rPr>
                <w:lang w:eastAsia="en-GB"/>
              </w:rPr>
            </w:pPr>
            <w:r w:rsidRPr="00E57F7E">
              <w:rPr>
                <w:lang w:eastAsia="en-GB"/>
              </w:rPr>
              <w:t>Provides no response or omissions/oversights that prevent scoring;</w:t>
            </w:r>
          </w:p>
          <w:p w:rsidR="00E00AEC" w:rsidRPr="00E57F7E" w:rsidRDefault="00E00AEC" w:rsidP="00E00AEC">
            <w:pPr>
              <w:numPr>
                <w:ilvl w:val="0"/>
                <w:numId w:val="13"/>
              </w:numPr>
              <w:spacing w:after="0" w:line="240" w:lineRule="auto"/>
              <w:jc w:val="both"/>
              <w:rPr>
                <w:lang w:eastAsia="en-GB"/>
              </w:rPr>
            </w:pPr>
            <w:r w:rsidRPr="00E57F7E">
              <w:rPr>
                <w:lang w:eastAsia="en-GB"/>
              </w:rPr>
              <w:t>Refuses to deliver the requirement; and</w:t>
            </w:r>
          </w:p>
          <w:p w:rsidR="00E00AEC" w:rsidRPr="00E57F7E" w:rsidRDefault="00E00AEC" w:rsidP="00E00AEC">
            <w:pPr>
              <w:numPr>
                <w:ilvl w:val="0"/>
                <w:numId w:val="13"/>
              </w:numPr>
              <w:spacing w:after="0" w:line="240" w:lineRule="auto"/>
              <w:jc w:val="both"/>
              <w:rPr>
                <w:lang w:eastAsia="en-GB"/>
              </w:rPr>
            </w:pPr>
            <w:r w:rsidRPr="00E57F7E">
              <w:rPr>
                <w:lang w:eastAsia="en-GB"/>
              </w:rPr>
              <w:t xml:space="preserve">Creates concerns so significant that the response would be detrimental to the interests of RSSB  </w:t>
            </w:r>
          </w:p>
        </w:tc>
      </w:tr>
    </w:tbl>
    <w:p w:rsidR="00020CF1" w:rsidRDefault="00020CF1"/>
    <w:p w:rsidR="00E00AEC" w:rsidRDefault="00E00AEC" w:rsidP="00E00AEC">
      <w:pPr>
        <w:pStyle w:val="Heading1"/>
      </w:pPr>
      <w:r>
        <w:t>Timetable</w:t>
      </w:r>
    </w:p>
    <w:p w:rsidR="00E00AEC" w:rsidRDefault="00E00AEC" w:rsidP="00E00AEC">
      <w:pPr>
        <w:pStyle w:val="Body"/>
      </w:pPr>
    </w:p>
    <w:tbl>
      <w:tblPr>
        <w:tblW w:w="5000" w:type="pct"/>
        <w:tblCellMar>
          <w:left w:w="0" w:type="dxa"/>
          <w:right w:w="0" w:type="dxa"/>
        </w:tblCellMar>
        <w:tblLook w:val="04A0" w:firstRow="1" w:lastRow="0" w:firstColumn="1" w:lastColumn="0" w:noHBand="0" w:noVBand="1"/>
      </w:tblPr>
      <w:tblGrid>
        <w:gridCol w:w="4344"/>
        <w:gridCol w:w="4662"/>
      </w:tblGrid>
      <w:tr w:rsidR="00E00AEC" w:rsidTr="00666C10">
        <w:trPr>
          <w:trHeight w:val="504"/>
        </w:trPr>
        <w:tc>
          <w:tcPr>
            <w:tcW w:w="2412"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rPr>
                <w:rFonts w:ascii="Calibri" w:hAnsi="Calibri"/>
                <w:b/>
                <w:bCs/>
              </w:rPr>
            </w:pPr>
            <w:r>
              <w:rPr>
                <w:b/>
                <w:bCs/>
              </w:rPr>
              <w:t>Activity type</w:t>
            </w:r>
          </w:p>
        </w:tc>
        <w:tc>
          <w:tcPr>
            <w:tcW w:w="258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rPr>
                <w:b/>
                <w:bCs/>
              </w:rPr>
            </w:pPr>
            <w:r>
              <w:rPr>
                <w:b/>
                <w:bCs/>
              </w:rPr>
              <w:t>Start Date</w:t>
            </w:r>
          </w:p>
        </w:tc>
      </w:tr>
      <w:tr w:rsidR="00E00AEC" w:rsidTr="00666C10">
        <w:trPr>
          <w:trHeight w:val="504"/>
        </w:trPr>
        <w:tc>
          <w:tcPr>
            <w:tcW w:w="241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jc w:val="both"/>
            </w:pPr>
            <w:r>
              <w:t>I.T.T</w:t>
            </w:r>
            <w:r>
              <w:t xml:space="preserve"> issued</w:t>
            </w:r>
          </w:p>
        </w:tc>
        <w:tc>
          <w:tcPr>
            <w:tcW w:w="2588"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pPr>
            <w:r>
              <w:t>18</w:t>
            </w:r>
            <w:r>
              <w:t xml:space="preserve"> </w:t>
            </w:r>
            <w:r>
              <w:t>October</w:t>
            </w:r>
            <w:r>
              <w:t xml:space="preserve"> 2018</w:t>
            </w:r>
          </w:p>
        </w:tc>
      </w:tr>
      <w:tr w:rsidR="00E00AEC" w:rsidTr="00666C10">
        <w:trPr>
          <w:trHeight w:val="516"/>
        </w:trPr>
        <w:tc>
          <w:tcPr>
            <w:tcW w:w="241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jc w:val="both"/>
            </w:pPr>
            <w:r>
              <w:t xml:space="preserve">Supplier clarification questions deadline </w:t>
            </w:r>
          </w:p>
        </w:tc>
        <w:tc>
          <w:tcPr>
            <w:tcW w:w="2588"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pPr>
            <w:r>
              <w:t xml:space="preserve">24 October </w:t>
            </w:r>
            <w:r>
              <w:t>2018</w:t>
            </w:r>
          </w:p>
        </w:tc>
      </w:tr>
      <w:tr w:rsidR="00E00AEC" w:rsidTr="00666C10">
        <w:trPr>
          <w:trHeight w:val="280"/>
        </w:trPr>
        <w:tc>
          <w:tcPr>
            <w:tcW w:w="241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jc w:val="both"/>
            </w:pPr>
            <w:r>
              <w:t>Deadline for Submitting Tenders</w:t>
            </w:r>
          </w:p>
        </w:tc>
        <w:tc>
          <w:tcPr>
            <w:tcW w:w="2588"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pPr>
            <w:r>
              <w:t>26 October</w:t>
            </w:r>
            <w:r>
              <w:t xml:space="preserve"> 2018</w:t>
            </w:r>
            <w:r w:rsidR="00F23903">
              <w:t xml:space="preserve"> 12:00</w:t>
            </w:r>
          </w:p>
        </w:tc>
      </w:tr>
      <w:tr w:rsidR="00E00AEC" w:rsidTr="00666C10">
        <w:trPr>
          <w:trHeight w:val="493"/>
        </w:trPr>
        <w:tc>
          <w:tcPr>
            <w:tcW w:w="241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jc w:val="both"/>
            </w:pPr>
            <w:r>
              <w:t xml:space="preserve">Post Tender </w:t>
            </w:r>
            <w:r>
              <w:t xml:space="preserve">Evaluation &amp; </w:t>
            </w:r>
            <w:r>
              <w:t xml:space="preserve">Clarification </w:t>
            </w:r>
          </w:p>
        </w:tc>
        <w:tc>
          <w:tcPr>
            <w:tcW w:w="2588"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pPr>
            <w:r>
              <w:t xml:space="preserve">W/C 29 October </w:t>
            </w:r>
            <w:r>
              <w:t>2018</w:t>
            </w:r>
          </w:p>
        </w:tc>
      </w:tr>
      <w:tr w:rsidR="00E00AEC" w:rsidTr="00666C10">
        <w:trPr>
          <w:trHeight w:val="504"/>
        </w:trPr>
        <w:tc>
          <w:tcPr>
            <w:tcW w:w="241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jc w:val="both"/>
            </w:pPr>
            <w:r>
              <w:t>Estimated notification of award decision</w:t>
            </w:r>
          </w:p>
        </w:tc>
        <w:tc>
          <w:tcPr>
            <w:tcW w:w="2588"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Default="00F23903" w:rsidP="00666C10">
            <w:pPr>
              <w:spacing w:before="120" w:after="120"/>
            </w:pPr>
            <w:r>
              <w:t>W/C 29 October 2018</w:t>
            </w:r>
          </w:p>
        </w:tc>
      </w:tr>
      <w:tr w:rsidR="00E00AEC" w:rsidTr="00666C10">
        <w:trPr>
          <w:trHeight w:val="504"/>
        </w:trPr>
        <w:tc>
          <w:tcPr>
            <w:tcW w:w="241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E00AEC" w:rsidRDefault="00E00AEC" w:rsidP="00666C10">
            <w:pPr>
              <w:spacing w:before="120" w:after="120"/>
              <w:jc w:val="both"/>
            </w:pPr>
            <w:r>
              <w:t>Target contract commencement date</w:t>
            </w:r>
          </w:p>
        </w:tc>
        <w:tc>
          <w:tcPr>
            <w:tcW w:w="2588" w:type="pct"/>
            <w:tcBorders>
              <w:top w:val="nil"/>
              <w:left w:val="nil"/>
              <w:bottom w:val="single" w:sz="8" w:space="0" w:color="808080"/>
              <w:right w:val="single" w:sz="8" w:space="0" w:color="808080"/>
            </w:tcBorders>
            <w:tcMar>
              <w:top w:w="0" w:type="dxa"/>
              <w:left w:w="108" w:type="dxa"/>
              <w:bottom w:w="0" w:type="dxa"/>
              <w:right w:w="108" w:type="dxa"/>
            </w:tcMar>
            <w:hideMark/>
          </w:tcPr>
          <w:p w:rsidR="00E00AEC" w:rsidRDefault="00F23903" w:rsidP="00666C10">
            <w:pPr>
              <w:spacing w:before="120" w:after="120"/>
            </w:pPr>
            <w:r>
              <w:t>W/C 29 October 2018</w:t>
            </w:r>
          </w:p>
        </w:tc>
      </w:tr>
    </w:tbl>
    <w:p w:rsidR="00E00AEC" w:rsidRDefault="00E00AEC" w:rsidP="00E00AEC">
      <w:pPr>
        <w:pStyle w:val="Body"/>
      </w:pPr>
    </w:p>
    <w:p w:rsidR="00F23903" w:rsidRDefault="00F23903" w:rsidP="00F23903">
      <w:pPr>
        <w:pStyle w:val="Heading1"/>
      </w:pPr>
      <w:r>
        <w:t>Tender Submission Timetable</w:t>
      </w:r>
    </w:p>
    <w:p w:rsidR="00E00AEC" w:rsidRDefault="00F23903">
      <w:pPr>
        <w:rPr>
          <w:rFonts w:ascii="Calibri" w:eastAsia="Times New Roman" w:hAnsi="Calibri" w:cs="Arial"/>
          <w:lang w:eastAsia="en-GB"/>
        </w:rPr>
      </w:pPr>
      <w:r>
        <w:rPr>
          <w:rFonts w:ascii="Calibri" w:eastAsia="Times New Roman" w:hAnsi="Calibri" w:cs="Arial"/>
          <w:lang w:eastAsia="en-GB"/>
        </w:rPr>
        <w:t>Please submit your tender submission to:</w:t>
      </w:r>
    </w:p>
    <w:p w:rsidR="00F23903" w:rsidRDefault="00F23903"/>
    <w:p w:rsidR="00F23903" w:rsidRPr="00020CF1" w:rsidRDefault="00F23903">
      <w:hyperlink r:id="rId6" w:history="1">
        <w:r w:rsidRPr="00D35043">
          <w:rPr>
            <w:rStyle w:val="Hyperlink"/>
          </w:rPr>
          <w:t>Shareditt@rssb.co.uk</w:t>
        </w:r>
      </w:hyperlink>
      <w:r>
        <w:t xml:space="preserve"> </w:t>
      </w:r>
      <w:bookmarkStart w:id="0" w:name="_GoBack"/>
      <w:bookmarkEnd w:id="0"/>
    </w:p>
    <w:sectPr w:rsidR="00F23903" w:rsidRPr="00020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F7C"/>
    <w:multiLevelType w:val="hybridMultilevel"/>
    <w:tmpl w:val="6A908F6E"/>
    <w:lvl w:ilvl="0" w:tplc="7C0C5490">
      <w:start w:val="1"/>
      <w:numFmt w:val="bullet"/>
      <w:pStyle w:val="Bullet1"/>
      <w:lvlText w:val=""/>
      <w:lvlJc w:val="left"/>
      <w:pPr>
        <w:ind w:left="5606" w:hanging="360"/>
      </w:pPr>
      <w:rPr>
        <w:rFonts w:ascii="Symbol" w:hAnsi="Symbol" w:hint="default"/>
        <w:color w:val="00627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AD1290"/>
    <w:multiLevelType w:val="multilevel"/>
    <w:tmpl w:val="11960BD2"/>
    <w:lvl w:ilvl="0">
      <w:start w:val="1"/>
      <w:numFmt w:val="decimal"/>
      <w:pStyle w:val="Heading1"/>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pStyle w:val="Heading2"/>
      <w:lvlText w:val="%1.%2"/>
      <w:lvlJc w:val="left"/>
      <w:pPr>
        <w:tabs>
          <w:tab w:val="num" w:pos="454"/>
        </w:tabs>
        <w:ind w:left="454" w:hanging="454"/>
      </w:pPr>
      <w:rPr>
        <w:rFonts w:ascii="Calibri Light" w:hAnsi="Calibri Light" w:hint="default"/>
        <w:b w:val="0"/>
        <w:i w:val="0"/>
        <w:color w:val="00968E"/>
        <w:sz w:val="28"/>
      </w:rPr>
    </w:lvl>
    <w:lvl w:ilvl="2">
      <w:start w:val="1"/>
      <w:numFmt w:val="decimal"/>
      <w:pStyle w:val="Heading3"/>
      <w:lvlText w:val="%1.%2.%3"/>
      <w:lvlJc w:val="left"/>
      <w:pPr>
        <w:tabs>
          <w:tab w:val="num" w:pos="680"/>
        </w:tabs>
        <w:ind w:left="680" w:hanging="680"/>
      </w:pPr>
      <w:rPr>
        <w:rFonts w:ascii="Calibri" w:hAnsi="Calibri" w:hint="default"/>
        <w:b w:val="0"/>
        <w:i w:val="0"/>
        <w:color w:val="00968E"/>
        <w:sz w:val="24"/>
      </w:rPr>
    </w:lvl>
    <w:lvl w:ilvl="3">
      <w:start w:val="1"/>
      <w:numFmt w:val="decimal"/>
      <w:pStyle w:val="Heading4"/>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5"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start w:val="1"/>
      <w:numFmt w:val="bullet"/>
      <w:lvlText w:val="o"/>
      <w:lvlJc w:val="left"/>
      <w:pPr>
        <w:ind w:left="1894" w:hanging="360"/>
      </w:pPr>
      <w:rPr>
        <w:rFonts w:ascii="Courier New" w:hAnsi="Courier New" w:cs="Courier New" w:hint="default"/>
      </w:rPr>
    </w:lvl>
    <w:lvl w:ilvl="2" w:tplc="08090005">
      <w:start w:val="1"/>
      <w:numFmt w:val="bullet"/>
      <w:lvlText w:val=""/>
      <w:lvlJc w:val="left"/>
      <w:pPr>
        <w:ind w:left="2614" w:hanging="360"/>
      </w:pPr>
      <w:rPr>
        <w:rFonts w:ascii="Wingdings" w:hAnsi="Wingdings" w:hint="default"/>
      </w:rPr>
    </w:lvl>
    <w:lvl w:ilvl="3" w:tplc="08090001">
      <w:start w:val="1"/>
      <w:numFmt w:val="bullet"/>
      <w:lvlText w:val=""/>
      <w:lvlJc w:val="left"/>
      <w:pPr>
        <w:ind w:left="3334" w:hanging="360"/>
      </w:pPr>
      <w:rPr>
        <w:rFonts w:ascii="Symbol" w:hAnsi="Symbol" w:hint="default"/>
      </w:rPr>
    </w:lvl>
    <w:lvl w:ilvl="4" w:tplc="08090003">
      <w:start w:val="1"/>
      <w:numFmt w:val="bullet"/>
      <w:lvlText w:val="o"/>
      <w:lvlJc w:val="left"/>
      <w:pPr>
        <w:ind w:left="4054" w:hanging="360"/>
      </w:pPr>
      <w:rPr>
        <w:rFonts w:ascii="Courier New" w:hAnsi="Courier New" w:cs="Courier New" w:hint="default"/>
      </w:rPr>
    </w:lvl>
    <w:lvl w:ilvl="5" w:tplc="08090005">
      <w:start w:val="1"/>
      <w:numFmt w:val="bullet"/>
      <w:lvlText w:val=""/>
      <w:lvlJc w:val="left"/>
      <w:pPr>
        <w:ind w:left="4774" w:hanging="360"/>
      </w:pPr>
      <w:rPr>
        <w:rFonts w:ascii="Wingdings" w:hAnsi="Wingdings" w:hint="default"/>
      </w:rPr>
    </w:lvl>
    <w:lvl w:ilvl="6" w:tplc="08090001">
      <w:start w:val="1"/>
      <w:numFmt w:val="bullet"/>
      <w:lvlText w:val=""/>
      <w:lvlJc w:val="left"/>
      <w:pPr>
        <w:ind w:left="5494" w:hanging="360"/>
      </w:pPr>
      <w:rPr>
        <w:rFonts w:ascii="Symbol" w:hAnsi="Symbol" w:hint="default"/>
      </w:rPr>
    </w:lvl>
    <w:lvl w:ilvl="7" w:tplc="08090003">
      <w:start w:val="1"/>
      <w:numFmt w:val="bullet"/>
      <w:lvlText w:val="o"/>
      <w:lvlJc w:val="left"/>
      <w:pPr>
        <w:ind w:left="6214" w:hanging="360"/>
      </w:pPr>
      <w:rPr>
        <w:rFonts w:ascii="Courier New" w:hAnsi="Courier New" w:cs="Courier New" w:hint="default"/>
      </w:rPr>
    </w:lvl>
    <w:lvl w:ilvl="8" w:tplc="08090005">
      <w:start w:val="1"/>
      <w:numFmt w:val="bullet"/>
      <w:lvlText w:val=""/>
      <w:lvlJc w:val="left"/>
      <w:pPr>
        <w:ind w:left="6934" w:hanging="360"/>
      </w:pPr>
      <w:rPr>
        <w:rFonts w:ascii="Wingdings" w:hAnsi="Wingdings" w:hint="default"/>
      </w:rPr>
    </w:lvl>
  </w:abstractNum>
  <w:abstractNum w:abstractNumId="6" w15:restartNumberingAfterBreak="0">
    <w:nsid w:val="32F648CE"/>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EA45CB"/>
    <w:multiLevelType w:val="hybridMultilevel"/>
    <w:tmpl w:val="790AE3E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62F472C7"/>
    <w:multiLevelType w:val="hybridMultilevel"/>
    <w:tmpl w:val="32A65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4C41E3"/>
    <w:multiLevelType w:val="hybridMultilevel"/>
    <w:tmpl w:val="B846C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0"/>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27"/>
    <w:rsid w:val="00020CF1"/>
    <w:rsid w:val="00021A7E"/>
    <w:rsid w:val="000674E3"/>
    <w:rsid w:val="0027180D"/>
    <w:rsid w:val="002F7EA9"/>
    <w:rsid w:val="004963F1"/>
    <w:rsid w:val="00556AFD"/>
    <w:rsid w:val="005908E3"/>
    <w:rsid w:val="00714BE4"/>
    <w:rsid w:val="008C25FA"/>
    <w:rsid w:val="008C44B8"/>
    <w:rsid w:val="009267F6"/>
    <w:rsid w:val="00B44790"/>
    <w:rsid w:val="00BF613E"/>
    <w:rsid w:val="00C80627"/>
    <w:rsid w:val="00C93F81"/>
    <w:rsid w:val="00C96371"/>
    <w:rsid w:val="00D357D4"/>
    <w:rsid w:val="00D957E1"/>
    <w:rsid w:val="00DB3CC4"/>
    <w:rsid w:val="00E00AEC"/>
    <w:rsid w:val="00E44EB4"/>
    <w:rsid w:val="00F23903"/>
    <w:rsid w:val="00FA0697"/>
    <w:rsid w:val="00FB2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DAF9"/>
  <w15:chartTrackingRefBased/>
  <w15:docId w15:val="{36505E1D-93C3-4DCA-8C90-98AC968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71"/>
    <w:rPr>
      <w:rFonts w:ascii="Segoe UI" w:hAnsi="Segoe UI" w:cs="Segoe UI"/>
      <w:sz w:val="18"/>
      <w:szCs w:val="18"/>
    </w:rPr>
  </w:style>
  <w:style w:type="paragraph" w:styleId="ListParagraph">
    <w:name w:val="List Paragraph"/>
    <w:aliases w:val="Dot pt"/>
    <w:basedOn w:val="Normal"/>
    <w:link w:val="ListParagraphChar"/>
    <w:uiPriority w:val="34"/>
    <w:qFormat/>
    <w:rsid w:val="00C96371"/>
    <w:pPr>
      <w:ind w:left="720"/>
      <w:contextualSpacing/>
    </w:pPr>
  </w:style>
  <w:style w:type="paragraph" w:customStyle="1" w:styleId="Body">
    <w:name w:val="Body"/>
    <w:rsid w:val="00E00AEC"/>
    <w:pPr>
      <w:spacing w:after="120" w:line="300" w:lineRule="exact"/>
    </w:pPr>
    <w:rPr>
      <w:rFonts w:ascii="Calibri" w:eastAsia="Times New Roman" w:hAnsi="Calibri" w:cs="Arial"/>
      <w:lang w:eastAsia="en-GB"/>
    </w:rPr>
  </w:style>
  <w:style w:type="paragraph" w:customStyle="1" w:styleId="Bullet1">
    <w:name w:val="Bullet1"/>
    <w:basedOn w:val="Body"/>
    <w:qFormat/>
    <w:rsid w:val="00E00AEC"/>
    <w:pPr>
      <w:numPr>
        <w:numId w:val="2"/>
      </w:numPr>
      <w:tabs>
        <w:tab w:val="left" w:pos="227"/>
      </w:tabs>
      <w:spacing w:after="80"/>
      <w:ind w:left="227" w:hanging="227"/>
    </w:pPr>
  </w:style>
  <w:style w:type="paragraph" w:customStyle="1" w:styleId="Bullet2">
    <w:name w:val="Bullet2"/>
    <w:basedOn w:val="Bullet1"/>
    <w:qFormat/>
    <w:rsid w:val="00E00AEC"/>
    <w:pPr>
      <w:ind w:left="360" w:hanging="360"/>
    </w:pPr>
  </w:style>
  <w:style w:type="paragraph" w:customStyle="1" w:styleId="Heading1">
    <w:name w:val="Heading1"/>
    <w:next w:val="Body"/>
    <w:qFormat/>
    <w:rsid w:val="00E00AEC"/>
    <w:pPr>
      <w:numPr>
        <w:numId w:val="3"/>
      </w:numPr>
      <w:spacing w:after="360" w:line="440" w:lineRule="exact"/>
      <w:outlineLvl w:val="0"/>
    </w:pPr>
    <w:rPr>
      <w:rFonts w:asciiTheme="majorHAnsi" w:eastAsia="Times New Roman" w:hAnsiTheme="majorHAnsi" w:cs="Arial"/>
      <w:color w:val="00968E"/>
      <w:sz w:val="36"/>
      <w:lang w:eastAsia="en-GB"/>
    </w:rPr>
  </w:style>
  <w:style w:type="paragraph" w:customStyle="1" w:styleId="Heading2">
    <w:name w:val="Heading2"/>
    <w:next w:val="Body"/>
    <w:qFormat/>
    <w:rsid w:val="00E00AEC"/>
    <w:pPr>
      <w:numPr>
        <w:ilvl w:val="1"/>
        <w:numId w:val="3"/>
      </w:numPr>
      <w:spacing w:before="240" w:after="120" w:line="400" w:lineRule="exact"/>
      <w:outlineLvl w:val="1"/>
    </w:pPr>
    <w:rPr>
      <w:rFonts w:ascii="Calibri Light" w:eastAsia="Times New Roman" w:hAnsi="Calibri Light" w:cs="Arial"/>
      <w:color w:val="00968E"/>
      <w:sz w:val="32"/>
      <w:lang w:eastAsia="en-GB"/>
    </w:rPr>
  </w:style>
  <w:style w:type="paragraph" w:customStyle="1" w:styleId="Heading3">
    <w:name w:val="Heading3"/>
    <w:next w:val="Body"/>
    <w:qFormat/>
    <w:rsid w:val="00E00AEC"/>
    <w:pPr>
      <w:numPr>
        <w:ilvl w:val="2"/>
        <w:numId w:val="3"/>
      </w:numPr>
      <w:spacing w:before="240" w:after="120" w:line="360" w:lineRule="exact"/>
      <w:outlineLvl w:val="2"/>
    </w:pPr>
    <w:rPr>
      <w:rFonts w:ascii="Calibri" w:eastAsia="Times New Roman" w:hAnsi="Calibri" w:cs="Arial"/>
      <w:color w:val="00968E"/>
      <w:sz w:val="24"/>
      <w:lang w:eastAsia="en-GB"/>
    </w:rPr>
  </w:style>
  <w:style w:type="paragraph" w:customStyle="1" w:styleId="Heading4">
    <w:name w:val="Heading4"/>
    <w:next w:val="Body"/>
    <w:qFormat/>
    <w:rsid w:val="00E00AEC"/>
    <w:pPr>
      <w:numPr>
        <w:ilvl w:val="3"/>
        <w:numId w:val="3"/>
      </w:numPr>
      <w:spacing w:before="120" w:after="80" w:line="320" w:lineRule="exact"/>
      <w:outlineLvl w:val="3"/>
    </w:pPr>
    <w:rPr>
      <w:rFonts w:ascii="Calibri" w:eastAsia="Times New Roman" w:hAnsi="Calibri" w:cs="Arial"/>
      <w:color w:val="00968E"/>
      <w:lang w:eastAsia="en-GB"/>
    </w:rPr>
  </w:style>
  <w:style w:type="character" w:customStyle="1" w:styleId="ListParagraphChar">
    <w:name w:val="List Paragraph Char"/>
    <w:aliases w:val="Dot pt Char"/>
    <w:basedOn w:val="DefaultParagraphFont"/>
    <w:link w:val="ListParagraph"/>
    <w:uiPriority w:val="34"/>
    <w:locked/>
    <w:rsid w:val="00E00AEC"/>
  </w:style>
  <w:style w:type="character" w:styleId="Hyperlink">
    <w:name w:val="Hyperlink"/>
    <w:basedOn w:val="DefaultParagraphFont"/>
    <w:uiPriority w:val="99"/>
    <w:unhideWhenUsed/>
    <w:rsid w:val="00F23903"/>
    <w:rPr>
      <w:color w:val="0563C1" w:themeColor="hyperlink"/>
      <w:u w:val="single"/>
    </w:rPr>
  </w:style>
  <w:style w:type="character" w:styleId="UnresolvedMention">
    <w:name w:val="Unresolved Mention"/>
    <w:basedOn w:val="DefaultParagraphFont"/>
    <w:uiPriority w:val="99"/>
    <w:semiHidden/>
    <w:unhideWhenUsed/>
    <w:rsid w:val="00F23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785F-4391-4520-B37C-7BC1E5ED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Ainsworth</dc:creator>
  <cp:keywords/>
  <dc:description/>
  <cp:lastModifiedBy>Matthew Riley</cp:lastModifiedBy>
  <cp:revision>2</cp:revision>
  <dcterms:created xsi:type="dcterms:W3CDTF">2018-10-18T07:31:00Z</dcterms:created>
  <dcterms:modified xsi:type="dcterms:W3CDTF">2018-10-18T07:31:00Z</dcterms:modified>
</cp:coreProperties>
</file>