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DB116" w14:textId="77777777" w:rsidR="00BD6AFA" w:rsidRDefault="009738B6" w:rsidP="00C06995">
      <w:pPr>
        <w:jc w:val="center"/>
        <w:rPr>
          <w:b/>
        </w:rPr>
      </w:pPr>
      <w:r>
        <w:rPr>
          <w:b/>
        </w:rPr>
        <w:t>Tools for Schools</w:t>
      </w:r>
      <w:r w:rsidR="006F1A77">
        <w:rPr>
          <w:b/>
        </w:rPr>
        <w:t xml:space="preserve"> </w:t>
      </w:r>
    </w:p>
    <w:p w14:paraId="0DDF5936" w14:textId="77777777" w:rsidR="00A60B26" w:rsidRDefault="00BD6AFA" w:rsidP="00C06995">
      <w:pPr>
        <w:jc w:val="center"/>
        <w:rPr>
          <w:b/>
        </w:rPr>
      </w:pPr>
      <w:r>
        <w:rPr>
          <w:b/>
        </w:rPr>
        <w:t>Service</w:t>
      </w:r>
      <w:r w:rsidR="00A60B26">
        <w:rPr>
          <w:b/>
        </w:rPr>
        <w:t xml:space="preserve"> Specification</w:t>
      </w:r>
    </w:p>
    <w:p w14:paraId="4C6E1348" w14:textId="3416DADE" w:rsidR="00C06995" w:rsidRPr="00431230" w:rsidRDefault="00C06995" w:rsidP="00431230">
      <w:pPr>
        <w:pStyle w:val="ListParagraph"/>
        <w:numPr>
          <w:ilvl w:val="0"/>
          <w:numId w:val="13"/>
        </w:numPr>
        <w:ind w:left="284" w:hanging="284"/>
        <w:rPr>
          <w:b/>
        </w:rPr>
      </w:pPr>
      <w:r w:rsidRPr="00431230">
        <w:rPr>
          <w:b/>
        </w:rPr>
        <w:t>Background</w:t>
      </w:r>
    </w:p>
    <w:p w14:paraId="35E69782" w14:textId="64ADE75C" w:rsidR="00942BC9" w:rsidRPr="00942BC9" w:rsidRDefault="00942BC9" w:rsidP="00942BC9">
      <w:r>
        <w:t>The emotional health and well</w:t>
      </w:r>
      <w:r w:rsidRPr="00942BC9">
        <w:t>being of young people is central to delivering Cheshire East Councils Outcome 5 identified in the three year plan –</w:t>
      </w:r>
      <w:r w:rsidR="004B7010">
        <w:t xml:space="preserve"> </w:t>
      </w:r>
      <w:r w:rsidRPr="00942BC9">
        <w:t>people live well for longer –</w:t>
      </w:r>
      <w:r w:rsidR="004B7010">
        <w:t xml:space="preserve"> </w:t>
      </w:r>
      <w:r w:rsidRPr="00942BC9">
        <w:t>care services focus on prevention early interven</w:t>
      </w:r>
      <w:r>
        <w:t>tion, physical and mental well</w:t>
      </w:r>
      <w:r w:rsidRPr="00942BC9">
        <w:t>being. The Children and Young People’s Plan also identifies young peo</w:t>
      </w:r>
      <w:r>
        <w:t>ple’s emotional health and well</w:t>
      </w:r>
      <w:r w:rsidRPr="00942BC9">
        <w:t xml:space="preserve">being as a priority and the intention to make Cheshire East a good place to be young. </w:t>
      </w:r>
      <w:r>
        <w:t xml:space="preserve"> Phase 2 of Emotionally Health</w:t>
      </w:r>
      <w:r w:rsidR="005366AB">
        <w:t>y</w:t>
      </w:r>
      <w:r>
        <w:t xml:space="preserve"> Schools</w:t>
      </w:r>
      <w:r w:rsidRPr="00942BC9">
        <w:t xml:space="preserve"> is also aligned to the Health Promotions and Illness Prevention outcomes for children and young people in the Pub</w:t>
      </w:r>
      <w:r>
        <w:t xml:space="preserve">lic Health Outcomes Framework.   </w:t>
      </w:r>
      <w:r w:rsidRPr="00942BC9">
        <w:t>Th</w:t>
      </w:r>
      <w:r>
        <w:t>is Programme</w:t>
      </w:r>
      <w:r w:rsidRPr="00942BC9">
        <w:t xml:space="preserve"> aims to acknowledge the vital role played by schools in promoting the emotional wellbeing of their pupils, and seeks to strengthen this relationship.</w:t>
      </w:r>
    </w:p>
    <w:p w14:paraId="6A4F34B5" w14:textId="77777777" w:rsidR="00D95E90" w:rsidRDefault="00D95E90">
      <w:r>
        <w:t>The provider will be required to build on Phase 1 of the Emotionally Healthy Schools programme</w:t>
      </w:r>
      <w:r w:rsidR="00F62A31">
        <w:t xml:space="preserve"> which ends in December 2016</w:t>
      </w:r>
      <w:r>
        <w:t xml:space="preserve">.  This service seeks to build capability and capacity using the Thrive model </w:t>
      </w:r>
      <w:hyperlink r:id="rId6" w:history="1">
        <w:r w:rsidRPr="00061B02">
          <w:rPr>
            <w:rStyle w:val="Hyperlink"/>
          </w:rPr>
          <w:t>http://www.annafreud.org/service-improvement/service-improvement-resources/thrive/</w:t>
        </w:r>
      </w:hyperlink>
      <w:r>
        <w:t xml:space="preserve"> </w:t>
      </w:r>
    </w:p>
    <w:p w14:paraId="7BA605D3" w14:textId="77777777" w:rsidR="00F62A31" w:rsidRDefault="00F62A31">
      <w:r>
        <w:t>Phase 2 of Emotionally Healthy Schools Programme shall start in January 2017 and has a number of components:</w:t>
      </w:r>
    </w:p>
    <w:p w14:paraId="2B3A7C72" w14:textId="77777777" w:rsidR="006F1A77" w:rsidRDefault="006F1A77" w:rsidP="006F1A77">
      <w:pPr>
        <w:pStyle w:val="ListParagraph"/>
        <w:numPr>
          <w:ilvl w:val="0"/>
          <w:numId w:val="12"/>
        </w:numPr>
      </w:pPr>
      <w:r>
        <w:t>Access to specialist mental health advice (single point of access) and a brokerage model to support professionals working with Children and Young people (CYPMH Link Programme)</w:t>
      </w:r>
    </w:p>
    <w:p w14:paraId="7DC4E093" w14:textId="77777777" w:rsidR="006F1A77" w:rsidRDefault="006F1A77" w:rsidP="006F1A77">
      <w:pPr>
        <w:pStyle w:val="ListParagraph"/>
        <w:numPr>
          <w:ilvl w:val="0"/>
          <w:numId w:val="12"/>
        </w:numPr>
      </w:pPr>
      <w:r>
        <w:t>Access to tools piloted through phase 1 and support to professionals to implement</w:t>
      </w:r>
    </w:p>
    <w:p w14:paraId="04E86C54" w14:textId="77777777" w:rsidR="006F1A77" w:rsidRDefault="006F1A77" w:rsidP="006F1A77">
      <w:pPr>
        <w:pStyle w:val="ListParagraph"/>
        <w:numPr>
          <w:ilvl w:val="0"/>
          <w:numId w:val="12"/>
        </w:numPr>
      </w:pPr>
      <w:r>
        <w:t>Education specialist Leadership</w:t>
      </w:r>
    </w:p>
    <w:p w14:paraId="63908EFB" w14:textId="77777777" w:rsidR="006F1A77" w:rsidRDefault="006F1A77" w:rsidP="006F1A77">
      <w:pPr>
        <w:pStyle w:val="ListParagraph"/>
        <w:numPr>
          <w:ilvl w:val="0"/>
          <w:numId w:val="12"/>
        </w:numPr>
      </w:pPr>
      <w:r>
        <w:t>Systems and processes to identify and support children and young people in the different Thrive groups</w:t>
      </w:r>
    </w:p>
    <w:p w14:paraId="3BCA236D" w14:textId="77777777" w:rsidR="006F1A77" w:rsidRDefault="006F1A77" w:rsidP="006F1A77">
      <w:pPr>
        <w:pStyle w:val="ListParagraph"/>
        <w:numPr>
          <w:ilvl w:val="0"/>
          <w:numId w:val="12"/>
        </w:numPr>
      </w:pPr>
      <w:r>
        <w:t>Development of ‘Getting Advice’ quadrant including on-line platform</w:t>
      </w:r>
    </w:p>
    <w:p w14:paraId="54BDEA2F" w14:textId="77777777" w:rsidR="00E17995" w:rsidRDefault="00A60B26">
      <w:r w:rsidRPr="00A60B26">
        <w:t>T</w:t>
      </w:r>
      <w:r w:rsidR="00DE0E51">
        <w:t xml:space="preserve">he </w:t>
      </w:r>
      <w:r w:rsidR="00E17995">
        <w:t>P</w:t>
      </w:r>
      <w:r w:rsidR="00D5256E">
        <w:t>rovider</w:t>
      </w:r>
      <w:r w:rsidR="00DE0E51">
        <w:t xml:space="preserve"> </w:t>
      </w:r>
      <w:r w:rsidR="006F1A77">
        <w:t xml:space="preserve">shall deliver component 2: </w:t>
      </w:r>
      <w:r w:rsidR="00CE5CAD" w:rsidRPr="006F1A77">
        <w:rPr>
          <w:b/>
        </w:rPr>
        <w:t>Access to Tools</w:t>
      </w:r>
      <w:r w:rsidR="00F62A31">
        <w:t xml:space="preserve">. To achieve </w:t>
      </w:r>
      <w:r w:rsidR="00183267">
        <w:t>this, the</w:t>
      </w:r>
      <w:r w:rsidR="00F62A31">
        <w:t xml:space="preserve"> provider </w:t>
      </w:r>
      <w:r w:rsidR="00D5256E">
        <w:t xml:space="preserve">will </w:t>
      </w:r>
      <w:r w:rsidR="00D66ACF">
        <w:t xml:space="preserve">be </w:t>
      </w:r>
      <w:r w:rsidR="00D5256E">
        <w:t>require</w:t>
      </w:r>
      <w:r w:rsidR="00D66ACF">
        <w:t>d to</w:t>
      </w:r>
      <w:r w:rsidR="00E17995">
        <w:t>:</w:t>
      </w:r>
    </w:p>
    <w:p w14:paraId="14CDE1E5" w14:textId="77777777" w:rsidR="00E17995" w:rsidRDefault="00E17995" w:rsidP="00E17995">
      <w:pPr>
        <w:pStyle w:val="ListParagraph"/>
        <w:numPr>
          <w:ilvl w:val="0"/>
          <w:numId w:val="9"/>
        </w:numPr>
      </w:pPr>
      <w:r>
        <w:t>H</w:t>
      </w:r>
      <w:r w:rsidR="00DE0E51">
        <w:t xml:space="preserve">ave an excellent understanding of all </w:t>
      </w:r>
      <w:r>
        <w:t xml:space="preserve">local </w:t>
      </w:r>
      <w:r w:rsidR="00DE0E51">
        <w:t>services delivered by mental hea</w:t>
      </w:r>
      <w:r w:rsidR="00D66ACF">
        <w:t>lth</w:t>
      </w:r>
      <w:r>
        <w:t xml:space="preserve"> providers across Cheshire East;</w:t>
      </w:r>
    </w:p>
    <w:p w14:paraId="395FD958" w14:textId="77777777" w:rsidR="00183267" w:rsidRDefault="00183267" w:rsidP="004B7010">
      <w:pPr>
        <w:pStyle w:val="ListParagraph"/>
        <w:numPr>
          <w:ilvl w:val="0"/>
          <w:numId w:val="9"/>
        </w:numPr>
      </w:pPr>
      <w:r>
        <w:t xml:space="preserve">Identify </w:t>
      </w:r>
      <w:r w:rsidR="006F1A77">
        <w:t xml:space="preserve">and promote </w:t>
      </w:r>
      <w:r>
        <w:t>evidence based, tried and tested interventions that can be delivered by scho</w:t>
      </w:r>
      <w:r w:rsidR="000025B5">
        <w:t>ols</w:t>
      </w:r>
      <w:r w:rsidR="006F1A77">
        <w:t xml:space="preserve"> and CYP services</w:t>
      </w:r>
      <w:r w:rsidR="000025B5">
        <w:t xml:space="preserve"> targeted at the different T</w:t>
      </w:r>
      <w:r w:rsidR="002869FC">
        <w:t>h</w:t>
      </w:r>
      <w:r>
        <w:t>rive groups and at different age groups.</w:t>
      </w:r>
    </w:p>
    <w:p w14:paraId="2D21E5ED" w14:textId="77777777" w:rsidR="00183267" w:rsidRDefault="00183267" w:rsidP="004B7010">
      <w:pPr>
        <w:pStyle w:val="ListParagraph"/>
        <w:numPr>
          <w:ilvl w:val="0"/>
          <w:numId w:val="9"/>
        </w:numPr>
      </w:pPr>
      <w:r>
        <w:t>Develop the identified interventions into a user friendly menu that can be shared with school</w:t>
      </w:r>
      <w:r w:rsidR="006F1A77">
        <w:t>s and CYP services</w:t>
      </w:r>
      <w:r>
        <w:t>.</w:t>
      </w:r>
    </w:p>
    <w:p w14:paraId="087E9097" w14:textId="77777777" w:rsidR="00CB2021" w:rsidRDefault="00183267" w:rsidP="00E17995">
      <w:pPr>
        <w:pStyle w:val="ListParagraph"/>
        <w:numPr>
          <w:ilvl w:val="0"/>
          <w:numId w:val="9"/>
        </w:numPr>
      </w:pPr>
      <w:r>
        <w:t>Promote the</w:t>
      </w:r>
      <w:r w:rsidR="00E17995">
        <w:t xml:space="preserve"> ‘Menu of Tools’ </w:t>
      </w:r>
      <w:r w:rsidR="00D95E90">
        <w:t xml:space="preserve">across all Primary, </w:t>
      </w:r>
      <w:r w:rsidR="00CB2021">
        <w:t>Secondary</w:t>
      </w:r>
      <w:r w:rsidR="006F1A77">
        <w:t xml:space="preserve">, Special, </w:t>
      </w:r>
      <w:r w:rsidR="00D95E90">
        <w:t>Private</w:t>
      </w:r>
      <w:r w:rsidR="00CB2021">
        <w:t xml:space="preserve"> Schools </w:t>
      </w:r>
      <w:r w:rsidR="006F1A77">
        <w:t xml:space="preserve">and CYP services </w:t>
      </w:r>
      <w:r w:rsidR="00CB2021">
        <w:t>acros</w:t>
      </w:r>
      <w:r w:rsidR="00270FEE">
        <w:t>s the Cheshire East footprint</w:t>
      </w:r>
      <w:r w:rsidR="0094570C">
        <w:t xml:space="preserve">. </w:t>
      </w:r>
      <w:r w:rsidR="006F1A77">
        <w:t>(</w:t>
      </w:r>
      <w:r w:rsidR="0094570C">
        <w:t>This may benefit from a website and therefore needs close coordination with component 5.</w:t>
      </w:r>
      <w:r w:rsidR="006F1A77">
        <w:t>)</w:t>
      </w:r>
    </w:p>
    <w:p w14:paraId="7A7D9C03" w14:textId="77777777" w:rsidR="00183267" w:rsidRDefault="00183267" w:rsidP="00183267">
      <w:pPr>
        <w:pStyle w:val="ListParagraph"/>
        <w:numPr>
          <w:ilvl w:val="0"/>
          <w:numId w:val="9"/>
        </w:numPr>
      </w:pPr>
      <w:r>
        <w:t>Where there are gaps in the menu, develop, test out and evaluate new interventions in partnership with willing schools.</w:t>
      </w:r>
    </w:p>
    <w:p w14:paraId="3FD710E8" w14:textId="77777777" w:rsidR="00183267" w:rsidRDefault="00183267" w:rsidP="00183267">
      <w:pPr>
        <w:pStyle w:val="ListParagraph"/>
        <w:numPr>
          <w:ilvl w:val="0"/>
          <w:numId w:val="9"/>
        </w:numPr>
      </w:pPr>
      <w:r>
        <w:t>Develop</w:t>
      </w:r>
      <w:r w:rsidR="006F1A77">
        <w:t xml:space="preserve"> a system to facilitate the </w:t>
      </w:r>
      <w:r>
        <w:t xml:space="preserve">commissioning </w:t>
      </w:r>
      <w:r w:rsidR="006F1A77">
        <w:t xml:space="preserve">of </w:t>
      </w:r>
      <w:r>
        <w:t xml:space="preserve">interventions from the ‘menu of tools’. </w:t>
      </w:r>
      <w:r w:rsidR="006F1A77">
        <w:t>Note: at this stage this need not involve</w:t>
      </w:r>
      <w:r w:rsidR="00961185">
        <w:t xml:space="preserve"> </w:t>
      </w:r>
      <w:r>
        <w:t xml:space="preserve">commissioning with money, but shall </w:t>
      </w:r>
      <w:r w:rsidR="00961185">
        <w:t xml:space="preserve">require </w:t>
      </w:r>
      <w:r>
        <w:t>schools</w:t>
      </w:r>
      <w:r w:rsidR="00961185">
        <w:t xml:space="preserve"> and services</w:t>
      </w:r>
      <w:r>
        <w:t xml:space="preserve"> commissioning with commitment of staff and pupil time.</w:t>
      </w:r>
    </w:p>
    <w:p w14:paraId="38B06AD3" w14:textId="77777777" w:rsidR="00183267" w:rsidRDefault="00183267" w:rsidP="00E17995">
      <w:pPr>
        <w:pStyle w:val="ListParagraph"/>
        <w:numPr>
          <w:ilvl w:val="0"/>
          <w:numId w:val="9"/>
        </w:numPr>
      </w:pPr>
      <w:r>
        <w:lastRenderedPageBreak/>
        <w:t>Manage demand from schools</w:t>
      </w:r>
      <w:r w:rsidR="00961185">
        <w:t xml:space="preserve"> and CYP services</w:t>
      </w:r>
      <w:r>
        <w:t xml:space="preserve"> through development of a prioritisation process (e.g. deprivation, no previous input,</w:t>
      </w:r>
      <w:r w:rsidR="00961185">
        <w:t xml:space="preserve"> working in clusters</w:t>
      </w:r>
      <w:r>
        <w:t>).</w:t>
      </w:r>
    </w:p>
    <w:p w14:paraId="62FEF29F" w14:textId="77777777" w:rsidR="00E17995" w:rsidRDefault="00E17995" w:rsidP="00E17995">
      <w:pPr>
        <w:pStyle w:val="ListParagraph"/>
        <w:numPr>
          <w:ilvl w:val="0"/>
          <w:numId w:val="9"/>
        </w:numPr>
      </w:pPr>
      <w:r>
        <w:t xml:space="preserve">Undertake </w:t>
      </w:r>
      <w:r w:rsidR="00270FEE">
        <w:t xml:space="preserve">data gathering and analysis </w:t>
      </w:r>
      <w:r w:rsidR="00AD426D">
        <w:t>access of tools and resources</w:t>
      </w:r>
      <w:r w:rsidR="00EC2CF3">
        <w:t xml:space="preserve">, measuring the impact and outcomes across the </w:t>
      </w:r>
      <w:r w:rsidR="00961185">
        <w:t>system</w:t>
      </w:r>
      <w:r w:rsidR="00EC2CF3">
        <w:t>;</w:t>
      </w:r>
    </w:p>
    <w:p w14:paraId="69AEB306" w14:textId="77777777" w:rsidR="00EC2CF3" w:rsidRDefault="00EC2CF3" w:rsidP="00EC2CF3">
      <w:pPr>
        <w:pStyle w:val="ListParagraph"/>
        <w:numPr>
          <w:ilvl w:val="0"/>
          <w:numId w:val="9"/>
        </w:numPr>
      </w:pPr>
      <w:r>
        <w:t xml:space="preserve">Align to the development of the </w:t>
      </w:r>
      <w:r w:rsidR="00961185">
        <w:t>CYPMH Link project</w:t>
      </w:r>
      <w:r>
        <w:t>;</w:t>
      </w:r>
    </w:p>
    <w:p w14:paraId="6E16D148" w14:textId="5D836381" w:rsidR="00AD426D" w:rsidRPr="00A711C3" w:rsidRDefault="00A711C3" w:rsidP="00270FEE">
      <w:pPr>
        <w:rPr>
          <w:b/>
          <w:i/>
        </w:rPr>
      </w:pPr>
      <w:r w:rsidRPr="00A711C3">
        <w:rPr>
          <w:b/>
          <w:i/>
        </w:rPr>
        <w:t xml:space="preserve">Please see the link to access a list of all schools across Cheshire East: </w:t>
      </w:r>
      <w:hyperlink r:id="rId7" w:history="1">
        <w:r w:rsidRPr="00A711C3">
          <w:rPr>
            <w:rStyle w:val="Hyperlink"/>
            <w:b/>
            <w:i/>
          </w:rPr>
          <w:t>http://www.cheshireeast.gov.uk/schools/schools.aspx</w:t>
        </w:r>
      </w:hyperlink>
    </w:p>
    <w:p w14:paraId="148D24CE" w14:textId="77777777" w:rsidR="00A711C3" w:rsidRDefault="00A711C3" w:rsidP="00270FEE">
      <w:pPr>
        <w:rPr>
          <w:b/>
        </w:rPr>
      </w:pPr>
    </w:p>
    <w:p w14:paraId="7C67AAC4" w14:textId="406B38E3" w:rsidR="00270FEE" w:rsidRPr="00431230" w:rsidRDefault="00270FEE" w:rsidP="00553A58">
      <w:pPr>
        <w:pStyle w:val="ListParagraph"/>
        <w:numPr>
          <w:ilvl w:val="0"/>
          <w:numId w:val="13"/>
        </w:numPr>
        <w:ind w:left="308" w:hanging="308"/>
        <w:rPr>
          <w:b/>
        </w:rPr>
      </w:pPr>
      <w:r w:rsidRPr="00431230">
        <w:rPr>
          <w:b/>
        </w:rPr>
        <w:t>Menu of Tools</w:t>
      </w:r>
    </w:p>
    <w:p w14:paraId="300F2BE6" w14:textId="77777777" w:rsidR="00322711" w:rsidRDefault="00942BC9" w:rsidP="00942BC9">
      <w:r>
        <w:t xml:space="preserve">The menu of </w:t>
      </w:r>
      <w:r w:rsidR="00B10D2A">
        <w:t>interventions</w:t>
      </w:r>
      <w:r w:rsidR="0094570C">
        <w:t xml:space="preserve"> </w:t>
      </w:r>
      <w:r w:rsidR="00B10D2A">
        <w:t>sh</w:t>
      </w:r>
      <w:r>
        <w:t xml:space="preserve">ould include: </w:t>
      </w:r>
    </w:p>
    <w:p w14:paraId="105AAB68" w14:textId="3D8DE035" w:rsidR="00431230" w:rsidRDefault="00B10D2A" w:rsidP="00431230">
      <w:pPr>
        <w:pStyle w:val="ListParagraph"/>
        <w:numPr>
          <w:ilvl w:val="1"/>
          <w:numId w:val="13"/>
        </w:numPr>
      </w:pPr>
      <w:r>
        <w:t xml:space="preserve">Interventions to develop leadership and management that </w:t>
      </w:r>
      <w:r w:rsidR="00CC7953">
        <w:t>support</w:t>
      </w:r>
      <w:r>
        <w:t xml:space="preserve"> and champions efforts to promote emotional health and wellbeing</w:t>
      </w:r>
      <w:r w:rsidR="0094570C">
        <w:t>. This needs close coordination with component 3.</w:t>
      </w:r>
    </w:p>
    <w:p w14:paraId="42112DCF" w14:textId="77777777" w:rsidR="00431230" w:rsidRDefault="00B10D2A" w:rsidP="00431230">
      <w:pPr>
        <w:pStyle w:val="ListParagraph"/>
        <w:numPr>
          <w:ilvl w:val="1"/>
          <w:numId w:val="13"/>
        </w:numPr>
      </w:pPr>
      <w:r>
        <w:t>Resources to support curriculum, teaching and learning to promote resilience and support social and emotional learning.</w:t>
      </w:r>
      <w:r w:rsidR="0094570C">
        <w:t xml:space="preserve"> This needs close coordination with component 5.</w:t>
      </w:r>
    </w:p>
    <w:p w14:paraId="42FF075A" w14:textId="77777777" w:rsidR="00431230" w:rsidRDefault="00B10D2A" w:rsidP="00431230">
      <w:pPr>
        <w:pStyle w:val="ListParagraph"/>
        <w:numPr>
          <w:ilvl w:val="1"/>
          <w:numId w:val="13"/>
        </w:numPr>
      </w:pPr>
      <w:r>
        <w:t>Interventions to enable the student voice to influence decisions.</w:t>
      </w:r>
    </w:p>
    <w:p w14:paraId="2E567F26" w14:textId="77777777" w:rsidR="00431230" w:rsidRDefault="00B10D2A" w:rsidP="00431230">
      <w:pPr>
        <w:pStyle w:val="ListParagraph"/>
        <w:numPr>
          <w:ilvl w:val="1"/>
          <w:numId w:val="13"/>
        </w:numPr>
      </w:pPr>
      <w:r>
        <w:t>Interventions to support staff development to support their own wellbeing and that of students</w:t>
      </w:r>
      <w:r w:rsidR="0094570C">
        <w:t>. This needs close coordination with component 1.</w:t>
      </w:r>
    </w:p>
    <w:p w14:paraId="51703D7D" w14:textId="77777777" w:rsidR="00431230" w:rsidRDefault="00B10D2A" w:rsidP="00431230">
      <w:pPr>
        <w:pStyle w:val="ListParagraph"/>
        <w:numPr>
          <w:ilvl w:val="1"/>
          <w:numId w:val="13"/>
        </w:numPr>
      </w:pPr>
      <w:r>
        <w:t>Resources to support identifying need and monitoring impact (e.g. tools to support whole school surveys of wellbeing – either anonymously or identifiable with consent)</w:t>
      </w:r>
    </w:p>
    <w:p w14:paraId="13955205" w14:textId="77777777" w:rsidR="00431230" w:rsidRDefault="00B10D2A" w:rsidP="00431230">
      <w:pPr>
        <w:pStyle w:val="ListParagraph"/>
        <w:numPr>
          <w:ilvl w:val="1"/>
          <w:numId w:val="13"/>
        </w:numPr>
      </w:pPr>
      <w:r>
        <w:t>Interventions to support working with parents/carers</w:t>
      </w:r>
    </w:p>
    <w:p w14:paraId="28560219" w14:textId="4E87650C" w:rsidR="00431230" w:rsidRDefault="00B10D2A" w:rsidP="00431230">
      <w:pPr>
        <w:pStyle w:val="ListParagraph"/>
        <w:numPr>
          <w:ilvl w:val="1"/>
          <w:numId w:val="13"/>
        </w:numPr>
      </w:pPr>
      <w:r>
        <w:t>Targeted support interventions linked to appropriate referral</w:t>
      </w:r>
      <w:r w:rsidR="0094570C">
        <w:t xml:space="preserve">. This needs close coordination with component </w:t>
      </w:r>
      <w:r w:rsidR="00C71DE7">
        <w:t>2.</w:t>
      </w:r>
      <w:r w:rsidR="0094570C">
        <w:t>1.</w:t>
      </w:r>
    </w:p>
    <w:p w14:paraId="375FCEA0" w14:textId="069B41FE" w:rsidR="00B10D2A" w:rsidRDefault="00B10D2A" w:rsidP="00431230">
      <w:pPr>
        <w:pStyle w:val="ListParagraph"/>
        <w:numPr>
          <w:ilvl w:val="1"/>
          <w:numId w:val="13"/>
        </w:numPr>
      </w:pPr>
      <w:r>
        <w:t>Interventions and resources to support an ethos and environment that promotes respect and values diversity.</w:t>
      </w:r>
    </w:p>
    <w:p w14:paraId="71869402" w14:textId="77777777" w:rsidR="00270FEE" w:rsidRDefault="00270FEE" w:rsidP="00270FEE">
      <w:r>
        <w:t>Processes should be developed to encourage the identification of the most appropriate tools and resources for the identified need</w:t>
      </w:r>
      <w:r w:rsidR="00EC2CF3">
        <w:t xml:space="preserve"> within each specific school</w:t>
      </w:r>
      <w:r>
        <w:t>.</w:t>
      </w:r>
    </w:p>
    <w:p w14:paraId="52E9004B" w14:textId="77777777" w:rsidR="00270FEE" w:rsidRDefault="00270FEE" w:rsidP="00270FEE">
      <w:r>
        <w:t>Training should be made available</w:t>
      </w:r>
      <w:r w:rsidR="00961185">
        <w:t xml:space="preserve"> to schools/CYP services </w:t>
      </w:r>
      <w:r w:rsidR="00EC2CF3">
        <w:t xml:space="preserve">across Cheshire </w:t>
      </w:r>
      <w:proofErr w:type="gramStart"/>
      <w:r w:rsidR="00EC2CF3">
        <w:t>East,</w:t>
      </w:r>
      <w:proofErr w:type="gramEnd"/>
      <w:r>
        <w:t xml:space="preserve"> to support use of evidence based tools and resources.</w:t>
      </w:r>
    </w:p>
    <w:p w14:paraId="4FBD28EB" w14:textId="77777777" w:rsidR="00270FEE" w:rsidRDefault="00270FEE" w:rsidP="00270FEE">
      <w:r>
        <w:t xml:space="preserve">Short term co-facilitation </w:t>
      </w:r>
      <w:r w:rsidR="00961185">
        <w:t xml:space="preserve">may </w:t>
      </w:r>
      <w:r w:rsidR="00AD426D">
        <w:t>be needed to</w:t>
      </w:r>
      <w:r>
        <w:t xml:space="preserve"> embed </w:t>
      </w:r>
      <w:r w:rsidR="00B10D2A">
        <w:t xml:space="preserve">resources and interventions </w:t>
      </w:r>
      <w:r w:rsidR="00EC2CF3">
        <w:t>within schools across Cheshire East</w:t>
      </w:r>
      <w:r>
        <w:t>.</w:t>
      </w:r>
    </w:p>
    <w:p w14:paraId="26D799E3" w14:textId="77777777" w:rsidR="00EC2CF3" w:rsidRDefault="00EC2CF3" w:rsidP="00270FEE"/>
    <w:p w14:paraId="38375D20" w14:textId="516E2625" w:rsidR="00EC2CF3" w:rsidRPr="00431230" w:rsidRDefault="00EC2CF3" w:rsidP="00431230">
      <w:pPr>
        <w:pStyle w:val="ListParagraph"/>
        <w:numPr>
          <w:ilvl w:val="0"/>
          <w:numId w:val="13"/>
        </w:numPr>
        <w:ind w:left="284" w:hanging="284"/>
        <w:rPr>
          <w:b/>
        </w:rPr>
      </w:pPr>
      <w:r w:rsidRPr="00431230">
        <w:rPr>
          <w:b/>
        </w:rPr>
        <w:t>Learning from Emotionally Healthy Schools – Phase 1</w:t>
      </w:r>
    </w:p>
    <w:p w14:paraId="3EFC6F4A" w14:textId="7BABB98E" w:rsidR="00270FEE" w:rsidRDefault="00B10D2A" w:rsidP="00270FEE">
      <w:r>
        <w:t>The Emotionally Healthy Schools team commissioned to provide Phase 1 of the Emotionally Healthy Schools Programme tested out tools (resources and interventi</w:t>
      </w:r>
      <w:r w:rsidR="00961185">
        <w:t>ons).</w:t>
      </w:r>
      <w:r>
        <w:t xml:space="preserve"> These have been reviewed, with consideration given to which age group and thrive group would benefit from the tools. Feedback from participating schools on each of the tools is incorporated in this review. </w:t>
      </w:r>
    </w:p>
    <w:p w14:paraId="75463B7A" w14:textId="05FA6890" w:rsidR="00EC2CF3" w:rsidRDefault="00B10D2A" w:rsidP="00202B20">
      <w:r>
        <w:t xml:space="preserve">An independent evaluation is being conducted by Salford University. The final report will not be available until 2017. </w:t>
      </w:r>
    </w:p>
    <w:p w14:paraId="4183808A" w14:textId="77777777" w:rsidR="00431230" w:rsidRPr="00B10D2A" w:rsidRDefault="00431230" w:rsidP="00202B20"/>
    <w:p w14:paraId="2264B01B" w14:textId="73F086BC" w:rsidR="00C06995" w:rsidRPr="00431230" w:rsidRDefault="00CA4F89" w:rsidP="00431230">
      <w:pPr>
        <w:pStyle w:val="ListParagraph"/>
        <w:numPr>
          <w:ilvl w:val="0"/>
          <w:numId w:val="13"/>
        </w:numPr>
        <w:ind w:left="284" w:hanging="284"/>
        <w:rPr>
          <w:b/>
        </w:rPr>
      </w:pPr>
      <w:r w:rsidRPr="00431230">
        <w:rPr>
          <w:b/>
        </w:rPr>
        <w:t>Contract Length and Value</w:t>
      </w:r>
    </w:p>
    <w:p w14:paraId="0BC4CE29" w14:textId="2A9DA1FC" w:rsidR="00CA4F89" w:rsidRPr="00CA4F89" w:rsidRDefault="00CA4F89" w:rsidP="00202B20">
      <w:r>
        <w:t>The provider will be required to commence the delivery of the service from January 2017 over 2 years and provide a budget against the total contract value of up to £</w:t>
      </w:r>
      <w:r w:rsidR="00BD6AFA">
        <w:t>440</w:t>
      </w:r>
      <w:r>
        <w:t>,000:</w:t>
      </w:r>
    </w:p>
    <w:tbl>
      <w:tblPr>
        <w:tblStyle w:val="TableGrid"/>
        <w:tblW w:w="0" w:type="auto"/>
        <w:tblLook w:val="04A0" w:firstRow="1" w:lastRow="0" w:firstColumn="1" w:lastColumn="0" w:noHBand="0" w:noVBand="1"/>
      </w:tblPr>
      <w:tblGrid>
        <w:gridCol w:w="4077"/>
        <w:gridCol w:w="5165"/>
      </w:tblGrid>
      <w:tr w:rsidR="00C06995" w14:paraId="6DF1C390" w14:textId="77777777" w:rsidTr="00AD426D">
        <w:tc>
          <w:tcPr>
            <w:tcW w:w="4077" w:type="dxa"/>
          </w:tcPr>
          <w:p w14:paraId="18259FE9" w14:textId="77777777" w:rsidR="00C06995" w:rsidRPr="00C06995" w:rsidRDefault="00C06995" w:rsidP="00202B20">
            <w:pPr>
              <w:rPr>
                <w:b/>
              </w:rPr>
            </w:pPr>
            <w:r w:rsidRPr="00C06995">
              <w:rPr>
                <w:b/>
              </w:rPr>
              <w:t xml:space="preserve">Year 1 </w:t>
            </w:r>
          </w:p>
        </w:tc>
        <w:tc>
          <w:tcPr>
            <w:tcW w:w="5165" w:type="dxa"/>
          </w:tcPr>
          <w:p w14:paraId="76747D24" w14:textId="77777777" w:rsidR="00C06995" w:rsidRPr="00C06995" w:rsidRDefault="00C06995" w:rsidP="00202B20">
            <w:pPr>
              <w:rPr>
                <w:b/>
              </w:rPr>
            </w:pPr>
            <w:r w:rsidRPr="00C06995">
              <w:rPr>
                <w:b/>
              </w:rPr>
              <w:t>Year 2</w:t>
            </w:r>
          </w:p>
        </w:tc>
      </w:tr>
      <w:tr w:rsidR="00C06995" w14:paraId="72C895F4" w14:textId="77777777" w:rsidTr="00AD426D">
        <w:tc>
          <w:tcPr>
            <w:tcW w:w="4077" w:type="dxa"/>
          </w:tcPr>
          <w:p w14:paraId="6EE86452" w14:textId="330E071E" w:rsidR="00C06995" w:rsidRDefault="00BD6AFA" w:rsidP="00202B20">
            <w:r>
              <w:t>£22</w:t>
            </w:r>
            <w:r w:rsidR="00C75AC2">
              <w:t>2</w:t>
            </w:r>
            <w:r w:rsidR="00C06995">
              <w:t>,000</w:t>
            </w:r>
          </w:p>
        </w:tc>
        <w:tc>
          <w:tcPr>
            <w:tcW w:w="5165" w:type="dxa"/>
          </w:tcPr>
          <w:p w14:paraId="645D851D" w14:textId="2B75B533" w:rsidR="00C06995" w:rsidRDefault="00BD6AFA" w:rsidP="00C75AC2">
            <w:r>
              <w:t>£22</w:t>
            </w:r>
            <w:r w:rsidR="00C75AC2">
              <w:t>2</w:t>
            </w:r>
            <w:bookmarkStart w:id="0" w:name="_GoBack"/>
            <w:bookmarkEnd w:id="0"/>
            <w:r w:rsidR="00C06995">
              <w:t>,000</w:t>
            </w:r>
          </w:p>
        </w:tc>
      </w:tr>
    </w:tbl>
    <w:p w14:paraId="5F881C41" w14:textId="77777777" w:rsidR="00E6735F" w:rsidRDefault="00E6735F" w:rsidP="00E6735F">
      <w:pPr>
        <w:pStyle w:val="ListParagraph"/>
        <w:ind w:left="284"/>
        <w:rPr>
          <w:b/>
        </w:rPr>
      </w:pPr>
    </w:p>
    <w:p w14:paraId="4DCA77F1" w14:textId="77777777" w:rsidR="00E6735F" w:rsidRPr="00E6735F" w:rsidRDefault="00E6735F" w:rsidP="00E6735F">
      <w:pPr>
        <w:pStyle w:val="ListParagraph"/>
        <w:ind w:left="284"/>
        <w:rPr>
          <w:b/>
        </w:rPr>
      </w:pPr>
    </w:p>
    <w:p w14:paraId="34CE3E81" w14:textId="3DD21E33" w:rsidR="00D95E90" w:rsidRPr="00431230" w:rsidRDefault="003C6276" w:rsidP="00431230">
      <w:pPr>
        <w:pStyle w:val="ListParagraph"/>
        <w:numPr>
          <w:ilvl w:val="0"/>
          <w:numId w:val="13"/>
        </w:numPr>
        <w:ind w:left="284" w:hanging="284"/>
        <w:rPr>
          <w:b/>
        </w:rPr>
      </w:pPr>
      <w:r w:rsidRPr="00431230">
        <w:rPr>
          <w:b/>
        </w:rPr>
        <w:t>Outcomes and Key Performance Indicators</w:t>
      </w:r>
    </w:p>
    <w:tbl>
      <w:tblPr>
        <w:tblStyle w:val="TableGrid"/>
        <w:tblW w:w="0" w:type="auto"/>
        <w:tblLook w:val="04A0" w:firstRow="1" w:lastRow="0" w:firstColumn="1" w:lastColumn="0" w:noHBand="0" w:noVBand="1"/>
      </w:tblPr>
      <w:tblGrid>
        <w:gridCol w:w="2943"/>
        <w:gridCol w:w="6299"/>
      </w:tblGrid>
      <w:tr w:rsidR="003C6276" w14:paraId="7CE99F05" w14:textId="77777777" w:rsidTr="003C6276">
        <w:tc>
          <w:tcPr>
            <w:tcW w:w="2943" w:type="dxa"/>
          </w:tcPr>
          <w:p w14:paraId="6740A75D" w14:textId="77777777" w:rsidR="003C6276" w:rsidRDefault="003C6276" w:rsidP="00202B20">
            <w:pPr>
              <w:rPr>
                <w:b/>
              </w:rPr>
            </w:pPr>
            <w:r>
              <w:rPr>
                <w:b/>
              </w:rPr>
              <w:t>Children and Young People</w:t>
            </w:r>
          </w:p>
        </w:tc>
        <w:tc>
          <w:tcPr>
            <w:tcW w:w="6299" w:type="dxa"/>
          </w:tcPr>
          <w:p w14:paraId="36618615" w14:textId="77777777" w:rsidR="003C6276" w:rsidRDefault="003C6276" w:rsidP="003C6276">
            <w:r>
              <w:t>Baseline Assessments</w:t>
            </w:r>
            <w:r w:rsidR="0094570C">
              <w:t xml:space="preserve"> before </w:t>
            </w:r>
            <w:proofErr w:type="gramStart"/>
            <w:r w:rsidR="0094570C">
              <w:t>tool used</w:t>
            </w:r>
            <w:r>
              <w:t>, and follow</w:t>
            </w:r>
            <w:proofErr w:type="gramEnd"/>
            <w:r>
              <w:t xml:space="preserve"> up </w:t>
            </w:r>
            <w:r w:rsidR="0094570C">
              <w:t>assessment at end of intervention.  An appropriate assessment tool should be used. This should be inline with tools promoted as part of the review of schools systems and processes (component 4)</w:t>
            </w:r>
          </w:p>
          <w:p w14:paraId="5661B1AA" w14:textId="77777777" w:rsidR="00606B56" w:rsidRPr="003C6276" w:rsidRDefault="00606B56" w:rsidP="003C6276"/>
        </w:tc>
      </w:tr>
      <w:tr w:rsidR="003C7DE9" w14:paraId="7A8A1B4F" w14:textId="77777777" w:rsidTr="003C6276">
        <w:tc>
          <w:tcPr>
            <w:tcW w:w="2943" w:type="dxa"/>
          </w:tcPr>
          <w:p w14:paraId="298681F9" w14:textId="77777777" w:rsidR="003C7DE9" w:rsidRDefault="003C7DE9" w:rsidP="00790240">
            <w:pPr>
              <w:rPr>
                <w:b/>
              </w:rPr>
            </w:pPr>
            <w:r>
              <w:rPr>
                <w:b/>
              </w:rPr>
              <w:t xml:space="preserve">Primary Schools  </w:t>
            </w:r>
          </w:p>
        </w:tc>
        <w:tc>
          <w:tcPr>
            <w:tcW w:w="6299" w:type="dxa"/>
          </w:tcPr>
          <w:p w14:paraId="2834EA60" w14:textId="77777777" w:rsidR="003C7DE9" w:rsidRDefault="003C7DE9" w:rsidP="00790240">
            <w:r>
              <w:t>Number of Primary Schools engaged and level of engagement</w:t>
            </w:r>
          </w:p>
          <w:p w14:paraId="11103234" w14:textId="77777777" w:rsidR="00606B56" w:rsidRDefault="00606B56" w:rsidP="00790240"/>
          <w:p w14:paraId="3562B9C0" w14:textId="77777777" w:rsidR="00AD426D" w:rsidRDefault="00AD426D" w:rsidP="00790240">
            <w:r>
              <w:t>Tools accessed by each school, with an analysis of the impact and outcomes per school</w:t>
            </w:r>
          </w:p>
          <w:p w14:paraId="277CD1D2" w14:textId="77777777" w:rsidR="00AD426D" w:rsidRPr="003C6276" w:rsidRDefault="00AD426D" w:rsidP="00790240"/>
        </w:tc>
      </w:tr>
      <w:tr w:rsidR="003C7DE9" w14:paraId="1A910C92" w14:textId="77777777" w:rsidTr="003C6276">
        <w:tc>
          <w:tcPr>
            <w:tcW w:w="2943" w:type="dxa"/>
          </w:tcPr>
          <w:p w14:paraId="1F46A47B" w14:textId="77777777" w:rsidR="003C7DE9" w:rsidRDefault="003C7DE9" w:rsidP="00790240">
            <w:pPr>
              <w:rPr>
                <w:b/>
              </w:rPr>
            </w:pPr>
            <w:r>
              <w:rPr>
                <w:b/>
              </w:rPr>
              <w:t xml:space="preserve">Secondary Schools </w:t>
            </w:r>
          </w:p>
        </w:tc>
        <w:tc>
          <w:tcPr>
            <w:tcW w:w="6299" w:type="dxa"/>
          </w:tcPr>
          <w:p w14:paraId="7420C30B" w14:textId="77777777" w:rsidR="003C7DE9" w:rsidRDefault="003C7DE9" w:rsidP="00790240">
            <w:r>
              <w:t xml:space="preserve">Number of </w:t>
            </w:r>
            <w:r w:rsidR="0094570C">
              <w:t xml:space="preserve">Secondary </w:t>
            </w:r>
            <w:r>
              <w:t>Schools engaged and level of engagement</w:t>
            </w:r>
          </w:p>
          <w:p w14:paraId="27E77E53" w14:textId="77777777" w:rsidR="00606B56" w:rsidRDefault="00606B56" w:rsidP="00790240"/>
          <w:p w14:paraId="76E5FD68" w14:textId="77777777" w:rsidR="00AD426D" w:rsidRDefault="00AD426D" w:rsidP="00AD426D">
            <w:r>
              <w:t>Tools accessed by each school, with an analysis of the impact and outcomes per school</w:t>
            </w:r>
          </w:p>
          <w:p w14:paraId="70377504" w14:textId="77777777" w:rsidR="00AD426D" w:rsidRPr="003C6276" w:rsidRDefault="00AD426D" w:rsidP="00790240"/>
        </w:tc>
      </w:tr>
      <w:tr w:rsidR="003C7DE9" w14:paraId="26FCCE80" w14:textId="77777777" w:rsidTr="003C6276">
        <w:tc>
          <w:tcPr>
            <w:tcW w:w="2943" w:type="dxa"/>
          </w:tcPr>
          <w:p w14:paraId="499C0917" w14:textId="77777777" w:rsidR="003C7DE9" w:rsidRDefault="003C7DE9" w:rsidP="00202B20">
            <w:pPr>
              <w:rPr>
                <w:b/>
              </w:rPr>
            </w:pPr>
            <w:r>
              <w:rPr>
                <w:b/>
              </w:rPr>
              <w:t>Quality Indicators</w:t>
            </w:r>
          </w:p>
        </w:tc>
        <w:tc>
          <w:tcPr>
            <w:tcW w:w="6299" w:type="dxa"/>
          </w:tcPr>
          <w:p w14:paraId="02159F36" w14:textId="77777777" w:rsidR="009308CC" w:rsidRDefault="003C7DE9" w:rsidP="00202B20">
            <w:r>
              <w:t>Feedback from Schools, Pastoral Staff, Children and Young People</w:t>
            </w:r>
            <w:r w:rsidR="0094570C">
              <w:t xml:space="preserve"> and other staff associated with the school e.g. school nurses, educational psychologist, CAMHS link workers.</w:t>
            </w:r>
          </w:p>
          <w:p w14:paraId="128984A8" w14:textId="77777777" w:rsidR="00606B56" w:rsidRDefault="00606B56" w:rsidP="00202B20"/>
          <w:p w14:paraId="40B2D0B0" w14:textId="77777777" w:rsidR="00606B56" w:rsidRPr="003C6276" w:rsidRDefault="00606B56" w:rsidP="00606B56">
            <w:r>
              <w:t>Impact of consultation, facilitated reflection and training i.e. case studies</w:t>
            </w:r>
          </w:p>
        </w:tc>
      </w:tr>
      <w:tr w:rsidR="00431230" w14:paraId="2513F43C" w14:textId="77777777" w:rsidTr="00F62A31">
        <w:tc>
          <w:tcPr>
            <w:tcW w:w="9242" w:type="dxa"/>
            <w:gridSpan w:val="2"/>
          </w:tcPr>
          <w:p w14:paraId="4B8AC0D1" w14:textId="53A985F1" w:rsidR="00431230" w:rsidRPr="00431230" w:rsidRDefault="00431230" w:rsidP="00431230">
            <w:r w:rsidRPr="00E0190C">
              <w:t xml:space="preserve">Providers will be asked to develop a dashboard for these indicators and any relevant outcome indicators from the </w:t>
            </w:r>
            <w:r w:rsidRPr="00E0190C">
              <w:rPr>
                <w:b/>
              </w:rPr>
              <w:t>Thrive Outcomes</w:t>
            </w:r>
            <w:r w:rsidRPr="00E0190C">
              <w:t xml:space="preserve"> in Appendix 1</w:t>
            </w:r>
          </w:p>
        </w:tc>
      </w:tr>
      <w:tr w:rsidR="00431230" w14:paraId="72A31DBA" w14:textId="77777777" w:rsidTr="00F62A31">
        <w:tc>
          <w:tcPr>
            <w:tcW w:w="9242" w:type="dxa"/>
            <w:gridSpan w:val="2"/>
          </w:tcPr>
          <w:p w14:paraId="29845834" w14:textId="77777777" w:rsidR="00431230" w:rsidRDefault="00431230" w:rsidP="00431230">
            <w:r>
              <w:t>Performance Reports will be required on a quarterly basis and will be monitored by the Council (Commissioning Manager) and through the following governance arrangements:</w:t>
            </w:r>
          </w:p>
          <w:p w14:paraId="55387AB6" w14:textId="77777777" w:rsidR="00431230" w:rsidRPr="00816702" w:rsidRDefault="00431230" w:rsidP="00431230">
            <w:pPr>
              <w:pStyle w:val="ListParagraph"/>
              <w:numPr>
                <w:ilvl w:val="0"/>
                <w:numId w:val="8"/>
              </w:numPr>
              <w:rPr>
                <w:b/>
              </w:rPr>
            </w:pPr>
            <w:r>
              <w:t>The Children and Young Peoples Strategy Group (governance group for the Cheshire East Children and Young Peoples Mental Health Transformation Plan) which is a partnership between Clinical Commissioning Groups, Cheshire East Council, Schools and Mental Health Providers.</w:t>
            </w:r>
          </w:p>
          <w:p w14:paraId="72C87E51" w14:textId="77777777" w:rsidR="00431230" w:rsidRDefault="00431230" w:rsidP="00431230">
            <w:pPr>
              <w:rPr>
                <w:b/>
              </w:rPr>
            </w:pPr>
          </w:p>
          <w:p w14:paraId="10A2E057" w14:textId="77777777" w:rsidR="00431230" w:rsidRPr="001A5B9B" w:rsidRDefault="00431230" w:rsidP="00431230">
            <w:r w:rsidRPr="001A5B9B">
              <w:t>Performance reports will include:</w:t>
            </w:r>
          </w:p>
          <w:p w14:paraId="53852745" w14:textId="77777777" w:rsidR="00431230" w:rsidRPr="001A5B9B" w:rsidRDefault="00431230" w:rsidP="00431230">
            <w:pPr>
              <w:pStyle w:val="ListParagraph"/>
              <w:numPr>
                <w:ilvl w:val="0"/>
                <w:numId w:val="8"/>
              </w:numPr>
            </w:pPr>
            <w:r w:rsidRPr="001A5B9B">
              <w:t>Progress against the service implementation</w:t>
            </w:r>
            <w:r>
              <w:t>, pathways</w:t>
            </w:r>
            <w:r w:rsidRPr="001A5B9B">
              <w:t xml:space="preserve"> </w:t>
            </w:r>
            <w:r>
              <w:t xml:space="preserve">and service development, </w:t>
            </w:r>
          </w:p>
          <w:p w14:paraId="36406EB7" w14:textId="77777777" w:rsidR="00431230" w:rsidRDefault="00431230" w:rsidP="00431230">
            <w:pPr>
              <w:pStyle w:val="ListParagraph"/>
              <w:numPr>
                <w:ilvl w:val="0"/>
                <w:numId w:val="8"/>
              </w:numPr>
            </w:pPr>
            <w:r w:rsidRPr="001A5B9B">
              <w:t>A dashboard detailing quarterly progress against KPIs</w:t>
            </w:r>
            <w:r>
              <w:t xml:space="preserve"> and Outcome Indicators</w:t>
            </w:r>
            <w:r w:rsidRPr="001A5B9B">
              <w:t>,</w:t>
            </w:r>
          </w:p>
          <w:p w14:paraId="60E4247E" w14:textId="77777777" w:rsidR="00431230" w:rsidRPr="001A5B9B" w:rsidRDefault="00431230" w:rsidP="00431230">
            <w:pPr>
              <w:pStyle w:val="ListParagraph"/>
              <w:numPr>
                <w:ilvl w:val="0"/>
                <w:numId w:val="8"/>
              </w:numPr>
            </w:pPr>
            <w:r>
              <w:t>Impact and Outcomes,</w:t>
            </w:r>
          </w:p>
          <w:p w14:paraId="2B58D097" w14:textId="77777777" w:rsidR="00431230" w:rsidRPr="001A5B9B" w:rsidRDefault="00431230" w:rsidP="00431230">
            <w:pPr>
              <w:pStyle w:val="ListParagraph"/>
              <w:numPr>
                <w:ilvl w:val="0"/>
                <w:numId w:val="8"/>
              </w:numPr>
            </w:pPr>
            <w:r w:rsidRPr="001A5B9B">
              <w:t>Feedback from stakeholders,</w:t>
            </w:r>
          </w:p>
          <w:p w14:paraId="0946EA08" w14:textId="77777777" w:rsidR="00431230" w:rsidRPr="001A5B9B" w:rsidRDefault="00431230" w:rsidP="00431230">
            <w:pPr>
              <w:pStyle w:val="ListParagraph"/>
              <w:numPr>
                <w:ilvl w:val="0"/>
                <w:numId w:val="8"/>
              </w:numPr>
            </w:pPr>
            <w:r w:rsidRPr="001A5B9B">
              <w:t>Case studies,</w:t>
            </w:r>
          </w:p>
          <w:p w14:paraId="008CD8BA" w14:textId="77777777" w:rsidR="00431230" w:rsidRDefault="00431230" w:rsidP="00431230">
            <w:pPr>
              <w:pStyle w:val="ListParagraph"/>
              <w:numPr>
                <w:ilvl w:val="0"/>
                <w:numId w:val="8"/>
              </w:numPr>
            </w:pPr>
            <w:r>
              <w:t>Workforce Development,</w:t>
            </w:r>
          </w:p>
          <w:p w14:paraId="3663044E" w14:textId="77777777" w:rsidR="00431230" w:rsidRDefault="00431230" w:rsidP="00431230">
            <w:pPr>
              <w:pStyle w:val="ListParagraph"/>
              <w:numPr>
                <w:ilvl w:val="0"/>
                <w:numId w:val="8"/>
              </w:numPr>
            </w:pPr>
            <w:r>
              <w:t>Budgets and Finance,</w:t>
            </w:r>
          </w:p>
          <w:p w14:paraId="10BB0B09" w14:textId="0FA8E8AD" w:rsidR="00431230" w:rsidRPr="00431230" w:rsidRDefault="00431230" w:rsidP="00431230">
            <w:r>
              <w:t>Safeguarding Self-Audit.</w:t>
            </w:r>
          </w:p>
        </w:tc>
      </w:tr>
    </w:tbl>
    <w:p w14:paraId="098D6144" w14:textId="77777777" w:rsidR="003C6276" w:rsidRDefault="003C6276" w:rsidP="00202B20"/>
    <w:p w14:paraId="4FF66770" w14:textId="52058179" w:rsidR="00553A58" w:rsidRPr="00553A58" w:rsidRDefault="00553A58" w:rsidP="00553A58">
      <w:pPr>
        <w:pStyle w:val="ListParagraph"/>
        <w:numPr>
          <w:ilvl w:val="0"/>
          <w:numId w:val="13"/>
        </w:numPr>
        <w:ind w:left="284" w:hanging="284"/>
        <w:rPr>
          <w:b/>
        </w:rPr>
      </w:pPr>
      <w:r w:rsidRPr="00553A58">
        <w:rPr>
          <w:b/>
        </w:rPr>
        <w:t>Safeguarding</w:t>
      </w:r>
    </w:p>
    <w:p w14:paraId="3AEB2428" w14:textId="61899FB9" w:rsidR="00553A58" w:rsidRPr="002B1B27" w:rsidRDefault="00553A58" w:rsidP="00553A58">
      <w:pPr>
        <w:rPr>
          <w:b/>
        </w:rPr>
      </w:pPr>
      <w:r>
        <w:rPr>
          <w:b/>
        </w:rPr>
        <w:t>6.1 Provider</w:t>
      </w:r>
      <w:r w:rsidRPr="002B1B27">
        <w:rPr>
          <w:b/>
        </w:rPr>
        <w:t>s responsibilities</w:t>
      </w:r>
    </w:p>
    <w:p w14:paraId="69D6DEA8" w14:textId="77777777" w:rsidR="00553A58" w:rsidRPr="002B1B27" w:rsidRDefault="00553A58" w:rsidP="00553A58">
      <w:pPr>
        <w:pStyle w:val="ListParagraph"/>
        <w:ind w:left="0"/>
      </w:pPr>
      <w:r>
        <w:t>The Provider</w:t>
      </w:r>
      <w:r w:rsidRPr="002B1B27">
        <w:t xml:space="preserve"> will</w:t>
      </w:r>
      <w:r w:rsidRPr="002B1B27">
        <w:rPr>
          <w:bCs/>
        </w:rPr>
        <w:t xml:space="preserve"> </w:t>
      </w:r>
      <w:r w:rsidRPr="002B1B27">
        <w:t>ensure services comply with safeguarding procedures outlined by Cheshire East Council through the Local Safeguarding Children Board and Local Safeguarding Adults Board, and Cheshire East’s Domestic Abuse Partnership:</w:t>
      </w:r>
    </w:p>
    <w:p w14:paraId="7328C1D9" w14:textId="77777777" w:rsidR="00553A58" w:rsidRPr="002B1B27" w:rsidRDefault="00553A58" w:rsidP="00553A58">
      <w:pPr>
        <w:pStyle w:val="ListParagraph"/>
        <w:ind w:left="0"/>
        <w:rPr>
          <w:u w:val="single"/>
        </w:rPr>
      </w:pPr>
      <w:r w:rsidRPr="002B1B27">
        <w:t xml:space="preserve">  </w:t>
      </w:r>
    </w:p>
    <w:p w14:paraId="7DA19478" w14:textId="77777777" w:rsidR="00553A58" w:rsidRPr="002B1B27" w:rsidRDefault="00C75AC2" w:rsidP="00553A58">
      <w:pPr>
        <w:pStyle w:val="ListParagraph"/>
        <w:ind w:left="0"/>
      </w:pPr>
      <w:hyperlink r:id="rId8" w:history="1">
        <w:r w:rsidR="00553A58" w:rsidRPr="002B1B27">
          <w:rPr>
            <w:rStyle w:val="Hyperlink"/>
          </w:rPr>
          <w:t>http://www.cheshireeast.gov.uk/care-and-support/healthy-lifestyles/domestic_abuse/domestic_abuse.aspx</w:t>
        </w:r>
      </w:hyperlink>
    </w:p>
    <w:p w14:paraId="3AC9BC5A" w14:textId="77777777" w:rsidR="00553A58" w:rsidRPr="002B1B27" w:rsidRDefault="00553A58" w:rsidP="00553A58">
      <w:pPr>
        <w:pStyle w:val="ListParagraph"/>
        <w:ind w:left="0"/>
      </w:pPr>
    </w:p>
    <w:p w14:paraId="684B8CCE" w14:textId="77777777" w:rsidR="00553A58" w:rsidRPr="002B1B27" w:rsidRDefault="00C75AC2" w:rsidP="00553A58">
      <w:pPr>
        <w:pStyle w:val="ListParagraph"/>
        <w:ind w:left="0"/>
      </w:pPr>
      <w:hyperlink r:id="rId9" w:history="1">
        <w:r w:rsidR="00553A58" w:rsidRPr="002B1B27">
          <w:rPr>
            <w:rStyle w:val="Hyperlink"/>
          </w:rPr>
          <w:t>http://www.cheshireeastlscb.org.uk/professionals/procedures-and-guidance.aspx</w:t>
        </w:r>
      </w:hyperlink>
    </w:p>
    <w:p w14:paraId="356598F2" w14:textId="77777777" w:rsidR="00553A58" w:rsidRPr="002B1B27" w:rsidRDefault="00553A58" w:rsidP="00553A58">
      <w:pPr>
        <w:pStyle w:val="ListParagraph"/>
        <w:ind w:left="0"/>
      </w:pPr>
    </w:p>
    <w:p w14:paraId="15A95B27" w14:textId="77777777" w:rsidR="00553A58" w:rsidRPr="002B1B27" w:rsidRDefault="00C75AC2" w:rsidP="00553A58">
      <w:pPr>
        <w:pStyle w:val="ListParagraph"/>
        <w:ind w:left="0"/>
      </w:pPr>
      <w:hyperlink r:id="rId10" w:history="1">
        <w:r w:rsidR="00553A58" w:rsidRPr="002B1B27">
          <w:rPr>
            <w:rStyle w:val="Hyperlink"/>
          </w:rPr>
          <w:t>http://www.cheshireeast.gov.uk/care-and-support/vulnerable-adults/vulnerable-adults.aspx</w:t>
        </w:r>
      </w:hyperlink>
      <w:r w:rsidR="00553A58" w:rsidRPr="002B1B27">
        <w:t xml:space="preserve"> </w:t>
      </w:r>
    </w:p>
    <w:p w14:paraId="1D1A957A" w14:textId="77777777" w:rsidR="00553A58" w:rsidRPr="002B1B27" w:rsidRDefault="00553A58" w:rsidP="00553A58">
      <w:pPr>
        <w:pStyle w:val="ListParagraph"/>
        <w:ind w:left="0"/>
        <w:rPr>
          <w:b/>
        </w:rPr>
      </w:pPr>
    </w:p>
    <w:p w14:paraId="1FE5268A" w14:textId="77777777" w:rsidR="00553A58" w:rsidRPr="002B1B27" w:rsidRDefault="00553A58" w:rsidP="00553A58">
      <w:pPr>
        <w:pStyle w:val="ListParagraph"/>
        <w:ind w:left="0"/>
      </w:pPr>
      <w:r w:rsidRPr="002B1B27">
        <w:t xml:space="preserve">The operational policies of </w:t>
      </w:r>
      <w:r>
        <w:t xml:space="preserve">Provider </w:t>
      </w:r>
      <w:r w:rsidRPr="002B1B27">
        <w:t>will address the following:</w:t>
      </w:r>
    </w:p>
    <w:p w14:paraId="35043EF8" w14:textId="77777777" w:rsidR="00553A58" w:rsidRPr="002B1B27" w:rsidRDefault="00553A58" w:rsidP="00553A58">
      <w:pPr>
        <w:pStyle w:val="ListParagraph"/>
        <w:numPr>
          <w:ilvl w:val="0"/>
          <w:numId w:val="15"/>
        </w:numPr>
        <w:ind w:left="720"/>
      </w:pPr>
      <w:r w:rsidRPr="002B1B27">
        <w:t>Safe provision and storage of medication</w:t>
      </w:r>
    </w:p>
    <w:p w14:paraId="7EF08AD4" w14:textId="77777777" w:rsidR="00553A58" w:rsidRPr="002B1B27" w:rsidRDefault="00553A58" w:rsidP="00553A58">
      <w:pPr>
        <w:pStyle w:val="ListParagraph"/>
        <w:numPr>
          <w:ilvl w:val="0"/>
          <w:numId w:val="15"/>
        </w:numPr>
        <w:ind w:left="720"/>
      </w:pPr>
      <w:r w:rsidRPr="002B1B27">
        <w:t>How to initiate a CAF if required</w:t>
      </w:r>
    </w:p>
    <w:p w14:paraId="6D0AE5F1" w14:textId="77777777" w:rsidR="00553A58" w:rsidRPr="002B1B27" w:rsidRDefault="00553A58" w:rsidP="00553A58">
      <w:pPr>
        <w:pStyle w:val="ListParagraph"/>
        <w:numPr>
          <w:ilvl w:val="0"/>
          <w:numId w:val="15"/>
        </w:numPr>
        <w:ind w:left="720"/>
      </w:pPr>
      <w:r w:rsidRPr="002B1B27">
        <w:t xml:space="preserve">How to make a referral  for a children in need, or a vulnerable adult, under safeguarding procedures </w:t>
      </w:r>
    </w:p>
    <w:p w14:paraId="56244337" w14:textId="77777777" w:rsidR="00553A58" w:rsidRPr="002B1B27" w:rsidRDefault="00553A58" w:rsidP="00553A58">
      <w:pPr>
        <w:pStyle w:val="ListParagraph"/>
        <w:numPr>
          <w:ilvl w:val="0"/>
          <w:numId w:val="15"/>
        </w:numPr>
        <w:ind w:left="720"/>
      </w:pPr>
      <w:r w:rsidRPr="002B1B27">
        <w:t xml:space="preserve">How to raise a concern in relation to domestic abuse </w:t>
      </w:r>
    </w:p>
    <w:p w14:paraId="483367C7" w14:textId="77777777" w:rsidR="00553A58" w:rsidRPr="002B1B27" w:rsidRDefault="00553A58" w:rsidP="00553A58">
      <w:pPr>
        <w:pStyle w:val="ListParagraph"/>
        <w:numPr>
          <w:ilvl w:val="0"/>
          <w:numId w:val="15"/>
        </w:numPr>
        <w:ind w:left="720"/>
      </w:pPr>
      <w:r w:rsidRPr="002B1B27">
        <w:t>How to report and respond to safeguarding concerns about the practice of staff or volunteers</w:t>
      </w:r>
    </w:p>
    <w:p w14:paraId="77210C1D" w14:textId="77777777" w:rsidR="00553A58" w:rsidRPr="002B1B27" w:rsidRDefault="00553A58" w:rsidP="00553A58">
      <w:pPr>
        <w:pStyle w:val="ListParagraph"/>
        <w:numPr>
          <w:ilvl w:val="0"/>
          <w:numId w:val="15"/>
        </w:numPr>
        <w:ind w:left="720"/>
      </w:pPr>
      <w:r w:rsidRPr="002B1B27">
        <w:t>Set out how they will manage a complaint investigation and how the learning will inform practice and continuous development of the service</w:t>
      </w:r>
    </w:p>
    <w:p w14:paraId="49DAB809" w14:textId="77777777" w:rsidR="00553A58" w:rsidRPr="002B1B27" w:rsidRDefault="00553A58" w:rsidP="00553A58">
      <w:pPr>
        <w:pStyle w:val="ListParagraph"/>
        <w:numPr>
          <w:ilvl w:val="0"/>
          <w:numId w:val="15"/>
        </w:numPr>
        <w:ind w:left="720"/>
      </w:pPr>
      <w:r w:rsidRPr="002B1B27">
        <w:t>Set out how the management and reporting of Sudden Untoward Incidents and the reflective learning from such events informs future practice and continuous service  development</w:t>
      </w:r>
    </w:p>
    <w:p w14:paraId="66D302B7" w14:textId="77777777" w:rsidR="00553A58" w:rsidRPr="002B1B27" w:rsidRDefault="00553A58" w:rsidP="00553A58">
      <w:pPr>
        <w:pStyle w:val="ListParagraph"/>
        <w:ind w:left="0"/>
        <w:rPr>
          <w:b/>
        </w:rPr>
      </w:pPr>
    </w:p>
    <w:p w14:paraId="481C1154" w14:textId="77777777" w:rsidR="00553A58" w:rsidRPr="002B1B27" w:rsidRDefault="00553A58" w:rsidP="00553A58">
      <w:pPr>
        <w:pStyle w:val="ListParagraph"/>
        <w:ind w:left="0"/>
      </w:pPr>
      <w:r w:rsidRPr="002B1B27">
        <w:t>The Provider will be responsible for informing the commissioner of their practice through routine contract monitoring arrangements or earlier where it relates to a critical incident and or is deemed to be an emergency that warrants this step as a matter of urgency.</w:t>
      </w:r>
    </w:p>
    <w:p w14:paraId="77D19E1A" w14:textId="77777777" w:rsidR="00553A58" w:rsidRPr="002B1B27" w:rsidRDefault="00553A58" w:rsidP="00553A58">
      <w:pPr>
        <w:pStyle w:val="ListParagraph"/>
        <w:ind w:left="0"/>
        <w:rPr>
          <w:b/>
        </w:rPr>
      </w:pPr>
    </w:p>
    <w:p w14:paraId="3FAB3C70" w14:textId="51873F94" w:rsidR="00553A58" w:rsidRDefault="00553A58" w:rsidP="00553A58">
      <w:pPr>
        <w:pStyle w:val="ListParagraph"/>
        <w:ind w:left="0"/>
        <w:rPr>
          <w:b/>
        </w:rPr>
      </w:pPr>
      <w:r>
        <w:rPr>
          <w:b/>
        </w:rPr>
        <w:t xml:space="preserve">6.2 </w:t>
      </w:r>
      <w:r w:rsidRPr="002B1B27">
        <w:rPr>
          <w:b/>
        </w:rPr>
        <w:t>Exceptional Service Exclusion</w:t>
      </w:r>
    </w:p>
    <w:p w14:paraId="273A6B3B" w14:textId="77777777" w:rsidR="00553A58" w:rsidRDefault="00553A58" w:rsidP="00553A58">
      <w:pPr>
        <w:pStyle w:val="ListParagraph"/>
        <w:ind w:left="0"/>
        <w:rPr>
          <w:b/>
        </w:rPr>
      </w:pPr>
    </w:p>
    <w:p w14:paraId="07308869" w14:textId="77777777" w:rsidR="00553A58" w:rsidRPr="002B1B27" w:rsidRDefault="00553A58" w:rsidP="00553A58">
      <w:pPr>
        <w:pStyle w:val="ListParagraph"/>
        <w:ind w:left="0"/>
        <w:rPr>
          <w:b/>
        </w:rPr>
      </w:pPr>
      <w:r w:rsidRPr="002B1B27">
        <w:t xml:space="preserve">The Provider may at times need to consider whether a service user may need to be excluded from the service. A professional risk assessment must be undertaken to assess the risk to other service users, staff and or members of the public. This risk assessment should be undertaken on a </w:t>
      </w:r>
      <w:proofErr w:type="spellStart"/>
      <w:r w:rsidRPr="002B1B27">
        <w:t>multi agency</w:t>
      </w:r>
      <w:proofErr w:type="spellEnd"/>
      <w:r w:rsidRPr="002B1B27">
        <w:t xml:space="preserve"> basis to ensure wider safety actions being determined across health, social care and the criminal justice system. </w:t>
      </w:r>
    </w:p>
    <w:p w14:paraId="6BEDCCAE" w14:textId="77777777" w:rsidR="00553A58" w:rsidRPr="002B1B27" w:rsidRDefault="00553A58" w:rsidP="00553A58">
      <w:pPr>
        <w:pStyle w:val="ListParagraph"/>
        <w:ind w:left="0"/>
      </w:pPr>
    </w:p>
    <w:p w14:paraId="1CD21351" w14:textId="77777777" w:rsidR="00553A58" w:rsidRPr="002B1B27" w:rsidRDefault="00553A58" w:rsidP="00553A58">
      <w:pPr>
        <w:pStyle w:val="ListParagraph"/>
        <w:ind w:left="0"/>
      </w:pPr>
      <w:r w:rsidRPr="002B1B27">
        <w:t xml:space="preserve">Every effort must be made to maintain and or secure re-engagement of the service user once the safety actions have been implemented. </w:t>
      </w:r>
    </w:p>
    <w:p w14:paraId="423BD7AD" w14:textId="77777777" w:rsidR="00553A58" w:rsidRPr="002B1B27" w:rsidRDefault="00553A58" w:rsidP="00553A58">
      <w:pPr>
        <w:pStyle w:val="ListParagraph"/>
        <w:ind w:left="0"/>
      </w:pPr>
    </w:p>
    <w:p w14:paraId="0CCDEC1B" w14:textId="77777777" w:rsidR="00553A58" w:rsidRPr="002B1B27" w:rsidRDefault="00553A58" w:rsidP="00553A58">
      <w:pPr>
        <w:pStyle w:val="ListParagraph"/>
        <w:ind w:left="0"/>
      </w:pPr>
      <w:r w:rsidRPr="002B1B27">
        <w:lastRenderedPageBreak/>
        <w:t>Any exclusions, and or safety actions put into place must be reported to the Commissioner in a timely manner to allow for their direct involvement and or advice /guidance.</w:t>
      </w:r>
    </w:p>
    <w:p w14:paraId="52E77CA2" w14:textId="77777777" w:rsidR="00553A58" w:rsidRPr="002B1B27" w:rsidRDefault="00553A58" w:rsidP="00553A58">
      <w:pPr>
        <w:pStyle w:val="ListParagraph"/>
        <w:ind w:left="0"/>
        <w:rPr>
          <w:b/>
        </w:rPr>
      </w:pPr>
    </w:p>
    <w:p w14:paraId="15A52EDE" w14:textId="09A63672" w:rsidR="00553A58" w:rsidRPr="002B1B27" w:rsidRDefault="00553A58" w:rsidP="00553A58">
      <w:pPr>
        <w:pStyle w:val="ListParagraph"/>
        <w:ind w:left="0"/>
        <w:rPr>
          <w:b/>
        </w:rPr>
      </w:pPr>
      <w:r>
        <w:rPr>
          <w:b/>
        </w:rPr>
        <w:t>6.</w:t>
      </w:r>
      <w:r w:rsidRPr="002B1B27">
        <w:rPr>
          <w:b/>
        </w:rPr>
        <w:t>3</w:t>
      </w:r>
      <w:r>
        <w:rPr>
          <w:b/>
        </w:rPr>
        <w:t xml:space="preserve"> </w:t>
      </w:r>
      <w:r w:rsidRPr="002B1B27">
        <w:rPr>
          <w:b/>
        </w:rPr>
        <w:t>Safeguarding for Vulnerable Children and Adults</w:t>
      </w:r>
    </w:p>
    <w:p w14:paraId="7D03B038" w14:textId="77777777" w:rsidR="00553A58" w:rsidRPr="002B1B27" w:rsidRDefault="00553A58" w:rsidP="00553A58">
      <w:pPr>
        <w:pStyle w:val="ListParagraph"/>
        <w:ind w:left="0"/>
        <w:rPr>
          <w:b/>
          <w:lang w:val="en-US"/>
        </w:rPr>
      </w:pPr>
    </w:p>
    <w:p w14:paraId="118C4FAE" w14:textId="77777777" w:rsidR="00553A58" w:rsidRPr="002B1B27" w:rsidRDefault="00553A58" w:rsidP="00553A58">
      <w:pPr>
        <w:pStyle w:val="ListParagraph"/>
        <w:ind w:left="0"/>
      </w:pPr>
      <w:r w:rsidRPr="002B1B27">
        <w:rPr>
          <w:lang w:val="en-US"/>
        </w:rPr>
        <w:t xml:space="preserve">The safeguarding of children and vulnerable adults must underpin all practice and </w:t>
      </w:r>
      <w:r>
        <w:rPr>
          <w:lang w:val="en-US"/>
        </w:rPr>
        <w:t xml:space="preserve">the Provider </w:t>
      </w:r>
      <w:proofErr w:type="gramStart"/>
      <w:r>
        <w:rPr>
          <w:lang w:val="en-US"/>
        </w:rPr>
        <w:t>i</w:t>
      </w:r>
      <w:r w:rsidRPr="002B1B27">
        <w:rPr>
          <w:lang w:val="en-US"/>
        </w:rPr>
        <w:t>s are</w:t>
      </w:r>
      <w:proofErr w:type="gramEnd"/>
      <w:r w:rsidRPr="002B1B27">
        <w:rPr>
          <w:lang w:val="en-US"/>
        </w:rPr>
        <w:t xml:space="preserve"> expected to adhere to relevant legislation and guidance [The Care Act 2014 </w:t>
      </w:r>
      <w:hyperlink r:id="rId11" w:history="1">
        <w:r w:rsidRPr="002B1B27">
          <w:rPr>
            <w:rStyle w:val="Hyperlink"/>
            <w:lang w:val="en-US"/>
          </w:rPr>
          <w:t>https://www.gov.uk/government/publications/care-act-2014-statutory-guidance-for-implementation</w:t>
        </w:r>
      </w:hyperlink>
      <w:r w:rsidRPr="002B1B27">
        <w:rPr>
          <w:lang w:val="en-US"/>
        </w:rPr>
        <w:t xml:space="preserve">. Safeguarding Children and Young People </w:t>
      </w:r>
      <w:hyperlink r:id="rId12" w:history="1">
        <w:r w:rsidRPr="002B1B27">
          <w:rPr>
            <w:rStyle w:val="Hyperlink"/>
          </w:rPr>
          <w:t>https://www.gov.uk/government/publications/working-together-to-safeguard-children--2</w:t>
        </w:r>
      </w:hyperlink>
      <w:r w:rsidRPr="002B1B27">
        <w:t xml:space="preserve"> as well as statutory responsibilities within 1989 and 2004 Children Acts, critically: </w:t>
      </w:r>
    </w:p>
    <w:p w14:paraId="4ED978F0" w14:textId="77777777" w:rsidR="00553A58" w:rsidRDefault="00553A58" w:rsidP="00553A58">
      <w:pPr>
        <w:pStyle w:val="ListParagraph"/>
        <w:ind w:left="0"/>
        <w:rPr>
          <w:i/>
        </w:rPr>
      </w:pPr>
      <w:r w:rsidRPr="002B1B27">
        <w:rPr>
          <w:i/>
        </w:rPr>
        <w:t xml:space="preserve">‘’ Local agencies, including the police and health services, also have a duty under section 11 of the Children Act 2004 to ensure that they consider the need to safeguard and promote the welfare of children when carrying out their functions. </w:t>
      </w:r>
    </w:p>
    <w:p w14:paraId="080167E8" w14:textId="77777777" w:rsidR="00553A58" w:rsidRPr="002B1B27" w:rsidRDefault="00553A58" w:rsidP="00553A58">
      <w:pPr>
        <w:pStyle w:val="ListParagraph"/>
        <w:ind w:left="0"/>
        <w:rPr>
          <w:i/>
        </w:rPr>
      </w:pPr>
    </w:p>
    <w:p w14:paraId="38FBE528" w14:textId="77777777" w:rsidR="00553A58" w:rsidRDefault="00553A58" w:rsidP="00553A58">
      <w:pPr>
        <w:pStyle w:val="ListParagraph"/>
        <w:ind w:left="0"/>
        <w:rPr>
          <w:i/>
        </w:rPr>
      </w:pPr>
      <w:r w:rsidRPr="002B1B27">
        <w:rPr>
          <w:i/>
        </w:rPr>
        <w:t xml:space="preserve">Under section 10 of the same Act, a similar range of agencies are required to cooperate with local authorities to promote the well-being of children in each local authority area (see chapter 1). This cooperation should exist and be effective at all levels of the organisation, from strategic level through to operational delivery. </w:t>
      </w:r>
    </w:p>
    <w:p w14:paraId="3292FA03" w14:textId="77777777" w:rsidR="00553A58" w:rsidRPr="002B1B27" w:rsidRDefault="00553A58" w:rsidP="00553A58">
      <w:pPr>
        <w:pStyle w:val="ListParagraph"/>
        <w:ind w:left="0"/>
        <w:rPr>
          <w:i/>
        </w:rPr>
      </w:pPr>
    </w:p>
    <w:p w14:paraId="4B8E0DB2" w14:textId="77777777" w:rsidR="00553A58" w:rsidRPr="002B1B27" w:rsidRDefault="00553A58" w:rsidP="00553A58">
      <w:pPr>
        <w:pStyle w:val="ListParagraph"/>
        <w:ind w:left="0"/>
        <w:rPr>
          <w:i/>
        </w:rPr>
      </w:pPr>
      <w:r w:rsidRPr="002B1B27">
        <w:rPr>
          <w:i/>
        </w:rPr>
        <w:t>Professionals working in agencies with these duties are responsible for ensuring that they fulfil their role and responsibilities in a manner consistent with the statutory duties of their employer. ‘’</w:t>
      </w:r>
    </w:p>
    <w:p w14:paraId="23B03FE1" w14:textId="77777777" w:rsidR="00553A58" w:rsidRPr="002B1B27" w:rsidRDefault="00553A58" w:rsidP="00553A58">
      <w:pPr>
        <w:pStyle w:val="ListParagraph"/>
        <w:ind w:left="0"/>
        <w:rPr>
          <w:lang w:val="en-US"/>
        </w:rPr>
      </w:pPr>
      <w:r w:rsidRPr="002B1B27">
        <w:rPr>
          <w:lang w:val="en-US"/>
        </w:rPr>
        <w:t xml:space="preserve">Cheshire East Local Safeguarding Children Board and Local Safeguarding Adults Board have policies that must be adhered too and evidenced within </w:t>
      </w:r>
      <w:r>
        <w:rPr>
          <w:lang w:val="en-US"/>
        </w:rPr>
        <w:t xml:space="preserve">the Providers </w:t>
      </w:r>
      <w:r w:rsidRPr="002B1B27">
        <w:rPr>
          <w:lang w:val="en-US"/>
        </w:rPr>
        <w:t xml:space="preserve">own policy, practice documents and records. The primary principle[s] here is that </w:t>
      </w:r>
      <w:r>
        <w:rPr>
          <w:lang w:val="en-US"/>
        </w:rPr>
        <w:t>the Provider has</w:t>
      </w:r>
      <w:r w:rsidRPr="002B1B27">
        <w:rPr>
          <w:lang w:val="en-US"/>
        </w:rPr>
        <w:t xml:space="preserve"> robust policies, practices and pathways in place to escalate matters should this be required, therefore being able to: </w:t>
      </w:r>
      <w:proofErr w:type="spellStart"/>
      <w:r w:rsidRPr="002B1B27">
        <w:rPr>
          <w:lang w:val="en-US"/>
        </w:rPr>
        <w:t>Recognise</w:t>
      </w:r>
      <w:proofErr w:type="spellEnd"/>
      <w:r w:rsidRPr="002B1B27">
        <w:rPr>
          <w:lang w:val="en-US"/>
        </w:rPr>
        <w:t xml:space="preserve">, Respond, Record, Recruit Safely and Risk Assess well in respect of service user wellbeing and safety. </w:t>
      </w:r>
    </w:p>
    <w:p w14:paraId="3B8F68E4" w14:textId="77777777" w:rsidR="00553A58" w:rsidRPr="002B1B27" w:rsidRDefault="00553A58" w:rsidP="00553A58">
      <w:pPr>
        <w:pStyle w:val="ListParagraph"/>
        <w:ind w:left="0"/>
        <w:rPr>
          <w:b/>
          <w:lang w:val="en-US"/>
        </w:rPr>
      </w:pPr>
    </w:p>
    <w:p w14:paraId="07B7B79E" w14:textId="77777777" w:rsidR="00553A58" w:rsidRPr="002B1B27" w:rsidRDefault="00553A58" w:rsidP="00553A58">
      <w:pPr>
        <w:pStyle w:val="ListParagraph"/>
        <w:ind w:left="0"/>
        <w:rPr>
          <w:lang w:val="en-US"/>
        </w:rPr>
      </w:pPr>
      <w:r w:rsidRPr="002B1B27">
        <w:rPr>
          <w:lang w:val="en-US"/>
        </w:rPr>
        <w:t xml:space="preserve">Compliance with Local Safeguarding Children’s Board’s and Local Safeguarding Adults Board’s policy, procedures and protocols which must be regularly audited (including case recording audit) by the </w:t>
      </w:r>
      <w:r>
        <w:rPr>
          <w:lang w:val="en-US"/>
        </w:rPr>
        <w:t>Provider</w:t>
      </w:r>
      <w:r w:rsidRPr="002B1B27">
        <w:rPr>
          <w:lang w:val="en-US"/>
        </w:rPr>
        <w:t xml:space="preserve">. </w:t>
      </w:r>
      <w:r>
        <w:rPr>
          <w:lang w:val="en-US"/>
        </w:rPr>
        <w:t xml:space="preserve">  The Provider is</w:t>
      </w:r>
      <w:r w:rsidRPr="002B1B27">
        <w:rPr>
          <w:lang w:val="en-US"/>
        </w:rPr>
        <w:t xml:space="preserve"> required to complete annually the self-assessment as set out in the Safeguarding Standards for Children and Adults at risk.</w:t>
      </w:r>
    </w:p>
    <w:p w14:paraId="2E0BD223" w14:textId="77777777" w:rsidR="00553A58" w:rsidRPr="002B1B27" w:rsidRDefault="00553A58" w:rsidP="00553A58">
      <w:pPr>
        <w:pStyle w:val="ListParagraph"/>
        <w:ind w:left="0"/>
        <w:rPr>
          <w:lang w:val="en-US"/>
        </w:rPr>
      </w:pPr>
    </w:p>
    <w:p w14:paraId="168942DD" w14:textId="77777777" w:rsidR="00553A58" w:rsidRPr="002B1B27" w:rsidRDefault="00553A58" w:rsidP="00553A58">
      <w:pPr>
        <w:pStyle w:val="ListParagraph"/>
        <w:ind w:left="0"/>
        <w:rPr>
          <w:bCs/>
        </w:rPr>
      </w:pPr>
      <w:r w:rsidRPr="002B1B27">
        <w:rPr>
          <w:lang w:val="en-US"/>
        </w:rPr>
        <w:t>The Safer Recruitment and selection of Staff, and Volunteers must be robust and include appropriately the undertaking of Disclosure and Barring Scheme checks [DBS].</w:t>
      </w:r>
      <w:r w:rsidRPr="002B1B27">
        <w:t xml:space="preserve"> If these checks reveal information which would make the person unsuitable for work with children or vulnerable adults the </w:t>
      </w:r>
      <w:r>
        <w:t>Provider</w:t>
      </w:r>
      <w:r w:rsidRPr="002B1B27">
        <w:t xml:space="preserve"> shall not employ or otherwise use such persons in any way.</w:t>
      </w:r>
    </w:p>
    <w:p w14:paraId="2AD6C9F7" w14:textId="77777777" w:rsidR="00553A58" w:rsidRPr="002B1B27" w:rsidRDefault="00553A58" w:rsidP="00553A58">
      <w:pPr>
        <w:pStyle w:val="ListParagraph"/>
        <w:ind w:left="0"/>
      </w:pPr>
    </w:p>
    <w:p w14:paraId="0D0ECC9E" w14:textId="77777777" w:rsidR="00553A58" w:rsidRPr="002B1B27" w:rsidRDefault="00553A58" w:rsidP="00553A58">
      <w:pPr>
        <w:pStyle w:val="ListParagraph"/>
        <w:ind w:left="0"/>
      </w:pPr>
      <w:r w:rsidRPr="002B1B27">
        <w:t xml:space="preserve">Workforce training on the prevention of abuse and safeguarding practice as well as domestic abuse must be given to all employees as a part of their induction and continued professional development.  </w:t>
      </w:r>
    </w:p>
    <w:p w14:paraId="0BCC929B" w14:textId="77777777" w:rsidR="00553A58" w:rsidRPr="002B1B27" w:rsidRDefault="00553A58" w:rsidP="00553A58">
      <w:pPr>
        <w:pStyle w:val="ListParagraph"/>
        <w:ind w:left="0"/>
        <w:rPr>
          <w:b/>
        </w:rPr>
      </w:pPr>
    </w:p>
    <w:p w14:paraId="4221098B" w14:textId="7692ED87" w:rsidR="00553A58" w:rsidRPr="002B1B27" w:rsidRDefault="00553A58" w:rsidP="00553A58">
      <w:pPr>
        <w:pStyle w:val="ListParagraph"/>
        <w:ind w:left="0"/>
        <w:rPr>
          <w:b/>
        </w:rPr>
      </w:pPr>
      <w:proofErr w:type="gramStart"/>
      <w:r>
        <w:rPr>
          <w:b/>
        </w:rPr>
        <w:t xml:space="preserve">6.4 </w:t>
      </w:r>
      <w:r w:rsidRPr="002B1B27">
        <w:rPr>
          <w:b/>
        </w:rPr>
        <w:t xml:space="preserve"> Provider</w:t>
      </w:r>
      <w:proofErr w:type="gramEnd"/>
      <w:r w:rsidRPr="002B1B27">
        <w:rPr>
          <w:b/>
        </w:rPr>
        <w:t xml:space="preserve"> &amp; Named Safeguarding Lead</w:t>
      </w:r>
    </w:p>
    <w:p w14:paraId="0877ED0B" w14:textId="77777777" w:rsidR="00553A58" w:rsidRDefault="00553A58" w:rsidP="00553A58">
      <w:pPr>
        <w:pStyle w:val="ListParagraph"/>
        <w:ind w:left="0"/>
        <w:rPr>
          <w:b/>
          <w:lang w:val="en-US"/>
        </w:rPr>
      </w:pPr>
    </w:p>
    <w:p w14:paraId="7BCD86C6" w14:textId="77777777" w:rsidR="00553A58" w:rsidRPr="002B1B27" w:rsidRDefault="00553A58" w:rsidP="00553A58">
      <w:pPr>
        <w:pStyle w:val="ListParagraph"/>
        <w:ind w:left="0"/>
        <w:rPr>
          <w:lang w:val="en-US"/>
        </w:rPr>
      </w:pPr>
      <w:r w:rsidRPr="002B1B27">
        <w:rPr>
          <w:lang w:val="en-US"/>
        </w:rPr>
        <w:t xml:space="preserve">The Provider will identify a named safeguarding lead. The ‘named’ safeguarding lead will have arrangements in place to ensure they are able to access enhanced safeguarding advice, support and knowledge. </w:t>
      </w:r>
    </w:p>
    <w:p w14:paraId="16B85A96" w14:textId="77777777" w:rsidR="00553A58" w:rsidRPr="002B1B27" w:rsidRDefault="00553A58" w:rsidP="00553A58">
      <w:pPr>
        <w:pStyle w:val="ListParagraph"/>
        <w:ind w:left="0"/>
        <w:rPr>
          <w:lang w:val="en-US"/>
        </w:rPr>
      </w:pPr>
    </w:p>
    <w:p w14:paraId="3977DB53" w14:textId="77777777" w:rsidR="00553A58" w:rsidRPr="002B1B27" w:rsidRDefault="00553A58" w:rsidP="00553A58">
      <w:pPr>
        <w:pStyle w:val="ListParagraph"/>
        <w:ind w:left="0"/>
        <w:rPr>
          <w:lang w:val="en-US"/>
        </w:rPr>
      </w:pPr>
      <w:r w:rsidRPr="002B1B27">
        <w:rPr>
          <w:lang w:val="en-US"/>
        </w:rPr>
        <w:t xml:space="preserve">The </w:t>
      </w:r>
      <w:r>
        <w:rPr>
          <w:lang w:val="en-US"/>
        </w:rPr>
        <w:t>Providers and t</w:t>
      </w:r>
      <w:r w:rsidRPr="002B1B27">
        <w:rPr>
          <w:lang w:val="en-US"/>
        </w:rPr>
        <w:t>heir safeguarding lead must have in place:</w:t>
      </w:r>
    </w:p>
    <w:p w14:paraId="4625C6C9" w14:textId="77777777" w:rsidR="00553A58" w:rsidRPr="002B1B27" w:rsidRDefault="00553A58" w:rsidP="00553A58">
      <w:pPr>
        <w:pStyle w:val="ListParagraph"/>
        <w:numPr>
          <w:ilvl w:val="0"/>
          <w:numId w:val="17"/>
        </w:numPr>
        <w:rPr>
          <w:lang w:val="en-US"/>
        </w:rPr>
      </w:pPr>
      <w:r w:rsidRPr="002B1B27">
        <w:rPr>
          <w:lang w:val="en-US"/>
        </w:rPr>
        <w:t>Clear referral and access criteria and documented pathways;</w:t>
      </w:r>
    </w:p>
    <w:p w14:paraId="3247D95F" w14:textId="77777777" w:rsidR="00553A58" w:rsidRPr="002B1B27" w:rsidRDefault="00553A58" w:rsidP="00553A58">
      <w:pPr>
        <w:pStyle w:val="ListParagraph"/>
        <w:numPr>
          <w:ilvl w:val="0"/>
          <w:numId w:val="17"/>
        </w:numPr>
        <w:rPr>
          <w:lang w:val="en-US"/>
        </w:rPr>
      </w:pPr>
      <w:r w:rsidRPr="002B1B27">
        <w:rPr>
          <w:lang w:val="en-US"/>
        </w:rPr>
        <w:t>Arrangements for the management of escalating risk;</w:t>
      </w:r>
    </w:p>
    <w:p w14:paraId="096AEEE0" w14:textId="77777777" w:rsidR="00553A58" w:rsidRPr="002B1B27" w:rsidRDefault="00553A58" w:rsidP="00553A58">
      <w:pPr>
        <w:pStyle w:val="ListParagraph"/>
        <w:numPr>
          <w:ilvl w:val="0"/>
          <w:numId w:val="17"/>
        </w:numPr>
        <w:rPr>
          <w:lang w:val="en-US"/>
        </w:rPr>
      </w:pPr>
      <w:r w:rsidRPr="002B1B27">
        <w:rPr>
          <w:lang w:val="en-US"/>
        </w:rPr>
        <w:t>An information sharing and confidentiality policy in place that is clear regarding when, legally, information can be shared without consent and explains service users’ rights and responsibilities;</w:t>
      </w:r>
    </w:p>
    <w:p w14:paraId="665AC749" w14:textId="77777777" w:rsidR="00553A58" w:rsidRPr="002B1B27" w:rsidRDefault="00553A58" w:rsidP="00553A58">
      <w:pPr>
        <w:pStyle w:val="ListParagraph"/>
        <w:numPr>
          <w:ilvl w:val="0"/>
          <w:numId w:val="17"/>
        </w:numPr>
        <w:rPr>
          <w:lang w:val="en-US"/>
        </w:rPr>
      </w:pPr>
      <w:r w:rsidRPr="002B1B27">
        <w:rPr>
          <w:lang w:val="en-US"/>
        </w:rPr>
        <w:t xml:space="preserve">A risk assessment process that accounts for a history of abuse and the person’s vulnerability to abuse, including predatory behavior or sexual vulnerability </w:t>
      </w:r>
    </w:p>
    <w:p w14:paraId="439C3966" w14:textId="77777777" w:rsidR="00553A58" w:rsidRPr="002B1B27" w:rsidRDefault="00553A58" w:rsidP="00553A58">
      <w:pPr>
        <w:pStyle w:val="ListParagraph"/>
        <w:numPr>
          <w:ilvl w:val="0"/>
          <w:numId w:val="17"/>
        </w:numPr>
        <w:rPr>
          <w:lang w:val="en-US"/>
        </w:rPr>
      </w:pPr>
      <w:r w:rsidRPr="002B1B27">
        <w:rPr>
          <w:lang w:val="en-US"/>
        </w:rPr>
        <w:t>A Quality Audit / Performance Monitoring system for safeguarding activity, that complies with contract and safeguarding performance reporting / monitoring requirements</w:t>
      </w:r>
    </w:p>
    <w:p w14:paraId="5B52DDE3" w14:textId="77777777" w:rsidR="00553A58" w:rsidRPr="002B1B27" w:rsidRDefault="00553A58" w:rsidP="00553A58">
      <w:pPr>
        <w:pStyle w:val="ListParagraph"/>
        <w:numPr>
          <w:ilvl w:val="0"/>
          <w:numId w:val="17"/>
        </w:numPr>
        <w:rPr>
          <w:lang w:val="en-US"/>
        </w:rPr>
      </w:pPr>
      <w:r w:rsidRPr="002B1B27">
        <w:rPr>
          <w:lang w:val="en-US"/>
        </w:rPr>
        <w:t>A clear process for reporting and managing allegations in relation to a member of staff or volunteer.</w:t>
      </w:r>
      <w:r w:rsidRPr="002B1B27">
        <w:rPr>
          <w:b/>
          <w:lang w:val="en-US"/>
        </w:rPr>
        <w:t xml:space="preserve"> </w:t>
      </w:r>
    </w:p>
    <w:p w14:paraId="15173385" w14:textId="77777777" w:rsidR="00553A58" w:rsidRPr="002B1B27" w:rsidRDefault="00553A58" w:rsidP="00553A58">
      <w:pPr>
        <w:pStyle w:val="ListParagraph"/>
        <w:ind w:left="0"/>
        <w:rPr>
          <w:b/>
          <w:lang w:val="en-US"/>
        </w:rPr>
      </w:pPr>
    </w:p>
    <w:p w14:paraId="362037EE" w14:textId="77777777" w:rsidR="00553A58" w:rsidRPr="002B1B27" w:rsidRDefault="00553A58" w:rsidP="00553A58">
      <w:pPr>
        <w:pStyle w:val="ListParagraph"/>
        <w:ind w:left="0"/>
        <w:rPr>
          <w:lang w:val="en-US"/>
        </w:rPr>
      </w:pPr>
      <w:r w:rsidRPr="002B1B27">
        <w:rPr>
          <w:lang w:val="en-US"/>
        </w:rPr>
        <w:t xml:space="preserve">The Provider must immediately notify the Commissioner of any improper conduct by any of its staff or by one service user towards another, in connection with any part of this contract. </w:t>
      </w:r>
    </w:p>
    <w:p w14:paraId="0D0E6B4C" w14:textId="77777777" w:rsidR="00553A58" w:rsidRPr="002B1B27" w:rsidRDefault="00553A58" w:rsidP="00553A58">
      <w:pPr>
        <w:pStyle w:val="ListParagraph"/>
        <w:ind w:left="0"/>
        <w:rPr>
          <w:lang w:val="en-US"/>
        </w:rPr>
      </w:pPr>
    </w:p>
    <w:p w14:paraId="7D37012C" w14:textId="77777777" w:rsidR="00553A58" w:rsidRPr="002B1B27" w:rsidRDefault="00553A58" w:rsidP="00553A58">
      <w:pPr>
        <w:pStyle w:val="ListParagraph"/>
        <w:ind w:left="0"/>
        <w:rPr>
          <w:i/>
          <w:iCs/>
          <w:lang w:val="en-US"/>
        </w:rPr>
      </w:pPr>
      <w:r w:rsidRPr="002B1B27">
        <w:rPr>
          <w:i/>
          <w:iCs/>
          <w:lang w:val="en-US"/>
        </w:rPr>
        <w:t>Note examples of improper conduct of staff or Volunteers include:</w:t>
      </w:r>
    </w:p>
    <w:p w14:paraId="4234E886" w14:textId="77777777" w:rsidR="00553A58" w:rsidRPr="002B1B27" w:rsidRDefault="00553A58" w:rsidP="00553A58">
      <w:pPr>
        <w:pStyle w:val="ListParagraph"/>
        <w:numPr>
          <w:ilvl w:val="0"/>
          <w:numId w:val="16"/>
        </w:numPr>
        <w:ind w:left="720"/>
        <w:rPr>
          <w:i/>
          <w:iCs/>
        </w:rPr>
      </w:pPr>
      <w:r w:rsidRPr="002B1B27">
        <w:rPr>
          <w:i/>
          <w:iCs/>
        </w:rPr>
        <w:t xml:space="preserve">Neglect / Acts of Omission / </w:t>
      </w:r>
      <w:proofErr w:type="spellStart"/>
      <w:r w:rsidRPr="002B1B27">
        <w:rPr>
          <w:i/>
          <w:iCs/>
        </w:rPr>
        <w:t>self Neglect</w:t>
      </w:r>
      <w:proofErr w:type="spellEnd"/>
      <w:r w:rsidRPr="002B1B27">
        <w:rPr>
          <w:i/>
          <w:iCs/>
        </w:rPr>
        <w:t xml:space="preserve"> - Causing harm by failing to meet needs e.g. ignoring physical or medical care needs, withholding food, medicines, failure to provide adequate supervision </w:t>
      </w:r>
    </w:p>
    <w:p w14:paraId="02C939F8" w14:textId="77777777" w:rsidR="00553A58" w:rsidRPr="002B1B27" w:rsidRDefault="00553A58" w:rsidP="00553A58">
      <w:pPr>
        <w:pStyle w:val="ListParagraph"/>
        <w:numPr>
          <w:ilvl w:val="0"/>
          <w:numId w:val="16"/>
        </w:numPr>
        <w:ind w:left="720"/>
        <w:rPr>
          <w:i/>
          <w:iCs/>
        </w:rPr>
      </w:pPr>
      <w:r w:rsidRPr="002B1B27">
        <w:rPr>
          <w:i/>
          <w:iCs/>
        </w:rPr>
        <w:t>Physical - Hitting, pushing, slapping, and using inappropriate physical restraint, burning, drowning, and suffocating, with holding medical care, feigning the symptoms of ill health or deliberately causing ill health.</w:t>
      </w:r>
    </w:p>
    <w:p w14:paraId="7CC19809" w14:textId="77777777" w:rsidR="00553A58" w:rsidRPr="002B1B27" w:rsidRDefault="00553A58" w:rsidP="00553A58">
      <w:pPr>
        <w:pStyle w:val="ListParagraph"/>
        <w:numPr>
          <w:ilvl w:val="0"/>
          <w:numId w:val="16"/>
        </w:numPr>
        <w:ind w:left="720"/>
        <w:rPr>
          <w:i/>
          <w:iCs/>
        </w:rPr>
      </w:pPr>
      <w:r w:rsidRPr="002B1B27">
        <w:rPr>
          <w:i/>
          <w:iCs/>
        </w:rPr>
        <w:t>Sexual - Sexual activity of any kind where the vulnerable person does not or is not able to give consent.</w:t>
      </w:r>
    </w:p>
    <w:p w14:paraId="29F29346" w14:textId="77777777" w:rsidR="00553A58" w:rsidRPr="002B1B27" w:rsidRDefault="00553A58" w:rsidP="00553A58">
      <w:pPr>
        <w:pStyle w:val="ListParagraph"/>
        <w:numPr>
          <w:ilvl w:val="0"/>
          <w:numId w:val="16"/>
        </w:numPr>
        <w:ind w:left="720"/>
        <w:rPr>
          <w:i/>
          <w:iCs/>
        </w:rPr>
      </w:pPr>
      <w:r w:rsidRPr="002B1B27">
        <w:rPr>
          <w:i/>
          <w:iCs/>
        </w:rPr>
        <w:t>Psychological - Including verbal abuse, humiliation, bullying and harassment. Persistent emotional ill treatment, cyber-bullying, seeing or hearing the ill-treatment of others, Domestic Abuse (see the below section)</w:t>
      </w:r>
    </w:p>
    <w:p w14:paraId="5A08B487" w14:textId="77777777" w:rsidR="00553A58" w:rsidRPr="002B1B27" w:rsidRDefault="00553A58" w:rsidP="00553A58">
      <w:pPr>
        <w:pStyle w:val="ListParagraph"/>
        <w:numPr>
          <w:ilvl w:val="0"/>
          <w:numId w:val="16"/>
        </w:numPr>
        <w:ind w:left="720"/>
        <w:rPr>
          <w:i/>
          <w:iCs/>
        </w:rPr>
      </w:pPr>
      <w:r w:rsidRPr="002B1B27">
        <w:rPr>
          <w:i/>
          <w:iCs/>
        </w:rPr>
        <w:t>Discriminatory abuse - Treating a person in a way which does not respect their race, religion, sex, disability, culture, ethnicity or sexuality.</w:t>
      </w:r>
    </w:p>
    <w:p w14:paraId="1B027F8E" w14:textId="77777777" w:rsidR="00553A58" w:rsidRPr="002B1B27" w:rsidRDefault="00553A58" w:rsidP="00553A58">
      <w:pPr>
        <w:pStyle w:val="ListParagraph"/>
        <w:numPr>
          <w:ilvl w:val="0"/>
          <w:numId w:val="16"/>
        </w:numPr>
        <w:ind w:left="720"/>
        <w:rPr>
          <w:i/>
          <w:iCs/>
        </w:rPr>
      </w:pPr>
      <w:r w:rsidRPr="002B1B27">
        <w:rPr>
          <w:i/>
          <w:iCs/>
        </w:rPr>
        <w:t>Organisational abuse - Where routines and rules make a person alter his/her lifestyle and culture to fit in with the institution.</w:t>
      </w:r>
    </w:p>
    <w:p w14:paraId="49E41C43" w14:textId="77777777" w:rsidR="00553A58" w:rsidRPr="002B1B27" w:rsidRDefault="00553A58" w:rsidP="00553A58">
      <w:pPr>
        <w:pStyle w:val="ListParagraph"/>
        <w:numPr>
          <w:ilvl w:val="0"/>
          <w:numId w:val="16"/>
        </w:numPr>
        <w:ind w:left="720"/>
        <w:rPr>
          <w:i/>
          <w:iCs/>
        </w:rPr>
      </w:pPr>
      <w:r w:rsidRPr="002B1B27">
        <w:rPr>
          <w:i/>
          <w:iCs/>
        </w:rPr>
        <w:t>Financial - Taking money and/or property without permission. Using pressure to control a person’s money/property/ benefits. Taking or offering any financial inducements.</w:t>
      </w:r>
    </w:p>
    <w:p w14:paraId="4F1D2096" w14:textId="77777777" w:rsidR="00553A58" w:rsidRPr="002B1B27" w:rsidRDefault="00553A58" w:rsidP="00553A58">
      <w:pPr>
        <w:pStyle w:val="ListParagraph"/>
        <w:numPr>
          <w:ilvl w:val="0"/>
          <w:numId w:val="16"/>
        </w:numPr>
        <w:ind w:left="720"/>
        <w:rPr>
          <w:i/>
          <w:iCs/>
        </w:rPr>
      </w:pPr>
      <w:r w:rsidRPr="002B1B27">
        <w:rPr>
          <w:i/>
          <w:iCs/>
          <w:lang w:val="en-US"/>
        </w:rPr>
        <w:t xml:space="preserve">Modern Slavery / Trafficking – </w:t>
      </w:r>
      <w:r w:rsidRPr="002B1B27">
        <w:t>Smuggling is defined as the facilitation of entry to the UK either secretly or by deception (whether for profit or otherwise). Trafficking involves the transportation of persons in the UK in order to exploit them by the use of force, violence, deception, intimidation, coercion or abuse of their vulnerability.</w:t>
      </w:r>
    </w:p>
    <w:p w14:paraId="2B780A10" w14:textId="77777777" w:rsidR="00553A58" w:rsidRPr="002B1B27" w:rsidRDefault="00553A58" w:rsidP="00553A58">
      <w:pPr>
        <w:pStyle w:val="ListParagraph"/>
        <w:numPr>
          <w:ilvl w:val="0"/>
          <w:numId w:val="16"/>
        </w:numPr>
        <w:ind w:left="720"/>
        <w:rPr>
          <w:i/>
          <w:iCs/>
        </w:rPr>
      </w:pPr>
      <w:proofErr w:type="spellStart"/>
      <w:r w:rsidRPr="002B1B27">
        <w:rPr>
          <w:bCs/>
          <w:i/>
          <w:iCs/>
          <w:lang w:val="en-US"/>
        </w:rPr>
        <w:t>Radicalisation</w:t>
      </w:r>
      <w:proofErr w:type="spellEnd"/>
      <w:r w:rsidRPr="002B1B27">
        <w:rPr>
          <w:bCs/>
          <w:i/>
          <w:iCs/>
          <w:lang w:val="en-US"/>
        </w:rPr>
        <w:t xml:space="preserve"> - </w:t>
      </w:r>
      <w:r w:rsidRPr="002B1B27">
        <w:rPr>
          <w:i/>
        </w:rPr>
        <w:t>is a process by which an individual or group comes to adopt increasingly extreme political, social, or religious ideals and aspirations that (1) reject or undermine the status quo or (2) reject and/or undermine contemporary ideas and expressions of freedom of choice.</w:t>
      </w:r>
    </w:p>
    <w:p w14:paraId="3726CD0C" w14:textId="77777777" w:rsidR="00553A58" w:rsidRPr="002B1B27" w:rsidRDefault="00553A58" w:rsidP="00553A58">
      <w:pPr>
        <w:pStyle w:val="ListParagraph"/>
        <w:ind w:left="0"/>
        <w:rPr>
          <w:b/>
          <w:lang w:val="en-US"/>
        </w:rPr>
      </w:pPr>
    </w:p>
    <w:p w14:paraId="669518E7" w14:textId="77777777" w:rsidR="00553A58" w:rsidRPr="002B1B27" w:rsidRDefault="00553A58" w:rsidP="00553A58">
      <w:pPr>
        <w:pStyle w:val="ListParagraph"/>
        <w:ind w:left="0"/>
        <w:rPr>
          <w:lang w:val="en-US"/>
        </w:rPr>
      </w:pPr>
      <w:r w:rsidRPr="002B1B27">
        <w:rPr>
          <w:lang w:val="en-US"/>
        </w:rPr>
        <w:t xml:space="preserve">Any staff member who is the subject of allegations must be suspended from providing any services under this contract until the matter is resolved to the satisfaction of the Commissioner. Where </w:t>
      </w:r>
      <w:r w:rsidRPr="002B1B27">
        <w:rPr>
          <w:lang w:val="en-US"/>
        </w:rPr>
        <w:lastRenderedPageBreak/>
        <w:t xml:space="preserve">appropriate a report should be made to the local authority – for those working with children and young people to the LADO [Local Authority Designated Officer]. </w:t>
      </w:r>
    </w:p>
    <w:p w14:paraId="00E94411" w14:textId="77777777" w:rsidR="00553A58" w:rsidRPr="002B1B27" w:rsidRDefault="00553A58" w:rsidP="00553A58">
      <w:pPr>
        <w:pStyle w:val="ListParagraph"/>
        <w:ind w:left="0"/>
        <w:rPr>
          <w:b/>
          <w:iCs/>
        </w:rPr>
      </w:pPr>
    </w:p>
    <w:p w14:paraId="0FE4F41B" w14:textId="77777777" w:rsidR="00553A58" w:rsidRPr="002B1B27" w:rsidRDefault="00553A58" w:rsidP="00553A58">
      <w:pPr>
        <w:pStyle w:val="ListParagraph"/>
        <w:ind w:left="0"/>
        <w:rPr>
          <w:iCs/>
        </w:rPr>
      </w:pPr>
      <w:r w:rsidRPr="002B1B27">
        <w:rPr>
          <w:iCs/>
        </w:rPr>
        <w:t xml:space="preserve">The Provider will ensure that they have mechanisms in place to fulfil their duty with regard to the Independent Safeguarding Authority where they have dismissed an individual, or an individual has resigned, because they harmed or may harm a vulnerable person. Consideration of subsequent reporting to professional registering bodies will also be needed e.g. GMC, NMC. </w:t>
      </w:r>
    </w:p>
    <w:p w14:paraId="5D755E90" w14:textId="77777777" w:rsidR="00553A58" w:rsidRPr="002B1B27" w:rsidRDefault="00553A58" w:rsidP="00553A58">
      <w:pPr>
        <w:pStyle w:val="ListParagraph"/>
        <w:ind w:left="0"/>
        <w:rPr>
          <w:b/>
          <w:i/>
          <w:iCs/>
        </w:rPr>
      </w:pPr>
    </w:p>
    <w:p w14:paraId="7AB9ACD6" w14:textId="49D28B8C" w:rsidR="00553A58" w:rsidRPr="002B1B27" w:rsidRDefault="00553A58" w:rsidP="00553A58">
      <w:pPr>
        <w:pStyle w:val="ListParagraph"/>
        <w:ind w:left="0"/>
        <w:rPr>
          <w:b/>
          <w:iCs/>
        </w:rPr>
      </w:pPr>
      <w:r>
        <w:rPr>
          <w:b/>
          <w:bCs/>
          <w:iCs/>
        </w:rPr>
        <w:t>6.</w:t>
      </w:r>
      <w:r w:rsidRPr="002B1B27">
        <w:rPr>
          <w:b/>
          <w:bCs/>
          <w:iCs/>
        </w:rPr>
        <w:t>5</w:t>
      </w:r>
      <w:r>
        <w:rPr>
          <w:b/>
          <w:bCs/>
          <w:iCs/>
        </w:rPr>
        <w:t xml:space="preserve"> </w:t>
      </w:r>
      <w:r w:rsidRPr="002B1B27">
        <w:rPr>
          <w:b/>
          <w:bCs/>
          <w:iCs/>
        </w:rPr>
        <w:t>Domestic Abuse and Sexual Violence</w:t>
      </w:r>
    </w:p>
    <w:p w14:paraId="40289344" w14:textId="77777777" w:rsidR="00553A58" w:rsidRDefault="00553A58" w:rsidP="00553A58">
      <w:pPr>
        <w:pStyle w:val="ListParagraph"/>
        <w:ind w:left="0"/>
        <w:rPr>
          <w:b/>
          <w:iCs/>
        </w:rPr>
      </w:pPr>
    </w:p>
    <w:p w14:paraId="6FA66567" w14:textId="77777777" w:rsidR="00553A58" w:rsidRPr="0044663A" w:rsidRDefault="00553A58" w:rsidP="00553A58">
      <w:pPr>
        <w:pStyle w:val="ListParagraph"/>
        <w:ind w:left="0"/>
        <w:rPr>
          <w:iCs/>
        </w:rPr>
      </w:pPr>
      <w:r w:rsidRPr="0044663A">
        <w:rPr>
          <w:iCs/>
        </w:rPr>
        <w:t xml:space="preserve">Domestic Abuse is defined by the Home Office as </w:t>
      </w:r>
    </w:p>
    <w:p w14:paraId="5D8D081E" w14:textId="77777777" w:rsidR="00553A58" w:rsidRPr="0044663A" w:rsidRDefault="00553A58" w:rsidP="00553A58">
      <w:pPr>
        <w:pStyle w:val="ListParagraph"/>
        <w:ind w:left="0"/>
        <w:rPr>
          <w:i/>
          <w:iCs/>
        </w:rPr>
      </w:pPr>
      <w:r w:rsidRPr="0044663A">
        <w:rPr>
          <w:i/>
          <w:iCs/>
        </w:rPr>
        <w:t xml:space="preserve">‘Any incident or pattern of incidents of controlling, coercive or threatening behaviour, violence or abuse between those aged 16 or over who are or have been intimate partners or family members regardless of gender or sexuality. This can encompass but is not limited to the following types of abuse: psychological, physical, sexual, financial, and emotional’. </w:t>
      </w:r>
    </w:p>
    <w:p w14:paraId="067D4FBA" w14:textId="77777777" w:rsidR="00553A58" w:rsidRPr="0044663A" w:rsidRDefault="00553A58" w:rsidP="00553A58">
      <w:pPr>
        <w:pStyle w:val="ListParagraph"/>
        <w:ind w:left="0"/>
        <w:rPr>
          <w:i/>
          <w:iCs/>
        </w:rPr>
      </w:pPr>
    </w:p>
    <w:p w14:paraId="10684A78" w14:textId="77777777" w:rsidR="00553A58" w:rsidRPr="0044663A" w:rsidRDefault="00553A58" w:rsidP="00553A58">
      <w:pPr>
        <w:pStyle w:val="ListParagraph"/>
        <w:ind w:left="0"/>
        <w:rPr>
          <w:iCs/>
        </w:rPr>
      </w:pPr>
      <w:r w:rsidRPr="0044663A">
        <w:rPr>
          <w:iCs/>
        </w:rPr>
        <w:t>The Provider will recognise the linkages to their service delivery and practice of those they support who are subject to domestic violence, including harm caused to</w:t>
      </w:r>
      <w:r w:rsidRPr="0044663A">
        <w:t xml:space="preserve"> </w:t>
      </w:r>
      <w:r w:rsidRPr="0044663A">
        <w:rPr>
          <w:iCs/>
        </w:rPr>
        <w:t xml:space="preserve">primary victims and to their children. It is essential that the </w:t>
      </w:r>
      <w:r>
        <w:rPr>
          <w:iCs/>
        </w:rPr>
        <w:t>Provider</w:t>
      </w:r>
      <w:r w:rsidRPr="0044663A">
        <w:rPr>
          <w:iCs/>
        </w:rPr>
        <w:t xml:space="preserve"> ensures the safeguarding lead has oversight of domestic and sexual violence also. This will ensure a clear single point of contact for all safeguarding matters with wider system partners. </w:t>
      </w:r>
    </w:p>
    <w:p w14:paraId="0BFDA468" w14:textId="77777777" w:rsidR="00553A58" w:rsidRPr="0044663A" w:rsidRDefault="00553A58" w:rsidP="00553A58">
      <w:pPr>
        <w:pStyle w:val="ListParagraph"/>
        <w:ind w:left="0"/>
        <w:rPr>
          <w:iCs/>
        </w:rPr>
      </w:pPr>
    </w:p>
    <w:p w14:paraId="1C98CFD9" w14:textId="77777777" w:rsidR="00553A58" w:rsidRPr="0044663A" w:rsidRDefault="00553A58" w:rsidP="00553A58">
      <w:pPr>
        <w:pStyle w:val="ListParagraph"/>
        <w:ind w:left="0"/>
        <w:rPr>
          <w:iCs/>
        </w:rPr>
      </w:pPr>
      <w:r w:rsidRPr="0044663A">
        <w:rPr>
          <w:iCs/>
        </w:rPr>
        <w:t xml:space="preserve">The Provider is expected to engage with the Domestic Abuse Partnership and Multi Agency Risk Assessment Conference [MARAC] where the safety of those at high risk is co-ordinated across agencies. </w:t>
      </w:r>
    </w:p>
    <w:p w14:paraId="2D6A75CD" w14:textId="77777777" w:rsidR="00553A58" w:rsidRPr="0044663A" w:rsidRDefault="00553A58" w:rsidP="00553A58">
      <w:pPr>
        <w:pStyle w:val="ListParagraph"/>
        <w:ind w:left="0"/>
        <w:rPr>
          <w:iCs/>
        </w:rPr>
      </w:pPr>
    </w:p>
    <w:p w14:paraId="6835F543" w14:textId="77777777" w:rsidR="00553A58" w:rsidRPr="0044663A" w:rsidRDefault="00553A58" w:rsidP="00553A58">
      <w:pPr>
        <w:pStyle w:val="ListParagraph"/>
        <w:ind w:left="0"/>
        <w:rPr>
          <w:iCs/>
        </w:rPr>
      </w:pPr>
      <w:r w:rsidRPr="0044663A">
        <w:rPr>
          <w:iCs/>
        </w:rPr>
        <w:t xml:space="preserve">There is a requirement that </w:t>
      </w:r>
      <w:r>
        <w:rPr>
          <w:iCs/>
        </w:rPr>
        <w:t>the Provider</w:t>
      </w:r>
      <w:r w:rsidRPr="0044663A">
        <w:rPr>
          <w:iCs/>
        </w:rPr>
        <w:t xml:space="preserve"> use</w:t>
      </w:r>
      <w:r>
        <w:rPr>
          <w:iCs/>
        </w:rPr>
        <w:t>s</w:t>
      </w:r>
      <w:r w:rsidRPr="0044663A">
        <w:rPr>
          <w:iCs/>
        </w:rPr>
        <w:t xml:space="preserve"> the CAADA-DASH RIC [Risk Identification Checklist], and refers on to MARAC for those at high risk and or supports access to specialist support for lower risk victims as appropriate.</w:t>
      </w:r>
    </w:p>
    <w:p w14:paraId="790F0997" w14:textId="77777777" w:rsidR="00553A58" w:rsidRPr="0044663A" w:rsidRDefault="00553A58" w:rsidP="00553A58">
      <w:pPr>
        <w:pStyle w:val="ListParagraph"/>
        <w:ind w:left="0"/>
        <w:rPr>
          <w:iCs/>
        </w:rPr>
      </w:pPr>
    </w:p>
    <w:p w14:paraId="50EFE888" w14:textId="77777777" w:rsidR="00553A58" w:rsidRPr="0044663A" w:rsidRDefault="00553A58" w:rsidP="00553A58">
      <w:pPr>
        <w:pStyle w:val="ListParagraph"/>
        <w:ind w:left="0"/>
        <w:rPr>
          <w:iCs/>
        </w:rPr>
      </w:pPr>
      <w:r w:rsidRPr="0044663A">
        <w:rPr>
          <w:iCs/>
        </w:rPr>
        <w:t xml:space="preserve">The Provider will promote specialist service access for staff, communities and families through the 24/7 Domestic Abuse Hub so that specialist support can be offered at the earliest indications of abuse. </w:t>
      </w:r>
    </w:p>
    <w:p w14:paraId="1EB87ADB" w14:textId="77777777" w:rsidR="00553A58" w:rsidRPr="0044663A" w:rsidRDefault="00553A58" w:rsidP="00553A58">
      <w:pPr>
        <w:pStyle w:val="ListParagraph"/>
        <w:ind w:left="0"/>
        <w:rPr>
          <w:iCs/>
        </w:rPr>
      </w:pPr>
    </w:p>
    <w:p w14:paraId="264DE80C" w14:textId="77777777" w:rsidR="00553A58" w:rsidRPr="0044663A" w:rsidRDefault="00553A58" w:rsidP="00553A58">
      <w:pPr>
        <w:pStyle w:val="ListParagraph"/>
        <w:ind w:left="0"/>
        <w:rPr>
          <w:iCs/>
        </w:rPr>
      </w:pPr>
      <w:r w:rsidRPr="0044663A">
        <w:rPr>
          <w:iCs/>
        </w:rPr>
        <w:t xml:space="preserve">The Provider will be particularly attentive to the links between domestic abuse, mental ill health and substance misuse and seek to be involved in integrated responses so that families experience co-ordinated interventions and support, particularly where these issues constitute risks to children. </w:t>
      </w:r>
    </w:p>
    <w:p w14:paraId="15CBC896" w14:textId="77777777" w:rsidR="00553A58" w:rsidRPr="0044663A" w:rsidRDefault="00553A58" w:rsidP="00553A58">
      <w:pPr>
        <w:pStyle w:val="ListParagraph"/>
        <w:ind w:left="0"/>
        <w:rPr>
          <w:iCs/>
        </w:rPr>
      </w:pPr>
    </w:p>
    <w:p w14:paraId="45DAED1F" w14:textId="77777777" w:rsidR="00553A58" w:rsidRPr="0044663A" w:rsidRDefault="00553A58" w:rsidP="00553A58">
      <w:pPr>
        <w:pStyle w:val="ListParagraph"/>
        <w:ind w:left="0"/>
        <w:rPr>
          <w:iCs/>
        </w:rPr>
      </w:pPr>
      <w:r w:rsidRPr="0044663A">
        <w:rPr>
          <w:iCs/>
        </w:rPr>
        <w:t xml:space="preserve">The Provider will always consider the potential risks to children caused by domestic abuse and other adult issues and follow their safeguarding procedures as a priority. </w:t>
      </w:r>
    </w:p>
    <w:p w14:paraId="7AC794CD" w14:textId="77777777" w:rsidR="00553A58" w:rsidRPr="0044663A" w:rsidRDefault="00553A58" w:rsidP="00553A58">
      <w:pPr>
        <w:pStyle w:val="ListParagraph"/>
        <w:ind w:left="0"/>
        <w:rPr>
          <w:iCs/>
        </w:rPr>
      </w:pPr>
    </w:p>
    <w:p w14:paraId="55A474CE" w14:textId="77777777" w:rsidR="00553A58" w:rsidRPr="0044663A" w:rsidRDefault="00553A58" w:rsidP="00553A58">
      <w:pPr>
        <w:pStyle w:val="ListParagraph"/>
        <w:ind w:left="0"/>
        <w:rPr>
          <w:iCs/>
        </w:rPr>
      </w:pPr>
      <w:r w:rsidRPr="0044663A">
        <w:rPr>
          <w:iCs/>
        </w:rPr>
        <w:t>The Provider will promote pathways to sexual abuse support services including the Sexual Assault Referral Centre a</w:t>
      </w:r>
      <w:r>
        <w:rPr>
          <w:iCs/>
        </w:rPr>
        <w:t>nd the commissioned aftercare Provider</w:t>
      </w:r>
      <w:r w:rsidRPr="0044663A">
        <w:rPr>
          <w:iCs/>
        </w:rPr>
        <w:t xml:space="preserve">. The Provider is expected to be knowledgeable about sexual violence and exploitation and the appropriate referral pathways for children and adults. Specialist support services for sexual violence are commissioned at sub regional level, and include the Sexual Assault Referral Centre (SARC) at St Marys Hospital in Manchester and </w:t>
      </w:r>
      <w:r w:rsidRPr="0044663A">
        <w:rPr>
          <w:iCs/>
        </w:rPr>
        <w:lastRenderedPageBreak/>
        <w:t>the Rape and Sexual Abuse Support Centre (RSASC). While support is commissioned at a pan Cheshire level support services are delivered locally in bases accessible by victims.</w:t>
      </w:r>
    </w:p>
    <w:p w14:paraId="2121F81A" w14:textId="77777777" w:rsidR="00553A58" w:rsidRPr="0044663A" w:rsidRDefault="00553A58" w:rsidP="00553A58">
      <w:pPr>
        <w:pStyle w:val="ListParagraph"/>
        <w:ind w:left="0"/>
        <w:rPr>
          <w:iCs/>
        </w:rPr>
      </w:pPr>
    </w:p>
    <w:p w14:paraId="2F37BB30" w14:textId="77777777" w:rsidR="00553A58" w:rsidRPr="0044663A" w:rsidRDefault="00553A58" w:rsidP="00553A58">
      <w:pPr>
        <w:pStyle w:val="ListParagraph"/>
        <w:ind w:left="0"/>
        <w:rPr>
          <w:iCs/>
        </w:rPr>
      </w:pPr>
      <w:r w:rsidRPr="0044663A">
        <w:rPr>
          <w:iCs/>
        </w:rPr>
        <w:t xml:space="preserve">It is known that those who are abused and those who abuse will also be among the service user group and the </w:t>
      </w:r>
      <w:r>
        <w:rPr>
          <w:iCs/>
        </w:rPr>
        <w:t>Provider</w:t>
      </w:r>
      <w:r w:rsidRPr="0044663A">
        <w:rPr>
          <w:iCs/>
        </w:rPr>
        <w:t xml:space="preserve"> must take all steps to support staff in their work with service users. The </w:t>
      </w:r>
      <w:proofErr w:type="spellStart"/>
      <w:r w:rsidRPr="0044663A">
        <w:rPr>
          <w:iCs/>
        </w:rPr>
        <w:t>The</w:t>
      </w:r>
      <w:proofErr w:type="spellEnd"/>
      <w:r w:rsidRPr="0044663A">
        <w:rPr>
          <w:iCs/>
        </w:rPr>
        <w:t xml:space="preserve"> Provider will also recognise that staff may be personally affected by domestic abuse and this will be accounted for in their own HR policies. </w:t>
      </w:r>
    </w:p>
    <w:p w14:paraId="0814EDB1" w14:textId="77777777" w:rsidR="00553A58" w:rsidRPr="0044663A" w:rsidRDefault="00553A58" w:rsidP="00553A58">
      <w:pPr>
        <w:pStyle w:val="ListParagraph"/>
        <w:ind w:left="0"/>
        <w:rPr>
          <w:iCs/>
        </w:rPr>
      </w:pPr>
    </w:p>
    <w:p w14:paraId="7C1BF4B8" w14:textId="25EF5D32" w:rsidR="00553A58" w:rsidRDefault="00553A58" w:rsidP="00553A58">
      <w:pPr>
        <w:rPr>
          <w:iCs/>
        </w:rPr>
      </w:pPr>
      <w:r w:rsidRPr="0044663A">
        <w:rPr>
          <w:iCs/>
        </w:rPr>
        <w:t>The Providers practice approach must include support to those who are harmed and</w:t>
      </w:r>
      <w:r w:rsidRPr="0044663A">
        <w:rPr>
          <w:i/>
          <w:iCs/>
        </w:rPr>
        <w:t xml:space="preserve"> </w:t>
      </w:r>
      <w:r w:rsidRPr="0044663A">
        <w:rPr>
          <w:iCs/>
        </w:rPr>
        <w:t>accountability for those who harm others including promoting the use of criminal sanctions and voluntary change programmes.</w:t>
      </w:r>
    </w:p>
    <w:p w14:paraId="5DB9A14C" w14:textId="77777777" w:rsidR="00E6735F" w:rsidRDefault="00E6735F" w:rsidP="00553A58">
      <w:pPr>
        <w:rPr>
          <w:b/>
        </w:rPr>
      </w:pPr>
    </w:p>
    <w:p w14:paraId="6712DEFE" w14:textId="5189960D" w:rsidR="001219F8" w:rsidRPr="00A278CB" w:rsidRDefault="00E6735F" w:rsidP="00A278CB">
      <w:pPr>
        <w:pStyle w:val="ListParagraph"/>
        <w:numPr>
          <w:ilvl w:val="0"/>
          <w:numId w:val="13"/>
        </w:numPr>
        <w:ind w:left="284" w:hanging="284"/>
        <w:rPr>
          <w:b/>
        </w:rPr>
      </w:pPr>
      <w:r w:rsidRPr="00A278CB">
        <w:rPr>
          <w:b/>
        </w:rPr>
        <w:t xml:space="preserve">Communication &amp; Marketing </w:t>
      </w:r>
    </w:p>
    <w:p w14:paraId="5A019894" w14:textId="77777777" w:rsidR="00A278CB" w:rsidRPr="00A278CB" w:rsidRDefault="00A278CB" w:rsidP="00A278CB">
      <w:pPr>
        <w:numPr>
          <w:ilvl w:val="0"/>
          <w:numId w:val="18"/>
        </w:numPr>
      </w:pPr>
      <w:r w:rsidRPr="00A278CB">
        <w:t>The Provider will ensure proactive and innovative approaches to marketing and communications with all stakeholders to provide information &amp; advice and ensure social marketing is maximised and behaviour change secured within Cheshire East</w:t>
      </w:r>
    </w:p>
    <w:p w14:paraId="0A474B99" w14:textId="77777777" w:rsidR="00A278CB" w:rsidRPr="00A278CB" w:rsidRDefault="00A278CB" w:rsidP="00A278CB">
      <w:pPr>
        <w:numPr>
          <w:ilvl w:val="0"/>
          <w:numId w:val="18"/>
        </w:numPr>
      </w:pPr>
      <w:r w:rsidRPr="00A278CB">
        <w:t>Communication methods and materials need to be suitable for a variety of audiences – children, young people, adults, families, parents, partners, carers, professionals, general public, businesses – providing timely and straight forward information and guidance accounting for language and a range of literacy levels</w:t>
      </w:r>
    </w:p>
    <w:p w14:paraId="6C2BDA49" w14:textId="77777777" w:rsidR="00A278CB" w:rsidRPr="00A278CB" w:rsidRDefault="00A278CB" w:rsidP="00A278CB">
      <w:pPr>
        <w:numPr>
          <w:ilvl w:val="0"/>
          <w:numId w:val="18"/>
        </w:numPr>
      </w:pPr>
      <w:r w:rsidRPr="00A278CB">
        <w:t>Communication materials will be current / dated and reviewed quarterly to assure the commissioner that they represent an accurate picture of the sexual health services in Cheshire East</w:t>
      </w:r>
    </w:p>
    <w:p w14:paraId="69621B14" w14:textId="77777777" w:rsidR="00A278CB" w:rsidRPr="00A278CB" w:rsidRDefault="00A278CB" w:rsidP="00A278CB">
      <w:pPr>
        <w:numPr>
          <w:ilvl w:val="0"/>
          <w:numId w:val="18"/>
        </w:numPr>
      </w:pPr>
      <w:r w:rsidRPr="00A278CB">
        <w:t xml:space="preserve">The marketing strategy will be reviewed annually to ensure approaches’ are current and in line with evidence based practice in achieving behaviour change and in providing safe care and support. The Provider will work with commissioners and take account of service user / patient, parent, partner, carer, and wider stakeholder experiences in the review of the marketing strategy. As well as work proactively with others involved in health, Care and Wellbeing campaigns to ensure communication coherence  </w:t>
      </w:r>
    </w:p>
    <w:p w14:paraId="73B5B224" w14:textId="77777777" w:rsidR="00A278CB" w:rsidRPr="00A278CB" w:rsidRDefault="00A278CB" w:rsidP="00A278CB">
      <w:pPr>
        <w:numPr>
          <w:ilvl w:val="0"/>
          <w:numId w:val="18"/>
        </w:numPr>
      </w:pPr>
      <w:r w:rsidRPr="00A278CB">
        <w:t>The Provider will work with the commissioner in the development of media campaigns</w:t>
      </w:r>
    </w:p>
    <w:p w14:paraId="1C801427" w14:textId="77777777" w:rsidR="00A278CB" w:rsidRPr="00A278CB" w:rsidRDefault="00A278CB" w:rsidP="00A278CB">
      <w:pPr>
        <w:numPr>
          <w:ilvl w:val="0"/>
          <w:numId w:val="18"/>
        </w:numPr>
      </w:pPr>
      <w:r w:rsidRPr="00A278CB">
        <w:t xml:space="preserve">Communication channels for all professionals  require  the Provider to ensure communications are in place and current information is shared service delivery and development </w:t>
      </w:r>
    </w:p>
    <w:p w14:paraId="7891E66B" w14:textId="77777777" w:rsidR="00A278CB" w:rsidRPr="00A278CB" w:rsidRDefault="00A278CB" w:rsidP="00A278CB">
      <w:pPr>
        <w:numPr>
          <w:ilvl w:val="0"/>
          <w:numId w:val="18"/>
        </w:numPr>
      </w:pPr>
      <w:r w:rsidRPr="00A278CB">
        <w:t>The Provider will ensure the maintenance of an effective, efficient, proactive and robust professional network – linking closely with other connected service providers on a regular basis to ensure the highest quality of care / support for service users / patients, parents, partners, families and carers.</w:t>
      </w:r>
    </w:p>
    <w:p w14:paraId="1041974D" w14:textId="77777777" w:rsidR="00A278CB" w:rsidRPr="00A278CB" w:rsidRDefault="00A278CB" w:rsidP="00A278CB">
      <w:pPr>
        <w:numPr>
          <w:ilvl w:val="0"/>
          <w:numId w:val="18"/>
        </w:numPr>
      </w:pPr>
      <w:r w:rsidRPr="00A278CB">
        <w:lastRenderedPageBreak/>
        <w:t xml:space="preserve">Communication channels for all professionals are required, and the Provider will ensure communications are in place and current service information / developments are shared. </w:t>
      </w:r>
    </w:p>
    <w:p w14:paraId="4F8621B7" w14:textId="77777777" w:rsidR="00553A58" w:rsidRDefault="00553A58" w:rsidP="00CE5727">
      <w:pPr>
        <w:rPr>
          <w:b/>
        </w:rPr>
      </w:pPr>
    </w:p>
    <w:p w14:paraId="5365F74B" w14:textId="2DCD6450" w:rsidR="00107B30" w:rsidRPr="00107B30" w:rsidRDefault="00107B30" w:rsidP="00107B30">
      <w:pPr>
        <w:pStyle w:val="ListParagraph"/>
        <w:numPr>
          <w:ilvl w:val="0"/>
          <w:numId w:val="13"/>
        </w:numPr>
        <w:ind w:left="284" w:hanging="284"/>
        <w:rPr>
          <w:b/>
        </w:rPr>
      </w:pPr>
      <w:r w:rsidRPr="00107B30">
        <w:rPr>
          <w:b/>
        </w:rPr>
        <w:t>Governance Arrangements</w:t>
      </w:r>
    </w:p>
    <w:p w14:paraId="199A9B77" w14:textId="77777777" w:rsidR="000E472E" w:rsidRDefault="00107B30" w:rsidP="000E472E">
      <w:pPr>
        <w:spacing w:after="0"/>
      </w:pPr>
      <w:r>
        <w:t>The Provider will be required to report to the Children and Young People’s Mental Health Strategy Group on a quarterly basis as described within section 4.‘</w:t>
      </w:r>
      <w:proofErr w:type="gramStart"/>
      <w:r w:rsidRPr="00EE1797">
        <w:t>Outcomes and Key Performance Indicators</w:t>
      </w:r>
      <w:r>
        <w:t>’.</w:t>
      </w:r>
      <w:proofErr w:type="gramEnd"/>
      <w:r>
        <w:t xml:space="preserve">  The Strategy Group is accountable to the Cheshire East Health and Wellbeing Board.</w:t>
      </w:r>
    </w:p>
    <w:p w14:paraId="64DCC2E9" w14:textId="77777777" w:rsidR="000E472E" w:rsidRDefault="000E472E" w:rsidP="000E472E">
      <w:pPr>
        <w:spacing w:after="0"/>
      </w:pPr>
    </w:p>
    <w:p w14:paraId="1633E754" w14:textId="77777777" w:rsidR="000E472E" w:rsidRDefault="000E472E" w:rsidP="000E472E">
      <w:pPr>
        <w:spacing w:after="0"/>
      </w:pPr>
    </w:p>
    <w:p w14:paraId="096E1421" w14:textId="00086B3A" w:rsidR="000E472E" w:rsidRPr="000E472E" w:rsidRDefault="000E472E" w:rsidP="000E472E">
      <w:pPr>
        <w:pStyle w:val="ListParagraph"/>
        <w:numPr>
          <w:ilvl w:val="0"/>
          <w:numId w:val="13"/>
        </w:numPr>
        <w:spacing w:after="0"/>
        <w:ind w:left="284" w:hanging="284"/>
      </w:pPr>
      <w:r w:rsidRPr="000E472E">
        <w:rPr>
          <w:b/>
        </w:rPr>
        <w:t>Information Governance</w:t>
      </w:r>
    </w:p>
    <w:p w14:paraId="5F06FC45" w14:textId="77777777" w:rsidR="000E472E" w:rsidRPr="000E472E" w:rsidRDefault="000E472E" w:rsidP="000E472E">
      <w:pPr>
        <w:spacing w:after="0"/>
        <w:rPr>
          <w:b/>
        </w:rPr>
      </w:pPr>
    </w:p>
    <w:p w14:paraId="2A08CB71" w14:textId="00CBEF03" w:rsidR="000E472E" w:rsidRPr="000E472E" w:rsidRDefault="000E472E" w:rsidP="000E472E">
      <w:pPr>
        <w:spacing w:after="0"/>
        <w:rPr>
          <w:b/>
        </w:rPr>
      </w:pPr>
      <w:r>
        <w:rPr>
          <w:b/>
        </w:rPr>
        <w:t>9</w:t>
      </w:r>
      <w:r w:rsidRPr="000E472E">
        <w:rPr>
          <w:b/>
        </w:rPr>
        <w:t xml:space="preserve">.1 Data Sharing </w:t>
      </w:r>
    </w:p>
    <w:p w14:paraId="2E7188DE" w14:textId="77777777" w:rsidR="000E472E" w:rsidRPr="000E472E" w:rsidRDefault="000E472E" w:rsidP="000E472E">
      <w:pPr>
        <w:spacing w:after="0"/>
      </w:pPr>
    </w:p>
    <w:p w14:paraId="26275970" w14:textId="77777777" w:rsidR="00415E97" w:rsidRPr="00F00775" w:rsidRDefault="00415E97" w:rsidP="00415E97">
      <w:pPr>
        <w:spacing w:after="0"/>
      </w:pPr>
      <w:r>
        <w:t xml:space="preserve">In relation to </w:t>
      </w:r>
      <w:r w:rsidRPr="00E531AF">
        <w:t>Person identifiable data</w:t>
      </w:r>
      <w:r>
        <w:t xml:space="preserve"> (PID) the P</w:t>
      </w:r>
      <w:r w:rsidRPr="00E531AF">
        <w:t>rovider</w:t>
      </w:r>
      <w:r>
        <w:t xml:space="preserve"> is the (Data Controller).  For PID</w:t>
      </w:r>
      <w:r w:rsidRPr="00F00775">
        <w:t xml:space="preserve"> required by the Council for the purposes of quality assurance, performance management and contract management, that the Council and the </w:t>
      </w:r>
      <w:r>
        <w:t>Provider</w:t>
      </w:r>
      <w:r w:rsidRPr="00F00775">
        <w:t xml:space="preserve"> will be </w:t>
      </w:r>
      <w:r>
        <w:t>(J</w:t>
      </w:r>
      <w:r w:rsidRPr="00F00775">
        <w:t>oint Data Controllers</w:t>
      </w:r>
      <w:r>
        <w:t>).  The Provider</w:t>
      </w:r>
      <w:r w:rsidRPr="00F00775">
        <w:t xml:space="preserve"> will</w:t>
      </w:r>
      <w:r>
        <w:t xml:space="preserve"> therefore</w:t>
      </w:r>
      <w:r w:rsidRPr="00F00775">
        <w:t xml:space="preserve"> be required to develop a data sharing agreement with Cheshire East Council during the mobilisation of the service.</w:t>
      </w:r>
    </w:p>
    <w:p w14:paraId="4E9ED848" w14:textId="77777777" w:rsidR="00415E97" w:rsidRDefault="00415E97" w:rsidP="00415E97">
      <w:pPr>
        <w:spacing w:after="0"/>
      </w:pPr>
    </w:p>
    <w:p w14:paraId="3EDC1DA5" w14:textId="77777777" w:rsidR="00415E97" w:rsidRDefault="00415E97" w:rsidP="00415E97">
      <w:pPr>
        <w:spacing w:after="0"/>
      </w:pPr>
      <w:r w:rsidRPr="00E531AF">
        <w:t xml:space="preserve">PID will only be accessed by authorised staff where the individual has given consent.  Where consent is not given by the individual only anonymised or aggregate data will be accessed. </w:t>
      </w:r>
      <w:r>
        <w:t xml:space="preserve"> </w:t>
      </w:r>
      <w:r w:rsidRPr="00E531AF">
        <w:t>All P</w:t>
      </w:r>
      <w:r>
        <w:t>I</w:t>
      </w:r>
      <w:r w:rsidRPr="00E531AF">
        <w:t>D will be handled in accordance the data sharing agreement.</w:t>
      </w:r>
    </w:p>
    <w:p w14:paraId="1D6A1477" w14:textId="77777777" w:rsidR="00415E97" w:rsidRDefault="00415E97" w:rsidP="00415E97">
      <w:pPr>
        <w:spacing w:after="0"/>
      </w:pPr>
    </w:p>
    <w:p w14:paraId="5D5BEBA2" w14:textId="3C59D914" w:rsidR="000E472E" w:rsidRPr="000E472E" w:rsidRDefault="000E472E" w:rsidP="000E472E">
      <w:pPr>
        <w:spacing w:after="0"/>
        <w:contextualSpacing/>
        <w:rPr>
          <w:b/>
          <w:bCs/>
        </w:rPr>
      </w:pPr>
      <w:r>
        <w:rPr>
          <w:b/>
          <w:bCs/>
        </w:rPr>
        <w:t>9</w:t>
      </w:r>
      <w:r w:rsidRPr="000E472E">
        <w:rPr>
          <w:b/>
          <w:bCs/>
        </w:rPr>
        <w:t>.2 Record Keeping</w:t>
      </w:r>
    </w:p>
    <w:p w14:paraId="2A6B98DE" w14:textId="77777777" w:rsidR="000E472E" w:rsidRPr="000E472E" w:rsidRDefault="000E472E" w:rsidP="000E472E">
      <w:pPr>
        <w:spacing w:after="0"/>
        <w:contextualSpacing/>
        <w:rPr>
          <w:bCs/>
        </w:rPr>
      </w:pPr>
    </w:p>
    <w:p w14:paraId="7CD44F84" w14:textId="77777777" w:rsidR="000E472E" w:rsidRPr="000E472E" w:rsidRDefault="000E472E" w:rsidP="000E472E">
      <w:pPr>
        <w:spacing w:after="0"/>
        <w:contextualSpacing/>
        <w:rPr>
          <w:bCs/>
        </w:rPr>
      </w:pPr>
      <w:r w:rsidRPr="000E472E">
        <w:rPr>
          <w:bCs/>
        </w:rPr>
        <w:t>The Provider</w:t>
      </w:r>
      <w:r w:rsidRPr="000E472E">
        <w:t xml:space="preserve"> will:</w:t>
      </w:r>
    </w:p>
    <w:p w14:paraId="77FB771B" w14:textId="77777777" w:rsidR="000E472E" w:rsidRPr="000E472E" w:rsidRDefault="000E472E" w:rsidP="000E472E">
      <w:pPr>
        <w:numPr>
          <w:ilvl w:val="0"/>
          <w:numId w:val="19"/>
        </w:numPr>
        <w:contextualSpacing/>
      </w:pPr>
      <w:r w:rsidRPr="000E472E">
        <w:t>Create and keep records which are adequate, consistent and necessary for statutory, legal and business requirements.</w:t>
      </w:r>
    </w:p>
    <w:p w14:paraId="05154644" w14:textId="77777777" w:rsidR="000E472E" w:rsidRPr="000E472E" w:rsidRDefault="000E472E" w:rsidP="000E472E">
      <w:pPr>
        <w:numPr>
          <w:ilvl w:val="0"/>
          <w:numId w:val="19"/>
        </w:numPr>
        <w:contextualSpacing/>
      </w:pPr>
      <w:r w:rsidRPr="000E472E">
        <w:t>Achieve a systematic, orderly and consistent creation, retention, appraisal and disposal procedures for records throughout their life cycle.</w:t>
      </w:r>
    </w:p>
    <w:p w14:paraId="1C355122" w14:textId="77777777" w:rsidR="000E472E" w:rsidRPr="000E472E" w:rsidRDefault="000E472E" w:rsidP="000E472E">
      <w:pPr>
        <w:numPr>
          <w:ilvl w:val="0"/>
          <w:numId w:val="19"/>
        </w:numPr>
        <w:contextualSpacing/>
      </w:pPr>
      <w:r w:rsidRPr="000E472E">
        <w:t>Provide systems which maintain appropriate confidentiality, security and integrity for records and their storage and use.</w:t>
      </w:r>
    </w:p>
    <w:p w14:paraId="44764232" w14:textId="77777777" w:rsidR="000E472E" w:rsidRPr="000E472E" w:rsidRDefault="000E472E" w:rsidP="000E472E">
      <w:pPr>
        <w:numPr>
          <w:ilvl w:val="0"/>
          <w:numId w:val="19"/>
        </w:numPr>
        <w:contextualSpacing/>
      </w:pPr>
      <w:r w:rsidRPr="000E472E">
        <w:t xml:space="preserve">Provide clear and efficient access for employees and others who have a legitimate right of access to the records in compliance with current IG legislation.  </w:t>
      </w:r>
    </w:p>
    <w:p w14:paraId="07D63E87" w14:textId="77777777" w:rsidR="000E472E" w:rsidRPr="000E472E" w:rsidRDefault="000E472E" w:rsidP="000E472E">
      <w:pPr>
        <w:numPr>
          <w:ilvl w:val="0"/>
          <w:numId w:val="19"/>
        </w:numPr>
        <w:contextualSpacing/>
      </w:pPr>
      <w:r w:rsidRPr="000E472E">
        <w:t>To provide training and guidance on legal and ethical responsibilities and operational good practice for all staff involved in records management.</w:t>
      </w:r>
    </w:p>
    <w:p w14:paraId="412963A9" w14:textId="77777777" w:rsidR="000E472E" w:rsidRPr="000E472E" w:rsidRDefault="000E472E" w:rsidP="000E472E">
      <w:pPr>
        <w:numPr>
          <w:ilvl w:val="0"/>
          <w:numId w:val="19"/>
        </w:numPr>
        <w:contextualSpacing/>
        <w:rPr>
          <w:bCs/>
          <w:iCs/>
        </w:rPr>
      </w:pPr>
      <w:r w:rsidRPr="000E472E">
        <w:rPr>
          <w:iCs/>
        </w:rPr>
        <w:t xml:space="preserve">Compliance to current Cheshire East policies. </w:t>
      </w:r>
    </w:p>
    <w:p w14:paraId="6BE12116" w14:textId="77777777" w:rsidR="000E472E" w:rsidRPr="000E472E" w:rsidRDefault="000E472E" w:rsidP="000E472E">
      <w:pPr>
        <w:numPr>
          <w:ilvl w:val="0"/>
          <w:numId w:val="19"/>
        </w:numPr>
        <w:spacing w:after="0"/>
        <w:contextualSpacing/>
        <w:rPr>
          <w:bCs/>
        </w:rPr>
      </w:pPr>
      <w:r w:rsidRPr="000E472E">
        <w:t>Comply with information governance requirements for any future service transition arrangements.</w:t>
      </w:r>
    </w:p>
    <w:p w14:paraId="36BF28E7" w14:textId="77777777" w:rsidR="000E472E" w:rsidRPr="000E472E" w:rsidRDefault="000E472E" w:rsidP="000E472E">
      <w:pPr>
        <w:spacing w:after="0"/>
        <w:ind w:left="720"/>
        <w:contextualSpacing/>
        <w:rPr>
          <w:bCs/>
        </w:rPr>
      </w:pPr>
    </w:p>
    <w:p w14:paraId="5E90EC93" w14:textId="77777777" w:rsidR="000E472E" w:rsidRPr="000E472E" w:rsidRDefault="000E472E" w:rsidP="000E472E">
      <w:pPr>
        <w:spacing w:after="0"/>
        <w:ind w:left="360"/>
      </w:pPr>
      <w:r w:rsidRPr="000E472E">
        <w:t xml:space="preserve">The Provider will ensure that all members of staff are contractually bound by confidentiality agreements. </w:t>
      </w:r>
    </w:p>
    <w:p w14:paraId="78D0A841" w14:textId="77777777" w:rsidR="000E472E" w:rsidRPr="000E472E" w:rsidRDefault="000E472E" w:rsidP="000E472E">
      <w:pPr>
        <w:spacing w:after="0"/>
        <w:ind w:left="360"/>
      </w:pPr>
    </w:p>
    <w:p w14:paraId="77D3B22E" w14:textId="77777777" w:rsidR="000E472E" w:rsidRDefault="000E472E" w:rsidP="000E472E">
      <w:pPr>
        <w:spacing w:after="0"/>
        <w:ind w:left="360"/>
      </w:pPr>
      <w:r w:rsidRPr="000E472E">
        <w:lastRenderedPageBreak/>
        <w:t>Appropriate technical and organisational measures will be taken against unauthorised or unlawful processing of personal data and against accidental loss or destruction of, or damage to, personal data.</w:t>
      </w:r>
    </w:p>
    <w:p w14:paraId="099FE4B0" w14:textId="77777777" w:rsidR="00415E97" w:rsidRPr="000E472E" w:rsidRDefault="00415E97" w:rsidP="000E472E">
      <w:pPr>
        <w:spacing w:after="0"/>
        <w:ind w:left="360"/>
      </w:pPr>
    </w:p>
    <w:p w14:paraId="0F67968F" w14:textId="77777777" w:rsidR="000E472E" w:rsidRPr="000E472E" w:rsidRDefault="000E472E" w:rsidP="000E472E">
      <w:pPr>
        <w:spacing w:after="0"/>
        <w:ind w:left="360"/>
      </w:pPr>
    </w:p>
    <w:p w14:paraId="1407AB91" w14:textId="0F40DB54" w:rsidR="000E472E" w:rsidRPr="000E472E" w:rsidRDefault="000E472E" w:rsidP="000E472E">
      <w:pPr>
        <w:spacing w:after="0"/>
        <w:ind w:left="360"/>
        <w:rPr>
          <w:b/>
          <w:bCs/>
        </w:rPr>
      </w:pPr>
      <w:r>
        <w:rPr>
          <w:b/>
        </w:rPr>
        <w:t>9.3</w:t>
      </w:r>
      <w:r w:rsidRPr="000E472E">
        <w:rPr>
          <w:b/>
        </w:rPr>
        <w:t xml:space="preserve"> </w:t>
      </w:r>
      <w:r w:rsidRPr="000E472E">
        <w:rPr>
          <w:b/>
          <w:bCs/>
        </w:rPr>
        <w:t>Storage of information</w:t>
      </w:r>
    </w:p>
    <w:p w14:paraId="054D9553" w14:textId="77777777" w:rsidR="000E472E" w:rsidRPr="000E472E" w:rsidRDefault="000E472E" w:rsidP="000E472E">
      <w:pPr>
        <w:spacing w:after="0"/>
        <w:ind w:left="360"/>
        <w:rPr>
          <w:b/>
        </w:rPr>
      </w:pPr>
    </w:p>
    <w:p w14:paraId="0C6634BF" w14:textId="77777777" w:rsidR="000E472E" w:rsidRPr="000E472E" w:rsidRDefault="000E472E" w:rsidP="000E472E">
      <w:pPr>
        <w:spacing w:after="0"/>
        <w:ind w:left="360"/>
      </w:pPr>
      <w:r w:rsidRPr="000E472E">
        <w:t xml:space="preserve">The Provider has a duty to make arrangements for the safe-keeping and eventual disposal of their records. </w:t>
      </w:r>
    </w:p>
    <w:p w14:paraId="79D35228" w14:textId="1B1347A7" w:rsidR="000E472E" w:rsidRPr="000E472E" w:rsidRDefault="000E472E" w:rsidP="000E472E">
      <w:pPr>
        <w:pStyle w:val="ListParagraph"/>
        <w:rPr>
          <w:b/>
        </w:rPr>
      </w:pPr>
    </w:p>
    <w:p w14:paraId="4EED9DAF" w14:textId="7736FC41" w:rsidR="002F0535" w:rsidRPr="00AD426D" w:rsidRDefault="00107B30" w:rsidP="00CE5727">
      <w:pPr>
        <w:rPr>
          <w:b/>
        </w:rPr>
      </w:pPr>
      <w:r>
        <w:rPr>
          <w:b/>
        </w:rPr>
        <w:t>A</w:t>
      </w:r>
      <w:r w:rsidR="00440F6B">
        <w:rPr>
          <w:b/>
        </w:rPr>
        <w:t xml:space="preserve">ppendix </w:t>
      </w:r>
      <w:r w:rsidR="00431230">
        <w:rPr>
          <w:b/>
        </w:rPr>
        <w:t>1</w:t>
      </w:r>
      <w:r w:rsidR="00440F6B">
        <w:rPr>
          <w:b/>
        </w:rPr>
        <w:t xml:space="preserve"> - </w:t>
      </w:r>
      <w:r w:rsidR="00AD426D" w:rsidRPr="00AD426D">
        <w:rPr>
          <w:b/>
        </w:rPr>
        <w:t>Thrive Model</w:t>
      </w:r>
    </w:p>
    <w:p w14:paraId="0CC7289F" w14:textId="77777777" w:rsidR="00AD426D" w:rsidRDefault="00AD426D" w:rsidP="00CE5727">
      <w:r>
        <w:rPr>
          <w:noProof/>
          <w:lang w:eastAsia="en-GB"/>
        </w:rPr>
        <w:drawing>
          <wp:inline distT="0" distB="0" distL="0" distR="0" wp14:anchorId="7B0F1AE7" wp14:editId="05451040">
            <wp:extent cx="5398936" cy="4261899"/>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3E98F63" w14:textId="77777777" w:rsidR="002F0535" w:rsidRDefault="002F0535" w:rsidP="00CE5727">
      <w:pPr>
        <w:rPr>
          <w:b/>
        </w:rPr>
        <w:sectPr w:rsidR="002F0535" w:rsidSect="00553A58">
          <w:pgSz w:w="11906" w:h="16838"/>
          <w:pgMar w:top="1135" w:right="1440" w:bottom="1440" w:left="1440" w:header="708" w:footer="708" w:gutter="0"/>
          <w:cols w:space="708"/>
          <w:docGrid w:linePitch="360"/>
        </w:sectPr>
      </w:pPr>
    </w:p>
    <w:p w14:paraId="722E9BC2" w14:textId="77777777" w:rsidR="00CE5727" w:rsidRDefault="002F0535" w:rsidP="00CE5727">
      <w:pPr>
        <w:rPr>
          <w:b/>
        </w:rPr>
      </w:pPr>
      <w:proofErr w:type="spellStart"/>
      <w:r>
        <w:rPr>
          <w:b/>
        </w:rPr>
        <w:lastRenderedPageBreak/>
        <w:t>i</w:t>
      </w:r>
      <w:proofErr w:type="spellEnd"/>
      <w:r>
        <w:rPr>
          <w:b/>
        </w:rPr>
        <w:t xml:space="preserve">-Thrive Outcomes Framework </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6"/>
        <w:gridCol w:w="316"/>
        <w:gridCol w:w="2171"/>
        <w:gridCol w:w="380"/>
        <w:gridCol w:w="2106"/>
        <w:gridCol w:w="587"/>
        <w:gridCol w:w="2835"/>
        <w:gridCol w:w="2835"/>
      </w:tblGrid>
      <w:tr w:rsidR="002F0535" w:rsidRPr="002F0535" w14:paraId="2A25091E" w14:textId="77777777" w:rsidTr="002F0535">
        <w:trPr>
          <w:trHeight w:val="276"/>
        </w:trPr>
        <w:tc>
          <w:tcPr>
            <w:tcW w:w="2802" w:type="dxa"/>
            <w:gridSpan w:val="2"/>
          </w:tcPr>
          <w:p w14:paraId="011A56AB" w14:textId="77777777" w:rsidR="002F0535" w:rsidRPr="002F0535" w:rsidRDefault="002F0535" w:rsidP="002F0535">
            <w:pPr>
              <w:rPr>
                <w:b/>
              </w:rPr>
            </w:pPr>
            <w:proofErr w:type="spellStart"/>
            <w:r w:rsidRPr="002F0535">
              <w:rPr>
                <w:b/>
                <w:bCs/>
              </w:rPr>
              <w:t>i</w:t>
            </w:r>
            <w:proofErr w:type="spellEnd"/>
            <w:r w:rsidRPr="002F0535">
              <w:rPr>
                <w:b/>
                <w:bCs/>
              </w:rPr>
              <w:t xml:space="preserve">-THRIVE Outcome Framework Future In Mind Deliverable </w:t>
            </w:r>
          </w:p>
        </w:tc>
        <w:tc>
          <w:tcPr>
            <w:tcW w:w="2551" w:type="dxa"/>
            <w:gridSpan w:val="2"/>
          </w:tcPr>
          <w:p w14:paraId="6A7B94E4" w14:textId="77777777" w:rsidR="002F0535" w:rsidRPr="002F0535" w:rsidRDefault="002F0535" w:rsidP="002F0535">
            <w:pPr>
              <w:rPr>
                <w:b/>
              </w:rPr>
            </w:pPr>
            <w:r w:rsidRPr="002F0535">
              <w:rPr>
                <w:b/>
                <w:bCs/>
              </w:rPr>
              <w:t xml:space="preserve">How this could be delivered in an </w:t>
            </w:r>
            <w:proofErr w:type="spellStart"/>
            <w:r w:rsidRPr="002F0535">
              <w:rPr>
                <w:b/>
                <w:bCs/>
              </w:rPr>
              <w:t>i</w:t>
            </w:r>
            <w:proofErr w:type="spellEnd"/>
            <w:r w:rsidRPr="002F0535">
              <w:rPr>
                <w:b/>
                <w:bCs/>
              </w:rPr>
              <w:t xml:space="preserve">-THRIVE service </w:t>
            </w:r>
          </w:p>
        </w:tc>
        <w:tc>
          <w:tcPr>
            <w:tcW w:w="2693" w:type="dxa"/>
            <w:gridSpan w:val="2"/>
          </w:tcPr>
          <w:p w14:paraId="220BE691" w14:textId="77777777" w:rsidR="002F0535" w:rsidRPr="002F0535" w:rsidRDefault="002F0535" w:rsidP="002F0535">
            <w:pPr>
              <w:rPr>
                <w:b/>
              </w:rPr>
            </w:pPr>
            <w:r w:rsidRPr="002F0535">
              <w:rPr>
                <w:b/>
                <w:bCs/>
              </w:rPr>
              <w:t xml:space="preserve">Suggested Outcomes measures </w:t>
            </w:r>
          </w:p>
        </w:tc>
        <w:tc>
          <w:tcPr>
            <w:tcW w:w="2835" w:type="dxa"/>
          </w:tcPr>
          <w:p w14:paraId="3D9911A8" w14:textId="77777777" w:rsidR="002F0535" w:rsidRPr="002F0535" w:rsidRDefault="002F0535" w:rsidP="002F0535">
            <w:pPr>
              <w:rPr>
                <w:b/>
              </w:rPr>
            </w:pPr>
            <w:r w:rsidRPr="002F0535">
              <w:rPr>
                <w:b/>
                <w:bCs/>
              </w:rPr>
              <w:t xml:space="preserve">Suggested Process Measures </w:t>
            </w:r>
          </w:p>
        </w:tc>
        <w:tc>
          <w:tcPr>
            <w:tcW w:w="2835" w:type="dxa"/>
          </w:tcPr>
          <w:p w14:paraId="344730B9" w14:textId="77777777" w:rsidR="002F0535" w:rsidRPr="002F0535" w:rsidRDefault="002F0535" w:rsidP="002F0535">
            <w:pPr>
              <w:rPr>
                <w:b/>
              </w:rPr>
            </w:pPr>
            <w:r w:rsidRPr="002F0535">
              <w:rPr>
                <w:b/>
                <w:bCs/>
              </w:rPr>
              <w:t xml:space="preserve">Suggested Balancing Measures </w:t>
            </w:r>
          </w:p>
        </w:tc>
      </w:tr>
      <w:tr w:rsidR="002F0535" w:rsidRPr="002F0535" w14:paraId="72B6E0ED" w14:textId="77777777" w:rsidTr="002F0535">
        <w:trPr>
          <w:trHeight w:val="861"/>
        </w:trPr>
        <w:tc>
          <w:tcPr>
            <w:tcW w:w="2802" w:type="dxa"/>
            <w:gridSpan w:val="2"/>
          </w:tcPr>
          <w:p w14:paraId="69DB8A8E" w14:textId="77777777" w:rsidR="002F0535" w:rsidRPr="002F0535" w:rsidRDefault="002F0535" w:rsidP="002F0535">
            <w:pPr>
              <w:rPr>
                <w:b/>
              </w:rPr>
            </w:pPr>
            <w:r w:rsidRPr="002F0535">
              <w:rPr>
                <w:b/>
              </w:rPr>
              <w:t xml:space="preserve">Improved resilience in CYP </w:t>
            </w:r>
          </w:p>
        </w:tc>
        <w:tc>
          <w:tcPr>
            <w:tcW w:w="2551" w:type="dxa"/>
            <w:gridSpan w:val="2"/>
          </w:tcPr>
          <w:p w14:paraId="265F4E71" w14:textId="77777777" w:rsidR="002F0535" w:rsidRPr="002F0535" w:rsidRDefault="002F0535" w:rsidP="002F0535">
            <w:pPr>
              <w:rPr>
                <w:b/>
              </w:rPr>
            </w:pPr>
            <w:r w:rsidRPr="002F0535">
              <w:rPr>
                <w:b/>
              </w:rPr>
              <w:t xml:space="preserve">THRIVING: Provide improved access to prevention &amp; resilience building programmes </w:t>
            </w:r>
          </w:p>
        </w:tc>
        <w:tc>
          <w:tcPr>
            <w:tcW w:w="2693" w:type="dxa"/>
            <w:gridSpan w:val="2"/>
          </w:tcPr>
          <w:p w14:paraId="31510B43" w14:textId="77777777" w:rsidR="002F0535" w:rsidRPr="002F0535" w:rsidRDefault="002F0535" w:rsidP="002F0535">
            <w:pPr>
              <w:rPr>
                <w:b/>
              </w:rPr>
            </w:pPr>
            <w:r w:rsidRPr="002F0535">
              <w:rPr>
                <w:b/>
              </w:rPr>
              <w:t xml:space="preserve">There are a range of self-report measures of emotional wellbeing that can be used in schools/ community settings. These include: SWEMWBS (Short Warwick Edinburgh Mental Wellbeing Scale), Strengths &amp; Difficulties Questionnaire (SDQ), Social Skills Improvement System (SSIS), Student Resilience Scale (SRS). </w:t>
            </w:r>
          </w:p>
        </w:tc>
        <w:tc>
          <w:tcPr>
            <w:tcW w:w="2835" w:type="dxa"/>
          </w:tcPr>
          <w:p w14:paraId="0D29C463" w14:textId="77777777" w:rsidR="002F0535" w:rsidRPr="002F0535" w:rsidRDefault="002F0535" w:rsidP="002F0535">
            <w:pPr>
              <w:rPr>
                <w:b/>
              </w:rPr>
            </w:pPr>
            <w:r w:rsidRPr="002F0535">
              <w:rPr>
                <w:b/>
              </w:rPr>
              <w:t xml:space="preserve">Resilience building programmes are available in the community, Number (N) &amp; % of CYP accessing resilience building &amp; prevention programmes </w:t>
            </w:r>
          </w:p>
        </w:tc>
        <w:tc>
          <w:tcPr>
            <w:tcW w:w="2835" w:type="dxa"/>
          </w:tcPr>
          <w:p w14:paraId="165FC28A" w14:textId="77777777" w:rsidR="002F0535" w:rsidRPr="002F0535" w:rsidRDefault="002F0535" w:rsidP="002F0535">
            <w:pPr>
              <w:rPr>
                <w:b/>
              </w:rPr>
            </w:pPr>
            <w:r w:rsidRPr="002F0535">
              <w:rPr>
                <w:b/>
              </w:rPr>
              <w:t xml:space="preserve">Cost </w:t>
            </w:r>
          </w:p>
        </w:tc>
      </w:tr>
      <w:tr w:rsidR="002F0535" w:rsidRPr="002F0535" w14:paraId="627484AB" w14:textId="77777777" w:rsidTr="002F0535">
        <w:trPr>
          <w:trHeight w:val="177"/>
        </w:trPr>
        <w:tc>
          <w:tcPr>
            <w:tcW w:w="13716" w:type="dxa"/>
            <w:gridSpan w:val="8"/>
          </w:tcPr>
          <w:p w14:paraId="6CDFD829" w14:textId="77777777" w:rsidR="002F0535" w:rsidRPr="002F0535" w:rsidRDefault="002F0535" w:rsidP="002F0535">
            <w:pPr>
              <w:rPr>
                <w:b/>
              </w:rPr>
            </w:pPr>
            <w:r w:rsidRPr="002F0535">
              <w:rPr>
                <w:b/>
              </w:rPr>
              <w:t xml:space="preserve">Capacity of services </w:t>
            </w:r>
          </w:p>
        </w:tc>
      </w:tr>
      <w:tr w:rsidR="002F0535" w:rsidRPr="002F0535" w14:paraId="3FE31CE1" w14:textId="77777777" w:rsidTr="002F0535">
        <w:trPr>
          <w:trHeight w:val="276"/>
        </w:trPr>
        <w:tc>
          <w:tcPr>
            <w:tcW w:w="4973" w:type="dxa"/>
            <w:gridSpan w:val="3"/>
          </w:tcPr>
          <w:p w14:paraId="2B1283FE" w14:textId="77777777" w:rsidR="002F0535" w:rsidRPr="002F0535" w:rsidRDefault="002F0535" w:rsidP="002F0535">
            <w:pPr>
              <w:rPr>
                <w:b/>
              </w:rPr>
            </w:pPr>
            <w:r w:rsidRPr="002F0535">
              <w:rPr>
                <w:b/>
              </w:rPr>
              <w:t xml:space="preserve">Early intervention services in place, N &amp; % CYP accessing early intervention services </w:t>
            </w:r>
          </w:p>
        </w:tc>
        <w:tc>
          <w:tcPr>
            <w:tcW w:w="8743" w:type="dxa"/>
            <w:gridSpan w:val="5"/>
          </w:tcPr>
          <w:p w14:paraId="005E6205" w14:textId="77777777" w:rsidR="002F0535" w:rsidRPr="002F0535" w:rsidRDefault="002F0535" w:rsidP="002F0535">
            <w:pPr>
              <w:rPr>
                <w:b/>
              </w:rPr>
            </w:pPr>
            <w:r w:rsidRPr="002F0535">
              <w:rPr>
                <w:b/>
              </w:rPr>
              <w:t xml:space="preserve">Administrative burden </w:t>
            </w:r>
          </w:p>
        </w:tc>
      </w:tr>
      <w:tr w:rsidR="002F0535" w:rsidRPr="002F0535" w14:paraId="1B157368" w14:textId="77777777" w:rsidTr="002F0535">
        <w:trPr>
          <w:trHeight w:val="471"/>
        </w:trPr>
        <w:tc>
          <w:tcPr>
            <w:tcW w:w="13716" w:type="dxa"/>
            <w:gridSpan w:val="8"/>
          </w:tcPr>
          <w:p w14:paraId="06D7AD06" w14:textId="77777777" w:rsidR="002F0535" w:rsidRPr="002F0535" w:rsidRDefault="002F0535" w:rsidP="002F0535">
            <w:pPr>
              <w:rPr>
                <w:b/>
              </w:rPr>
            </w:pPr>
            <w:r w:rsidRPr="002F0535">
              <w:rPr>
                <w:b/>
              </w:rPr>
              <w:t xml:space="preserve">Cascade Framework: This framework has been developed by CORC to provide a framework for analysing how well schools and CAMHS work together. </w:t>
            </w:r>
          </w:p>
        </w:tc>
      </w:tr>
      <w:tr w:rsidR="002F0535" w:rsidRPr="002F0535" w14:paraId="7E2B3C31" w14:textId="77777777" w:rsidTr="002F0535">
        <w:trPr>
          <w:trHeight w:val="1642"/>
        </w:trPr>
        <w:tc>
          <w:tcPr>
            <w:tcW w:w="2802" w:type="dxa"/>
            <w:gridSpan w:val="2"/>
          </w:tcPr>
          <w:p w14:paraId="20F92769" w14:textId="77777777" w:rsidR="002F0535" w:rsidRPr="002F0535" w:rsidRDefault="002F0535" w:rsidP="002F0535">
            <w:pPr>
              <w:rPr>
                <w:b/>
              </w:rPr>
            </w:pPr>
            <w:r w:rsidRPr="002F0535">
              <w:rPr>
                <w:b/>
              </w:rPr>
              <w:lastRenderedPageBreak/>
              <w:t xml:space="preserve">Improved Access to mental health support for CYP &amp; their families </w:t>
            </w:r>
          </w:p>
        </w:tc>
        <w:tc>
          <w:tcPr>
            <w:tcW w:w="2551" w:type="dxa"/>
            <w:gridSpan w:val="2"/>
          </w:tcPr>
          <w:p w14:paraId="1169BDB1" w14:textId="77777777" w:rsidR="002F0535" w:rsidRPr="002F0535" w:rsidRDefault="002F0535" w:rsidP="002F0535">
            <w:pPr>
              <w:rPr>
                <w:b/>
              </w:rPr>
            </w:pPr>
            <w:r w:rsidRPr="002F0535">
              <w:rPr>
                <w:b/>
              </w:rPr>
              <w:t xml:space="preserve">ADVICE &amp; SIGNPOSTING: Access &amp; Assessment: Multi-agency, most experienced/skilled staff carrying out assessment, advice and signposting into all parts of the system (not just health), building capacity for signposting in professionals across the system (education, social care, health and 3rd sector), utilising shared decision making to ensure needs based care according to CYP's needs and preferences. </w:t>
            </w:r>
          </w:p>
        </w:tc>
        <w:tc>
          <w:tcPr>
            <w:tcW w:w="2693" w:type="dxa"/>
            <w:gridSpan w:val="2"/>
          </w:tcPr>
          <w:p w14:paraId="209EDAE9" w14:textId="77777777" w:rsidR="002F0535" w:rsidRPr="002F0535" w:rsidRDefault="002F0535" w:rsidP="002F0535">
            <w:pPr>
              <w:rPr>
                <w:b/>
              </w:rPr>
            </w:pPr>
            <w:r w:rsidRPr="002F0535">
              <w:rPr>
                <w:b/>
              </w:rPr>
              <w:t xml:space="preserve">Patient Experience Measures e.g. Experience of services questionnaire </w:t>
            </w:r>
          </w:p>
        </w:tc>
        <w:tc>
          <w:tcPr>
            <w:tcW w:w="2835" w:type="dxa"/>
          </w:tcPr>
          <w:p w14:paraId="0940EB8C" w14:textId="77777777" w:rsidR="002F0535" w:rsidRPr="002F0535" w:rsidRDefault="002F0535" w:rsidP="002F0535">
            <w:pPr>
              <w:rPr>
                <w:b/>
              </w:rPr>
            </w:pPr>
            <w:r w:rsidRPr="002F0535">
              <w:rPr>
                <w:b/>
              </w:rPr>
              <w:t xml:space="preserve">Waiting time (days &amp; weeks): it would be expected that with highly skilled staff undertaking assessment, decisions and signposting are more efficient, reducing waiting times. </w:t>
            </w:r>
          </w:p>
        </w:tc>
        <w:tc>
          <w:tcPr>
            <w:tcW w:w="2835" w:type="dxa"/>
          </w:tcPr>
          <w:p w14:paraId="1A99179A" w14:textId="77777777" w:rsidR="002F0535" w:rsidRPr="002F0535" w:rsidRDefault="002F0535" w:rsidP="002F0535">
            <w:pPr>
              <w:rPr>
                <w:b/>
              </w:rPr>
            </w:pPr>
            <w:r w:rsidRPr="002F0535">
              <w:rPr>
                <w:b/>
              </w:rPr>
              <w:t xml:space="preserve">No reduction in therapeutic time below that recommended by NICE guidance (number of sessions). </w:t>
            </w:r>
          </w:p>
        </w:tc>
      </w:tr>
      <w:tr w:rsidR="002F0535" w:rsidRPr="002F0535" w14:paraId="5D7ECD33" w14:textId="77777777" w:rsidTr="002F0535">
        <w:trPr>
          <w:trHeight w:val="861"/>
        </w:trPr>
        <w:tc>
          <w:tcPr>
            <w:tcW w:w="4973" w:type="dxa"/>
            <w:gridSpan w:val="3"/>
          </w:tcPr>
          <w:p w14:paraId="5BB12E6B" w14:textId="77777777" w:rsidR="002F0535" w:rsidRPr="002F0535" w:rsidRDefault="002F0535" w:rsidP="002F0535">
            <w:pPr>
              <w:rPr>
                <w:b/>
              </w:rPr>
            </w:pPr>
            <w:r w:rsidRPr="002F0535">
              <w:rPr>
                <w:b/>
              </w:rPr>
              <w:t xml:space="preserve">Number &amp; % of CYP seen (expect the proportion of CYP seen relative to prevalence to increase - currently only 25-30% of CYP who would benefit form care are able to access it. With effective assessment, advice &amp; signposting we would expect increased efficiency and a larger proportion to be able to access care). </w:t>
            </w:r>
          </w:p>
        </w:tc>
        <w:tc>
          <w:tcPr>
            <w:tcW w:w="8743" w:type="dxa"/>
            <w:gridSpan w:val="5"/>
          </w:tcPr>
          <w:p w14:paraId="374E9A36" w14:textId="77777777" w:rsidR="002F0535" w:rsidRPr="002F0535" w:rsidRDefault="002F0535" w:rsidP="002F0535">
            <w:pPr>
              <w:rPr>
                <w:b/>
              </w:rPr>
            </w:pPr>
            <w:r w:rsidRPr="002F0535">
              <w:rPr>
                <w:b/>
              </w:rPr>
              <w:t xml:space="preserve">No increase in adverse events </w:t>
            </w:r>
          </w:p>
        </w:tc>
      </w:tr>
      <w:tr w:rsidR="002F0535" w:rsidRPr="002F0535" w14:paraId="6D4108A9" w14:textId="77777777" w:rsidTr="002F0535">
        <w:trPr>
          <w:trHeight w:val="177"/>
        </w:trPr>
        <w:tc>
          <w:tcPr>
            <w:tcW w:w="4973" w:type="dxa"/>
            <w:gridSpan w:val="3"/>
          </w:tcPr>
          <w:p w14:paraId="64931795" w14:textId="77777777" w:rsidR="002F0535" w:rsidRPr="002F0535" w:rsidRDefault="002F0535" w:rsidP="002F0535">
            <w:pPr>
              <w:rPr>
                <w:b/>
              </w:rPr>
            </w:pPr>
            <w:r w:rsidRPr="002F0535">
              <w:rPr>
                <w:b/>
              </w:rPr>
              <w:t xml:space="preserve">Number of assessments per CYP (aim to reduce multiple assessments) </w:t>
            </w:r>
          </w:p>
        </w:tc>
        <w:tc>
          <w:tcPr>
            <w:tcW w:w="8743" w:type="dxa"/>
            <w:gridSpan w:val="5"/>
          </w:tcPr>
          <w:p w14:paraId="79FCAB35" w14:textId="77777777" w:rsidR="002F0535" w:rsidRPr="002F0535" w:rsidRDefault="002F0535" w:rsidP="002F0535">
            <w:pPr>
              <w:rPr>
                <w:b/>
              </w:rPr>
            </w:pPr>
            <w:r w:rsidRPr="002F0535">
              <w:rPr>
                <w:b/>
              </w:rPr>
              <w:t xml:space="preserve">No increase in DNAs </w:t>
            </w:r>
          </w:p>
        </w:tc>
      </w:tr>
      <w:tr w:rsidR="002F0535" w:rsidRPr="002F0535" w14:paraId="6AC3B50D" w14:textId="77777777" w:rsidTr="002F0535">
        <w:trPr>
          <w:trHeight w:val="275"/>
        </w:trPr>
        <w:tc>
          <w:tcPr>
            <w:tcW w:w="13716" w:type="dxa"/>
            <w:gridSpan w:val="8"/>
          </w:tcPr>
          <w:p w14:paraId="72F637B3" w14:textId="77777777" w:rsidR="002F0535" w:rsidRPr="002F0535" w:rsidRDefault="002F0535" w:rsidP="002F0535">
            <w:pPr>
              <w:rPr>
                <w:b/>
              </w:rPr>
            </w:pPr>
            <w:r w:rsidRPr="002F0535">
              <w:rPr>
                <w:b/>
              </w:rPr>
              <w:lastRenderedPageBreak/>
              <w:t xml:space="preserve">No increase in threshold for entry into services </w:t>
            </w:r>
          </w:p>
        </w:tc>
      </w:tr>
      <w:tr w:rsidR="002F0535" w:rsidRPr="002F0535" w14:paraId="04251BAE" w14:textId="77777777" w:rsidTr="002F0535">
        <w:trPr>
          <w:trHeight w:val="764"/>
        </w:trPr>
        <w:tc>
          <w:tcPr>
            <w:tcW w:w="2486" w:type="dxa"/>
          </w:tcPr>
          <w:p w14:paraId="7105AAA2" w14:textId="77777777" w:rsidR="002F0535" w:rsidRPr="002F0535" w:rsidRDefault="002F0535" w:rsidP="002F0535">
            <w:pPr>
              <w:rPr>
                <w:b/>
              </w:rPr>
            </w:pPr>
            <w:r w:rsidRPr="002F0535">
              <w:rPr>
                <w:b/>
              </w:rPr>
              <w:t xml:space="preserve">There would be more CYP who are signposted into appropriate alternative community providers and make use of self-care approaches, which are in line with their needs and preferences. </w:t>
            </w:r>
          </w:p>
        </w:tc>
        <w:tc>
          <w:tcPr>
            <w:tcW w:w="2487" w:type="dxa"/>
            <w:gridSpan w:val="2"/>
          </w:tcPr>
          <w:p w14:paraId="016FECCF" w14:textId="77777777" w:rsidR="002F0535" w:rsidRPr="002F0535" w:rsidRDefault="002F0535" w:rsidP="002F0535">
            <w:pPr>
              <w:rPr>
                <w:b/>
              </w:rPr>
            </w:pPr>
            <w:r w:rsidRPr="002F0535">
              <w:rPr>
                <w:b/>
              </w:rPr>
              <w:t xml:space="preserve">Economic measures of health service usage </w:t>
            </w:r>
          </w:p>
        </w:tc>
        <w:tc>
          <w:tcPr>
            <w:tcW w:w="2486" w:type="dxa"/>
            <w:gridSpan w:val="2"/>
          </w:tcPr>
          <w:p w14:paraId="3DDC80AA" w14:textId="77777777" w:rsidR="002F0535" w:rsidRPr="002F0535" w:rsidRDefault="002F0535" w:rsidP="002F0535">
            <w:pPr>
              <w:rPr>
                <w:b/>
              </w:rPr>
            </w:pPr>
            <w:r w:rsidRPr="002F0535">
              <w:rPr>
                <w:b/>
              </w:rPr>
              <w:t xml:space="preserve">Number &amp; proportion of CYP who are assessed and are signposted into services other than CAMHS/ Children's Services </w:t>
            </w:r>
          </w:p>
        </w:tc>
        <w:tc>
          <w:tcPr>
            <w:tcW w:w="6257" w:type="dxa"/>
            <w:gridSpan w:val="3"/>
          </w:tcPr>
          <w:p w14:paraId="4F40CDD4" w14:textId="77777777" w:rsidR="002F0535" w:rsidRPr="002F0535" w:rsidRDefault="002F0535" w:rsidP="002F0535">
            <w:pPr>
              <w:rPr>
                <w:b/>
              </w:rPr>
            </w:pPr>
            <w:r w:rsidRPr="002F0535">
              <w:rPr>
                <w:b/>
              </w:rPr>
              <w:t xml:space="preserve">CYPs feel that signposting was helpful &amp; appropriate </w:t>
            </w:r>
          </w:p>
        </w:tc>
      </w:tr>
      <w:tr w:rsidR="002F0535" w:rsidRPr="002F0535" w14:paraId="7B3EC537" w14:textId="77777777" w:rsidTr="002F0535">
        <w:trPr>
          <w:trHeight w:val="177"/>
        </w:trPr>
        <w:tc>
          <w:tcPr>
            <w:tcW w:w="4973" w:type="dxa"/>
            <w:gridSpan w:val="3"/>
          </w:tcPr>
          <w:p w14:paraId="1EA397A3" w14:textId="77777777" w:rsidR="002F0535" w:rsidRPr="002F0535" w:rsidRDefault="002F0535" w:rsidP="002F0535">
            <w:pPr>
              <w:rPr>
                <w:b/>
              </w:rPr>
            </w:pPr>
            <w:r w:rsidRPr="002F0535">
              <w:rPr>
                <w:b/>
              </w:rPr>
              <w:t xml:space="preserve">Number &amp; proportion of CYP who choose self-care approaches </w:t>
            </w:r>
          </w:p>
        </w:tc>
        <w:tc>
          <w:tcPr>
            <w:tcW w:w="8743" w:type="dxa"/>
            <w:gridSpan w:val="5"/>
          </w:tcPr>
          <w:p w14:paraId="04FD0F40" w14:textId="77777777" w:rsidR="002F0535" w:rsidRPr="002F0535" w:rsidRDefault="002F0535" w:rsidP="002F0535">
            <w:pPr>
              <w:rPr>
                <w:b/>
              </w:rPr>
            </w:pPr>
            <w:r w:rsidRPr="002F0535">
              <w:rPr>
                <w:b/>
              </w:rPr>
              <w:t xml:space="preserve">No increase in DNAs </w:t>
            </w:r>
          </w:p>
        </w:tc>
      </w:tr>
      <w:tr w:rsidR="002F0535" w:rsidRPr="002F0535" w14:paraId="2F713321" w14:textId="77777777" w:rsidTr="002F0535">
        <w:trPr>
          <w:trHeight w:val="275"/>
        </w:trPr>
        <w:tc>
          <w:tcPr>
            <w:tcW w:w="13716" w:type="dxa"/>
            <w:gridSpan w:val="8"/>
          </w:tcPr>
          <w:p w14:paraId="3220CD50" w14:textId="77777777" w:rsidR="002F0535" w:rsidRPr="002F0535" w:rsidRDefault="002F0535" w:rsidP="002F0535">
            <w:pPr>
              <w:rPr>
                <w:b/>
              </w:rPr>
            </w:pPr>
            <w:r w:rsidRPr="002F0535">
              <w:rPr>
                <w:b/>
              </w:rPr>
              <w:t xml:space="preserve">No increased burden on primary care </w:t>
            </w:r>
          </w:p>
        </w:tc>
      </w:tr>
      <w:tr w:rsidR="002F0535" w:rsidRPr="002F0535" w14:paraId="5C8E35C9" w14:textId="77777777" w:rsidTr="002F0535">
        <w:trPr>
          <w:trHeight w:val="275"/>
        </w:trPr>
        <w:tc>
          <w:tcPr>
            <w:tcW w:w="2486" w:type="dxa"/>
          </w:tcPr>
          <w:p w14:paraId="24C35441" w14:textId="77777777" w:rsidR="002F0535" w:rsidRPr="002F0535" w:rsidRDefault="002F0535" w:rsidP="002F0535">
            <w:pPr>
              <w:rPr>
                <w:b/>
              </w:rPr>
            </w:pPr>
            <w:r w:rsidRPr="002F0535">
              <w:rPr>
                <w:b/>
              </w:rPr>
              <w:t xml:space="preserve">CYP &amp; their families are able to participate in SDM process that enables </w:t>
            </w:r>
          </w:p>
        </w:tc>
        <w:tc>
          <w:tcPr>
            <w:tcW w:w="2487" w:type="dxa"/>
            <w:gridSpan w:val="2"/>
          </w:tcPr>
          <w:p w14:paraId="7483FE3A" w14:textId="77777777" w:rsidR="002F0535" w:rsidRPr="002F0535" w:rsidRDefault="002F0535" w:rsidP="002F0535">
            <w:pPr>
              <w:rPr>
                <w:b/>
              </w:rPr>
            </w:pPr>
            <w:proofErr w:type="spellStart"/>
            <w:r w:rsidRPr="002F0535">
              <w:rPr>
                <w:b/>
              </w:rPr>
              <w:t>CollaboRATE</w:t>
            </w:r>
            <w:proofErr w:type="spellEnd"/>
            <w:r w:rsidRPr="002F0535">
              <w:rPr>
                <w:b/>
              </w:rPr>
              <w:t xml:space="preserve"> (patient reported measure of the quality of the SDM process) </w:t>
            </w:r>
          </w:p>
        </w:tc>
        <w:tc>
          <w:tcPr>
            <w:tcW w:w="2486" w:type="dxa"/>
            <w:gridSpan w:val="2"/>
          </w:tcPr>
          <w:p w14:paraId="06BCF541" w14:textId="77777777" w:rsidR="002F0535" w:rsidRPr="002F0535" w:rsidRDefault="002F0535" w:rsidP="002F0535">
            <w:pPr>
              <w:rPr>
                <w:b/>
              </w:rPr>
            </w:pPr>
            <w:r w:rsidRPr="002F0535">
              <w:rPr>
                <w:b/>
              </w:rPr>
              <w:t xml:space="preserve">Number &amp; % of CYP participating in SDM process </w:t>
            </w:r>
          </w:p>
        </w:tc>
        <w:tc>
          <w:tcPr>
            <w:tcW w:w="6257" w:type="dxa"/>
            <w:gridSpan w:val="3"/>
          </w:tcPr>
          <w:p w14:paraId="1A196D99" w14:textId="77777777" w:rsidR="002F0535" w:rsidRPr="002F0535" w:rsidRDefault="002F0535" w:rsidP="002F0535">
            <w:pPr>
              <w:rPr>
                <w:b/>
              </w:rPr>
            </w:pPr>
            <w:r w:rsidRPr="002F0535">
              <w:rPr>
                <w:b/>
              </w:rPr>
              <w:t xml:space="preserve">Ensure CYP satisfaction remains constant. </w:t>
            </w:r>
          </w:p>
        </w:tc>
      </w:tr>
    </w:tbl>
    <w:p w14:paraId="56B24A7E" w14:textId="77777777" w:rsidR="002F0535" w:rsidRPr="002F0535" w:rsidRDefault="002F0535" w:rsidP="00CE5727">
      <w:pPr>
        <w:rPr>
          <w:b/>
        </w:rPr>
      </w:pPr>
    </w:p>
    <w:p w14:paraId="10E0A1E3" w14:textId="77777777" w:rsidR="002F0535" w:rsidRDefault="002F0535" w:rsidP="00CE5727"/>
    <w:p w14:paraId="14AF3A57" w14:textId="77777777" w:rsidR="00CE5727" w:rsidRDefault="00CE5727"/>
    <w:p w14:paraId="215DC9EA" w14:textId="77777777" w:rsidR="00CE5727" w:rsidRDefault="00CE5727"/>
    <w:sectPr w:rsidR="00CE5727" w:rsidSect="002F0535">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2D02"/>
    <w:multiLevelType w:val="hybridMultilevel"/>
    <w:tmpl w:val="E0B4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A174BB"/>
    <w:multiLevelType w:val="hybridMultilevel"/>
    <w:tmpl w:val="6AA240A0"/>
    <w:lvl w:ilvl="0" w:tplc="00000001">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7380213"/>
    <w:multiLevelType w:val="multilevel"/>
    <w:tmpl w:val="FAF8BF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E641954"/>
    <w:multiLevelType w:val="hybridMultilevel"/>
    <w:tmpl w:val="E89E8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D549CB"/>
    <w:multiLevelType w:val="hybridMultilevel"/>
    <w:tmpl w:val="6AF0EB70"/>
    <w:lvl w:ilvl="0" w:tplc="59A8DFC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E33ABF"/>
    <w:multiLevelType w:val="hybridMultilevel"/>
    <w:tmpl w:val="ED684E10"/>
    <w:lvl w:ilvl="0" w:tplc="A9CA5DBC">
      <w:numFmt w:val="bullet"/>
      <w:lvlText w:val="•"/>
      <w:lvlJc w:val="left"/>
      <w:pPr>
        <w:ind w:left="720" w:hanging="360"/>
      </w:pPr>
      <w:rPr>
        <w:rFonts w:ascii="Arial" w:eastAsia="Times New Roman" w:hAnsi="Aria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E56DA1"/>
    <w:multiLevelType w:val="hybridMultilevel"/>
    <w:tmpl w:val="320C62CE"/>
    <w:lvl w:ilvl="0" w:tplc="A9CA5DBC">
      <w:numFmt w:val="bullet"/>
      <w:lvlText w:val="•"/>
      <w:lvlJc w:val="left"/>
      <w:pPr>
        <w:ind w:left="1440" w:hanging="360"/>
      </w:pPr>
      <w:rPr>
        <w:rFonts w:ascii="Arial" w:eastAsia="Times New Roman" w:hAnsi="Arial"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7">
    <w:nsid w:val="326C100C"/>
    <w:multiLevelType w:val="hybridMultilevel"/>
    <w:tmpl w:val="1B92F396"/>
    <w:lvl w:ilvl="0" w:tplc="464409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A94D9A"/>
    <w:multiLevelType w:val="hybridMultilevel"/>
    <w:tmpl w:val="70226448"/>
    <w:lvl w:ilvl="0" w:tplc="89108F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260448"/>
    <w:multiLevelType w:val="hybridMultilevel"/>
    <w:tmpl w:val="BCCA2FD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F8D5860"/>
    <w:multiLevelType w:val="hybridMultilevel"/>
    <w:tmpl w:val="5EFA1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D823B4E"/>
    <w:multiLevelType w:val="hybridMultilevel"/>
    <w:tmpl w:val="F620ED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8711F5B"/>
    <w:multiLevelType w:val="hybridMultilevel"/>
    <w:tmpl w:val="76AE4E7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FDF401D"/>
    <w:multiLevelType w:val="hybridMultilevel"/>
    <w:tmpl w:val="A12C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DD61AC"/>
    <w:multiLevelType w:val="hybridMultilevel"/>
    <w:tmpl w:val="C1403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6B810113"/>
    <w:multiLevelType w:val="hybridMultilevel"/>
    <w:tmpl w:val="7EF6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BD63DF2"/>
    <w:multiLevelType w:val="multilevel"/>
    <w:tmpl w:val="B43E5A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6F58430A"/>
    <w:multiLevelType w:val="hybridMultilevel"/>
    <w:tmpl w:val="16C6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BC16EBA"/>
    <w:multiLevelType w:val="hybridMultilevel"/>
    <w:tmpl w:val="C938F2B6"/>
    <w:lvl w:ilvl="0" w:tplc="A9CA5DBC">
      <w:numFmt w:val="bullet"/>
      <w:lvlText w:val="•"/>
      <w:lvlJc w:val="left"/>
      <w:pPr>
        <w:ind w:left="1440" w:hanging="360"/>
      </w:pPr>
      <w:rPr>
        <w:rFonts w:ascii="Arial" w:eastAsia="Times New Roman" w:hAnsi="Aria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num w:numId="1">
    <w:abstractNumId w:val="11"/>
  </w:num>
  <w:num w:numId="2">
    <w:abstractNumId w:val="9"/>
  </w:num>
  <w:num w:numId="3">
    <w:abstractNumId w:val="13"/>
  </w:num>
  <w:num w:numId="4">
    <w:abstractNumId w:val="3"/>
  </w:num>
  <w:num w:numId="5">
    <w:abstractNumId w:val="14"/>
  </w:num>
  <w:num w:numId="6">
    <w:abstractNumId w:val="0"/>
  </w:num>
  <w:num w:numId="7">
    <w:abstractNumId w:val="17"/>
  </w:num>
  <w:num w:numId="8">
    <w:abstractNumId w:val="8"/>
  </w:num>
  <w:num w:numId="9">
    <w:abstractNumId w:val="4"/>
  </w:num>
  <w:num w:numId="10">
    <w:abstractNumId w:val="10"/>
  </w:num>
  <w:num w:numId="11">
    <w:abstractNumId w:val="7"/>
  </w:num>
  <w:num w:numId="12">
    <w:abstractNumId w:val="12"/>
  </w:num>
  <w:num w:numId="13">
    <w:abstractNumId w:val="16"/>
  </w:num>
  <w:num w:numId="14">
    <w:abstractNumId w:val="2"/>
  </w:num>
  <w:num w:numId="15">
    <w:abstractNumId w:val="18"/>
  </w:num>
  <w:num w:numId="16">
    <w:abstractNumId w:val="6"/>
  </w:num>
  <w:num w:numId="17">
    <w:abstractNumId w:val="5"/>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727"/>
    <w:rsid w:val="000025B5"/>
    <w:rsid w:val="000C29B6"/>
    <w:rsid w:val="000E472E"/>
    <w:rsid w:val="00107B30"/>
    <w:rsid w:val="00183267"/>
    <w:rsid w:val="001A3271"/>
    <w:rsid w:val="00202B20"/>
    <w:rsid w:val="002072C0"/>
    <w:rsid w:val="002352FA"/>
    <w:rsid w:val="00270FEE"/>
    <w:rsid w:val="002869FC"/>
    <w:rsid w:val="002F0535"/>
    <w:rsid w:val="00322711"/>
    <w:rsid w:val="003639FD"/>
    <w:rsid w:val="003C6276"/>
    <w:rsid w:val="003C7DE9"/>
    <w:rsid w:val="0040135C"/>
    <w:rsid w:val="00415E97"/>
    <w:rsid w:val="00431230"/>
    <w:rsid w:val="00440F6B"/>
    <w:rsid w:val="00440FC6"/>
    <w:rsid w:val="00444DE7"/>
    <w:rsid w:val="00497E34"/>
    <w:rsid w:val="004B6240"/>
    <w:rsid w:val="004B7010"/>
    <w:rsid w:val="004D5ABE"/>
    <w:rsid w:val="005366AB"/>
    <w:rsid w:val="00553A58"/>
    <w:rsid w:val="00602ED1"/>
    <w:rsid w:val="00606B56"/>
    <w:rsid w:val="0067583E"/>
    <w:rsid w:val="0067797C"/>
    <w:rsid w:val="006B41EF"/>
    <w:rsid w:val="006F1A77"/>
    <w:rsid w:val="00747510"/>
    <w:rsid w:val="00790240"/>
    <w:rsid w:val="007C126D"/>
    <w:rsid w:val="009308CC"/>
    <w:rsid w:val="00942BC9"/>
    <w:rsid w:val="0094570C"/>
    <w:rsid w:val="00961185"/>
    <w:rsid w:val="009738B6"/>
    <w:rsid w:val="00A2424D"/>
    <w:rsid w:val="00A278CB"/>
    <w:rsid w:val="00A552F5"/>
    <w:rsid w:val="00A57C39"/>
    <w:rsid w:val="00A60B26"/>
    <w:rsid w:val="00A711C3"/>
    <w:rsid w:val="00A823A9"/>
    <w:rsid w:val="00AD426D"/>
    <w:rsid w:val="00B10D2A"/>
    <w:rsid w:val="00B553C5"/>
    <w:rsid w:val="00B8255B"/>
    <w:rsid w:val="00BD6AFA"/>
    <w:rsid w:val="00C06995"/>
    <w:rsid w:val="00C703FC"/>
    <w:rsid w:val="00C71DE7"/>
    <w:rsid w:val="00C75AC2"/>
    <w:rsid w:val="00CA4F89"/>
    <w:rsid w:val="00CB2021"/>
    <w:rsid w:val="00CC7953"/>
    <w:rsid w:val="00CE5727"/>
    <w:rsid w:val="00CE5CAD"/>
    <w:rsid w:val="00D16D1E"/>
    <w:rsid w:val="00D33660"/>
    <w:rsid w:val="00D5256E"/>
    <w:rsid w:val="00D66ACF"/>
    <w:rsid w:val="00D95E90"/>
    <w:rsid w:val="00DE0E51"/>
    <w:rsid w:val="00E17995"/>
    <w:rsid w:val="00E407F5"/>
    <w:rsid w:val="00E6717C"/>
    <w:rsid w:val="00E6735F"/>
    <w:rsid w:val="00EB0FDE"/>
    <w:rsid w:val="00EC2CF3"/>
    <w:rsid w:val="00F3238B"/>
    <w:rsid w:val="00F4586F"/>
    <w:rsid w:val="00F62A31"/>
    <w:rsid w:val="00FF42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54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727"/>
    <w:pPr>
      <w:ind w:left="720"/>
      <w:contextualSpacing/>
    </w:pPr>
  </w:style>
  <w:style w:type="character" w:styleId="Hyperlink">
    <w:name w:val="Hyperlink"/>
    <w:basedOn w:val="DefaultParagraphFont"/>
    <w:uiPriority w:val="99"/>
    <w:unhideWhenUsed/>
    <w:rsid w:val="00F3238B"/>
    <w:rPr>
      <w:color w:val="0000FF" w:themeColor="hyperlink"/>
      <w:u w:val="single"/>
    </w:rPr>
  </w:style>
  <w:style w:type="table" w:styleId="TableGrid">
    <w:name w:val="Table Grid"/>
    <w:basedOn w:val="TableNormal"/>
    <w:uiPriority w:val="59"/>
    <w:rsid w:val="00C0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7DE9"/>
    <w:rPr>
      <w:sz w:val="16"/>
      <w:szCs w:val="16"/>
    </w:rPr>
  </w:style>
  <w:style w:type="paragraph" w:styleId="CommentText">
    <w:name w:val="annotation text"/>
    <w:basedOn w:val="Normal"/>
    <w:link w:val="CommentTextChar"/>
    <w:uiPriority w:val="99"/>
    <w:semiHidden/>
    <w:unhideWhenUsed/>
    <w:rsid w:val="003C7DE9"/>
    <w:pPr>
      <w:spacing w:line="240" w:lineRule="auto"/>
    </w:pPr>
    <w:rPr>
      <w:sz w:val="20"/>
      <w:szCs w:val="20"/>
    </w:rPr>
  </w:style>
  <w:style w:type="character" w:customStyle="1" w:styleId="CommentTextChar">
    <w:name w:val="Comment Text Char"/>
    <w:basedOn w:val="DefaultParagraphFont"/>
    <w:link w:val="CommentText"/>
    <w:uiPriority w:val="99"/>
    <w:semiHidden/>
    <w:rsid w:val="003C7DE9"/>
    <w:rPr>
      <w:sz w:val="20"/>
      <w:szCs w:val="20"/>
    </w:rPr>
  </w:style>
  <w:style w:type="paragraph" w:styleId="CommentSubject">
    <w:name w:val="annotation subject"/>
    <w:basedOn w:val="CommentText"/>
    <w:next w:val="CommentText"/>
    <w:link w:val="CommentSubjectChar"/>
    <w:uiPriority w:val="99"/>
    <w:semiHidden/>
    <w:unhideWhenUsed/>
    <w:rsid w:val="003C7DE9"/>
    <w:rPr>
      <w:b/>
      <w:bCs/>
    </w:rPr>
  </w:style>
  <w:style w:type="character" w:customStyle="1" w:styleId="CommentSubjectChar">
    <w:name w:val="Comment Subject Char"/>
    <w:basedOn w:val="CommentTextChar"/>
    <w:link w:val="CommentSubject"/>
    <w:uiPriority w:val="99"/>
    <w:semiHidden/>
    <w:rsid w:val="003C7DE9"/>
    <w:rPr>
      <w:b/>
      <w:bCs/>
      <w:sz w:val="20"/>
      <w:szCs w:val="20"/>
    </w:rPr>
  </w:style>
  <w:style w:type="paragraph" w:styleId="BalloonText">
    <w:name w:val="Balloon Text"/>
    <w:basedOn w:val="Normal"/>
    <w:link w:val="BalloonTextChar"/>
    <w:uiPriority w:val="99"/>
    <w:semiHidden/>
    <w:unhideWhenUsed/>
    <w:rsid w:val="003C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DE9"/>
    <w:rPr>
      <w:rFonts w:ascii="Tahoma" w:hAnsi="Tahoma" w:cs="Tahoma"/>
      <w:sz w:val="16"/>
      <w:szCs w:val="16"/>
    </w:rPr>
  </w:style>
  <w:style w:type="character" w:styleId="FollowedHyperlink">
    <w:name w:val="FollowedHyperlink"/>
    <w:basedOn w:val="DefaultParagraphFont"/>
    <w:uiPriority w:val="99"/>
    <w:semiHidden/>
    <w:unhideWhenUsed/>
    <w:rsid w:val="005366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727"/>
    <w:pPr>
      <w:ind w:left="720"/>
      <w:contextualSpacing/>
    </w:pPr>
  </w:style>
  <w:style w:type="character" w:styleId="Hyperlink">
    <w:name w:val="Hyperlink"/>
    <w:basedOn w:val="DefaultParagraphFont"/>
    <w:uiPriority w:val="99"/>
    <w:unhideWhenUsed/>
    <w:rsid w:val="00F3238B"/>
    <w:rPr>
      <w:color w:val="0000FF" w:themeColor="hyperlink"/>
      <w:u w:val="single"/>
    </w:rPr>
  </w:style>
  <w:style w:type="table" w:styleId="TableGrid">
    <w:name w:val="Table Grid"/>
    <w:basedOn w:val="TableNormal"/>
    <w:uiPriority w:val="59"/>
    <w:rsid w:val="00C0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7DE9"/>
    <w:rPr>
      <w:sz w:val="16"/>
      <w:szCs w:val="16"/>
    </w:rPr>
  </w:style>
  <w:style w:type="paragraph" w:styleId="CommentText">
    <w:name w:val="annotation text"/>
    <w:basedOn w:val="Normal"/>
    <w:link w:val="CommentTextChar"/>
    <w:uiPriority w:val="99"/>
    <w:semiHidden/>
    <w:unhideWhenUsed/>
    <w:rsid w:val="003C7DE9"/>
    <w:pPr>
      <w:spacing w:line="240" w:lineRule="auto"/>
    </w:pPr>
    <w:rPr>
      <w:sz w:val="20"/>
      <w:szCs w:val="20"/>
    </w:rPr>
  </w:style>
  <w:style w:type="character" w:customStyle="1" w:styleId="CommentTextChar">
    <w:name w:val="Comment Text Char"/>
    <w:basedOn w:val="DefaultParagraphFont"/>
    <w:link w:val="CommentText"/>
    <w:uiPriority w:val="99"/>
    <w:semiHidden/>
    <w:rsid w:val="003C7DE9"/>
    <w:rPr>
      <w:sz w:val="20"/>
      <w:szCs w:val="20"/>
    </w:rPr>
  </w:style>
  <w:style w:type="paragraph" w:styleId="CommentSubject">
    <w:name w:val="annotation subject"/>
    <w:basedOn w:val="CommentText"/>
    <w:next w:val="CommentText"/>
    <w:link w:val="CommentSubjectChar"/>
    <w:uiPriority w:val="99"/>
    <w:semiHidden/>
    <w:unhideWhenUsed/>
    <w:rsid w:val="003C7DE9"/>
    <w:rPr>
      <w:b/>
      <w:bCs/>
    </w:rPr>
  </w:style>
  <w:style w:type="character" w:customStyle="1" w:styleId="CommentSubjectChar">
    <w:name w:val="Comment Subject Char"/>
    <w:basedOn w:val="CommentTextChar"/>
    <w:link w:val="CommentSubject"/>
    <w:uiPriority w:val="99"/>
    <w:semiHidden/>
    <w:rsid w:val="003C7DE9"/>
    <w:rPr>
      <w:b/>
      <w:bCs/>
      <w:sz w:val="20"/>
      <w:szCs w:val="20"/>
    </w:rPr>
  </w:style>
  <w:style w:type="paragraph" w:styleId="BalloonText">
    <w:name w:val="Balloon Text"/>
    <w:basedOn w:val="Normal"/>
    <w:link w:val="BalloonTextChar"/>
    <w:uiPriority w:val="99"/>
    <w:semiHidden/>
    <w:unhideWhenUsed/>
    <w:rsid w:val="003C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DE9"/>
    <w:rPr>
      <w:rFonts w:ascii="Tahoma" w:hAnsi="Tahoma" w:cs="Tahoma"/>
      <w:sz w:val="16"/>
      <w:szCs w:val="16"/>
    </w:rPr>
  </w:style>
  <w:style w:type="character" w:styleId="FollowedHyperlink">
    <w:name w:val="FollowedHyperlink"/>
    <w:basedOn w:val="DefaultParagraphFont"/>
    <w:uiPriority w:val="99"/>
    <w:semiHidden/>
    <w:unhideWhenUsed/>
    <w:rsid w:val="005366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641482">
      <w:bodyDiv w:val="1"/>
      <w:marLeft w:val="0"/>
      <w:marRight w:val="0"/>
      <w:marTop w:val="0"/>
      <w:marBottom w:val="0"/>
      <w:divBdr>
        <w:top w:val="none" w:sz="0" w:space="0" w:color="auto"/>
        <w:left w:val="none" w:sz="0" w:space="0" w:color="auto"/>
        <w:bottom w:val="none" w:sz="0" w:space="0" w:color="auto"/>
        <w:right w:val="none" w:sz="0" w:space="0" w:color="auto"/>
      </w:divBdr>
    </w:div>
    <w:div w:id="177566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hireeast.gov.uk/care-and-support/healthy-lifestyles/domestic_abuse/domestic_abuse.aspx" TargetMode="External"/><Relationship Id="rId13" Type="http://schemas.openxmlformats.org/officeDocument/2006/relationships/diagramData" Target="diagrams/data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heshireeast.gov.uk/schools/schools.aspx" TargetMode="External"/><Relationship Id="rId12" Type="http://schemas.openxmlformats.org/officeDocument/2006/relationships/hyperlink" Target="https://www.gov.uk/government/publications/working-together-to-safeguard-children--2" TargetMode="External"/><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hyperlink" Target="http://www.annafreud.org/service-improvement/service-improvement-resources/thrive/" TargetMode="External"/><Relationship Id="rId11" Type="http://schemas.openxmlformats.org/officeDocument/2006/relationships/hyperlink" Target="https://www.gov.uk/government/publications/care-act-2014-statutory-guidance-for-implementation"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www.cheshireeast.gov.uk/care-and-support/vulnerable-adults/vulnerable-adults.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eshireeastlscb.org.uk/professionals/procedures-and-guidance.aspx" TargetMode="Externa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1821DF-5200-4D81-BD6A-2C16F4F5A32C}" type="doc">
      <dgm:prSet loTypeId="urn:microsoft.com/office/officeart/2005/8/layout/cycle4" loCatId="matrix" qsTypeId="urn:microsoft.com/office/officeart/2005/8/quickstyle/simple1" qsCatId="simple" csTypeId="urn:microsoft.com/office/officeart/2005/8/colors/accent1_2" csCatId="accent1" phldr="1"/>
      <dgm:spPr/>
      <dgm:t>
        <a:bodyPr/>
        <a:lstStyle/>
        <a:p>
          <a:endParaRPr lang="en-GB"/>
        </a:p>
      </dgm:t>
    </dgm:pt>
    <dgm:pt modelId="{61C0CA9E-2C92-46EF-82BF-990284EBFC60}">
      <dgm:prSet phldrT="[Text]"/>
      <dgm:spPr>
        <a:solidFill>
          <a:srgbClr val="ABDB77"/>
        </a:solidFill>
      </dgm:spPr>
      <dgm:t>
        <a:bodyPr/>
        <a:lstStyle/>
        <a:p>
          <a:r>
            <a:rPr lang="en-GB" b="1">
              <a:solidFill>
                <a:sysClr val="windowText" lastClr="000000"/>
              </a:solidFill>
            </a:rPr>
            <a:t>Getting Advice </a:t>
          </a:r>
        </a:p>
        <a:p>
          <a:r>
            <a:rPr lang="en-GB">
              <a:solidFill>
                <a:sysClr val="windowText" lastClr="000000"/>
              </a:solidFill>
            </a:rPr>
            <a:t>Signposting, self-management and one off contact</a:t>
          </a:r>
        </a:p>
        <a:p>
          <a:endParaRPr lang="en-GB"/>
        </a:p>
        <a:p>
          <a:endParaRPr lang="en-GB"/>
        </a:p>
      </dgm:t>
    </dgm:pt>
    <dgm:pt modelId="{524C40D1-D282-4F7F-9A72-18F482182992}" type="parTrans" cxnId="{67C1E3C2-DF64-4CA9-8C62-8DD2F05E7C43}">
      <dgm:prSet/>
      <dgm:spPr/>
      <dgm:t>
        <a:bodyPr/>
        <a:lstStyle/>
        <a:p>
          <a:endParaRPr lang="en-GB"/>
        </a:p>
      </dgm:t>
    </dgm:pt>
    <dgm:pt modelId="{22A65305-FF4B-4AC2-8DAB-795DC2613D41}" type="sibTrans" cxnId="{67C1E3C2-DF64-4CA9-8C62-8DD2F05E7C43}">
      <dgm:prSet/>
      <dgm:spPr/>
      <dgm:t>
        <a:bodyPr/>
        <a:lstStyle/>
        <a:p>
          <a:endParaRPr lang="en-GB"/>
        </a:p>
      </dgm:t>
    </dgm:pt>
    <dgm:pt modelId="{D503847A-817A-4A00-9426-02451BBA4056}">
      <dgm:prSet phldrT="[Text]"/>
      <dgm:spPr>
        <a:solidFill>
          <a:srgbClr val="53D2FF"/>
        </a:solidFill>
      </dgm:spPr>
      <dgm:t>
        <a:bodyPr/>
        <a:lstStyle/>
        <a:p>
          <a:r>
            <a:rPr lang="en-GB" b="1">
              <a:solidFill>
                <a:sysClr val="windowText" lastClr="000000"/>
              </a:solidFill>
            </a:rPr>
            <a:t>Getting Help</a:t>
          </a:r>
        </a:p>
        <a:p>
          <a:r>
            <a:rPr lang="en-GB">
              <a:solidFill>
                <a:sysClr val="windowText" lastClr="000000"/>
              </a:solidFill>
            </a:rPr>
            <a:t>Goal Focussed, evidence informed &amp; outcome focussed interventions</a:t>
          </a:r>
        </a:p>
        <a:p>
          <a:endParaRPr lang="en-GB">
            <a:solidFill>
              <a:sysClr val="windowText" lastClr="000000"/>
            </a:solidFill>
          </a:endParaRPr>
        </a:p>
      </dgm:t>
    </dgm:pt>
    <dgm:pt modelId="{01F75F2B-488E-479E-A90F-2AAE5844A6E2}" type="parTrans" cxnId="{6273BE93-721B-4B1D-ACD2-0BA08D284489}">
      <dgm:prSet/>
      <dgm:spPr/>
      <dgm:t>
        <a:bodyPr/>
        <a:lstStyle/>
        <a:p>
          <a:endParaRPr lang="en-GB"/>
        </a:p>
      </dgm:t>
    </dgm:pt>
    <dgm:pt modelId="{043CA97B-11F5-409E-B3AF-46F8CE922B4B}" type="sibTrans" cxnId="{6273BE93-721B-4B1D-ACD2-0BA08D284489}">
      <dgm:prSet/>
      <dgm:spPr/>
      <dgm:t>
        <a:bodyPr/>
        <a:lstStyle/>
        <a:p>
          <a:endParaRPr lang="en-GB"/>
        </a:p>
      </dgm:t>
    </dgm:pt>
    <dgm:pt modelId="{48329024-CEDB-4C9E-861B-DBD2C6E780CD}">
      <dgm:prSet phldrT="[Text]"/>
      <dgm:spPr>
        <a:solidFill>
          <a:srgbClr val="AA72D4"/>
        </a:solidFill>
      </dgm:spPr>
      <dgm:t>
        <a:bodyPr/>
        <a:lstStyle/>
        <a:p>
          <a:endParaRPr lang="en-GB" b="1"/>
        </a:p>
        <a:p>
          <a:endParaRPr lang="en-GB" b="1">
            <a:solidFill>
              <a:sysClr val="windowText" lastClr="000000"/>
            </a:solidFill>
          </a:endParaRPr>
        </a:p>
        <a:p>
          <a:r>
            <a:rPr lang="en-GB" b="1">
              <a:solidFill>
                <a:sysClr val="windowText" lastClr="000000"/>
              </a:solidFill>
            </a:rPr>
            <a:t>Getting More Help</a:t>
          </a:r>
        </a:p>
        <a:p>
          <a:r>
            <a:rPr lang="en-GB">
              <a:solidFill>
                <a:sysClr val="windowText" lastClr="000000"/>
              </a:solidFill>
            </a:rPr>
            <a:t>Extensive Treatment</a:t>
          </a:r>
        </a:p>
      </dgm:t>
    </dgm:pt>
    <dgm:pt modelId="{1CACFB38-B177-4D5C-B11B-ACB3A42865BD}" type="parTrans" cxnId="{AD9D146B-A83D-4EDA-B16E-1F24FF8F89A7}">
      <dgm:prSet/>
      <dgm:spPr/>
      <dgm:t>
        <a:bodyPr/>
        <a:lstStyle/>
        <a:p>
          <a:endParaRPr lang="en-GB"/>
        </a:p>
      </dgm:t>
    </dgm:pt>
    <dgm:pt modelId="{B6DB03E6-A941-4956-A451-ACC00A470B3A}" type="sibTrans" cxnId="{AD9D146B-A83D-4EDA-B16E-1F24FF8F89A7}">
      <dgm:prSet/>
      <dgm:spPr/>
      <dgm:t>
        <a:bodyPr/>
        <a:lstStyle/>
        <a:p>
          <a:endParaRPr lang="en-GB"/>
        </a:p>
      </dgm:t>
    </dgm:pt>
    <dgm:pt modelId="{6A49BD56-2BE9-41CD-BE26-D2614834B59A}">
      <dgm:prSet phldrT="[Text]"/>
      <dgm:spPr>
        <a:solidFill>
          <a:schemeClr val="accent6">
            <a:lumMod val="60000"/>
            <a:lumOff val="40000"/>
          </a:schemeClr>
        </a:solidFill>
      </dgm:spPr>
      <dgm:t>
        <a:bodyPr/>
        <a:lstStyle/>
        <a:p>
          <a:endParaRPr lang="en-GB">
            <a:solidFill>
              <a:sysClr val="windowText" lastClr="000000"/>
            </a:solidFill>
          </a:endParaRPr>
        </a:p>
        <a:p>
          <a:endParaRPr lang="en-GB">
            <a:solidFill>
              <a:sysClr val="windowText" lastClr="000000"/>
            </a:solidFill>
          </a:endParaRPr>
        </a:p>
        <a:p>
          <a:endParaRPr lang="en-GB">
            <a:solidFill>
              <a:sysClr val="windowText" lastClr="000000"/>
            </a:solidFill>
          </a:endParaRPr>
        </a:p>
        <a:p>
          <a:r>
            <a:rPr lang="en-GB" b="1">
              <a:solidFill>
                <a:sysClr val="windowText" lastClr="000000"/>
              </a:solidFill>
            </a:rPr>
            <a:t>Getting Risk Support</a:t>
          </a:r>
        </a:p>
        <a:p>
          <a:r>
            <a:rPr lang="en-GB">
              <a:solidFill>
                <a:sysClr val="windowText" lastClr="000000"/>
              </a:solidFill>
            </a:rPr>
            <a:t>Risk Management and crisis support</a:t>
          </a:r>
        </a:p>
      </dgm:t>
    </dgm:pt>
    <dgm:pt modelId="{361A2BF4-8058-4A90-966E-2542F469DF8D}" type="parTrans" cxnId="{C1771BCE-A182-40AB-8DE8-B32E3E3307BF}">
      <dgm:prSet/>
      <dgm:spPr/>
      <dgm:t>
        <a:bodyPr/>
        <a:lstStyle/>
        <a:p>
          <a:endParaRPr lang="en-GB"/>
        </a:p>
      </dgm:t>
    </dgm:pt>
    <dgm:pt modelId="{89671ED9-266F-401B-AC26-285756DCEAEE}" type="sibTrans" cxnId="{C1771BCE-A182-40AB-8DE8-B32E3E3307BF}">
      <dgm:prSet/>
      <dgm:spPr/>
      <dgm:t>
        <a:bodyPr/>
        <a:lstStyle/>
        <a:p>
          <a:endParaRPr lang="en-GB"/>
        </a:p>
      </dgm:t>
    </dgm:pt>
    <dgm:pt modelId="{851A34EE-3AFC-4EAC-8160-DF3A92914A9B}" type="pres">
      <dgm:prSet presAssocID="{3F1821DF-5200-4D81-BD6A-2C16F4F5A32C}" presName="cycleMatrixDiagram" presStyleCnt="0">
        <dgm:presLayoutVars>
          <dgm:chMax val="1"/>
          <dgm:dir/>
          <dgm:animLvl val="lvl"/>
          <dgm:resizeHandles val="exact"/>
        </dgm:presLayoutVars>
      </dgm:prSet>
      <dgm:spPr/>
      <dgm:t>
        <a:bodyPr/>
        <a:lstStyle/>
        <a:p>
          <a:endParaRPr lang="en-GB"/>
        </a:p>
      </dgm:t>
    </dgm:pt>
    <dgm:pt modelId="{039D806B-0FAE-49D7-A65E-B430810A2792}" type="pres">
      <dgm:prSet presAssocID="{3F1821DF-5200-4D81-BD6A-2C16F4F5A32C}" presName="children" presStyleCnt="0"/>
      <dgm:spPr/>
    </dgm:pt>
    <dgm:pt modelId="{1F3BB877-4B95-4E92-B643-712D94DF48A0}" type="pres">
      <dgm:prSet presAssocID="{3F1821DF-5200-4D81-BD6A-2C16F4F5A32C}" presName="childPlaceholder" presStyleCnt="0"/>
      <dgm:spPr/>
    </dgm:pt>
    <dgm:pt modelId="{1E1C0ADC-DF1C-40F9-BCAD-6930842F8590}" type="pres">
      <dgm:prSet presAssocID="{3F1821DF-5200-4D81-BD6A-2C16F4F5A32C}" presName="circle" presStyleCnt="0"/>
      <dgm:spPr/>
    </dgm:pt>
    <dgm:pt modelId="{2F94A614-71E7-40B4-933A-110754175B77}" type="pres">
      <dgm:prSet presAssocID="{3F1821DF-5200-4D81-BD6A-2C16F4F5A32C}" presName="quadrant1" presStyleLbl="node1" presStyleIdx="0" presStyleCnt="4">
        <dgm:presLayoutVars>
          <dgm:chMax val="1"/>
          <dgm:bulletEnabled val="1"/>
        </dgm:presLayoutVars>
      </dgm:prSet>
      <dgm:spPr/>
      <dgm:t>
        <a:bodyPr/>
        <a:lstStyle/>
        <a:p>
          <a:endParaRPr lang="en-GB"/>
        </a:p>
      </dgm:t>
    </dgm:pt>
    <dgm:pt modelId="{79E03B36-9B22-4ED7-A1AB-01E9395C3E94}" type="pres">
      <dgm:prSet presAssocID="{3F1821DF-5200-4D81-BD6A-2C16F4F5A32C}" presName="quadrant2" presStyleLbl="node1" presStyleIdx="1" presStyleCnt="4">
        <dgm:presLayoutVars>
          <dgm:chMax val="1"/>
          <dgm:bulletEnabled val="1"/>
        </dgm:presLayoutVars>
      </dgm:prSet>
      <dgm:spPr/>
      <dgm:t>
        <a:bodyPr/>
        <a:lstStyle/>
        <a:p>
          <a:endParaRPr lang="en-GB"/>
        </a:p>
      </dgm:t>
    </dgm:pt>
    <dgm:pt modelId="{A076BA3E-B834-444F-995C-1BDB9F0B1C05}" type="pres">
      <dgm:prSet presAssocID="{3F1821DF-5200-4D81-BD6A-2C16F4F5A32C}" presName="quadrant3" presStyleLbl="node1" presStyleIdx="2" presStyleCnt="4">
        <dgm:presLayoutVars>
          <dgm:chMax val="1"/>
          <dgm:bulletEnabled val="1"/>
        </dgm:presLayoutVars>
      </dgm:prSet>
      <dgm:spPr/>
      <dgm:t>
        <a:bodyPr/>
        <a:lstStyle/>
        <a:p>
          <a:endParaRPr lang="en-GB"/>
        </a:p>
      </dgm:t>
    </dgm:pt>
    <dgm:pt modelId="{5BA29088-C5FF-409A-AAC0-449613C885D5}" type="pres">
      <dgm:prSet presAssocID="{3F1821DF-5200-4D81-BD6A-2C16F4F5A32C}" presName="quadrant4" presStyleLbl="node1" presStyleIdx="3" presStyleCnt="4">
        <dgm:presLayoutVars>
          <dgm:chMax val="1"/>
          <dgm:bulletEnabled val="1"/>
        </dgm:presLayoutVars>
      </dgm:prSet>
      <dgm:spPr/>
      <dgm:t>
        <a:bodyPr/>
        <a:lstStyle/>
        <a:p>
          <a:endParaRPr lang="en-GB"/>
        </a:p>
      </dgm:t>
    </dgm:pt>
    <dgm:pt modelId="{37CF29EE-CE15-4C2D-8759-542AAA1B61BB}" type="pres">
      <dgm:prSet presAssocID="{3F1821DF-5200-4D81-BD6A-2C16F4F5A32C}" presName="quadrantPlaceholder" presStyleCnt="0"/>
      <dgm:spPr/>
    </dgm:pt>
    <dgm:pt modelId="{35368A6B-07E8-46AA-8B5B-B482905F5600}" type="pres">
      <dgm:prSet presAssocID="{3F1821DF-5200-4D81-BD6A-2C16F4F5A32C}" presName="center1" presStyleLbl="fgShp" presStyleIdx="0" presStyleCnt="2"/>
      <dgm:spPr/>
    </dgm:pt>
    <dgm:pt modelId="{221C0529-069C-4C0B-ABC6-C23474E256B1}" type="pres">
      <dgm:prSet presAssocID="{3F1821DF-5200-4D81-BD6A-2C16F4F5A32C}" presName="center2" presStyleLbl="fgShp" presStyleIdx="1" presStyleCnt="2"/>
      <dgm:spPr/>
    </dgm:pt>
  </dgm:ptLst>
  <dgm:cxnLst>
    <dgm:cxn modelId="{6273BE93-721B-4B1D-ACD2-0BA08D284489}" srcId="{3F1821DF-5200-4D81-BD6A-2C16F4F5A32C}" destId="{D503847A-817A-4A00-9426-02451BBA4056}" srcOrd="1" destOrd="0" parTransId="{01F75F2B-488E-479E-A90F-2AAE5844A6E2}" sibTransId="{043CA97B-11F5-409E-B3AF-46F8CE922B4B}"/>
    <dgm:cxn modelId="{1E8E6DED-C47C-462D-B4CC-59B301B81E66}" type="presOf" srcId="{3F1821DF-5200-4D81-BD6A-2C16F4F5A32C}" destId="{851A34EE-3AFC-4EAC-8160-DF3A92914A9B}" srcOrd="0" destOrd="0" presId="urn:microsoft.com/office/officeart/2005/8/layout/cycle4"/>
    <dgm:cxn modelId="{12569B7C-6F3B-44E8-AF0A-D862216CBFFA}" type="presOf" srcId="{61C0CA9E-2C92-46EF-82BF-990284EBFC60}" destId="{2F94A614-71E7-40B4-933A-110754175B77}" srcOrd="0" destOrd="0" presId="urn:microsoft.com/office/officeart/2005/8/layout/cycle4"/>
    <dgm:cxn modelId="{CC95A50C-F1A7-4897-8FC3-7CB69DB22E8A}" type="presOf" srcId="{48329024-CEDB-4C9E-861B-DBD2C6E780CD}" destId="{A076BA3E-B834-444F-995C-1BDB9F0B1C05}" srcOrd="0" destOrd="0" presId="urn:microsoft.com/office/officeart/2005/8/layout/cycle4"/>
    <dgm:cxn modelId="{C1771BCE-A182-40AB-8DE8-B32E3E3307BF}" srcId="{3F1821DF-5200-4D81-BD6A-2C16F4F5A32C}" destId="{6A49BD56-2BE9-41CD-BE26-D2614834B59A}" srcOrd="3" destOrd="0" parTransId="{361A2BF4-8058-4A90-966E-2542F469DF8D}" sibTransId="{89671ED9-266F-401B-AC26-285756DCEAEE}"/>
    <dgm:cxn modelId="{67C1E3C2-DF64-4CA9-8C62-8DD2F05E7C43}" srcId="{3F1821DF-5200-4D81-BD6A-2C16F4F5A32C}" destId="{61C0CA9E-2C92-46EF-82BF-990284EBFC60}" srcOrd="0" destOrd="0" parTransId="{524C40D1-D282-4F7F-9A72-18F482182992}" sibTransId="{22A65305-FF4B-4AC2-8DAB-795DC2613D41}"/>
    <dgm:cxn modelId="{8C97679C-B855-45D0-BA29-7C7DCDFB09F7}" type="presOf" srcId="{D503847A-817A-4A00-9426-02451BBA4056}" destId="{79E03B36-9B22-4ED7-A1AB-01E9395C3E94}" srcOrd="0" destOrd="0" presId="urn:microsoft.com/office/officeart/2005/8/layout/cycle4"/>
    <dgm:cxn modelId="{CAE81E37-F3A3-49D7-9449-65489E57FE04}" type="presOf" srcId="{6A49BD56-2BE9-41CD-BE26-D2614834B59A}" destId="{5BA29088-C5FF-409A-AAC0-449613C885D5}" srcOrd="0" destOrd="0" presId="urn:microsoft.com/office/officeart/2005/8/layout/cycle4"/>
    <dgm:cxn modelId="{AD9D146B-A83D-4EDA-B16E-1F24FF8F89A7}" srcId="{3F1821DF-5200-4D81-BD6A-2C16F4F5A32C}" destId="{48329024-CEDB-4C9E-861B-DBD2C6E780CD}" srcOrd="2" destOrd="0" parTransId="{1CACFB38-B177-4D5C-B11B-ACB3A42865BD}" sibTransId="{B6DB03E6-A941-4956-A451-ACC00A470B3A}"/>
    <dgm:cxn modelId="{94FA24D2-84A8-4285-A7C6-4B932057A992}" type="presParOf" srcId="{851A34EE-3AFC-4EAC-8160-DF3A92914A9B}" destId="{039D806B-0FAE-49D7-A65E-B430810A2792}" srcOrd="0" destOrd="0" presId="urn:microsoft.com/office/officeart/2005/8/layout/cycle4"/>
    <dgm:cxn modelId="{19D659CB-2108-4FA3-92F2-247D1B3EEF55}" type="presParOf" srcId="{039D806B-0FAE-49D7-A65E-B430810A2792}" destId="{1F3BB877-4B95-4E92-B643-712D94DF48A0}" srcOrd="0" destOrd="0" presId="urn:microsoft.com/office/officeart/2005/8/layout/cycle4"/>
    <dgm:cxn modelId="{9C087590-497C-4B77-B7FC-73A85EA4A134}" type="presParOf" srcId="{851A34EE-3AFC-4EAC-8160-DF3A92914A9B}" destId="{1E1C0ADC-DF1C-40F9-BCAD-6930842F8590}" srcOrd="1" destOrd="0" presId="urn:microsoft.com/office/officeart/2005/8/layout/cycle4"/>
    <dgm:cxn modelId="{742D9B80-5B02-4E0D-9387-90C0B6C07E6C}" type="presParOf" srcId="{1E1C0ADC-DF1C-40F9-BCAD-6930842F8590}" destId="{2F94A614-71E7-40B4-933A-110754175B77}" srcOrd="0" destOrd="0" presId="urn:microsoft.com/office/officeart/2005/8/layout/cycle4"/>
    <dgm:cxn modelId="{2F030718-C313-4B42-9F6F-39026838F8A6}" type="presParOf" srcId="{1E1C0ADC-DF1C-40F9-BCAD-6930842F8590}" destId="{79E03B36-9B22-4ED7-A1AB-01E9395C3E94}" srcOrd="1" destOrd="0" presId="urn:microsoft.com/office/officeart/2005/8/layout/cycle4"/>
    <dgm:cxn modelId="{FC5A0852-D93B-4D68-A497-C6A2BEF2CD43}" type="presParOf" srcId="{1E1C0ADC-DF1C-40F9-BCAD-6930842F8590}" destId="{A076BA3E-B834-444F-995C-1BDB9F0B1C05}" srcOrd="2" destOrd="0" presId="urn:microsoft.com/office/officeart/2005/8/layout/cycle4"/>
    <dgm:cxn modelId="{83B4B470-8E13-4206-8DA2-2EFEBCE0BBB9}" type="presParOf" srcId="{1E1C0ADC-DF1C-40F9-BCAD-6930842F8590}" destId="{5BA29088-C5FF-409A-AAC0-449613C885D5}" srcOrd="3" destOrd="0" presId="urn:microsoft.com/office/officeart/2005/8/layout/cycle4"/>
    <dgm:cxn modelId="{D2279730-38ED-4355-A914-C48C6084EB7F}" type="presParOf" srcId="{1E1C0ADC-DF1C-40F9-BCAD-6930842F8590}" destId="{37CF29EE-CE15-4C2D-8759-542AAA1B61BB}" srcOrd="4" destOrd="0" presId="urn:microsoft.com/office/officeart/2005/8/layout/cycle4"/>
    <dgm:cxn modelId="{14196656-A549-4841-85CD-A4447746BE17}" type="presParOf" srcId="{851A34EE-3AFC-4EAC-8160-DF3A92914A9B}" destId="{35368A6B-07E8-46AA-8B5B-B482905F5600}" srcOrd="2" destOrd="0" presId="urn:microsoft.com/office/officeart/2005/8/layout/cycle4"/>
    <dgm:cxn modelId="{21036245-1610-48C2-866E-3C96FE469D98}" type="presParOf" srcId="{851A34EE-3AFC-4EAC-8160-DF3A92914A9B}" destId="{221C0529-069C-4C0B-ABC6-C23474E256B1}" srcOrd="3" destOrd="0" presId="urn:microsoft.com/office/officeart/2005/8/layout/cycle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94A614-71E7-40B4-933A-110754175B77}">
      <dsp:nvSpPr>
        <dsp:cNvPr id="0" name=""/>
        <dsp:cNvSpPr/>
      </dsp:nvSpPr>
      <dsp:spPr>
        <a:xfrm>
          <a:off x="859676" y="291158"/>
          <a:ext cx="1798260" cy="1798260"/>
        </a:xfrm>
        <a:prstGeom prst="pieWedge">
          <a:avLst/>
        </a:prstGeom>
        <a:solidFill>
          <a:srgbClr val="ABDB77"/>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b="1" kern="1200">
              <a:solidFill>
                <a:sysClr val="windowText" lastClr="000000"/>
              </a:solidFill>
            </a:rPr>
            <a:t>Getting Advice </a:t>
          </a:r>
        </a:p>
        <a:p>
          <a:pPr lvl="0" algn="ctr" defTabSz="444500">
            <a:lnSpc>
              <a:spcPct val="90000"/>
            </a:lnSpc>
            <a:spcBef>
              <a:spcPct val="0"/>
            </a:spcBef>
            <a:spcAft>
              <a:spcPct val="35000"/>
            </a:spcAft>
          </a:pPr>
          <a:r>
            <a:rPr lang="en-GB" sz="1000" kern="1200">
              <a:solidFill>
                <a:sysClr val="windowText" lastClr="000000"/>
              </a:solidFill>
            </a:rPr>
            <a:t>Signposting, self-management and one off contact</a:t>
          </a:r>
        </a:p>
        <a:p>
          <a:pPr lvl="0" algn="ctr" defTabSz="444500">
            <a:lnSpc>
              <a:spcPct val="90000"/>
            </a:lnSpc>
            <a:spcBef>
              <a:spcPct val="0"/>
            </a:spcBef>
            <a:spcAft>
              <a:spcPct val="35000"/>
            </a:spcAft>
          </a:pPr>
          <a:endParaRPr lang="en-GB" sz="1000" kern="1200"/>
        </a:p>
        <a:p>
          <a:pPr lvl="0" algn="ctr" defTabSz="444500">
            <a:lnSpc>
              <a:spcPct val="90000"/>
            </a:lnSpc>
            <a:spcBef>
              <a:spcPct val="0"/>
            </a:spcBef>
            <a:spcAft>
              <a:spcPct val="35000"/>
            </a:spcAft>
          </a:pPr>
          <a:endParaRPr lang="en-GB" sz="1000" kern="1200"/>
        </a:p>
      </dsp:txBody>
      <dsp:txXfrm>
        <a:off x="1386374" y="817856"/>
        <a:ext cx="1271562" cy="1271562"/>
      </dsp:txXfrm>
    </dsp:sp>
    <dsp:sp modelId="{79E03B36-9B22-4ED7-A1AB-01E9395C3E94}">
      <dsp:nvSpPr>
        <dsp:cNvPr id="0" name=""/>
        <dsp:cNvSpPr/>
      </dsp:nvSpPr>
      <dsp:spPr>
        <a:xfrm rot="5400000">
          <a:off x="2740998" y="291158"/>
          <a:ext cx="1798260" cy="1798260"/>
        </a:xfrm>
        <a:prstGeom prst="pieWedge">
          <a:avLst/>
        </a:prstGeom>
        <a:solidFill>
          <a:srgbClr val="53D2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b="1" kern="1200">
              <a:solidFill>
                <a:sysClr val="windowText" lastClr="000000"/>
              </a:solidFill>
            </a:rPr>
            <a:t>Getting Help</a:t>
          </a:r>
        </a:p>
        <a:p>
          <a:pPr lvl="0" algn="ctr" defTabSz="444500">
            <a:lnSpc>
              <a:spcPct val="90000"/>
            </a:lnSpc>
            <a:spcBef>
              <a:spcPct val="0"/>
            </a:spcBef>
            <a:spcAft>
              <a:spcPct val="35000"/>
            </a:spcAft>
          </a:pPr>
          <a:r>
            <a:rPr lang="en-GB" sz="1000" kern="1200">
              <a:solidFill>
                <a:sysClr val="windowText" lastClr="000000"/>
              </a:solidFill>
            </a:rPr>
            <a:t>Goal Focussed, evidence informed &amp; outcome focussed interventions</a:t>
          </a:r>
        </a:p>
        <a:p>
          <a:pPr lvl="0" algn="ctr" defTabSz="444500">
            <a:lnSpc>
              <a:spcPct val="90000"/>
            </a:lnSpc>
            <a:spcBef>
              <a:spcPct val="0"/>
            </a:spcBef>
            <a:spcAft>
              <a:spcPct val="35000"/>
            </a:spcAft>
          </a:pPr>
          <a:endParaRPr lang="en-GB" sz="1000" kern="1200">
            <a:solidFill>
              <a:sysClr val="windowText" lastClr="000000"/>
            </a:solidFill>
          </a:endParaRPr>
        </a:p>
      </dsp:txBody>
      <dsp:txXfrm rot="-5400000">
        <a:off x="2740998" y="817856"/>
        <a:ext cx="1271562" cy="1271562"/>
      </dsp:txXfrm>
    </dsp:sp>
    <dsp:sp modelId="{A076BA3E-B834-444F-995C-1BDB9F0B1C05}">
      <dsp:nvSpPr>
        <dsp:cNvPr id="0" name=""/>
        <dsp:cNvSpPr/>
      </dsp:nvSpPr>
      <dsp:spPr>
        <a:xfrm rot="10800000">
          <a:off x="2740998" y="2172479"/>
          <a:ext cx="1798260" cy="1798260"/>
        </a:xfrm>
        <a:prstGeom prst="pieWedge">
          <a:avLst/>
        </a:prstGeom>
        <a:solidFill>
          <a:srgbClr val="AA72D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en-GB" sz="1000" b="1" kern="1200"/>
        </a:p>
        <a:p>
          <a:pPr lvl="0" algn="ctr" defTabSz="444500">
            <a:lnSpc>
              <a:spcPct val="90000"/>
            </a:lnSpc>
            <a:spcBef>
              <a:spcPct val="0"/>
            </a:spcBef>
            <a:spcAft>
              <a:spcPct val="35000"/>
            </a:spcAft>
          </a:pPr>
          <a:endParaRPr lang="en-GB" sz="1000" b="1" kern="1200">
            <a:solidFill>
              <a:sysClr val="windowText" lastClr="000000"/>
            </a:solidFill>
          </a:endParaRPr>
        </a:p>
        <a:p>
          <a:pPr lvl="0" algn="ctr" defTabSz="444500">
            <a:lnSpc>
              <a:spcPct val="90000"/>
            </a:lnSpc>
            <a:spcBef>
              <a:spcPct val="0"/>
            </a:spcBef>
            <a:spcAft>
              <a:spcPct val="35000"/>
            </a:spcAft>
          </a:pPr>
          <a:r>
            <a:rPr lang="en-GB" sz="1000" b="1" kern="1200">
              <a:solidFill>
                <a:sysClr val="windowText" lastClr="000000"/>
              </a:solidFill>
            </a:rPr>
            <a:t>Getting More Help</a:t>
          </a:r>
        </a:p>
        <a:p>
          <a:pPr lvl="0" algn="ctr" defTabSz="444500">
            <a:lnSpc>
              <a:spcPct val="90000"/>
            </a:lnSpc>
            <a:spcBef>
              <a:spcPct val="0"/>
            </a:spcBef>
            <a:spcAft>
              <a:spcPct val="35000"/>
            </a:spcAft>
          </a:pPr>
          <a:r>
            <a:rPr lang="en-GB" sz="1000" kern="1200">
              <a:solidFill>
                <a:sysClr val="windowText" lastClr="000000"/>
              </a:solidFill>
            </a:rPr>
            <a:t>Extensive Treatment</a:t>
          </a:r>
        </a:p>
      </dsp:txBody>
      <dsp:txXfrm rot="10800000">
        <a:off x="2740998" y="2172479"/>
        <a:ext cx="1271562" cy="1271562"/>
      </dsp:txXfrm>
    </dsp:sp>
    <dsp:sp modelId="{5BA29088-C5FF-409A-AAC0-449613C885D5}">
      <dsp:nvSpPr>
        <dsp:cNvPr id="0" name=""/>
        <dsp:cNvSpPr/>
      </dsp:nvSpPr>
      <dsp:spPr>
        <a:xfrm rot="16200000">
          <a:off x="859676" y="2172479"/>
          <a:ext cx="1798260" cy="1798260"/>
        </a:xfrm>
        <a:prstGeom prst="pieWedge">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en-GB" sz="1000" kern="1200">
            <a:solidFill>
              <a:sysClr val="windowText" lastClr="000000"/>
            </a:solidFill>
          </a:endParaRPr>
        </a:p>
        <a:p>
          <a:pPr lvl="0" algn="ctr" defTabSz="444500">
            <a:lnSpc>
              <a:spcPct val="90000"/>
            </a:lnSpc>
            <a:spcBef>
              <a:spcPct val="0"/>
            </a:spcBef>
            <a:spcAft>
              <a:spcPct val="35000"/>
            </a:spcAft>
          </a:pPr>
          <a:endParaRPr lang="en-GB" sz="1000" kern="1200">
            <a:solidFill>
              <a:sysClr val="windowText" lastClr="000000"/>
            </a:solidFill>
          </a:endParaRPr>
        </a:p>
        <a:p>
          <a:pPr lvl="0" algn="ctr" defTabSz="444500">
            <a:lnSpc>
              <a:spcPct val="90000"/>
            </a:lnSpc>
            <a:spcBef>
              <a:spcPct val="0"/>
            </a:spcBef>
            <a:spcAft>
              <a:spcPct val="35000"/>
            </a:spcAft>
          </a:pPr>
          <a:endParaRPr lang="en-GB" sz="1000" kern="1200">
            <a:solidFill>
              <a:sysClr val="windowText" lastClr="000000"/>
            </a:solidFill>
          </a:endParaRPr>
        </a:p>
        <a:p>
          <a:pPr lvl="0" algn="ctr" defTabSz="444500">
            <a:lnSpc>
              <a:spcPct val="90000"/>
            </a:lnSpc>
            <a:spcBef>
              <a:spcPct val="0"/>
            </a:spcBef>
            <a:spcAft>
              <a:spcPct val="35000"/>
            </a:spcAft>
          </a:pPr>
          <a:r>
            <a:rPr lang="en-GB" sz="1000" b="1" kern="1200">
              <a:solidFill>
                <a:sysClr val="windowText" lastClr="000000"/>
              </a:solidFill>
            </a:rPr>
            <a:t>Getting Risk Support</a:t>
          </a:r>
        </a:p>
        <a:p>
          <a:pPr lvl="0" algn="ctr" defTabSz="444500">
            <a:lnSpc>
              <a:spcPct val="90000"/>
            </a:lnSpc>
            <a:spcBef>
              <a:spcPct val="0"/>
            </a:spcBef>
            <a:spcAft>
              <a:spcPct val="35000"/>
            </a:spcAft>
          </a:pPr>
          <a:r>
            <a:rPr lang="en-GB" sz="1000" kern="1200">
              <a:solidFill>
                <a:sysClr val="windowText" lastClr="000000"/>
              </a:solidFill>
            </a:rPr>
            <a:t>Risk Management and crisis support</a:t>
          </a:r>
        </a:p>
      </dsp:txBody>
      <dsp:txXfrm rot="5400000">
        <a:off x="1386374" y="2172479"/>
        <a:ext cx="1271562" cy="1271562"/>
      </dsp:txXfrm>
    </dsp:sp>
    <dsp:sp modelId="{35368A6B-07E8-46AA-8B5B-B482905F5600}">
      <dsp:nvSpPr>
        <dsp:cNvPr id="0" name=""/>
        <dsp:cNvSpPr/>
      </dsp:nvSpPr>
      <dsp:spPr>
        <a:xfrm>
          <a:off x="2389029" y="1757177"/>
          <a:ext cx="620877" cy="539893"/>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21C0529-069C-4C0B-ABC6-C23474E256B1}">
      <dsp:nvSpPr>
        <dsp:cNvPr id="0" name=""/>
        <dsp:cNvSpPr/>
      </dsp:nvSpPr>
      <dsp:spPr>
        <a:xfrm rot="10800000">
          <a:off x="2389029" y="1964828"/>
          <a:ext cx="620877" cy="539893"/>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C83E16C6</Template>
  <TotalTime>28</TotalTime>
  <Pages>13</Pages>
  <Words>4113</Words>
  <Characters>23447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27505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Lucy</dc:creator>
  <cp:lastModifiedBy>BROUGH, Shelley</cp:lastModifiedBy>
  <cp:revision>10</cp:revision>
  <cp:lastPrinted>2016-07-12T13:59:00Z</cp:lastPrinted>
  <dcterms:created xsi:type="dcterms:W3CDTF">2016-10-28T14:27:00Z</dcterms:created>
  <dcterms:modified xsi:type="dcterms:W3CDTF">2016-11-08T16:15:00Z</dcterms:modified>
</cp:coreProperties>
</file>