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1BB" w:rsidRDefault="004E520F">
      <w:pPr>
        <w:spacing w:after="189" w:line="259" w:lineRule="auto"/>
        <w:ind w:left="5" w:firstLine="0"/>
      </w:pPr>
      <w:r>
        <w:rPr>
          <w:noProof/>
        </w:rPr>
        <w:drawing>
          <wp:inline distT="0" distB="0" distL="0" distR="0">
            <wp:extent cx="1864360" cy="1555750"/>
            <wp:effectExtent l="0" t="0" r="0" b="0"/>
            <wp:docPr id="147" name="Pictu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7"/>
                    <a:stretch>
                      <a:fillRect/>
                    </a:stretch>
                  </pic:blipFill>
                  <pic:spPr>
                    <a:xfrm>
                      <a:off x="0" y="0"/>
                      <a:ext cx="1864360" cy="1555750"/>
                    </a:xfrm>
                    <a:prstGeom prst="rect">
                      <a:avLst/>
                    </a:prstGeom>
                  </pic:spPr>
                </pic:pic>
              </a:graphicData>
            </a:graphic>
          </wp:inline>
        </w:drawing>
      </w:r>
      <w:r>
        <w:rPr>
          <w:rFonts w:ascii="Arial" w:eastAsia="Arial" w:hAnsi="Arial" w:cs="Arial"/>
          <w:sz w:val="20"/>
        </w:rPr>
        <w:t xml:space="preserve"> </w:t>
      </w:r>
    </w:p>
    <w:p w:rsidR="007D11BB" w:rsidRDefault="004E520F">
      <w:pPr>
        <w:spacing w:after="216" w:line="259" w:lineRule="auto"/>
        <w:ind w:left="5" w:firstLine="0"/>
      </w:pPr>
      <w:r>
        <w:rPr>
          <w:sz w:val="20"/>
        </w:rPr>
        <w:t xml:space="preserve"> </w:t>
      </w:r>
    </w:p>
    <w:p w:rsidR="007D11BB" w:rsidRDefault="004E520F">
      <w:pPr>
        <w:spacing w:after="260" w:line="259" w:lineRule="auto"/>
        <w:ind w:left="5" w:firstLine="0"/>
      </w:pPr>
      <w:r>
        <w:rPr>
          <w:sz w:val="20"/>
        </w:rPr>
        <w:t xml:space="preserve"> </w:t>
      </w:r>
    </w:p>
    <w:p w:rsidR="007D11BB" w:rsidRDefault="004E520F">
      <w:pPr>
        <w:spacing w:after="208"/>
        <w:ind w:left="0"/>
      </w:pPr>
      <w:r>
        <w:t xml:space="preserve">G-Cloud 10 Call-Off Contract </w:t>
      </w:r>
    </w:p>
    <w:p w:rsidR="007D11BB" w:rsidRDefault="004E520F">
      <w:pPr>
        <w:spacing w:after="220" w:line="259" w:lineRule="auto"/>
        <w:ind w:left="5" w:firstLine="0"/>
      </w:pPr>
      <w:r>
        <w:t xml:space="preserve"> </w:t>
      </w:r>
    </w:p>
    <w:p w:rsidR="007D11BB" w:rsidRDefault="004E520F">
      <w:pPr>
        <w:spacing w:after="220" w:line="259" w:lineRule="auto"/>
        <w:ind w:left="5" w:firstLine="0"/>
      </w:pPr>
      <w:r>
        <w:t xml:space="preserve"> </w:t>
      </w:r>
    </w:p>
    <w:sdt>
      <w:sdtPr>
        <w:rPr>
          <w:rFonts w:ascii="Sylfaen" w:eastAsia="Sylfaen" w:hAnsi="Sylfaen" w:cs="Sylfaen"/>
          <w:b w:val="0"/>
        </w:rPr>
        <w:id w:val="1342425668"/>
        <w:docPartObj>
          <w:docPartGallery w:val="Table of Contents"/>
        </w:docPartObj>
      </w:sdtPr>
      <w:sdtEndPr/>
      <w:sdtContent>
        <w:p w:rsidR="007D11BB" w:rsidRDefault="004E520F">
          <w:pPr>
            <w:pStyle w:val="TOC1"/>
            <w:tabs>
              <w:tab w:val="right" w:pos="10635"/>
            </w:tabs>
          </w:pPr>
          <w:r>
            <w:fldChar w:fldCharType="begin"/>
          </w:r>
          <w:r>
            <w:instrText xml:space="preserve"> TOC \o "1-1" \h \z \u </w:instrText>
          </w:r>
          <w:r>
            <w:fldChar w:fldCharType="separate"/>
          </w:r>
          <w:hyperlink w:anchor="_Toc72490">
            <w:r>
              <w:rPr>
                <w:rFonts w:ascii="Sylfaen" w:eastAsia="Sylfaen" w:hAnsi="Sylfaen" w:cs="Sylfaen"/>
                <w:b w:val="0"/>
              </w:rPr>
              <w:t xml:space="preserve">This Call-Off Contract for the G-Cloud 10 Framework Agreement (RM1557.10) includes: </w:t>
            </w:r>
            <w:r>
              <w:t>Part A - Order Form</w:t>
            </w:r>
            <w:r>
              <w:tab/>
            </w:r>
            <w:r>
              <w:fldChar w:fldCharType="begin"/>
            </w:r>
            <w:r>
              <w:instrText>PAGEREF _Toc72490 \h</w:instrText>
            </w:r>
            <w:r>
              <w:fldChar w:fldCharType="separate"/>
            </w:r>
            <w:r>
              <w:rPr>
                <w:sz w:val="20"/>
              </w:rPr>
              <w:t xml:space="preserve">2 </w:t>
            </w:r>
            <w:r>
              <w:fldChar w:fldCharType="end"/>
            </w:r>
          </w:hyperlink>
        </w:p>
        <w:p w:rsidR="007D11BB" w:rsidRDefault="00933DC8">
          <w:pPr>
            <w:pStyle w:val="TOC1"/>
            <w:tabs>
              <w:tab w:val="right" w:pos="10635"/>
            </w:tabs>
          </w:pPr>
          <w:hyperlink w:anchor="_Toc72491">
            <w:r w:rsidR="004E520F">
              <w:t>Schedule 1 - Services</w:t>
            </w:r>
            <w:r w:rsidR="004E520F">
              <w:tab/>
            </w:r>
            <w:r w:rsidR="004E520F">
              <w:fldChar w:fldCharType="begin"/>
            </w:r>
            <w:r w:rsidR="004E520F">
              <w:instrText>PAGEREF _Toc72491 \h</w:instrText>
            </w:r>
            <w:r w:rsidR="004E520F">
              <w:fldChar w:fldCharType="separate"/>
            </w:r>
            <w:r w:rsidR="004E520F">
              <w:rPr>
                <w:sz w:val="20"/>
              </w:rPr>
              <w:t xml:space="preserve">9 </w:t>
            </w:r>
            <w:r w:rsidR="004E520F">
              <w:fldChar w:fldCharType="end"/>
            </w:r>
          </w:hyperlink>
        </w:p>
        <w:p w:rsidR="007D11BB" w:rsidRDefault="00933DC8">
          <w:pPr>
            <w:pStyle w:val="TOC1"/>
            <w:tabs>
              <w:tab w:val="right" w:pos="10635"/>
            </w:tabs>
          </w:pPr>
          <w:hyperlink w:anchor="_Toc72492">
            <w:r w:rsidR="004E520F">
              <w:t>Schedule 2 - Call-Off Contract charges</w:t>
            </w:r>
            <w:r w:rsidR="004E520F">
              <w:tab/>
            </w:r>
            <w:r w:rsidR="004E520F">
              <w:fldChar w:fldCharType="begin"/>
            </w:r>
            <w:r w:rsidR="004E520F">
              <w:instrText>PAGEREF _Toc72492 \h</w:instrText>
            </w:r>
            <w:r w:rsidR="004E520F">
              <w:fldChar w:fldCharType="separate"/>
            </w:r>
            <w:r w:rsidR="004E520F">
              <w:rPr>
                <w:sz w:val="20"/>
              </w:rPr>
              <w:t xml:space="preserve">9 </w:t>
            </w:r>
            <w:r w:rsidR="004E520F">
              <w:fldChar w:fldCharType="end"/>
            </w:r>
          </w:hyperlink>
        </w:p>
        <w:p w:rsidR="007D11BB" w:rsidRDefault="00933DC8">
          <w:pPr>
            <w:pStyle w:val="TOC1"/>
            <w:tabs>
              <w:tab w:val="right" w:pos="10635"/>
            </w:tabs>
          </w:pPr>
          <w:hyperlink w:anchor="_Toc72493">
            <w:r w:rsidR="004E520F">
              <w:t>Part B - Terms and conditions</w:t>
            </w:r>
            <w:r w:rsidR="004E520F">
              <w:tab/>
            </w:r>
            <w:r w:rsidR="004E520F">
              <w:fldChar w:fldCharType="begin"/>
            </w:r>
            <w:r w:rsidR="004E520F">
              <w:instrText>PAGEREF _Toc72493 \h</w:instrText>
            </w:r>
            <w:r w:rsidR="004E520F">
              <w:fldChar w:fldCharType="separate"/>
            </w:r>
            <w:r w:rsidR="004E520F">
              <w:rPr>
                <w:sz w:val="20"/>
              </w:rPr>
              <w:t xml:space="preserve">10 </w:t>
            </w:r>
            <w:r w:rsidR="004E520F">
              <w:fldChar w:fldCharType="end"/>
            </w:r>
          </w:hyperlink>
        </w:p>
        <w:p w:rsidR="007D11BB" w:rsidRDefault="00933DC8">
          <w:pPr>
            <w:pStyle w:val="TOC1"/>
            <w:tabs>
              <w:tab w:val="right" w:pos="10635"/>
            </w:tabs>
          </w:pPr>
          <w:hyperlink w:anchor="_Toc72494">
            <w:r w:rsidR="004E520F">
              <w:t>Schedule 3 - Collaboration agreement</w:t>
            </w:r>
            <w:r w:rsidR="004E520F">
              <w:tab/>
            </w:r>
            <w:r w:rsidR="004E520F">
              <w:fldChar w:fldCharType="begin"/>
            </w:r>
            <w:r w:rsidR="004E520F">
              <w:instrText>PAGEREF _Toc72494 \h</w:instrText>
            </w:r>
            <w:r w:rsidR="004E520F">
              <w:fldChar w:fldCharType="separate"/>
            </w:r>
            <w:r w:rsidR="004E520F">
              <w:rPr>
                <w:sz w:val="20"/>
              </w:rPr>
              <w:t xml:space="preserve">31 </w:t>
            </w:r>
            <w:r w:rsidR="004E520F">
              <w:fldChar w:fldCharType="end"/>
            </w:r>
          </w:hyperlink>
        </w:p>
        <w:p w:rsidR="007D11BB" w:rsidRDefault="00933DC8">
          <w:pPr>
            <w:pStyle w:val="TOC1"/>
            <w:tabs>
              <w:tab w:val="right" w:pos="10635"/>
            </w:tabs>
          </w:pPr>
          <w:hyperlink w:anchor="_Toc72495">
            <w:r w:rsidR="004E520F">
              <w:t>Schedule 4 - Alternative clauses</w:t>
            </w:r>
            <w:r w:rsidR="004E520F">
              <w:tab/>
            </w:r>
            <w:r w:rsidR="004E520F">
              <w:fldChar w:fldCharType="begin"/>
            </w:r>
            <w:r w:rsidR="004E520F">
              <w:instrText>PAGEREF _Toc72495 \h</w:instrText>
            </w:r>
            <w:r w:rsidR="004E520F">
              <w:fldChar w:fldCharType="separate"/>
            </w:r>
            <w:r w:rsidR="004E520F">
              <w:rPr>
                <w:sz w:val="20"/>
              </w:rPr>
              <w:t xml:space="preserve">31 </w:t>
            </w:r>
            <w:r w:rsidR="004E520F">
              <w:fldChar w:fldCharType="end"/>
            </w:r>
          </w:hyperlink>
        </w:p>
        <w:p w:rsidR="007D11BB" w:rsidRDefault="00933DC8">
          <w:pPr>
            <w:pStyle w:val="TOC1"/>
            <w:tabs>
              <w:tab w:val="right" w:pos="10635"/>
            </w:tabs>
          </w:pPr>
          <w:hyperlink w:anchor="_Toc72496">
            <w:r w:rsidR="004E520F">
              <w:t>Schedule 5 - Guarantee</w:t>
            </w:r>
            <w:r w:rsidR="004E520F">
              <w:tab/>
            </w:r>
            <w:r w:rsidR="004E520F">
              <w:fldChar w:fldCharType="begin"/>
            </w:r>
            <w:r w:rsidR="004E520F">
              <w:instrText>PAGEREF _Toc72496 \h</w:instrText>
            </w:r>
            <w:r w:rsidR="004E520F">
              <w:fldChar w:fldCharType="separate"/>
            </w:r>
            <w:r w:rsidR="004E520F">
              <w:rPr>
                <w:sz w:val="20"/>
              </w:rPr>
              <w:t xml:space="preserve">31 </w:t>
            </w:r>
            <w:r w:rsidR="004E520F">
              <w:fldChar w:fldCharType="end"/>
            </w:r>
          </w:hyperlink>
        </w:p>
        <w:p w:rsidR="007D11BB" w:rsidRDefault="00933DC8">
          <w:pPr>
            <w:pStyle w:val="TOC1"/>
            <w:tabs>
              <w:tab w:val="right" w:pos="10635"/>
            </w:tabs>
          </w:pPr>
          <w:hyperlink w:anchor="_Toc72497">
            <w:r w:rsidR="004E520F">
              <w:t>Schedule 6 - Glossary and interpretations</w:t>
            </w:r>
            <w:r w:rsidR="004E520F">
              <w:tab/>
            </w:r>
            <w:r w:rsidR="004E520F">
              <w:fldChar w:fldCharType="begin"/>
            </w:r>
            <w:r w:rsidR="004E520F">
              <w:instrText>PAGEREF _Toc72497 \h</w:instrText>
            </w:r>
            <w:r w:rsidR="004E520F">
              <w:fldChar w:fldCharType="separate"/>
            </w:r>
            <w:r w:rsidR="004E520F">
              <w:rPr>
                <w:sz w:val="20"/>
              </w:rPr>
              <w:t xml:space="preserve">32 </w:t>
            </w:r>
            <w:r w:rsidR="004E520F">
              <w:fldChar w:fldCharType="end"/>
            </w:r>
          </w:hyperlink>
        </w:p>
        <w:p w:rsidR="007D11BB" w:rsidRDefault="00933DC8">
          <w:pPr>
            <w:pStyle w:val="TOC1"/>
            <w:tabs>
              <w:tab w:val="right" w:pos="10635"/>
            </w:tabs>
          </w:pPr>
          <w:hyperlink w:anchor="_Toc72498">
            <w:r w:rsidR="004E520F">
              <w:t>Schedule 7 - Processing, Personal Data and Data Subjects</w:t>
            </w:r>
            <w:r w:rsidR="004E520F">
              <w:tab/>
            </w:r>
            <w:r w:rsidR="004E520F">
              <w:fldChar w:fldCharType="begin"/>
            </w:r>
            <w:r w:rsidR="004E520F">
              <w:instrText>PAGEREF _Toc72498 \h</w:instrText>
            </w:r>
            <w:r w:rsidR="004E520F">
              <w:fldChar w:fldCharType="separate"/>
            </w:r>
            <w:r w:rsidR="004E520F">
              <w:rPr>
                <w:sz w:val="20"/>
              </w:rPr>
              <w:t xml:space="preserve">43 </w:t>
            </w:r>
            <w:r w:rsidR="004E520F">
              <w:fldChar w:fldCharType="end"/>
            </w:r>
          </w:hyperlink>
        </w:p>
        <w:p w:rsidR="007D11BB" w:rsidRDefault="004E520F">
          <w:r>
            <w:fldChar w:fldCharType="end"/>
          </w:r>
        </w:p>
      </w:sdtContent>
    </w:sdt>
    <w:p w:rsidR="007D11BB" w:rsidRDefault="004E520F">
      <w:pPr>
        <w:spacing w:after="207" w:line="259" w:lineRule="auto"/>
        <w:ind w:left="0" w:right="-14"/>
      </w:pPr>
      <w:r>
        <w:t xml:space="preserve">Part A - Order Form </w:t>
      </w:r>
      <w:r>
        <w:rPr>
          <w:rFonts w:ascii="Arial" w:eastAsia="Arial" w:hAnsi="Arial" w:cs="Arial"/>
          <w:b/>
          <w:sz w:val="22"/>
        </w:rPr>
        <w:t xml:space="preserve"> </w:t>
      </w:r>
    </w:p>
    <w:p w:rsidR="007D11BB" w:rsidRDefault="004E520F">
      <w:pPr>
        <w:spacing w:after="0" w:line="259" w:lineRule="auto"/>
        <w:ind w:left="5" w:firstLine="0"/>
      </w:pPr>
      <w:r>
        <w:rPr>
          <w:rFonts w:ascii="Arial" w:eastAsia="Arial" w:hAnsi="Arial" w:cs="Arial"/>
          <w:sz w:val="20"/>
        </w:rPr>
        <w:t xml:space="preserve"> </w:t>
      </w:r>
    </w:p>
    <w:tbl>
      <w:tblPr>
        <w:tblStyle w:val="TableGrid"/>
        <w:tblW w:w="10632" w:type="dxa"/>
        <w:tblInd w:w="14" w:type="dxa"/>
        <w:tblCellMar>
          <w:top w:w="117" w:type="dxa"/>
          <w:left w:w="89" w:type="dxa"/>
          <w:right w:w="115" w:type="dxa"/>
        </w:tblCellMar>
        <w:tblLook w:val="04A0" w:firstRow="1" w:lastRow="0" w:firstColumn="1" w:lastColumn="0" w:noHBand="0" w:noVBand="1"/>
      </w:tblPr>
      <w:tblGrid>
        <w:gridCol w:w="5317"/>
        <w:gridCol w:w="5315"/>
      </w:tblGrid>
      <w:tr w:rsidR="007D11BB">
        <w:trPr>
          <w:trHeight w:val="583"/>
        </w:trPr>
        <w:tc>
          <w:tcPr>
            <w:tcW w:w="5317" w:type="dxa"/>
            <w:tcBorders>
              <w:top w:val="single" w:sz="8" w:space="0" w:color="000001"/>
              <w:left w:val="single" w:sz="8" w:space="0" w:color="000001"/>
              <w:bottom w:val="single" w:sz="8" w:space="0" w:color="000001"/>
              <w:right w:val="single" w:sz="8" w:space="0" w:color="000001"/>
            </w:tcBorders>
            <w:vAlign w:val="center"/>
          </w:tcPr>
          <w:p w:rsidR="007D11BB" w:rsidRDefault="004E520F">
            <w:pPr>
              <w:spacing w:after="0" w:line="259" w:lineRule="auto"/>
              <w:ind w:left="2" w:firstLine="0"/>
            </w:pPr>
            <w:r>
              <w:t xml:space="preserve">Digital Marketplace service ID number: </w:t>
            </w:r>
          </w:p>
        </w:tc>
        <w:tc>
          <w:tcPr>
            <w:tcW w:w="5315"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rPr>
                <w:rFonts w:ascii="Arial" w:eastAsia="Arial" w:hAnsi="Arial" w:cs="Arial"/>
                <w:sz w:val="20"/>
              </w:rPr>
              <w:t>3082 3369 0089 654</w:t>
            </w:r>
            <w:r>
              <w:t xml:space="preserve"> </w:t>
            </w:r>
          </w:p>
        </w:tc>
      </w:tr>
      <w:tr w:rsidR="007D11BB">
        <w:trPr>
          <w:trHeight w:val="583"/>
        </w:trPr>
        <w:tc>
          <w:tcPr>
            <w:tcW w:w="5317" w:type="dxa"/>
            <w:tcBorders>
              <w:top w:val="single" w:sz="8" w:space="0" w:color="000001"/>
              <w:left w:val="single" w:sz="8" w:space="0" w:color="000001"/>
              <w:bottom w:val="single" w:sz="8" w:space="0" w:color="000001"/>
              <w:right w:val="single" w:sz="8" w:space="0" w:color="000001"/>
            </w:tcBorders>
            <w:vAlign w:val="center"/>
          </w:tcPr>
          <w:p w:rsidR="007D11BB" w:rsidRDefault="004E520F">
            <w:pPr>
              <w:spacing w:after="0" w:line="259" w:lineRule="auto"/>
              <w:ind w:left="2" w:firstLine="0"/>
            </w:pPr>
            <w:r>
              <w:t xml:space="preserve">Call-Off Contract reference: </w:t>
            </w:r>
          </w:p>
        </w:tc>
        <w:tc>
          <w:tcPr>
            <w:tcW w:w="5315" w:type="dxa"/>
            <w:tcBorders>
              <w:top w:val="single" w:sz="8" w:space="0" w:color="000001"/>
              <w:left w:val="single" w:sz="8" w:space="0" w:color="000001"/>
              <w:bottom w:val="single" w:sz="8" w:space="0" w:color="000001"/>
              <w:right w:val="single" w:sz="8" w:space="0" w:color="000001"/>
            </w:tcBorders>
            <w:vAlign w:val="center"/>
          </w:tcPr>
          <w:p w:rsidR="007D11BB" w:rsidRDefault="004E520F">
            <w:pPr>
              <w:spacing w:after="0" w:line="259" w:lineRule="auto"/>
              <w:ind w:left="0" w:firstLine="0"/>
            </w:pPr>
            <w:r>
              <w:t xml:space="preserve">ITPD0102 </w:t>
            </w:r>
          </w:p>
        </w:tc>
      </w:tr>
      <w:tr w:rsidR="007D11BB">
        <w:trPr>
          <w:trHeight w:val="583"/>
        </w:trPr>
        <w:tc>
          <w:tcPr>
            <w:tcW w:w="5317" w:type="dxa"/>
            <w:tcBorders>
              <w:top w:val="single" w:sz="8" w:space="0" w:color="000001"/>
              <w:left w:val="single" w:sz="8" w:space="0" w:color="000001"/>
              <w:bottom w:val="single" w:sz="8" w:space="0" w:color="000001"/>
              <w:right w:val="single" w:sz="8" w:space="0" w:color="000001"/>
            </w:tcBorders>
            <w:vAlign w:val="center"/>
          </w:tcPr>
          <w:p w:rsidR="007D11BB" w:rsidRDefault="004E520F">
            <w:pPr>
              <w:spacing w:after="0" w:line="259" w:lineRule="auto"/>
              <w:ind w:left="2" w:firstLine="0"/>
            </w:pPr>
            <w:r>
              <w:t xml:space="preserve">Call-Off Contract title: </w:t>
            </w:r>
          </w:p>
        </w:tc>
        <w:tc>
          <w:tcPr>
            <w:tcW w:w="5315" w:type="dxa"/>
            <w:tcBorders>
              <w:top w:val="single" w:sz="8" w:space="0" w:color="000001"/>
              <w:left w:val="single" w:sz="8" w:space="0" w:color="000001"/>
              <w:bottom w:val="single" w:sz="8" w:space="0" w:color="000001"/>
              <w:right w:val="single" w:sz="8" w:space="0" w:color="000001"/>
            </w:tcBorders>
            <w:vAlign w:val="center"/>
          </w:tcPr>
          <w:p w:rsidR="007D11BB" w:rsidRDefault="004E520F">
            <w:pPr>
              <w:spacing w:after="0" w:line="259" w:lineRule="auto"/>
              <w:ind w:left="0" w:firstLine="0"/>
            </w:pPr>
            <w:r>
              <w:t xml:space="preserve">Avis licence and hosting  </w:t>
            </w:r>
          </w:p>
        </w:tc>
      </w:tr>
      <w:tr w:rsidR="007D11BB">
        <w:trPr>
          <w:trHeight w:val="583"/>
        </w:trPr>
        <w:tc>
          <w:tcPr>
            <w:tcW w:w="5317" w:type="dxa"/>
            <w:tcBorders>
              <w:top w:val="single" w:sz="8" w:space="0" w:color="000001"/>
              <w:left w:val="single" w:sz="8" w:space="0" w:color="000001"/>
              <w:bottom w:val="single" w:sz="8" w:space="0" w:color="000001"/>
              <w:right w:val="single" w:sz="8" w:space="0" w:color="000001"/>
            </w:tcBorders>
            <w:vAlign w:val="center"/>
          </w:tcPr>
          <w:p w:rsidR="007D11BB" w:rsidRDefault="004E520F">
            <w:pPr>
              <w:spacing w:after="0" w:line="259" w:lineRule="auto"/>
              <w:ind w:left="2" w:firstLine="0"/>
            </w:pPr>
            <w:r>
              <w:lastRenderedPageBreak/>
              <w:t xml:space="preserve">Call-Off Contract description: </w:t>
            </w:r>
          </w:p>
        </w:tc>
        <w:tc>
          <w:tcPr>
            <w:tcW w:w="5315" w:type="dxa"/>
            <w:tcBorders>
              <w:top w:val="single" w:sz="8" w:space="0" w:color="000001"/>
              <w:left w:val="single" w:sz="8" w:space="0" w:color="000001"/>
              <w:bottom w:val="single" w:sz="8" w:space="0" w:color="000001"/>
              <w:right w:val="single" w:sz="8" w:space="0" w:color="000001"/>
            </w:tcBorders>
            <w:vAlign w:val="center"/>
          </w:tcPr>
          <w:p w:rsidR="007D11BB" w:rsidRDefault="004E520F">
            <w:pPr>
              <w:spacing w:after="0" w:line="259" w:lineRule="auto"/>
              <w:ind w:left="0" w:firstLine="0"/>
            </w:pPr>
            <w:r>
              <w:t xml:space="preserve">Assist asset information system with open API </w:t>
            </w:r>
          </w:p>
        </w:tc>
      </w:tr>
      <w:tr w:rsidR="007D11BB">
        <w:trPr>
          <w:trHeight w:val="586"/>
        </w:trPr>
        <w:tc>
          <w:tcPr>
            <w:tcW w:w="5317" w:type="dxa"/>
            <w:tcBorders>
              <w:top w:val="single" w:sz="8" w:space="0" w:color="000001"/>
              <w:left w:val="single" w:sz="8" w:space="0" w:color="000001"/>
              <w:bottom w:val="single" w:sz="8" w:space="0" w:color="000001"/>
              <w:right w:val="single" w:sz="8" w:space="0" w:color="000001"/>
            </w:tcBorders>
            <w:vAlign w:val="center"/>
          </w:tcPr>
          <w:p w:rsidR="007D11BB" w:rsidRDefault="004E520F">
            <w:pPr>
              <w:spacing w:after="0" w:line="259" w:lineRule="auto"/>
              <w:ind w:left="2" w:firstLine="0"/>
            </w:pPr>
            <w:r>
              <w:t xml:space="preserve">Start date:  </w:t>
            </w:r>
          </w:p>
        </w:tc>
        <w:tc>
          <w:tcPr>
            <w:tcW w:w="5315" w:type="dxa"/>
            <w:tcBorders>
              <w:top w:val="single" w:sz="8" w:space="0" w:color="000001"/>
              <w:left w:val="single" w:sz="8" w:space="0" w:color="000001"/>
              <w:bottom w:val="single" w:sz="8" w:space="0" w:color="000001"/>
              <w:right w:val="single" w:sz="8" w:space="0" w:color="000001"/>
            </w:tcBorders>
            <w:vAlign w:val="center"/>
          </w:tcPr>
          <w:p w:rsidR="007D11BB" w:rsidRDefault="004E520F">
            <w:pPr>
              <w:spacing w:after="0" w:line="259" w:lineRule="auto"/>
              <w:ind w:left="0" w:firstLine="0"/>
            </w:pPr>
            <w:r>
              <w:t xml:space="preserve">20 December 2018 </w:t>
            </w:r>
          </w:p>
        </w:tc>
      </w:tr>
      <w:tr w:rsidR="007D11BB">
        <w:trPr>
          <w:trHeight w:val="584"/>
        </w:trPr>
        <w:tc>
          <w:tcPr>
            <w:tcW w:w="5317" w:type="dxa"/>
            <w:tcBorders>
              <w:top w:val="single" w:sz="8" w:space="0" w:color="000001"/>
              <w:left w:val="single" w:sz="8" w:space="0" w:color="000001"/>
              <w:bottom w:val="single" w:sz="8" w:space="0" w:color="000001"/>
              <w:right w:val="single" w:sz="8" w:space="0" w:color="000001"/>
            </w:tcBorders>
            <w:vAlign w:val="center"/>
          </w:tcPr>
          <w:p w:rsidR="007D11BB" w:rsidRDefault="004E520F">
            <w:pPr>
              <w:spacing w:after="0" w:line="259" w:lineRule="auto"/>
              <w:ind w:left="2" w:firstLine="0"/>
            </w:pPr>
            <w:r>
              <w:t xml:space="preserve">Expiry date: </w:t>
            </w:r>
          </w:p>
        </w:tc>
        <w:tc>
          <w:tcPr>
            <w:tcW w:w="5315" w:type="dxa"/>
            <w:tcBorders>
              <w:top w:val="single" w:sz="8" w:space="0" w:color="000001"/>
              <w:left w:val="single" w:sz="8" w:space="0" w:color="000001"/>
              <w:bottom w:val="single" w:sz="8" w:space="0" w:color="000001"/>
              <w:right w:val="single" w:sz="8" w:space="0" w:color="000001"/>
            </w:tcBorders>
            <w:vAlign w:val="center"/>
          </w:tcPr>
          <w:p w:rsidR="007D11BB" w:rsidRDefault="004E520F">
            <w:pPr>
              <w:spacing w:after="0" w:line="259" w:lineRule="auto"/>
              <w:ind w:left="0" w:firstLine="0"/>
            </w:pPr>
            <w:r>
              <w:t xml:space="preserve">19 December 2019  </w:t>
            </w:r>
          </w:p>
        </w:tc>
      </w:tr>
      <w:tr w:rsidR="007D11BB">
        <w:trPr>
          <w:trHeight w:val="583"/>
        </w:trPr>
        <w:tc>
          <w:tcPr>
            <w:tcW w:w="5317" w:type="dxa"/>
            <w:tcBorders>
              <w:top w:val="single" w:sz="8" w:space="0" w:color="000001"/>
              <w:left w:val="single" w:sz="8" w:space="0" w:color="000001"/>
              <w:bottom w:val="single" w:sz="8" w:space="0" w:color="000001"/>
              <w:right w:val="single" w:sz="8" w:space="0" w:color="000001"/>
            </w:tcBorders>
            <w:vAlign w:val="center"/>
          </w:tcPr>
          <w:p w:rsidR="007D11BB" w:rsidRDefault="004E520F">
            <w:pPr>
              <w:spacing w:after="0" w:line="259" w:lineRule="auto"/>
              <w:ind w:left="2" w:firstLine="0"/>
            </w:pPr>
            <w:r>
              <w:t xml:space="preserve">Call-Off Contract value: </w:t>
            </w:r>
          </w:p>
        </w:tc>
        <w:tc>
          <w:tcPr>
            <w:tcW w:w="5315" w:type="dxa"/>
            <w:tcBorders>
              <w:top w:val="single" w:sz="8" w:space="0" w:color="000001"/>
              <w:left w:val="single" w:sz="8" w:space="0" w:color="000001"/>
              <w:bottom w:val="single" w:sz="8" w:space="0" w:color="000001"/>
              <w:right w:val="single" w:sz="8" w:space="0" w:color="000001"/>
            </w:tcBorders>
            <w:vAlign w:val="center"/>
          </w:tcPr>
          <w:p w:rsidR="007D11BB" w:rsidRDefault="004E520F">
            <w:pPr>
              <w:spacing w:after="0" w:line="259" w:lineRule="auto"/>
              <w:ind w:left="0" w:firstLine="0"/>
            </w:pPr>
            <w:r>
              <w:t xml:space="preserve">£583,925  </w:t>
            </w:r>
          </w:p>
        </w:tc>
      </w:tr>
      <w:tr w:rsidR="007D11BB">
        <w:trPr>
          <w:trHeight w:val="583"/>
        </w:trPr>
        <w:tc>
          <w:tcPr>
            <w:tcW w:w="5317" w:type="dxa"/>
            <w:tcBorders>
              <w:top w:val="single" w:sz="8" w:space="0" w:color="000001"/>
              <w:left w:val="single" w:sz="8" w:space="0" w:color="000001"/>
              <w:bottom w:val="single" w:sz="8" w:space="0" w:color="000001"/>
              <w:right w:val="single" w:sz="8" w:space="0" w:color="000001"/>
            </w:tcBorders>
            <w:vAlign w:val="center"/>
          </w:tcPr>
          <w:p w:rsidR="007D11BB" w:rsidRDefault="004E520F">
            <w:pPr>
              <w:spacing w:after="0" w:line="259" w:lineRule="auto"/>
              <w:ind w:left="2" w:firstLine="0"/>
            </w:pPr>
            <w:r>
              <w:t xml:space="preserve">Charging method: </w:t>
            </w:r>
          </w:p>
        </w:tc>
        <w:tc>
          <w:tcPr>
            <w:tcW w:w="5315" w:type="dxa"/>
            <w:tcBorders>
              <w:top w:val="single" w:sz="8" w:space="0" w:color="000001"/>
              <w:left w:val="single" w:sz="8" w:space="0" w:color="000001"/>
              <w:bottom w:val="single" w:sz="8" w:space="0" w:color="000001"/>
              <w:right w:val="single" w:sz="8" w:space="0" w:color="000001"/>
            </w:tcBorders>
            <w:vAlign w:val="center"/>
          </w:tcPr>
          <w:p w:rsidR="007D11BB" w:rsidRDefault="004E520F">
            <w:pPr>
              <w:spacing w:after="0" w:line="259" w:lineRule="auto"/>
              <w:ind w:left="0" w:firstLine="0"/>
            </w:pPr>
            <w:r>
              <w:t xml:space="preserve">BACS  </w:t>
            </w:r>
          </w:p>
        </w:tc>
      </w:tr>
      <w:tr w:rsidR="007D11BB">
        <w:trPr>
          <w:trHeight w:val="583"/>
        </w:trPr>
        <w:tc>
          <w:tcPr>
            <w:tcW w:w="5317" w:type="dxa"/>
            <w:tcBorders>
              <w:top w:val="single" w:sz="8" w:space="0" w:color="000001"/>
              <w:left w:val="single" w:sz="8" w:space="0" w:color="000001"/>
              <w:bottom w:val="single" w:sz="8" w:space="0" w:color="000001"/>
              <w:right w:val="single" w:sz="8" w:space="0" w:color="000001"/>
            </w:tcBorders>
            <w:vAlign w:val="center"/>
          </w:tcPr>
          <w:p w:rsidR="007D11BB" w:rsidRDefault="004E520F">
            <w:pPr>
              <w:spacing w:after="0" w:line="259" w:lineRule="auto"/>
              <w:ind w:left="2" w:firstLine="0"/>
            </w:pPr>
            <w:r>
              <w:t xml:space="preserve">Purchase order number: </w:t>
            </w:r>
          </w:p>
        </w:tc>
        <w:tc>
          <w:tcPr>
            <w:tcW w:w="5315" w:type="dxa"/>
            <w:tcBorders>
              <w:top w:val="single" w:sz="8" w:space="0" w:color="000001"/>
              <w:left w:val="single" w:sz="8" w:space="0" w:color="000001"/>
              <w:bottom w:val="single" w:sz="8" w:space="0" w:color="000001"/>
              <w:right w:val="single" w:sz="8" w:space="0" w:color="000001"/>
            </w:tcBorders>
            <w:vAlign w:val="center"/>
          </w:tcPr>
          <w:p w:rsidR="007D11BB" w:rsidRDefault="004E520F">
            <w:pPr>
              <w:spacing w:after="0" w:line="259" w:lineRule="auto"/>
              <w:ind w:left="0" w:firstLine="0"/>
            </w:pPr>
            <w:r>
              <w:t xml:space="preserve">To be provided  </w:t>
            </w:r>
          </w:p>
        </w:tc>
      </w:tr>
    </w:tbl>
    <w:p w:rsidR="007D11BB" w:rsidRDefault="004E520F">
      <w:pPr>
        <w:spacing w:after="220" w:line="259" w:lineRule="auto"/>
        <w:ind w:left="5" w:firstLine="0"/>
      </w:pPr>
      <w:r>
        <w:t xml:space="preserve"> </w:t>
      </w:r>
    </w:p>
    <w:p w:rsidR="007D11BB" w:rsidRDefault="004E520F">
      <w:pPr>
        <w:spacing w:after="210"/>
        <w:ind w:left="0"/>
      </w:pPr>
      <w:r>
        <w:t xml:space="preserve">This Order Form is issued under the G-Cloud 10 Framework Agreement (RM1557.10).  </w:t>
      </w:r>
    </w:p>
    <w:p w:rsidR="007D11BB" w:rsidRDefault="004E520F">
      <w:pPr>
        <w:spacing w:after="209"/>
        <w:ind w:left="0"/>
      </w:pPr>
      <w:r>
        <w:t>Buyers can use this order form to specify th</w:t>
      </w:r>
      <w:bookmarkStart w:id="0" w:name="_GoBack"/>
      <w:bookmarkEnd w:id="0"/>
      <w:r>
        <w:t xml:space="preserve">eir G-Cloud service requirements when placing an Order. </w:t>
      </w:r>
    </w:p>
    <w:p w:rsidR="007D11BB" w:rsidRDefault="004E520F">
      <w:pPr>
        <w:spacing w:after="205"/>
        <w:ind w:left="0"/>
      </w:pPr>
      <w:r>
        <w:t xml:space="preserve">The Order Form cannot be used to alter existing terms or add any extra terms that materially change the Deliverables offered by the Supplier and defined in the Application. </w:t>
      </w:r>
    </w:p>
    <w:p w:rsidR="007D11BB" w:rsidRDefault="004E520F">
      <w:pPr>
        <w:spacing w:after="0"/>
        <w:ind w:left="0"/>
      </w:pPr>
      <w:r>
        <w:t xml:space="preserve">There are terms in the Call-Off Contract that may be defined in the Order Form. These are identified in the contract with square brackets. </w:t>
      </w:r>
    </w:p>
    <w:tbl>
      <w:tblPr>
        <w:tblStyle w:val="TableGrid"/>
        <w:tblW w:w="10654" w:type="dxa"/>
        <w:tblInd w:w="10" w:type="dxa"/>
        <w:tblCellMar>
          <w:top w:w="176" w:type="dxa"/>
          <w:left w:w="89" w:type="dxa"/>
          <w:right w:w="115" w:type="dxa"/>
        </w:tblCellMar>
        <w:tblLook w:val="04A0" w:firstRow="1" w:lastRow="0" w:firstColumn="1" w:lastColumn="0" w:noHBand="0" w:noVBand="1"/>
      </w:tblPr>
      <w:tblGrid>
        <w:gridCol w:w="2148"/>
        <w:gridCol w:w="8506"/>
      </w:tblGrid>
      <w:tr w:rsidR="007D11BB">
        <w:trPr>
          <w:trHeight w:val="2403"/>
        </w:trPr>
        <w:tc>
          <w:tcPr>
            <w:tcW w:w="2148"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From: the Buyer </w:t>
            </w:r>
          </w:p>
        </w:tc>
        <w:tc>
          <w:tcPr>
            <w:tcW w:w="8505" w:type="dxa"/>
            <w:tcBorders>
              <w:top w:val="single" w:sz="8" w:space="0" w:color="000001"/>
              <w:left w:val="single" w:sz="8" w:space="0" w:color="000001"/>
              <w:bottom w:val="single" w:sz="8" w:space="0" w:color="000001"/>
              <w:right w:val="single" w:sz="8" w:space="0" w:color="000001"/>
            </w:tcBorders>
            <w:vAlign w:val="center"/>
          </w:tcPr>
          <w:p w:rsidR="007D11BB" w:rsidRDefault="004E520F">
            <w:pPr>
              <w:spacing w:after="0" w:line="275" w:lineRule="auto"/>
              <w:ind w:left="0" w:right="3678" w:firstLine="0"/>
            </w:pPr>
            <w:r>
              <w:t xml:space="preserve">Highways England Company Limited  Buyer’s main address: </w:t>
            </w:r>
          </w:p>
          <w:p w:rsidR="007D11BB" w:rsidRDefault="004E520F">
            <w:pPr>
              <w:spacing w:after="19" w:line="259" w:lineRule="auto"/>
              <w:ind w:left="0" w:firstLine="0"/>
            </w:pPr>
            <w:r>
              <w:t xml:space="preserve">Walnut Tree Close </w:t>
            </w:r>
          </w:p>
          <w:p w:rsidR="007D11BB" w:rsidRDefault="004E520F">
            <w:pPr>
              <w:spacing w:after="21" w:line="259" w:lineRule="auto"/>
              <w:ind w:left="0" w:firstLine="0"/>
            </w:pPr>
            <w:r>
              <w:t xml:space="preserve">Guildford </w:t>
            </w:r>
          </w:p>
          <w:p w:rsidR="007D11BB" w:rsidRDefault="004E520F">
            <w:pPr>
              <w:spacing w:after="19" w:line="259" w:lineRule="auto"/>
              <w:ind w:left="0" w:firstLine="0"/>
            </w:pPr>
            <w:r>
              <w:t xml:space="preserve">Surrey </w:t>
            </w:r>
          </w:p>
          <w:p w:rsidR="007D11BB" w:rsidRDefault="004E520F">
            <w:pPr>
              <w:spacing w:after="0" w:line="259" w:lineRule="auto"/>
              <w:ind w:left="0" w:firstLine="0"/>
            </w:pPr>
            <w:r>
              <w:t xml:space="preserve">GU1 4GA  </w:t>
            </w:r>
          </w:p>
        </w:tc>
      </w:tr>
      <w:tr w:rsidR="007D11BB">
        <w:trPr>
          <w:trHeight w:val="2765"/>
        </w:trPr>
        <w:tc>
          <w:tcPr>
            <w:tcW w:w="2148" w:type="dxa"/>
            <w:tcBorders>
              <w:top w:val="single" w:sz="8" w:space="0" w:color="000001"/>
              <w:left w:val="single" w:sz="8" w:space="0" w:color="000001"/>
              <w:bottom w:val="single" w:sz="8" w:space="0" w:color="000001"/>
              <w:right w:val="single" w:sz="8" w:space="0" w:color="000001"/>
            </w:tcBorders>
          </w:tcPr>
          <w:p w:rsidR="007D11BB" w:rsidRDefault="004E520F">
            <w:pPr>
              <w:spacing w:after="21" w:line="259" w:lineRule="auto"/>
              <w:ind w:left="0" w:firstLine="0"/>
            </w:pPr>
            <w:r>
              <w:t xml:space="preserve">To: the Supplier </w:t>
            </w:r>
          </w:p>
          <w:p w:rsidR="007D11BB" w:rsidRDefault="004E520F">
            <w:pPr>
              <w:spacing w:after="19" w:line="259" w:lineRule="auto"/>
              <w:ind w:left="0" w:firstLine="0"/>
            </w:pPr>
            <w:r>
              <w:t xml:space="preserve"> </w:t>
            </w:r>
          </w:p>
          <w:p w:rsidR="007D11BB" w:rsidRDefault="004E520F">
            <w:pPr>
              <w:spacing w:after="19" w:line="259" w:lineRule="auto"/>
              <w:ind w:left="0" w:firstLine="0"/>
            </w:pPr>
            <w:r>
              <w:t xml:space="preserve"> </w:t>
            </w:r>
          </w:p>
          <w:p w:rsidR="007D11BB" w:rsidRDefault="004E520F">
            <w:pPr>
              <w:spacing w:after="0" w:line="259" w:lineRule="auto"/>
              <w:ind w:left="0" w:firstLine="0"/>
            </w:pPr>
            <w:r>
              <w:t xml:space="preserve"> </w:t>
            </w:r>
          </w:p>
        </w:tc>
        <w:tc>
          <w:tcPr>
            <w:tcW w:w="8505" w:type="dxa"/>
            <w:tcBorders>
              <w:top w:val="single" w:sz="8" w:space="0" w:color="000001"/>
              <w:left w:val="single" w:sz="8" w:space="0" w:color="000001"/>
              <w:bottom w:val="single" w:sz="8" w:space="0" w:color="000001"/>
              <w:right w:val="single" w:sz="8" w:space="0" w:color="000001"/>
            </w:tcBorders>
            <w:vAlign w:val="center"/>
          </w:tcPr>
          <w:p w:rsidR="007D11BB" w:rsidRDefault="004E520F">
            <w:pPr>
              <w:spacing w:after="21" w:line="259" w:lineRule="auto"/>
              <w:ind w:left="0" w:firstLine="0"/>
            </w:pPr>
            <w:r>
              <w:t xml:space="preserve">IBI Group  </w:t>
            </w:r>
          </w:p>
          <w:p w:rsidR="007D11BB" w:rsidRDefault="004E520F">
            <w:pPr>
              <w:spacing w:after="19" w:line="259" w:lineRule="auto"/>
              <w:ind w:left="0" w:firstLine="0"/>
            </w:pPr>
            <w:r>
              <w:t xml:space="preserve">Supplier’s address: </w:t>
            </w:r>
          </w:p>
          <w:p w:rsidR="007D11BB" w:rsidRDefault="004E520F">
            <w:pPr>
              <w:spacing w:after="19" w:line="259" w:lineRule="auto"/>
              <w:ind w:left="0" w:firstLine="0"/>
            </w:pPr>
            <w:r>
              <w:t xml:space="preserve">Unit 4 – 6 Jessop Way </w:t>
            </w:r>
          </w:p>
          <w:p w:rsidR="007D11BB" w:rsidRDefault="004E520F">
            <w:pPr>
              <w:spacing w:after="21" w:line="259" w:lineRule="auto"/>
              <w:ind w:left="0" w:firstLine="0"/>
            </w:pPr>
            <w:r>
              <w:t xml:space="preserve">Newark </w:t>
            </w:r>
          </w:p>
          <w:p w:rsidR="007D11BB" w:rsidRDefault="004E520F">
            <w:pPr>
              <w:spacing w:after="19" w:line="259" w:lineRule="auto"/>
              <w:ind w:left="0" w:firstLine="0"/>
            </w:pPr>
            <w:r>
              <w:t xml:space="preserve">NG24 4ER  </w:t>
            </w:r>
          </w:p>
          <w:p w:rsidR="007D11BB" w:rsidRDefault="004E520F">
            <w:pPr>
              <w:spacing w:after="21" w:line="259" w:lineRule="auto"/>
              <w:ind w:left="0" w:firstLine="0"/>
            </w:pPr>
            <w:r>
              <w:t xml:space="preserve">Company number:  </w:t>
            </w:r>
          </w:p>
          <w:p w:rsidR="007D11BB" w:rsidRDefault="004E520F">
            <w:pPr>
              <w:spacing w:after="0" w:line="259" w:lineRule="auto"/>
              <w:ind w:left="0" w:firstLine="0"/>
            </w:pPr>
            <w:r>
              <w:t xml:space="preserve">3154411 </w:t>
            </w:r>
          </w:p>
        </w:tc>
      </w:tr>
      <w:tr w:rsidR="007D11BB">
        <w:trPr>
          <w:trHeight w:val="785"/>
        </w:trPr>
        <w:tc>
          <w:tcPr>
            <w:tcW w:w="10654" w:type="dxa"/>
            <w:gridSpan w:val="2"/>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lastRenderedPageBreak/>
              <w:t xml:space="preserve">Together: the ‘Parties’ </w:t>
            </w:r>
          </w:p>
        </w:tc>
      </w:tr>
    </w:tbl>
    <w:p w:rsidR="007D11BB" w:rsidRDefault="004E520F">
      <w:pPr>
        <w:spacing w:after="219" w:line="259" w:lineRule="auto"/>
        <w:ind w:left="5" w:firstLine="0"/>
      </w:pPr>
      <w:r>
        <w:t xml:space="preserve"> </w:t>
      </w:r>
    </w:p>
    <w:p w:rsidR="007D11BB" w:rsidRDefault="004E520F">
      <w:pPr>
        <w:spacing w:after="0"/>
        <w:ind w:left="0"/>
      </w:pPr>
      <w:r>
        <w:t xml:space="preserve">Principle contact details  </w:t>
      </w:r>
    </w:p>
    <w:tbl>
      <w:tblPr>
        <w:tblStyle w:val="TableGrid"/>
        <w:tblW w:w="10594" w:type="dxa"/>
        <w:tblInd w:w="14" w:type="dxa"/>
        <w:tblCellMar>
          <w:top w:w="176" w:type="dxa"/>
          <w:left w:w="91" w:type="dxa"/>
          <w:right w:w="115" w:type="dxa"/>
        </w:tblCellMar>
        <w:tblLook w:val="04A0" w:firstRow="1" w:lastRow="0" w:firstColumn="1" w:lastColumn="0" w:noHBand="0" w:noVBand="1"/>
      </w:tblPr>
      <w:tblGrid>
        <w:gridCol w:w="2146"/>
        <w:gridCol w:w="8448"/>
      </w:tblGrid>
      <w:tr w:rsidR="007D11BB">
        <w:trPr>
          <w:trHeight w:val="1310"/>
        </w:trPr>
        <w:tc>
          <w:tcPr>
            <w:tcW w:w="2146" w:type="dxa"/>
            <w:tcBorders>
              <w:top w:val="single" w:sz="8" w:space="0" w:color="000001"/>
              <w:left w:val="single" w:sz="8" w:space="0" w:color="000001"/>
              <w:bottom w:val="single" w:sz="8" w:space="0" w:color="000001"/>
              <w:right w:val="single" w:sz="8" w:space="0" w:color="000001"/>
            </w:tcBorders>
            <w:vAlign w:val="center"/>
          </w:tcPr>
          <w:p w:rsidR="007D11BB" w:rsidRPr="004C0D5E" w:rsidRDefault="004E520F">
            <w:pPr>
              <w:spacing w:after="21" w:line="259" w:lineRule="auto"/>
              <w:ind w:left="0" w:firstLine="0"/>
            </w:pPr>
            <w:r w:rsidRPr="004C0D5E">
              <w:t xml:space="preserve">For the Buyer: </w:t>
            </w:r>
          </w:p>
          <w:p w:rsidR="007D11BB" w:rsidRPr="004C0D5E" w:rsidRDefault="004E520F">
            <w:pPr>
              <w:spacing w:after="19" w:line="259" w:lineRule="auto"/>
              <w:ind w:left="0" w:firstLine="0"/>
            </w:pPr>
            <w:r w:rsidRPr="004C0D5E">
              <w:t xml:space="preserve"> </w:t>
            </w:r>
          </w:p>
          <w:p w:rsidR="007D11BB" w:rsidRPr="004C0D5E" w:rsidRDefault="004E520F">
            <w:pPr>
              <w:spacing w:after="0" w:line="259" w:lineRule="auto"/>
              <w:ind w:left="0" w:firstLine="0"/>
            </w:pPr>
            <w:r w:rsidRPr="004C0D5E">
              <w:t xml:space="preserve"> </w:t>
            </w:r>
          </w:p>
        </w:tc>
        <w:tc>
          <w:tcPr>
            <w:tcW w:w="8448" w:type="dxa"/>
            <w:tcBorders>
              <w:top w:val="single" w:sz="8" w:space="0" w:color="000001"/>
              <w:left w:val="single" w:sz="8" w:space="0" w:color="000001"/>
              <w:bottom w:val="single" w:sz="8" w:space="0" w:color="000001"/>
              <w:right w:val="single" w:sz="8" w:space="0" w:color="000001"/>
            </w:tcBorders>
            <w:vAlign w:val="center"/>
          </w:tcPr>
          <w:p w:rsidR="007D11BB" w:rsidRPr="004C0D5E" w:rsidRDefault="004E520F">
            <w:pPr>
              <w:spacing w:after="25" w:line="259" w:lineRule="auto"/>
              <w:ind w:left="0" w:firstLine="0"/>
            </w:pPr>
            <w:r w:rsidRPr="004C0D5E">
              <w:t xml:space="preserve">Title: Asset Development Team Leader </w:t>
            </w:r>
            <w:r w:rsidRPr="004C0D5E">
              <w:rPr>
                <w:rFonts w:ascii="Arial" w:eastAsia="Arial" w:hAnsi="Arial" w:cs="Arial"/>
                <w:sz w:val="20"/>
              </w:rPr>
              <w:t xml:space="preserve"> </w:t>
            </w:r>
          </w:p>
          <w:p w:rsidR="007D11BB" w:rsidRPr="004C0D5E" w:rsidRDefault="004E520F">
            <w:pPr>
              <w:spacing w:after="23" w:line="259" w:lineRule="auto"/>
              <w:ind w:left="0" w:firstLine="0"/>
              <w:rPr>
                <w:color w:val="auto"/>
              </w:rPr>
            </w:pPr>
            <w:r w:rsidRPr="004C0D5E">
              <w:t xml:space="preserve">Name: </w:t>
            </w:r>
            <w:r w:rsidR="004C0D5E">
              <w:rPr>
                <w:i/>
                <w:color w:val="auto"/>
              </w:rPr>
              <w:t>Redacted</w:t>
            </w:r>
            <w:r w:rsidRPr="004C0D5E">
              <w:rPr>
                <w:rFonts w:ascii="Arial" w:eastAsia="Arial" w:hAnsi="Arial" w:cs="Arial"/>
                <w:color w:val="auto"/>
                <w:sz w:val="20"/>
              </w:rPr>
              <w:t xml:space="preserve"> </w:t>
            </w:r>
          </w:p>
          <w:p w:rsidR="007D11BB" w:rsidRPr="004C0D5E" w:rsidRDefault="004E520F">
            <w:pPr>
              <w:spacing w:after="0" w:line="259" w:lineRule="auto"/>
              <w:ind w:left="0" w:firstLine="0"/>
            </w:pPr>
            <w:r w:rsidRPr="004C0D5E">
              <w:rPr>
                <w:color w:val="auto"/>
              </w:rPr>
              <w:t xml:space="preserve">Email: </w:t>
            </w:r>
            <w:r w:rsidR="004C0D5E">
              <w:rPr>
                <w:i/>
                <w:color w:val="auto"/>
                <w:u w:val="single" w:color="0563C1"/>
              </w:rPr>
              <w:t>Redacted</w:t>
            </w:r>
            <w:r w:rsidRPr="004C0D5E">
              <w:rPr>
                <w:color w:val="auto"/>
              </w:rPr>
              <w:t xml:space="preserve"> </w:t>
            </w:r>
            <w:r w:rsidRPr="004C0D5E">
              <w:rPr>
                <w:rFonts w:ascii="Arial" w:eastAsia="Arial" w:hAnsi="Arial" w:cs="Arial"/>
                <w:color w:val="auto"/>
                <w:sz w:val="20"/>
              </w:rPr>
              <w:t xml:space="preserve"> </w:t>
            </w:r>
          </w:p>
        </w:tc>
      </w:tr>
      <w:tr w:rsidR="007D11BB">
        <w:trPr>
          <w:trHeight w:val="1310"/>
        </w:trPr>
        <w:tc>
          <w:tcPr>
            <w:tcW w:w="2146" w:type="dxa"/>
            <w:tcBorders>
              <w:top w:val="single" w:sz="8" w:space="0" w:color="000001"/>
              <w:left w:val="single" w:sz="8" w:space="0" w:color="000001"/>
              <w:bottom w:val="single" w:sz="8" w:space="0" w:color="000001"/>
              <w:right w:val="single" w:sz="8" w:space="0" w:color="000001"/>
            </w:tcBorders>
          </w:tcPr>
          <w:p w:rsidR="007D11BB" w:rsidRPr="004C0D5E" w:rsidRDefault="004E520F">
            <w:pPr>
              <w:spacing w:after="0" w:line="259" w:lineRule="auto"/>
              <w:ind w:left="0" w:firstLine="0"/>
              <w:rPr>
                <w:color w:val="auto"/>
              </w:rPr>
            </w:pPr>
            <w:r w:rsidRPr="004C0D5E">
              <w:t xml:space="preserve">For the Supplier: </w:t>
            </w:r>
          </w:p>
        </w:tc>
        <w:tc>
          <w:tcPr>
            <w:tcW w:w="8448" w:type="dxa"/>
            <w:tcBorders>
              <w:top w:val="single" w:sz="8" w:space="0" w:color="000001"/>
              <w:left w:val="single" w:sz="8" w:space="0" w:color="000001"/>
              <w:bottom w:val="single" w:sz="8" w:space="0" w:color="000001"/>
              <w:right w:val="single" w:sz="8" w:space="0" w:color="000001"/>
            </w:tcBorders>
            <w:vAlign w:val="center"/>
          </w:tcPr>
          <w:p w:rsidR="007D11BB" w:rsidRPr="004C0D5E" w:rsidRDefault="004E520F">
            <w:pPr>
              <w:spacing w:after="25" w:line="259" w:lineRule="auto"/>
              <w:ind w:left="0" w:firstLine="0"/>
            </w:pPr>
            <w:r w:rsidRPr="004C0D5E">
              <w:t>Title: Associate Director</w:t>
            </w:r>
            <w:r w:rsidRPr="004C0D5E">
              <w:rPr>
                <w:rFonts w:ascii="Arial" w:eastAsia="Arial" w:hAnsi="Arial" w:cs="Arial"/>
                <w:sz w:val="20"/>
              </w:rPr>
              <w:t xml:space="preserve"> </w:t>
            </w:r>
          </w:p>
          <w:p w:rsidR="007D11BB" w:rsidRPr="004C0D5E" w:rsidRDefault="004E520F">
            <w:pPr>
              <w:spacing w:after="23" w:line="259" w:lineRule="auto"/>
              <w:ind w:left="0" w:firstLine="0"/>
              <w:rPr>
                <w:color w:val="auto"/>
              </w:rPr>
            </w:pPr>
            <w:r w:rsidRPr="004C0D5E">
              <w:t xml:space="preserve">Name: </w:t>
            </w:r>
            <w:r w:rsidR="004C0D5E">
              <w:rPr>
                <w:i/>
                <w:color w:val="auto"/>
              </w:rPr>
              <w:t>Redacted</w:t>
            </w:r>
            <w:r w:rsidRPr="004C0D5E">
              <w:rPr>
                <w:color w:val="auto"/>
              </w:rPr>
              <w:t xml:space="preserve"> </w:t>
            </w:r>
            <w:r w:rsidRPr="004C0D5E">
              <w:rPr>
                <w:rFonts w:ascii="Arial" w:eastAsia="Arial" w:hAnsi="Arial" w:cs="Arial"/>
                <w:color w:val="auto"/>
                <w:sz w:val="20"/>
              </w:rPr>
              <w:t xml:space="preserve"> </w:t>
            </w:r>
          </w:p>
          <w:p w:rsidR="007D11BB" w:rsidRPr="004C0D5E" w:rsidRDefault="004E520F">
            <w:pPr>
              <w:spacing w:after="0" w:line="259" w:lineRule="auto"/>
              <w:ind w:left="0" w:firstLine="0"/>
            </w:pPr>
            <w:r w:rsidRPr="004C0D5E">
              <w:rPr>
                <w:color w:val="auto"/>
              </w:rPr>
              <w:t xml:space="preserve">Email: </w:t>
            </w:r>
            <w:r w:rsidR="004C0D5E" w:rsidRPr="004C0D5E">
              <w:rPr>
                <w:i/>
                <w:color w:val="auto"/>
              </w:rPr>
              <w:t>Redacted</w:t>
            </w:r>
            <w:r w:rsidRPr="004C0D5E">
              <w:rPr>
                <w:i/>
                <w:color w:val="auto"/>
              </w:rPr>
              <w:t xml:space="preserve"> </w:t>
            </w:r>
            <w:r w:rsidRPr="004C0D5E">
              <w:rPr>
                <w:rFonts w:ascii="Arial" w:eastAsia="Arial" w:hAnsi="Arial" w:cs="Arial"/>
                <w:i/>
                <w:color w:val="auto"/>
                <w:sz w:val="20"/>
              </w:rPr>
              <w:t xml:space="preserve"> </w:t>
            </w:r>
          </w:p>
        </w:tc>
      </w:tr>
    </w:tbl>
    <w:p w:rsidR="007D11BB" w:rsidRDefault="004E520F">
      <w:pPr>
        <w:spacing w:after="221" w:line="259" w:lineRule="auto"/>
        <w:ind w:left="5" w:firstLine="0"/>
      </w:pPr>
      <w:r>
        <w:t xml:space="preserve"> </w:t>
      </w:r>
    </w:p>
    <w:p w:rsidR="007D11BB" w:rsidRDefault="004E520F">
      <w:pPr>
        <w:spacing w:after="0"/>
        <w:ind w:left="0"/>
      </w:pPr>
      <w:r>
        <w:t xml:space="preserve">Call-Off Contract term </w:t>
      </w:r>
    </w:p>
    <w:tbl>
      <w:tblPr>
        <w:tblStyle w:val="TableGrid"/>
        <w:tblW w:w="10632" w:type="dxa"/>
        <w:tblInd w:w="14" w:type="dxa"/>
        <w:tblCellMar>
          <w:top w:w="75" w:type="dxa"/>
          <w:left w:w="108" w:type="dxa"/>
          <w:right w:w="115" w:type="dxa"/>
        </w:tblCellMar>
        <w:tblLook w:val="04A0" w:firstRow="1" w:lastRow="0" w:firstColumn="1" w:lastColumn="0" w:noHBand="0" w:noVBand="1"/>
      </w:tblPr>
      <w:tblGrid>
        <w:gridCol w:w="2657"/>
        <w:gridCol w:w="7975"/>
      </w:tblGrid>
      <w:tr w:rsidR="007D11BB">
        <w:trPr>
          <w:trHeight w:val="746"/>
        </w:trPr>
        <w:tc>
          <w:tcPr>
            <w:tcW w:w="2657" w:type="dxa"/>
            <w:tcBorders>
              <w:top w:val="single" w:sz="8" w:space="0" w:color="000001"/>
              <w:left w:val="single" w:sz="8" w:space="0" w:color="000001"/>
              <w:bottom w:val="single" w:sz="8" w:space="0" w:color="000001"/>
              <w:right w:val="single" w:sz="8" w:space="0" w:color="000001"/>
            </w:tcBorders>
          </w:tcPr>
          <w:p w:rsidR="007D11BB" w:rsidRDefault="004E520F">
            <w:pPr>
              <w:spacing w:after="21" w:line="259" w:lineRule="auto"/>
              <w:ind w:left="0" w:firstLine="0"/>
            </w:pPr>
            <w:r>
              <w:t xml:space="preserve">Start date: </w:t>
            </w:r>
          </w:p>
          <w:p w:rsidR="007D11BB" w:rsidRDefault="004E520F">
            <w:pPr>
              <w:spacing w:after="0" w:line="259" w:lineRule="auto"/>
              <w:ind w:left="0" w:firstLine="0"/>
            </w:pPr>
            <w:r>
              <w:t xml:space="preserve"> </w:t>
            </w:r>
          </w:p>
        </w:tc>
        <w:tc>
          <w:tcPr>
            <w:tcW w:w="7975"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This Call-Off Contract Starts on 20 December 2018 and is valid for 12 months. </w:t>
            </w:r>
            <w:r>
              <w:rPr>
                <w:rFonts w:ascii="Arial" w:eastAsia="Arial" w:hAnsi="Arial" w:cs="Arial"/>
                <w:sz w:val="20"/>
              </w:rPr>
              <w:t xml:space="preserve"> </w:t>
            </w:r>
          </w:p>
        </w:tc>
      </w:tr>
      <w:tr w:rsidR="007D11BB">
        <w:trPr>
          <w:trHeight w:val="1111"/>
        </w:trPr>
        <w:tc>
          <w:tcPr>
            <w:tcW w:w="2657" w:type="dxa"/>
            <w:tcBorders>
              <w:top w:val="single" w:sz="8" w:space="0" w:color="000001"/>
              <w:left w:val="single" w:sz="8" w:space="0" w:color="000001"/>
              <w:bottom w:val="single" w:sz="8" w:space="0" w:color="000001"/>
              <w:right w:val="single" w:sz="8" w:space="0" w:color="000001"/>
            </w:tcBorders>
          </w:tcPr>
          <w:p w:rsidR="007D11BB" w:rsidRDefault="004E520F">
            <w:pPr>
              <w:spacing w:after="19" w:line="259" w:lineRule="auto"/>
              <w:ind w:left="0" w:firstLine="0"/>
            </w:pPr>
            <w:r>
              <w:t xml:space="preserve">Ending </w:t>
            </w:r>
          </w:p>
          <w:p w:rsidR="007D11BB" w:rsidRDefault="004E520F">
            <w:pPr>
              <w:spacing w:after="0" w:line="259" w:lineRule="auto"/>
              <w:ind w:left="0" w:firstLine="0"/>
            </w:pPr>
            <w:r>
              <w:t xml:space="preserve">(termination):  </w:t>
            </w:r>
          </w:p>
        </w:tc>
        <w:tc>
          <w:tcPr>
            <w:tcW w:w="7975"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The notice period needed for Ending the Call-Off Contract is at least 90 Working Days from the date of written notice for disputed sums or at least 30 days from the date of written notice for Ending without cause. </w:t>
            </w:r>
            <w:r>
              <w:rPr>
                <w:rFonts w:ascii="Arial" w:eastAsia="Arial" w:hAnsi="Arial" w:cs="Arial"/>
                <w:sz w:val="20"/>
              </w:rPr>
              <w:t xml:space="preserve"> </w:t>
            </w:r>
          </w:p>
        </w:tc>
      </w:tr>
      <w:tr w:rsidR="007D11BB">
        <w:trPr>
          <w:trHeight w:val="2566"/>
        </w:trPr>
        <w:tc>
          <w:tcPr>
            <w:tcW w:w="2657"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Extension period: </w:t>
            </w:r>
          </w:p>
        </w:tc>
        <w:tc>
          <w:tcPr>
            <w:tcW w:w="7975" w:type="dxa"/>
            <w:tcBorders>
              <w:top w:val="single" w:sz="8" w:space="0" w:color="000001"/>
              <w:left w:val="single" w:sz="8" w:space="0" w:color="000001"/>
              <w:bottom w:val="single" w:sz="8" w:space="0" w:color="000001"/>
              <w:right w:val="single" w:sz="8" w:space="0" w:color="000001"/>
            </w:tcBorders>
          </w:tcPr>
          <w:p w:rsidR="007D11BB" w:rsidRDefault="004E520F">
            <w:pPr>
              <w:spacing w:after="2" w:line="276" w:lineRule="auto"/>
              <w:ind w:left="0" w:firstLine="0"/>
            </w:pPr>
            <w:r>
              <w:t>This Call-Off Contract can be extended by the Buyer for 2 period(s) of up to 12 months each, by giving the Supplier 1 months written notice before its expiry.</w:t>
            </w:r>
            <w:r>
              <w:rPr>
                <w:rFonts w:ascii="Arial" w:eastAsia="Arial" w:hAnsi="Arial" w:cs="Arial"/>
                <w:sz w:val="20"/>
              </w:rPr>
              <w:t xml:space="preserve"> </w:t>
            </w:r>
          </w:p>
          <w:p w:rsidR="007D11BB" w:rsidRDefault="004E520F">
            <w:pPr>
              <w:spacing w:after="0" w:line="273" w:lineRule="auto"/>
              <w:ind w:left="0" w:firstLine="0"/>
            </w:pPr>
            <w:r>
              <w:t xml:space="preserve">Extensions which extend the Term beyond 24 months are only permitted if the Supplier complies with the additional exit plan requirements at clauses </w:t>
            </w:r>
          </w:p>
          <w:p w:rsidR="007D11BB" w:rsidRDefault="004E520F">
            <w:pPr>
              <w:spacing w:after="21" w:line="259" w:lineRule="auto"/>
              <w:ind w:left="0" w:firstLine="0"/>
            </w:pPr>
            <w:r>
              <w:t xml:space="preserve">21.3 to 21.8. </w:t>
            </w:r>
          </w:p>
          <w:p w:rsidR="007D11BB" w:rsidRDefault="004E520F">
            <w:pPr>
              <w:spacing w:after="0" w:line="259" w:lineRule="auto"/>
              <w:ind w:left="0" w:firstLine="0"/>
            </w:pPr>
            <w:r>
              <w:t xml:space="preserve"> </w:t>
            </w:r>
          </w:p>
        </w:tc>
      </w:tr>
    </w:tbl>
    <w:p w:rsidR="007D11BB" w:rsidRDefault="004E520F">
      <w:pPr>
        <w:spacing w:after="0" w:line="259" w:lineRule="auto"/>
        <w:ind w:left="5" w:firstLine="0"/>
      </w:pPr>
      <w:r>
        <w:t xml:space="preserve"> </w:t>
      </w:r>
    </w:p>
    <w:p w:rsidR="007D11BB" w:rsidRDefault="004E520F">
      <w:pPr>
        <w:spacing w:after="210"/>
        <w:ind w:left="0"/>
      </w:pPr>
      <w:r>
        <w:t xml:space="preserve">Buyer contractual details </w:t>
      </w:r>
    </w:p>
    <w:p w:rsidR="007D11BB" w:rsidRDefault="004E520F">
      <w:pPr>
        <w:spacing w:after="0"/>
        <w:ind w:left="0"/>
      </w:pPr>
      <w:r>
        <w:t xml:space="preserve">This Order is for the G-Cloud Services outlined below. It is acknowledged by the Parties that the volume of the G-Cloud Services used by the Buyer may vary during this Call-Off Contract. </w:t>
      </w:r>
    </w:p>
    <w:tbl>
      <w:tblPr>
        <w:tblStyle w:val="TableGrid"/>
        <w:tblW w:w="10632" w:type="dxa"/>
        <w:tblInd w:w="14" w:type="dxa"/>
        <w:tblCellMar>
          <w:top w:w="75" w:type="dxa"/>
          <w:left w:w="108" w:type="dxa"/>
          <w:right w:w="94" w:type="dxa"/>
        </w:tblCellMar>
        <w:tblLook w:val="04A0" w:firstRow="1" w:lastRow="0" w:firstColumn="1" w:lastColumn="0" w:noHBand="0" w:noVBand="1"/>
      </w:tblPr>
      <w:tblGrid>
        <w:gridCol w:w="2657"/>
        <w:gridCol w:w="7975"/>
      </w:tblGrid>
      <w:tr w:rsidR="007D11BB">
        <w:trPr>
          <w:trHeight w:val="1111"/>
        </w:trPr>
        <w:tc>
          <w:tcPr>
            <w:tcW w:w="2657"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G-Cloud Lot: </w:t>
            </w:r>
          </w:p>
        </w:tc>
        <w:tc>
          <w:tcPr>
            <w:tcW w:w="7975"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75" w:lineRule="auto"/>
              <w:ind w:left="0" w:right="1263" w:firstLine="0"/>
            </w:pPr>
            <w:r>
              <w:t xml:space="preserve">This Call-Off Contract is for the provision of Services under:  Lot 2 - Cloud software - delete as appropriate </w:t>
            </w:r>
          </w:p>
          <w:p w:rsidR="007D11BB" w:rsidRDefault="004E520F">
            <w:pPr>
              <w:spacing w:after="0" w:line="259" w:lineRule="auto"/>
              <w:ind w:left="0" w:firstLine="0"/>
            </w:pPr>
            <w:r>
              <w:t xml:space="preserve"> </w:t>
            </w:r>
          </w:p>
        </w:tc>
      </w:tr>
      <w:tr w:rsidR="007D11BB">
        <w:trPr>
          <w:trHeight w:val="2813"/>
        </w:trPr>
        <w:tc>
          <w:tcPr>
            <w:tcW w:w="2657"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lastRenderedPageBreak/>
              <w:t xml:space="preserve">G-Cloud services required: </w:t>
            </w:r>
          </w:p>
        </w:tc>
        <w:tc>
          <w:tcPr>
            <w:tcW w:w="7975"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75" w:lineRule="auto"/>
              <w:ind w:left="0" w:firstLine="0"/>
            </w:pPr>
            <w:r>
              <w:t xml:space="preserve">The Services to be provided by the Supplier under the above Lot are listed in Framework Section 2 and outlined below: </w:t>
            </w:r>
          </w:p>
          <w:p w:rsidR="007D11BB" w:rsidRDefault="004E520F">
            <w:pPr>
              <w:numPr>
                <w:ilvl w:val="0"/>
                <w:numId w:val="13"/>
              </w:numPr>
              <w:spacing w:after="0" w:line="259" w:lineRule="auto"/>
              <w:ind w:hanging="360"/>
            </w:pPr>
            <w:r>
              <w:rPr>
                <w:rFonts w:ascii="Arial" w:eastAsia="Arial" w:hAnsi="Arial" w:cs="Arial"/>
                <w:sz w:val="20"/>
              </w:rPr>
              <w:t xml:space="preserve">On boarding </w:t>
            </w:r>
          </w:p>
          <w:p w:rsidR="007D11BB" w:rsidRDefault="004E520F">
            <w:pPr>
              <w:numPr>
                <w:ilvl w:val="0"/>
                <w:numId w:val="13"/>
              </w:numPr>
              <w:spacing w:after="0" w:line="259" w:lineRule="auto"/>
              <w:ind w:hanging="360"/>
            </w:pPr>
            <w:r>
              <w:rPr>
                <w:rFonts w:ascii="Arial" w:eastAsia="Arial" w:hAnsi="Arial" w:cs="Arial"/>
                <w:sz w:val="20"/>
              </w:rPr>
              <w:t xml:space="preserve">Baseline service </w:t>
            </w:r>
          </w:p>
          <w:p w:rsidR="007D11BB" w:rsidRDefault="004E520F">
            <w:pPr>
              <w:numPr>
                <w:ilvl w:val="0"/>
                <w:numId w:val="13"/>
              </w:numPr>
              <w:spacing w:after="0" w:line="259" w:lineRule="auto"/>
              <w:ind w:hanging="360"/>
            </w:pPr>
            <w:r>
              <w:rPr>
                <w:rFonts w:ascii="Arial" w:eastAsia="Arial" w:hAnsi="Arial" w:cs="Arial"/>
                <w:sz w:val="20"/>
              </w:rPr>
              <w:t xml:space="preserve">100TB Data hosting </w:t>
            </w:r>
          </w:p>
          <w:p w:rsidR="007D11BB" w:rsidRDefault="004E520F">
            <w:pPr>
              <w:numPr>
                <w:ilvl w:val="0"/>
                <w:numId w:val="13"/>
              </w:numPr>
              <w:spacing w:after="0" w:line="259" w:lineRule="auto"/>
              <w:ind w:hanging="360"/>
            </w:pPr>
            <w:r>
              <w:rPr>
                <w:rFonts w:ascii="Arial" w:eastAsia="Arial" w:hAnsi="Arial" w:cs="Arial"/>
                <w:sz w:val="20"/>
              </w:rPr>
              <w:t xml:space="preserve">100TB Data backup </w:t>
            </w:r>
          </w:p>
          <w:p w:rsidR="007D11BB" w:rsidRDefault="004E520F">
            <w:pPr>
              <w:numPr>
                <w:ilvl w:val="0"/>
                <w:numId w:val="13"/>
              </w:numPr>
              <w:spacing w:after="0" w:line="259" w:lineRule="auto"/>
              <w:ind w:hanging="360"/>
            </w:pPr>
            <w:r>
              <w:rPr>
                <w:rFonts w:ascii="Arial" w:eastAsia="Arial" w:hAnsi="Arial" w:cs="Arial"/>
                <w:sz w:val="20"/>
              </w:rPr>
              <w:t xml:space="preserve">200 User licenses </w:t>
            </w:r>
          </w:p>
          <w:p w:rsidR="007D11BB" w:rsidRDefault="004E520F">
            <w:pPr>
              <w:numPr>
                <w:ilvl w:val="0"/>
                <w:numId w:val="13"/>
              </w:numPr>
              <w:spacing w:after="0" w:line="259" w:lineRule="auto"/>
              <w:ind w:hanging="360"/>
            </w:pPr>
            <w:r>
              <w:rPr>
                <w:rFonts w:ascii="Arial" w:eastAsia="Arial" w:hAnsi="Arial" w:cs="Arial"/>
                <w:sz w:val="20"/>
              </w:rPr>
              <w:t xml:space="preserve">Updates to the core API </w:t>
            </w:r>
          </w:p>
          <w:p w:rsidR="007D11BB" w:rsidRDefault="004E520F">
            <w:pPr>
              <w:numPr>
                <w:ilvl w:val="0"/>
                <w:numId w:val="13"/>
              </w:numPr>
              <w:spacing w:after="4" w:line="259" w:lineRule="auto"/>
              <w:ind w:hanging="360"/>
            </w:pPr>
            <w:r>
              <w:rPr>
                <w:rFonts w:ascii="Arial" w:eastAsia="Arial" w:hAnsi="Arial" w:cs="Arial"/>
                <w:sz w:val="20"/>
              </w:rPr>
              <w:t xml:space="preserve">Data Management </w:t>
            </w:r>
          </w:p>
          <w:p w:rsidR="007D11BB" w:rsidRDefault="004E520F">
            <w:pPr>
              <w:spacing w:after="0" w:line="259" w:lineRule="auto"/>
              <w:ind w:left="0" w:firstLine="0"/>
            </w:pPr>
            <w:r>
              <w:t xml:space="preserve"> </w:t>
            </w:r>
          </w:p>
        </w:tc>
      </w:tr>
      <w:tr w:rsidR="007D11BB">
        <w:trPr>
          <w:trHeight w:val="384"/>
        </w:trPr>
        <w:tc>
          <w:tcPr>
            <w:tcW w:w="2657"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Additional services: </w:t>
            </w:r>
          </w:p>
        </w:tc>
        <w:tc>
          <w:tcPr>
            <w:tcW w:w="7975"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Not applicable.  </w:t>
            </w:r>
          </w:p>
        </w:tc>
      </w:tr>
      <w:tr w:rsidR="007D11BB">
        <w:trPr>
          <w:trHeight w:val="336"/>
        </w:trPr>
        <w:tc>
          <w:tcPr>
            <w:tcW w:w="2657"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Location: </w:t>
            </w:r>
          </w:p>
        </w:tc>
        <w:tc>
          <w:tcPr>
            <w:tcW w:w="7975"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The Services will be delivered via internet.  </w:t>
            </w:r>
          </w:p>
        </w:tc>
      </w:tr>
      <w:tr w:rsidR="007D11BB">
        <w:trPr>
          <w:trHeight w:val="1613"/>
        </w:trPr>
        <w:tc>
          <w:tcPr>
            <w:tcW w:w="2657"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Quality standards: </w:t>
            </w:r>
          </w:p>
        </w:tc>
        <w:tc>
          <w:tcPr>
            <w:tcW w:w="7975"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The quality standards required for this Call-Off Contract are: </w:t>
            </w:r>
          </w:p>
          <w:p w:rsidR="007D11BB" w:rsidRDefault="004E520F">
            <w:pPr>
              <w:spacing w:after="0" w:line="259" w:lineRule="auto"/>
              <w:ind w:left="0" w:firstLine="0"/>
            </w:pPr>
            <w:r>
              <w:t xml:space="preserve"> </w:t>
            </w:r>
          </w:p>
          <w:p w:rsidR="007D11BB" w:rsidRDefault="004E520F">
            <w:pPr>
              <w:numPr>
                <w:ilvl w:val="0"/>
                <w:numId w:val="14"/>
              </w:numPr>
              <w:spacing w:after="0" w:line="259" w:lineRule="auto"/>
              <w:ind w:hanging="360"/>
            </w:pPr>
            <w:r>
              <w:rPr>
                <w:rFonts w:ascii="Arial" w:eastAsia="Arial" w:hAnsi="Arial" w:cs="Arial"/>
                <w:sz w:val="20"/>
              </w:rPr>
              <w:t xml:space="preserve">ISO9001 </w:t>
            </w:r>
          </w:p>
          <w:p w:rsidR="007D11BB" w:rsidRDefault="004E520F">
            <w:pPr>
              <w:numPr>
                <w:ilvl w:val="0"/>
                <w:numId w:val="14"/>
              </w:numPr>
              <w:spacing w:after="0" w:line="259" w:lineRule="auto"/>
              <w:ind w:hanging="360"/>
            </w:pPr>
            <w:r>
              <w:rPr>
                <w:rFonts w:ascii="Arial" w:eastAsia="Arial" w:hAnsi="Arial" w:cs="Arial"/>
                <w:sz w:val="20"/>
              </w:rPr>
              <w:t xml:space="preserve">ISO14001 </w:t>
            </w:r>
          </w:p>
          <w:p w:rsidR="007D11BB" w:rsidRDefault="004E520F">
            <w:pPr>
              <w:numPr>
                <w:ilvl w:val="0"/>
                <w:numId w:val="14"/>
              </w:numPr>
              <w:spacing w:after="0" w:line="259" w:lineRule="auto"/>
              <w:ind w:hanging="360"/>
            </w:pPr>
            <w:r>
              <w:rPr>
                <w:rFonts w:ascii="Arial" w:eastAsia="Arial" w:hAnsi="Arial" w:cs="Arial"/>
                <w:sz w:val="20"/>
              </w:rPr>
              <w:t xml:space="preserve">ISO27001 </w:t>
            </w:r>
          </w:p>
          <w:p w:rsidR="007D11BB" w:rsidRDefault="004E520F">
            <w:pPr>
              <w:spacing w:after="0" w:line="259" w:lineRule="auto"/>
              <w:ind w:left="0" w:firstLine="0"/>
            </w:pPr>
            <w:r>
              <w:rPr>
                <w:rFonts w:ascii="Arial" w:eastAsia="Arial" w:hAnsi="Arial" w:cs="Arial"/>
                <w:sz w:val="20"/>
              </w:rPr>
              <w:t xml:space="preserve"> </w:t>
            </w:r>
          </w:p>
        </w:tc>
      </w:tr>
      <w:tr w:rsidR="007D11BB">
        <w:trPr>
          <w:trHeight w:val="3074"/>
        </w:trPr>
        <w:tc>
          <w:tcPr>
            <w:tcW w:w="2657"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Technical standards:  </w:t>
            </w:r>
          </w:p>
        </w:tc>
        <w:tc>
          <w:tcPr>
            <w:tcW w:w="7975"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The technical standards required for this Call-Off Contract are: </w:t>
            </w:r>
          </w:p>
          <w:p w:rsidR="007D11BB" w:rsidRDefault="004E520F">
            <w:pPr>
              <w:numPr>
                <w:ilvl w:val="0"/>
                <w:numId w:val="15"/>
              </w:numPr>
              <w:spacing w:after="0" w:line="259" w:lineRule="auto"/>
              <w:ind w:hanging="360"/>
            </w:pPr>
            <w:r>
              <w:rPr>
                <w:rFonts w:ascii="Arial" w:eastAsia="Arial" w:hAnsi="Arial" w:cs="Arial"/>
                <w:sz w:val="20"/>
              </w:rPr>
              <w:t xml:space="preserve">AVIS Server 100TB Data live hosting – RAID disk with hot swappable disks </w:t>
            </w:r>
          </w:p>
          <w:p w:rsidR="007D11BB" w:rsidRDefault="004E520F">
            <w:pPr>
              <w:numPr>
                <w:ilvl w:val="0"/>
                <w:numId w:val="15"/>
              </w:numPr>
              <w:spacing w:after="0" w:line="259" w:lineRule="auto"/>
              <w:ind w:hanging="360"/>
            </w:pPr>
            <w:r>
              <w:rPr>
                <w:rFonts w:ascii="Arial" w:eastAsia="Arial" w:hAnsi="Arial" w:cs="Arial"/>
                <w:sz w:val="20"/>
              </w:rPr>
              <w:t xml:space="preserve">AVIS Server 100TB Data backup – RAID disk with hot swappable disks </w:t>
            </w:r>
          </w:p>
          <w:p w:rsidR="007D11BB" w:rsidRDefault="004E520F">
            <w:pPr>
              <w:numPr>
                <w:ilvl w:val="0"/>
                <w:numId w:val="15"/>
              </w:numPr>
              <w:spacing w:after="0" w:line="259" w:lineRule="auto"/>
              <w:ind w:hanging="360"/>
            </w:pPr>
            <w:r>
              <w:rPr>
                <w:rFonts w:ascii="Arial" w:eastAsia="Arial" w:hAnsi="Arial" w:cs="Arial"/>
                <w:sz w:val="20"/>
              </w:rPr>
              <w:t xml:space="preserve">Database, training app and backup servers </w:t>
            </w:r>
          </w:p>
          <w:p w:rsidR="007D11BB" w:rsidRDefault="004E520F">
            <w:pPr>
              <w:numPr>
                <w:ilvl w:val="0"/>
                <w:numId w:val="15"/>
              </w:numPr>
              <w:spacing w:after="0" w:line="259" w:lineRule="auto"/>
              <w:ind w:hanging="360"/>
            </w:pPr>
            <w:r>
              <w:rPr>
                <w:rFonts w:ascii="Arial" w:eastAsia="Arial" w:hAnsi="Arial" w:cs="Arial"/>
                <w:sz w:val="20"/>
              </w:rPr>
              <w:t xml:space="preserve">Open source licensing for each package </w:t>
            </w:r>
          </w:p>
          <w:p w:rsidR="007D11BB" w:rsidRDefault="004E520F">
            <w:pPr>
              <w:numPr>
                <w:ilvl w:val="0"/>
                <w:numId w:val="15"/>
              </w:numPr>
              <w:spacing w:after="0" w:line="259" w:lineRule="auto"/>
              <w:ind w:hanging="360"/>
            </w:pPr>
            <w:r>
              <w:rPr>
                <w:rFonts w:ascii="Arial" w:eastAsia="Arial" w:hAnsi="Arial" w:cs="Arial"/>
                <w:sz w:val="20"/>
              </w:rPr>
              <w:t xml:space="preserve">Web GL plugins for 3D visualisations  </w:t>
            </w:r>
          </w:p>
          <w:p w:rsidR="007D11BB" w:rsidRDefault="004E520F">
            <w:pPr>
              <w:numPr>
                <w:ilvl w:val="0"/>
                <w:numId w:val="15"/>
              </w:numPr>
              <w:spacing w:after="0" w:line="259" w:lineRule="auto"/>
              <w:ind w:hanging="360"/>
            </w:pPr>
            <w:r>
              <w:rPr>
                <w:rFonts w:ascii="Arial" w:eastAsia="Arial" w:hAnsi="Arial" w:cs="Arial"/>
                <w:sz w:val="20"/>
              </w:rPr>
              <w:t xml:space="preserve">200 User licenses </w:t>
            </w:r>
          </w:p>
          <w:p w:rsidR="007D11BB" w:rsidRDefault="004E520F">
            <w:pPr>
              <w:numPr>
                <w:ilvl w:val="0"/>
                <w:numId w:val="15"/>
              </w:numPr>
              <w:spacing w:after="0" w:line="259" w:lineRule="auto"/>
              <w:ind w:hanging="360"/>
            </w:pPr>
            <w:r>
              <w:rPr>
                <w:rFonts w:ascii="Arial" w:eastAsia="Arial" w:hAnsi="Arial" w:cs="Arial"/>
                <w:sz w:val="20"/>
              </w:rPr>
              <w:t xml:space="preserve">Only Firefox or Chrome Internet browsers are supported </w:t>
            </w:r>
          </w:p>
          <w:p w:rsidR="007D11BB" w:rsidRDefault="004E520F">
            <w:pPr>
              <w:numPr>
                <w:ilvl w:val="0"/>
                <w:numId w:val="15"/>
              </w:numPr>
              <w:spacing w:after="9" w:line="248" w:lineRule="auto"/>
              <w:ind w:hanging="360"/>
            </w:pPr>
            <w:r>
              <w:rPr>
                <w:rFonts w:ascii="Arial" w:eastAsia="Arial" w:hAnsi="Arial" w:cs="Arial"/>
                <w:sz w:val="20"/>
              </w:rPr>
              <w:t xml:space="preserve">Secure password (minimum 8 characters including 1 uppercase and 1 nonnumeric </w:t>
            </w:r>
          </w:p>
          <w:p w:rsidR="007D11BB" w:rsidRDefault="004E520F">
            <w:pPr>
              <w:numPr>
                <w:ilvl w:val="0"/>
                <w:numId w:val="15"/>
              </w:numPr>
              <w:spacing w:after="4" w:line="259" w:lineRule="auto"/>
              <w:ind w:hanging="360"/>
            </w:pPr>
            <w:r>
              <w:rPr>
                <w:rFonts w:ascii="Arial" w:eastAsia="Arial" w:hAnsi="Arial" w:cs="Arial"/>
                <w:sz w:val="20"/>
              </w:rPr>
              <w:t xml:space="preserve">Passwords are encrypted and unreadable within the database  </w:t>
            </w:r>
          </w:p>
          <w:p w:rsidR="007D11BB" w:rsidRDefault="004E520F">
            <w:pPr>
              <w:spacing w:after="0" w:line="259" w:lineRule="auto"/>
              <w:ind w:left="0" w:firstLine="0"/>
            </w:pPr>
            <w:r>
              <w:t xml:space="preserve"> </w:t>
            </w:r>
          </w:p>
        </w:tc>
      </w:tr>
      <w:tr w:rsidR="007D11BB">
        <w:trPr>
          <w:trHeight w:val="2763"/>
        </w:trPr>
        <w:tc>
          <w:tcPr>
            <w:tcW w:w="2657"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Service level agreement: </w:t>
            </w:r>
          </w:p>
        </w:tc>
        <w:tc>
          <w:tcPr>
            <w:tcW w:w="7975"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38" w:lineRule="auto"/>
              <w:ind w:left="0" w:firstLine="0"/>
            </w:pPr>
            <w:r>
              <w:t xml:space="preserve">The service level and availability criteria required for this Call-Off Contract are </w:t>
            </w:r>
          </w:p>
          <w:p w:rsidR="007D11BB" w:rsidRDefault="004E520F">
            <w:pPr>
              <w:numPr>
                <w:ilvl w:val="0"/>
                <w:numId w:val="16"/>
              </w:numPr>
              <w:spacing w:after="8" w:line="248" w:lineRule="auto"/>
              <w:ind w:hanging="360"/>
            </w:pPr>
            <w:r>
              <w:rPr>
                <w:rFonts w:ascii="Arial" w:eastAsia="Arial" w:hAnsi="Arial" w:cs="Arial"/>
                <w:sz w:val="20"/>
              </w:rPr>
              <w:t xml:space="preserve">AVIS will be live, from 8.30am to 5.30pm Monday – Friday, unless essential maintenance is being conducted. </w:t>
            </w:r>
          </w:p>
          <w:p w:rsidR="007D11BB" w:rsidRDefault="004E520F">
            <w:pPr>
              <w:numPr>
                <w:ilvl w:val="0"/>
                <w:numId w:val="16"/>
              </w:numPr>
              <w:spacing w:after="0" w:line="244" w:lineRule="auto"/>
              <w:ind w:hanging="360"/>
            </w:pPr>
            <w:r>
              <w:rPr>
                <w:rFonts w:ascii="Arial" w:eastAsia="Arial" w:hAnsi="Arial" w:cs="Arial"/>
                <w:sz w:val="20"/>
              </w:rPr>
              <w:t xml:space="preserve">Users will be informed of any downtime / maintenance in advance, and all maintenance activities that could result in service degradation or unavailability will attempted to be undertaken outside of the normal working day (8:30am to </w:t>
            </w:r>
          </w:p>
          <w:p w:rsidR="007D11BB" w:rsidRDefault="004E520F">
            <w:pPr>
              <w:spacing w:after="17" w:line="239" w:lineRule="auto"/>
              <w:ind w:left="721" w:firstLine="0"/>
            </w:pPr>
            <w:r>
              <w:rPr>
                <w:rFonts w:ascii="Arial" w:eastAsia="Arial" w:hAnsi="Arial" w:cs="Arial"/>
                <w:sz w:val="20"/>
              </w:rPr>
              <w:t xml:space="preserve">5:30pm).  The service will be operable outside of these hours, when maintenance is not taking place. </w:t>
            </w:r>
          </w:p>
          <w:p w:rsidR="007D11BB" w:rsidRDefault="004E520F">
            <w:pPr>
              <w:numPr>
                <w:ilvl w:val="0"/>
                <w:numId w:val="16"/>
              </w:numPr>
              <w:spacing w:after="0" w:line="259" w:lineRule="auto"/>
              <w:ind w:hanging="360"/>
            </w:pPr>
            <w:r>
              <w:rPr>
                <w:rFonts w:ascii="Arial" w:eastAsia="Arial" w:hAnsi="Arial" w:cs="Arial"/>
                <w:sz w:val="20"/>
              </w:rPr>
              <w:t xml:space="preserve">Users will be informed in advance of planned maintenance and downtime to any of the environments to which they have access via email.  Where possible, </w:t>
            </w:r>
          </w:p>
        </w:tc>
      </w:tr>
    </w:tbl>
    <w:p w:rsidR="007D11BB" w:rsidRDefault="007D11BB">
      <w:pPr>
        <w:spacing w:after="0" w:line="259" w:lineRule="auto"/>
        <w:ind w:left="-701" w:right="11336" w:firstLine="0"/>
      </w:pPr>
    </w:p>
    <w:tbl>
      <w:tblPr>
        <w:tblStyle w:val="TableGrid"/>
        <w:tblW w:w="10632" w:type="dxa"/>
        <w:tblInd w:w="14" w:type="dxa"/>
        <w:tblCellMar>
          <w:top w:w="52" w:type="dxa"/>
          <w:left w:w="108" w:type="dxa"/>
          <w:right w:w="59" w:type="dxa"/>
        </w:tblCellMar>
        <w:tblLook w:val="04A0" w:firstRow="1" w:lastRow="0" w:firstColumn="1" w:lastColumn="0" w:noHBand="0" w:noVBand="1"/>
      </w:tblPr>
      <w:tblGrid>
        <w:gridCol w:w="2657"/>
        <w:gridCol w:w="7975"/>
      </w:tblGrid>
      <w:tr w:rsidR="007D11BB">
        <w:trPr>
          <w:trHeight w:val="480"/>
        </w:trPr>
        <w:tc>
          <w:tcPr>
            <w:tcW w:w="2657" w:type="dxa"/>
            <w:tcBorders>
              <w:top w:val="single" w:sz="8" w:space="0" w:color="000001"/>
              <w:left w:val="single" w:sz="8" w:space="0" w:color="000001"/>
              <w:bottom w:val="single" w:sz="8" w:space="0" w:color="000001"/>
              <w:right w:val="single" w:sz="8" w:space="0" w:color="000001"/>
            </w:tcBorders>
          </w:tcPr>
          <w:p w:rsidR="007D11BB" w:rsidRDefault="007D11BB">
            <w:pPr>
              <w:spacing w:after="160" w:line="259" w:lineRule="auto"/>
              <w:ind w:left="0" w:firstLine="0"/>
            </w:pPr>
          </w:p>
        </w:tc>
        <w:tc>
          <w:tcPr>
            <w:tcW w:w="7975"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721" w:firstLine="0"/>
            </w:pPr>
            <w:r>
              <w:rPr>
                <w:rFonts w:ascii="Arial" w:eastAsia="Arial" w:hAnsi="Arial" w:cs="Arial"/>
                <w:sz w:val="20"/>
              </w:rPr>
              <w:t>at least one week’s advance notice will be given. Where possible, IBI Group will aim to conduct maintenance to the service outside of normal working hours.</w:t>
            </w:r>
            <w:r>
              <w:t xml:space="preserve">  </w:t>
            </w:r>
            <w:r>
              <w:rPr>
                <w:rFonts w:ascii="Arial" w:eastAsia="Arial" w:hAnsi="Arial" w:cs="Arial"/>
                <w:sz w:val="20"/>
              </w:rPr>
              <w:t xml:space="preserve"> </w:t>
            </w:r>
          </w:p>
        </w:tc>
      </w:tr>
      <w:tr w:rsidR="007D11BB">
        <w:trPr>
          <w:trHeight w:val="384"/>
        </w:trPr>
        <w:tc>
          <w:tcPr>
            <w:tcW w:w="2657"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Onboarding:  </w:t>
            </w:r>
          </w:p>
        </w:tc>
        <w:tc>
          <w:tcPr>
            <w:tcW w:w="7975"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Transfer all users over to new service, update software to latest version.   </w:t>
            </w:r>
          </w:p>
        </w:tc>
      </w:tr>
      <w:tr w:rsidR="007D11BB">
        <w:trPr>
          <w:trHeight w:val="384"/>
        </w:trPr>
        <w:tc>
          <w:tcPr>
            <w:tcW w:w="2657"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lastRenderedPageBreak/>
              <w:t xml:space="preserve">Offboarding:  </w:t>
            </w:r>
          </w:p>
        </w:tc>
        <w:tc>
          <w:tcPr>
            <w:tcW w:w="7975"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Not applicable.   </w:t>
            </w:r>
          </w:p>
        </w:tc>
      </w:tr>
      <w:tr w:rsidR="007D11BB">
        <w:trPr>
          <w:trHeight w:val="746"/>
        </w:trPr>
        <w:tc>
          <w:tcPr>
            <w:tcW w:w="2657"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Collaboration agreement: </w:t>
            </w:r>
          </w:p>
        </w:tc>
        <w:tc>
          <w:tcPr>
            <w:tcW w:w="7975"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Not applicable.   </w:t>
            </w:r>
          </w:p>
        </w:tc>
      </w:tr>
      <w:tr w:rsidR="007D11BB">
        <w:trPr>
          <w:trHeight w:val="3291"/>
        </w:trPr>
        <w:tc>
          <w:tcPr>
            <w:tcW w:w="2657"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Limit on Parties’ liability: </w:t>
            </w:r>
          </w:p>
        </w:tc>
        <w:tc>
          <w:tcPr>
            <w:tcW w:w="7975"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78" w:lineRule="auto"/>
              <w:ind w:left="0" w:firstLine="0"/>
            </w:pPr>
            <w:r>
              <w:t xml:space="preserve">The annual total liability of either Party for all Property defaults will not exceed the value of this call off contract.   </w:t>
            </w:r>
            <w:r>
              <w:rPr>
                <w:rFonts w:ascii="Arial" w:eastAsia="Arial" w:hAnsi="Arial" w:cs="Arial"/>
                <w:sz w:val="20"/>
              </w:rPr>
              <w:t xml:space="preserve"> </w:t>
            </w:r>
          </w:p>
          <w:p w:rsidR="007D11BB" w:rsidRDefault="004E520F">
            <w:pPr>
              <w:spacing w:after="19" w:line="259" w:lineRule="auto"/>
              <w:ind w:left="0" w:firstLine="0"/>
            </w:pPr>
            <w:r>
              <w:t xml:space="preserve"> </w:t>
            </w:r>
          </w:p>
          <w:p w:rsidR="007D11BB" w:rsidRDefault="004E520F">
            <w:pPr>
              <w:spacing w:after="1" w:line="276" w:lineRule="auto"/>
              <w:ind w:left="0" w:firstLine="0"/>
            </w:pPr>
            <w:r>
              <w:t>The annual total liability for Buyer Data defaults will not exceed 100% of the Charges payable by the Buyer to the Supplier during the Call-Off Contract Term (whichever is the greater).</w:t>
            </w:r>
            <w:r>
              <w:rPr>
                <w:rFonts w:ascii="Arial" w:eastAsia="Arial" w:hAnsi="Arial" w:cs="Arial"/>
                <w:sz w:val="20"/>
              </w:rPr>
              <w:t xml:space="preserve"> </w:t>
            </w:r>
          </w:p>
          <w:p w:rsidR="007D11BB" w:rsidRDefault="004E520F">
            <w:pPr>
              <w:spacing w:after="0" w:line="259" w:lineRule="auto"/>
              <w:ind w:left="0" w:right="9" w:firstLine="0"/>
            </w:pPr>
            <w:r>
              <w:t>The annual total liability for all other defaults will not exceed the greater of 100% of the Charges payable by the Buyer to the Supplier during the CallOff Contract Term (whichever is the greater).</w:t>
            </w:r>
            <w:r>
              <w:rPr>
                <w:rFonts w:ascii="Arial" w:eastAsia="Arial" w:hAnsi="Arial" w:cs="Arial"/>
                <w:sz w:val="20"/>
              </w:rPr>
              <w:t xml:space="preserve"> </w:t>
            </w:r>
          </w:p>
        </w:tc>
      </w:tr>
      <w:tr w:rsidR="007D11BB">
        <w:trPr>
          <w:trHeight w:val="2763"/>
        </w:trPr>
        <w:tc>
          <w:tcPr>
            <w:tcW w:w="2657"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Insurance: </w:t>
            </w:r>
          </w:p>
        </w:tc>
        <w:tc>
          <w:tcPr>
            <w:tcW w:w="7975"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The insurance(s) required will be:  </w:t>
            </w:r>
          </w:p>
          <w:p w:rsidR="007D11BB" w:rsidRDefault="004E520F">
            <w:pPr>
              <w:numPr>
                <w:ilvl w:val="0"/>
                <w:numId w:val="17"/>
              </w:numPr>
              <w:spacing w:after="11" w:line="246" w:lineRule="auto"/>
              <w:ind w:hanging="360"/>
            </w:pPr>
            <w:r>
              <w:rPr>
                <w:rFonts w:ascii="Arial" w:eastAsia="Arial" w:hAnsi="Arial" w:cs="Arial"/>
                <w:sz w:val="20"/>
              </w:rPr>
              <w:t xml:space="preserve">a minimum insurance period of 6 years following the expiration or Ending of this Call-Off Contract </w:t>
            </w:r>
          </w:p>
          <w:p w:rsidR="007D11BB" w:rsidRDefault="004E520F">
            <w:pPr>
              <w:numPr>
                <w:ilvl w:val="0"/>
                <w:numId w:val="17"/>
              </w:numPr>
              <w:spacing w:after="0" w:line="248" w:lineRule="auto"/>
              <w:ind w:hanging="360"/>
            </w:pPr>
            <w:r>
              <w:rPr>
                <w:rFonts w:ascii="Arial" w:eastAsia="Arial" w:hAnsi="Arial" w:cs="Arial"/>
                <w:sz w:val="20"/>
              </w:rPr>
              <w:t xml:space="preserve">professional indemnity insurance cover to be held by the Supplier and by any agent, Subcontractor or consultant involved in the supply of the G-Cloud </w:t>
            </w:r>
          </w:p>
          <w:p w:rsidR="007D11BB" w:rsidRDefault="004E520F">
            <w:pPr>
              <w:spacing w:after="16" w:line="240" w:lineRule="auto"/>
              <w:ind w:left="721" w:right="3" w:firstLine="0"/>
            </w:pPr>
            <w:r>
              <w:rPr>
                <w:rFonts w:ascii="Arial" w:eastAsia="Arial" w:hAnsi="Arial" w:cs="Arial"/>
                <w:sz w:val="20"/>
              </w:rPr>
              <w:t xml:space="preserve">Services. This professional indemnity insurance cover will have a minimum limit of indemnity of £1,000,000 for each individual claim or any higher limit the Buyer requires (and as required by Law) </w:t>
            </w:r>
          </w:p>
          <w:p w:rsidR="007D11BB" w:rsidRDefault="004E520F">
            <w:pPr>
              <w:numPr>
                <w:ilvl w:val="0"/>
                <w:numId w:val="17"/>
              </w:numPr>
              <w:spacing w:after="51" w:line="246" w:lineRule="auto"/>
              <w:ind w:hanging="360"/>
            </w:pPr>
            <w:r>
              <w:rPr>
                <w:rFonts w:ascii="Arial" w:eastAsia="Arial" w:hAnsi="Arial" w:cs="Arial"/>
                <w:sz w:val="20"/>
              </w:rPr>
              <w:t xml:space="preserve">employers' liability insurance with a minimum limit of £5,000,000 or any higher minimum limit required by Law </w:t>
            </w:r>
          </w:p>
          <w:p w:rsidR="007D11BB" w:rsidRDefault="004E520F">
            <w:pPr>
              <w:spacing w:after="0" w:line="259" w:lineRule="auto"/>
              <w:ind w:left="0" w:firstLine="0"/>
            </w:pPr>
            <w:r>
              <w:t xml:space="preserve"> </w:t>
            </w:r>
          </w:p>
        </w:tc>
      </w:tr>
      <w:tr w:rsidR="007D11BB">
        <w:trPr>
          <w:trHeight w:val="653"/>
        </w:trPr>
        <w:tc>
          <w:tcPr>
            <w:tcW w:w="2657"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Force majeure: </w:t>
            </w:r>
          </w:p>
        </w:tc>
        <w:tc>
          <w:tcPr>
            <w:tcW w:w="7975"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A Party may End this Call-Off Contract if the Other Party is affected by a Force Majeure Event that lasts for more than 10 consecutive days.</w:t>
            </w:r>
            <w:r>
              <w:rPr>
                <w:rFonts w:ascii="Arial" w:eastAsia="Arial" w:hAnsi="Arial" w:cs="Arial"/>
                <w:sz w:val="20"/>
              </w:rPr>
              <w:t xml:space="preserve"> </w:t>
            </w:r>
          </w:p>
        </w:tc>
      </w:tr>
      <w:tr w:rsidR="007D11BB">
        <w:trPr>
          <w:trHeight w:val="4762"/>
        </w:trPr>
        <w:tc>
          <w:tcPr>
            <w:tcW w:w="2657"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Audit: </w:t>
            </w:r>
          </w:p>
        </w:tc>
        <w:tc>
          <w:tcPr>
            <w:tcW w:w="7975" w:type="dxa"/>
            <w:tcBorders>
              <w:top w:val="single" w:sz="8" w:space="0" w:color="000001"/>
              <w:left w:val="single" w:sz="8" w:space="0" w:color="000001"/>
              <w:bottom w:val="single" w:sz="8" w:space="0" w:color="000001"/>
              <w:right w:val="single" w:sz="8" w:space="0" w:color="000001"/>
            </w:tcBorders>
          </w:tcPr>
          <w:p w:rsidR="007D11BB" w:rsidRDefault="004E520F">
            <w:pPr>
              <w:spacing w:after="1" w:line="238" w:lineRule="auto"/>
              <w:ind w:left="0" w:firstLine="0"/>
            </w:pPr>
            <w:r>
              <w:t xml:space="preserve">The following Framework Agreement audit provisions will be incorporated under clause 2.1 of this Call-Off Contract to enable the Buyer to carry out audits.  </w:t>
            </w:r>
          </w:p>
          <w:p w:rsidR="007D11BB" w:rsidRDefault="004E520F">
            <w:pPr>
              <w:spacing w:after="1" w:line="238" w:lineRule="auto"/>
              <w:ind w:left="0" w:firstLine="0"/>
            </w:pPr>
            <w:r>
              <w:t xml:space="preserve">7.4 The Supplier will maintain full and accurate records and accounts, using Good Industry Practice and generally accepted accounting principles, of the: •operation of the Framework Agreement and the Call-Off Contracts entered into with Buyers </w:t>
            </w:r>
          </w:p>
          <w:p w:rsidR="007D11BB" w:rsidRDefault="004E520F">
            <w:pPr>
              <w:spacing w:after="0" w:line="259" w:lineRule="auto"/>
              <w:ind w:left="0" w:firstLine="0"/>
            </w:pPr>
            <w:r>
              <w:t xml:space="preserve">•Services provided under any Call-Off Contracts (including any </w:t>
            </w:r>
          </w:p>
          <w:p w:rsidR="007D11BB" w:rsidRDefault="004E520F">
            <w:pPr>
              <w:spacing w:after="0" w:line="259" w:lineRule="auto"/>
              <w:ind w:left="0" w:firstLine="0"/>
            </w:pPr>
            <w:r>
              <w:t xml:space="preserve">Subcontracts) </w:t>
            </w:r>
          </w:p>
          <w:p w:rsidR="007D11BB" w:rsidRDefault="004E520F">
            <w:pPr>
              <w:spacing w:after="0" w:line="259" w:lineRule="auto"/>
              <w:ind w:left="0" w:firstLine="0"/>
            </w:pPr>
            <w:r>
              <w:t xml:space="preserve">•amounts paid by each Buyer under the Call-Off Contracts. </w:t>
            </w:r>
          </w:p>
          <w:p w:rsidR="007D11BB" w:rsidRDefault="004E520F">
            <w:pPr>
              <w:spacing w:after="2" w:line="237" w:lineRule="auto"/>
              <w:ind w:left="0" w:firstLine="0"/>
            </w:pPr>
            <w:r>
              <w:t xml:space="preserve">7.6 The Supplier’s records and accounts will be kept until the latest of the following dates: </w:t>
            </w:r>
          </w:p>
          <w:p w:rsidR="007D11BB" w:rsidRDefault="004E520F">
            <w:pPr>
              <w:spacing w:after="0" w:line="259" w:lineRule="auto"/>
              <w:ind w:left="0" w:right="301" w:firstLine="0"/>
            </w:pPr>
            <w:r>
              <w:t xml:space="preserve">•7 years after the date of Ending or expiry of this Framework Agreement •7 years after the date of Ending or expiry of the last Call-Off Contract to expire or End </w:t>
            </w:r>
          </w:p>
        </w:tc>
      </w:tr>
    </w:tbl>
    <w:p w:rsidR="007D11BB" w:rsidRDefault="007D11BB">
      <w:pPr>
        <w:spacing w:after="0" w:line="259" w:lineRule="auto"/>
        <w:ind w:left="-701" w:right="11336" w:firstLine="0"/>
      </w:pPr>
    </w:p>
    <w:tbl>
      <w:tblPr>
        <w:tblStyle w:val="TableGrid"/>
        <w:tblW w:w="10632" w:type="dxa"/>
        <w:tblInd w:w="14" w:type="dxa"/>
        <w:tblCellMar>
          <w:top w:w="75" w:type="dxa"/>
          <w:left w:w="108" w:type="dxa"/>
          <w:right w:w="83" w:type="dxa"/>
        </w:tblCellMar>
        <w:tblLook w:val="04A0" w:firstRow="1" w:lastRow="0" w:firstColumn="1" w:lastColumn="0" w:noHBand="0" w:noVBand="1"/>
      </w:tblPr>
      <w:tblGrid>
        <w:gridCol w:w="2657"/>
        <w:gridCol w:w="7975"/>
      </w:tblGrid>
      <w:tr w:rsidR="007D11BB">
        <w:trPr>
          <w:trHeight w:val="13612"/>
        </w:trPr>
        <w:tc>
          <w:tcPr>
            <w:tcW w:w="2657" w:type="dxa"/>
            <w:tcBorders>
              <w:top w:val="single" w:sz="8" w:space="0" w:color="000001"/>
              <w:left w:val="single" w:sz="8" w:space="0" w:color="000001"/>
              <w:bottom w:val="single" w:sz="8" w:space="0" w:color="000001"/>
              <w:right w:val="single" w:sz="8" w:space="0" w:color="000001"/>
            </w:tcBorders>
          </w:tcPr>
          <w:p w:rsidR="007D11BB" w:rsidRDefault="007D11BB">
            <w:pPr>
              <w:spacing w:after="160" w:line="259" w:lineRule="auto"/>
              <w:ind w:left="0" w:firstLine="0"/>
            </w:pPr>
          </w:p>
        </w:tc>
        <w:tc>
          <w:tcPr>
            <w:tcW w:w="7975"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•another date agreed between the Parties. </w:t>
            </w:r>
          </w:p>
          <w:p w:rsidR="007D11BB" w:rsidRDefault="004E520F">
            <w:pPr>
              <w:spacing w:after="2" w:line="238" w:lineRule="auto"/>
              <w:ind w:left="0" w:firstLine="0"/>
            </w:pPr>
            <w:r>
              <w:t xml:space="preserve">7.7 During the timeframes highlighted in clause 7.6, the Supplier will maintain: </w:t>
            </w:r>
          </w:p>
          <w:p w:rsidR="007D11BB" w:rsidRDefault="004E520F">
            <w:pPr>
              <w:spacing w:after="0" w:line="239" w:lineRule="auto"/>
              <w:ind w:left="0" w:firstLine="0"/>
            </w:pPr>
            <w:r>
              <w:t xml:space="preserve">•commercial records of the Charges and costs (including Subcontractors’ costs) and any variations to them, including proposed variations </w:t>
            </w:r>
          </w:p>
          <w:p w:rsidR="007D11BB" w:rsidRDefault="004E520F">
            <w:pPr>
              <w:spacing w:after="0" w:line="259" w:lineRule="auto"/>
              <w:ind w:left="0" w:firstLine="0"/>
            </w:pPr>
            <w:r>
              <w:t xml:space="preserve">•books of accounts for this Framework and all Call-Off Contracts </w:t>
            </w:r>
          </w:p>
          <w:p w:rsidR="007D11BB" w:rsidRDefault="004E520F">
            <w:pPr>
              <w:spacing w:after="0" w:line="259" w:lineRule="auto"/>
              <w:ind w:left="0" w:firstLine="0"/>
            </w:pPr>
            <w:r>
              <w:t xml:space="preserve">•MI reports </w:t>
            </w:r>
          </w:p>
          <w:p w:rsidR="007D11BB" w:rsidRDefault="004E520F">
            <w:pPr>
              <w:spacing w:after="0" w:line="259" w:lineRule="auto"/>
              <w:ind w:left="0" w:firstLine="0"/>
            </w:pPr>
            <w:r>
              <w:t xml:space="preserve">•access to its published accounts and trading entity information </w:t>
            </w:r>
          </w:p>
          <w:p w:rsidR="007D11BB" w:rsidRDefault="004E520F">
            <w:pPr>
              <w:spacing w:after="2" w:line="237" w:lineRule="auto"/>
              <w:ind w:left="0" w:firstLine="0"/>
            </w:pPr>
            <w:r>
              <w:t xml:space="preserve">•proof of its compliance with its obligations under the Data Protection Act and the Transparency provisions under this Framework Agreement </w:t>
            </w:r>
          </w:p>
          <w:p w:rsidR="007D11BB" w:rsidRDefault="004E520F">
            <w:pPr>
              <w:spacing w:after="0" w:line="239" w:lineRule="auto"/>
              <w:ind w:left="0" w:firstLine="0"/>
            </w:pPr>
            <w:r>
              <w:t xml:space="preserve">•records of its delivery performance under each Call-Off Contract, including that of its Subcontractors  </w:t>
            </w:r>
          </w:p>
          <w:p w:rsidR="007D11BB" w:rsidRDefault="004E520F">
            <w:pPr>
              <w:spacing w:after="0" w:line="239" w:lineRule="auto"/>
              <w:ind w:left="0" w:firstLine="0"/>
            </w:pPr>
            <w:r>
              <w:t xml:space="preserve">7.9 Subject to any Confidentiality obligations, the Supplier will use reasonable endeavours to: </w:t>
            </w:r>
          </w:p>
          <w:p w:rsidR="007D11BB" w:rsidRDefault="004E520F">
            <w:pPr>
              <w:spacing w:after="0" w:line="259" w:lineRule="auto"/>
              <w:ind w:left="0" w:firstLine="0"/>
            </w:pPr>
            <w:r>
              <w:t xml:space="preserve">•provide audit information without delay </w:t>
            </w:r>
          </w:p>
          <w:p w:rsidR="007D11BB" w:rsidRDefault="004E520F">
            <w:pPr>
              <w:spacing w:after="0" w:line="239" w:lineRule="auto"/>
              <w:ind w:left="0" w:firstLine="0"/>
            </w:pPr>
            <w:r>
              <w:t xml:space="preserve">•provide all audit information within scope and give auditors access to Supplier Staff </w:t>
            </w:r>
          </w:p>
          <w:p w:rsidR="007D11BB" w:rsidRDefault="004E520F">
            <w:pPr>
              <w:spacing w:after="1" w:line="238" w:lineRule="auto"/>
              <w:ind w:left="0" w:firstLine="0"/>
            </w:pPr>
            <w:r>
              <w:t xml:space="preserve">7.10 The Supplier will allow the representatives of CCS, Buyers receiving Services, the National Audit Office or auditors appointed by the Audit Commission access to the records, documents, and account information referred to in clause 7.7 (including at the Supplier’s premises), as may be required by them, and subject to reasonable and appropriate confidentiality undertakings, to verify and review: </w:t>
            </w:r>
          </w:p>
          <w:p w:rsidR="007D11BB" w:rsidRDefault="004E520F">
            <w:pPr>
              <w:spacing w:after="0" w:line="239" w:lineRule="auto"/>
              <w:ind w:left="0" w:firstLine="0"/>
            </w:pPr>
            <w:r>
              <w:t xml:space="preserve">•the accuracy of Charges (and proposed or actual variations to them under this Framework Agreement) </w:t>
            </w:r>
          </w:p>
          <w:p w:rsidR="007D11BB" w:rsidRDefault="004E520F">
            <w:pPr>
              <w:spacing w:after="0" w:line="259" w:lineRule="auto"/>
              <w:ind w:left="0" w:firstLine="0"/>
            </w:pPr>
            <w:r>
              <w:t xml:space="preserve">•any books of accounts kept by the Supplier in connection with the provision </w:t>
            </w:r>
          </w:p>
          <w:p w:rsidR="007D11BB" w:rsidRDefault="004E520F">
            <w:pPr>
              <w:spacing w:after="0" w:line="239" w:lineRule="auto"/>
              <w:ind w:left="0" w:firstLine="0"/>
            </w:pPr>
            <w:r>
              <w:t xml:space="preserve">of the G-Cloud Services for the purposes of auditing the Charges and Management Charges under the Framework Agreement and Call-Off </w:t>
            </w:r>
          </w:p>
          <w:p w:rsidR="007D11BB" w:rsidRDefault="004E520F">
            <w:pPr>
              <w:spacing w:after="0" w:line="259" w:lineRule="auto"/>
              <w:ind w:left="0" w:firstLine="0"/>
            </w:pPr>
            <w:r>
              <w:t xml:space="preserve">Contract only </w:t>
            </w:r>
          </w:p>
          <w:p w:rsidR="007D11BB" w:rsidRDefault="004E520F">
            <w:pPr>
              <w:spacing w:after="0" w:line="259" w:lineRule="auto"/>
              <w:ind w:left="0" w:firstLine="0"/>
            </w:pPr>
            <w:r>
              <w:t xml:space="preserve">•the integrity, Confidentiality and security of the CCS Personal Data and the </w:t>
            </w:r>
          </w:p>
          <w:p w:rsidR="007D11BB" w:rsidRDefault="004E520F">
            <w:pPr>
              <w:spacing w:after="0" w:line="259" w:lineRule="auto"/>
              <w:ind w:left="0" w:firstLine="0"/>
            </w:pPr>
            <w:r>
              <w:t xml:space="preserve">Buyer Data held or used by the Supplier </w:t>
            </w:r>
          </w:p>
          <w:p w:rsidR="007D11BB" w:rsidRDefault="004E520F">
            <w:pPr>
              <w:spacing w:after="0" w:line="239" w:lineRule="auto"/>
              <w:ind w:left="0" w:firstLine="0"/>
            </w:pPr>
            <w:r>
              <w:t xml:space="preserve">•any other aspect of the delivery of the Services including to review compliance with any legislation </w:t>
            </w:r>
          </w:p>
          <w:p w:rsidR="007D11BB" w:rsidRDefault="004E520F">
            <w:pPr>
              <w:spacing w:after="0" w:line="259" w:lineRule="auto"/>
              <w:ind w:left="0" w:firstLine="0"/>
            </w:pPr>
            <w:r>
              <w:t xml:space="preserve">•the accuracy and completeness of any MI delivered or required by the </w:t>
            </w:r>
          </w:p>
          <w:p w:rsidR="007D11BB" w:rsidRDefault="004E520F">
            <w:pPr>
              <w:spacing w:after="0" w:line="259" w:lineRule="auto"/>
              <w:ind w:left="0" w:firstLine="0"/>
            </w:pPr>
            <w:r>
              <w:t xml:space="preserve">Framework Agreement </w:t>
            </w:r>
          </w:p>
          <w:p w:rsidR="007D11BB" w:rsidRDefault="004E520F">
            <w:pPr>
              <w:spacing w:after="0" w:line="259" w:lineRule="auto"/>
              <w:ind w:left="0" w:firstLine="0"/>
            </w:pPr>
            <w:r>
              <w:t xml:space="preserve">•any MI Reports or other records about the Supplier’s performance of the </w:t>
            </w:r>
          </w:p>
          <w:p w:rsidR="007D11BB" w:rsidRDefault="004E520F">
            <w:pPr>
              <w:spacing w:after="0" w:line="259" w:lineRule="auto"/>
              <w:ind w:left="0" w:firstLine="0"/>
            </w:pPr>
            <w:r>
              <w:t xml:space="preserve">Services and to verify that these reflect </w:t>
            </w:r>
          </w:p>
          <w:p w:rsidR="007D11BB" w:rsidRDefault="004E520F">
            <w:pPr>
              <w:spacing w:after="0" w:line="259" w:lineRule="auto"/>
              <w:ind w:left="0" w:firstLine="0"/>
            </w:pPr>
            <w:r>
              <w:t xml:space="preserve">•the Supplier’s own internal reports and records </w:t>
            </w:r>
          </w:p>
          <w:p w:rsidR="007D11BB" w:rsidRDefault="004E520F">
            <w:pPr>
              <w:spacing w:after="0" w:line="239" w:lineRule="auto"/>
              <w:ind w:left="0" w:firstLine="0"/>
            </w:pPr>
            <w:r>
              <w:t xml:space="preserve">•the Buyer’s assets, including the Intellectual Property Rights, Equipment, facilities and maintenance, to ensure that the Buyer’s assets are secure and that any asset register is up to datetext]. </w:t>
            </w:r>
          </w:p>
          <w:p w:rsidR="007D11BB" w:rsidRDefault="004E520F">
            <w:pPr>
              <w:spacing w:after="0" w:line="259" w:lineRule="auto"/>
              <w:ind w:left="0" w:firstLine="0"/>
            </w:pPr>
            <w:r>
              <w:lastRenderedPageBreak/>
              <w:t xml:space="preserve">7.13 Each Party is responsible for covering all their own other costs incurred from their compliance with these audit obligations.  </w:t>
            </w:r>
          </w:p>
        </w:tc>
      </w:tr>
      <w:tr w:rsidR="007D11BB">
        <w:trPr>
          <w:trHeight w:val="336"/>
        </w:trPr>
        <w:tc>
          <w:tcPr>
            <w:tcW w:w="2657" w:type="dxa"/>
            <w:tcBorders>
              <w:top w:val="single" w:sz="8" w:space="0" w:color="000001"/>
              <w:left w:val="single" w:sz="8" w:space="0" w:color="000001"/>
              <w:bottom w:val="single" w:sz="8" w:space="0" w:color="000001"/>
              <w:right w:val="single" w:sz="8" w:space="0" w:color="000001"/>
            </w:tcBorders>
            <w:vAlign w:val="bottom"/>
          </w:tcPr>
          <w:p w:rsidR="007D11BB" w:rsidRDefault="007D11BB">
            <w:pPr>
              <w:spacing w:after="160" w:line="259" w:lineRule="auto"/>
              <w:ind w:left="0" w:firstLine="0"/>
            </w:pPr>
          </w:p>
        </w:tc>
        <w:tc>
          <w:tcPr>
            <w:tcW w:w="7975"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 </w:t>
            </w:r>
          </w:p>
        </w:tc>
      </w:tr>
      <w:tr w:rsidR="007D11BB">
        <w:trPr>
          <w:trHeight w:val="653"/>
        </w:trPr>
        <w:tc>
          <w:tcPr>
            <w:tcW w:w="2657"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Buyer’s responsibilities: </w:t>
            </w:r>
          </w:p>
        </w:tc>
        <w:tc>
          <w:tcPr>
            <w:tcW w:w="7975"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The Buyer is responsible for providing data and hosting instructions.  </w:t>
            </w:r>
          </w:p>
          <w:p w:rsidR="007D11BB" w:rsidRDefault="004E520F">
            <w:pPr>
              <w:spacing w:after="0" w:line="259" w:lineRule="auto"/>
              <w:ind w:left="0" w:firstLine="0"/>
            </w:pPr>
            <w:r>
              <w:t xml:space="preserve"> </w:t>
            </w:r>
          </w:p>
        </w:tc>
      </w:tr>
      <w:tr w:rsidR="007D11BB">
        <w:trPr>
          <w:trHeight w:val="336"/>
        </w:trPr>
        <w:tc>
          <w:tcPr>
            <w:tcW w:w="2657"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Buyer’s equipment: </w:t>
            </w:r>
          </w:p>
        </w:tc>
        <w:tc>
          <w:tcPr>
            <w:tcW w:w="7975"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Not applicable.  </w:t>
            </w:r>
          </w:p>
        </w:tc>
      </w:tr>
    </w:tbl>
    <w:p w:rsidR="007D11BB" w:rsidRDefault="004E520F">
      <w:pPr>
        <w:spacing w:after="220" w:line="259" w:lineRule="auto"/>
        <w:ind w:left="5" w:firstLine="0"/>
      </w:pPr>
      <w:r>
        <w:t xml:space="preserve"> </w:t>
      </w:r>
    </w:p>
    <w:p w:rsidR="007D11BB" w:rsidRDefault="004E520F">
      <w:pPr>
        <w:spacing w:after="0" w:line="268" w:lineRule="auto"/>
        <w:ind w:left="5" w:firstLine="0"/>
      </w:pPr>
      <w:r>
        <w:t xml:space="preserve">Supplier’s information </w:t>
      </w:r>
    </w:p>
    <w:tbl>
      <w:tblPr>
        <w:tblStyle w:val="TableGrid"/>
        <w:tblW w:w="10632" w:type="dxa"/>
        <w:tblInd w:w="14" w:type="dxa"/>
        <w:tblCellMar>
          <w:top w:w="75" w:type="dxa"/>
          <w:left w:w="108" w:type="dxa"/>
          <w:right w:w="115" w:type="dxa"/>
        </w:tblCellMar>
        <w:tblLook w:val="04A0" w:firstRow="1" w:lastRow="0" w:firstColumn="1" w:lastColumn="0" w:noHBand="0" w:noVBand="1"/>
      </w:tblPr>
      <w:tblGrid>
        <w:gridCol w:w="2657"/>
        <w:gridCol w:w="7975"/>
      </w:tblGrid>
      <w:tr w:rsidR="007D11BB">
        <w:trPr>
          <w:trHeight w:val="2549"/>
        </w:trPr>
        <w:tc>
          <w:tcPr>
            <w:tcW w:w="2657"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Subcontractors or partners: </w:t>
            </w:r>
          </w:p>
        </w:tc>
        <w:tc>
          <w:tcPr>
            <w:tcW w:w="7975"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The following is a list of the Supplier’s Subcontractors or Partners: </w:t>
            </w:r>
          </w:p>
          <w:p w:rsidR="007D11BB" w:rsidRDefault="004E520F">
            <w:pPr>
              <w:spacing w:after="0" w:line="259" w:lineRule="auto"/>
              <w:ind w:left="0" w:firstLine="0"/>
            </w:pPr>
            <w:r>
              <w:t xml:space="preserve">Memset Limited </w:t>
            </w:r>
          </w:p>
          <w:p w:rsidR="007D11BB" w:rsidRDefault="004E520F">
            <w:pPr>
              <w:spacing w:after="0" w:line="259" w:lineRule="auto"/>
              <w:ind w:left="0" w:firstLine="0"/>
            </w:pPr>
            <w:r>
              <w:t xml:space="preserve">Building 87 </w:t>
            </w:r>
          </w:p>
          <w:p w:rsidR="007D11BB" w:rsidRDefault="004E520F">
            <w:pPr>
              <w:spacing w:after="0" w:line="259" w:lineRule="auto"/>
              <w:ind w:left="0" w:firstLine="0"/>
            </w:pPr>
            <w:r>
              <w:t xml:space="preserve">Dunsfold Park </w:t>
            </w:r>
          </w:p>
          <w:p w:rsidR="007D11BB" w:rsidRDefault="004E520F">
            <w:pPr>
              <w:spacing w:after="0" w:line="259" w:lineRule="auto"/>
              <w:ind w:left="0" w:firstLine="0"/>
            </w:pPr>
            <w:r>
              <w:t xml:space="preserve">Stovolds Hill </w:t>
            </w:r>
          </w:p>
          <w:p w:rsidR="007D11BB" w:rsidRDefault="004E520F">
            <w:pPr>
              <w:spacing w:after="0" w:line="259" w:lineRule="auto"/>
              <w:ind w:left="0" w:firstLine="0"/>
            </w:pPr>
            <w:r>
              <w:t xml:space="preserve">Cranleigh </w:t>
            </w:r>
          </w:p>
          <w:p w:rsidR="007D11BB" w:rsidRDefault="004E520F">
            <w:pPr>
              <w:spacing w:after="0" w:line="259" w:lineRule="auto"/>
              <w:ind w:left="0" w:firstLine="0"/>
            </w:pPr>
            <w:r>
              <w:t xml:space="preserve">GU6 8TB </w:t>
            </w:r>
          </w:p>
          <w:p w:rsidR="007D11BB" w:rsidRDefault="004E520F">
            <w:pPr>
              <w:spacing w:after="0" w:line="259" w:lineRule="auto"/>
              <w:ind w:left="0" w:firstLine="0"/>
            </w:pPr>
            <w:r>
              <w:t xml:space="preserve"> </w:t>
            </w:r>
          </w:p>
        </w:tc>
      </w:tr>
    </w:tbl>
    <w:p w:rsidR="007D11BB" w:rsidRDefault="004E520F">
      <w:pPr>
        <w:spacing w:after="220" w:line="259" w:lineRule="auto"/>
        <w:ind w:left="5" w:firstLine="0"/>
      </w:pPr>
      <w:r>
        <w:t xml:space="preserve"> </w:t>
      </w:r>
    </w:p>
    <w:p w:rsidR="007D11BB" w:rsidRDefault="004E520F">
      <w:pPr>
        <w:spacing w:after="207"/>
        <w:ind w:left="0"/>
      </w:pPr>
      <w:r>
        <w:t xml:space="preserve">Call-Off Contract charges and payment </w:t>
      </w:r>
    </w:p>
    <w:p w:rsidR="007D11BB" w:rsidRDefault="004E520F">
      <w:pPr>
        <w:spacing w:after="0"/>
        <w:ind w:left="0"/>
      </w:pPr>
      <w:r>
        <w:t xml:space="preserve">The Call-Off Contract charges and payment details are in the table below. See Schedule 2 for a full breakdown. </w:t>
      </w:r>
    </w:p>
    <w:tbl>
      <w:tblPr>
        <w:tblStyle w:val="TableGrid"/>
        <w:tblW w:w="10632" w:type="dxa"/>
        <w:tblInd w:w="14" w:type="dxa"/>
        <w:tblCellMar>
          <w:top w:w="75" w:type="dxa"/>
          <w:left w:w="108" w:type="dxa"/>
          <w:right w:w="120" w:type="dxa"/>
        </w:tblCellMar>
        <w:tblLook w:val="04A0" w:firstRow="1" w:lastRow="0" w:firstColumn="1" w:lastColumn="0" w:noHBand="0" w:noVBand="1"/>
      </w:tblPr>
      <w:tblGrid>
        <w:gridCol w:w="2657"/>
        <w:gridCol w:w="7975"/>
      </w:tblGrid>
      <w:tr w:rsidR="007D11BB">
        <w:trPr>
          <w:trHeight w:val="336"/>
        </w:trPr>
        <w:tc>
          <w:tcPr>
            <w:tcW w:w="2657"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Payment method: </w:t>
            </w:r>
          </w:p>
        </w:tc>
        <w:tc>
          <w:tcPr>
            <w:tcW w:w="7975"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The payment method for this Call-Off Contract is BACS. </w:t>
            </w:r>
            <w:r>
              <w:rPr>
                <w:rFonts w:ascii="Arial" w:eastAsia="Arial" w:hAnsi="Arial" w:cs="Arial"/>
                <w:sz w:val="20"/>
              </w:rPr>
              <w:t xml:space="preserve"> </w:t>
            </w:r>
          </w:p>
        </w:tc>
      </w:tr>
      <w:tr w:rsidR="007D11BB">
        <w:trPr>
          <w:trHeight w:val="336"/>
        </w:trPr>
        <w:tc>
          <w:tcPr>
            <w:tcW w:w="2657"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Payment profile: </w:t>
            </w:r>
          </w:p>
        </w:tc>
        <w:tc>
          <w:tcPr>
            <w:tcW w:w="7975"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The payment profile for this Call-Off Contract is monthly in arrears.</w:t>
            </w:r>
            <w:r>
              <w:rPr>
                <w:rFonts w:ascii="Arial" w:eastAsia="Arial" w:hAnsi="Arial" w:cs="Arial"/>
                <w:sz w:val="20"/>
              </w:rPr>
              <w:t xml:space="preserve"> </w:t>
            </w:r>
          </w:p>
        </w:tc>
      </w:tr>
      <w:tr w:rsidR="007D11BB">
        <w:trPr>
          <w:trHeight w:val="650"/>
        </w:trPr>
        <w:tc>
          <w:tcPr>
            <w:tcW w:w="2657"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Invoice details: </w:t>
            </w:r>
          </w:p>
        </w:tc>
        <w:tc>
          <w:tcPr>
            <w:tcW w:w="7975"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The Supplier will issue electronic invoices monthly in arrears. The Buyer will pay the Supplier within 30 days of receipt of a valid invoice.</w:t>
            </w:r>
            <w:r>
              <w:rPr>
                <w:rFonts w:ascii="Arial" w:eastAsia="Arial" w:hAnsi="Arial" w:cs="Arial"/>
                <w:sz w:val="20"/>
              </w:rPr>
              <w:t xml:space="preserve"> </w:t>
            </w:r>
          </w:p>
        </w:tc>
      </w:tr>
      <w:tr w:rsidR="007D11BB">
        <w:trPr>
          <w:trHeight w:val="653"/>
        </w:trPr>
        <w:tc>
          <w:tcPr>
            <w:tcW w:w="2657"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jc w:val="both"/>
            </w:pPr>
            <w:r>
              <w:t xml:space="preserve">Who and where to send invoices to: </w:t>
            </w:r>
          </w:p>
        </w:tc>
        <w:tc>
          <w:tcPr>
            <w:tcW w:w="7975"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Invoices will be sent to </w:t>
            </w:r>
            <w:r>
              <w:rPr>
                <w:color w:val="0563C1"/>
                <w:u w:val="single" w:color="0563C1"/>
              </w:rPr>
              <w:t>invoices@highwaysengland.co.uk</w:t>
            </w:r>
            <w:r>
              <w:t xml:space="preserve"> </w:t>
            </w:r>
            <w:r>
              <w:rPr>
                <w:rFonts w:ascii="Arial" w:eastAsia="Arial" w:hAnsi="Arial" w:cs="Arial"/>
                <w:sz w:val="20"/>
              </w:rPr>
              <w:t xml:space="preserve"> </w:t>
            </w:r>
          </w:p>
        </w:tc>
      </w:tr>
      <w:tr w:rsidR="007D11BB">
        <w:trPr>
          <w:trHeight w:val="1284"/>
        </w:trPr>
        <w:tc>
          <w:tcPr>
            <w:tcW w:w="2657"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right="116" w:firstLine="0"/>
              <w:jc w:val="both"/>
            </w:pPr>
            <w:r>
              <w:t>Invoice information required – for example purchase order, project reference:</w:t>
            </w:r>
            <w:r>
              <w:rPr>
                <w:rFonts w:ascii="Arial" w:eastAsia="Arial" w:hAnsi="Arial" w:cs="Arial"/>
                <w:sz w:val="20"/>
              </w:rPr>
              <w:t xml:space="preserve"> </w:t>
            </w:r>
          </w:p>
        </w:tc>
        <w:tc>
          <w:tcPr>
            <w:tcW w:w="7975"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All invoices must include a valid purchase order number. </w:t>
            </w:r>
            <w:r>
              <w:rPr>
                <w:rFonts w:ascii="Arial" w:eastAsia="Arial" w:hAnsi="Arial" w:cs="Arial"/>
                <w:sz w:val="20"/>
              </w:rPr>
              <w:t xml:space="preserve"> </w:t>
            </w:r>
          </w:p>
        </w:tc>
      </w:tr>
      <w:tr w:rsidR="007D11BB">
        <w:trPr>
          <w:trHeight w:val="336"/>
        </w:trPr>
        <w:tc>
          <w:tcPr>
            <w:tcW w:w="2657"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Invoice frequency: </w:t>
            </w:r>
          </w:p>
        </w:tc>
        <w:tc>
          <w:tcPr>
            <w:tcW w:w="7975"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Invoice will be sent to the Buyer monthly.</w:t>
            </w:r>
            <w:r>
              <w:rPr>
                <w:rFonts w:ascii="Arial" w:eastAsia="Arial" w:hAnsi="Arial" w:cs="Arial"/>
                <w:sz w:val="20"/>
              </w:rPr>
              <w:t xml:space="preserve"> </w:t>
            </w:r>
          </w:p>
        </w:tc>
      </w:tr>
      <w:tr w:rsidR="007D11BB">
        <w:trPr>
          <w:trHeight w:val="336"/>
        </w:trPr>
        <w:tc>
          <w:tcPr>
            <w:tcW w:w="2657"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Call-Off Contract value:</w:t>
            </w:r>
            <w:r>
              <w:rPr>
                <w:rFonts w:ascii="Arial" w:eastAsia="Arial" w:hAnsi="Arial" w:cs="Arial"/>
                <w:sz w:val="20"/>
              </w:rPr>
              <w:t xml:space="preserve"> </w:t>
            </w:r>
          </w:p>
        </w:tc>
        <w:tc>
          <w:tcPr>
            <w:tcW w:w="7975"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The total value of this Call-Off Contract is £583,925.</w:t>
            </w:r>
            <w:r>
              <w:rPr>
                <w:rFonts w:ascii="Arial" w:eastAsia="Arial" w:hAnsi="Arial" w:cs="Arial"/>
                <w:sz w:val="20"/>
              </w:rPr>
              <w:t xml:space="preserve"> </w:t>
            </w:r>
          </w:p>
        </w:tc>
      </w:tr>
      <w:tr w:rsidR="007D11BB">
        <w:trPr>
          <w:trHeight w:val="653"/>
        </w:trPr>
        <w:tc>
          <w:tcPr>
            <w:tcW w:w="2657"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Call-Off Contract charges: </w:t>
            </w:r>
          </w:p>
        </w:tc>
        <w:tc>
          <w:tcPr>
            <w:tcW w:w="7975"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The breakdown of the Charges is in Schedule 2</w:t>
            </w:r>
            <w:r>
              <w:rPr>
                <w:rFonts w:ascii="Arial" w:eastAsia="Arial" w:hAnsi="Arial" w:cs="Arial"/>
                <w:sz w:val="20"/>
              </w:rPr>
              <w:t xml:space="preserve"> </w:t>
            </w:r>
          </w:p>
          <w:p w:rsidR="007D11BB" w:rsidRDefault="004E520F">
            <w:pPr>
              <w:spacing w:after="0" w:line="259" w:lineRule="auto"/>
              <w:ind w:left="0" w:firstLine="0"/>
            </w:pPr>
            <w:r>
              <w:t xml:space="preserve"> </w:t>
            </w:r>
          </w:p>
        </w:tc>
      </w:tr>
    </w:tbl>
    <w:p w:rsidR="007D11BB" w:rsidRDefault="004E520F">
      <w:pPr>
        <w:spacing w:after="220" w:line="259" w:lineRule="auto"/>
        <w:ind w:left="5" w:firstLine="0"/>
      </w:pPr>
      <w:r>
        <w:t xml:space="preserve"> </w:t>
      </w:r>
    </w:p>
    <w:p w:rsidR="007D11BB" w:rsidRDefault="004E520F">
      <w:pPr>
        <w:spacing w:after="0"/>
        <w:ind w:left="0"/>
      </w:pPr>
      <w:r>
        <w:lastRenderedPageBreak/>
        <w:t xml:space="preserve">Additional buyer terms </w:t>
      </w:r>
    </w:p>
    <w:tbl>
      <w:tblPr>
        <w:tblStyle w:val="TableGrid"/>
        <w:tblW w:w="10594" w:type="dxa"/>
        <w:tblInd w:w="14" w:type="dxa"/>
        <w:tblCellMar>
          <w:top w:w="75" w:type="dxa"/>
          <w:left w:w="108" w:type="dxa"/>
          <w:right w:w="31" w:type="dxa"/>
        </w:tblCellMar>
        <w:tblLook w:val="04A0" w:firstRow="1" w:lastRow="0" w:firstColumn="1" w:lastColumn="0" w:noHBand="0" w:noVBand="1"/>
      </w:tblPr>
      <w:tblGrid>
        <w:gridCol w:w="2655"/>
        <w:gridCol w:w="7939"/>
      </w:tblGrid>
      <w:tr w:rsidR="007D11BB">
        <w:trPr>
          <w:trHeight w:val="653"/>
        </w:trPr>
        <w:tc>
          <w:tcPr>
            <w:tcW w:w="2655"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jc w:val="both"/>
            </w:pPr>
            <w:r>
              <w:t xml:space="preserve">Performance of the service and deliverables:  </w:t>
            </w:r>
          </w:p>
        </w:tc>
        <w:tc>
          <w:tcPr>
            <w:tcW w:w="7939"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This Call-Off Contract will include the following implementation plan, exit and offboarding plans and milestones: </w:t>
            </w:r>
          </w:p>
        </w:tc>
      </w:tr>
      <w:tr w:rsidR="007D11BB">
        <w:trPr>
          <w:trHeight w:val="5310"/>
        </w:trPr>
        <w:tc>
          <w:tcPr>
            <w:tcW w:w="2655" w:type="dxa"/>
            <w:tcBorders>
              <w:top w:val="single" w:sz="8" w:space="0" w:color="000001"/>
              <w:left w:val="single" w:sz="8" w:space="0" w:color="000001"/>
              <w:bottom w:val="single" w:sz="8" w:space="0" w:color="000001"/>
              <w:right w:val="single" w:sz="8" w:space="0" w:color="000001"/>
            </w:tcBorders>
          </w:tcPr>
          <w:p w:rsidR="007D11BB" w:rsidRDefault="007D11BB">
            <w:pPr>
              <w:spacing w:after="160" w:line="259" w:lineRule="auto"/>
              <w:ind w:left="0" w:firstLine="0"/>
            </w:pPr>
          </w:p>
        </w:tc>
        <w:tc>
          <w:tcPr>
            <w:tcW w:w="7939" w:type="dxa"/>
            <w:tcBorders>
              <w:top w:val="single" w:sz="8" w:space="0" w:color="000001"/>
              <w:left w:val="single" w:sz="8" w:space="0" w:color="000001"/>
              <w:bottom w:val="single" w:sz="8" w:space="0" w:color="000001"/>
              <w:right w:val="single" w:sz="8" w:space="0" w:color="000001"/>
            </w:tcBorders>
          </w:tcPr>
          <w:p w:rsidR="007D11BB" w:rsidRDefault="004E520F">
            <w:pPr>
              <w:numPr>
                <w:ilvl w:val="0"/>
                <w:numId w:val="18"/>
              </w:numPr>
              <w:spacing w:after="37" w:line="276" w:lineRule="auto"/>
              <w:ind w:hanging="360"/>
            </w:pPr>
            <w:r>
              <w:t xml:space="preserve">All current HE users will be transitioned over to the new system, no need to change details or passwords </w:t>
            </w:r>
          </w:p>
          <w:p w:rsidR="007D11BB" w:rsidRDefault="004E520F">
            <w:pPr>
              <w:numPr>
                <w:ilvl w:val="0"/>
                <w:numId w:val="18"/>
              </w:numPr>
              <w:spacing w:after="61" w:line="259" w:lineRule="auto"/>
              <w:ind w:hanging="360"/>
            </w:pPr>
            <w:r>
              <w:t xml:space="preserve">2016 and 2015 Data is currently live, with no change required </w:t>
            </w:r>
          </w:p>
          <w:p w:rsidR="007D11BB" w:rsidRDefault="004E520F">
            <w:pPr>
              <w:numPr>
                <w:ilvl w:val="0"/>
                <w:numId w:val="18"/>
              </w:numPr>
              <w:spacing w:after="41" w:line="274" w:lineRule="auto"/>
              <w:ind w:hanging="360"/>
            </w:pPr>
            <w:r>
              <w:t xml:space="preserve">As 2018 data becomes available from the ADC contracts, IBI Group will ensure that imagery, and where applicable, inventory and LiDAR is loaded onto the system within 1 month of delivery to IBI Group. </w:t>
            </w:r>
          </w:p>
          <w:p w:rsidR="007D11BB" w:rsidRDefault="004E520F">
            <w:pPr>
              <w:numPr>
                <w:ilvl w:val="0"/>
                <w:numId w:val="18"/>
              </w:numPr>
              <w:spacing w:after="39" w:line="274" w:lineRule="auto"/>
              <w:ind w:hanging="360"/>
            </w:pPr>
            <w:r>
              <w:t xml:space="preserve">Daily monitoring and maintenance of the system is carried out to ensure high up times </w:t>
            </w:r>
          </w:p>
          <w:p w:rsidR="007D11BB" w:rsidRDefault="004E520F">
            <w:pPr>
              <w:numPr>
                <w:ilvl w:val="0"/>
                <w:numId w:val="18"/>
              </w:numPr>
              <w:spacing w:after="38" w:line="276" w:lineRule="auto"/>
              <w:ind w:hanging="360"/>
            </w:pPr>
            <w:r>
              <w:t xml:space="preserve">There may be a requirement to turn off the system for urgent maintenance. IBI will provide HE as much notice as possible </w:t>
            </w:r>
          </w:p>
          <w:p w:rsidR="007D11BB" w:rsidRDefault="004E520F">
            <w:pPr>
              <w:numPr>
                <w:ilvl w:val="0"/>
                <w:numId w:val="18"/>
              </w:numPr>
              <w:spacing w:after="0" w:line="276" w:lineRule="auto"/>
              <w:ind w:hanging="360"/>
            </w:pPr>
            <w:r>
              <w:t xml:space="preserve">New users will be added to the system within one week from completion of E-Learning and receipt of their completed user Access </w:t>
            </w:r>
          </w:p>
          <w:p w:rsidR="007D11BB" w:rsidRDefault="004E520F">
            <w:pPr>
              <w:spacing w:after="0" w:line="259" w:lineRule="auto"/>
              <w:ind w:left="721" w:firstLine="0"/>
            </w:pPr>
            <w:r>
              <w:t xml:space="preserve">Form  </w:t>
            </w:r>
          </w:p>
        </w:tc>
      </w:tr>
      <w:tr w:rsidR="007D11BB">
        <w:trPr>
          <w:trHeight w:val="336"/>
        </w:trPr>
        <w:tc>
          <w:tcPr>
            <w:tcW w:w="2655"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Guarantee: </w:t>
            </w:r>
          </w:p>
        </w:tc>
        <w:tc>
          <w:tcPr>
            <w:tcW w:w="7939"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Not applicable.  </w:t>
            </w:r>
          </w:p>
        </w:tc>
      </w:tr>
      <w:tr w:rsidR="007D11BB">
        <w:trPr>
          <w:trHeight w:val="653"/>
        </w:trPr>
        <w:tc>
          <w:tcPr>
            <w:tcW w:w="2655"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Warranties, representations:  </w:t>
            </w:r>
          </w:p>
        </w:tc>
        <w:tc>
          <w:tcPr>
            <w:tcW w:w="7939"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Not applicable. </w:t>
            </w:r>
          </w:p>
        </w:tc>
      </w:tr>
      <w:tr w:rsidR="007D11BB">
        <w:trPr>
          <w:trHeight w:val="1284"/>
        </w:trPr>
        <w:tc>
          <w:tcPr>
            <w:tcW w:w="2655"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right="25" w:firstLine="0"/>
            </w:pPr>
            <w:r>
              <w:t xml:space="preserve">Supplemental requirements in addition to the Call-Off terms: </w:t>
            </w:r>
          </w:p>
        </w:tc>
        <w:tc>
          <w:tcPr>
            <w:tcW w:w="7939"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Not applicable. </w:t>
            </w:r>
          </w:p>
        </w:tc>
      </w:tr>
      <w:tr w:rsidR="007D11BB">
        <w:trPr>
          <w:trHeight w:val="336"/>
        </w:trPr>
        <w:tc>
          <w:tcPr>
            <w:tcW w:w="2655"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Alternative clauses: </w:t>
            </w:r>
          </w:p>
        </w:tc>
        <w:tc>
          <w:tcPr>
            <w:tcW w:w="7939"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Not applicable. </w:t>
            </w:r>
          </w:p>
        </w:tc>
      </w:tr>
      <w:tr w:rsidR="007D11BB">
        <w:trPr>
          <w:trHeight w:val="1284"/>
        </w:trPr>
        <w:tc>
          <w:tcPr>
            <w:tcW w:w="2655"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Buyer specific </w:t>
            </w:r>
          </w:p>
          <w:p w:rsidR="007D11BB" w:rsidRDefault="004E520F">
            <w:pPr>
              <w:spacing w:after="0" w:line="259" w:lineRule="auto"/>
              <w:ind w:left="0" w:firstLine="0"/>
            </w:pPr>
            <w:r>
              <w:t xml:space="preserve">amendments </w:t>
            </w:r>
          </w:p>
          <w:p w:rsidR="007D11BB" w:rsidRDefault="004E520F">
            <w:pPr>
              <w:spacing w:after="0" w:line="259" w:lineRule="auto"/>
              <w:ind w:left="0" w:firstLine="0"/>
            </w:pPr>
            <w:r>
              <w:t xml:space="preserve">to/refinements of the </w:t>
            </w:r>
          </w:p>
          <w:p w:rsidR="007D11BB" w:rsidRDefault="004E520F">
            <w:pPr>
              <w:spacing w:after="0" w:line="259" w:lineRule="auto"/>
              <w:ind w:left="0" w:firstLine="0"/>
            </w:pPr>
            <w:r>
              <w:t xml:space="preserve">Call-Off Contract terms: </w:t>
            </w:r>
          </w:p>
        </w:tc>
        <w:tc>
          <w:tcPr>
            <w:tcW w:w="7939"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Not applicable. </w:t>
            </w:r>
          </w:p>
        </w:tc>
      </w:tr>
      <w:tr w:rsidR="007D11BB">
        <w:trPr>
          <w:trHeight w:val="653"/>
        </w:trPr>
        <w:tc>
          <w:tcPr>
            <w:tcW w:w="2655"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Public Services Network (PSN): </w:t>
            </w:r>
          </w:p>
        </w:tc>
        <w:tc>
          <w:tcPr>
            <w:tcW w:w="7939"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Not applicable. </w:t>
            </w:r>
            <w:r>
              <w:rPr>
                <w:rFonts w:ascii="Arial" w:eastAsia="Arial" w:hAnsi="Arial" w:cs="Arial"/>
                <w:sz w:val="20"/>
              </w:rPr>
              <w:t xml:space="preserve"> </w:t>
            </w:r>
          </w:p>
          <w:p w:rsidR="007D11BB" w:rsidRDefault="004E520F">
            <w:pPr>
              <w:spacing w:after="0" w:line="259" w:lineRule="auto"/>
              <w:ind w:left="0" w:firstLine="0"/>
            </w:pPr>
            <w:r>
              <w:t xml:space="preserve"> </w:t>
            </w:r>
          </w:p>
        </w:tc>
      </w:tr>
      <w:tr w:rsidR="007D11BB">
        <w:trPr>
          <w:trHeight w:val="653"/>
        </w:trPr>
        <w:tc>
          <w:tcPr>
            <w:tcW w:w="2655"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Personal Data and Data Subjects: </w:t>
            </w:r>
          </w:p>
        </w:tc>
        <w:tc>
          <w:tcPr>
            <w:tcW w:w="7939"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rPr>
                <w:color w:val="353535"/>
              </w:rPr>
              <w:t>Will Schedule 7 – Processing, Personal Data and Data Subjects be used Yes</w:t>
            </w:r>
            <w:r>
              <w:rPr>
                <w:rFonts w:ascii="Arial" w:eastAsia="Arial" w:hAnsi="Arial" w:cs="Arial"/>
                <w:sz w:val="20"/>
              </w:rPr>
              <w:t xml:space="preserve"> </w:t>
            </w:r>
          </w:p>
        </w:tc>
      </w:tr>
    </w:tbl>
    <w:p w:rsidR="007D11BB" w:rsidRDefault="004E520F">
      <w:pPr>
        <w:spacing w:after="219" w:line="259" w:lineRule="auto"/>
        <w:ind w:left="5" w:firstLine="0"/>
      </w:pPr>
      <w:r>
        <w:t xml:space="preserve"> </w:t>
      </w:r>
    </w:p>
    <w:p w:rsidR="007D11BB" w:rsidRDefault="004E520F">
      <w:pPr>
        <w:numPr>
          <w:ilvl w:val="0"/>
          <w:numId w:val="1"/>
        </w:numPr>
        <w:ind w:hanging="238"/>
      </w:pPr>
      <w:r>
        <w:lastRenderedPageBreak/>
        <w:t xml:space="preserve">Formation of contract  </w:t>
      </w:r>
    </w:p>
    <w:p w:rsidR="007D11BB" w:rsidRDefault="004E520F">
      <w:pPr>
        <w:numPr>
          <w:ilvl w:val="1"/>
          <w:numId w:val="1"/>
        </w:numPr>
        <w:ind w:hanging="725"/>
      </w:pPr>
      <w:r>
        <w:t xml:space="preserve">By signing and returning this Order Form (Part A), the Supplier agrees to enter into a Call-Off Contract with the Buyer. </w:t>
      </w:r>
    </w:p>
    <w:p w:rsidR="007D11BB" w:rsidRDefault="004E520F">
      <w:pPr>
        <w:numPr>
          <w:ilvl w:val="1"/>
          <w:numId w:val="1"/>
        </w:numPr>
        <w:ind w:hanging="725"/>
      </w:pPr>
      <w:r>
        <w:t xml:space="preserve">The Parties agree that they have read the Order Form (Part A) and the Call-Off Contract terms and by signing below agree to be bound by this Call-Off Contract. </w:t>
      </w:r>
    </w:p>
    <w:p w:rsidR="007D11BB" w:rsidRDefault="004E520F">
      <w:pPr>
        <w:numPr>
          <w:ilvl w:val="1"/>
          <w:numId w:val="1"/>
        </w:numPr>
        <w:ind w:hanging="725"/>
      </w:pPr>
      <w:r>
        <w:t xml:space="preserve">This Call-Off Contract will be formed when the Buyer acknowledges receipt of the signed copy of the Order Form from the Supplier. </w:t>
      </w:r>
    </w:p>
    <w:p w:rsidR="007D11BB" w:rsidRDefault="004E520F">
      <w:pPr>
        <w:numPr>
          <w:ilvl w:val="1"/>
          <w:numId w:val="1"/>
        </w:numPr>
        <w:spacing w:after="204"/>
        <w:ind w:hanging="725"/>
      </w:pPr>
      <w:r>
        <w:t xml:space="preserve">In cases of any ambiguity or conflict the terms and conditions of the Call-Off Contract and Order Form will supersede those of the Supplier Terms and Conditions. </w:t>
      </w:r>
    </w:p>
    <w:p w:rsidR="007D11BB" w:rsidRDefault="004E520F">
      <w:pPr>
        <w:numPr>
          <w:ilvl w:val="0"/>
          <w:numId w:val="1"/>
        </w:numPr>
        <w:ind w:hanging="238"/>
      </w:pPr>
      <w:r>
        <w:t xml:space="preserve">Background to the agreement  </w:t>
      </w:r>
    </w:p>
    <w:p w:rsidR="007D11BB" w:rsidRDefault="004E520F">
      <w:pPr>
        <w:numPr>
          <w:ilvl w:val="0"/>
          <w:numId w:val="2"/>
        </w:numPr>
        <w:ind w:hanging="725"/>
      </w:pPr>
      <w:r>
        <w:t xml:space="preserve">The Supplier is a provider of G-Cloud Services and agreed to provide the Services under the terms of Framework Agreement number RM1557.10. </w:t>
      </w:r>
    </w:p>
    <w:p w:rsidR="007D11BB" w:rsidRDefault="004E520F">
      <w:pPr>
        <w:numPr>
          <w:ilvl w:val="0"/>
          <w:numId w:val="2"/>
        </w:numPr>
        <w:spacing w:after="0"/>
        <w:ind w:hanging="725"/>
      </w:pPr>
      <w:r>
        <w:t xml:space="preserve">The Buyer provided an Order Form for Services to the Supplier. </w:t>
      </w:r>
    </w:p>
    <w:tbl>
      <w:tblPr>
        <w:tblStyle w:val="TableGrid"/>
        <w:tblW w:w="10622" w:type="dxa"/>
        <w:tblInd w:w="14" w:type="dxa"/>
        <w:tblCellMar>
          <w:top w:w="110" w:type="dxa"/>
          <w:left w:w="90" w:type="dxa"/>
          <w:bottom w:w="108" w:type="dxa"/>
          <w:right w:w="67" w:type="dxa"/>
        </w:tblCellMar>
        <w:tblLook w:val="04A0" w:firstRow="1" w:lastRow="0" w:firstColumn="1" w:lastColumn="0" w:noHBand="0" w:noVBand="1"/>
      </w:tblPr>
      <w:tblGrid>
        <w:gridCol w:w="2280"/>
        <w:gridCol w:w="4170"/>
        <w:gridCol w:w="4172"/>
      </w:tblGrid>
      <w:tr w:rsidR="007D11BB">
        <w:trPr>
          <w:trHeight w:val="538"/>
        </w:trPr>
        <w:tc>
          <w:tcPr>
            <w:tcW w:w="2280" w:type="dxa"/>
            <w:tcBorders>
              <w:top w:val="single" w:sz="8" w:space="0" w:color="000001"/>
              <w:left w:val="single" w:sz="8" w:space="0" w:color="000001"/>
              <w:bottom w:val="single" w:sz="8" w:space="0" w:color="000001"/>
              <w:right w:val="single" w:sz="8" w:space="0" w:color="000001"/>
            </w:tcBorders>
            <w:vAlign w:val="center"/>
          </w:tcPr>
          <w:p w:rsidR="007D11BB" w:rsidRDefault="004E520F">
            <w:pPr>
              <w:spacing w:after="0" w:line="259" w:lineRule="auto"/>
              <w:ind w:left="2" w:firstLine="0"/>
            </w:pPr>
            <w:r>
              <w:t xml:space="preserve">Signed: </w:t>
            </w:r>
          </w:p>
        </w:tc>
        <w:tc>
          <w:tcPr>
            <w:tcW w:w="4170" w:type="dxa"/>
            <w:tcBorders>
              <w:top w:val="single" w:sz="8" w:space="0" w:color="000001"/>
              <w:left w:val="single" w:sz="8" w:space="0" w:color="000001"/>
              <w:bottom w:val="single" w:sz="8" w:space="0" w:color="000001"/>
              <w:right w:val="single" w:sz="8" w:space="0" w:color="000001"/>
            </w:tcBorders>
            <w:vAlign w:val="center"/>
          </w:tcPr>
          <w:p w:rsidR="007D11BB" w:rsidRDefault="004E520F">
            <w:pPr>
              <w:spacing w:after="0" w:line="259" w:lineRule="auto"/>
              <w:ind w:left="2" w:firstLine="0"/>
            </w:pPr>
            <w:r>
              <w:t xml:space="preserve">Supplier </w:t>
            </w:r>
          </w:p>
        </w:tc>
        <w:tc>
          <w:tcPr>
            <w:tcW w:w="4172" w:type="dxa"/>
            <w:tcBorders>
              <w:top w:val="single" w:sz="8" w:space="0" w:color="000001"/>
              <w:left w:val="single" w:sz="8" w:space="0" w:color="000001"/>
              <w:bottom w:val="single" w:sz="8" w:space="0" w:color="000001"/>
              <w:right w:val="single" w:sz="8" w:space="0" w:color="000001"/>
            </w:tcBorders>
            <w:vAlign w:val="center"/>
          </w:tcPr>
          <w:p w:rsidR="007D11BB" w:rsidRDefault="004E520F">
            <w:pPr>
              <w:spacing w:after="0" w:line="259" w:lineRule="auto"/>
              <w:ind w:left="2" w:firstLine="0"/>
            </w:pPr>
            <w:r>
              <w:t xml:space="preserve">Buyer </w:t>
            </w:r>
          </w:p>
        </w:tc>
      </w:tr>
      <w:tr w:rsidR="007D11BB">
        <w:trPr>
          <w:trHeight w:val="535"/>
        </w:trPr>
        <w:tc>
          <w:tcPr>
            <w:tcW w:w="2280" w:type="dxa"/>
            <w:tcBorders>
              <w:top w:val="single" w:sz="8" w:space="0" w:color="000001"/>
              <w:left w:val="single" w:sz="8" w:space="0" w:color="000001"/>
              <w:bottom w:val="single" w:sz="8" w:space="0" w:color="000001"/>
              <w:right w:val="single" w:sz="8" w:space="0" w:color="000001"/>
            </w:tcBorders>
            <w:vAlign w:val="center"/>
          </w:tcPr>
          <w:p w:rsidR="007D11BB" w:rsidRDefault="004E520F">
            <w:pPr>
              <w:spacing w:after="0" w:line="259" w:lineRule="auto"/>
              <w:ind w:left="2" w:firstLine="0"/>
            </w:pPr>
            <w:r>
              <w:t xml:space="preserve">Name: </w:t>
            </w:r>
          </w:p>
        </w:tc>
        <w:tc>
          <w:tcPr>
            <w:tcW w:w="4170" w:type="dxa"/>
            <w:tcBorders>
              <w:top w:val="single" w:sz="8" w:space="0" w:color="000001"/>
              <w:left w:val="single" w:sz="8" w:space="0" w:color="000001"/>
              <w:bottom w:val="single" w:sz="8" w:space="0" w:color="000001"/>
              <w:right w:val="single" w:sz="8" w:space="0" w:color="000001"/>
            </w:tcBorders>
            <w:vAlign w:val="center"/>
          </w:tcPr>
          <w:p w:rsidR="007D11BB" w:rsidRPr="004C0D5E" w:rsidRDefault="004C0D5E">
            <w:pPr>
              <w:spacing w:after="0" w:line="259" w:lineRule="auto"/>
              <w:ind w:left="2" w:firstLine="0"/>
              <w:rPr>
                <w:i/>
              </w:rPr>
            </w:pPr>
            <w:r>
              <w:rPr>
                <w:i/>
              </w:rPr>
              <w:t>Redacted</w:t>
            </w:r>
            <w:r w:rsidR="004E520F" w:rsidRPr="004C0D5E">
              <w:rPr>
                <w:i/>
              </w:rPr>
              <w:t xml:space="preserve"> </w:t>
            </w:r>
          </w:p>
        </w:tc>
        <w:tc>
          <w:tcPr>
            <w:tcW w:w="4172" w:type="dxa"/>
            <w:tcBorders>
              <w:top w:val="single" w:sz="8" w:space="0" w:color="000001"/>
              <w:left w:val="single" w:sz="8" w:space="0" w:color="000001"/>
              <w:bottom w:val="single" w:sz="8" w:space="0" w:color="000001"/>
              <w:right w:val="single" w:sz="8" w:space="0" w:color="000001"/>
            </w:tcBorders>
            <w:vAlign w:val="center"/>
          </w:tcPr>
          <w:p w:rsidR="007D11BB" w:rsidRPr="004C0D5E" w:rsidRDefault="004C0D5E">
            <w:pPr>
              <w:spacing w:after="0" w:line="259" w:lineRule="auto"/>
              <w:ind w:left="2" w:firstLine="0"/>
              <w:rPr>
                <w:i/>
              </w:rPr>
            </w:pPr>
            <w:r>
              <w:rPr>
                <w:i/>
              </w:rPr>
              <w:t>Redacted</w:t>
            </w:r>
            <w:r w:rsidR="004E520F" w:rsidRPr="004C0D5E">
              <w:rPr>
                <w:i/>
              </w:rPr>
              <w:t xml:space="preserve"> </w:t>
            </w:r>
          </w:p>
        </w:tc>
      </w:tr>
      <w:tr w:rsidR="007D11BB">
        <w:trPr>
          <w:trHeight w:val="535"/>
        </w:trPr>
        <w:tc>
          <w:tcPr>
            <w:tcW w:w="2280" w:type="dxa"/>
            <w:tcBorders>
              <w:top w:val="single" w:sz="8" w:space="0" w:color="000001"/>
              <w:left w:val="single" w:sz="8" w:space="0" w:color="000001"/>
              <w:bottom w:val="single" w:sz="8" w:space="0" w:color="000001"/>
              <w:right w:val="single" w:sz="8" w:space="0" w:color="000001"/>
            </w:tcBorders>
            <w:vAlign w:val="center"/>
          </w:tcPr>
          <w:p w:rsidR="007D11BB" w:rsidRDefault="004E520F">
            <w:pPr>
              <w:spacing w:after="0" w:line="259" w:lineRule="auto"/>
              <w:ind w:left="2" w:firstLine="0"/>
            </w:pPr>
            <w:r>
              <w:t xml:space="preserve">Title: </w:t>
            </w:r>
          </w:p>
        </w:tc>
        <w:tc>
          <w:tcPr>
            <w:tcW w:w="4170" w:type="dxa"/>
            <w:tcBorders>
              <w:top w:val="single" w:sz="8" w:space="0" w:color="000001"/>
              <w:left w:val="single" w:sz="8" w:space="0" w:color="000001"/>
              <w:bottom w:val="single" w:sz="8" w:space="0" w:color="000001"/>
              <w:right w:val="single" w:sz="8" w:space="0" w:color="000001"/>
            </w:tcBorders>
            <w:vAlign w:val="center"/>
          </w:tcPr>
          <w:p w:rsidR="007D11BB" w:rsidRDefault="004E520F">
            <w:pPr>
              <w:spacing w:after="0" w:line="259" w:lineRule="auto"/>
              <w:ind w:left="2" w:firstLine="0"/>
              <w:jc w:val="both"/>
            </w:pPr>
            <w:r>
              <w:t xml:space="preserve">Director – UK Sector Lead, Intelligence </w:t>
            </w:r>
          </w:p>
        </w:tc>
        <w:tc>
          <w:tcPr>
            <w:tcW w:w="4172" w:type="dxa"/>
            <w:tcBorders>
              <w:top w:val="single" w:sz="8" w:space="0" w:color="000001"/>
              <w:left w:val="single" w:sz="8" w:space="0" w:color="000001"/>
              <w:bottom w:val="single" w:sz="8" w:space="0" w:color="000001"/>
              <w:right w:val="single" w:sz="8" w:space="0" w:color="000001"/>
            </w:tcBorders>
            <w:vAlign w:val="center"/>
          </w:tcPr>
          <w:p w:rsidR="007D11BB" w:rsidRDefault="004E520F">
            <w:pPr>
              <w:spacing w:after="0" w:line="259" w:lineRule="auto"/>
              <w:ind w:left="2" w:firstLine="0"/>
            </w:pPr>
            <w:r>
              <w:t xml:space="preserve">Procurement Manager </w:t>
            </w:r>
          </w:p>
        </w:tc>
      </w:tr>
      <w:tr w:rsidR="007D11BB">
        <w:trPr>
          <w:trHeight w:val="1730"/>
        </w:trPr>
        <w:tc>
          <w:tcPr>
            <w:tcW w:w="2280"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2" w:firstLine="0"/>
            </w:pPr>
            <w:r>
              <w:t xml:space="preserve">Signature: </w:t>
            </w:r>
          </w:p>
        </w:tc>
        <w:tc>
          <w:tcPr>
            <w:tcW w:w="4170" w:type="dxa"/>
            <w:tcBorders>
              <w:top w:val="single" w:sz="8" w:space="0" w:color="000001"/>
              <w:left w:val="single" w:sz="8" w:space="0" w:color="000001"/>
              <w:bottom w:val="single" w:sz="8" w:space="0" w:color="000001"/>
              <w:right w:val="single" w:sz="8" w:space="0" w:color="000001"/>
            </w:tcBorders>
          </w:tcPr>
          <w:p w:rsidR="007D11BB" w:rsidRPr="004C0D5E" w:rsidRDefault="004C0D5E">
            <w:pPr>
              <w:spacing w:after="0" w:line="259" w:lineRule="auto"/>
              <w:ind w:left="498" w:firstLine="0"/>
              <w:rPr>
                <w:i/>
              </w:rPr>
            </w:pPr>
            <w:r>
              <w:rPr>
                <w:i/>
              </w:rPr>
              <w:t>Redacted</w:t>
            </w:r>
          </w:p>
        </w:tc>
        <w:tc>
          <w:tcPr>
            <w:tcW w:w="4172" w:type="dxa"/>
            <w:tcBorders>
              <w:top w:val="single" w:sz="8" w:space="0" w:color="000001"/>
              <w:left w:val="single" w:sz="8" w:space="0" w:color="000001"/>
              <w:bottom w:val="single" w:sz="8" w:space="0" w:color="000001"/>
              <w:right w:val="single" w:sz="8" w:space="0" w:color="000001"/>
            </w:tcBorders>
            <w:vAlign w:val="bottom"/>
          </w:tcPr>
          <w:p w:rsidR="007D11BB" w:rsidRDefault="004C0D5E">
            <w:pPr>
              <w:spacing w:after="0" w:line="259" w:lineRule="auto"/>
              <w:ind w:left="0" w:right="1155" w:firstLine="0"/>
              <w:jc w:val="center"/>
            </w:pPr>
            <w:r>
              <w:rPr>
                <w:i/>
                <w:noProof/>
              </w:rPr>
              <w:t>Redacted</w:t>
            </w:r>
            <w:r w:rsidR="004E520F">
              <w:rPr>
                <w:rFonts w:ascii="Arial" w:eastAsia="Arial" w:hAnsi="Arial" w:cs="Arial"/>
                <w:sz w:val="20"/>
              </w:rPr>
              <w:t xml:space="preserve"> </w:t>
            </w:r>
          </w:p>
        </w:tc>
      </w:tr>
      <w:tr w:rsidR="007D11BB">
        <w:trPr>
          <w:trHeight w:val="538"/>
        </w:trPr>
        <w:tc>
          <w:tcPr>
            <w:tcW w:w="2280" w:type="dxa"/>
            <w:tcBorders>
              <w:top w:val="single" w:sz="8" w:space="0" w:color="000001"/>
              <w:left w:val="single" w:sz="8" w:space="0" w:color="000001"/>
              <w:bottom w:val="single" w:sz="8" w:space="0" w:color="000001"/>
              <w:right w:val="single" w:sz="8" w:space="0" w:color="000001"/>
            </w:tcBorders>
            <w:vAlign w:val="center"/>
          </w:tcPr>
          <w:p w:rsidR="007D11BB" w:rsidRDefault="004E520F">
            <w:pPr>
              <w:spacing w:after="0" w:line="259" w:lineRule="auto"/>
              <w:ind w:left="2" w:firstLine="0"/>
            </w:pPr>
            <w:r>
              <w:t xml:space="preserve">Date: </w:t>
            </w:r>
          </w:p>
        </w:tc>
        <w:tc>
          <w:tcPr>
            <w:tcW w:w="4170" w:type="dxa"/>
            <w:tcBorders>
              <w:top w:val="single" w:sz="8" w:space="0" w:color="000001"/>
              <w:left w:val="single" w:sz="8" w:space="0" w:color="000001"/>
              <w:bottom w:val="single" w:sz="8" w:space="0" w:color="000001"/>
              <w:right w:val="single" w:sz="8" w:space="0" w:color="000001"/>
            </w:tcBorders>
            <w:vAlign w:val="center"/>
          </w:tcPr>
          <w:p w:rsidR="007D11BB" w:rsidRDefault="004E520F">
            <w:pPr>
              <w:spacing w:after="0" w:line="259" w:lineRule="auto"/>
              <w:ind w:left="2" w:firstLine="0"/>
            </w:pPr>
            <w:r>
              <w:t xml:space="preserve">20/12/2018 </w:t>
            </w:r>
          </w:p>
        </w:tc>
        <w:tc>
          <w:tcPr>
            <w:tcW w:w="4172" w:type="dxa"/>
            <w:tcBorders>
              <w:top w:val="single" w:sz="8" w:space="0" w:color="000001"/>
              <w:left w:val="single" w:sz="8" w:space="0" w:color="000001"/>
              <w:bottom w:val="single" w:sz="8" w:space="0" w:color="000001"/>
              <w:right w:val="single" w:sz="8" w:space="0" w:color="000001"/>
            </w:tcBorders>
            <w:vAlign w:val="center"/>
          </w:tcPr>
          <w:p w:rsidR="007D11BB" w:rsidRDefault="004E520F">
            <w:pPr>
              <w:spacing w:after="0" w:line="259" w:lineRule="auto"/>
              <w:ind w:left="2" w:firstLine="0"/>
            </w:pPr>
            <w:r>
              <w:t xml:space="preserve">03/01/2019 </w:t>
            </w:r>
          </w:p>
        </w:tc>
      </w:tr>
    </w:tbl>
    <w:p w:rsidR="007D11BB" w:rsidRDefault="004E520F">
      <w:pPr>
        <w:spacing w:after="19" w:line="259" w:lineRule="auto"/>
        <w:ind w:left="5" w:firstLine="0"/>
      </w:pPr>
      <w:r>
        <w:t xml:space="preserve"> </w:t>
      </w:r>
    </w:p>
    <w:p w:rsidR="007D11BB" w:rsidRDefault="004E520F">
      <w:pPr>
        <w:pStyle w:val="Heading1"/>
        <w:spacing w:after="209"/>
        <w:ind w:left="0"/>
      </w:pPr>
      <w:bookmarkStart w:id="1" w:name="_Toc72491"/>
      <w:r>
        <w:t xml:space="preserve">Schedule 1 - Services </w:t>
      </w:r>
      <w:bookmarkEnd w:id="1"/>
    </w:p>
    <w:p w:rsidR="007D11BB" w:rsidRDefault="004E520F">
      <w:pPr>
        <w:spacing w:after="58" w:line="259" w:lineRule="auto"/>
        <w:ind w:left="5" w:firstLine="0"/>
      </w:pPr>
      <w:r>
        <w:t xml:space="preserve"> </w:t>
      </w:r>
    </w:p>
    <w:p w:rsidR="007D11BB" w:rsidRDefault="004E520F">
      <w:pPr>
        <w:numPr>
          <w:ilvl w:val="0"/>
          <w:numId w:val="3"/>
        </w:numPr>
        <w:spacing w:after="3"/>
        <w:ind w:hanging="360"/>
      </w:pPr>
      <w:r>
        <w:t xml:space="preserve">On boarding </w:t>
      </w:r>
    </w:p>
    <w:p w:rsidR="007D11BB" w:rsidRDefault="004E520F">
      <w:pPr>
        <w:numPr>
          <w:ilvl w:val="0"/>
          <w:numId w:val="3"/>
        </w:numPr>
        <w:spacing w:after="0"/>
        <w:ind w:hanging="360"/>
      </w:pPr>
      <w:r>
        <w:t xml:space="preserve">Baseline service </w:t>
      </w:r>
    </w:p>
    <w:p w:rsidR="007D11BB" w:rsidRDefault="004E520F">
      <w:pPr>
        <w:numPr>
          <w:ilvl w:val="0"/>
          <w:numId w:val="3"/>
        </w:numPr>
        <w:spacing w:after="2"/>
        <w:ind w:hanging="360"/>
      </w:pPr>
      <w:r>
        <w:lastRenderedPageBreak/>
        <w:t xml:space="preserve">100TB Data hosting </w:t>
      </w:r>
    </w:p>
    <w:p w:rsidR="007D11BB" w:rsidRDefault="004E520F">
      <w:pPr>
        <w:numPr>
          <w:ilvl w:val="0"/>
          <w:numId w:val="3"/>
        </w:numPr>
        <w:spacing w:after="2"/>
        <w:ind w:hanging="360"/>
      </w:pPr>
      <w:r>
        <w:t xml:space="preserve">100TB Data backup </w:t>
      </w:r>
    </w:p>
    <w:p w:rsidR="007D11BB" w:rsidRDefault="004E520F">
      <w:pPr>
        <w:numPr>
          <w:ilvl w:val="0"/>
          <w:numId w:val="3"/>
        </w:numPr>
        <w:spacing w:after="0"/>
        <w:ind w:hanging="360"/>
      </w:pPr>
      <w:r>
        <w:t xml:space="preserve">200 User licenses </w:t>
      </w:r>
    </w:p>
    <w:p w:rsidR="007D11BB" w:rsidRDefault="004E520F">
      <w:pPr>
        <w:numPr>
          <w:ilvl w:val="0"/>
          <w:numId w:val="3"/>
        </w:numPr>
        <w:spacing w:after="3"/>
        <w:ind w:hanging="360"/>
      </w:pPr>
      <w:r>
        <w:t xml:space="preserve">Updates to the core API </w:t>
      </w:r>
    </w:p>
    <w:p w:rsidR="007D11BB" w:rsidRDefault="004E520F">
      <w:pPr>
        <w:numPr>
          <w:ilvl w:val="0"/>
          <w:numId w:val="3"/>
        </w:numPr>
        <w:spacing w:after="0"/>
        <w:ind w:hanging="360"/>
      </w:pPr>
      <w:r>
        <w:t xml:space="preserve">Data Management </w:t>
      </w:r>
    </w:p>
    <w:p w:rsidR="007D11BB" w:rsidRDefault="004E520F">
      <w:pPr>
        <w:spacing w:after="21" w:line="259" w:lineRule="auto"/>
        <w:ind w:left="5" w:firstLine="0"/>
      </w:pPr>
      <w:r>
        <w:t xml:space="preserve"> </w:t>
      </w:r>
    </w:p>
    <w:p w:rsidR="007D11BB" w:rsidRDefault="004E520F">
      <w:pPr>
        <w:pStyle w:val="Heading1"/>
        <w:spacing w:after="207"/>
        <w:ind w:left="0"/>
      </w:pPr>
      <w:bookmarkStart w:id="2" w:name="_Toc72492"/>
      <w:r>
        <w:t xml:space="preserve">Schedule 2 - Call-Off Contract charges </w:t>
      </w:r>
      <w:bookmarkEnd w:id="2"/>
    </w:p>
    <w:p w:rsidR="007D11BB" w:rsidRDefault="004E520F">
      <w:pPr>
        <w:spacing w:after="5"/>
        <w:ind w:left="0"/>
      </w:pPr>
      <w:r>
        <w:t xml:space="preserve">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 </w:t>
      </w:r>
    </w:p>
    <w:p w:rsidR="007D11BB" w:rsidRDefault="004E520F">
      <w:pPr>
        <w:spacing w:after="0" w:line="259" w:lineRule="auto"/>
        <w:ind w:left="5" w:firstLine="0"/>
      </w:pPr>
      <w:r>
        <w:t xml:space="preserve"> </w:t>
      </w:r>
    </w:p>
    <w:p w:rsidR="007D11BB" w:rsidRDefault="007D11BB">
      <w:pPr>
        <w:sectPr w:rsidR="007D11BB">
          <w:headerReference w:type="default" r:id="rId8"/>
          <w:footerReference w:type="even" r:id="rId9"/>
          <w:footerReference w:type="default" r:id="rId10"/>
          <w:footerReference w:type="first" r:id="rId11"/>
          <w:pgSz w:w="11906" w:h="16838"/>
          <w:pgMar w:top="965" w:right="571" w:bottom="2232" w:left="701" w:header="720" w:footer="937" w:gutter="0"/>
          <w:cols w:space="720"/>
        </w:sectPr>
      </w:pPr>
    </w:p>
    <w:tbl>
      <w:tblPr>
        <w:tblStyle w:val="TableGrid"/>
        <w:tblW w:w="9070" w:type="dxa"/>
        <w:tblInd w:w="290" w:type="dxa"/>
        <w:tblCellMar>
          <w:top w:w="8" w:type="dxa"/>
          <w:left w:w="106" w:type="dxa"/>
          <w:right w:w="64" w:type="dxa"/>
        </w:tblCellMar>
        <w:tblLook w:val="04A0" w:firstRow="1" w:lastRow="0" w:firstColumn="1" w:lastColumn="0" w:noHBand="0" w:noVBand="1"/>
      </w:tblPr>
      <w:tblGrid>
        <w:gridCol w:w="3663"/>
        <w:gridCol w:w="1070"/>
        <w:gridCol w:w="1477"/>
        <w:gridCol w:w="2860"/>
      </w:tblGrid>
      <w:tr w:rsidR="007D11BB">
        <w:trPr>
          <w:trHeight w:val="406"/>
        </w:trPr>
        <w:tc>
          <w:tcPr>
            <w:tcW w:w="3663" w:type="dxa"/>
            <w:tcBorders>
              <w:top w:val="single" w:sz="4" w:space="0" w:color="000000"/>
              <w:left w:val="single" w:sz="4" w:space="0" w:color="000000"/>
              <w:bottom w:val="single" w:sz="4" w:space="0" w:color="000000"/>
              <w:right w:val="nil"/>
            </w:tcBorders>
            <w:shd w:val="clear" w:color="auto" w:fill="D9D9D9"/>
          </w:tcPr>
          <w:p w:rsidR="007D11BB" w:rsidRDefault="007D11BB">
            <w:pPr>
              <w:spacing w:after="160" w:line="259" w:lineRule="auto"/>
              <w:ind w:left="0" w:firstLine="0"/>
            </w:pPr>
          </w:p>
        </w:tc>
        <w:tc>
          <w:tcPr>
            <w:tcW w:w="2547" w:type="dxa"/>
            <w:gridSpan w:val="2"/>
            <w:tcBorders>
              <w:top w:val="single" w:sz="4" w:space="0" w:color="000000"/>
              <w:left w:val="nil"/>
              <w:bottom w:val="single" w:sz="4" w:space="0" w:color="000000"/>
              <w:right w:val="nil"/>
            </w:tcBorders>
            <w:shd w:val="clear" w:color="auto" w:fill="D9D9D9"/>
          </w:tcPr>
          <w:p w:rsidR="007D11BB" w:rsidRDefault="004E520F">
            <w:pPr>
              <w:spacing w:after="0" w:line="259" w:lineRule="auto"/>
              <w:ind w:left="55" w:firstLine="0"/>
            </w:pPr>
            <w:r>
              <w:rPr>
                <w:rFonts w:ascii="Arial" w:eastAsia="Arial" w:hAnsi="Arial" w:cs="Arial"/>
                <w:sz w:val="15"/>
              </w:rPr>
              <w:t xml:space="preserve">IBI Group UK Limited  </w:t>
            </w:r>
          </w:p>
        </w:tc>
        <w:tc>
          <w:tcPr>
            <w:tcW w:w="2860" w:type="dxa"/>
            <w:tcBorders>
              <w:top w:val="single" w:sz="4" w:space="0" w:color="000000"/>
              <w:left w:val="nil"/>
              <w:bottom w:val="single" w:sz="4" w:space="0" w:color="000000"/>
              <w:right w:val="single" w:sz="4" w:space="0" w:color="000000"/>
            </w:tcBorders>
            <w:shd w:val="clear" w:color="auto" w:fill="D9D9D9"/>
          </w:tcPr>
          <w:p w:rsidR="007D11BB" w:rsidRDefault="007D11BB">
            <w:pPr>
              <w:spacing w:after="160" w:line="259" w:lineRule="auto"/>
              <w:ind w:left="0" w:firstLine="0"/>
            </w:pPr>
          </w:p>
        </w:tc>
      </w:tr>
      <w:tr w:rsidR="007D11BB">
        <w:trPr>
          <w:trHeight w:val="609"/>
        </w:trPr>
        <w:tc>
          <w:tcPr>
            <w:tcW w:w="3663" w:type="dxa"/>
            <w:tcBorders>
              <w:top w:val="single" w:sz="4" w:space="0" w:color="000000"/>
              <w:left w:val="single" w:sz="4" w:space="0" w:color="000000"/>
              <w:bottom w:val="single" w:sz="4" w:space="0" w:color="000000"/>
              <w:right w:val="single" w:sz="4" w:space="0" w:color="000000"/>
            </w:tcBorders>
          </w:tcPr>
          <w:p w:rsidR="007D11BB" w:rsidRPr="004C0D5E" w:rsidRDefault="004E520F">
            <w:pPr>
              <w:spacing w:after="0" w:line="259" w:lineRule="auto"/>
              <w:ind w:left="0" w:firstLine="0"/>
            </w:pPr>
            <w:r w:rsidRPr="004C0D5E">
              <w:rPr>
                <w:rFonts w:ascii="Arial" w:eastAsia="Arial" w:hAnsi="Arial" w:cs="Arial"/>
                <w:sz w:val="15"/>
              </w:rPr>
              <w:t xml:space="preserve">Item </w:t>
            </w:r>
          </w:p>
        </w:tc>
        <w:tc>
          <w:tcPr>
            <w:tcW w:w="1070" w:type="dxa"/>
            <w:tcBorders>
              <w:top w:val="single" w:sz="4" w:space="0" w:color="000000"/>
              <w:left w:val="single" w:sz="4" w:space="0" w:color="000000"/>
              <w:bottom w:val="single" w:sz="4" w:space="0" w:color="000000"/>
              <w:right w:val="single" w:sz="4" w:space="0" w:color="000000"/>
            </w:tcBorders>
          </w:tcPr>
          <w:p w:rsidR="007D11BB" w:rsidRPr="004C0D5E" w:rsidRDefault="004E520F">
            <w:pPr>
              <w:spacing w:after="0" w:line="259" w:lineRule="auto"/>
              <w:ind w:left="5" w:firstLine="0"/>
            </w:pPr>
            <w:r w:rsidRPr="004C0D5E">
              <w:rPr>
                <w:rFonts w:ascii="Arial" w:eastAsia="Arial" w:hAnsi="Arial" w:cs="Arial"/>
                <w:sz w:val="15"/>
              </w:rPr>
              <w:t xml:space="preserve">Number </w:t>
            </w:r>
          </w:p>
        </w:tc>
        <w:tc>
          <w:tcPr>
            <w:tcW w:w="1476" w:type="dxa"/>
            <w:tcBorders>
              <w:top w:val="single" w:sz="4" w:space="0" w:color="000000"/>
              <w:left w:val="single" w:sz="4" w:space="0" w:color="000000"/>
              <w:bottom w:val="single" w:sz="4" w:space="0" w:color="000000"/>
              <w:right w:val="single" w:sz="4" w:space="0" w:color="000000"/>
            </w:tcBorders>
          </w:tcPr>
          <w:p w:rsidR="007D11BB" w:rsidRPr="004C0D5E" w:rsidRDefault="004E520F">
            <w:pPr>
              <w:spacing w:after="0" w:line="259" w:lineRule="auto"/>
              <w:ind w:left="2" w:right="18" w:firstLine="0"/>
            </w:pPr>
            <w:r w:rsidRPr="004C0D5E">
              <w:rPr>
                <w:rFonts w:ascii="Arial" w:eastAsia="Arial" w:hAnsi="Arial" w:cs="Arial"/>
                <w:sz w:val="15"/>
              </w:rPr>
              <w:t xml:space="preserve">Base Cost (annual) </w:t>
            </w:r>
          </w:p>
        </w:tc>
        <w:tc>
          <w:tcPr>
            <w:tcW w:w="2860" w:type="dxa"/>
            <w:tcBorders>
              <w:top w:val="single" w:sz="4" w:space="0" w:color="000000"/>
              <w:left w:val="single" w:sz="4" w:space="0" w:color="000000"/>
              <w:bottom w:val="single" w:sz="4" w:space="0" w:color="000000"/>
              <w:right w:val="single" w:sz="4" w:space="0" w:color="000000"/>
            </w:tcBorders>
          </w:tcPr>
          <w:p w:rsidR="007D11BB" w:rsidRPr="004C0D5E" w:rsidRDefault="004E520F">
            <w:pPr>
              <w:spacing w:after="0" w:line="259" w:lineRule="auto"/>
              <w:ind w:left="2" w:firstLine="0"/>
            </w:pPr>
            <w:r w:rsidRPr="004C0D5E">
              <w:rPr>
                <w:rFonts w:ascii="Arial" w:eastAsia="Arial" w:hAnsi="Arial" w:cs="Arial"/>
                <w:sz w:val="15"/>
              </w:rPr>
              <w:t xml:space="preserve">Total Cost for 12 months  </w:t>
            </w:r>
          </w:p>
        </w:tc>
      </w:tr>
      <w:tr w:rsidR="007D11BB">
        <w:trPr>
          <w:trHeight w:val="408"/>
        </w:trPr>
        <w:tc>
          <w:tcPr>
            <w:tcW w:w="3663" w:type="dxa"/>
            <w:tcBorders>
              <w:top w:val="single" w:sz="4" w:space="0" w:color="000000"/>
              <w:left w:val="single" w:sz="4" w:space="0" w:color="000000"/>
              <w:bottom w:val="single" w:sz="4" w:space="0" w:color="000000"/>
              <w:right w:val="single" w:sz="4" w:space="0" w:color="000000"/>
            </w:tcBorders>
          </w:tcPr>
          <w:p w:rsidR="007D11BB" w:rsidRPr="004C0D5E" w:rsidRDefault="004C0D5E">
            <w:pPr>
              <w:spacing w:after="0" w:line="259" w:lineRule="auto"/>
              <w:ind w:left="0" w:firstLine="0"/>
              <w:rPr>
                <w:i/>
              </w:rPr>
            </w:pPr>
            <w:r>
              <w:rPr>
                <w:rFonts w:ascii="Arial" w:eastAsia="Arial" w:hAnsi="Arial" w:cs="Arial"/>
                <w:i/>
                <w:sz w:val="15"/>
              </w:rPr>
              <w:t>Redacted</w:t>
            </w:r>
            <w:r w:rsidR="004E520F" w:rsidRPr="004C0D5E">
              <w:rPr>
                <w:rFonts w:ascii="Arial" w:eastAsia="Arial" w:hAnsi="Arial" w:cs="Arial"/>
                <w:i/>
                <w:sz w:val="15"/>
              </w:rPr>
              <w:t xml:space="preserve"> </w:t>
            </w:r>
          </w:p>
        </w:tc>
        <w:tc>
          <w:tcPr>
            <w:tcW w:w="1070" w:type="dxa"/>
            <w:tcBorders>
              <w:top w:val="single" w:sz="4" w:space="0" w:color="000000"/>
              <w:left w:val="single" w:sz="4" w:space="0" w:color="000000"/>
              <w:bottom w:val="single" w:sz="4" w:space="0" w:color="000000"/>
              <w:right w:val="single" w:sz="4" w:space="0" w:color="000000"/>
            </w:tcBorders>
          </w:tcPr>
          <w:p w:rsidR="007D11BB" w:rsidRPr="004C0D5E" w:rsidRDefault="004C0D5E">
            <w:pPr>
              <w:spacing w:after="0" w:line="259" w:lineRule="auto"/>
              <w:ind w:left="0" w:right="42" w:firstLine="0"/>
              <w:jc w:val="right"/>
            </w:pPr>
            <w:r>
              <w:rPr>
                <w:rFonts w:ascii="Arial" w:eastAsia="Arial" w:hAnsi="Arial" w:cs="Arial"/>
                <w:i/>
                <w:sz w:val="15"/>
              </w:rPr>
              <w:t>Redacted</w:t>
            </w:r>
          </w:p>
        </w:tc>
        <w:tc>
          <w:tcPr>
            <w:tcW w:w="1476" w:type="dxa"/>
            <w:tcBorders>
              <w:top w:val="single" w:sz="4" w:space="0" w:color="000000"/>
              <w:left w:val="single" w:sz="4" w:space="0" w:color="000000"/>
              <w:bottom w:val="single" w:sz="4" w:space="0" w:color="000000"/>
              <w:right w:val="single" w:sz="4" w:space="0" w:color="000000"/>
            </w:tcBorders>
          </w:tcPr>
          <w:p w:rsidR="007D11BB" w:rsidRPr="004C0D5E" w:rsidRDefault="004C0D5E">
            <w:pPr>
              <w:spacing w:after="0" w:line="259" w:lineRule="auto"/>
              <w:ind w:left="0" w:right="42" w:firstLine="0"/>
              <w:jc w:val="right"/>
            </w:pPr>
            <w:r>
              <w:rPr>
                <w:rFonts w:ascii="Arial" w:eastAsia="Arial" w:hAnsi="Arial" w:cs="Arial"/>
                <w:i/>
                <w:sz w:val="15"/>
              </w:rPr>
              <w:t>Redacted</w:t>
            </w:r>
          </w:p>
        </w:tc>
        <w:tc>
          <w:tcPr>
            <w:tcW w:w="2860" w:type="dxa"/>
            <w:tcBorders>
              <w:top w:val="single" w:sz="4" w:space="0" w:color="000000"/>
              <w:left w:val="single" w:sz="4" w:space="0" w:color="000000"/>
              <w:bottom w:val="single" w:sz="4" w:space="0" w:color="000000"/>
              <w:right w:val="single" w:sz="4" w:space="0" w:color="000000"/>
            </w:tcBorders>
          </w:tcPr>
          <w:p w:rsidR="007D11BB" w:rsidRPr="004C0D5E" w:rsidRDefault="004C0D5E">
            <w:pPr>
              <w:spacing w:after="0" w:line="259" w:lineRule="auto"/>
              <w:ind w:left="0" w:right="41" w:firstLine="0"/>
              <w:jc w:val="right"/>
            </w:pPr>
            <w:r>
              <w:rPr>
                <w:rFonts w:ascii="Arial" w:eastAsia="Arial" w:hAnsi="Arial" w:cs="Arial"/>
                <w:i/>
                <w:sz w:val="15"/>
              </w:rPr>
              <w:t>Redacted</w:t>
            </w:r>
          </w:p>
        </w:tc>
      </w:tr>
      <w:tr w:rsidR="007D11BB">
        <w:trPr>
          <w:trHeight w:val="408"/>
        </w:trPr>
        <w:tc>
          <w:tcPr>
            <w:tcW w:w="3663" w:type="dxa"/>
            <w:tcBorders>
              <w:top w:val="single" w:sz="4" w:space="0" w:color="000000"/>
              <w:left w:val="single" w:sz="4" w:space="0" w:color="000000"/>
              <w:bottom w:val="single" w:sz="4" w:space="0" w:color="000000"/>
              <w:right w:val="single" w:sz="4" w:space="0" w:color="000000"/>
            </w:tcBorders>
          </w:tcPr>
          <w:p w:rsidR="007D11BB" w:rsidRPr="004C0D5E" w:rsidRDefault="004C0D5E">
            <w:pPr>
              <w:spacing w:after="0" w:line="259" w:lineRule="auto"/>
              <w:ind w:left="0" w:firstLine="0"/>
            </w:pPr>
            <w:r>
              <w:rPr>
                <w:rFonts w:ascii="Arial" w:eastAsia="Arial" w:hAnsi="Arial" w:cs="Arial"/>
                <w:i/>
                <w:sz w:val="15"/>
              </w:rPr>
              <w:t>Redacted</w:t>
            </w:r>
          </w:p>
        </w:tc>
        <w:tc>
          <w:tcPr>
            <w:tcW w:w="1070" w:type="dxa"/>
            <w:tcBorders>
              <w:top w:val="single" w:sz="4" w:space="0" w:color="000000"/>
              <w:left w:val="single" w:sz="4" w:space="0" w:color="000000"/>
              <w:bottom w:val="single" w:sz="4" w:space="0" w:color="000000"/>
              <w:right w:val="single" w:sz="4" w:space="0" w:color="000000"/>
            </w:tcBorders>
          </w:tcPr>
          <w:p w:rsidR="007D11BB" w:rsidRPr="004C0D5E" w:rsidRDefault="004C0D5E">
            <w:pPr>
              <w:spacing w:after="0" w:line="259" w:lineRule="auto"/>
              <w:ind w:left="0" w:right="42" w:firstLine="0"/>
              <w:jc w:val="right"/>
            </w:pPr>
            <w:r>
              <w:rPr>
                <w:rFonts w:ascii="Arial" w:eastAsia="Arial" w:hAnsi="Arial" w:cs="Arial"/>
                <w:i/>
                <w:sz w:val="15"/>
              </w:rPr>
              <w:t>Redacted</w:t>
            </w:r>
          </w:p>
        </w:tc>
        <w:tc>
          <w:tcPr>
            <w:tcW w:w="1476" w:type="dxa"/>
            <w:tcBorders>
              <w:top w:val="single" w:sz="4" w:space="0" w:color="000000"/>
              <w:left w:val="single" w:sz="4" w:space="0" w:color="000000"/>
              <w:bottom w:val="single" w:sz="4" w:space="0" w:color="000000"/>
              <w:right w:val="single" w:sz="4" w:space="0" w:color="000000"/>
            </w:tcBorders>
          </w:tcPr>
          <w:p w:rsidR="007D11BB" w:rsidRPr="004C0D5E" w:rsidRDefault="004C0D5E">
            <w:pPr>
              <w:spacing w:after="0" w:line="259" w:lineRule="auto"/>
              <w:ind w:left="0" w:right="42" w:firstLine="0"/>
              <w:jc w:val="right"/>
            </w:pPr>
            <w:r>
              <w:rPr>
                <w:rFonts w:ascii="Arial" w:eastAsia="Arial" w:hAnsi="Arial" w:cs="Arial"/>
                <w:i/>
                <w:sz w:val="15"/>
              </w:rPr>
              <w:t>Redacted</w:t>
            </w:r>
          </w:p>
        </w:tc>
        <w:tc>
          <w:tcPr>
            <w:tcW w:w="2860" w:type="dxa"/>
            <w:tcBorders>
              <w:top w:val="single" w:sz="4" w:space="0" w:color="000000"/>
              <w:left w:val="single" w:sz="4" w:space="0" w:color="000000"/>
              <w:bottom w:val="single" w:sz="4" w:space="0" w:color="000000"/>
              <w:right w:val="single" w:sz="4" w:space="0" w:color="000000"/>
            </w:tcBorders>
          </w:tcPr>
          <w:p w:rsidR="007D11BB" w:rsidRPr="004C0D5E" w:rsidRDefault="004C0D5E">
            <w:pPr>
              <w:spacing w:after="0" w:line="259" w:lineRule="auto"/>
              <w:ind w:left="0" w:right="41" w:firstLine="0"/>
              <w:jc w:val="right"/>
            </w:pPr>
            <w:r>
              <w:rPr>
                <w:rFonts w:ascii="Arial" w:eastAsia="Arial" w:hAnsi="Arial" w:cs="Arial"/>
                <w:i/>
                <w:sz w:val="15"/>
              </w:rPr>
              <w:t>Redacted</w:t>
            </w:r>
          </w:p>
        </w:tc>
      </w:tr>
      <w:tr w:rsidR="007D11BB">
        <w:trPr>
          <w:trHeight w:val="408"/>
        </w:trPr>
        <w:tc>
          <w:tcPr>
            <w:tcW w:w="3663" w:type="dxa"/>
            <w:tcBorders>
              <w:top w:val="single" w:sz="4" w:space="0" w:color="000000"/>
              <w:left w:val="single" w:sz="4" w:space="0" w:color="000000"/>
              <w:bottom w:val="single" w:sz="4" w:space="0" w:color="000000"/>
              <w:right w:val="single" w:sz="4" w:space="0" w:color="000000"/>
            </w:tcBorders>
          </w:tcPr>
          <w:p w:rsidR="007D11BB" w:rsidRPr="004C0D5E" w:rsidRDefault="004C0D5E">
            <w:pPr>
              <w:spacing w:after="0" w:line="259" w:lineRule="auto"/>
              <w:ind w:left="0" w:firstLine="0"/>
            </w:pPr>
            <w:r>
              <w:rPr>
                <w:rFonts w:ascii="Arial" w:eastAsia="Arial" w:hAnsi="Arial" w:cs="Arial"/>
                <w:i/>
                <w:sz w:val="15"/>
              </w:rPr>
              <w:t>Redacted</w:t>
            </w:r>
          </w:p>
        </w:tc>
        <w:tc>
          <w:tcPr>
            <w:tcW w:w="1070" w:type="dxa"/>
            <w:tcBorders>
              <w:top w:val="single" w:sz="4" w:space="0" w:color="000000"/>
              <w:left w:val="single" w:sz="4" w:space="0" w:color="000000"/>
              <w:bottom w:val="single" w:sz="4" w:space="0" w:color="000000"/>
              <w:right w:val="single" w:sz="4" w:space="0" w:color="000000"/>
            </w:tcBorders>
          </w:tcPr>
          <w:p w:rsidR="007D11BB" w:rsidRPr="004C0D5E" w:rsidRDefault="004C0D5E">
            <w:pPr>
              <w:spacing w:after="0" w:line="259" w:lineRule="auto"/>
              <w:ind w:left="0" w:right="42" w:firstLine="0"/>
              <w:jc w:val="right"/>
            </w:pPr>
            <w:r>
              <w:rPr>
                <w:rFonts w:ascii="Arial" w:eastAsia="Arial" w:hAnsi="Arial" w:cs="Arial"/>
                <w:i/>
                <w:sz w:val="15"/>
              </w:rPr>
              <w:t>Redacted</w:t>
            </w:r>
          </w:p>
        </w:tc>
        <w:tc>
          <w:tcPr>
            <w:tcW w:w="1476" w:type="dxa"/>
            <w:tcBorders>
              <w:top w:val="single" w:sz="4" w:space="0" w:color="000000"/>
              <w:left w:val="single" w:sz="4" w:space="0" w:color="000000"/>
              <w:bottom w:val="single" w:sz="4" w:space="0" w:color="000000"/>
              <w:right w:val="single" w:sz="4" w:space="0" w:color="000000"/>
            </w:tcBorders>
          </w:tcPr>
          <w:p w:rsidR="007D11BB" w:rsidRPr="004C0D5E" w:rsidRDefault="004C0D5E">
            <w:pPr>
              <w:spacing w:after="0" w:line="259" w:lineRule="auto"/>
              <w:ind w:left="0" w:right="42" w:firstLine="0"/>
              <w:jc w:val="right"/>
            </w:pPr>
            <w:r>
              <w:rPr>
                <w:rFonts w:ascii="Arial" w:eastAsia="Arial" w:hAnsi="Arial" w:cs="Arial"/>
                <w:i/>
                <w:sz w:val="15"/>
              </w:rPr>
              <w:t>Redacted</w:t>
            </w:r>
          </w:p>
        </w:tc>
        <w:tc>
          <w:tcPr>
            <w:tcW w:w="2860" w:type="dxa"/>
            <w:tcBorders>
              <w:top w:val="single" w:sz="4" w:space="0" w:color="000000"/>
              <w:left w:val="single" w:sz="4" w:space="0" w:color="000000"/>
              <w:bottom w:val="single" w:sz="4" w:space="0" w:color="000000"/>
              <w:right w:val="single" w:sz="4" w:space="0" w:color="000000"/>
            </w:tcBorders>
          </w:tcPr>
          <w:p w:rsidR="007D11BB" w:rsidRPr="004C0D5E" w:rsidRDefault="004C0D5E">
            <w:pPr>
              <w:spacing w:after="0" w:line="259" w:lineRule="auto"/>
              <w:ind w:left="0" w:right="41" w:firstLine="0"/>
              <w:jc w:val="right"/>
            </w:pPr>
            <w:r>
              <w:rPr>
                <w:rFonts w:ascii="Arial" w:eastAsia="Arial" w:hAnsi="Arial" w:cs="Arial"/>
                <w:i/>
                <w:sz w:val="15"/>
              </w:rPr>
              <w:t>Redacted</w:t>
            </w:r>
          </w:p>
        </w:tc>
      </w:tr>
      <w:tr w:rsidR="007D11BB">
        <w:trPr>
          <w:trHeight w:val="410"/>
        </w:trPr>
        <w:tc>
          <w:tcPr>
            <w:tcW w:w="3663" w:type="dxa"/>
            <w:tcBorders>
              <w:top w:val="single" w:sz="4" w:space="0" w:color="000000"/>
              <w:left w:val="single" w:sz="4" w:space="0" w:color="000000"/>
              <w:bottom w:val="single" w:sz="4" w:space="0" w:color="000000"/>
              <w:right w:val="single" w:sz="4" w:space="0" w:color="000000"/>
            </w:tcBorders>
          </w:tcPr>
          <w:p w:rsidR="007D11BB" w:rsidRPr="004C0D5E" w:rsidRDefault="004C0D5E">
            <w:pPr>
              <w:spacing w:after="0" w:line="259" w:lineRule="auto"/>
              <w:ind w:left="0" w:firstLine="0"/>
            </w:pPr>
            <w:r>
              <w:rPr>
                <w:rFonts w:ascii="Arial" w:eastAsia="Arial" w:hAnsi="Arial" w:cs="Arial"/>
                <w:i/>
                <w:sz w:val="15"/>
              </w:rPr>
              <w:t>Redacted</w:t>
            </w:r>
          </w:p>
        </w:tc>
        <w:tc>
          <w:tcPr>
            <w:tcW w:w="1070" w:type="dxa"/>
            <w:tcBorders>
              <w:top w:val="single" w:sz="4" w:space="0" w:color="000000"/>
              <w:left w:val="single" w:sz="4" w:space="0" w:color="000000"/>
              <w:bottom w:val="single" w:sz="4" w:space="0" w:color="000000"/>
              <w:right w:val="single" w:sz="4" w:space="0" w:color="000000"/>
            </w:tcBorders>
          </w:tcPr>
          <w:p w:rsidR="007D11BB" w:rsidRPr="004C0D5E" w:rsidRDefault="004C0D5E">
            <w:pPr>
              <w:spacing w:after="0" w:line="259" w:lineRule="auto"/>
              <w:ind w:left="0" w:right="42" w:firstLine="0"/>
              <w:jc w:val="right"/>
            </w:pPr>
            <w:r>
              <w:rPr>
                <w:rFonts w:ascii="Arial" w:eastAsia="Arial" w:hAnsi="Arial" w:cs="Arial"/>
                <w:i/>
                <w:sz w:val="15"/>
              </w:rPr>
              <w:t>Redacted</w:t>
            </w:r>
          </w:p>
        </w:tc>
        <w:tc>
          <w:tcPr>
            <w:tcW w:w="1476" w:type="dxa"/>
            <w:tcBorders>
              <w:top w:val="single" w:sz="4" w:space="0" w:color="000000"/>
              <w:left w:val="single" w:sz="4" w:space="0" w:color="000000"/>
              <w:bottom w:val="single" w:sz="4" w:space="0" w:color="000000"/>
              <w:right w:val="single" w:sz="4" w:space="0" w:color="000000"/>
            </w:tcBorders>
          </w:tcPr>
          <w:p w:rsidR="007D11BB" w:rsidRPr="004C0D5E" w:rsidRDefault="004C0D5E">
            <w:pPr>
              <w:spacing w:after="0" w:line="259" w:lineRule="auto"/>
              <w:ind w:left="0" w:right="42" w:firstLine="0"/>
              <w:jc w:val="right"/>
            </w:pPr>
            <w:r>
              <w:rPr>
                <w:rFonts w:ascii="Arial" w:eastAsia="Arial" w:hAnsi="Arial" w:cs="Arial"/>
                <w:i/>
                <w:sz w:val="15"/>
              </w:rPr>
              <w:t>Redacted</w:t>
            </w:r>
          </w:p>
        </w:tc>
        <w:tc>
          <w:tcPr>
            <w:tcW w:w="2860" w:type="dxa"/>
            <w:tcBorders>
              <w:top w:val="single" w:sz="4" w:space="0" w:color="000000"/>
              <w:left w:val="single" w:sz="4" w:space="0" w:color="000000"/>
              <w:bottom w:val="single" w:sz="4" w:space="0" w:color="000000"/>
              <w:right w:val="single" w:sz="4" w:space="0" w:color="000000"/>
            </w:tcBorders>
          </w:tcPr>
          <w:p w:rsidR="007D11BB" w:rsidRPr="004C0D5E" w:rsidRDefault="004C0D5E">
            <w:pPr>
              <w:spacing w:after="0" w:line="259" w:lineRule="auto"/>
              <w:ind w:left="0" w:right="41" w:firstLine="0"/>
              <w:jc w:val="right"/>
            </w:pPr>
            <w:r>
              <w:rPr>
                <w:rFonts w:ascii="Arial" w:eastAsia="Arial" w:hAnsi="Arial" w:cs="Arial"/>
                <w:i/>
                <w:sz w:val="15"/>
              </w:rPr>
              <w:t>Redacted</w:t>
            </w:r>
          </w:p>
        </w:tc>
      </w:tr>
      <w:tr w:rsidR="007D11BB">
        <w:trPr>
          <w:trHeight w:val="408"/>
        </w:trPr>
        <w:tc>
          <w:tcPr>
            <w:tcW w:w="3663" w:type="dxa"/>
            <w:tcBorders>
              <w:top w:val="single" w:sz="4" w:space="0" w:color="000000"/>
              <w:left w:val="single" w:sz="4" w:space="0" w:color="000000"/>
              <w:bottom w:val="single" w:sz="4" w:space="0" w:color="000000"/>
              <w:right w:val="single" w:sz="4" w:space="0" w:color="000000"/>
            </w:tcBorders>
          </w:tcPr>
          <w:p w:rsidR="007D11BB" w:rsidRPr="004C0D5E" w:rsidRDefault="004C0D5E">
            <w:pPr>
              <w:spacing w:after="0" w:line="259" w:lineRule="auto"/>
              <w:ind w:left="0" w:firstLine="0"/>
            </w:pPr>
            <w:r>
              <w:rPr>
                <w:rFonts w:ascii="Arial" w:eastAsia="Arial" w:hAnsi="Arial" w:cs="Arial"/>
                <w:i/>
                <w:sz w:val="15"/>
              </w:rPr>
              <w:t>Redacted</w:t>
            </w:r>
          </w:p>
        </w:tc>
        <w:tc>
          <w:tcPr>
            <w:tcW w:w="1070" w:type="dxa"/>
            <w:tcBorders>
              <w:top w:val="single" w:sz="4" w:space="0" w:color="000000"/>
              <w:left w:val="single" w:sz="4" w:space="0" w:color="000000"/>
              <w:bottom w:val="single" w:sz="4" w:space="0" w:color="000000"/>
              <w:right w:val="single" w:sz="4" w:space="0" w:color="000000"/>
            </w:tcBorders>
          </w:tcPr>
          <w:p w:rsidR="007D11BB" w:rsidRPr="004C0D5E" w:rsidRDefault="004C0D5E">
            <w:pPr>
              <w:spacing w:after="0" w:line="259" w:lineRule="auto"/>
              <w:ind w:left="0" w:right="40" w:firstLine="0"/>
              <w:jc w:val="right"/>
            </w:pPr>
            <w:r>
              <w:rPr>
                <w:rFonts w:ascii="Arial" w:eastAsia="Arial" w:hAnsi="Arial" w:cs="Arial"/>
                <w:i/>
                <w:sz w:val="15"/>
              </w:rPr>
              <w:t>Redacted</w:t>
            </w:r>
          </w:p>
        </w:tc>
        <w:tc>
          <w:tcPr>
            <w:tcW w:w="1476" w:type="dxa"/>
            <w:tcBorders>
              <w:top w:val="single" w:sz="4" w:space="0" w:color="000000"/>
              <w:left w:val="single" w:sz="4" w:space="0" w:color="000000"/>
              <w:bottom w:val="single" w:sz="4" w:space="0" w:color="000000"/>
              <w:right w:val="single" w:sz="4" w:space="0" w:color="000000"/>
            </w:tcBorders>
          </w:tcPr>
          <w:p w:rsidR="007D11BB" w:rsidRPr="004C0D5E" w:rsidRDefault="004C0D5E">
            <w:pPr>
              <w:spacing w:after="0" w:line="259" w:lineRule="auto"/>
              <w:ind w:left="0" w:right="42" w:firstLine="0"/>
              <w:jc w:val="right"/>
            </w:pPr>
            <w:r>
              <w:rPr>
                <w:rFonts w:ascii="Arial" w:eastAsia="Arial" w:hAnsi="Arial" w:cs="Arial"/>
                <w:i/>
                <w:sz w:val="15"/>
              </w:rPr>
              <w:t>Redacted</w:t>
            </w:r>
          </w:p>
        </w:tc>
        <w:tc>
          <w:tcPr>
            <w:tcW w:w="2860" w:type="dxa"/>
            <w:tcBorders>
              <w:top w:val="single" w:sz="4" w:space="0" w:color="000000"/>
              <w:left w:val="single" w:sz="4" w:space="0" w:color="000000"/>
              <w:bottom w:val="single" w:sz="4" w:space="0" w:color="000000"/>
              <w:right w:val="single" w:sz="4" w:space="0" w:color="000000"/>
            </w:tcBorders>
          </w:tcPr>
          <w:p w:rsidR="007D11BB" w:rsidRPr="004C0D5E" w:rsidRDefault="004C0D5E">
            <w:pPr>
              <w:spacing w:after="0" w:line="259" w:lineRule="auto"/>
              <w:ind w:left="0" w:right="41" w:firstLine="0"/>
              <w:jc w:val="right"/>
            </w:pPr>
            <w:r>
              <w:rPr>
                <w:rFonts w:ascii="Arial" w:eastAsia="Arial" w:hAnsi="Arial" w:cs="Arial"/>
                <w:i/>
                <w:sz w:val="15"/>
              </w:rPr>
              <w:t>Redacted</w:t>
            </w:r>
          </w:p>
        </w:tc>
      </w:tr>
      <w:tr w:rsidR="007D11BB">
        <w:trPr>
          <w:trHeight w:val="408"/>
        </w:trPr>
        <w:tc>
          <w:tcPr>
            <w:tcW w:w="3663" w:type="dxa"/>
            <w:tcBorders>
              <w:top w:val="single" w:sz="4" w:space="0" w:color="000000"/>
              <w:left w:val="single" w:sz="4" w:space="0" w:color="000000"/>
              <w:bottom w:val="single" w:sz="4" w:space="0" w:color="000000"/>
              <w:right w:val="single" w:sz="4" w:space="0" w:color="000000"/>
            </w:tcBorders>
          </w:tcPr>
          <w:p w:rsidR="007D11BB" w:rsidRPr="004C0D5E" w:rsidRDefault="004C0D5E">
            <w:pPr>
              <w:spacing w:after="0" w:line="259" w:lineRule="auto"/>
              <w:ind w:left="0" w:firstLine="0"/>
            </w:pPr>
            <w:r>
              <w:rPr>
                <w:rFonts w:ascii="Arial" w:eastAsia="Arial" w:hAnsi="Arial" w:cs="Arial"/>
                <w:i/>
                <w:sz w:val="15"/>
              </w:rPr>
              <w:t>Redacted</w:t>
            </w:r>
          </w:p>
        </w:tc>
        <w:tc>
          <w:tcPr>
            <w:tcW w:w="1070" w:type="dxa"/>
            <w:tcBorders>
              <w:top w:val="single" w:sz="4" w:space="0" w:color="000000"/>
              <w:left w:val="single" w:sz="4" w:space="0" w:color="000000"/>
              <w:bottom w:val="single" w:sz="4" w:space="0" w:color="000000"/>
              <w:right w:val="single" w:sz="4" w:space="0" w:color="000000"/>
            </w:tcBorders>
          </w:tcPr>
          <w:p w:rsidR="007D11BB" w:rsidRPr="004C0D5E" w:rsidRDefault="004C0D5E">
            <w:pPr>
              <w:spacing w:after="0" w:line="259" w:lineRule="auto"/>
              <w:ind w:left="0" w:right="40" w:firstLine="0"/>
              <w:jc w:val="right"/>
            </w:pPr>
            <w:r>
              <w:rPr>
                <w:rFonts w:ascii="Arial" w:eastAsia="Arial" w:hAnsi="Arial" w:cs="Arial"/>
                <w:i/>
                <w:sz w:val="15"/>
              </w:rPr>
              <w:t>Redacted</w:t>
            </w:r>
          </w:p>
        </w:tc>
        <w:tc>
          <w:tcPr>
            <w:tcW w:w="1476" w:type="dxa"/>
            <w:tcBorders>
              <w:top w:val="single" w:sz="4" w:space="0" w:color="000000"/>
              <w:left w:val="single" w:sz="4" w:space="0" w:color="000000"/>
              <w:bottom w:val="single" w:sz="4" w:space="0" w:color="000000"/>
              <w:right w:val="single" w:sz="4" w:space="0" w:color="000000"/>
            </w:tcBorders>
          </w:tcPr>
          <w:p w:rsidR="007D11BB" w:rsidRPr="004C0D5E" w:rsidRDefault="004C0D5E">
            <w:pPr>
              <w:spacing w:after="0" w:line="259" w:lineRule="auto"/>
              <w:ind w:left="0" w:right="42" w:firstLine="0"/>
              <w:jc w:val="right"/>
            </w:pPr>
            <w:r>
              <w:rPr>
                <w:rFonts w:ascii="Arial" w:eastAsia="Arial" w:hAnsi="Arial" w:cs="Arial"/>
                <w:i/>
                <w:sz w:val="15"/>
              </w:rPr>
              <w:t>Redacted</w:t>
            </w:r>
          </w:p>
        </w:tc>
        <w:tc>
          <w:tcPr>
            <w:tcW w:w="2860" w:type="dxa"/>
            <w:tcBorders>
              <w:top w:val="single" w:sz="4" w:space="0" w:color="000000"/>
              <w:left w:val="single" w:sz="4" w:space="0" w:color="000000"/>
              <w:bottom w:val="single" w:sz="4" w:space="0" w:color="000000"/>
              <w:right w:val="single" w:sz="4" w:space="0" w:color="000000"/>
            </w:tcBorders>
          </w:tcPr>
          <w:p w:rsidR="007D11BB" w:rsidRPr="004C0D5E" w:rsidRDefault="004C0D5E">
            <w:pPr>
              <w:spacing w:after="0" w:line="259" w:lineRule="auto"/>
              <w:ind w:left="0" w:right="41" w:firstLine="0"/>
              <w:jc w:val="right"/>
            </w:pPr>
            <w:r>
              <w:rPr>
                <w:rFonts w:ascii="Arial" w:eastAsia="Arial" w:hAnsi="Arial" w:cs="Arial"/>
                <w:i/>
                <w:sz w:val="15"/>
              </w:rPr>
              <w:t>Redacted</w:t>
            </w:r>
          </w:p>
        </w:tc>
      </w:tr>
      <w:tr w:rsidR="007D11BB">
        <w:trPr>
          <w:trHeight w:val="408"/>
        </w:trPr>
        <w:tc>
          <w:tcPr>
            <w:tcW w:w="3663" w:type="dxa"/>
            <w:tcBorders>
              <w:top w:val="single" w:sz="4" w:space="0" w:color="000000"/>
              <w:left w:val="single" w:sz="4" w:space="0" w:color="000000"/>
              <w:bottom w:val="single" w:sz="4" w:space="0" w:color="000000"/>
              <w:right w:val="single" w:sz="4" w:space="0" w:color="000000"/>
            </w:tcBorders>
          </w:tcPr>
          <w:p w:rsidR="007D11BB" w:rsidRPr="004C0D5E" w:rsidRDefault="004C0D5E">
            <w:pPr>
              <w:spacing w:after="0" w:line="259" w:lineRule="auto"/>
              <w:ind w:left="0" w:firstLine="0"/>
            </w:pPr>
            <w:r>
              <w:rPr>
                <w:rFonts w:ascii="Arial" w:eastAsia="Arial" w:hAnsi="Arial" w:cs="Arial"/>
                <w:i/>
                <w:sz w:val="15"/>
              </w:rPr>
              <w:t>Redacted</w:t>
            </w:r>
          </w:p>
        </w:tc>
        <w:tc>
          <w:tcPr>
            <w:tcW w:w="1070" w:type="dxa"/>
            <w:tcBorders>
              <w:top w:val="single" w:sz="4" w:space="0" w:color="000000"/>
              <w:left w:val="single" w:sz="4" w:space="0" w:color="000000"/>
              <w:bottom w:val="single" w:sz="4" w:space="0" w:color="000000"/>
              <w:right w:val="single" w:sz="4" w:space="0" w:color="000000"/>
            </w:tcBorders>
          </w:tcPr>
          <w:p w:rsidR="007D11BB" w:rsidRPr="004C0D5E" w:rsidRDefault="004C0D5E">
            <w:pPr>
              <w:spacing w:after="0" w:line="259" w:lineRule="auto"/>
              <w:ind w:left="0" w:right="40" w:firstLine="0"/>
              <w:jc w:val="right"/>
            </w:pPr>
            <w:r>
              <w:rPr>
                <w:rFonts w:ascii="Arial" w:eastAsia="Arial" w:hAnsi="Arial" w:cs="Arial"/>
                <w:i/>
                <w:sz w:val="15"/>
              </w:rPr>
              <w:t>Redacted</w:t>
            </w:r>
          </w:p>
        </w:tc>
        <w:tc>
          <w:tcPr>
            <w:tcW w:w="1476" w:type="dxa"/>
            <w:tcBorders>
              <w:top w:val="single" w:sz="4" w:space="0" w:color="000000"/>
              <w:left w:val="single" w:sz="4" w:space="0" w:color="000000"/>
              <w:bottom w:val="single" w:sz="4" w:space="0" w:color="000000"/>
              <w:right w:val="single" w:sz="4" w:space="0" w:color="000000"/>
            </w:tcBorders>
          </w:tcPr>
          <w:p w:rsidR="007D11BB" w:rsidRPr="004C0D5E" w:rsidRDefault="004C0D5E">
            <w:pPr>
              <w:spacing w:after="0" w:line="259" w:lineRule="auto"/>
              <w:ind w:left="0" w:right="42" w:firstLine="0"/>
              <w:jc w:val="right"/>
            </w:pPr>
            <w:r>
              <w:rPr>
                <w:rFonts w:ascii="Arial" w:eastAsia="Arial" w:hAnsi="Arial" w:cs="Arial"/>
                <w:i/>
                <w:sz w:val="15"/>
              </w:rPr>
              <w:t>Redacted</w:t>
            </w:r>
          </w:p>
        </w:tc>
        <w:tc>
          <w:tcPr>
            <w:tcW w:w="2860" w:type="dxa"/>
            <w:tcBorders>
              <w:top w:val="single" w:sz="4" w:space="0" w:color="000000"/>
              <w:left w:val="single" w:sz="4" w:space="0" w:color="000000"/>
              <w:bottom w:val="single" w:sz="4" w:space="0" w:color="000000"/>
              <w:right w:val="single" w:sz="4" w:space="0" w:color="000000"/>
            </w:tcBorders>
          </w:tcPr>
          <w:p w:rsidR="007D11BB" w:rsidRPr="004C0D5E" w:rsidRDefault="004C0D5E">
            <w:pPr>
              <w:spacing w:after="0" w:line="259" w:lineRule="auto"/>
              <w:ind w:left="0" w:right="41" w:firstLine="0"/>
              <w:jc w:val="right"/>
            </w:pPr>
            <w:r>
              <w:rPr>
                <w:rFonts w:ascii="Arial" w:eastAsia="Arial" w:hAnsi="Arial" w:cs="Arial"/>
                <w:i/>
                <w:sz w:val="15"/>
              </w:rPr>
              <w:t>Redacted</w:t>
            </w:r>
          </w:p>
        </w:tc>
      </w:tr>
      <w:tr w:rsidR="007D11BB">
        <w:trPr>
          <w:trHeight w:val="409"/>
        </w:trPr>
        <w:tc>
          <w:tcPr>
            <w:tcW w:w="3663" w:type="dxa"/>
            <w:tcBorders>
              <w:top w:val="single" w:sz="4" w:space="0" w:color="000000"/>
              <w:left w:val="single" w:sz="4" w:space="0" w:color="000000"/>
              <w:bottom w:val="single" w:sz="4" w:space="0" w:color="000000"/>
              <w:right w:val="single" w:sz="4" w:space="0" w:color="000000"/>
            </w:tcBorders>
          </w:tcPr>
          <w:p w:rsidR="007D11BB" w:rsidRPr="004C0D5E" w:rsidRDefault="004C0D5E">
            <w:pPr>
              <w:spacing w:after="0" w:line="259" w:lineRule="auto"/>
              <w:ind w:left="0" w:firstLine="0"/>
            </w:pPr>
            <w:r>
              <w:rPr>
                <w:rFonts w:ascii="Arial" w:eastAsia="Arial" w:hAnsi="Arial" w:cs="Arial"/>
                <w:i/>
                <w:sz w:val="15"/>
              </w:rPr>
              <w:t>Redacted</w:t>
            </w:r>
          </w:p>
        </w:tc>
        <w:tc>
          <w:tcPr>
            <w:tcW w:w="1070" w:type="dxa"/>
            <w:tcBorders>
              <w:top w:val="single" w:sz="4" w:space="0" w:color="000000"/>
              <w:left w:val="single" w:sz="4" w:space="0" w:color="000000"/>
              <w:bottom w:val="single" w:sz="4" w:space="0" w:color="000000"/>
              <w:right w:val="single" w:sz="4" w:space="0" w:color="000000"/>
            </w:tcBorders>
          </w:tcPr>
          <w:p w:rsidR="007D11BB" w:rsidRPr="004C0D5E" w:rsidRDefault="004C0D5E">
            <w:pPr>
              <w:spacing w:after="0" w:line="259" w:lineRule="auto"/>
              <w:ind w:left="0" w:right="42" w:firstLine="0"/>
              <w:jc w:val="right"/>
            </w:pPr>
            <w:r>
              <w:rPr>
                <w:rFonts w:ascii="Arial" w:eastAsia="Arial" w:hAnsi="Arial" w:cs="Arial"/>
                <w:i/>
                <w:sz w:val="15"/>
              </w:rPr>
              <w:t>Redacted</w:t>
            </w:r>
          </w:p>
        </w:tc>
        <w:tc>
          <w:tcPr>
            <w:tcW w:w="1476" w:type="dxa"/>
            <w:tcBorders>
              <w:top w:val="single" w:sz="4" w:space="0" w:color="000000"/>
              <w:left w:val="single" w:sz="4" w:space="0" w:color="000000"/>
              <w:bottom w:val="single" w:sz="4" w:space="0" w:color="000000"/>
              <w:right w:val="single" w:sz="4" w:space="0" w:color="000000"/>
            </w:tcBorders>
          </w:tcPr>
          <w:p w:rsidR="007D11BB" w:rsidRPr="004C0D5E" w:rsidRDefault="004C0D5E">
            <w:pPr>
              <w:spacing w:after="0" w:line="259" w:lineRule="auto"/>
              <w:ind w:left="0" w:right="42" w:firstLine="0"/>
              <w:jc w:val="right"/>
            </w:pPr>
            <w:r>
              <w:rPr>
                <w:rFonts w:ascii="Arial" w:eastAsia="Arial" w:hAnsi="Arial" w:cs="Arial"/>
                <w:i/>
                <w:sz w:val="15"/>
              </w:rPr>
              <w:t>Redacted</w:t>
            </w:r>
          </w:p>
        </w:tc>
        <w:tc>
          <w:tcPr>
            <w:tcW w:w="2860" w:type="dxa"/>
            <w:tcBorders>
              <w:top w:val="single" w:sz="4" w:space="0" w:color="000000"/>
              <w:left w:val="single" w:sz="4" w:space="0" w:color="000000"/>
              <w:bottom w:val="single" w:sz="4" w:space="0" w:color="000000"/>
              <w:right w:val="single" w:sz="4" w:space="0" w:color="000000"/>
            </w:tcBorders>
          </w:tcPr>
          <w:p w:rsidR="007D11BB" w:rsidRPr="004C0D5E" w:rsidRDefault="004C0D5E">
            <w:pPr>
              <w:spacing w:after="0" w:line="259" w:lineRule="auto"/>
              <w:ind w:left="0" w:right="41" w:firstLine="0"/>
              <w:jc w:val="right"/>
            </w:pPr>
            <w:r>
              <w:rPr>
                <w:rFonts w:ascii="Arial" w:eastAsia="Arial" w:hAnsi="Arial" w:cs="Arial"/>
                <w:i/>
                <w:sz w:val="15"/>
              </w:rPr>
              <w:t>Redacted</w:t>
            </w:r>
          </w:p>
        </w:tc>
      </w:tr>
      <w:tr w:rsidR="007D11BB">
        <w:trPr>
          <w:trHeight w:val="408"/>
        </w:trPr>
        <w:tc>
          <w:tcPr>
            <w:tcW w:w="3663" w:type="dxa"/>
            <w:tcBorders>
              <w:top w:val="single" w:sz="4" w:space="0" w:color="000000"/>
              <w:left w:val="single" w:sz="4" w:space="0" w:color="000000"/>
              <w:bottom w:val="single" w:sz="4" w:space="0" w:color="000000"/>
              <w:right w:val="single" w:sz="4" w:space="0" w:color="000000"/>
            </w:tcBorders>
          </w:tcPr>
          <w:p w:rsidR="007D11BB" w:rsidRPr="004C0D5E" w:rsidRDefault="004C0D5E">
            <w:pPr>
              <w:spacing w:after="0" w:line="259" w:lineRule="auto"/>
              <w:ind w:left="0" w:firstLine="0"/>
            </w:pPr>
            <w:r>
              <w:rPr>
                <w:rFonts w:ascii="Arial" w:eastAsia="Arial" w:hAnsi="Arial" w:cs="Arial"/>
                <w:i/>
                <w:sz w:val="15"/>
              </w:rPr>
              <w:t>Redacted</w:t>
            </w:r>
          </w:p>
        </w:tc>
        <w:tc>
          <w:tcPr>
            <w:tcW w:w="1070" w:type="dxa"/>
            <w:tcBorders>
              <w:top w:val="single" w:sz="4" w:space="0" w:color="000000"/>
              <w:left w:val="single" w:sz="4" w:space="0" w:color="000000"/>
              <w:bottom w:val="single" w:sz="4" w:space="0" w:color="000000"/>
              <w:right w:val="single" w:sz="4" w:space="0" w:color="000000"/>
            </w:tcBorders>
          </w:tcPr>
          <w:p w:rsidR="007D11BB" w:rsidRPr="004C0D5E" w:rsidRDefault="007D11BB">
            <w:pPr>
              <w:spacing w:after="0" w:line="259" w:lineRule="auto"/>
              <w:ind w:left="5" w:firstLine="0"/>
            </w:pPr>
          </w:p>
        </w:tc>
        <w:tc>
          <w:tcPr>
            <w:tcW w:w="1476" w:type="dxa"/>
            <w:tcBorders>
              <w:top w:val="single" w:sz="4" w:space="0" w:color="000000"/>
              <w:left w:val="single" w:sz="4" w:space="0" w:color="000000"/>
              <w:bottom w:val="single" w:sz="4" w:space="0" w:color="000000"/>
              <w:right w:val="single" w:sz="4" w:space="0" w:color="000000"/>
            </w:tcBorders>
          </w:tcPr>
          <w:p w:rsidR="007D11BB" w:rsidRPr="004C0D5E" w:rsidRDefault="004E520F">
            <w:pPr>
              <w:spacing w:after="0" w:line="259" w:lineRule="auto"/>
              <w:ind w:left="2" w:firstLine="0"/>
            </w:pPr>
            <w:r w:rsidRPr="004C0D5E">
              <w:rPr>
                <w:rFonts w:ascii="Arial" w:eastAsia="Arial" w:hAnsi="Arial" w:cs="Arial"/>
                <w:sz w:val="15"/>
              </w:rPr>
              <w:t xml:space="preserve">  </w:t>
            </w:r>
          </w:p>
        </w:tc>
        <w:tc>
          <w:tcPr>
            <w:tcW w:w="2860" w:type="dxa"/>
            <w:tcBorders>
              <w:top w:val="single" w:sz="4" w:space="0" w:color="000000"/>
              <w:left w:val="single" w:sz="4" w:space="0" w:color="000000"/>
              <w:bottom w:val="single" w:sz="4" w:space="0" w:color="000000"/>
              <w:right w:val="single" w:sz="4" w:space="0" w:color="000000"/>
            </w:tcBorders>
          </w:tcPr>
          <w:p w:rsidR="007D11BB" w:rsidRPr="004C0D5E" w:rsidRDefault="004C0D5E">
            <w:pPr>
              <w:spacing w:after="0" w:line="259" w:lineRule="auto"/>
              <w:ind w:left="0" w:right="41" w:firstLine="0"/>
              <w:jc w:val="right"/>
            </w:pPr>
            <w:r>
              <w:rPr>
                <w:rFonts w:ascii="Arial" w:eastAsia="Arial" w:hAnsi="Arial" w:cs="Arial"/>
                <w:i/>
                <w:sz w:val="15"/>
              </w:rPr>
              <w:t>Redacted</w:t>
            </w:r>
          </w:p>
        </w:tc>
      </w:tr>
      <w:tr w:rsidR="007D11BB">
        <w:trPr>
          <w:trHeight w:val="410"/>
        </w:trPr>
        <w:tc>
          <w:tcPr>
            <w:tcW w:w="3663" w:type="dxa"/>
            <w:tcBorders>
              <w:top w:val="single" w:sz="4" w:space="0" w:color="000000"/>
              <w:left w:val="single" w:sz="4" w:space="0" w:color="000000"/>
              <w:bottom w:val="single" w:sz="4" w:space="0" w:color="000000"/>
              <w:right w:val="single" w:sz="4" w:space="0" w:color="000000"/>
            </w:tcBorders>
          </w:tcPr>
          <w:p w:rsidR="007D11BB" w:rsidRPr="004C0D5E" w:rsidRDefault="004C0D5E">
            <w:pPr>
              <w:spacing w:after="0" w:line="259" w:lineRule="auto"/>
              <w:ind w:left="0" w:firstLine="0"/>
            </w:pPr>
            <w:r>
              <w:rPr>
                <w:rFonts w:ascii="Arial" w:eastAsia="Arial" w:hAnsi="Arial" w:cs="Arial"/>
                <w:i/>
                <w:sz w:val="15"/>
              </w:rPr>
              <w:t>Redacted</w:t>
            </w:r>
          </w:p>
        </w:tc>
        <w:tc>
          <w:tcPr>
            <w:tcW w:w="1070" w:type="dxa"/>
            <w:tcBorders>
              <w:top w:val="single" w:sz="4" w:space="0" w:color="000000"/>
              <w:left w:val="single" w:sz="4" w:space="0" w:color="000000"/>
              <w:bottom w:val="single" w:sz="4" w:space="0" w:color="000000"/>
              <w:right w:val="single" w:sz="4" w:space="0" w:color="000000"/>
            </w:tcBorders>
          </w:tcPr>
          <w:p w:rsidR="007D11BB" w:rsidRPr="004C0D5E" w:rsidRDefault="004E520F">
            <w:pPr>
              <w:spacing w:after="0" w:line="259" w:lineRule="auto"/>
              <w:ind w:left="5" w:firstLine="0"/>
            </w:pPr>
            <w:r w:rsidRPr="004C0D5E">
              <w:rPr>
                <w:rFonts w:ascii="Arial" w:eastAsia="Arial" w:hAnsi="Arial" w:cs="Arial"/>
                <w:b/>
                <w:sz w:val="15"/>
              </w:rPr>
              <w:t xml:space="preserve">  </w:t>
            </w:r>
          </w:p>
        </w:tc>
        <w:tc>
          <w:tcPr>
            <w:tcW w:w="1476" w:type="dxa"/>
            <w:tcBorders>
              <w:top w:val="single" w:sz="4" w:space="0" w:color="000000"/>
              <w:left w:val="single" w:sz="4" w:space="0" w:color="000000"/>
              <w:bottom w:val="single" w:sz="4" w:space="0" w:color="000000"/>
              <w:right w:val="single" w:sz="4" w:space="0" w:color="000000"/>
            </w:tcBorders>
          </w:tcPr>
          <w:p w:rsidR="007D11BB" w:rsidRPr="004C0D5E" w:rsidRDefault="004E520F">
            <w:pPr>
              <w:spacing w:after="0" w:line="259" w:lineRule="auto"/>
              <w:ind w:left="2" w:firstLine="0"/>
            </w:pPr>
            <w:r w:rsidRPr="004C0D5E">
              <w:rPr>
                <w:rFonts w:ascii="Arial" w:eastAsia="Arial" w:hAnsi="Arial" w:cs="Arial"/>
                <w:b/>
                <w:sz w:val="15"/>
              </w:rPr>
              <w:t xml:space="preserve">  </w:t>
            </w:r>
          </w:p>
        </w:tc>
        <w:tc>
          <w:tcPr>
            <w:tcW w:w="2860" w:type="dxa"/>
            <w:tcBorders>
              <w:top w:val="single" w:sz="4" w:space="0" w:color="000000"/>
              <w:left w:val="single" w:sz="4" w:space="0" w:color="000000"/>
              <w:bottom w:val="single" w:sz="4" w:space="0" w:color="000000"/>
              <w:right w:val="single" w:sz="4" w:space="0" w:color="000000"/>
            </w:tcBorders>
          </w:tcPr>
          <w:p w:rsidR="007D11BB" w:rsidRPr="004C0D5E" w:rsidRDefault="004C0D5E">
            <w:pPr>
              <w:spacing w:after="0" w:line="259" w:lineRule="auto"/>
              <w:ind w:left="0" w:right="41" w:firstLine="0"/>
              <w:jc w:val="right"/>
            </w:pPr>
            <w:r>
              <w:rPr>
                <w:rFonts w:ascii="Arial" w:eastAsia="Arial" w:hAnsi="Arial" w:cs="Arial"/>
                <w:i/>
                <w:sz w:val="15"/>
              </w:rPr>
              <w:t>Redacted</w:t>
            </w:r>
          </w:p>
        </w:tc>
      </w:tr>
    </w:tbl>
    <w:p w:rsidR="007D11BB" w:rsidRDefault="004E520F">
      <w:pPr>
        <w:spacing w:after="19" w:line="259" w:lineRule="auto"/>
        <w:ind w:left="5" w:firstLine="0"/>
      </w:pPr>
      <w:r>
        <w:t xml:space="preserve"> </w:t>
      </w:r>
    </w:p>
    <w:p w:rsidR="007D11BB" w:rsidRDefault="004E520F">
      <w:pPr>
        <w:pStyle w:val="Heading1"/>
        <w:spacing w:after="10"/>
        <w:ind w:left="0"/>
      </w:pPr>
      <w:bookmarkStart w:id="3" w:name="_Toc72493"/>
      <w:r>
        <w:t xml:space="preserve">Part B - Terms and conditions </w:t>
      </w:r>
      <w:bookmarkEnd w:id="3"/>
    </w:p>
    <w:p w:rsidR="007D11BB" w:rsidRDefault="004E520F">
      <w:pPr>
        <w:spacing w:after="19" w:line="259" w:lineRule="auto"/>
        <w:ind w:left="5" w:firstLine="0"/>
      </w:pPr>
      <w:r>
        <w:t xml:space="preserve"> </w:t>
      </w:r>
    </w:p>
    <w:p w:rsidR="007D11BB" w:rsidRDefault="004E520F">
      <w:pPr>
        <w:numPr>
          <w:ilvl w:val="0"/>
          <w:numId w:val="4"/>
        </w:numPr>
        <w:ind w:hanging="238"/>
      </w:pPr>
      <w:r>
        <w:t xml:space="preserve">Call-Off Contract start date and length </w:t>
      </w:r>
    </w:p>
    <w:p w:rsidR="007D11BB" w:rsidRDefault="004E520F">
      <w:pPr>
        <w:numPr>
          <w:ilvl w:val="1"/>
          <w:numId w:val="4"/>
        </w:numPr>
        <w:spacing w:after="48"/>
        <w:ind w:hanging="725"/>
      </w:pPr>
      <w:r>
        <w:t xml:space="preserve">The Supplier must start providing the Services on the date specified in the Order Form. </w:t>
      </w:r>
    </w:p>
    <w:p w:rsidR="007D11BB" w:rsidRDefault="004E520F">
      <w:pPr>
        <w:numPr>
          <w:ilvl w:val="1"/>
          <w:numId w:val="4"/>
        </w:numPr>
        <w:spacing w:after="45"/>
        <w:ind w:hanging="725"/>
      </w:pPr>
      <w:r>
        <w:t xml:space="preserve">This Call-Off Contract will expire on the Expiry Date in the Order Form. It will be for up to 24 months from the Start Date unless Ended earlier under clause 18 or extended by the Buyer under clause 1.3. </w:t>
      </w:r>
    </w:p>
    <w:p w:rsidR="007D11BB" w:rsidRDefault="004E520F">
      <w:pPr>
        <w:numPr>
          <w:ilvl w:val="1"/>
          <w:numId w:val="4"/>
        </w:numPr>
        <w:ind w:hanging="725"/>
      </w:pPr>
      <w:r>
        <w:t xml:space="preserve">The Buyer can extend this Call-Off Contract, with written notice to the Supplier, by the period in the Order Form, as long as this is within the maximum permitted under the Framework Agreement of 2 periods of up to 12 months each. </w:t>
      </w:r>
    </w:p>
    <w:p w:rsidR="007D11BB" w:rsidRDefault="004E520F">
      <w:pPr>
        <w:numPr>
          <w:ilvl w:val="1"/>
          <w:numId w:val="4"/>
        </w:numPr>
        <w:spacing w:after="202"/>
        <w:ind w:hanging="725"/>
      </w:pPr>
      <w:r>
        <w:t xml:space="preserve">The Parties must comply with the requirements under clauses 21.3 to 21.8 if the Buyer reserves the right in the Order Form to extend the contract beyond 24 months. </w:t>
      </w:r>
    </w:p>
    <w:p w:rsidR="007D11BB" w:rsidRDefault="004E520F">
      <w:pPr>
        <w:numPr>
          <w:ilvl w:val="0"/>
          <w:numId w:val="4"/>
        </w:numPr>
        <w:ind w:hanging="238"/>
      </w:pPr>
      <w:r>
        <w:t xml:space="preserve">Incorporation of terms </w:t>
      </w:r>
    </w:p>
    <w:p w:rsidR="007D11BB" w:rsidRDefault="004E520F">
      <w:pPr>
        <w:numPr>
          <w:ilvl w:val="1"/>
          <w:numId w:val="4"/>
        </w:numPr>
        <w:spacing w:after="5"/>
        <w:ind w:hanging="725"/>
      </w:pPr>
      <w:r>
        <w:t xml:space="preserve">The following Framework Agreement clauses (including clauses and defined terms referenced by them) as modified under clause 2.2 are incorporated as separate Call-Off Contract obligations and apply between the Supplier and the Buyer: </w:t>
      </w:r>
    </w:p>
    <w:p w:rsidR="007D11BB" w:rsidRDefault="004E520F">
      <w:pPr>
        <w:spacing w:after="58" w:line="259" w:lineRule="auto"/>
        <w:ind w:left="725" w:firstLine="0"/>
      </w:pPr>
      <w:r>
        <w:t xml:space="preserve"> </w:t>
      </w:r>
    </w:p>
    <w:p w:rsidR="007D11BB" w:rsidRDefault="004E520F">
      <w:pPr>
        <w:numPr>
          <w:ilvl w:val="2"/>
          <w:numId w:val="4"/>
        </w:numPr>
        <w:spacing w:after="48"/>
        <w:ind w:hanging="360"/>
      </w:pPr>
      <w:r>
        <w:t xml:space="preserve">4.1 (Warranties and representations) </w:t>
      </w:r>
      <w:r>
        <w:rPr>
          <w:rFonts w:ascii="Arial" w:eastAsia="Arial" w:hAnsi="Arial" w:cs="Arial"/>
          <w:sz w:val="20"/>
        </w:rPr>
        <w:t xml:space="preserve"> </w:t>
      </w:r>
    </w:p>
    <w:p w:rsidR="007D11BB" w:rsidRDefault="004E520F">
      <w:pPr>
        <w:numPr>
          <w:ilvl w:val="2"/>
          <w:numId w:val="4"/>
        </w:numPr>
        <w:spacing w:after="51"/>
        <w:ind w:hanging="360"/>
      </w:pPr>
      <w:r>
        <w:lastRenderedPageBreak/>
        <w:t xml:space="preserve">4.2 to 4.7 (Liability)  </w:t>
      </w:r>
    </w:p>
    <w:p w:rsidR="007D11BB" w:rsidRDefault="004E520F">
      <w:pPr>
        <w:numPr>
          <w:ilvl w:val="2"/>
          <w:numId w:val="4"/>
        </w:numPr>
        <w:ind w:hanging="360"/>
      </w:pPr>
      <w:r>
        <w:t xml:space="preserve">4.11 to 4.12 (IR35) </w:t>
      </w:r>
    </w:p>
    <w:p w:rsidR="007D11BB" w:rsidRDefault="004E520F">
      <w:pPr>
        <w:numPr>
          <w:ilvl w:val="2"/>
          <w:numId w:val="4"/>
        </w:numPr>
        <w:spacing w:after="51"/>
        <w:ind w:hanging="360"/>
      </w:pPr>
      <w:r>
        <w:t xml:space="preserve">5.2 to 5.3 (Force majeure) </w:t>
      </w:r>
    </w:p>
    <w:p w:rsidR="007D11BB" w:rsidRDefault="004E520F">
      <w:pPr>
        <w:numPr>
          <w:ilvl w:val="2"/>
          <w:numId w:val="4"/>
        </w:numPr>
        <w:spacing w:after="50"/>
        <w:ind w:hanging="360"/>
      </w:pPr>
      <w:r>
        <w:t xml:space="preserve">5.6 (Continuing rights) </w:t>
      </w:r>
      <w:r>
        <w:rPr>
          <w:rFonts w:ascii="Arial" w:eastAsia="Arial" w:hAnsi="Arial" w:cs="Arial"/>
          <w:sz w:val="20"/>
        </w:rPr>
        <w:t xml:space="preserve"> </w:t>
      </w:r>
    </w:p>
    <w:p w:rsidR="007D11BB" w:rsidRDefault="004E520F">
      <w:pPr>
        <w:numPr>
          <w:ilvl w:val="2"/>
          <w:numId w:val="4"/>
        </w:numPr>
        <w:spacing w:after="47"/>
        <w:ind w:hanging="360"/>
      </w:pPr>
      <w:r>
        <w:t xml:space="preserve">5.7 to 5.9 (Change of control)  </w:t>
      </w:r>
    </w:p>
    <w:p w:rsidR="007D11BB" w:rsidRDefault="004E520F">
      <w:pPr>
        <w:numPr>
          <w:ilvl w:val="2"/>
          <w:numId w:val="4"/>
        </w:numPr>
        <w:spacing w:after="53"/>
        <w:ind w:hanging="360"/>
      </w:pPr>
      <w:r>
        <w:t xml:space="preserve">5.10 (Fraud) </w:t>
      </w:r>
    </w:p>
    <w:p w:rsidR="007D11BB" w:rsidRDefault="004E520F">
      <w:pPr>
        <w:numPr>
          <w:ilvl w:val="2"/>
          <w:numId w:val="4"/>
        </w:numPr>
        <w:spacing w:after="49"/>
        <w:ind w:hanging="360"/>
      </w:pPr>
      <w:r>
        <w:t xml:space="preserve">5.11 (Notice of fraud) </w:t>
      </w:r>
    </w:p>
    <w:p w:rsidR="007D11BB" w:rsidRDefault="004E520F">
      <w:pPr>
        <w:numPr>
          <w:ilvl w:val="2"/>
          <w:numId w:val="4"/>
        </w:numPr>
        <w:spacing w:after="51"/>
        <w:ind w:hanging="360"/>
      </w:pPr>
      <w:r>
        <w:t xml:space="preserve">7.1 to 7.2 (Transparency) </w:t>
      </w:r>
    </w:p>
    <w:p w:rsidR="007D11BB" w:rsidRDefault="004E520F">
      <w:pPr>
        <w:numPr>
          <w:ilvl w:val="2"/>
          <w:numId w:val="4"/>
        </w:numPr>
        <w:spacing w:after="48"/>
        <w:ind w:hanging="360"/>
      </w:pPr>
      <w:r>
        <w:t xml:space="preserve">8.3 (Order of precedence) </w:t>
      </w:r>
    </w:p>
    <w:p w:rsidR="007D11BB" w:rsidRDefault="004E520F">
      <w:pPr>
        <w:numPr>
          <w:ilvl w:val="2"/>
          <w:numId w:val="4"/>
        </w:numPr>
        <w:spacing w:after="52"/>
        <w:ind w:hanging="360"/>
      </w:pPr>
      <w:r>
        <w:t xml:space="preserve">8.4 (Relationship) </w:t>
      </w:r>
    </w:p>
    <w:p w:rsidR="007D11BB" w:rsidRDefault="004E520F">
      <w:pPr>
        <w:numPr>
          <w:ilvl w:val="2"/>
          <w:numId w:val="4"/>
        </w:numPr>
        <w:spacing w:after="48"/>
        <w:ind w:hanging="360"/>
      </w:pPr>
      <w:r>
        <w:t xml:space="preserve">8.7 to 8.9 (Entire agreement) </w:t>
      </w:r>
    </w:p>
    <w:p w:rsidR="007D11BB" w:rsidRDefault="004E520F">
      <w:pPr>
        <w:numPr>
          <w:ilvl w:val="2"/>
          <w:numId w:val="4"/>
        </w:numPr>
        <w:spacing w:after="51"/>
        <w:ind w:hanging="360"/>
      </w:pPr>
      <w:r>
        <w:t xml:space="preserve">8.10 (Law and jurisdiction) </w:t>
      </w:r>
    </w:p>
    <w:p w:rsidR="007D11BB" w:rsidRDefault="004E520F">
      <w:pPr>
        <w:numPr>
          <w:ilvl w:val="2"/>
          <w:numId w:val="4"/>
        </w:numPr>
        <w:spacing w:after="49"/>
        <w:ind w:hanging="360"/>
      </w:pPr>
      <w:r>
        <w:t xml:space="preserve">8.11 to 8.12 (Legislative change) </w:t>
      </w:r>
    </w:p>
    <w:p w:rsidR="007D11BB" w:rsidRDefault="004E520F">
      <w:pPr>
        <w:numPr>
          <w:ilvl w:val="2"/>
          <w:numId w:val="4"/>
        </w:numPr>
        <w:spacing w:after="49"/>
        <w:ind w:hanging="360"/>
      </w:pPr>
      <w:r>
        <w:t xml:space="preserve">8.13 to 8.17 (Bribery and corruption) </w:t>
      </w:r>
    </w:p>
    <w:p w:rsidR="007D11BB" w:rsidRDefault="004E520F">
      <w:pPr>
        <w:numPr>
          <w:ilvl w:val="2"/>
          <w:numId w:val="4"/>
        </w:numPr>
        <w:spacing w:after="51"/>
        <w:ind w:hanging="360"/>
      </w:pPr>
      <w:r>
        <w:t xml:space="preserve">8.18 to 8.27 (Freedom of Information Act) </w:t>
      </w:r>
    </w:p>
    <w:p w:rsidR="007D11BB" w:rsidRDefault="004E520F">
      <w:pPr>
        <w:numPr>
          <w:ilvl w:val="2"/>
          <w:numId w:val="4"/>
        </w:numPr>
        <w:spacing w:after="48"/>
        <w:ind w:hanging="360"/>
      </w:pPr>
      <w:r>
        <w:t xml:space="preserve">8.28 to 8.29 (Promoting tax compliance)  </w:t>
      </w:r>
    </w:p>
    <w:p w:rsidR="007D11BB" w:rsidRDefault="004E520F">
      <w:pPr>
        <w:numPr>
          <w:ilvl w:val="2"/>
          <w:numId w:val="4"/>
        </w:numPr>
        <w:spacing w:after="51"/>
        <w:ind w:hanging="360"/>
      </w:pPr>
      <w:r>
        <w:t xml:space="preserve">8.30 to 8.31 (Official Secrets Act) </w:t>
      </w:r>
    </w:p>
    <w:p w:rsidR="007D11BB" w:rsidRDefault="004E520F">
      <w:pPr>
        <w:numPr>
          <w:ilvl w:val="2"/>
          <w:numId w:val="4"/>
        </w:numPr>
        <w:spacing w:after="49"/>
        <w:ind w:hanging="360"/>
      </w:pPr>
      <w:r>
        <w:t xml:space="preserve">8.32 to 8.35 (Transfer and subcontracting) </w:t>
      </w:r>
    </w:p>
    <w:p w:rsidR="007D11BB" w:rsidRDefault="004E520F">
      <w:pPr>
        <w:numPr>
          <w:ilvl w:val="2"/>
          <w:numId w:val="4"/>
        </w:numPr>
        <w:spacing w:after="50"/>
        <w:ind w:hanging="360"/>
      </w:pPr>
      <w:r>
        <w:t xml:space="preserve">8.38 to 8.41 (Complaints handling and resolution) </w:t>
      </w:r>
    </w:p>
    <w:p w:rsidR="007D11BB" w:rsidRDefault="004E520F">
      <w:pPr>
        <w:numPr>
          <w:ilvl w:val="2"/>
          <w:numId w:val="4"/>
        </w:numPr>
        <w:spacing w:after="49"/>
        <w:ind w:hanging="360"/>
      </w:pPr>
      <w:r>
        <w:t xml:space="preserve">8.49 to 8.51 (Publicity and branding </w:t>
      </w:r>
    </w:p>
    <w:p w:rsidR="007D11BB" w:rsidRDefault="004E520F">
      <w:pPr>
        <w:numPr>
          <w:ilvl w:val="2"/>
          <w:numId w:val="4"/>
        </w:numPr>
        <w:spacing w:after="48"/>
        <w:ind w:hanging="360"/>
      </w:pPr>
      <w:r>
        <w:t xml:space="preserve">8.42 to 8.48 (Conflicts of interest and ethical walls) </w:t>
      </w:r>
    </w:p>
    <w:p w:rsidR="007D11BB" w:rsidRDefault="004E520F">
      <w:pPr>
        <w:numPr>
          <w:ilvl w:val="2"/>
          <w:numId w:val="4"/>
        </w:numPr>
        <w:spacing w:after="50"/>
        <w:ind w:hanging="360"/>
      </w:pPr>
      <w:r>
        <w:t xml:space="preserve">8.52 to 8.54 (Equality and diversity) </w:t>
      </w:r>
    </w:p>
    <w:p w:rsidR="007D11BB" w:rsidRDefault="004E520F">
      <w:pPr>
        <w:numPr>
          <w:ilvl w:val="2"/>
          <w:numId w:val="4"/>
        </w:numPr>
        <w:spacing w:after="49"/>
        <w:ind w:hanging="360"/>
      </w:pPr>
      <w:r>
        <w:t xml:space="preserve">8.66 to 8.67 (Severability) </w:t>
      </w:r>
    </w:p>
    <w:p w:rsidR="007D11BB" w:rsidRDefault="004E520F">
      <w:pPr>
        <w:numPr>
          <w:ilvl w:val="2"/>
          <w:numId w:val="4"/>
        </w:numPr>
        <w:spacing w:after="51"/>
        <w:ind w:hanging="360"/>
      </w:pPr>
      <w:r>
        <w:t xml:space="preserve">8.68 to 8.82 (Managing disputes)  </w:t>
      </w:r>
    </w:p>
    <w:p w:rsidR="007D11BB" w:rsidRDefault="004E520F">
      <w:pPr>
        <w:numPr>
          <w:ilvl w:val="2"/>
          <w:numId w:val="4"/>
        </w:numPr>
        <w:spacing w:after="50"/>
        <w:ind w:hanging="360"/>
      </w:pPr>
      <w:r>
        <w:t xml:space="preserve">8.83 to 8.91 (Confidentiality) </w:t>
      </w:r>
      <w:r>
        <w:rPr>
          <w:rFonts w:ascii="Arial" w:eastAsia="Arial" w:hAnsi="Arial" w:cs="Arial"/>
          <w:sz w:val="20"/>
        </w:rPr>
        <w:t xml:space="preserve"> </w:t>
      </w:r>
    </w:p>
    <w:p w:rsidR="007D11BB" w:rsidRDefault="004E520F">
      <w:pPr>
        <w:numPr>
          <w:ilvl w:val="2"/>
          <w:numId w:val="4"/>
        </w:numPr>
        <w:spacing w:after="51"/>
        <w:ind w:hanging="360"/>
      </w:pPr>
      <w:r>
        <w:t xml:space="preserve">8.92 to 8.93 (Waiver and cumulative remedies) </w:t>
      </w:r>
    </w:p>
    <w:p w:rsidR="007D11BB" w:rsidRDefault="004E520F">
      <w:pPr>
        <w:numPr>
          <w:ilvl w:val="2"/>
          <w:numId w:val="4"/>
        </w:numPr>
        <w:spacing w:after="48"/>
        <w:ind w:hanging="360"/>
      </w:pPr>
      <w:r>
        <w:t xml:space="preserve">paragraphs 1 to 10 of the Framework Agreement glossary and interpretations </w:t>
      </w:r>
    </w:p>
    <w:p w:rsidR="007D11BB" w:rsidRDefault="004E520F">
      <w:pPr>
        <w:numPr>
          <w:ilvl w:val="2"/>
          <w:numId w:val="4"/>
        </w:numPr>
        <w:ind w:hanging="360"/>
      </w:pPr>
      <w:r>
        <w:t xml:space="preserve">any audit provisions from the Framework Agreement set out by the Buyer in the Order Form </w:t>
      </w:r>
    </w:p>
    <w:p w:rsidR="007D11BB" w:rsidRDefault="004E520F">
      <w:pPr>
        <w:numPr>
          <w:ilvl w:val="1"/>
          <w:numId w:val="4"/>
        </w:numPr>
        <w:spacing w:after="10"/>
        <w:ind w:hanging="725"/>
      </w:pPr>
      <w:r>
        <w:t xml:space="preserve">The Framework Agreement provisions in clause 2.1 will be modified as follows: </w:t>
      </w:r>
    </w:p>
    <w:p w:rsidR="007D11BB" w:rsidRDefault="004E520F">
      <w:pPr>
        <w:spacing w:after="59" w:line="259" w:lineRule="auto"/>
        <w:ind w:left="725" w:firstLine="0"/>
      </w:pPr>
      <w:r>
        <w:t xml:space="preserve"> </w:t>
      </w:r>
    </w:p>
    <w:p w:rsidR="007D11BB" w:rsidRDefault="004E520F">
      <w:pPr>
        <w:numPr>
          <w:ilvl w:val="2"/>
          <w:numId w:val="4"/>
        </w:numPr>
        <w:spacing w:after="248" w:line="268" w:lineRule="auto"/>
        <w:ind w:hanging="360"/>
      </w:pPr>
      <w:r>
        <w:t xml:space="preserve">a reference to the ‘Framework Agreement’ will be a reference to the ‘Call-Off Contract’ </w:t>
      </w:r>
    </w:p>
    <w:p w:rsidR="007D11BB" w:rsidRDefault="004E520F">
      <w:pPr>
        <w:numPr>
          <w:ilvl w:val="2"/>
          <w:numId w:val="4"/>
        </w:numPr>
        <w:spacing w:after="248" w:line="268" w:lineRule="auto"/>
        <w:ind w:hanging="360"/>
      </w:pPr>
      <w:r>
        <w:lastRenderedPageBreak/>
        <w:t xml:space="preserve">a reference to ‘CCS’ will be a reference to ‘the Buyer’ </w:t>
      </w:r>
    </w:p>
    <w:p w:rsidR="007D11BB" w:rsidRDefault="004E520F">
      <w:pPr>
        <w:numPr>
          <w:ilvl w:val="2"/>
          <w:numId w:val="4"/>
        </w:numPr>
        <w:spacing w:after="248" w:line="268" w:lineRule="auto"/>
        <w:ind w:hanging="360"/>
      </w:pPr>
      <w:r>
        <w:t xml:space="preserve">a reference to the ‘Parties’ and a ‘Party’ will be a reference to the Buyer and Supplier as Parties under this Call-Off Contract </w:t>
      </w:r>
    </w:p>
    <w:p w:rsidR="007D11BB" w:rsidRDefault="004E520F">
      <w:pPr>
        <w:numPr>
          <w:ilvl w:val="1"/>
          <w:numId w:val="4"/>
        </w:numPr>
        <w:spacing w:after="248" w:line="268" w:lineRule="auto"/>
        <w:ind w:hanging="725"/>
      </w:pPr>
      <w:r>
        <w:t xml:space="preserve">The Framework Agreement incorporated clauses will be referred to as ‘incorporated Framework clause XX’, where ‘XX’ is the Framework Agreement clause number. </w:t>
      </w:r>
    </w:p>
    <w:p w:rsidR="007D11BB" w:rsidRDefault="004E520F">
      <w:pPr>
        <w:numPr>
          <w:ilvl w:val="1"/>
          <w:numId w:val="4"/>
        </w:numPr>
        <w:spacing w:after="5"/>
        <w:ind w:hanging="725"/>
      </w:pPr>
      <w:r>
        <w:t xml:space="preserve">When an Order Form is signed, the terms and conditions agreed in it will be incorporated into this Call-Off Contract. </w:t>
      </w:r>
    </w:p>
    <w:p w:rsidR="007D11BB" w:rsidRDefault="004E520F">
      <w:pPr>
        <w:spacing w:after="19" w:line="259" w:lineRule="auto"/>
        <w:ind w:left="725" w:firstLine="0"/>
      </w:pPr>
      <w:r>
        <w:t xml:space="preserve"> </w:t>
      </w:r>
    </w:p>
    <w:p w:rsidR="007D11BB" w:rsidRDefault="004E520F">
      <w:pPr>
        <w:numPr>
          <w:ilvl w:val="0"/>
          <w:numId w:val="4"/>
        </w:numPr>
        <w:ind w:hanging="238"/>
      </w:pPr>
      <w:r>
        <w:t xml:space="preserve">Supply of services </w:t>
      </w:r>
    </w:p>
    <w:p w:rsidR="007D11BB" w:rsidRDefault="004E520F">
      <w:pPr>
        <w:numPr>
          <w:ilvl w:val="1"/>
          <w:numId w:val="4"/>
        </w:numPr>
        <w:ind w:hanging="725"/>
      </w:pPr>
      <w:r>
        <w:t xml:space="preserve">The Supplier agrees to supply the G-Cloud Services and any Additional Services under the terms of the Call-Off Contract and the Supplier’s Application. </w:t>
      </w:r>
    </w:p>
    <w:p w:rsidR="007D11BB" w:rsidRDefault="004E520F">
      <w:pPr>
        <w:numPr>
          <w:ilvl w:val="1"/>
          <w:numId w:val="4"/>
        </w:numPr>
        <w:spacing w:after="204"/>
        <w:ind w:hanging="725"/>
      </w:pPr>
      <w:r>
        <w:t xml:space="preserve">The Supplier undertakes that each G-Cloud Service will meet the Buyer’s acceptance criteria, as defined in the Order Form. </w:t>
      </w:r>
    </w:p>
    <w:p w:rsidR="007D11BB" w:rsidRDefault="004E520F">
      <w:pPr>
        <w:numPr>
          <w:ilvl w:val="0"/>
          <w:numId w:val="4"/>
        </w:numPr>
        <w:ind w:hanging="238"/>
      </w:pPr>
      <w:r>
        <w:t xml:space="preserve">Supplier staff </w:t>
      </w:r>
    </w:p>
    <w:p w:rsidR="007D11BB" w:rsidRDefault="004E520F">
      <w:pPr>
        <w:numPr>
          <w:ilvl w:val="1"/>
          <w:numId w:val="4"/>
        </w:numPr>
        <w:spacing w:after="11"/>
        <w:ind w:hanging="725"/>
      </w:pPr>
      <w:r>
        <w:t xml:space="preserve">The Supplier Staff must: </w:t>
      </w:r>
    </w:p>
    <w:p w:rsidR="007D11BB" w:rsidRDefault="004E520F">
      <w:pPr>
        <w:spacing w:after="59" w:line="259" w:lineRule="auto"/>
        <w:ind w:left="725" w:firstLine="0"/>
      </w:pPr>
      <w:r>
        <w:t xml:space="preserve"> </w:t>
      </w:r>
    </w:p>
    <w:p w:rsidR="007D11BB" w:rsidRDefault="004E520F">
      <w:pPr>
        <w:numPr>
          <w:ilvl w:val="2"/>
          <w:numId w:val="4"/>
        </w:numPr>
        <w:spacing w:after="51"/>
        <w:ind w:hanging="360"/>
      </w:pPr>
      <w:r>
        <w:t xml:space="preserve">be appropriately experienced, qualified and trained to supply the Services </w:t>
      </w:r>
    </w:p>
    <w:p w:rsidR="007D11BB" w:rsidRDefault="004E520F">
      <w:pPr>
        <w:numPr>
          <w:ilvl w:val="2"/>
          <w:numId w:val="4"/>
        </w:numPr>
        <w:spacing w:after="48"/>
        <w:ind w:hanging="360"/>
      </w:pPr>
      <w:r>
        <w:t xml:space="preserve">apply all due skill, care and diligence in faithfully performing those duties </w:t>
      </w:r>
    </w:p>
    <w:p w:rsidR="007D11BB" w:rsidRDefault="004E520F">
      <w:pPr>
        <w:numPr>
          <w:ilvl w:val="2"/>
          <w:numId w:val="4"/>
        </w:numPr>
        <w:spacing w:after="42"/>
        <w:ind w:hanging="360"/>
      </w:pPr>
      <w:r>
        <w:t xml:space="preserve">obey all lawful instructions and reasonable directions of the Buyer and provide the Services to the reasonable satisfaction of the Buyer </w:t>
      </w:r>
    </w:p>
    <w:p w:rsidR="007D11BB" w:rsidRDefault="004E520F">
      <w:pPr>
        <w:numPr>
          <w:ilvl w:val="2"/>
          <w:numId w:val="4"/>
        </w:numPr>
        <w:spacing w:after="48"/>
        <w:ind w:hanging="360"/>
      </w:pPr>
      <w:r>
        <w:t xml:space="preserve">respond to any enquiries about the Services as soon as reasonably possible </w:t>
      </w:r>
    </w:p>
    <w:p w:rsidR="007D11BB" w:rsidRDefault="004E520F">
      <w:pPr>
        <w:numPr>
          <w:ilvl w:val="2"/>
          <w:numId w:val="4"/>
        </w:numPr>
        <w:spacing w:after="11"/>
        <w:ind w:hanging="360"/>
      </w:pPr>
      <w:r>
        <w:t xml:space="preserve">complete any necessary Supplier Staff vetting as specified by the Buyer </w:t>
      </w:r>
    </w:p>
    <w:p w:rsidR="007D11BB" w:rsidRDefault="004E520F">
      <w:pPr>
        <w:spacing w:after="59" w:line="259" w:lineRule="auto"/>
        <w:ind w:left="1445" w:firstLine="0"/>
      </w:pPr>
      <w:r>
        <w:t xml:space="preserve"> </w:t>
      </w:r>
    </w:p>
    <w:p w:rsidR="007D11BB" w:rsidRDefault="004E520F">
      <w:pPr>
        <w:numPr>
          <w:ilvl w:val="1"/>
          <w:numId w:val="4"/>
        </w:numPr>
        <w:spacing w:after="42"/>
        <w:ind w:hanging="725"/>
      </w:pPr>
      <w:r>
        <w:t xml:space="preserve">The Supplier must retain overall control of the Supplier Staff so that they are not considered to be employees, workers, agents or contractors of the Buyer. </w:t>
      </w:r>
    </w:p>
    <w:p w:rsidR="007D11BB" w:rsidRDefault="004E520F">
      <w:pPr>
        <w:numPr>
          <w:ilvl w:val="1"/>
          <w:numId w:val="4"/>
        </w:numPr>
        <w:spacing w:after="42"/>
        <w:ind w:hanging="725"/>
      </w:pPr>
      <w:r>
        <w:t xml:space="preserve">The Supplier may substitute any Supplier Staff as long as they have the equivalent experience and qualifications to the substituted staff member. </w:t>
      </w:r>
    </w:p>
    <w:p w:rsidR="007D11BB" w:rsidRDefault="004E520F">
      <w:pPr>
        <w:numPr>
          <w:ilvl w:val="1"/>
          <w:numId w:val="4"/>
        </w:numPr>
        <w:spacing w:after="248" w:line="268" w:lineRule="auto"/>
        <w:ind w:hanging="725"/>
      </w:pPr>
      <w:r>
        <w:t xml:space="preserve">The Buyer may conduct IR35 Assessments using the ESI tool to assess whether the Supplier’s engagement under the Call-Off Contract is Inside or Outside IR35. </w:t>
      </w:r>
    </w:p>
    <w:p w:rsidR="007D11BB" w:rsidRDefault="004E520F">
      <w:pPr>
        <w:numPr>
          <w:ilvl w:val="1"/>
          <w:numId w:val="4"/>
        </w:numPr>
        <w:ind w:hanging="725"/>
      </w:pPr>
      <w:r>
        <w:t xml:space="preserve">The Buyer may End this Call-Off Contract for Material Breach if the Supplier is delivering the Services Inside IR35. </w:t>
      </w:r>
    </w:p>
    <w:p w:rsidR="007D11BB" w:rsidRDefault="004E520F">
      <w:pPr>
        <w:numPr>
          <w:ilvl w:val="1"/>
          <w:numId w:val="4"/>
        </w:numPr>
        <w:spacing w:after="8"/>
        <w:ind w:hanging="725"/>
      </w:pPr>
      <w:r>
        <w:lastRenderedPageBreak/>
        <w:t xml:space="preserve">The Buyer may need the Supplier to complete an Indicative Test using the ESI tool before the Start </w:t>
      </w:r>
    </w:p>
    <w:p w:rsidR="007D11BB" w:rsidRDefault="004E520F">
      <w:pPr>
        <w:spacing w:after="19" w:line="259" w:lineRule="auto"/>
        <w:ind w:left="10" w:right="88"/>
        <w:jc w:val="right"/>
      </w:pPr>
      <w:r>
        <w:t xml:space="preserve">Date or at any time during the provision of Services to provide a preliminary view of whether the </w:t>
      </w:r>
    </w:p>
    <w:p w:rsidR="007D11BB" w:rsidRDefault="004E520F">
      <w:pPr>
        <w:ind w:left="735"/>
      </w:pPr>
      <w:r>
        <w:t xml:space="preserve">Services are being delivered Inside or Outside IR35. If the Supplier has completed the Indicative Test, it must download and provide a copy of the PDF with the 14-digit ESI reference number from the summary outcome screen and promptly provide a copy to the Buyer. </w:t>
      </w:r>
    </w:p>
    <w:p w:rsidR="007D11BB" w:rsidRDefault="004E520F">
      <w:pPr>
        <w:numPr>
          <w:ilvl w:val="1"/>
          <w:numId w:val="4"/>
        </w:numPr>
        <w:ind w:hanging="725"/>
      </w:pPr>
      <w:r>
        <w:t xml:space="preserve">If the Indicative Test indicates the delivery of the Services could potentially be Inside IR35, the Supplier must provide the Buyer with all relevant information needed to enable the Buyer to conduct its own IR35 Assessment.  </w:t>
      </w:r>
    </w:p>
    <w:p w:rsidR="007D11BB" w:rsidRDefault="004E520F">
      <w:pPr>
        <w:numPr>
          <w:ilvl w:val="1"/>
          <w:numId w:val="4"/>
        </w:numPr>
        <w:spacing w:after="205"/>
        <w:ind w:hanging="725"/>
      </w:pPr>
      <w:r>
        <w:t xml:space="preserve">If it is determined by the Buyer that the Supplier is Outside IR35, the Buyer will provide the ESI reference number and a copy of the PDF to the Supplier. </w:t>
      </w:r>
    </w:p>
    <w:p w:rsidR="007D11BB" w:rsidRDefault="004E520F">
      <w:pPr>
        <w:numPr>
          <w:ilvl w:val="0"/>
          <w:numId w:val="4"/>
        </w:numPr>
        <w:ind w:hanging="238"/>
      </w:pPr>
      <w:r>
        <w:t xml:space="preserve">Due diligence </w:t>
      </w:r>
    </w:p>
    <w:p w:rsidR="007D11BB" w:rsidRDefault="004E520F">
      <w:pPr>
        <w:numPr>
          <w:ilvl w:val="1"/>
          <w:numId w:val="4"/>
        </w:numPr>
        <w:ind w:hanging="725"/>
      </w:pPr>
      <w:r>
        <w:t xml:space="preserve">Both Parties agree that when entering into a Call-Off Contract they: </w:t>
      </w:r>
    </w:p>
    <w:p w:rsidR="007D11BB" w:rsidRDefault="004E520F">
      <w:pPr>
        <w:numPr>
          <w:ilvl w:val="2"/>
          <w:numId w:val="4"/>
        </w:numPr>
        <w:spacing w:after="43"/>
        <w:ind w:hanging="360"/>
      </w:pPr>
      <w:r>
        <w:t xml:space="preserve">have made their own enquiries and are satisfied by the accuracy of any information supplied by the other Party </w:t>
      </w:r>
    </w:p>
    <w:p w:rsidR="007D11BB" w:rsidRDefault="004E520F">
      <w:pPr>
        <w:numPr>
          <w:ilvl w:val="2"/>
          <w:numId w:val="4"/>
        </w:numPr>
        <w:spacing w:after="61" w:line="259" w:lineRule="auto"/>
        <w:ind w:hanging="360"/>
      </w:pPr>
      <w:r>
        <w:t xml:space="preserve">are confident that they can fulfil their obligations according to the Call-Off Contract terms </w:t>
      </w:r>
    </w:p>
    <w:p w:rsidR="007D11BB" w:rsidRDefault="004E520F">
      <w:pPr>
        <w:numPr>
          <w:ilvl w:val="2"/>
          <w:numId w:val="4"/>
        </w:numPr>
        <w:spacing w:after="48"/>
        <w:ind w:hanging="360"/>
      </w:pPr>
      <w:r>
        <w:t xml:space="preserve">have raised all due diligence questions before signing the Call-Off Contract </w:t>
      </w:r>
    </w:p>
    <w:p w:rsidR="007D11BB" w:rsidRDefault="004E520F">
      <w:pPr>
        <w:numPr>
          <w:ilvl w:val="2"/>
          <w:numId w:val="4"/>
        </w:numPr>
        <w:spacing w:after="11"/>
        <w:ind w:hanging="360"/>
      </w:pPr>
      <w:r>
        <w:t xml:space="preserve">have entered into the Call-Off Contract relying on its own due diligence </w:t>
      </w:r>
    </w:p>
    <w:p w:rsidR="007D11BB" w:rsidRDefault="004E520F">
      <w:pPr>
        <w:spacing w:after="19" w:line="259" w:lineRule="auto"/>
        <w:ind w:left="5" w:firstLine="0"/>
      </w:pPr>
      <w:r>
        <w:t xml:space="preserve"> </w:t>
      </w:r>
    </w:p>
    <w:p w:rsidR="007D11BB" w:rsidRDefault="004E520F">
      <w:pPr>
        <w:numPr>
          <w:ilvl w:val="0"/>
          <w:numId w:val="4"/>
        </w:numPr>
        <w:ind w:hanging="238"/>
      </w:pPr>
      <w:r>
        <w:t xml:space="preserve">Business continuity and disaster recovery </w:t>
      </w:r>
    </w:p>
    <w:p w:rsidR="007D11BB" w:rsidRDefault="004E520F">
      <w:pPr>
        <w:numPr>
          <w:ilvl w:val="1"/>
          <w:numId w:val="4"/>
        </w:numPr>
        <w:ind w:hanging="725"/>
      </w:pPr>
      <w:r>
        <w:t xml:space="preserve">The Supplier will have a clear business continuity and disaster recovery plan in their service descriptions. </w:t>
      </w:r>
    </w:p>
    <w:p w:rsidR="007D11BB" w:rsidRDefault="004E520F">
      <w:pPr>
        <w:numPr>
          <w:ilvl w:val="1"/>
          <w:numId w:val="4"/>
        </w:numPr>
        <w:spacing w:after="248" w:line="268" w:lineRule="auto"/>
        <w:ind w:hanging="725"/>
      </w:pPr>
      <w:r>
        <w:t xml:space="preserve">The Supplier’s business continuity and disaster recovery services are part of the Services and will be performed by the Supplier when required. </w:t>
      </w:r>
    </w:p>
    <w:p w:rsidR="007D11BB" w:rsidRDefault="004E520F">
      <w:pPr>
        <w:numPr>
          <w:ilvl w:val="1"/>
          <w:numId w:val="4"/>
        </w:numPr>
        <w:spacing w:after="204"/>
        <w:ind w:hanging="725"/>
      </w:pPr>
      <w:r>
        <w:t xml:space="preserve">If requested by the Buyer prior to entering into this Call-Off Contract, the Supplier must ensure that its business continuity and disaster recovery plan is consistent with the Buyer’s own plans. </w:t>
      </w:r>
    </w:p>
    <w:p w:rsidR="007D11BB" w:rsidRDefault="004E520F">
      <w:pPr>
        <w:numPr>
          <w:ilvl w:val="0"/>
          <w:numId w:val="4"/>
        </w:numPr>
        <w:ind w:hanging="238"/>
      </w:pPr>
      <w:r>
        <w:t xml:space="preserve">Payment, VAT and Call-Off Contract charges </w:t>
      </w:r>
    </w:p>
    <w:p w:rsidR="007D11BB" w:rsidRDefault="004E520F">
      <w:pPr>
        <w:numPr>
          <w:ilvl w:val="1"/>
          <w:numId w:val="4"/>
        </w:numPr>
        <w:ind w:hanging="725"/>
      </w:pPr>
      <w:r>
        <w:t xml:space="preserve">The Buyer must pay the Charges following clauses 7.2 to 7.11 for the Supplier’s delivery of the Services. </w:t>
      </w:r>
    </w:p>
    <w:p w:rsidR="007D11BB" w:rsidRDefault="004E520F">
      <w:pPr>
        <w:numPr>
          <w:ilvl w:val="1"/>
          <w:numId w:val="4"/>
        </w:numPr>
        <w:ind w:hanging="725"/>
      </w:pPr>
      <w:r>
        <w:lastRenderedPageBreak/>
        <w:t xml:space="preserve">The Buyer will pay the Supplier within the number of days specified in the Order Form on receipt of a valid invoice. </w:t>
      </w:r>
    </w:p>
    <w:p w:rsidR="007D11BB" w:rsidRDefault="004E520F">
      <w:pPr>
        <w:numPr>
          <w:ilvl w:val="1"/>
          <w:numId w:val="4"/>
        </w:numPr>
        <w:ind w:hanging="725"/>
      </w:pPr>
      <w:r>
        <w:t xml:space="preserve">The Call-Off Contract Charges include all Charges for payment processing. All invoices submitted to the Buyer for the Services will be exclusive of any Management Charge. </w:t>
      </w:r>
    </w:p>
    <w:p w:rsidR="007D11BB" w:rsidRDefault="004E520F">
      <w:pPr>
        <w:numPr>
          <w:ilvl w:val="1"/>
          <w:numId w:val="4"/>
        </w:numPr>
        <w:ind w:hanging="725"/>
      </w:pPr>
      <w: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7D11BB" w:rsidRDefault="004E520F">
      <w:pPr>
        <w:numPr>
          <w:ilvl w:val="1"/>
          <w:numId w:val="4"/>
        </w:numPr>
        <w:ind w:hanging="725"/>
      </w:pPr>
      <w:r>
        <w:t xml:space="preserve">The Supplier must ensure that each invoice contains a detailed breakdown of the G-Cloud Services supplied. The Buyer may request the Supplier provides further documentation to substantiate the invoice.  </w:t>
      </w:r>
    </w:p>
    <w:p w:rsidR="007D11BB" w:rsidRDefault="004E520F">
      <w:pPr>
        <w:numPr>
          <w:ilvl w:val="1"/>
          <w:numId w:val="4"/>
        </w:numPr>
        <w:ind w:hanging="725"/>
      </w:pPr>
      <w:r>
        <w:t xml:space="preserve">If the Supplier enters into a Subcontract it must ensure that a provision is included in each Subcontract which specifies that payment must be made to the Subcontractor within 30 days of receipt of a valid invoice. </w:t>
      </w:r>
    </w:p>
    <w:p w:rsidR="007D11BB" w:rsidRDefault="004E520F">
      <w:pPr>
        <w:numPr>
          <w:ilvl w:val="1"/>
          <w:numId w:val="4"/>
        </w:numPr>
        <w:ind w:hanging="725"/>
      </w:pPr>
      <w:r>
        <w:t xml:space="preserve">All Charges payable by the Buyer to the Supplier will include VAT at the appropriate rate. </w:t>
      </w:r>
    </w:p>
    <w:p w:rsidR="007D11BB" w:rsidRDefault="004E520F">
      <w:pPr>
        <w:numPr>
          <w:ilvl w:val="1"/>
          <w:numId w:val="4"/>
        </w:numPr>
        <w:ind w:hanging="725"/>
      </w:pPr>
      <w:r>
        <w:t xml:space="preserve">The Supplier must add VAT to the Charges at the appropriate rate with visibility of the amount as a separate line item.  </w:t>
      </w:r>
    </w:p>
    <w:p w:rsidR="007D11BB" w:rsidRDefault="004E520F">
      <w:pPr>
        <w:numPr>
          <w:ilvl w:val="1"/>
          <w:numId w:val="4"/>
        </w:numPr>
        <w:ind w:hanging="725"/>
      </w:pPr>
      <w: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7D11BB" w:rsidRDefault="004E520F">
      <w:pPr>
        <w:numPr>
          <w:ilvl w:val="1"/>
          <w:numId w:val="4"/>
        </w:numPr>
        <w:ind w:hanging="725"/>
      </w:pPr>
      <w: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rsidR="007D11BB" w:rsidRDefault="004E520F">
      <w:pPr>
        <w:numPr>
          <w:ilvl w:val="1"/>
          <w:numId w:val="4"/>
        </w:numPr>
        <w:ind w:hanging="725"/>
      </w:pPr>
      <w:r>
        <w:t xml:space="preserve">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rsidR="007D11BB" w:rsidRDefault="004E520F">
      <w:pPr>
        <w:numPr>
          <w:ilvl w:val="1"/>
          <w:numId w:val="4"/>
        </w:numPr>
        <w:spacing w:after="207" w:line="268" w:lineRule="auto"/>
        <w:ind w:hanging="725"/>
      </w:pPr>
      <w:r>
        <w:lastRenderedPageBreak/>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rsidR="007D11BB" w:rsidRDefault="004E520F">
      <w:pPr>
        <w:numPr>
          <w:ilvl w:val="0"/>
          <w:numId w:val="4"/>
        </w:numPr>
        <w:ind w:hanging="238"/>
      </w:pPr>
      <w:r>
        <w:t xml:space="preserve">Recovery of sums due and right of set-off </w:t>
      </w:r>
    </w:p>
    <w:p w:rsidR="007D11BB" w:rsidRDefault="004E520F">
      <w:pPr>
        <w:numPr>
          <w:ilvl w:val="1"/>
          <w:numId w:val="4"/>
        </w:numPr>
        <w:spacing w:after="165" w:line="325" w:lineRule="auto"/>
        <w:ind w:hanging="725"/>
      </w:pPr>
      <w:r>
        <w:t xml:space="preserve">If a Supplier owes money to the Buyer, the Buyer may deduct that sum from the Call-Off Contract Charges. 9. Insurance </w:t>
      </w:r>
    </w:p>
    <w:p w:rsidR="007D11BB" w:rsidRDefault="004E520F">
      <w:pPr>
        <w:numPr>
          <w:ilvl w:val="1"/>
          <w:numId w:val="5"/>
        </w:numPr>
        <w:ind w:hanging="725"/>
      </w:pPr>
      <w:r>
        <w:t xml:space="preserve">The Supplier will maintain the insurances required by the Buyer including those in this clause. </w:t>
      </w:r>
    </w:p>
    <w:p w:rsidR="007D11BB" w:rsidRDefault="004E520F">
      <w:pPr>
        <w:numPr>
          <w:ilvl w:val="1"/>
          <w:numId w:val="5"/>
        </w:numPr>
        <w:ind w:hanging="725"/>
      </w:pPr>
      <w:r>
        <w:t xml:space="preserve">The Supplier will ensure that: </w:t>
      </w:r>
    </w:p>
    <w:p w:rsidR="007D11BB" w:rsidRDefault="004E520F">
      <w:pPr>
        <w:numPr>
          <w:ilvl w:val="2"/>
          <w:numId w:val="4"/>
        </w:numPr>
        <w:ind w:hanging="360"/>
      </w:pPr>
      <w:r>
        <w:t xml:space="preserve">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 </w:t>
      </w:r>
    </w:p>
    <w:p w:rsidR="007D11BB" w:rsidRDefault="004E520F">
      <w:pPr>
        <w:numPr>
          <w:ilvl w:val="2"/>
          <w:numId w:val="4"/>
        </w:numPr>
        <w:spacing w:after="248" w:line="268" w:lineRule="auto"/>
        <w:ind w:hanging="360"/>
      </w:pPr>
      <w:r>
        <w:t xml:space="preserve">the third-party public and products liability insurance contains an ‘indemnity to principals’ clause for the Buyer’s benefit  </w:t>
      </w:r>
    </w:p>
    <w:p w:rsidR="007D11BB" w:rsidRDefault="004E520F">
      <w:pPr>
        <w:numPr>
          <w:ilvl w:val="2"/>
          <w:numId w:val="4"/>
        </w:numPr>
        <w:ind w:hanging="360"/>
      </w:pPr>
      <w:r>
        <w:t xml:space="preserve">all agents and professional consultants involved in the Services hold professional indemnity insurance to a minimum indemnity of £1,000,000 for each individual claim during the CallOff Contract, and for 6 years after the End or Expiry Date </w:t>
      </w:r>
    </w:p>
    <w:p w:rsidR="007D11BB" w:rsidRDefault="004E520F">
      <w:pPr>
        <w:numPr>
          <w:ilvl w:val="2"/>
          <w:numId w:val="4"/>
        </w:numPr>
        <w:ind w:hanging="360"/>
      </w:pPr>
      <w:r>
        <w:t xml:space="preserve">all agents and professional consultants involved in the Services hold employers liability insurance (except where exempt under Law) to a minimum indemnity of £5,000,000 for each individual claim during the Call-Off Contract, and for 6 years after the End or Expiry Date </w:t>
      </w:r>
    </w:p>
    <w:p w:rsidR="007D11BB" w:rsidRDefault="004E520F">
      <w:pPr>
        <w:numPr>
          <w:ilvl w:val="1"/>
          <w:numId w:val="6"/>
        </w:numPr>
        <w:ind w:hanging="725"/>
      </w:pPr>
      <w:r>
        <w:t xml:space="preserve">If requested by the Buyer, the Supplier will obtain additional insurance policies, or extend existing policies bought under the Framework Agreement. </w:t>
      </w:r>
    </w:p>
    <w:p w:rsidR="007D11BB" w:rsidRDefault="004E520F">
      <w:pPr>
        <w:numPr>
          <w:ilvl w:val="1"/>
          <w:numId w:val="6"/>
        </w:numPr>
        <w:ind w:hanging="725"/>
      </w:pPr>
      <w:r>
        <w:t xml:space="preserve">If requested by the Buyer, the Supplier will provide the following to show compliance with this clause: </w:t>
      </w:r>
    </w:p>
    <w:p w:rsidR="007D11BB" w:rsidRDefault="004E520F">
      <w:pPr>
        <w:numPr>
          <w:ilvl w:val="2"/>
          <w:numId w:val="4"/>
        </w:numPr>
        <w:ind w:hanging="360"/>
      </w:pPr>
      <w:r>
        <w:t xml:space="preserve">a broker's verification of insurance </w:t>
      </w:r>
    </w:p>
    <w:p w:rsidR="007D11BB" w:rsidRDefault="004E520F">
      <w:pPr>
        <w:numPr>
          <w:ilvl w:val="2"/>
          <w:numId w:val="4"/>
        </w:numPr>
        <w:ind w:hanging="360"/>
      </w:pPr>
      <w:r>
        <w:t xml:space="preserve">receipts for the insurance premium </w:t>
      </w:r>
    </w:p>
    <w:p w:rsidR="007D11BB" w:rsidRDefault="004E520F">
      <w:pPr>
        <w:numPr>
          <w:ilvl w:val="2"/>
          <w:numId w:val="4"/>
        </w:numPr>
        <w:ind w:hanging="360"/>
      </w:pPr>
      <w:r>
        <w:lastRenderedPageBreak/>
        <w:t xml:space="preserve">evidence of payment of the latest premiums due </w:t>
      </w:r>
    </w:p>
    <w:p w:rsidR="007D11BB" w:rsidRDefault="004E520F">
      <w:pPr>
        <w:ind w:left="715" w:hanging="725"/>
      </w:pPr>
      <w:r>
        <w:t>9.5</w:t>
      </w:r>
      <w:r>
        <w:rPr>
          <w:rFonts w:ascii="Arial" w:eastAsia="Arial" w:hAnsi="Arial" w:cs="Arial"/>
        </w:rPr>
        <w:t xml:space="preserve"> </w:t>
      </w:r>
      <w:r>
        <w:rPr>
          <w:rFonts w:ascii="Arial" w:eastAsia="Arial" w:hAnsi="Arial" w:cs="Arial"/>
        </w:rPr>
        <w:tab/>
      </w:r>
      <w:r>
        <w:t xml:space="preserve">Insurance will not relieve the Supplier of any liabilities under the Framework Agreement or this Call-Off Contract and the Supplier will: </w:t>
      </w:r>
    </w:p>
    <w:p w:rsidR="007D11BB" w:rsidRDefault="004E520F">
      <w:pPr>
        <w:numPr>
          <w:ilvl w:val="2"/>
          <w:numId w:val="8"/>
        </w:numPr>
        <w:spacing w:after="42"/>
        <w:ind w:hanging="408"/>
      </w:pPr>
      <w:r>
        <w:t xml:space="preserve">take all risk control measures using Good Industry Practice, including the investigation and reports of claims to insurers </w:t>
      </w:r>
    </w:p>
    <w:p w:rsidR="007D11BB" w:rsidRDefault="004E520F">
      <w:pPr>
        <w:numPr>
          <w:ilvl w:val="2"/>
          <w:numId w:val="8"/>
        </w:numPr>
        <w:spacing w:after="61" w:line="259" w:lineRule="auto"/>
        <w:ind w:hanging="408"/>
      </w:pPr>
      <w:r>
        <w:t xml:space="preserve">promptly notify the insurers in writing of any relevant material fact under any insurances  </w:t>
      </w:r>
    </w:p>
    <w:p w:rsidR="007D11BB" w:rsidRDefault="004E520F">
      <w:pPr>
        <w:numPr>
          <w:ilvl w:val="2"/>
          <w:numId w:val="8"/>
        </w:numPr>
        <w:spacing w:after="5"/>
        <w:ind w:hanging="408"/>
      </w:pPr>
      <w:r>
        <w:t xml:space="preserve">hold all insurance policies and require any broker arranging the insurance to hold any insurance slips and other evidence of insurance </w:t>
      </w:r>
    </w:p>
    <w:p w:rsidR="007D11BB" w:rsidRDefault="004E520F">
      <w:pPr>
        <w:spacing w:after="61" w:line="259" w:lineRule="auto"/>
        <w:ind w:left="1548" w:firstLine="0"/>
      </w:pPr>
      <w:r>
        <w:t xml:space="preserve"> </w:t>
      </w:r>
    </w:p>
    <w:p w:rsidR="007D11BB" w:rsidRDefault="004E520F">
      <w:pPr>
        <w:numPr>
          <w:ilvl w:val="1"/>
          <w:numId w:val="7"/>
        </w:numPr>
        <w:ind w:hanging="725"/>
      </w:pPr>
      <w:r>
        <w:t xml:space="preserve">The Supplier will not do or omit to do anything, which would destroy or impair the legal validity of the insurance. </w:t>
      </w:r>
    </w:p>
    <w:p w:rsidR="007D11BB" w:rsidRDefault="004E520F">
      <w:pPr>
        <w:numPr>
          <w:ilvl w:val="1"/>
          <w:numId w:val="7"/>
        </w:numPr>
        <w:ind w:hanging="725"/>
      </w:pPr>
      <w:r>
        <w:t xml:space="preserve">The Supplier will notify CCS and the Buyer as soon as possible if any insurance policies have been, or are due to be, cancelled, suspended, Ended or not renewed. </w:t>
      </w:r>
    </w:p>
    <w:p w:rsidR="007D11BB" w:rsidRDefault="004E520F">
      <w:pPr>
        <w:numPr>
          <w:ilvl w:val="1"/>
          <w:numId w:val="7"/>
        </w:numPr>
        <w:ind w:hanging="725"/>
      </w:pPr>
      <w:r>
        <w:t xml:space="preserve">The Supplier will be liable for the payment of any: </w:t>
      </w:r>
    </w:p>
    <w:p w:rsidR="007D11BB" w:rsidRDefault="004E520F">
      <w:pPr>
        <w:numPr>
          <w:ilvl w:val="2"/>
          <w:numId w:val="4"/>
        </w:numPr>
        <w:ind w:hanging="360"/>
      </w:pPr>
      <w:r>
        <w:t xml:space="preserve">premiums, which it will pay promptly </w:t>
      </w:r>
    </w:p>
    <w:p w:rsidR="007D11BB" w:rsidRDefault="004E520F">
      <w:pPr>
        <w:numPr>
          <w:ilvl w:val="2"/>
          <w:numId w:val="4"/>
        </w:numPr>
        <w:spacing w:after="210"/>
        <w:ind w:hanging="360"/>
      </w:pPr>
      <w:r>
        <w:t xml:space="preserve">excess or deductibles and will not be entitled to recover this from the Buyer  </w:t>
      </w:r>
    </w:p>
    <w:p w:rsidR="007D11BB" w:rsidRDefault="004E520F">
      <w:pPr>
        <w:numPr>
          <w:ilvl w:val="0"/>
          <w:numId w:val="9"/>
        </w:numPr>
        <w:ind w:hanging="355"/>
      </w:pPr>
      <w:r>
        <w:t xml:space="preserve">Confidentiality  </w:t>
      </w:r>
    </w:p>
    <w:p w:rsidR="007D11BB" w:rsidRDefault="004E520F">
      <w:pPr>
        <w:numPr>
          <w:ilvl w:val="1"/>
          <w:numId w:val="9"/>
        </w:numPr>
        <w:spacing w:after="204"/>
        <w:ind w:hanging="725"/>
      </w:pPr>
      <w:r>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 </w:t>
      </w:r>
    </w:p>
    <w:p w:rsidR="007D11BB" w:rsidRDefault="004E520F">
      <w:pPr>
        <w:numPr>
          <w:ilvl w:val="0"/>
          <w:numId w:val="9"/>
        </w:numPr>
        <w:ind w:hanging="355"/>
      </w:pPr>
      <w:r>
        <w:t xml:space="preserve">Intellectual Property Rights </w:t>
      </w:r>
    </w:p>
    <w:p w:rsidR="007D11BB" w:rsidRDefault="004E520F">
      <w:pPr>
        <w:numPr>
          <w:ilvl w:val="1"/>
          <w:numId w:val="9"/>
        </w:numPr>
        <w:ind w:hanging="725"/>
      </w:pPr>
      <w:r>
        <w:t xml:space="preserve">Unless otherwise specified in this Call-Off Contract, a Party will not acquire any right, title or interest in or to the Intellectual Property Rights (IPRs) of the other Party or its licensors. </w:t>
      </w:r>
    </w:p>
    <w:p w:rsidR="007D11BB" w:rsidRDefault="004E520F">
      <w:pPr>
        <w:numPr>
          <w:ilvl w:val="1"/>
          <w:numId w:val="9"/>
        </w:numPr>
        <w:ind w:hanging="725"/>
      </w:pPr>
      <w:r>
        <w:t xml:space="preserve">The Supplier grants the Buyer a non-exclusive, transferable, perpetual, irrevocable, royalty-free licence to use the Project Specific IPRs and any Background IPRs embedded within the Project Specific IPRs for the Buyer’s ordinary business activities. </w:t>
      </w:r>
    </w:p>
    <w:p w:rsidR="007D11BB" w:rsidRDefault="004E520F">
      <w:pPr>
        <w:numPr>
          <w:ilvl w:val="1"/>
          <w:numId w:val="9"/>
        </w:numPr>
        <w:ind w:hanging="725"/>
      </w:pPr>
      <w:r>
        <w:lastRenderedPageBreak/>
        <w:t xml:space="preserve">The Supplier must obtain the grant of any third-party IPRs and Background IPRs so the Buyer can enjoy full use of the Project Specific IPRs, including the Buyer’s right to publish the IPR as open source.  </w:t>
      </w:r>
    </w:p>
    <w:p w:rsidR="007D11BB" w:rsidRDefault="004E520F">
      <w:pPr>
        <w:numPr>
          <w:ilvl w:val="1"/>
          <w:numId w:val="9"/>
        </w:numPr>
        <w:ind w:hanging="725"/>
      </w:pPr>
      <w:r>
        <w:t xml:space="preserve">The Supplier must promptly inform the Buyer if it can’t comply with the clause above and the Supplier must not use third-party IPRs or Background IPRs in relation to the Project Specific IPRs if it can’t obtain the grant of a licence acceptable to the Buyer. </w:t>
      </w:r>
    </w:p>
    <w:p w:rsidR="007D11BB" w:rsidRDefault="004E520F">
      <w:pPr>
        <w:numPr>
          <w:ilvl w:val="1"/>
          <w:numId w:val="9"/>
        </w:numPr>
        <w:ind w:hanging="725"/>
      </w:pPr>
      <w:r>
        <w:t xml:space="preserve">The Supplier will, on written demand, fully indemnify the Buyer and the Crown for all Losses which it may incur at any time from any claim of infringement or alleged infringement of a third party’s IPRs because of the: </w:t>
      </w:r>
    </w:p>
    <w:p w:rsidR="007D11BB" w:rsidRDefault="004E520F">
      <w:pPr>
        <w:numPr>
          <w:ilvl w:val="2"/>
          <w:numId w:val="9"/>
        </w:numPr>
        <w:ind w:hanging="360"/>
      </w:pPr>
      <w:r>
        <w:t xml:space="preserve">rights granted to the Buyer under this Call-Off Contract </w:t>
      </w:r>
    </w:p>
    <w:p w:rsidR="007D11BB" w:rsidRDefault="004E520F">
      <w:pPr>
        <w:numPr>
          <w:ilvl w:val="2"/>
          <w:numId w:val="9"/>
        </w:numPr>
        <w:spacing w:after="248" w:line="268" w:lineRule="auto"/>
        <w:ind w:hanging="360"/>
      </w:pPr>
      <w:r>
        <w:t xml:space="preserve">Supplier’s performance of the Services  </w:t>
      </w:r>
    </w:p>
    <w:p w:rsidR="007D11BB" w:rsidRDefault="004E520F">
      <w:pPr>
        <w:numPr>
          <w:ilvl w:val="2"/>
          <w:numId w:val="9"/>
        </w:numPr>
        <w:ind w:hanging="360"/>
      </w:pPr>
      <w:r>
        <w:t xml:space="preserve">use by the Buyer of the Services  </w:t>
      </w:r>
    </w:p>
    <w:p w:rsidR="007D11BB" w:rsidRDefault="004E520F">
      <w:pPr>
        <w:numPr>
          <w:ilvl w:val="1"/>
          <w:numId w:val="9"/>
        </w:numPr>
        <w:ind w:hanging="725"/>
      </w:pPr>
      <w:r>
        <w:t xml:space="preserve">If an IPR Claim is made, or is likely to be made, the Supplier will immediately notify the Buyer in writing and must at its own expense after written approval from the Buyer, either: </w:t>
      </w:r>
    </w:p>
    <w:p w:rsidR="007D11BB" w:rsidRDefault="004E520F">
      <w:pPr>
        <w:numPr>
          <w:ilvl w:val="2"/>
          <w:numId w:val="9"/>
        </w:numPr>
        <w:ind w:hanging="360"/>
      </w:pPr>
      <w:r>
        <w:t xml:space="preserve">modify the relevant part of the Services without reducing its functionality or performance </w:t>
      </w:r>
    </w:p>
    <w:p w:rsidR="007D11BB" w:rsidRDefault="004E520F">
      <w:pPr>
        <w:numPr>
          <w:ilvl w:val="2"/>
          <w:numId w:val="9"/>
        </w:numPr>
        <w:ind w:hanging="360"/>
      </w:pPr>
      <w:r>
        <w:t xml:space="preserve">substitute Services of equivalent functionality and performance, to avoid the infringement or the alleged infringement, as long as there is no additional cost or burden to the Buyer </w:t>
      </w:r>
    </w:p>
    <w:p w:rsidR="007D11BB" w:rsidRDefault="004E520F">
      <w:pPr>
        <w:numPr>
          <w:ilvl w:val="2"/>
          <w:numId w:val="9"/>
        </w:numPr>
        <w:ind w:hanging="360"/>
      </w:pPr>
      <w:r>
        <w:t xml:space="preserve">buy a licence to use and supply the Services which are the subject of the alleged infringement, on terms acceptable to the Buyer </w:t>
      </w:r>
    </w:p>
    <w:p w:rsidR="007D11BB" w:rsidRDefault="004E520F">
      <w:pPr>
        <w:numPr>
          <w:ilvl w:val="1"/>
          <w:numId w:val="9"/>
        </w:numPr>
        <w:ind w:hanging="725"/>
      </w:pPr>
      <w:r>
        <w:t xml:space="preserve">Clause 11.5 will not apply if the IPR Claim is from: </w:t>
      </w:r>
    </w:p>
    <w:p w:rsidR="007D11BB" w:rsidRDefault="004E520F">
      <w:pPr>
        <w:numPr>
          <w:ilvl w:val="2"/>
          <w:numId w:val="9"/>
        </w:numPr>
        <w:spacing w:after="248" w:line="268" w:lineRule="auto"/>
        <w:ind w:hanging="360"/>
      </w:pPr>
      <w:r>
        <w:t xml:space="preserve">the use of data supplied by the Buyer which the Supplier isn’t required to verify under this Call-Off Contract </w:t>
      </w:r>
    </w:p>
    <w:p w:rsidR="007D11BB" w:rsidRDefault="004E520F">
      <w:pPr>
        <w:numPr>
          <w:ilvl w:val="2"/>
          <w:numId w:val="9"/>
        </w:numPr>
        <w:ind w:hanging="360"/>
      </w:pPr>
      <w:r>
        <w:t xml:space="preserve">other material provided by the Buyer necessary for the Services </w:t>
      </w:r>
    </w:p>
    <w:p w:rsidR="007D11BB" w:rsidRDefault="004E520F">
      <w:pPr>
        <w:numPr>
          <w:ilvl w:val="1"/>
          <w:numId w:val="9"/>
        </w:numPr>
        <w:spacing w:after="204"/>
        <w:ind w:hanging="725"/>
      </w:pPr>
      <w:r>
        <w:t xml:space="preserve">If the Supplier does not comply with clauses 11.2 to 11.6, the Buyer may End this Call-Off Contract for Material Breach. The Supplier will, on demand, refund the Buyer all the money paid for the affected Services. </w:t>
      </w:r>
    </w:p>
    <w:p w:rsidR="007D11BB" w:rsidRDefault="004E520F">
      <w:pPr>
        <w:numPr>
          <w:ilvl w:val="0"/>
          <w:numId w:val="9"/>
        </w:numPr>
        <w:ind w:hanging="355"/>
      </w:pPr>
      <w:r>
        <w:t xml:space="preserve">Protection of information </w:t>
      </w:r>
    </w:p>
    <w:p w:rsidR="007D11BB" w:rsidRDefault="004E520F">
      <w:pPr>
        <w:numPr>
          <w:ilvl w:val="1"/>
          <w:numId w:val="9"/>
        </w:numPr>
        <w:ind w:hanging="725"/>
      </w:pPr>
      <w:r>
        <w:lastRenderedPageBreak/>
        <w:t xml:space="preserve">The Supplier must: </w:t>
      </w:r>
    </w:p>
    <w:p w:rsidR="007D11BB" w:rsidRDefault="004E520F">
      <w:pPr>
        <w:numPr>
          <w:ilvl w:val="2"/>
          <w:numId w:val="9"/>
        </w:numPr>
        <w:spacing w:after="248" w:line="268" w:lineRule="auto"/>
        <w:ind w:hanging="360"/>
      </w:pPr>
      <w:r>
        <w:t xml:space="preserve">comply with the Buyer’s written instructions and this Call-Off Contract when Processing Buyer Personal Data </w:t>
      </w:r>
    </w:p>
    <w:p w:rsidR="007D11BB" w:rsidRDefault="004E520F">
      <w:pPr>
        <w:numPr>
          <w:ilvl w:val="2"/>
          <w:numId w:val="9"/>
        </w:numPr>
        <w:ind w:hanging="360"/>
      </w:pPr>
      <w:r>
        <w:t xml:space="preserve">only Process the Buyer Personal Data as necessary for the provision of the G-Cloud Services or as required by Law or any Regulatory Body </w:t>
      </w:r>
    </w:p>
    <w:p w:rsidR="007D11BB" w:rsidRDefault="004E520F">
      <w:pPr>
        <w:numPr>
          <w:ilvl w:val="2"/>
          <w:numId w:val="9"/>
        </w:numPr>
        <w:ind w:hanging="360"/>
      </w:pPr>
      <w:r>
        <w:t xml:space="preserve">take reasonable steps to ensure that any Supplier Staff who have access to Buyer Personal Data act in compliance with Supplier's security processes </w:t>
      </w:r>
    </w:p>
    <w:p w:rsidR="007D11BB" w:rsidRDefault="004E520F">
      <w:pPr>
        <w:numPr>
          <w:ilvl w:val="1"/>
          <w:numId w:val="9"/>
        </w:numPr>
        <w:ind w:hanging="725"/>
      </w:pPr>
      <w:r>
        <w:t xml:space="preserve">The Supplier must fully assist with any complaint or request for Buyer Personal Data including by: </w:t>
      </w:r>
    </w:p>
    <w:p w:rsidR="007D11BB" w:rsidRDefault="004E520F">
      <w:pPr>
        <w:numPr>
          <w:ilvl w:val="2"/>
          <w:numId w:val="9"/>
        </w:numPr>
        <w:ind w:hanging="360"/>
      </w:pPr>
      <w:r>
        <w:t xml:space="preserve">providing the Buyer with full details of the complaint or request </w:t>
      </w:r>
    </w:p>
    <w:p w:rsidR="007D11BB" w:rsidRDefault="004E520F">
      <w:pPr>
        <w:numPr>
          <w:ilvl w:val="2"/>
          <w:numId w:val="9"/>
        </w:numPr>
        <w:ind w:hanging="360"/>
      </w:pPr>
      <w:r>
        <w:t xml:space="preserve">complying with a data access request within the timescales in the Data Protection Legislation and following the Buyer’s instructions </w:t>
      </w:r>
    </w:p>
    <w:p w:rsidR="007D11BB" w:rsidRDefault="004E520F">
      <w:pPr>
        <w:numPr>
          <w:ilvl w:val="2"/>
          <w:numId w:val="9"/>
        </w:numPr>
        <w:ind w:hanging="360"/>
      </w:pPr>
      <w:r>
        <w:t xml:space="preserve">providing the Buyer with any Buyer Personal Data it holds about a Data Subject (within the timescales required by the Buyer) </w:t>
      </w:r>
    </w:p>
    <w:p w:rsidR="007D11BB" w:rsidRDefault="004E520F">
      <w:pPr>
        <w:numPr>
          <w:ilvl w:val="2"/>
          <w:numId w:val="9"/>
        </w:numPr>
        <w:ind w:hanging="360"/>
      </w:pPr>
      <w:r>
        <w:t xml:space="preserve">providing the Buyer with any information requested by the Data Subject </w:t>
      </w:r>
    </w:p>
    <w:p w:rsidR="007D11BB" w:rsidRDefault="004E520F">
      <w:pPr>
        <w:numPr>
          <w:ilvl w:val="1"/>
          <w:numId w:val="9"/>
        </w:numPr>
        <w:spacing w:after="205"/>
        <w:ind w:hanging="725"/>
      </w:pPr>
      <w:r>
        <w:t xml:space="preserve">The Supplier must get prior written consent from the Buyer to transfer Buyer Personal Data to any other person (including any Subcontractors) for the provision of the G-Cloud Services. </w:t>
      </w:r>
    </w:p>
    <w:p w:rsidR="007D11BB" w:rsidRDefault="004E520F">
      <w:pPr>
        <w:numPr>
          <w:ilvl w:val="0"/>
          <w:numId w:val="9"/>
        </w:numPr>
        <w:spacing w:after="209"/>
        <w:ind w:hanging="355"/>
      </w:pPr>
      <w:r>
        <w:t xml:space="preserve">Buyer data </w:t>
      </w:r>
    </w:p>
    <w:p w:rsidR="007D11BB" w:rsidRDefault="004E520F">
      <w:pPr>
        <w:spacing w:after="8"/>
        <w:ind w:left="0"/>
      </w:pPr>
      <w:r>
        <w:t xml:space="preserve">The Supplier must not remove any proprietary notices in the Buyer Data. </w:t>
      </w:r>
    </w:p>
    <w:p w:rsidR="007D11BB" w:rsidRDefault="004E520F">
      <w:pPr>
        <w:spacing w:after="61" w:line="259" w:lineRule="auto"/>
        <w:ind w:left="5" w:firstLine="0"/>
      </w:pPr>
      <w:r>
        <w:t xml:space="preserve"> </w:t>
      </w:r>
    </w:p>
    <w:p w:rsidR="007D11BB" w:rsidRDefault="004E520F">
      <w:pPr>
        <w:numPr>
          <w:ilvl w:val="1"/>
          <w:numId w:val="9"/>
        </w:numPr>
        <w:ind w:hanging="725"/>
      </w:pPr>
      <w:r>
        <w:t xml:space="preserve">The Supplier will not store or use Buyer Data except if necessary to fulfil its obligations. </w:t>
      </w:r>
    </w:p>
    <w:p w:rsidR="007D11BB" w:rsidRDefault="004E520F">
      <w:pPr>
        <w:numPr>
          <w:ilvl w:val="1"/>
          <w:numId w:val="9"/>
        </w:numPr>
        <w:ind w:hanging="725"/>
      </w:pPr>
      <w:r>
        <w:t xml:space="preserve">If Buyer Data is processed by the Supplier, the Supplier will supply the data to the Buyer as requested. </w:t>
      </w:r>
    </w:p>
    <w:p w:rsidR="007D11BB" w:rsidRDefault="004E520F">
      <w:pPr>
        <w:numPr>
          <w:ilvl w:val="1"/>
          <w:numId w:val="9"/>
        </w:numPr>
        <w:ind w:hanging="725"/>
      </w:pPr>
      <w:r>
        <w:t xml:space="preserve">The Supplier must ensure that any Supplier system that holds any Buyer Data is a secure system that complies with the Supplier’s and Buyer’s security policy and all Buyer requirements in the Order Form.  </w:t>
      </w:r>
    </w:p>
    <w:p w:rsidR="007D11BB" w:rsidRDefault="004E520F">
      <w:pPr>
        <w:numPr>
          <w:ilvl w:val="1"/>
          <w:numId w:val="9"/>
        </w:numPr>
        <w:ind w:hanging="725"/>
      </w:pPr>
      <w:r>
        <w:lastRenderedPageBreak/>
        <w:t xml:space="preserve">The Supplier will preserve the integrity of Buyer Data processed by the Supplier and prevent its corruption and loss. </w:t>
      </w:r>
    </w:p>
    <w:p w:rsidR="007D11BB" w:rsidRDefault="004E520F">
      <w:pPr>
        <w:numPr>
          <w:ilvl w:val="1"/>
          <w:numId w:val="9"/>
        </w:numPr>
        <w:ind w:hanging="725"/>
      </w:pPr>
      <w:r>
        <w:t xml:space="preserve">The Supplier will ensure that any Supplier system which holds any protectively marked Buyer Data or other government data will comply with: </w:t>
      </w:r>
    </w:p>
    <w:p w:rsidR="007D11BB" w:rsidRDefault="004E520F">
      <w:pPr>
        <w:numPr>
          <w:ilvl w:val="2"/>
          <w:numId w:val="9"/>
        </w:numPr>
        <w:spacing w:after="238" w:line="276" w:lineRule="auto"/>
        <w:ind w:hanging="360"/>
      </w:pPr>
      <w:r>
        <w:t xml:space="preserve">the principles in the Security Policy Framework at </w:t>
      </w:r>
      <w:hyperlink r:id="rId12">
        <w:r>
          <w:rPr>
            <w:color w:val="1155CC"/>
            <w:u w:val="single" w:color="1155CC"/>
          </w:rPr>
          <w:t>https://www.gov.uk/government/publications/security</w:t>
        </w:r>
      </w:hyperlink>
      <w:hyperlink r:id="rId13">
        <w:r>
          <w:rPr>
            <w:color w:val="1155CC"/>
            <w:u w:val="single" w:color="1155CC"/>
          </w:rPr>
          <w:t>-</w:t>
        </w:r>
      </w:hyperlink>
      <w:hyperlink r:id="rId14">
        <w:r>
          <w:rPr>
            <w:color w:val="1155CC"/>
            <w:u w:val="single" w:color="1155CC"/>
          </w:rPr>
          <w:t>policy</w:t>
        </w:r>
      </w:hyperlink>
      <w:hyperlink r:id="rId15">
        <w:r>
          <w:rPr>
            <w:color w:val="1155CC"/>
            <w:u w:val="single" w:color="1155CC"/>
          </w:rPr>
          <w:t>-</w:t>
        </w:r>
      </w:hyperlink>
      <w:hyperlink r:id="rId16">
        <w:r>
          <w:rPr>
            <w:color w:val="1155CC"/>
            <w:u w:val="single" w:color="1155CC"/>
          </w:rPr>
          <w:t>framework</w:t>
        </w:r>
      </w:hyperlink>
      <w:hyperlink r:id="rId17">
        <w:r>
          <w:t xml:space="preserve"> </w:t>
        </w:r>
      </w:hyperlink>
      <w:r>
        <w:t xml:space="preserve">and the Government Security Classification policy at </w:t>
      </w:r>
      <w:hyperlink r:id="rId18">
        <w:r>
          <w:rPr>
            <w:color w:val="1155CC"/>
            <w:u w:val="single" w:color="1155CC"/>
          </w:rPr>
          <w:t>https://www.gov.uk/government/publications/government</w:t>
        </w:r>
      </w:hyperlink>
      <w:hyperlink r:id="rId19">
        <w:r>
          <w:rPr>
            <w:color w:val="1155CC"/>
            <w:u w:val="single" w:color="1155CC"/>
          </w:rPr>
          <w:t>-</w:t>
        </w:r>
      </w:hyperlink>
      <w:hyperlink r:id="rId20">
        <w:r>
          <w:rPr>
            <w:color w:val="1155CC"/>
            <w:u w:val="single" w:color="1155CC"/>
          </w:rPr>
          <w:t>security</w:t>
        </w:r>
      </w:hyperlink>
      <w:hyperlink r:id="rId21">
        <w:r>
          <w:rPr>
            <w:color w:val="1155CC"/>
            <w:u w:val="single" w:color="1155CC"/>
          </w:rPr>
          <w:t>-</w:t>
        </w:r>
      </w:hyperlink>
      <w:hyperlink r:id="rId22">
        <w:r>
          <w:rPr>
            <w:color w:val="1155CC"/>
            <w:u w:val="single" w:color="1155CC"/>
          </w:rPr>
          <w:t>classifications</w:t>
        </w:r>
      </w:hyperlink>
      <w:hyperlink r:id="rId23">
        <w:r>
          <w:rPr>
            <w:rFonts w:ascii="Arial" w:eastAsia="Arial" w:hAnsi="Arial" w:cs="Arial"/>
            <w:sz w:val="20"/>
          </w:rPr>
          <w:t xml:space="preserve"> </w:t>
        </w:r>
      </w:hyperlink>
    </w:p>
    <w:p w:rsidR="007D11BB" w:rsidRDefault="004E520F">
      <w:pPr>
        <w:numPr>
          <w:ilvl w:val="2"/>
          <w:numId w:val="9"/>
        </w:numPr>
        <w:spacing w:after="8"/>
        <w:ind w:hanging="360"/>
      </w:pPr>
      <w:r>
        <w:t xml:space="preserve">guidance issued by the Centre for Protection of National Infrastructure on Risk </w:t>
      </w:r>
    </w:p>
    <w:p w:rsidR="007D11BB" w:rsidRDefault="004E520F">
      <w:pPr>
        <w:spacing w:after="238" w:line="276" w:lineRule="auto"/>
        <w:ind w:left="1455"/>
      </w:pPr>
      <w:r>
        <w:t xml:space="preserve">Management at </w:t>
      </w:r>
      <w:hyperlink r:id="rId24">
        <w:r>
          <w:rPr>
            <w:color w:val="1155CC"/>
            <w:u w:val="single" w:color="1155CC"/>
          </w:rPr>
          <w:t>https://www.cpni.gov.uk/content/adopt</w:t>
        </w:r>
      </w:hyperlink>
      <w:hyperlink r:id="rId25">
        <w:r>
          <w:rPr>
            <w:color w:val="1155CC"/>
            <w:u w:val="single" w:color="1155CC"/>
          </w:rPr>
          <w:t>-</w:t>
        </w:r>
      </w:hyperlink>
      <w:hyperlink r:id="rId26">
        <w:r>
          <w:rPr>
            <w:color w:val="1155CC"/>
            <w:u w:val="single" w:color="1155CC"/>
          </w:rPr>
          <w:t>risk</w:t>
        </w:r>
      </w:hyperlink>
      <w:hyperlink r:id="rId27">
        <w:r>
          <w:rPr>
            <w:color w:val="1155CC"/>
            <w:u w:val="single" w:color="1155CC"/>
          </w:rPr>
          <w:t>-</w:t>
        </w:r>
      </w:hyperlink>
      <w:hyperlink r:id="rId28">
        <w:r>
          <w:rPr>
            <w:color w:val="1155CC"/>
            <w:u w:val="single" w:color="1155CC"/>
          </w:rPr>
          <w:t>management</w:t>
        </w:r>
      </w:hyperlink>
      <w:hyperlink r:id="rId29">
        <w:r>
          <w:rPr>
            <w:color w:val="1155CC"/>
            <w:u w:val="single" w:color="1155CC"/>
          </w:rPr>
          <w:t>-</w:t>
        </w:r>
      </w:hyperlink>
      <w:hyperlink r:id="rId30">
        <w:r>
          <w:rPr>
            <w:color w:val="1155CC"/>
            <w:u w:val="single" w:color="1155CC"/>
          </w:rPr>
          <w:t>approach</w:t>
        </w:r>
      </w:hyperlink>
      <w:hyperlink r:id="rId31">
        <w:r>
          <w:t xml:space="preserve"> </w:t>
        </w:r>
      </w:hyperlink>
      <w:r>
        <w:t xml:space="preserve">and Accreditation of Information Systems at </w:t>
      </w:r>
      <w:hyperlink r:id="rId32">
        <w:r>
          <w:rPr>
            <w:color w:val="1155CC"/>
            <w:u w:val="single" w:color="1155CC"/>
          </w:rPr>
          <w:t>https://www.cpni.gov.uk/protection</w:t>
        </w:r>
      </w:hyperlink>
      <w:hyperlink r:id="rId33">
        <w:r>
          <w:rPr>
            <w:color w:val="1155CC"/>
            <w:u w:val="single" w:color="1155CC"/>
          </w:rPr>
          <w:t>-</w:t>
        </w:r>
      </w:hyperlink>
      <w:hyperlink r:id="rId34">
        <w:r>
          <w:rPr>
            <w:color w:val="1155CC"/>
            <w:u w:val="single" w:color="1155CC"/>
          </w:rPr>
          <w:t>sensitive</w:t>
        </w:r>
      </w:hyperlink>
      <w:hyperlink r:id="rId35"/>
      <w:hyperlink r:id="rId36">
        <w:r>
          <w:rPr>
            <w:color w:val="1155CC"/>
            <w:u w:val="single" w:color="1155CC"/>
          </w:rPr>
          <w:t>information</w:t>
        </w:r>
      </w:hyperlink>
      <w:hyperlink r:id="rId37">
        <w:r>
          <w:rPr>
            <w:color w:val="1155CC"/>
            <w:u w:val="single" w:color="1155CC"/>
          </w:rPr>
          <w:t>-</w:t>
        </w:r>
      </w:hyperlink>
      <w:hyperlink r:id="rId38">
        <w:r>
          <w:rPr>
            <w:color w:val="1155CC"/>
            <w:u w:val="single" w:color="1155CC"/>
          </w:rPr>
          <w:t>and</w:t>
        </w:r>
      </w:hyperlink>
      <w:hyperlink r:id="rId39">
        <w:r>
          <w:rPr>
            <w:color w:val="1155CC"/>
            <w:u w:val="single" w:color="1155CC"/>
          </w:rPr>
          <w:t>-</w:t>
        </w:r>
      </w:hyperlink>
      <w:hyperlink r:id="rId40">
        <w:r>
          <w:rPr>
            <w:color w:val="1155CC"/>
            <w:u w:val="single" w:color="1155CC"/>
          </w:rPr>
          <w:t>assets</w:t>
        </w:r>
      </w:hyperlink>
      <w:hyperlink r:id="rId41">
        <w:r>
          <w:t xml:space="preserve"> </w:t>
        </w:r>
      </w:hyperlink>
      <w:r>
        <w:rPr>
          <w:rFonts w:ascii="Arial" w:eastAsia="Arial" w:hAnsi="Arial" w:cs="Arial"/>
          <w:sz w:val="20"/>
        </w:rPr>
        <w:t xml:space="preserve"> </w:t>
      </w:r>
    </w:p>
    <w:p w:rsidR="007D11BB" w:rsidRDefault="004E520F">
      <w:pPr>
        <w:numPr>
          <w:ilvl w:val="2"/>
          <w:numId w:val="9"/>
        </w:numPr>
        <w:spacing w:after="248" w:line="268" w:lineRule="auto"/>
        <w:ind w:hanging="360"/>
      </w:pPr>
      <w:r>
        <w:t xml:space="preserve">the National Cyber Security Centre’s (NCSC) information risk management guidance, available at </w:t>
      </w:r>
      <w:hyperlink r:id="rId42">
        <w:r>
          <w:rPr>
            <w:color w:val="1155CC"/>
            <w:u w:val="single" w:color="1155CC"/>
          </w:rPr>
          <w:t>https://www.ncsc.gov.uk/guidance/risk</w:t>
        </w:r>
      </w:hyperlink>
      <w:hyperlink r:id="rId43">
        <w:r>
          <w:rPr>
            <w:color w:val="1155CC"/>
            <w:u w:val="single" w:color="1155CC"/>
          </w:rPr>
          <w:t>-</w:t>
        </w:r>
      </w:hyperlink>
      <w:hyperlink r:id="rId44">
        <w:r>
          <w:rPr>
            <w:color w:val="1155CC"/>
            <w:u w:val="single" w:color="1155CC"/>
          </w:rPr>
          <w:t>management</w:t>
        </w:r>
      </w:hyperlink>
      <w:hyperlink r:id="rId45">
        <w:r>
          <w:rPr>
            <w:color w:val="1155CC"/>
            <w:u w:val="single" w:color="1155CC"/>
          </w:rPr>
          <w:t>-</w:t>
        </w:r>
      </w:hyperlink>
      <w:hyperlink r:id="rId46">
        <w:r>
          <w:rPr>
            <w:color w:val="1155CC"/>
            <w:u w:val="single" w:color="1155CC"/>
          </w:rPr>
          <w:t>collection</w:t>
        </w:r>
      </w:hyperlink>
      <w:hyperlink r:id="rId47">
        <w:r>
          <w:rPr>
            <w:rFonts w:ascii="Arial" w:eastAsia="Arial" w:hAnsi="Arial" w:cs="Arial"/>
            <w:sz w:val="20"/>
          </w:rPr>
          <w:t xml:space="preserve"> </w:t>
        </w:r>
      </w:hyperlink>
    </w:p>
    <w:p w:rsidR="007D11BB" w:rsidRDefault="004E520F">
      <w:pPr>
        <w:numPr>
          <w:ilvl w:val="2"/>
          <w:numId w:val="9"/>
        </w:numPr>
        <w:ind w:hanging="360"/>
      </w:pPr>
      <w:r>
        <w:t>government best practice</w:t>
      </w:r>
      <w:hyperlink r:id="rId48">
        <w:r>
          <w:t xml:space="preserve"> </w:t>
        </w:r>
      </w:hyperlink>
      <w:hyperlink r:id="rId49">
        <w:r>
          <w:t>in</w:t>
        </w:r>
      </w:hyperlink>
      <w:hyperlink r:id="rId50">
        <w:r>
          <w:t xml:space="preserve"> </w:t>
        </w:r>
      </w:hyperlink>
      <w:hyperlink r:id="rId51">
        <w:r>
          <w:t>th</w:t>
        </w:r>
      </w:hyperlink>
      <w:r>
        <w:t xml:space="preserve">e design and implementation of system components, including network principles, security design principles for digital services and the secure email blueprint, available at </w:t>
      </w:r>
      <w:hyperlink r:id="rId52">
        <w:r>
          <w:rPr>
            <w:color w:val="1155CC"/>
            <w:u w:val="single" w:color="1155CC"/>
          </w:rPr>
          <w:t>https://www.gov.uk/government/publications/technology</w:t>
        </w:r>
      </w:hyperlink>
      <w:hyperlink r:id="rId53"/>
      <w:hyperlink r:id="rId54">
        <w:r>
          <w:rPr>
            <w:color w:val="1155CC"/>
            <w:u w:val="single" w:color="1155CC"/>
          </w:rPr>
          <w:t>code</w:t>
        </w:r>
      </w:hyperlink>
      <w:hyperlink r:id="rId55">
        <w:r>
          <w:rPr>
            <w:color w:val="1155CC"/>
            <w:u w:val="single" w:color="1155CC"/>
          </w:rPr>
          <w:t>-</w:t>
        </w:r>
      </w:hyperlink>
      <w:hyperlink r:id="rId56">
        <w:r>
          <w:rPr>
            <w:color w:val="1155CC"/>
            <w:u w:val="single" w:color="1155CC"/>
          </w:rPr>
          <w:t>of</w:t>
        </w:r>
      </w:hyperlink>
      <w:hyperlink r:id="rId57">
        <w:r>
          <w:rPr>
            <w:color w:val="1155CC"/>
            <w:u w:val="single" w:color="1155CC"/>
          </w:rPr>
          <w:t>-</w:t>
        </w:r>
      </w:hyperlink>
      <w:hyperlink r:id="rId58">
        <w:r>
          <w:rPr>
            <w:color w:val="1155CC"/>
            <w:u w:val="single" w:color="1155CC"/>
          </w:rPr>
          <w:t>practice/technology</w:t>
        </w:r>
      </w:hyperlink>
      <w:hyperlink r:id="rId59">
        <w:r>
          <w:rPr>
            <w:color w:val="1155CC"/>
            <w:u w:val="single" w:color="1155CC"/>
          </w:rPr>
          <w:t>-</w:t>
        </w:r>
      </w:hyperlink>
      <w:hyperlink r:id="rId60">
        <w:r>
          <w:rPr>
            <w:color w:val="1155CC"/>
            <w:u w:val="single" w:color="1155CC"/>
          </w:rPr>
          <w:t>code</w:t>
        </w:r>
      </w:hyperlink>
      <w:hyperlink r:id="rId61">
        <w:r>
          <w:rPr>
            <w:color w:val="1155CC"/>
            <w:u w:val="single" w:color="1155CC"/>
          </w:rPr>
          <w:t>-</w:t>
        </w:r>
      </w:hyperlink>
      <w:hyperlink r:id="rId62">
        <w:r>
          <w:rPr>
            <w:color w:val="1155CC"/>
            <w:u w:val="single" w:color="1155CC"/>
          </w:rPr>
          <w:t>of</w:t>
        </w:r>
      </w:hyperlink>
      <w:hyperlink r:id="rId63">
        <w:r>
          <w:rPr>
            <w:color w:val="1155CC"/>
            <w:u w:val="single" w:color="1155CC"/>
          </w:rPr>
          <w:t>-</w:t>
        </w:r>
      </w:hyperlink>
      <w:hyperlink r:id="rId64">
        <w:r>
          <w:rPr>
            <w:color w:val="1155CC"/>
            <w:u w:val="single" w:color="1155CC"/>
          </w:rPr>
          <w:t>practice</w:t>
        </w:r>
      </w:hyperlink>
      <w:hyperlink r:id="rId65">
        <w:r>
          <w:rPr>
            <w:rFonts w:ascii="Arial" w:eastAsia="Arial" w:hAnsi="Arial" w:cs="Arial"/>
            <w:sz w:val="20"/>
          </w:rPr>
          <w:t xml:space="preserve"> </w:t>
        </w:r>
      </w:hyperlink>
    </w:p>
    <w:p w:rsidR="007D11BB" w:rsidRDefault="004E520F">
      <w:pPr>
        <w:numPr>
          <w:ilvl w:val="2"/>
          <w:numId w:val="9"/>
        </w:numPr>
        <w:ind w:hanging="360"/>
      </w:pPr>
      <w:r>
        <w:t xml:space="preserve">the security requirements of cloud services using the NCSC Cloud Security Principles and accompanying guidance at </w:t>
      </w:r>
      <w:hyperlink r:id="rId66">
        <w:r>
          <w:rPr>
            <w:color w:val="1155CC"/>
            <w:u w:val="single" w:color="1155CC"/>
          </w:rPr>
          <w:t>https://www.ncsc.gov.uk/guidance/implementing</w:t>
        </w:r>
      </w:hyperlink>
      <w:hyperlink r:id="rId67">
        <w:r>
          <w:rPr>
            <w:color w:val="1155CC"/>
            <w:u w:val="single" w:color="1155CC"/>
          </w:rPr>
          <w:t>-</w:t>
        </w:r>
      </w:hyperlink>
      <w:hyperlink r:id="rId68">
        <w:r>
          <w:rPr>
            <w:color w:val="1155CC"/>
            <w:u w:val="single" w:color="1155CC"/>
          </w:rPr>
          <w:t>cloud</w:t>
        </w:r>
      </w:hyperlink>
      <w:hyperlink r:id="rId69"/>
      <w:hyperlink r:id="rId70">
        <w:r>
          <w:rPr>
            <w:color w:val="1155CC"/>
            <w:u w:val="single" w:color="1155CC"/>
          </w:rPr>
          <w:t>security</w:t>
        </w:r>
      </w:hyperlink>
      <w:hyperlink r:id="rId71">
        <w:r>
          <w:rPr>
            <w:color w:val="1155CC"/>
            <w:u w:val="single" w:color="1155CC"/>
          </w:rPr>
          <w:t>-</w:t>
        </w:r>
      </w:hyperlink>
      <w:hyperlink r:id="rId72">
        <w:r>
          <w:rPr>
            <w:color w:val="1155CC"/>
            <w:u w:val="single" w:color="1155CC"/>
          </w:rPr>
          <w:t>principles</w:t>
        </w:r>
      </w:hyperlink>
      <w:hyperlink r:id="rId73">
        <w:r>
          <w:t xml:space="preserve"> </w:t>
        </w:r>
      </w:hyperlink>
      <w:r>
        <w:rPr>
          <w:rFonts w:ascii="Arial" w:eastAsia="Arial" w:hAnsi="Arial" w:cs="Arial"/>
          <w:sz w:val="20"/>
        </w:rPr>
        <w:t xml:space="preserve"> </w:t>
      </w:r>
    </w:p>
    <w:p w:rsidR="007D11BB" w:rsidRDefault="004E520F">
      <w:pPr>
        <w:numPr>
          <w:ilvl w:val="1"/>
          <w:numId w:val="9"/>
        </w:numPr>
        <w:ind w:hanging="725"/>
      </w:pPr>
      <w:r>
        <w:t xml:space="preserve">The Buyer will specify any security requirements for this project in the Order Form. </w:t>
      </w:r>
    </w:p>
    <w:p w:rsidR="007D11BB" w:rsidRDefault="004E520F">
      <w:pPr>
        <w:numPr>
          <w:ilvl w:val="1"/>
          <w:numId w:val="9"/>
        </w:numPr>
        <w:ind w:hanging="725"/>
      </w:pPr>
      <w:r>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rsidR="007D11BB" w:rsidRDefault="004E520F">
      <w:pPr>
        <w:numPr>
          <w:ilvl w:val="1"/>
          <w:numId w:val="9"/>
        </w:numPr>
        <w:spacing w:after="11"/>
        <w:ind w:hanging="725"/>
      </w:pPr>
      <w:r>
        <w:t xml:space="preserve">The Supplier agrees to use the appropriate organisational, operational and technological processes </w:t>
      </w:r>
    </w:p>
    <w:p w:rsidR="007D11BB" w:rsidRDefault="004E520F">
      <w:pPr>
        <w:ind w:left="735"/>
      </w:pPr>
      <w:r>
        <w:t xml:space="preserve">to keep the Buyer Data safe from unauthorised use or access, loss, destruction, theft or disclosure. </w:t>
      </w:r>
    </w:p>
    <w:p w:rsidR="007D11BB" w:rsidRDefault="004E520F">
      <w:pPr>
        <w:numPr>
          <w:ilvl w:val="1"/>
          <w:numId w:val="9"/>
        </w:numPr>
        <w:spacing w:after="204"/>
        <w:ind w:hanging="725"/>
      </w:pPr>
      <w:r>
        <w:lastRenderedPageBreak/>
        <w:t xml:space="preserve">The provisions of this clause 13 will apply during the term of this Call-Off Contract and for as long as the Supplier holds the Buyer’s Data. </w:t>
      </w:r>
    </w:p>
    <w:p w:rsidR="007D11BB" w:rsidRDefault="004E520F">
      <w:pPr>
        <w:numPr>
          <w:ilvl w:val="0"/>
          <w:numId w:val="9"/>
        </w:numPr>
        <w:ind w:hanging="355"/>
      </w:pPr>
      <w:r>
        <w:t xml:space="preserve">Standards and quality </w:t>
      </w:r>
    </w:p>
    <w:p w:rsidR="007D11BB" w:rsidRDefault="004E520F">
      <w:pPr>
        <w:numPr>
          <w:ilvl w:val="1"/>
          <w:numId w:val="9"/>
        </w:numPr>
        <w:ind w:hanging="725"/>
      </w:pPr>
      <w:r>
        <w:t xml:space="preserve">The Supplier will comply with any standards in this Call-Off Contract, the Order Form and the Framework Agreement. </w:t>
      </w:r>
    </w:p>
    <w:p w:rsidR="007D11BB" w:rsidRDefault="00933DC8">
      <w:pPr>
        <w:numPr>
          <w:ilvl w:val="1"/>
          <w:numId w:val="9"/>
        </w:numPr>
        <w:ind w:hanging="725"/>
      </w:pPr>
      <w:hyperlink r:id="rId74">
        <w:r w:rsidR="004E520F">
          <w:t xml:space="preserve">The Supplier will deliver the Services in a way that enables the Buyer to comply with its </w:t>
        </w:r>
      </w:hyperlink>
      <w:hyperlink r:id="rId75">
        <w:r w:rsidR="004E520F">
          <w:t xml:space="preserve">obligations under the </w:t>
        </w:r>
      </w:hyperlink>
      <w:hyperlink r:id="rId76">
        <w:r w:rsidR="004E520F">
          <w:t>Technology Code of Practic</w:t>
        </w:r>
      </w:hyperlink>
      <w:hyperlink r:id="rId77">
        <w:r w:rsidR="004E520F">
          <w:t>e</w:t>
        </w:r>
      </w:hyperlink>
      <w:hyperlink r:id="rId78">
        <w:r w:rsidR="004E520F">
          <w:t>,</w:t>
        </w:r>
      </w:hyperlink>
      <w:hyperlink r:id="rId79">
        <w:r w:rsidR="004E520F">
          <w:t xml:space="preserve"> </w:t>
        </w:r>
      </w:hyperlink>
      <w:hyperlink r:id="rId80">
        <w:r w:rsidR="004E520F">
          <w:t xml:space="preserve">which is available at </w:t>
        </w:r>
      </w:hyperlink>
      <w:hyperlink r:id="rId81">
        <w:r w:rsidR="004E520F">
          <w:rPr>
            <w:color w:val="1155CC"/>
            <w:u w:val="single" w:color="1155CC"/>
          </w:rPr>
          <w:t>https://www.gov.uk/government/publications/technology</w:t>
        </w:r>
      </w:hyperlink>
      <w:hyperlink r:id="rId82">
        <w:r w:rsidR="004E520F">
          <w:rPr>
            <w:color w:val="1155CC"/>
            <w:u w:val="single" w:color="1155CC"/>
          </w:rPr>
          <w:t>-</w:t>
        </w:r>
      </w:hyperlink>
      <w:hyperlink r:id="rId83">
        <w:r w:rsidR="004E520F">
          <w:rPr>
            <w:color w:val="1155CC"/>
            <w:u w:val="single" w:color="1155CC"/>
          </w:rPr>
          <w:t>code</w:t>
        </w:r>
      </w:hyperlink>
      <w:hyperlink r:id="rId84">
        <w:r w:rsidR="004E520F">
          <w:rPr>
            <w:color w:val="1155CC"/>
            <w:u w:val="single" w:color="1155CC"/>
          </w:rPr>
          <w:t>-</w:t>
        </w:r>
      </w:hyperlink>
      <w:hyperlink r:id="rId85">
        <w:r w:rsidR="004E520F">
          <w:rPr>
            <w:color w:val="1155CC"/>
            <w:u w:val="single" w:color="1155CC"/>
          </w:rPr>
          <w:t>of</w:t>
        </w:r>
      </w:hyperlink>
      <w:hyperlink r:id="rId86">
        <w:r w:rsidR="004E520F">
          <w:rPr>
            <w:color w:val="1155CC"/>
            <w:u w:val="single" w:color="1155CC"/>
          </w:rPr>
          <w:t>-</w:t>
        </w:r>
      </w:hyperlink>
      <w:hyperlink r:id="rId87">
        <w:r w:rsidR="004E520F">
          <w:rPr>
            <w:color w:val="1155CC"/>
            <w:u w:val="single" w:color="1155CC"/>
          </w:rPr>
          <w:t>practice/technology</w:t>
        </w:r>
      </w:hyperlink>
      <w:hyperlink r:id="rId88">
        <w:r w:rsidR="004E520F">
          <w:rPr>
            <w:color w:val="1155CC"/>
            <w:u w:val="single" w:color="1155CC"/>
          </w:rPr>
          <w:t>-</w:t>
        </w:r>
      </w:hyperlink>
      <w:hyperlink r:id="rId89">
        <w:r w:rsidR="004E520F">
          <w:rPr>
            <w:color w:val="1155CC"/>
            <w:u w:val="single" w:color="1155CC"/>
          </w:rPr>
          <w:t>code</w:t>
        </w:r>
      </w:hyperlink>
      <w:hyperlink r:id="rId90">
        <w:r w:rsidR="004E520F">
          <w:rPr>
            <w:color w:val="1155CC"/>
            <w:u w:val="single" w:color="1155CC"/>
          </w:rPr>
          <w:t>-</w:t>
        </w:r>
      </w:hyperlink>
      <w:hyperlink r:id="rId91">
        <w:r w:rsidR="004E520F">
          <w:rPr>
            <w:color w:val="1155CC"/>
            <w:u w:val="single" w:color="1155CC"/>
          </w:rPr>
          <w:t>of</w:t>
        </w:r>
      </w:hyperlink>
      <w:hyperlink r:id="rId92"/>
      <w:hyperlink r:id="rId93">
        <w:r w:rsidR="004E520F">
          <w:rPr>
            <w:color w:val="1155CC"/>
            <w:u w:val="single" w:color="1155CC"/>
          </w:rPr>
          <w:t>practice</w:t>
        </w:r>
      </w:hyperlink>
      <w:hyperlink r:id="rId94">
        <w:r w:rsidR="004E520F">
          <w:rPr>
            <w:rFonts w:ascii="Arial" w:eastAsia="Arial" w:hAnsi="Arial" w:cs="Arial"/>
            <w:sz w:val="20"/>
          </w:rPr>
          <w:t xml:space="preserve"> </w:t>
        </w:r>
      </w:hyperlink>
    </w:p>
    <w:p w:rsidR="007D11BB" w:rsidRDefault="004E520F">
      <w:pPr>
        <w:numPr>
          <w:ilvl w:val="1"/>
          <w:numId w:val="9"/>
        </w:numPr>
        <w:ind w:hanging="725"/>
      </w:pPr>
      <w:r>
        <w:t xml:space="preserve">If requested by the Buyer, the Supplier must, at its own cost, ensure that the G-Cloud Services comply with the requirements in the PSN Code of Practice. </w:t>
      </w:r>
    </w:p>
    <w:p w:rsidR="007D11BB" w:rsidRDefault="004E520F">
      <w:pPr>
        <w:numPr>
          <w:ilvl w:val="1"/>
          <w:numId w:val="9"/>
        </w:numPr>
        <w:ind w:hanging="725"/>
      </w:pPr>
      <w:r>
        <w:t xml:space="preserve">If any PSN Services are Subcontracted by the Supplier, the Supplier must ensure that the services have the relevant PSN compliance certification. </w:t>
      </w:r>
    </w:p>
    <w:p w:rsidR="007D11BB" w:rsidRDefault="004E520F">
      <w:pPr>
        <w:numPr>
          <w:ilvl w:val="1"/>
          <w:numId w:val="9"/>
        </w:numPr>
        <w:spacing w:after="9"/>
        <w:ind w:hanging="725"/>
      </w:pPr>
      <w:r>
        <w:t xml:space="preserve">The Supplier must immediately disconnect its G-Cloud Services from the PSN if the PSN </w:t>
      </w:r>
    </w:p>
    <w:p w:rsidR="007D11BB" w:rsidRDefault="004E520F">
      <w:pPr>
        <w:spacing w:after="205"/>
        <w:ind w:left="735"/>
      </w:pPr>
      <w:r>
        <w:t>Authority considers there is a risk to the PSN’s security and the Supplier agrees that the Buyer and the PSN Authority will not be liable for any actions, damages, costs, and any other Supplier liabilities which may arise</w:t>
      </w:r>
      <w:hyperlink r:id="rId95">
        <w:r>
          <w:t>.</w:t>
        </w:r>
      </w:hyperlink>
      <w:hyperlink r:id="rId96">
        <w:r>
          <w:rPr>
            <w:rFonts w:ascii="Arial" w:eastAsia="Arial" w:hAnsi="Arial" w:cs="Arial"/>
            <w:sz w:val="20"/>
          </w:rPr>
          <w:t xml:space="preserve"> </w:t>
        </w:r>
      </w:hyperlink>
    </w:p>
    <w:p w:rsidR="007D11BB" w:rsidRDefault="004E520F">
      <w:pPr>
        <w:numPr>
          <w:ilvl w:val="0"/>
          <w:numId w:val="9"/>
        </w:numPr>
        <w:ind w:hanging="355"/>
      </w:pPr>
      <w:r>
        <w:t xml:space="preserve">Open source </w:t>
      </w:r>
    </w:p>
    <w:p w:rsidR="007D11BB" w:rsidRDefault="004E520F">
      <w:pPr>
        <w:numPr>
          <w:ilvl w:val="1"/>
          <w:numId w:val="9"/>
        </w:numPr>
        <w:ind w:hanging="725"/>
      </w:pPr>
      <w:r>
        <w:t xml:space="preserve">All software created for the Buyer must be suitable for publication as open source, unless otherwise agreed by the Buyer. </w:t>
      </w:r>
    </w:p>
    <w:p w:rsidR="007D11BB" w:rsidRDefault="004E520F">
      <w:pPr>
        <w:numPr>
          <w:ilvl w:val="1"/>
          <w:numId w:val="9"/>
        </w:numPr>
        <w:spacing w:after="202"/>
        <w:ind w:hanging="725"/>
      </w:pPr>
      <w:r>
        <w:t xml:space="preserve">If software needs to be converted before publication as open source, the Supplier must also provide the converted format unless otherwise agreed by the Buyer. </w:t>
      </w:r>
    </w:p>
    <w:p w:rsidR="007D11BB" w:rsidRDefault="004E520F">
      <w:pPr>
        <w:numPr>
          <w:ilvl w:val="0"/>
          <w:numId w:val="9"/>
        </w:numPr>
        <w:ind w:hanging="355"/>
      </w:pPr>
      <w:r>
        <w:t xml:space="preserve">Security </w:t>
      </w:r>
    </w:p>
    <w:p w:rsidR="007D11BB" w:rsidRDefault="004E520F">
      <w:pPr>
        <w:numPr>
          <w:ilvl w:val="1"/>
          <w:numId w:val="9"/>
        </w:numPr>
        <w:spacing w:after="10"/>
        <w:ind w:hanging="725"/>
      </w:pPr>
      <w:r>
        <w:t xml:space="preserve">If requested to do so by the Buyer, before entering into this Call-Off Contract the Supplier will, </w:t>
      </w:r>
    </w:p>
    <w:p w:rsidR="007D11BB" w:rsidRDefault="004E520F">
      <w:pPr>
        <w:spacing w:after="3"/>
        <w:ind w:left="735"/>
      </w:pPr>
      <w:r>
        <w:t xml:space="preserve">within 15 Working Days of the date of this Call-Off Contract, develop (and obtain the Buyer’s written approval of) a Security Management Plan and an Information Security Management </w:t>
      </w:r>
    </w:p>
    <w:p w:rsidR="007D11BB" w:rsidRDefault="004E520F">
      <w:pPr>
        <w:spacing w:after="10"/>
        <w:ind w:left="735"/>
      </w:pPr>
      <w:r>
        <w:t xml:space="preserve">System. After Buyer approval the Security Management Plan and Information Security </w:t>
      </w:r>
    </w:p>
    <w:p w:rsidR="007D11BB" w:rsidRDefault="004E520F">
      <w:pPr>
        <w:ind w:left="735"/>
      </w:pPr>
      <w:r>
        <w:lastRenderedPageBreak/>
        <w:t xml:space="preserve">Management System will apply during the Term of this Call-Off Contract. Both plans will comply with the Buyer’s security policy and protect all aspects and processes associated with the delivery of the Services. </w:t>
      </w:r>
    </w:p>
    <w:p w:rsidR="007D11BB" w:rsidRDefault="004E520F">
      <w:pPr>
        <w:numPr>
          <w:ilvl w:val="1"/>
          <w:numId w:val="9"/>
        </w:numPr>
        <w:ind w:hanging="725"/>
      </w:pPr>
      <w:r>
        <w:t xml:space="preserve">The Supplier will use software and the most up-to-date antivirus definitions available from an industry-accepted antivirus software seller to minimise the impact of Malicious Software. </w:t>
      </w:r>
    </w:p>
    <w:p w:rsidR="007D11BB" w:rsidRDefault="004E520F">
      <w:pPr>
        <w:numPr>
          <w:ilvl w:val="1"/>
          <w:numId w:val="9"/>
        </w:numPr>
        <w:ind w:hanging="725"/>
      </w:pPr>
      <w:r>
        <w:t xml:space="preserve">If Malicious Software causes loss of operational efficiency or loss or corruption of Service Data, the Supplier will help the Buyer to mitigate any losses and restore the Services to operating efficiency as soon as possible. </w:t>
      </w:r>
    </w:p>
    <w:p w:rsidR="007D11BB" w:rsidRDefault="004E520F">
      <w:pPr>
        <w:numPr>
          <w:ilvl w:val="1"/>
          <w:numId w:val="9"/>
        </w:numPr>
        <w:ind w:hanging="725"/>
      </w:pPr>
      <w:r>
        <w:t xml:space="preserve">Responsibility for costs will be at the: </w:t>
      </w:r>
    </w:p>
    <w:p w:rsidR="007D11BB" w:rsidRDefault="004E520F">
      <w:pPr>
        <w:numPr>
          <w:ilvl w:val="2"/>
          <w:numId w:val="9"/>
        </w:numPr>
        <w:spacing w:after="0" w:line="276" w:lineRule="auto"/>
        <w:ind w:hanging="360"/>
      </w:pPr>
      <w:r>
        <w:t xml:space="preserve">Supplier’s expense if the Malicious Software originates from the Supplier software or the Service Data while the Service Data was under the control of the Supplier, unless the </w:t>
      </w:r>
    </w:p>
    <w:p w:rsidR="007D11BB" w:rsidRDefault="004E520F">
      <w:pPr>
        <w:ind w:left="1455"/>
      </w:pPr>
      <w:r>
        <w:t xml:space="preserve">Supplier can demonstrate that it was already present, not quarantined or identified by the Buyer when provided </w:t>
      </w:r>
    </w:p>
    <w:p w:rsidR="007D11BB" w:rsidRDefault="004E520F">
      <w:pPr>
        <w:numPr>
          <w:ilvl w:val="2"/>
          <w:numId w:val="9"/>
        </w:numPr>
        <w:spacing w:after="248" w:line="268" w:lineRule="auto"/>
        <w:ind w:hanging="360"/>
      </w:pPr>
      <w:r>
        <w:t xml:space="preserve">Buyer’s expense if the Malicious Software originates from the Buyer software or the Service Data, while the Service Data was under the Buyer’s control </w:t>
      </w:r>
    </w:p>
    <w:p w:rsidR="007D11BB" w:rsidRDefault="004E520F">
      <w:pPr>
        <w:numPr>
          <w:ilvl w:val="1"/>
          <w:numId w:val="9"/>
        </w:numPr>
        <w:ind w:hanging="725"/>
      </w:pPr>
      <w:r>
        <w:t xml:space="preserve">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 </w:t>
      </w:r>
    </w:p>
    <w:p w:rsidR="007D11BB" w:rsidRDefault="004E520F">
      <w:pPr>
        <w:numPr>
          <w:ilvl w:val="1"/>
          <w:numId w:val="9"/>
        </w:numPr>
        <w:spacing w:after="248" w:line="268" w:lineRule="auto"/>
        <w:ind w:hanging="725"/>
      </w:pPr>
      <w:r>
        <w:t xml:space="preserve">Any system development by the Supplier should also comply with the government’s ‘10 Steps to Cyber Security’ guidance, available at </w:t>
      </w:r>
      <w:hyperlink r:id="rId97">
        <w:r>
          <w:rPr>
            <w:color w:val="1155CC"/>
            <w:u w:val="single" w:color="1155CC"/>
          </w:rPr>
          <w:t>https://www.ncsc.gov.uk/guidance/10</w:t>
        </w:r>
      </w:hyperlink>
      <w:hyperlink r:id="rId98">
        <w:r>
          <w:rPr>
            <w:color w:val="1155CC"/>
            <w:u w:val="single" w:color="1155CC"/>
          </w:rPr>
          <w:t>-</w:t>
        </w:r>
      </w:hyperlink>
      <w:hyperlink r:id="rId99">
        <w:r>
          <w:rPr>
            <w:color w:val="1155CC"/>
            <w:u w:val="single" w:color="1155CC"/>
          </w:rPr>
          <w:t>steps</w:t>
        </w:r>
      </w:hyperlink>
      <w:hyperlink r:id="rId100">
        <w:r>
          <w:rPr>
            <w:color w:val="1155CC"/>
            <w:u w:val="single" w:color="1155CC"/>
          </w:rPr>
          <w:t>-</w:t>
        </w:r>
      </w:hyperlink>
      <w:hyperlink r:id="rId101">
        <w:r>
          <w:rPr>
            <w:color w:val="1155CC"/>
            <w:u w:val="single" w:color="1155CC"/>
          </w:rPr>
          <w:t>cyber</w:t>
        </w:r>
      </w:hyperlink>
      <w:hyperlink r:id="rId102">
        <w:r>
          <w:rPr>
            <w:color w:val="1155CC"/>
            <w:u w:val="single" w:color="1155CC"/>
          </w:rPr>
          <w:t>-</w:t>
        </w:r>
      </w:hyperlink>
      <w:hyperlink r:id="rId103">
        <w:r>
          <w:rPr>
            <w:color w:val="1155CC"/>
            <w:u w:val="single" w:color="1155CC"/>
          </w:rPr>
          <w:t>security</w:t>
        </w:r>
      </w:hyperlink>
      <w:hyperlink r:id="rId104">
        <w:r>
          <w:rPr>
            <w:rFonts w:ascii="Arial" w:eastAsia="Arial" w:hAnsi="Arial" w:cs="Arial"/>
            <w:sz w:val="20"/>
          </w:rPr>
          <w:t xml:space="preserve"> </w:t>
        </w:r>
      </w:hyperlink>
    </w:p>
    <w:p w:rsidR="007D11BB" w:rsidRDefault="004E520F">
      <w:pPr>
        <w:numPr>
          <w:ilvl w:val="1"/>
          <w:numId w:val="9"/>
        </w:numPr>
        <w:ind w:hanging="725"/>
      </w:pPr>
      <w:r>
        <w:t xml:space="preserve">If a Buyer has requested in the Order Form that the Supplier has a Cyber Essentials certificate, the Supplier must provide the Buyer with a valid Cyber Essentials certificate (or equivalent) required for the Services before the Start Date. </w:t>
      </w:r>
      <w:r>
        <w:rPr>
          <w:rFonts w:ascii="Arial" w:eastAsia="Arial" w:hAnsi="Arial" w:cs="Arial"/>
          <w:sz w:val="20"/>
        </w:rPr>
        <w:t xml:space="preserve"> </w:t>
      </w:r>
    </w:p>
    <w:p w:rsidR="007D11BB" w:rsidRDefault="004E520F">
      <w:pPr>
        <w:numPr>
          <w:ilvl w:val="0"/>
          <w:numId w:val="9"/>
        </w:numPr>
        <w:ind w:hanging="355"/>
      </w:pPr>
      <w:r>
        <w:t xml:space="preserve">Guarantee </w:t>
      </w:r>
    </w:p>
    <w:p w:rsidR="007D11BB" w:rsidRDefault="004E520F">
      <w:pPr>
        <w:numPr>
          <w:ilvl w:val="1"/>
          <w:numId w:val="9"/>
        </w:numPr>
        <w:ind w:hanging="725"/>
      </w:pPr>
      <w:r>
        <w:t xml:space="preserve">If this Call-Off Contract is conditional on receipt of a Guarantee that is acceptable to the Buyer, the Supplier must give the Buyer on or before the Start Date: </w:t>
      </w:r>
    </w:p>
    <w:p w:rsidR="007D11BB" w:rsidRDefault="004E520F">
      <w:pPr>
        <w:numPr>
          <w:ilvl w:val="2"/>
          <w:numId w:val="9"/>
        </w:numPr>
        <w:ind w:hanging="360"/>
      </w:pPr>
      <w:r>
        <w:t xml:space="preserve">an executed Guarantee in the form at Schedule 5  </w:t>
      </w:r>
    </w:p>
    <w:p w:rsidR="007D11BB" w:rsidRDefault="004E520F">
      <w:pPr>
        <w:numPr>
          <w:ilvl w:val="2"/>
          <w:numId w:val="9"/>
        </w:numPr>
        <w:spacing w:after="205"/>
        <w:ind w:hanging="360"/>
      </w:pPr>
      <w:r>
        <w:lastRenderedPageBreak/>
        <w:t xml:space="preserve">a certified copy of the passed resolution or board minutes of the guarantor approving the execution of the Guarantee </w:t>
      </w:r>
    </w:p>
    <w:p w:rsidR="007D11BB" w:rsidRDefault="004E520F">
      <w:pPr>
        <w:numPr>
          <w:ilvl w:val="0"/>
          <w:numId w:val="9"/>
        </w:numPr>
        <w:ind w:hanging="355"/>
      </w:pPr>
      <w:r>
        <w:t xml:space="preserve">Ending the Call-Off Contract </w:t>
      </w:r>
    </w:p>
    <w:p w:rsidR="007D11BB" w:rsidRDefault="004E520F">
      <w:pPr>
        <w:numPr>
          <w:ilvl w:val="1"/>
          <w:numId w:val="9"/>
        </w:numPr>
        <w:spacing w:after="248" w:line="268" w:lineRule="auto"/>
        <w:ind w:hanging="725"/>
      </w:pPr>
      <w:r>
        <w:t xml:space="preserve">The Buyer can End this Call-Off Contract at any time by giving 30 days’ written notice to the Supplier, unless a shorter period is specified in the Order Form. The Supplier’s obligation to provide the Services will end on the date in the notice. </w:t>
      </w:r>
    </w:p>
    <w:p w:rsidR="007D11BB" w:rsidRDefault="004E520F">
      <w:pPr>
        <w:numPr>
          <w:ilvl w:val="1"/>
          <w:numId w:val="9"/>
        </w:numPr>
        <w:ind w:hanging="725"/>
      </w:pPr>
      <w:r>
        <w:t xml:space="preserve">The Parties agree that the: </w:t>
      </w:r>
    </w:p>
    <w:p w:rsidR="007D11BB" w:rsidRDefault="004E520F">
      <w:pPr>
        <w:numPr>
          <w:ilvl w:val="2"/>
          <w:numId w:val="9"/>
        </w:numPr>
        <w:ind w:hanging="360"/>
      </w:pPr>
      <w:r>
        <w:t xml:space="preserve">Buyer’s right to End the Call-Off Contract under clause 18.1 is reasonable considering the type of cloud Service being provided </w:t>
      </w:r>
    </w:p>
    <w:p w:rsidR="007D11BB" w:rsidRDefault="004E520F">
      <w:pPr>
        <w:numPr>
          <w:ilvl w:val="2"/>
          <w:numId w:val="9"/>
        </w:numPr>
        <w:ind w:hanging="360"/>
      </w:pPr>
      <w:r>
        <w:t xml:space="preserve">Call-Off Contract Charges paid during the notice period is reasonable compensation and covers all the Supplier’s avoidable costs or Losses </w:t>
      </w:r>
    </w:p>
    <w:p w:rsidR="007D11BB" w:rsidRDefault="004E520F">
      <w:pPr>
        <w:numPr>
          <w:ilvl w:val="1"/>
          <w:numId w:val="9"/>
        </w:numPr>
        <w:ind w:hanging="725"/>
      </w:pPr>
      <w: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rsidR="007D11BB" w:rsidRDefault="004E520F">
      <w:pPr>
        <w:numPr>
          <w:ilvl w:val="1"/>
          <w:numId w:val="9"/>
        </w:numPr>
        <w:ind w:hanging="725"/>
      </w:pPr>
      <w:r>
        <w:t xml:space="preserve">The Buyer will have the right to End this Call-Off Contract at any time with immediate effect by written notice to the Supplier if either the Supplier commits: </w:t>
      </w:r>
    </w:p>
    <w:p w:rsidR="007D11BB" w:rsidRDefault="004E520F">
      <w:pPr>
        <w:numPr>
          <w:ilvl w:val="2"/>
          <w:numId w:val="9"/>
        </w:numPr>
        <w:spacing w:after="9"/>
        <w:ind w:hanging="360"/>
      </w:pPr>
      <w:r>
        <w:t xml:space="preserve">a Supplier Default and if the Supplier Default cannot, in the reasonable opinion of the </w:t>
      </w:r>
    </w:p>
    <w:p w:rsidR="007D11BB" w:rsidRDefault="004E520F">
      <w:pPr>
        <w:ind w:left="1455"/>
      </w:pPr>
      <w:r>
        <w:t xml:space="preserve">Buyer, be remedied </w:t>
      </w:r>
    </w:p>
    <w:p w:rsidR="007D11BB" w:rsidRDefault="004E520F">
      <w:pPr>
        <w:numPr>
          <w:ilvl w:val="2"/>
          <w:numId w:val="9"/>
        </w:numPr>
        <w:ind w:hanging="360"/>
      </w:pPr>
      <w:r>
        <w:t xml:space="preserve">any fraud </w:t>
      </w:r>
    </w:p>
    <w:p w:rsidR="007D11BB" w:rsidRDefault="004E520F">
      <w:pPr>
        <w:numPr>
          <w:ilvl w:val="1"/>
          <w:numId w:val="9"/>
        </w:numPr>
        <w:ind w:hanging="725"/>
      </w:pPr>
      <w:r>
        <w:t xml:space="preserve">A Party can End this Call-Off Contract at any time with immediate effect by written notice if: </w:t>
      </w:r>
    </w:p>
    <w:p w:rsidR="007D11BB" w:rsidRDefault="004E520F">
      <w:pPr>
        <w:numPr>
          <w:ilvl w:val="2"/>
          <w:numId w:val="9"/>
        </w:numPr>
        <w:ind w:hanging="360"/>
      </w:pPr>
      <w:r>
        <w:t xml:space="preserve">the other Party commits a Material Breach of any term of this Call-Off Contract (other than failure to pay any amounts due) and, if that breach is remediable, fails to remedy it within 15 Working Days of being notified in writing to do so </w:t>
      </w:r>
    </w:p>
    <w:p w:rsidR="007D11BB" w:rsidRDefault="004E520F">
      <w:pPr>
        <w:numPr>
          <w:ilvl w:val="2"/>
          <w:numId w:val="9"/>
        </w:numPr>
        <w:ind w:hanging="360"/>
      </w:pPr>
      <w:r>
        <w:t xml:space="preserve">an Insolvency Event of the other Party happens </w:t>
      </w:r>
    </w:p>
    <w:p w:rsidR="007D11BB" w:rsidRDefault="004E520F">
      <w:pPr>
        <w:numPr>
          <w:ilvl w:val="2"/>
          <w:numId w:val="9"/>
        </w:numPr>
        <w:ind w:hanging="360"/>
      </w:pPr>
      <w:r>
        <w:lastRenderedPageBreak/>
        <w:t xml:space="preserve">the other Party ceases or threatens to cease to carry on the whole or any material part of its business </w:t>
      </w:r>
    </w:p>
    <w:p w:rsidR="007D11BB" w:rsidRDefault="004E520F">
      <w:pPr>
        <w:numPr>
          <w:ilvl w:val="1"/>
          <w:numId w:val="9"/>
        </w:numPr>
        <w:ind w:hanging="725"/>
      </w:pPr>
      <w:r>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rsidR="007D11BB" w:rsidRDefault="004E520F">
      <w:pPr>
        <w:numPr>
          <w:ilvl w:val="1"/>
          <w:numId w:val="9"/>
        </w:numPr>
        <w:spacing w:after="205" w:line="268" w:lineRule="auto"/>
        <w:ind w:hanging="725"/>
      </w:pPr>
      <w:r>
        <w:t xml:space="preserve">A Party who isn’t relying on a Force Majeure event will have the right to End this Call-Off Contract if clause 23.1 applies. </w:t>
      </w:r>
    </w:p>
    <w:p w:rsidR="007D11BB" w:rsidRDefault="004E520F">
      <w:pPr>
        <w:numPr>
          <w:ilvl w:val="0"/>
          <w:numId w:val="9"/>
        </w:numPr>
        <w:ind w:hanging="355"/>
      </w:pPr>
      <w:r>
        <w:t xml:space="preserve">Consequences of suspension, ending and expiry </w:t>
      </w:r>
    </w:p>
    <w:p w:rsidR="007D11BB" w:rsidRDefault="004E520F">
      <w:pPr>
        <w:numPr>
          <w:ilvl w:val="1"/>
          <w:numId w:val="9"/>
        </w:numPr>
        <w:ind w:hanging="725"/>
      </w:pPr>
      <w:r>
        <w:t xml:space="preserve">If a Buyer has the right to End a Call-Off Contract, it may elect to suspend this Call-Off Contract or any part of it. </w:t>
      </w:r>
    </w:p>
    <w:p w:rsidR="007D11BB" w:rsidRDefault="004E520F">
      <w:pPr>
        <w:numPr>
          <w:ilvl w:val="1"/>
          <w:numId w:val="9"/>
        </w:numPr>
        <w:ind w:hanging="725"/>
      </w:pPr>
      <w:r>
        <w:t xml:space="preserve">Even if a notice has been served to End this Call-Off Contract or any part of it, the Supplier must continue to provide the Ordered G-Cloud Services until the dates set out in the notice. </w:t>
      </w:r>
    </w:p>
    <w:p w:rsidR="007D11BB" w:rsidRDefault="004E520F">
      <w:pPr>
        <w:numPr>
          <w:ilvl w:val="1"/>
          <w:numId w:val="9"/>
        </w:numPr>
        <w:ind w:hanging="725"/>
      </w:pPr>
      <w:r>
        <w:t xml:space="preserve">The rights and obligations of the Parties will cease on the Expiry Date or End Date (whichever applies) of this Call-Off Contract, except those continuing provisions described in clause 19.4. </w:t>
      </w:r>
    </w:p>
    <w:p w:rsidR="007D11BB" w:rsidRDefault="004E520F">
      <w:pPr>
        <w:numPr>
          <w:ilvl w:val="1"/>
          <w:numId w:val="9"/>
        </w:numPr>
        <w:ind w:hanging="725"/>
      </w:pPr>
      <w:r>
        <w:t xml:space="preserve">Ending or expiry of this Call-Off Contract will not affect: </w:t>
      </w:r>
    </w:p>
    <w:p w:rsidR="007D11BB" w:rsidRDefault="004E520F">
      <w:pPr>
        <w:numPr>
          <w:ilvl w:val="2"/>
          <w:numId w:val="9"/>
        </w:numPr>
        <w:ind w:hanging="360"/>
      </w:pPr>
      <w:r>
        <w:t xml:space="preserve">any rights, remedies or obligations accrued before its Ending or expiration </w:t>
      </w:r>
    </w:p>
    <w:p w:rsidR="007D11BB" w:rsidRDefault="004E520F">
      <w:pPr>
        <w:numPr>
          <w:ilvl w:val="2"/>
          <w:numId w:val="9"/>
        </w:numPr>
        <w:ind w:hanging="360"/>
      </w:pPr>
      <w:r>
        <w:t xml:space="preserve">the right of either Party to recover any amount outstanding at the time of Ending or expiry </w:t>
      </w:r>
    </w:p>
    <w:p w:rsidR="007D11BB" w:rsidRDefault="004E520F">
      <w:pPr>
        <w:numPr>
          <w:ilvl w:val="2"/>
          <w:numId w:val="9"/>
        </w:numPr>
        <w:spacing w:after="4"/>
        <w:ind w:hanging="360"/>
      </w:pPr>
      <w:r>
        <w:t xml:space="preserve">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w:t>
      </w:r>
    </w:p>
    <w:p w:rsidR="007D11BB" w:rsidRDefault="004E520F">
      <w:pPr>
        <w:spacing w:after="260" w:line="259" w:lineRule="auto"/>
        <w:ind w:left="10" w:right="88"/>
        <w:jc w:val="right"/>
      </w:pPr>
      <w:r>
        <w:t xml:space="preserve">(Conflicts of interest and ethical walls) and 8.92 to 8.93 (Waiver and cumulative remedies) </w:t>
      </w:r>
    </w:p>
    <w:p w:rsidR="007D11BB" w:rsidRDefault="004E520F">
      <w:pPr>
        <w:spacing w:after="42"/>
        <w:ind w:left="1548" w:hanging="408"/>
      </w:pPr>
      <w:r>
        <w:rPr>
          <w:rFonts w:ascii="Arial" w:eastAsia="Arial" w:hAnsi="Arial" w:cs="Arial"/>
        </w:rPr>
        <w:t xml:space="preserve">● </w:t>
      </w:r>
      <w:r>
        <w:t xml:space="preserve">any other provision of the Framework Agreement or this Call-Off Contract which expressly or by implication is in force even if it Ends or expires </w:t>
      </w:r>
    </w:p>
    <w:p w:rsidR="007D11BB" w:rsidRDefault="004E520F">
      <w:pPr>
        <w:numPr>
          <w:ilvl w:val="1"/>
          <w:numId w:val="9"/>
        </w:numPr>
        <w:ind w:hanging="725"/>
      </w:pPr>
      <w:r>
        <w:t xml:space="preserve">At the end of the Call-Off Contract Term, the Supplier must promptly: </w:t>
      </w:r>
    </w:p>
    <w:p w:rsidR="007D11BB" w:rsidRDefault="004E520F">
      <w:pPr>
        <w:numPr>
          <w:ilvl w:val="2"/>
          <w:numId w:val="9"/>
        </w:numPr>
        <w:ind w:hanging="360"/>
      </w:pPr>
      <w:r>
        <w:lastRenderedPageBreak/>
        <w:t xml:space="preserve">return all Buyer Data including all copies of Buyer software, code and any other software licensed by the Buyer to the Supplier under it </w:t>
      </w:r>
    </w:p>
    <w:p w:rsidR="007D11BB" w:rsidRDefault="004E520F">
      <w:pPr>
        <w:numPr>
          <w:ilvl w:val="2"/>
          <w:numId w:val="9"/>
        </w:numPr>
        <w:ind w:hanging="360"/>
      </w:pPr>
      <w:r>
        <w:t xml:space="preserve">return any materials created by the Supplier under this Call-Off Contract if the IPRs are owned by the Buyer </w:t>
      </w:r>
    </w:p>
    <w:p w:rsidR="007D11BB" w:rsidRDefault="004E520F">
      <w:pPr>
        <w:numPr>
          <w:ilvl w:val="2"/>
          <w:numId w:val="9"/>
        </w:numPr>
        <w:ind w:hanging="360"/>
      </w:pPr>
      <w:r>
        <w:t xml:space="preserve">stop using the Buyer Data and, at the direction of the Buyer, provide the Buyer with a complete and uncorrupted version in electronic form in the formats and on media agreed with the Buyer </w:t>
      </w:r>
    </w:p>
    <w:p w:rsidR="007D11BB" w:rsidRDefault="004E520F">
      <w:pPr>
        <w:numPr>
          <w:ilvl w:val="2"/>
          <w:numId w:val="9"/>
        </w:numPr>
        <w:ind w:hanging="36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rsidR="007D11BB" w:rsidRDefault="004E520F">
      <w:pPr>
        <w:numPr>
          <w:ilvl w:val="2"/>
          <w:numId w:val="9"/>
        </w:numPr>
        <w:ind w:hanging="360"/>
      </w:pPr>
      <w:r>
        <w:t xml:space="preserve">work with the Buyer on any ongoing work  </w:t>
      </w:r>
    </w:p>
    <w:p w:rsidR="007D11BB" w:rsidRDefault="004E520F">
      <w:pPr>
        <w:numPr>
          <w:ilvl w:val="2"/>
          <w:numId w:val="9"/>
        </w:numPr>
        <w:ind w:hanging="360"/>
      </w:pPr>
      <w:r>
        <w:t xml:space="preserve">return any sums prepaid for Services which have not been delivered to the Buyer, within 10 Working Days of the End or Expiry Date </w:t>
      </w:r>
    </w:p>
    <w:p w:rsidR="007D11BB" w:rsidRDefault="004E520F">
      <w:pPr>
        <w:numPr>
          <w:ilvl w:val="1"/>
          <w:numId w:val="9"/>
        </w:numPr>
        <w:ind w:hanging="725"/>
      </w:pPr>
      <w:r>
        <w:t xml:space="preserve">Each Party will return all of the other Party’s Confidential Information and confirm this has been done, unless there is a legal requirement to keep it or this Call-Off Contract states otherwise. </w:t>
      </w:r>
    </w:p>
    <w:p w:rsidR="007D11BB" w:rsidRDefault="004E520F">
      <w:pPr>
        <w:numPr>
          <w:ilvl w:val="1"/>
          <w:numId w:val="9"/>
        </w:numPr>
        <w:spacing w:after="205"/>
        <w:ind w:hanging="725"/>
      </w:pPr>
      <w:r>
        <w:t xml:space="preserve">All licences, leases and authorisations granted by the Buyer to the Supplier will cease at the end of the Call-Off Contract Term without the need for the Buyer to serve notice except if this Call-Off Contract states otherwise. </w:t>
      </w:r>
    </w:p>
    <w:p w:rsidR="007D11BB" w:rsidRDefault="004E520F">
      <w:pPr>
        <w:numPr>
          <w:ilvl w:val="0"/>
          <w:numId w:val="9"/>
        </w:numPr>
        <w:ind w:hanging="355"/>
      </w:pPr>
      <w:r>
        <w:t xml:space="preserve">Notices </w:t>
      </w:r>
    </w:p>
    <w:p w:rsidR="007D11BB" w:rsidRDefault="004E520F">
      <w:pPr>
        <w:numPr>
          <w:ilvl w:val="1"/>
          <w:numId w:val="9"/>
        </w:numPr>
        <w:spacing w:after="0"/>
        <w:ind w:hanging="725"/>
      </w:pPr>
      <w:r>
        <w:t xml:space="preserve">Any notices sent must be in writing. For the purpose of this clause, an email is accepted as being 'in writing'. </w:t>
      </w:r>
    </w:p>
    <w:tbl>
      <w:tblPr>
        <w:tblStyle w:val="TableGrid"/>
        <w:tblW w:w="9912" w:type="dxa"/>
        <w:tblInd w:w="735" w:type="dxa"/>
        <w:tblCellMar>
          <w:top w:w="75" w:type="dxa"/>
          <w:left w:w="106" w:type="dxa"/>
          <w:right w:w="115" w:type="dxa"/>
        </w:tblCellMar>
        <w:tblLook w:val="04A0" w:firstRow="1" w:lastRow="0" w:firstColumn="1" w:lastColumn="0" w:noHBand="0" w:noVBand="1"/>
      </w:tblPr>
      <w:tblGrid>
        <w:gridCol w:w="3304"/>
        <w:gridCol w:w="3305"/>
        <w:gridCol w:w="3303"/>
      </w:tblGrid>
      <w:tr w:rsidR="007D11BB">
        <w:trPr>
          <w:trHeight w:val="336"/>
        </w:trPr>
        <w:tc>
          <w:tcPr>
            <w:tcW w:w="3303"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2" w:firstLine="0"/>
            </w:pPr>
            <w:r>
              <w:t xml:space="preserve">Manner of delivery </w:t>
            </w:r>
          </w:p>
        </w:tc>
        <w:tc>
          <w:tcPr>
            <w:tcW w:w="3305"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2" w:firstLine="0"/>
            </w:pPr>
            <w:r>
              <w:t xml:space="preserve">Deemed time of delivery </w:t>
            </w:r>
          </w:p>
        </w:tc>
        <w:tc>
          <w:tcPr>
            <w:tcW w:w="3303"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Proof of service </w:t>
            </w:r>
          </w:p>
        </w:tc>
      </w:tr>
      <w:tr w:rsidR="007D11BB">
        <w:trPr>
          <w:trHeight w:val="1265"/>
        </w:trPr>
        <w:tc>
          <w:tcPr>
            <w:tcW w:w="3303"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2" w:firstLine="0"/>
            </w:pPr>
            <w:r>
              <w:t xml:space="preserve">Email </w:t>
            </w:r>
          </w:p>
        </w:tc>
        <w:tc>
          <w:tcPr>
            <w:tcW w:w="3305"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2" w:firstLine="0"/>
            </w:pPr>
            <w:r>
              <w:t xml:space="preserve">9am on the first Working Day after sending </w:t>
            </w:r>
          </w:p>
        </w:tc>
        <w:tc>
          <w:tcPr>
            <w:tcW w:w="3303" w:type="dxa"/>
            <w:tcBorders>
              <w:top w:val="single" w:sz="8" w:space="0" w:color="000001"/>
              <w:left w:val="single" w:sz="8" w:space="0" w:color="000001"/>
              <w:bottom w:val="single" w:sz="8" w:space="0" w:color="000001"/>
              <w:right w:val="single" w:sz="8" w:space="0" w:color="000001"/>
            </w:tcBorders>
          </w:tcPr>
          <w:p w:rsidR="007D11BB" w:rsidRDefault="004E520F">
            <w:pPr>
              <w:spacing w:after="0" w:line="259" w:lineRule="auto"/>
              <w:ind w:left="0" w:firstLine="0"/>
            </w:pPr>
            <w:r>
              <w:t xml:space="preserve">Sent by PDF to the correct email address without getting an error message </w:t>
            </w:r>
          </w:p>
        </w:tc>
      </w:tr>
    </w:tbl>
    <w:p w:rsidR="007D11BB" w:rsidRDefault="004E520F">
      <w:pPr>
        <w:spacing w:after="261" w:line="259" w:lineRule="auto"/>
        <w:ind w:left="5" w:firstLine="0"/>
      </w:pPr>
      <w:r>
        <w:t xml:space="preserve"> </w:t>
      </w:r>
    </w:p>
    <w:p w:rsidR="007D11BB" w:rsidRDefault="004E520F">
      <w:pPr>
        <w:numPr>
          <w:ilvl w:val="1"/>
          <w:numId w:val="9"/>
        </w:numPr>
        <w:spacing w:after="204"/>
        <w:ind w:hanging="725"/>
      </w:pPr>
      <w:r>
        <w:lastRenderedPageBreak/>
        <w:t xml:space="preserve">This clause does not apply to any legal action or other method of dispute resolution which should be sent to the addresses in the Order Form (other than a dispute notice under this Call-Off Contract). </w:t>
      </w:r>
    </w:p>
    <w:p w:rsidR="007D11BB" w:rsidRDefault="004E520F">
      <w:pPr>
        <w:numPr>
          <w:ilvl w:val="0"/>
          <w:numId w:val="9"/>
        </w:numPr>
        <w:ind w:hanging="355"/>
      </w:pPr>
      <w:r>
        <w:t xml:space="preserve">Exit plan </w:t>
      </w:r>
    </w:p>
    <w:p w:rsidR="007D11BB" w:rsidRDefault="004E520F">
      <w:pPr>
        <w:numPr>
          <w:ilvl w:val="1"/>
          <w:numId w:val="9"/>
        </w:numPr>
        <w:ind w:hanging="725"/>
      </w:pPr>
      <w:r>
        <w:t xml:space="preserve">The Supplier must provide an exit plan in its Application which ensures continuity of service and the Supplier will follow it. </w:t>
      </w:r>
    </w:p>
    <w:p w:rsidR="007D11BB" w:rsidRDefault="004E520F">
      <w:pPr>
        <w:numPr>
          <w:ilvl w:val="1"/>
          <w:numId w:val="9"/>
        </w:numPr>
        <w:ind w:hanging="725"/>
      </w:pPr>
      <w:r>
        <w:t xml:space="preserve">When requested, the Supplier will help the Buyer to migrate the Services to a replacement supplier in line with the exit plan. This will be at the Supplier’s own expense if the Call-Off Contract Ended before the Expiry Date due to Supplier cause. </w:t>
      </w:r>
    </w:p>
    <w:p w:rsidR="007D11BB" w:rsidRDefault="004E520F">
      <w:pPr>
        <w:numPr>
          <w:ilvl w:val="1"/>
          <w:numId w:val="9"/>
        </w:numPr>
        <w:ind w:hanging="725"/>
      </w:pPr>
      <w: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rsidR="007D11BB" w:rsidRDefault="004E520F">
      <w:pPr>
        <w:numPr>
          <w:ilvl w:val="1"/>
          <w:numId w:val="9"/>
        </w:numPr>
        <w:ind w:hanging="725"/>
      </w:pPr>
      <w:r>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rsidR="007D11BB" w:rsidRDefault="004E520F">
      <w:pPr>
        <w:numPr>
          <w:ilvl w:val="1"/>
          <w:numId w:val="9"/>
        </w:numPr>
        <w:ind w:hanging="725"/>
      </w:pPr>
      <w:r>
        <w:t xml:space="preserve">Before submitting the additional exit plan to the Buyer for approval, the Supplier will work with the Buyer to ensure that the additional exit plan is aligned with the Buyer’s own exit plan and strategy. </w:t>
      </w:r>
    </w:p>
    <w:p w:rsidR="007D11BB" w:rsidRDefault="004E520F">
      <w:pPr>
        <w:numPr>
          <w:ilvl w:val="1"/>
          <w:numId w:val="9"/>
        </w:numPr>
        <w:spacing w:after="248" w:line="268" w:lineRule="auto"/>
        <w:ind w:hanging="725"/>
      </w:pPr>
      <w:r>
        <w:t xml:space="preserve">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rsidR="007D11BB" w:rsidRDefault="004E520F">
      <w:pPr>
        <w:numPr>
          <w:ilvl w:val="2"/>
          <w:numId w:val="9"/>
        </w:numPr>
        <w:ind w:hanging="360"/>
      </w:pPr>
      <w:r>
        <w:t xml:space="preserve">the Buyer will be able to transfer the Services to a replacement supplier before the expiry or Ending of the extension period on terms that are commercially reasonable and acceptable to the Buyer </w:t>
      </w:r>
    </w:p>
    <w:p w:rsidR="007D11BB" w:rsidRDefault="004E520F">
      <w:pPr>
        <w:numPr>
          <w:ilvl w:val="2"/>
          <w:numId w:val="9"/>
        </w:numPr>
        <w:ind w:hanging="360"/>
      </w:pPr>
      <w:r>
        <w:t xml:space="preserve">there will be no adverse impact on service continuity </w:t>
      </w:r>
    </w:p>
    <w:p w:rsidR="007D11BB" w:rsidRDefault="004E520F">
      <w:pPr>
        <w:numPr>
          <w:ilvl w:val="2"/>
          <w:numId w:val="9"/>
        </w:numPr>
        <w:spacing w:after="248" w:line="268" w:lineRule="auto"/>
        <w:ind w:hanging="360"/>
      </w:pPr>
      <w:r>
        <w:t xml:space="preserve">there is no vendor lock-in to the Supplier’s Service at exit </w:t>
      </w:r>
    </w:p>
    <w:p w:rsidR="007D11BB" w:rsidRDefault="004E520F">
      <w:pPr>
        <w:numPr>
          <w:ilvl w:val="2"/>
          <w:numId w:val="9"/>
        </w:numPr>
        <w:ind w:hanging="360"/>
      </w:pPr>
      <w:r>
        <w:t xml:space="preserve">it enables the Buyer to meet its obligations under the Technology Code Of Practice </w:t>
      </w:r>
    </w:p>
    <w:p w:rsidR="007D11BB" w:rsidRDefault="004E520F">
      <w:pPr>
        <w:numPr>
          <w:ilvl w:val="1"/>
          <w:numId w:val="9"/>
        </w:numPr>
        <w:spacing w:after="45"/>
        <w:ind w:hanging="725"/>
      </w:pPr>
      <w:r>
        <w:lastRenderedPageBreak/>
        <w:t xml:space="preserve">If approval is obtained by the Buyer to extend the Term, then the Supplier will comply with its obligations in the additional exit plan. </w:t>
      </w:r>
    </w:p>
    <w:p w:rsidR="007D11BB" w:rsidRDefault="004E520F">
      <w:pPr>
        <w:numPr>
          <w:ilvl w:val="1"/>
          <w:numId w:val="9"/>
        </w:numPr>
        <w:ind w:hanging="725"/>
      </w:pPr>
      <w:r>
        <w:t xml:space="preserve">The additional exit plan must set out full details of timescales, activities and roles and responsibilities of the Parties for: </w:t>
      </w:r>
    </w:p>
    <w:p w:rsidR="007D11BB" w:rsidRDefault="004E520F">
      <w:pPr>
        <w:numPr>
          <w:ilvl w:val="2"/>
          <w:numId w:val="9"/>
        </w:numPr>
        <w:spacing w:after="236" w:line="276" w:lineRule="auto"/>
        <w:ind w:hanging="360"/>
      </w:pPr>
      <w:r>
        <w:t xml:space="preserve">the transfer to the Buyer of any technical information, instructions, manuals and code reasonably required by the Buyer to enable a smooth migration from the Supplier </w:t>
      </w:r>
    </w:p>
    <w:p w:rsidR="007D11BB" w:rsidRDefault="004E520F">
      <w:pPr>
        <w:numPr>
          <w:ilvl w:val="2"/>
          <w:numId w:val="9"/>
        </w:numPr>
        <w:ind w:hanging="360"/>
      </w:pPr>
      <w:r>
        <w:t xml:space="preserve">the strategy for exportation and migration of Buyer Data from the Supplier system to the Buyer or a replacement supplier, including conversion to open standards or other standards required by the Buyer </w:t>
      </w:r>
    </w:p>
    <w:p w:rsidR="007D11BB" w:rsidRDefault="004E520F">
      <w:pPr>
        <w:numPr>
          <w:ilvl w:val="2"/>
          <w:numId w:val="9"/>
        </w:numPr>
        <w:ind w:hanging="360"/>
      </w:pPr>
      <w:r>
        <w:t xml:space="preserve">the transfer of Project Specific IPR items and other Buyer customisations, configurations and databases to the Buyer or a replacement supplier </w:t>
      </w:r>
    </w:p>
    <w:p w:rsidR="007D11BB" w:rsidRDefault="004E520F">
      <w:pPr>
        <w:numPr>
          <w:ilvl w:val="2"/>
          <w:numId w:val="9"/>
        </w:numPr>
        <w:ind w:hanging="360"/>
      </w:pPr>
      <w:r>
        <w:t xml:space="preserve">the testing and assurance strategy for exported Buyer Data </w:t>
      </w:r>
    </w:p>
    <w:p w:rsidR="007D11BB" w:rsidRDefault="004E520F">
      <w:pPr>
        <w:numPr>
          <w:ilvl w:val="2"/>
          <w:numId w:val="9"/>
        </w:numPr>
        <w:ind w:hanging="360"/>
      </w:pPr>
      <w:r>
        <w:t xml:space="preserve">if relevant, TUPE-related activity to comply with the TUPE regulations </w:t>
      </w:r>
    </w:p>
    <w:p w:rsidR="007D11BB" w:rsidRDefault="004E520F">
      <w:pPr>
        <w:numPr>
          <w:ilvl w:val="2"/>
          <w:numId w:val="9"/>
        </w:numPr>
        <w:spacing w:after="8"/>
        <w:ind w:hanging="360"/>
      </w:pPr>
      <w:r>
        <w:t xml:space="preserve">any other activities and information which is reasonably required to ensure continuity of </w:t>
      </w:r>
    </w:p>
    <w:p w:rsidR="007D11BB" w:rsidRDefault="004E520F">
      <w:pPr>
        <w:spacing w:after="209"/>
        <w:ind w:left="1455"/>
      </w:pPr>
      <w:r>
        <w:t xml:space="preserve">Service during the exit period and an orderly transition  </w:t>
      </w:r>
    </w:p>
    <w:p w:rsidR="007D11BB" w:rsidRDefault="004E520F">
      <w:pPr>
        <w:numPr>
          <w:ilvl w:val="0"/>
          <w:numId w:val="9"/>
        </w:numPr>
        <w:ind w:hanging="355"/>
      </w:pPr>
      <w:r>
        <w:t xml:space="preserve">Handover to replacement supplier </w:t>
      </w:r>
    </w:p>
    <w:p w:rsidR="007D11BB" w:rsidRDefault="004E520F">
      <w:pPr>
        <w:numPr>
          <w:ilvl w:val="1"/>
          <w:numId w:val="9"/>
        </w:numPr>
        <w:ind w:hanging="725"/>
      </w:pPr>
      <w:r>
        <w:t xml:space="preserve">At least 10 Working Days before the Expiry Date or End Date, the Supplier must provide any: </w:t>
      </w:r>
    </w:p>
    <w:p w:rsidR="007D11BB" w:rsidRDefault="004E520F">
      <w:pPr>
        <w:numPr>
          <w:ilvl w:val="2"/>
          <w:numId w:val="9"/>
        </w:numPr>
        <w:ind w:hanging="360"/>
      </w:pPr>
      <w:r>
        <w:t xml:space="preserve">data (including Buyer Data), Buyer Personal Data and Buyer Confidential Information in the Supplier’s possession, power or control </w:t>
      </w:r>
    </w:p>
    <w:p w:rsidR="007D11BB" w:rsidRDefault="004E520F">
      <w:pPr>
        <w:numPr>
          <w:ilvl w:val="2"/>
          <w:numId w:val="9"/>
        </w:numPr>
        <w:ind w:hanging="360"/>
      </w:pPr>
      <w:r>
        <w:t xml:space="preserve">other information reasonably requested by the Buyer </w:t>
      </w:r>
    </w:p>
    <w:p w:rsidR="007D11BB" w:rsidRDefault="004E520F">
      <w:pPr>
        <w:numPr>
          <w:ilvl w:val="1"/>
          <w:numId w:val="9"/>
        </w:numPr>
        <w:ind w:hanging="725"/>
      </w:pPr>
      <w:r>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rsidR="007D11BB" w:rsidRDefault="004E520F">
      <w:pPr>
        <w:numPr>
          <w:ilvl w:val="1"/>
          <w:numId w:val="9"/>
        </w:numPr>
        <w:spacing w:after="205"/>
        <w:ind w:hanging="725"/>
      </w:pPr>
      <w:r>
        <w:t xml:space="preserve">This information must be accurate and complete in all material respects and the level of detail must be sufficient to reasonably enable a third party to prepare an informed offer for </w:t>
      </w:r>
      <w:r>
        <w:lastRenderedPageBreak/>
        <w:t xml:space="preserve">replacement services and not be unfairly disadvantaged compared to the Supplier in the buying process. </w:t>
      </w:r>
    </w:p>
    <w:p w:rsidR="007D11BB" w:rsidRDefault="004E520F">
      <w:pPr>
        <w:numPr>
          <w:ilvl w:val="0"/>
          <w:numId w:val="9"/>
        </w:numPr>
        <w:ind w:hanging="355"/>
      </w:pPr>
      <w:r>
        <w:t xml:space="preserve">Force majeure </w:t>
      </w:r>
    </w:p>
    <w:p w:rsidR="007D11BB" w:rsidRDefault="004E520F">
      <w:pPr>
        <w:numPr>
          <w:ilvl w:val="1"/>
          <w:numId w:val="9"/>
        </w:numPr>
        <w:spacing w:after="165" w:line="325" w:lineRule="auto"/>
        <w:ind w:hanging="725"/>
      </w:pPr>
      <w:r>
        <w:t xml:space="preserve">If a Force Majeure event prevents a Party from performing its obligations under this Call-Off Contract for more than the number of consecutive days set out in the Order Form, the other Party may End this Call-Off Contract with immediate effect by written notice. 24. Liability </w:t>
      </w:r>
    </w:p>
    <w:p w:rsidR="007D11BB" w:rsidRDefault="004E520F">
      <w:pPr>
        <w:ind w:left="715" w:hanging="725"/>
      </w:pPr>
      <w:r>
        <w:t>24.1</w:t>
      </w:r>
      <w:r>
        <w:rPr>
          <w:rFonts w:ascii="Arial" w:eastAsia="Arial" w:hAnsi="Arial" w:cs="Arial"/>
        </w:rPr>
        <w:t xml:space="preserve"> </w:t>
      </w:r>
      <w:r>
        <w:rPr>
          <w:rFonts w:ascii="Arial" w:eastAsia="Arial" w:hAnsi="Arial" w:cs="Arial"/>
        </w:rPr>
        <w:tab/>
      </w:r>
      <w:r>
        <w:t xml:space="preserve">Subject to incorporated Framework Agreement clauses 4.2 to 4.7, each Party's Yearly total liability for defaults under or in connection with this Call-Off Contract (whether expressed as an indemnity or otherwise) will be set as follows:  </w:t>
      </w:r>
    </w:p>
    <w:p w:rsidR="007D11BB" w:rsidRDefault="004E520F">
      <w:pPr>
        <w:numPr>
          <w:ilvl w:val="2"/>
          <w:numId w:val="9"/>
        </w:numPr>
        <w:ind w:hanging="360"/>
      </w:pPr>
      <w:r>
        <w:t xml:space="preserve">Property: for all defaults resulting in direct loss to the property (including technical infrastructure, assets, IPR or equipment but excluding any loss or damage to Buyer Data) of the other Party, will not exceed the amount in the Order Form </w:t>
      </w:r>
    </w:p>
    <w:p w:rsidR="007D11BB" w:rsidRDefault="004E520F">
      <w:pPr>
        <w:numPr>
          <w:ilvl w:val="2"/>
          <w:numId w:val="9"/>
        </w:numPr>
        <w:ind w:hanging="360"/>
      </w:pPr>
      <w:r>
        <w:t xml:space="preserve">Buyer Data: for all defaults resulting in direct loss, destruction, corruption, degradation or damage to any Buyer Data caused by the Supplier's default will not exceed the amount in the Order Form </w:t>
      </w:r>
    </w:p>
    <w:p w:rsidR="007D11BB" w:rsidRDefault="004E520F">
      <w:pPr>
        <w:numPr>
          <w:ilvl w:val="2"/>
          <w:numId w:val="9"/>
        </w:numPr>
        <w:spacing w:after="6"/>
        <w:ind w:hanging="360"/>
      </w:pPr>
      <w:r>
        <w:t xml:space="preserve">Other defaults: for all other defaults, claims, Losses or damages, whether arising from breach of contract, misrepresentation (whether under common law or statute), tort </w:t>
      </w:r>
    </w:p>
    <w:p w:rsidR="007D11BB" w:rsidRDefault="004E520F">
      <w:pPr>
        <w:spacing w:after="205"/>
        <w:ind w:left="1455"/>
      </w:pPr>
      <w:r>
        <w:t xml:space="preserve">(including negligence), breach of statutory duty or otherwise will not exceed the amount in the Order Form </w:t>
      </w:r>
    </w:p>
    <w:p w:rsidR="007D11BB" w:rsidRDefault="004E520F">
      <w:pPr>
        <w:numPr>
          <w:ilvl w:val="0"/>
          <w:numId w:val="10"/>
        </w:numPr>
        <w:ind w:hanging="355"/>
      </w:pPr>
      <w:r>
        <w:t xml:space="preserve">Premises </w:t>
      </w:r>
    </w:p>
    <w:p w:rsidR="007D11BB" w:rsidRDefault="004E520F">
      <w:pPr>
        <w:numPr>
          <w:ilvl w:val="1"/>
          <w:numId w:val="10"/>
        </w:numPr>
        <w:ind w:hanging="725"/>
      </w:pPr>
      <w:r>
        <w:t xml:space="preserve">If either Party uses the other Party’s premises, that Party is liable for all loss or damage it causes to the premises. It is responsible for repairing any damage to the premises or any objects on the premises, other than fair wear and tear. </w:t>
      </w:r>
    </w:p>
    <w:p w:rsidR="007D11BB" w:rsidRDefault="004E520F">
      <w:pPr>
        <w:numPr>
          <w:ilvl w:val="1"/>
          <w:numId w:val="10"/>
        </w:numPr>
        <w:spacing w:after="248" w:line="268" w:lineRule="auto"/>
        <w:ind w:hanging="725"/>
      </w:pPr>
      <w:r>
        <w:t xml:space="preserve">The Supplier will use the Buyer’s premises solely for the performance of its obligations under this Call-Off Contract. </w:t>
      </w:r>
    </w:p>
    <w:p w:rsidR="007D11BB" w:rsidRDefault="004E520F">
      <w:pPr>
        <w:numPr>
          <w:ilvl w:val="1"/>
          <w:numId w:val="10"/>
        </w:numPr>
        <w:ind w:hanging="725"/>
      </w:pPr>
      <w:r>
        <w:t xml:space="preserve">The Supplier will vacate the Buyer’s premises when the Call-Off Contract Ends or expires. </w:t>
      </w:r>
    </w:p>
    <w:p w:rsidR="007D11BB" w:rsidRDefault="004E520F">
      <w:pPr>
        <w:numPr>
          <w:ilvl w:val="1"/>
          <w:numId w:val="10"/>
        </w:numPr>
        <w:ind w:hanging="725"/>
      </w:pPr>
      <w:r>
        <w:t xml:space="preserve">This clause does not create a tenancy or exclusive right of occupation. </w:t>
      </w:r>
    </w:p>
    <w:p w:rsidR="007D11BB" w:rsidRDefault="004E520F">
      <w:pPr>
        <w:numPr>
          <w:ilvl w:val="1"/>
          <w:numId w:val="10"/>
        </w:numPr>
        <w:spacing w:after="248" w:line="268" w:lineRule="auto"/>
        <w:ind w:hanging="725"/>
      </w:pPr>
      <w:r>
        <w:t xml:space="preserve">While on the Buyer’s premises, the Supplier will: </w:t>
      </w:r>
    </w:p>
    <w:p w:rsidR="007D11BB" w:rsidRDefault="004E520F">
      <w:pPr>
        <w:numPr>
          <w:ilvl w:val="2"/>
          <w:numId w:val="10"/>
        </w:numPr>
        <w:ind w:hanging="360"/>
      </w:pPr>
      <w:r>
        <w:lastRenderedPageBreak/>
        <w:t xml:space="preserve">comply with any security requirements at the premises and not do anything to weaken the security of the premises </w:t>
      </w:r>
    </w:p>
    <w:p w:rsidR="007D11BB" w:rsidRDefault="004E520F">
      <w:pPr>
        <w:numPr>
          <w:ilvl w:val="2"/>
          <w:numId w:val="10"/>
        </w:numPr>
        <w:ind w:hanging="360"/>
      </w:pPr>
      <w:r>
        <w:t xml:space="preserve">comply with Buyer requirements for the conduct of personnel </w:t>
      </w:r>
    </w:p>
    <w:p w:rsidR="007D11BB" w:rsidRDefault="004E520F">
      <w:pPr>
        <w:numPr>
          <w:ilvl w:val="2"/>
          <w:numId w:val="10"/>
        </w:numPr>
        <w:ind w:hanging="360"/>
      </w:pPr>
      <w:r>
        <w:t xml:space="preserve">comply with any health and safety measures implemented by the Buyer </w:t>
      </w:r>
    </w:p>
    <w:p w:rsidR="007D11BB" w:rsidRDefault="004E520F">
      <w:pPr>
        <w:numPr>
          <w:ilvl w:val="2"/>
          <w:numId w:val="10"/>
        </w:numPr>
        <w:ind w:hanging="360"/>
      </w:pPr>
      <w:r>
        <w:t xml:space="preserve">immediately notify the Buyer of any incident on the premises that causes any damage to Property which could cause personal injury </w:t>
      </w:r>
    </w:p>
    <w:p w:rsidR="007D11BB" w:rsidRDefault="004E520F">
      <w:pPr>
        <w:numPr>
          <w:ilvl w:val="1"/>
          <w:numId w:val="10"/>
        </w:numPr>
        <w:ind w:hanging="725"/>
      </w:pPr>
      <w:r>
        <w:t xml:space="preserve">The Supplier will ensure that its health and safety policy statement (as required by the Health and Safety at Work etc Act 1974) is made available to the Buyer on request. </w:t>
      </w:r>
    </w:p>
    <w:p w:rsidR="007D11BB" w:rsidRDefault="004E520F">
      <w:pPr>
        <w:numPr>
          <w:ilvl w:val="0"/>
          <w:numId w:val="10"/>
        </w:numPr>
        <w:ind w:hanging="355"/>
      </w:pPr>
      <w:r>
        <w:t xml:space="preserve">Equipment </w:t>
      </w:r>
    </w:p>
    <w:p w:rsidR="007D11BB" w:rsidRDefault="004E520F">
      <w:pPr>
        <w:numPr>
          <w:ilvl w:val="1"/>
          <w:numId w:val="10"/>
        </w:numPr>
        <w:ind w:hanging="725"/>
      </w:pPr>
      <w:r>
        <w:t xml:space="preserve">The Supplier is responsible for providing any Equipment which the Supplier requires to provide the Services.  </w:t>
      </w:r>
    </w:p>
    <w:p w:rsidR="007D11BB" w:rsidRDefault="004E520F">
      <w:pPr>
        <w:numPr>
          <w:ilvl w:val="1"/>
          <w:numId w:val="10"/>
        </w:numPr>
        <w:ind w:hanging="725"/>
      </w:pPr>
      <w:r>
        <w:t xml:space="preserve">Any Equipment brought onto the premises will be at the Supplier's own risk and the Buyer will have no liability for any loss of, or damage to, any Equipment. </w:t>
      </w:r>
    </w:p>
    <w:p w:rsidR="007D11BB" w:rsidRDefault="004E520F">
      <w:pPr>
        <w:numPr>
          <w:ilvl w:val="1"/>
          <w:numId w:val="10"/>
        </w:numPr>
        <w:spacing w:after="204"/>
        <w:ind w:hanging="725"/>
      </w:pPr>
      <w:r>
        <w:t xml:space="preserve">When the Call-Off Contract Ends or expires, the Supplier will remove the Equipment and any other materials leaving the premises in a safe and clean condition. </w:t>
      </w:r>
    </w:p>
    <w:p w:rsidR="007D11BB" w:rsidRDefault="004E520F">
      <w:pPr>
        <w:numPr>
          <w:ilvl w:val="0"/>
          <w:numId w:val="10"/>
        </w:numPr>
        <w:ind w:hanging="355"/>
      </w:pPr>
      <w:r>
        <w:t xml:space="preserve">The Contracts (Rights of Third Parties) Act 1999 </w:t>
      </w:r>
    </w:p>
    <w:p w:rsidR="007D11BB" w:rsidRDefault="004E520F">
      <w:pPr>
        <w:numPr>
          <w:ilvl w:val="1"/>
          <w:numId w:val="10"/>
        </w:numPr>
        <w:spacing w:after="204"/>
        <w:ind w:hanging="725"/>
      </w:pPr>
      <w:r>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rsidR="007D11BB" w:rsidRDefault="004E520F">
      <w:pPr>
        <w:numPr>
          <w:ilvl w:val="0"/>
          <w:numId w:val="10"/>
        </w:numPr>
        <w:ind w:hanging="355"/>
      </w:pPr>
      <w:r>
        <w:t xml:space="preserve">Environmental requirements </w:t>
      </w:r>
    </w:p>
    <w:p w:rsidR="007D11BB" w:rsidRDefault="004E520F">
      <w:pPr>
        <w:numPr>
          <w:ilvl w:val="1"/>
          <w:numId w:val="10"/>
        </w:numPr>
        <w:ind w:hanging="725"/>
      </w:pPr>
      <w:r>
        <w:t xml:space="preserve">The Buyer will provide a copy of its environmental policy to the Supplier on request, which the Supplier will comply with. </w:t>
      </w:r>
    </w:p>
    <w:p w:rsidR="007D11BB" w:rsidRDefault="004E520F">
      <w:pPr>
        <w:numPr>
          <w:ilvl w:val="1"/>
          <w:numId w:val="10"/>
        </w:numPr>
        <w:spacing w:after="205"/>
        <w:ind w:hanging="725"/>
      </w:pPr>
      <w:r>
        <w:t xml:space="preserve">The Supplier must provide reasonable support to enable Buyers to work in an environmentally friendly way, for example by helping them recycle or lower their carbon footprint. </w:t>
      </w:r>
    </w:p>
    <w:p w:rsidR="007D11BB" w:rsidRDefault="004E520F">
      <w:pPr>
        <w:numPr>
          <w:ilvl w:val="0"/>
          <w:numId w:val="10"/>
        </w:numPr>
        <w:ind w:hanging="355"/>
      </w:pPr>
      <w:r>
        <w:t xml:space="preserve">The Employment Regulations (TUPE) </w:t>
      </w:r>
    </w:p>
    <w:p w:rsidR="007D11BB" w:rsidRDefault="004E520F">
      <w:pPr>
        <w:numPr>
          <w:ilvl w:val="1"/>
          <w:numId w:val="10"/>
        </w:numPr>
        <w:ind w:hanging="725"/>
      </w:pPr>
      <w:r>
        <w:lastRenderedPageBreak/>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rsidR="007D11BB" w:rsidRDefault="004E520F">
      <w:pPr>
        <w:numPr>
          <w:ilvl w:val="1"/>
          <w:numId w:val="10"/>
        </w:numPr>
        <w:spacing w:after="176" w:line="319" w:lineRule="auto"/>
        <w:ind w:hanging="725"/>
      </w:pPr>
      <w: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r>
        <w:rPr>
          <w:rFonts w:ascii="Wingdings" w:eastAsia="Wingdings" w:hAnsi="Wingdings" w:cs="Wingdings"/>
        </w:rPr>
        <w:t></w:t>
      </w:r>
      <w:r>
        <w:rPr>
          <w:rFonts w:ascii="Arial" w:eastAsia="Arial" w:hAnsi="Arial" w:cs="Arial"/>
        </w:rPr>
        <w:t xml:space="preserve"> </w:t>
      </w:r>
      <w:r>
        <w:t xml:space="preserve">the activities they perform </w:t>
      </w:r>
    </w:p>
    <w:p w:rsidR="007D11BB" w:rsidRDefault="004E520F">
      <w:pPr>
        <w:numPr>
          <w:ilvl w:val="2"/>
          <w:numId w:val="10"/>
        </w:numPr>
        <w:ind w:hanging="360"/>
      </w:pPr>
      <w:r>
        <w:t xml:space="preserve">age </w:t>
      </w:r>
    </w:p>
    <w:p w:rsidR="007D11BB" w:rsidRDefault="004E520F">
      <w:pPr>
        <w:numPr>
          <w:ilvl w:val="2"/>
          <w:numId w:val="10"/>
        </w:numPr>
        <w:ind w:hanging="360"/>
      </w:pPr>
      <w:r>
        <w:t xml:space="preserve">start date  </w:t>
      </w:r>
    </w:p>
    <w:p w:rsidR="007D11BB" w:rsidRDefault="004E520F">
      <w:pPr>
        <w:numPr>
          <w:ilvl w:val="2"/>
          <w:numId w:val="10"/>
        </w:numPr>
        <w:ind w:hanging="360"/>
      </w:pPr>
      <w:r>
        <w:t xml:space="preserve">place of work </w:t>
      </w:r>
    </w:p>
    <w:p w:rsidR="007D11BB" w:rsidRDefault="004E520F">
      <w:pPr>
        <w:numPr>
          <w:ilvl w:val="2"/>
          <w:numId w:val="10"/>
        </w:numPr>
        <w:ind w:hanging="360"/>
      </w:pPr>
      <w:r>
        <w:t xml:space="preserve">notice period </w:t>
      </w:r>
    </w:p>
    <w:p w:rsidR="007D11BB" w:rsidRDefault="004E520F">
      <w:pPr>
        <w:numPr>
          <w:ilvl w:val="2"/>
          <w:numId w:val="10"/>
        </w:numPr>
        <w:ind w:hanging="360"/>
      </w:pPr>
      <w:r>
        <w:t xml:space="preserve">redundancy payment entitlement </w:t>
      </w:r>
    </w:p>
    <w:p w:rsidR="007D11BB" w:rsidRDefault="004E520F">
      <w:pPr>
        <w:numPr>
          <w:ilvl w:val="2"/>
          <w:numId w:val="10"/>
        </w:numPr>
        <w:ind w:hanging="360"/>
      </w:pPr>
      <w:r>
        <w:t xml:space="preserve">salary, benefits and pension entitlements </w:t>
      </w:r>
    </w:p>
    <w:p w:rsidR="007D11BB" w:rsidRDefault="004E520F">
      <w:pPr>
        <w:numPr>
          <w:ilvl w:val="2"/>
          <w:numId w:val="10"/>
        </w:numPr>
        <w:ind w:hanging="360"/>
      </w:pPr>
      <w:r>
        <w:t xml:space="preserve">employment status </w:t>
      </w:r>
    </w:p>
    <w:p w:rsidR="007D11BB" w:rsidRDefault="004E520F">
      <w:pPr>
        <w:numPr>
          <w:ilvl w:val="2"/>
          <w:numId w:val="10"/>
        </w:numPr>
        <w:ind w:hanging="360"/>
      </w:pPr>
      <w:r>
        <w:t xml:space="preserve">identity of employer </w:t>
      </w:r>
    </w:p>
    <w:p w:rsidR="007D11BB" w:rsidRDefault="004E520F">
      <w:pPr>
        <w:numPr>
          <w:ilvl w:val="2"/>
          <w:numId w:val="10"/>
        </w:numPr>
        <w:ind w:hanging="360"/>
      </w:pPr>
      <w:r>
        <w:t xml:space="preserve">working arrangements </w:t>
      </w:r>
    </w:p>
    <w:p w:rsidR="007D11BB" w:rsidRDefault="004E520F">
      <w:pPr>
        <w:numPr>
          <w:ilvl w:val="2"/>
          <w:numId w:val="10"/>
        </w:numPr>
        <w:ind w:hanging="360"/>
      </w:pPr>
      <w:r>
        <w:t xml:space="preserve">outstanding liabilities </w:t>
      </w:r>
    </w:p>
    <w:p w:rsidR="007D11BB" w:rsidRDefault="004E520F">
      <w:pPr>
        <w:numPr>
          <w:ilvl w:val="2"/>
          <w:numId w:val="10"/>
        </w:numPr>
        <w:ind w:hanging="360"/>
      </w:pPr>
      <w:r>
        <w:t xml:space="preserve">sickness absence </w:t>
      </w:r>
    </w:p>
    <w:p w:rsidR="007D11BB" w:rsidRDefault="004E520F">
      <w:pPr>
        <w:numPr>
          <w:ilvl w:val="2"/>
          <w:numId w:val="10"/>
        </w:numPr>
        <w:ind w:hanging="360"/>
      </w:pPr>
      <w:r>
        <w:t xml:space="preserve">copies of all relevant employment contracts and related documents </w:t>
      </w:r>
    </w:p>
    <w:p w:rsidR="007D11BB" w:rsidRDefault="004E520F">
      <w:pPr>
        <w:numPr>
          <w:ilvl w:val="2"/>
          <w:numId w:val="10"/>
        </w:numPr>
        <w:ind w:hanging="360"/>
      </w:pPr>
      <w:r>
        <w:t xml:space="preserve">all information required under regulation 11 of TUPE or as reasonably requested by the Buyer  </w:t>
      </w:r>
    </w:p>
    <w:p w:rsidR="007D11BB" w:rsidRDefault="004E520F">
      <w:pPr>
        <w:numPr>
          <w:ilvl w:val="1"/>
          <w:numId w:val="10"/>
        </w:numPr>
        <w:ind w:hanging="725"/>
      </w:pPr>
      <w:r>
        <w:t xml:space="preserve">The Supplier warrants the accuracy of the information provided under this TUPE clause and will notify the Buyer of any changes to the amended information as soon as reasonably </w:t>
      </w:r>
      <w:r>
        <w:lastRenderedPageBreak/>
        <w:t xml:space="preserve">possible. The Supplier will permit the Buyer to use and disclose the information to any prospective Replacement Supplier. </w:t>
      </w:r>
    </w:p>
    <w:p w:rsidR="007D11BB" w:rsidRDefault="004E520F">
      <w:pPr>
        <w:numPr>
          <w:ilvl w:val="1"/>
          <w:numId w:val="10"/>
        </w:numPr>
        <w:ind w:hanging="725"/>
      </w:pPr>
      <w: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rsidR="007D11BB" w:rsidRDefault="004E520F">
      <w:pPr>
        <w:numPr>
          <w:ilvl w:val="1"/>
          <w:numId w:val="10"/>
        </w:numPr>
        <w:ind w:hanging="725"/>
      </w:pPr>
      <w:r>
        <w:t xml:space="preserve">The Supplier will co-operate with the re-tendering of this Call-Off Contract by allowing the Replacement Supplier to communicate with and meet the affected employees or their representatives. </w:t>
      </w:r>
    </w:p>
    <w:p w:rsidR="007D11BB" w:rsidRDefault="004E520F">
      <w:pPr>
        <w:numPr>
          <w:ilvl w:val="1"/>
          <w:numId w:val="10"/>
        </w:numPr>
        <w:ind w:hanging="725"/>
      </w:pPr>
      <w:r>
        <w:t xml:space="preserve">The Supplier will indemnify the Buyer or any Replacement Supplier for all Loss arising from both: </w:t>
      </w:r>
    </w:p>
    <w:p w:rsidR="007D11BB" w:rsidRDefault="004E520F">
      <w:pPr>
        <w:numPr>
          <w:ilvl w:val="2"/>
          <w:numId w:val="10"/>
        </w:numPr>
        <w:ind w:hanging="360"/>
      </w:pPr>
      <w:r>
        <w:t xml:space="preserve">its failure to comply with the provisions of this clause </w:t>
      </w:r>
    </w:p>
    <w:p w:rsidR="007D11BB" w:rsidRDefault="004E520F">
      <w:pPr>
        <w:numPr>
          <w:ilvl w:val="2"/>
          <w:numId w:val="10"/>
        </w:numPr>
        <w:ind w:hanging="360"/>
      </w:pPr>
      <w:r>
        <w:t xml:space="preserve">any claim by any employee or person claiming to be an employee (or their employee representative) of the Supplier which arises or is alleged to arise from any act or omission by the Supplier on or before the date of the Relevant Transfer </w:t>
      </w:r>
    </w:p>
    <w:p w:rsidR="007D11BB" w:rsidRDefault="004E520F">
      <w:pPr>
        <w:numPr>
          <w:ilvl w:val="1"/>
          <w:numId w:val="10"/>
        </w:numPr>
        <w:ind w:hanging="725"/>
      </w:pPr>
      <w:r>
        <w:t xml:space="preserve">The provisions of this clause apply during the Term of this Call-Off Contract and indefinitely after it Ends or expires. </w:t>
      </w:r>
    </w:p>
    <w:p w:rsidR="007D11BB" w:rsidRDefault="004E520F">
      <w:pPr>
        <w:numPr>
          <w:ilvl w:val="1"/>
          <w:numId w:val="10"/>
        </w:numPr>
        <w:spacing w:after="202"/>
        <w:ind w:hanging="725"/>
      </w:pPr>
      <w:r>
        <w:t xml:space="preserve">For these TUPE clauses, the relevant third party will be able to enforce its rights under this clause but their consent will not be required to vary these clauses as the Buyer and Supplier may agree. </w:t>
      </w:r>
    </w:p>
    <w:p w:rsidR="007D11BB" w:rsidRDefault="004E520F">
      <w:pPr>
        <w:numPr>
          <w:ilvl w:val="0"/>
          <w:numId w:val="10"/>
        </w:numPr>
        <w:ind w:hanging="355"/>
      </w:pPr>
      <w:r>
        <w:t xml:space="preserve">Additional G-Cloud services </w:t>
      </w:r>
    </w:p>
    <w:p w:rsidR="007D11BB" w:rsidRDefault="004E520F">
      <w:pPr>
        <w:numPr>
          <w:ilvl w:val="1"/>
          <w:numId w:val="10"/>
        </w:numPr>
        <w:ind w:hanging="725"/>
      </w:pPr>
      <w:r>
        <w:t xml:space="preserve">The Buyer may require the Supplier to provide Additional Services. The Buyer doesn’t have to buy any Additional Services from the Supplier and can buy services that are the same as or similar to the Additional Services from any third party.  </w:t>
      </w:r>
    </w:p>
    <w:p w:rsidR="007D11BB" w:rsidRDefault="004E520F">
      <w:pPr>
        <w:numPr>
          <w:ilvl w:val="1"/>
          <w:numId w:val="10"/>
        </w:numPr>
        <w:spacing w:after="205"/>
        <w:ind w:hanging="725"/>
      </w:pPr>
      <w:r>
        <w:t xml:space="preserve">If reasonably requested to do so by the Buyer in the Order Form, the Supplier must provide and monitor performance of the Additional Services using an Implementation Plan. </w:t>
      </w:r>
    </w:p>
    <w:p w:rsidR="007D11BB" w:rsidRDefault="004E520F">
      <w:pPr>
        <w:numPr>
          <w:ilvl w:val="0"/>
          <w:numId w:val="10"/>
        </w:numPr>
        <w:ind w:hanging="355"/>
      </w:pPr>
      <w:r>
        <w:t xml:space="preserve">Collaboration </w:t>
      </w:r>
    </w:p>
    <w:p w:rsidR="007D11BB" w:rsidRDefault="004E520F">
      <w:pPr>
        <w:numPr>
          <w:ilvl w:val="1"/>
          <w:numId w:val="10"/>
        </w:numPr>
        <w:spacing w:after="8"/>
        <w:ind w:hanging="725"/>
      </w:pPr>
      <w:r>
        <w:t xml:space="preserve">If the Buyer has specified in the Order Form that it requires the Supplier to enter into a </w:t>
      </w:r>
    </w:p>
    <w:p w:rsidR="007D11BB" w:rsidRDefault="004E520F">
      <w:pPr>
        <w:ind w:left="735"/>
      </w:pPr>
      <w:r>
        <w:t xml:space="preserve">Collaboration Agreement, the Supplier must give the Buyer an executed Collaboration Agreement before the Start Date. </w:t>
      </w:r>
    </w:p>
    <w:p w:rsidR="007D11BB" w:rsidRDefault="004E520F">
      <w:pPr>
        <w:numPr>
          <w:ilvl w:val="1"/>
          <w:numId w:val="10"/>
        </w:numPr>
        <w:ind w:hanging="725"/>
      </w:pPr>
      <w:r>
        <w:lastRenderedPageBreak/>
        <w:t xml:space="preserve">In addition to any obligations under the Collaboration Agreement, the Supplier must: </w:t>
      </w:r>
    </w:p>
    <w:p w:rsidR="007D11BB" w:rsidRDefault="004E520F">
      <w:pPr>
        <w:numPr>
          <w:ilvl w:val="2"/>
          <w:numId w:val="10"/>
        </w:numPr>
        <w:spacing w:after="248" w:line="268" w:lineRule="auto"/>
        <w:ind w:hanging="360"/>
      </w:pPr>
      <w:r>
        <w:t xml:space="preserve">work proactively and in good faith with each of the Buyer’s contractors </w:t>
      </w:r>
    </w:p>
    <w:p w:rsidR="007D11BB" w:rsidRDefault="004E520F">
      <w:pPr>
        <w:numPr>
          <w:ilvl w:val="2"/>
          <w:numId w:val="10"/>
        </w:numPr>
        <w:spacing w:after="207" w:line="268" w:lineRule="auto"/>
        <w:ind w:hanging="360"/>
      </w:pPr>
      <w:r>
        <w:t xml:space="preserve">co-operate and share information with the Buyer’s contractors to enable the efficient operation of the Buyer’s ICT services and G-Cloud Services </w:t>
      </w:r>
    </w:p>
    <w:p w:rsidR="007D11BB" w:rsidRDefault="004E520F">
      <w:pPr>
        <w:numPr>
          <w:ilvl w:val="0"/>
          <w:numId w:val="10"/>
        </w:numPr>
        <w:ind w:hanging="355"/>
      </w:pPr>
      <w:r>
        <w:t xml:space="preserve">Variation process </w:t>
      </w:r>
    </w:p>
    <w:p w:rsidR="007D11BB" w:rsidRDefault="004E520F">
      <w:pPr>
        <w:numPr>
          <w:ilvl w:val="1"/>
          <w:numId w:val="10"/>
        </w:numPr>
        <w:ind w:hanging="725"/>
      </w:pPr>
      <w:r>
        <w:t xml:space="preserve">The Buyer can request in writing a change to this Call-Off Contract if it isn’t a material change to the Framework Agreement/or this Call-Off Contract. Once implemented, it is called a Variation. </w:t>
      </w:r>
    </w:p>
    <w:p w:rsidR="007D11BB" w:rsidRDefault="004E520F">
      <w:pPr>
        <w:numPr>
          <w:ilvl w:val="1"/>
          <w:numId w:val="10"/>
        </w:numPr>
        <w:ind w:hanging="725"/>
      </w:pPr>
      <w:r>
        <w:t xml:space="preserve">The Supplier must notify the Buyer immediately in writing of any proposed changes to their GCloud Services or their delivery by submitting a Variation request. This includes any changes in the Supplier’s supply chain. </w:t>
      </w:r>
    </w:p>
    <w:p w:rsidR="007D11BB" w:rsidRDefault="004E520F">
      <w:pPr>
        <w:numPr>
          <w:ilvl w:val="1"/>
          <w:numId w:val="10"/>
        </w:numPr>
        <w:spacing w:after="205"/>
        <w:ind w:hanging="725"/>
      </w:pPr>
      <w:r>
        <w:t xml:space="preserve">If Either Party can’t agree to or provide the Variation, the Buyer may agree to continue performing its obligations under this Call-Off Contract without the Variation, or End this Call-Off Contract by giving 30 days notice to the Supplier. </w:t>
      </w:r>
    </w:p>
    <w:p w:rsidR="007D11BB" w:rsidRDefault="004E520F">
      <w:pPr>
        <w:numPr>
          <w:ilvl w:val="0"/>
          <w:numId w:val="10"/>
        </w:numPr>
        <w:ind w:hanging="355"/>
      </w:pPr>
      <w:r>
        <w:t>Data Protection Legislation (GDPR)</w:t>
      </w:r>
      <w:r>
        <w:rPr>
          <w:rFonts w:ascii="Arial" w:eastAsia="Arial" w:hAnsi="Arial" w:cs="Arial"/>
          <w:sz w:val="20"/>
        </w:rPr>
        <w:t xml:space="preserve"> </w:t>
      </w:r>
    </w:p>
    <w:p w:rsidR="007D11BB" w:rsidRDefault="004E520F">
      <w:pPr>
        <w:numPr>
          <w:ilvl w:val="1"/>
          <w:numId w:val="10"/>
        </w:numPr>
        <w:ind w:hanging="725"/>
      </w:pPr>
      <w:r>
        <w:t xml:space="preserve">The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tab/>
      </w:r>
      <w:r>
        <w:rPr>
          <w:rFonts w:ascii="Arial" w:eastAsia="Arial" w:hAnsi="Arial" w:cs="Arial"/>
          <w:sz w:val="20"/>
        </w:rPr>
        <w:t xml:space="preserve"> </w:t>
      </w:r>
    </w:p>
    <w:p w:rsidR="007D11BB" w:rsidRDefault="004E520F">
      <w:pPr>
        <w:spacing w:after="0" w:line="259" w:lineRule="auto"/>
        <w:ind w:left="5" w:firstLine="0"/>
      </w:pPr>
      <w:r>
        <w:t xml:space="preserve"> </w:t>
      </w:r>
    </w:p>
    <w:p w:rsidR="007D11BB" w:rsidRDefault="004E520F">
      <w:pPr>
        <w:numPr>
          <w:ilvl w:val="1"/>
          <w:numId w:val="10"/>
        </w:numPr>
        <w:spacing w:after="0"/>
        <w:ind w:hanging="725"/>
      </w:pPr>
      <w:r>
        <w:t xml:space="preserve">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 </w:t>
      </w:r>
    </w:p>
    <w:p w:rsidR="007D11BB" w:rsidRDefault="004E520F">
      <w:pPr>
        <w:spacing w:after="0" w:line="259" w:lineRule="auto"/>
        <w:ind w:left="5" w:firstLine="0"/>
      </w:pPr>
      <w:r>
        <w:t xml:space="preserve"> </w:t>
      </w:r>
    </w:p>
    <w:p w:rsidR="007D11BB" w:rsidRDefault="004E520F">
      <w:pPr>
        <w:numPr>
          <w:ilvl w:val="1"/>
          <w:numId w:val="10"/>
        </w:numPr>
        <w:spacing w:after="0"/>
        <w:ind w:hanging="725"/>
      </w:pPr>
      <w:r>
        <w:t xml:space="preserve">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 </w:t>
      </w:r>
    </w:p>
    <w:p w:rsidR="007D11BB" w:rsidRDefault="004E520F">
      <w:pPr>
        <w:spacing w:after="0" w:line="259" w:lineRule="auto"/>
        <w:ind w:left="5" w:firstLine="0"/>
      </w:pPr>
      <w:r>
        <w:t xml:space="preserve"> </w:t>
      </w:r>
    </w:p>
    <w:p w:rsidR="007D11BB" w:rsidRDefault="004E520F">
      <w:pPr>
        <w:numPr>
          <w:ilvl w:val="1"/>
          <w:numId w:val="10"/>
        </w:numPr>
        <w:spacing w:after="0"/>
        <w:ind w:hanging="725"/>
      </w:pPr>
      <w:r>
        <w:lastRenderedPageBreak/>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p>
    <w:p w:rsidR="007D11BB" w:rsidRDefault="004E520F">
      <w:pPr>
        <w:spacing w:after="0"/>
        <w:ind w:left="1455" w:right="1001"/>
      </w:pPr>
      <w:r>
        <w:t xml:space="preserve">i) are aware of and comply with the Supplier’s obligations under this Clause;   ii) are subject to appropriate confidentiality undertakings with the Supplier  </w:t>
      </w:r>
    </w:p>
    <w:p w:rsidR="007D11BB" w:rsidRDefault="004E520F">
      <w:pPr>
        <w:spacing w:after="0" w:line="259" w:lineRule="auto"/>
        <w:ind w:left="1445" w:firstLine="0"/>
      </w:pPr>
      <w:r>
        <w:t xml:space="preserve"> </w:t>
      </w:r>
    </w:p>
    <w:p w:rsidR="007D11BB" w:rsidRDefault="004E520F">
      <w:pPr>
        <w:spacing w:after="0"/>
        <w:ind w:left="1455" w:right="143"/>
      </w:pPr>
      <w:r>
        <w:t xml:space="preserve">iii) are informed of the confidential nature of the Personal Data and don’t publish, disclose or divulge it to any third party unless directed by the Buyer or in accordance with this Call-Off Contract  </w:t>
      </w:r>
      <w:r>
        <w:tab/>
        <w:t xml:space="preserve"> iv) are given training in the use, protection and handling of Personal Data. </w:t>
      </w:r>
      <w:r>
        <w:tab/>
        <w:t xml:space="preserve"> </w:t>
      </w:r>
    </w:p>
    <w:p w:rsidR="007D11BB" w:rsidRDefault="004E520F">
      <w:pPr>
        <w:spacing w:after="240" w:line="259" w:lineRule="auto"/>
        <w:ind w:left="0" w:firstLine="0"/>
      </w:pPr>
      <w:r>
        <w:t xml:space="preserve"> </w:t>
      </w:r>
    </w:p>
    <w:p w:rsidR="007D11BB" w:rsidRDefault="004E520F">
      <w:pPr>
        <w:numPr>
          <w:ilvl w:val="1"/>
          <w:numId w:val="10"/>
        </w:numPr>
        <w:spacing w:after="223"/>
        <w:ind w:hanging="725"/>
      </w:pPr>
      <w:r>
        <w:t>The Supplier will not transfer Personal Data outside of the European Union unless the prior written consent of the Buyer has been obtained, which shall be dependent on such a transfer satisfying relevant Data Protection Legislation requirements.</w:t>
      </w:r>
      <w:r>
        <w:rPr>
          <w:rFonts w:ascii="Arial" w:eastAsia="Arial" w:hAnsi="Arial" w:cs="Arial"/>
          <w:sz w:val="20"/>
        </w:rPr>
        <w:t xml:space="preserve"> </w:t>
      </w:r>
    </w:p>
    <w:p w:rsidR="007D11BB" w:rsidRDefault="004E520F">
      <w:pPr>
        <w:numPr>
          <w:ilvl w:val="1"/>
          <w:numId w:val="10"/>
        </w:numPr>
        <w:spacing w:after="222"/>
        <w:ind w:hanging="725"/>
      </w:pPr>
      <w:r>
        <w:t>The Supplier will delete or return Buyer’s Personal Data (including copies) if requested in writing by the Buyer at the End or Expiry of this Call-Off Contract, unless required to retain the Personal Data by Law.</w:t>
      </w:r>
      <w:r>
        <w:rPr>
          <w:rFonts w:ascii="Arial" w:eastAsia="Arial" w:hAnsi="Arial" w:cs="Arial"/>
          <w:sz w:val="20"/>
        </w:rPr>
        <w:t xml:space="preserve"> </w:t>
      </w:r>
    </w:p>
    <w:p w:rsidR="007D11BB" w:rsidRDefault="004E520F">
      <w:pPr>
        <w:numPr>
          <w:ilvl w:val="1"/>
          <w:numId w:val="10"/>
        </w:numPr>
        <w:spacing w:after="223"/>
        <w:ind w:hanging="725"/>
      </w:pPr>
      <w:r>
        <w:t xml:space="preserve">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 </w:t>
      </w:r>
    </w:p>
    <w:p w:rsidR="007D11BB" w:rsidRDefault="004E520F">
      <w:pPr>
        <w:numPr>
          <w:ilvl w:val="1"/>
          <w:numId w:val="10"/>
        </w:numPr>
        <w:ind w:hanging="725"/>
      </w:pPr>
      <w:r>
        <w:t xml:space="preserve">The Supplier will maintain complete and accurate records and information to demonstrate its compliance with this clause. This requirement does not apply where the Supplier employs fewer than 250 staff, unless:  </w:t>
      </w:r>
      <w:r>
        <w:tab/>
        <w:t xml:space="preserve"> </w:t>
      </w:r>
    </w:p>
    <w:p w:rsidR="007D11BB" w:rsidRDefault="004E520F">
      <w:pPr>
        <w:numPr>
          <w:ilvl w:val="3"/>
          <w:numId w:val="12"/>
        </w:numPr>
        <w:spacing w:after="210"/>
        <w:ind w:left="1653" w:hanging="208"/>
      </w:pPr>
      <w:r>
        <w:t xml:space="preserve">the Buyer determines that the Processing is not occasional;  </w:t>
      </w:r>
      <w:r>
        <w:tab/>
        <w:t xml:space="preserve"> </w:t>
      </w:r>
    </w:p>
    <w:p w:rsidR="007D11BB" w:rsidRDefault="004E520F">
      <w:pPr>
        <w:numPr>
          <w:ilvl w:val="3"/>
          <w:numId w:val="12"/>
        </w:numPr>
        <w:spacing w:after="204"/>
        <w:ind w:left="1653" w:hanging="208"/>
      </w:pPr>
      <w:r>
        <w:t xml:space="preserve">the Buyer determines the Processing includes special categories of data as referred to in Article 9(1) of the GDPR or Personal Data relating to criminal convictions and offences referred to in Article 10 of the GDPR; and   </w:t>
      </w:r>
    </w:p>
    <w:p w:rsidR="007D11BB" w:rsidRDefault="004E520F">
      <w:pPr>
        <w:numPr>
          <w:ilvl w:val="3"/>
          <w:numId w:val="12"/>
        </w:numPr>
        <w:spacing w:after="224"/>
        <w:ind w:left="1653" w:hanging="208"/>
      </w:pPr>
      <w:r>
        <w:t xml:space="preserve">the Buyer determines that the Processing is likely to result in a risk to the rights and freedoms of Data Subjects. </w:t>
      </w:r>
    </w:p>
    <w:p w:rsidR="007D11BB" w:rsidRDefault="004E520F">
      <w:pPr>
        <w:numPr>
          <w:ilvl w:val="1"/>
          <w:numId w:val="10"/>
        </w:numPr>
        <w:ind w:hanging="725"/>
      </w:pPr>
      <w:r>
        <w:lastRenderedPageBreak/>
        <w:t xml:space="preserve">Before allowing any Sub-processor to Process any Personal Data related to this Call-Off Contract, the Supplier must: </w:t>
      </w:r>
    </w:p>
    <w:p w:rsidR="007D11BB" w:rsidRDefault="004E520F">
      <w:pPr>
        <w:numPr>
          <w:ilvl w:val="4"/>
          <w:numId w:val="11"/>
        </w:numPr>
        <w:ind w:hanging="721"/>
      </w:pPr>
      <w:r>
        <w:t xml:space="preserve">notify the Buyer in writing of the proposed Sub-processor(s) and obtain its written consent; </w:t>
      </w:r>
    </w:p>
    <w:p w:rsidR="007D11BB" w:rsidRDefault="004E520F">
      <w:pPr>
        <w:numPr>
          <w:ilvl w:val="4"/>
          <w:numId w:val="11"/>
        </w:numPr>
        <w:ind w:hanging="721"/>
      </w:pPr>
      <w:r>
        <w:t xml:space="preserve">ensure that it has entered into a written agreement with the Subprocessor(s) which gives effect to obligations set out in this Clause 33 such that they apply to the Sub-processor(s); and </w:t>
      </w:r>
    </w:p>
    <w:p w:rsidR="007D11BB" w:rsidRDefault="004E520F">
      <w:pPr>
        <w:numPr>
          <w:ilvl w:val="4"/>
          <w:numId w:val="11"/>
        </w:numPr>
        <w:spacing w:after="202"/>
        <w:ind w:hanging="721"/>
      </w:pPr>
      <w:r>
        <w:t xml:space="preserve">inform the Buyer of any additions to, or replacements of the notified Sub-processors and the Buyer shall either i) provide its written consent or ii) object. </w:t>
      </w:r>
    </w:p>
    <w:p w:rsidR="007D11BB" w:rsidRDefault="004E520F">
      <w:pPr>
        <w:numPr>
          <w:ilvl w:val="1"/>
          <w:numId w:val="10"/>
        </w:numPr>
        <w:spacing w:after="204"/>
        <w:ind w:hanging="725"/>
      </w:pPr>
      <w:r>
        <w:t xml:space="preserve">The Buyer may at any time put forward a Variation request to amend this Call-Off Contract to ensure that it complies with any guidance issued by the Information Commissioner’s Office. </w:t>
      </w:r>
    </w:p>
    <w:p w:rsidR="007D11BB" w:rsidRDefault="004E520F">
      <w:pPr>
        <w:spacing w:after="218" w:line="259" w:lineRule="auto"/>
        <w:ind w:left="5" w:firstLine="0"/>
      </w:pPr>
      <w:r>
        <w:t xml:space="preserve"> </w:t>
      </w:r>
    </w:p>
    <w:p w:rsidR="007D11BB" w:rsidRDefault="004E520F">
      <w:pPr>
        <w:pStyle w:val="Heading1"/>
        <w:spacing w:after="202"/>
        <w:ind w:left="0"/>
      </w:pPr>
      <w:bookmarkStart w:id="4" w:name="_Toc72494"/>
      <w:r>
        <w:t xml:space="preserve">Schedule 3 - Collaboration agreement </w:t>
      </w:r>
      <w:bookmarkEnd w:id="4"/>
    </w:p>
    <w:p w:rsidR="007D11BB" w:rsidRDefault="004E520F">
      <w:pPr>
        <w:spacing w:after="198" w:line="276" w:lineRule="auto"/>
        <w:ind w:left="0"/>
      </w:pPr>
      <w:r>
        <w:t xml:space="preserve">The Collaboration agreement is available at </w:t>
      </w:r>
      <w:hyperlink r:id="rId105">
        <w:r>
          <w:rPr>
            <w:color w:val="1155CC"/>
            <w:u w:val="single" w:color="1155CC"/>
          </w:rPr>
          <w:t>https://www.gov.uk/guidance/g</w:t>
        </w:r>
      </w:hyperlink>
      <w:hyperlink r:id="rId106">
        <w:r>
          <w:rPr>
            <w:color w:val="1155CC"/>
            <w:u w:val="single" w:color="1155CC"/>
          </w:rPr>
          <w:t>-</w:t>
        </w:r>
      </w:hyperlink>
      <w:hyperlink r:id="rId107">
        <w:r>
          <w:rPr>
            <w:color w:val="1155CC"/>
            <w:u w:val="single" w:color="1155CC"/>
          </w:rPr>
          <w:t>cloud</w:t>
        </w:r>
      </w:hyperlink>
      <w:hyperlink r:id="rId108">
        <w:r>
          <w:rPr>
            <w:color w:val="1155CC"/>
            <w:u w:val="single" w:color="1155CC"/>
          </w:rPr>
          <w:t>-</w:t>
        </w:r>
      </w:hyperlink>
      <w:hyperlink r:id="rId109">
        <w:r>
          <w:rPr>
            <w:color w:val="1155CC"/>
            <w:u w:val="single" w:color="1155CC"/>
          </w:rPr>
          <w:t>templates</w:t>
        </w:r>
      </w:hyperlink>
      <w:hyperlink r:id="rId110">
        <w:r>
          <w:rPr>
            <w:color w:val="1155CC"/>
            <w:u w:val="single" w:color="1155CC"/>
          </w:rPr>
          <w:t>-</w:t>
        </w:r>
      </w:hyperlink>
      <w:hyperlink r:id="rId111">
        <w:r>
          <w:rPr>
            <w:color w:val="1155CC"/>
            <w:u w:val="single" w:color="1155CC"/>
          </w:rPr>
          <w:t>and</w:t>
        </w:r>
      </w:hyperlink>
      <w:hyperlink r:id="rId112">
        <w:r>
          <w:rPr>
            <w:color w:val="1155CC"/>
            <w:u w:val="single" w:color="1155CC"/>
          </w:rPr>
          <w:t>-</w:t>
        </w:r>
      </w:hyperlink>
      <w:hyperlink r:id="rId113">
        <w:r>
          <w:rPr>
            <w:color w:val="1155CC"/>
            <w:u w:val="single" w:color="1155CC"/>
          </w:rPr>
          <w:t>legal</w:t>
        </w:r>
      </w:hyperlink>
      <w:hyperlink r:id="rId114"/>
      <w:hyperlink r:id="rId115">
        <w:r>
          <w:rPr>
            <w:color w:val="1155CC"/>
            <w:u w:val="single" w:color="1155CC"/>
          </w:rPr>
          <w:t>documents</w:t>
        </w:r>
      </w:hyperlink>
      <w:hyperlink r:id="rId116">
        <w:r>
          <w:t xml:space="preserve"> </w:t>
        </w:r>
      </w:hyperlink>
      <w:r>
        <w:rPr>
          <w:rFonts w:ascii="Arial" w:eastAsia="Arial" w:hAnsi="Arial" w:cs="Arial"/>
          <w:sz w:val="20"/>
        </w:rPr>
        <w:t xml:space="preserve"> </w:t>
      </w:r>
    </w:p>
    <w:p w:rsidR="007D11BB" w:rsidRDefault="004E520F">
      <w:pPr>
        <w:spacing w:after="220" w:line="259" w:lineRule="auto"/>
        <w:ind w:left="5" w:firstLine="0"/>
      </w:pPr>
      <w:r>
        <w:t xml:space="preserve"> </w:t>
      </w:r>
    </w:p>
    <w:p w:rsidR="007D11BB" w:rsidRDefault="004E520F">
      <w:pPr>
        <w:pStyle w:val="Heading1"/>
        <w:spacing w:after="203"/>
        <w:ind w:left="0"/>
      </w:pPr>
      <w:bookmarkStart w:id="5" w:name="_Toc72495"/>
      <w:r>
        <w:t xml:space="preserve">Schedule 4 - Alternative clauses </w:t>
      </w:r>
      <w:bookmarkEnd w:id="5"/>
    </w:p>
    <w:p w:rsidR="007D11BB" w:rsidRDefault="004E520F">
      <w:pPr>
        <w:spacing w:after="198" w:line="276" w:lineRule="auto"/>
        <w:ind w:left="0"/>
      </w:pPr>
      <w:r>
        <w:t xml:space="preserve">The Alternative clauses are available at </w:t>
      </w:r>
      <w:hyperlink r:id="rId117">
        <w:r>
          <w:rPr>
            <w:color w:val="1155CC"/>
            <w:u w:val="single" w:color="1155CC"/>
          </w:rPr>
          <w:t>https://www.gov.uk/guidance/g</w:t>
        </w:r>
      </w:hyperlink>
      <w:hyperlink r:id="rId118">
        <w:r>
          <w:rPr>
            <w:color w:val="1155CC"/>
            <w:u w:val="single" w:color="1155CC"/>
          </w:rPr>
          <w:t>-</w:t>
        </w:r>
      </w:hyperlink>
      <w:hyperlink r:id="rId119">
        <w:r>
          <w:rPr>
            <w:color w:val="1155CC"/>
            <w:u w:val="single" w:color="1155CC"/>
          </w:rPr>
          <w:t>cloud</w:t>
        </w:r>
      </w:hyperlink>
      <w:hyperlink r:id="rId120">
        <w:r>
          <w:rPr>
            <w:color w:val="1155CC"/>
            <w:u w:val="single" w:color="1155CC"/>
          </w:rPr>
          <w:t>-</w:t>
        </w:r>
      </w:hyperlink>
      <w:hyperlink r:id="rId121">
        <w:r>
          <w:rPr>
            <w:color w:val="1155CC"/>
            <w:u w:val="single" w:color="1155CC"/>
          </w:rPr>
          <w:t>templates</w:t>
        </w:r>
      </w:hyperlink>
      <w:hyperlink r:id="rId122">
        <w:r>
          <w:rPr>
            <w:color w:val="1155CC"/>
            <w:u w:val="single" w:color="1155CC"/>
          </w:rPr>
          <w:t>-</w:t>
        </w:r>
      </w:hyperlink>
      <w:hyperlink r:id="rId123">
        <w:r>
          <w:rPr>
            <w:color w:val="1155CC"/>
            <w:u w:val="single" w:color="1155CC"/>
          </w:rPr>
          <w:t>and</w:t>
        </w:r>
      </w:hyperlink>
      <w:hyperlink r:id="rId124">
        <w:r>
          <w:rPr>
            <w:color w:val="1155CC"/>
            <w:u w:val="single" w:color="1155CC"/>
          </w:rPr>
          <w:t>-</w:t>
        </w:r>
      </w:hyperlink>
      <w:hyperlink r:id="rId125">
        <w:r>
          <w:rPr>
            <w:color w:val="1155CC"/>
            <w:u w:val="single" w:color="1155CC"/>
          </w:rPr>
          <w:t>legal</w:t>
        </w:r>
      </w:hyperlink>
      <w:hyperlink r:id="rId126"/>
      <w:hyperlink r:id="rId127">
        <w:r>
          <w:rPr>
            <w:color w:val="1155CC"/>
            <w:u w:val="single" w:color="1155CC"/>
          </w:rPr>
          <w:t>documents</w:t>
        </w:r>
      </w:hyperlink>
      <w:hyperlink r:id="rId128">
        <w:r>
          <w:t xml:space="preserve"> </w:t>
        </w:r>
      </w:hyperlink>
      <w:r>
        <w:rPr>
          <w:rFonts w:ascii="Arial" w:eastAsia="Arial" w:hAnsi="Arial" w:cs="Arial"/>
          <w:sz w:val="20"/>
        </w:rPr>
        <w:t xml:space="preserve"> </w:t>
      </w:r>
    </w:p>
    <w:p w:rsidR="007D11BB" w:rsidRDefault="004E520F">
      <w:pPr>
        <w:spacing w:after="220" w:line="259" w:lineRule="auto"/>
        <w:ind w:left="5" w:firstLine="0"/>
      </w:pPr>
      <w:r>
        <w:t xml:space="preserve"> </w:t>
      </w:r>
    </w:p>
    <w:p w:rsidR="007D11BB" w:rsidRDefault="004E520F">
      <w:pPr>
        <w:pStyle w:val="Heading1"/>
        <w:spacing w:after="205"/>
        <w:ind w:left="0"/>
      </w:pPr>
      <w:bookmarkStart w:id="6" w:name="_Toc72496"/>
      <w:r>
        <w:t xml:space="preserve">Schedule 5 - Guarantee </w:t>
      </w:r>
      <w:bookmarkEnd w:id="6"/>
    </w:p>
    <w:p w:rsidR="007D11BB" w:rsidRDefault="004E520F">
      <w:pPr>
        <w:spacing w:after="202"/>
        <w:ind w:left="0"/>
      </w:pPr>
      <w:r>
        <w:t xml:space="preserve">The Guarantee is available at </w:t>
      </w:r>
      <w:hyperlink r:id="rId129">
        <w:r>
          <w:rPr>
            <w:color w:val="1155CC"/>
            <w:u w:val="single" w:color="1155CC"/>
          </w:rPr>
          <w:t>https://www.gov.uk/guidance/g</w:t>
        </w:r>
      </w:hyperlink>
      <w:hyperlink r:id="rId130">
        <w:r>
          <w:rPr>
            <w:color w:val="1155CC"/>
            <w:u w:val="single" w:color="1155CC"/>
          </w:rPr>
          <w:t>-</w:t>
        </w:r>
      </w:hyperlink>
      <w:hyperlink r:id="rId131">
        <w:r>
          <w:rPr>
            <w:color w:val="1155CC"/>
            <w:u w:val="single" w:color="1155CC"/>
          </w:rPr>
          <w:t>cloud</w:t>
        </w:r>
      </w:hyperlink>
      <w:hyperlink r:id="rId132">
        <w:r>
          <w:rPr>
            <w:color w:val="1155CC"/>
            <w:u w:val="single" w:color="1155CC"/>
          </w:rPr>
          <w:t>-</w:t>
        </w:r>
      </w:hyperlink>
      <w:hyperlink r:id="rId133">
        <w:r>
          <w:rPr>
            <w:color w:val="1155CC"/>
            <w:u w:val="single" w:color="1155CC"/>
          </w:rPr>
          <w:t>templates</w:t>
        </w:r>
      </w:hyperlink>
      <w:hyperlink r:id="rId134">
        <w:r>
          <w:rPr>
            <w:color w:val="1155CC"/>
            <w:u w:val="single" w:color="1155CC"/>
          </w:rPr>
          <w:t>-</w:t>
        </w:r>
      </w:hyperlink>
      <w:hyperlink r:id="rId135">
        <w:r>
          <w:rPr>
            <w:color w:val="1155CC"/>
            <w:u w:val="single" w:color="1155CC"/>
          </w:rPr>
          <w:t>and</w:t>
        </w:r>
      </w:hyperlink>
      <w:hyperlink r:id="rId136">
        <w:r>
          <w:rPr>
            <w:color w:val="1155CC"/>
            <w:u w:val="single" w:color="1155CC"/>
          </w:rPr>
          <w:t>-</w:t>
        </w:r>
      </w:hyperlink>
      <w:hyperlink r:id="rId137">
        <w:r>
          <w:rPr>
            <w:color w:val="1155CC"/>
            <w:u w:val="single" w:color="1155CC"/>
          </w:rPr>
          <w:t>legal</w:t>
        </w:r>
      </w:hyperlink>
      <w:hyperlink r:id="rId138">
        <w:r>
          <w:rPr>
            <w:color w:val="1155CC"/>
            <w:u w:val="single" w:color="1155CC"/>
          </w:rPr>
          <w:t>-</w:t>
        </w:r>
      </w:hyperlink>
      <w:hyperlink r:id="rId139">
        <w:r>
          <w:rPr>
            <w:color w:val="1155CC"/>
            <w:u w:val="single" w:color="1155CC"/>
          </w:rPr>
          <w:t>documents</w:t>
        </w:r>
      </w:hyperlink>
      <w:hyperlink r:id="rId140">
        <w:r>
          <w:t xml:space="preserve"> </w:t>
        </w:r>
      </w:hyperlink>
      <w:r>
        <w:rPr>
          <w:rFonts w:ascii="Arial" w:eastAsia="Arial" w:hAnsi="Arial" w:cs="Arial"/>
          <w:sz w:val="20"/>
        </w:rPr>
        <w:t xml:space="preserve"> </w:t>
      </w:r>
    </w:p>
    <w:p w:rsidR="007D11BB" w:rsidRDefault="004E520F">
      <w:pPr>
        <w:pStyle w:val="Heading1"/>
        <w:spacing w:after="202"/>
        <w:ind w:left="0"/>
      </w:pPr>
      <w:bookmarkStart w:id="7" w:name="_Toc72497"/>
      <w:r>
        <w:t xml:space="preserve">Schedule 6 - Glossary and interpretations </w:t>
      </w:r>
      <w:bookmarkEnd w:id="7"/>
    </w:p>
    <w:p w:rsidR="007D11BB" w:rsidRDefault="004E520F">
      <w:pPr>
        <w:spacing w:after="0"/>
        <w:ind w:left="0"/>
      </w:pPr>
      <w:r>
        <w:t xml:space="preserve">In this Call-Off Contract the following expressions mean: </w:t>
      </w:r>
    </w:p>
    <w:tbl>
      <w:tblPr>
        <w:tblStyle w:val="TableGrid"/>
        <w:tblW w:w="10594" w:type="dxa"/>
        <w:tblInd w:w="10" w:type="dxa"/>
        <w:tblCellMar>
          <w:top w:w="166" w:type="dxa"/>
          <w:left w:w="94" w:type="dxa"/>
          <w:right w:w="44" w:type="dxa"/>
        </w:tblCellMar>
        <w:tblLook w:val="04A0" w:firstRow="1" w:lastRow="0" w:firstColumn="1" w:lastColumn="0" w:noHBand="0" w:noVBand="1"/>
      </w:tblPr>
      <w:tblGrid>
        <w:gridCol w:w="3435"/>
        <w:gridCol w:w="7159"/>
      </w:tblGrid>
      <w:tr w:rsidR="007D11BB">
        <w:trPr>
          <w:trHeight w:val="1159"/>
        </w:trPr>
        <w:tc>
          <w:tcPr>
            <w:tcW w:w="3435" w:type="dxa"/>
            <w:tcBorders>
              <w:top w:val="single" w:sz="4"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lastRenderedPageBreak/>
              <w:t xml:space="preserve">Additional Services </w:t>
            </w:r>
          </w:p>
        </w:tc>
        <w:tc>
          <w:tcPr>
            <w:tcW w:w="7158" w:type="dxa"/>
            <w:tcBorders>
              <w:top w:val="single" w:sz="4"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right="18" w:firstLine="0"/>
            </w:pPr>
            <w:r>
              <w:t xml:space="preserve">Any services ancillary to the G-Cloud Services that are in the scope of Framework Agreement Section 2 (Services Offered) which a Buyer may request. </w:t>
            </w:r>
          </w:p>
        </w:tc>
      </w:tr>
      <w:tr w:rsidR="007D11BB">
        <w:trPr>
          <w:trHeight w:val="840"/>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Admission Agreement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right="18" w:firstLine="0"/>
            </w:pPr>
            <w:r>
              <w:t xml:space="preserve">The agreement to be entered into to enable the Supplier to participate in the relevant Civil Service pension scheme(s). </w:t>
            </w:r>
          </w:p>
        </w:tc>
      </w:tr>
      <w:tr w:rsidR="007D11BB">
        <w:trPr>
          <w:trHeight w:val="841"/>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Application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The response submitted by the Supplier to the Invitation to Tender (known as the Invitation to Apply on the Digital Marketplace). </w:t>
            </w:r>
          </w:p>
        </w:tc>
      </w:tr>
      <w:tr w:rsidR="007D11BB">
        <w:trPr>
          <w:trHeight w:val="845"/>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Audit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An audit carried out under the incorporated Framework Agreement clauses specified by the Buyer in the Order (if any). </w:t>
            </w:r>
          </w:p>
        </w:tc>
      </w:tr>
      <w:tr w:rsidR="007D11BB">
        <w:trPr>
          <w:trHeight w:val="3692"/>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Background IPRs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13" w:line="259" w:lineRule="auto"/>
              <w:ind w:left="2" w:firstLine="0"/>
            </w:pPr>
            <w:r>
              <w:t xml:space="preserve">For each Party, IPRs: </w:t>
            </w:r>
          </w:p>
          <w:p w:rsidR="007D11BB" w:rsidRDefault="004E520F">
            <w:pPr>
              <w:numPr>
                <w:ilvl w:val="0"/>
                <w:numId w:val="19"/>
              </w:numPr>
              <w:spacing w:after="0" w:line="259" w:lineRule="auto"/>
              <w:ind w:hanging="360"/>
            </w:pPr>
            <w:r>
              <w:t xml:space="preserve">owned by that Party before the date of this Call-Off Contract </w:t>
            </w:r>
          </w:p>
          <w:p w:rsidR="007D11BB" w:rsidRDefault="004E520F">
            <w:pPr>
              <w:spacing w:after="41" w:line="238" w:lineRule="auto"/>
              <w:ind w:left="722" w:firstLine="0"/>
            </w:pPr>
            <w:r>
              <w:t xml:space="preserve">(as may be enhanced and/or modified but not as a consequence of the Services) including IPRs contained in any of the Party's Know-How, documentation and processes  </w:t>
            </w:r>
          </w:p>
          <w:p w:rsidR="007D11BB" w:rsidRDefault="004E520F">
            <w:pPr>
              <w:numPr>
                <w:ilvl w:val="0"/>
                <w:numId w:val="19"/>
              </w:numPr>
              <w:spacing w:after="0" w:line="240" w:lineRule="auto"/>
              <w:ind w:hanging="360"/>
            </w:pPr>
            <w:r>
              <w:t xml:space="preserve">created by the Party independently of this Call-Off Contract, or </w:t>
            </w:r>
          </w:p>
          <w:p w:rsidR="007D11BB" w:rsidRDefault="004E520F">
            <w:pPr>
              <w:spacing w:after="0" w:line="259" w:lineRule="auto"/>
              <w:ind w:left="2" w:firstLine="0"/>
            </w:pPr>
            <w:r>
              <w:t xml:space="preserve"> </w:t>
            </w:r>
          </w:p>
          <w:p w:rsidR="007D11BB" w:rsidRDefault="004E520F">
            <w:pPr>
              <w:spacing w:after="0" w:line="259" w:lineRule="auto"/>
              <w:ind w:left="2" w:firstLine="0"/>
            </w:pPr>
            <w:r>
              <w:t xml:space="preserve">For the Buyer, Crown Copyright which isn’t available to the Supplier otherwise than under this Call-Off Contract, but excluding IPRs owned by that Party in Buyer software or Supplier software. </w:t>
            </w:r>
          </w:p>
        </w:tc>
      </w:tr>
      <w:tr w:rsidR="007D11BB">
        <w:trPr>
          <w:trHeight w:val="845"/>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Buyer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The contracting authority ordering services as set out in the Order Form. </w:t>
            </w:r>
          </w:p>
        </w:tc>
      </w:tr>
      <w:tr w:rsidR="007D11BB">
        <w:trPr>
          <w:trHeight w:val="845"/>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Buyer Data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All data supplied by the Buyer to the Supplier including Personal Data and Service Data that is owned and managed by the Buyer. </w:t>
            </w:r>
          </w:p>
        </w:tc>
      </w:tr>
      <w:tr w:rsidR="007D11BB">
        <w:trPr>
          <w:trHeight w:val="845"/>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Buyer Personal Data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The personal data supplied by the Buyer to the Supplier for purposes of, or in connection with, this Call-Off Contract.  </w:t>
            </w:r>
          </w:p>
        </w:tc>
      </w:tr>
      <w:tr w:rsidR="007D11BB">
        <w:trPr>
          <w:trHeight w:val="845"/>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Buyer Representative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The representative appointed by the Buyer under this Call-Off Contract. </w:t>
            </w:r>
          </w:p>
        </w:tc>
      </w:tr>
      <w:tr w:rsidR="007D11BB">
        <w:trPr>
          <w:trHeight w:val="1162"/>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lastRenderedPageBreak/>
              <w:t xml:space="preserve">Buyer Software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Software owned by or licensed to the Buyer (other than under this Agreement), which is or will be used by the Supplier to provide the Services. </w:t>
            </w:r>
          </w:p>
        </w:tc>
      </w:tr>
    </w:tbl>
    <w:p w:rsidR="007D11BB" w:rsidRDefault="007D11BB">
      <w:pPr>
        <w:spacing w:after="0" w:line="259" w:lineRule="auto"/>
        <w:ind w:left="-701" w:right="42" w:firstLine="0"/>
      </w:pPr>
    </w:p>
    <w:tbl>
      <w:tblPr>
        <w:tblStyle w:val="TableGrid"/>
        <w:tblW w:w="10594" w:type="dxa"/>
        <w:tblInd w:w="10" w:type="dxa"/>
        <w:tblCellMar>
          <w:top w:w="171" w:type="dxa"/>
          <w:left w:w="94" w:type="dxa"/>
          <w:right w:w="115" w:type="dxa"/>
        </w:tblCellMar>
        <w:tblLook w:val="04A0" w:firstRow="1" w:lastRow="0" w:firstColumn="1" w:lastColumn="0" w:noHBand="0" w:noVBand="1"/>
      </w:tblPr>
      <w:tblGrid>
        <w:gridCol w:w="3435"/>
        <w:gridCol w:w="7159"/>
      </w:tblGrid>
      <w:tr w:rsidR="007D11BB">
        <w:trPr>
          <w:trHeight w:val="1793"/>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Call-Off Contract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This call-off contract entered into following the provisions of the Framework Agreement for the provision of Services made between the Buyer and the Supplier comprising the Order Form, the Call-Off terms and conditions, the Call-Off schedules and the Collaboration Agreement. </w:t>
            </w:r>
          </w:p>
        </w:tc>
      </w:tr>
      <w:tr w:rsidR="007D11BB">
        <w:trPr>
          <w:trHeight w:val="845"/>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Charges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The prices (excluding any applicable VAT), payable to the Supplier by the Buyer under this Call-Off Contract. </w:t>
            </w:r>
          </w:p>
        </w:tc>
      </w:tr>
      <w:tr w:rsidR="007D11BB">
        <w:trPr>
          <w:trHeight w:val="1796"/>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Collaboration Agreement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7D11BB">
        <w:trPr>
          <w:trHeight w:val="1159"/>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Commercially Sensitive Information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Information, which the Buyer has been notified about by the </w:t>
            </w:r>
          </w:p>
          <w:p w:rsidR="007D11BB" w:rsidRDefault="004E520F">
            <w:pPr>
              <w:spacing w:after="0" w:line="259" w:lineRule="auto"/>
              <w:ind w:left="2" w:firstLine="0"/>
            </w:pPr>
            <w:r>
              <w:t>Supplier in writing before the Start Date with full details of why the Information is deemed to be commercially sensitive.</w:t>
            </w:r>
            <w:r>
              <w:rPr>
                <w:rFonts w:ascii="Arial" w:eastAsia="Arial" w:hAnsi="Arial" w:cs="Arial"/>
                <w:sz w:val="20"/>
              </w:rPr>
              <w:t xml:space="preserve"> </w:t>
            </w:r>
          </w:p>
        </w:tc>
      </w:tr>
      <w:tr w:rsidR="007D11BB">
        <w:trPr>
          <w:trHeight w:val="3058"/>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Confidential Information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42" w:line="237" w:lineRule="auto"/>
              <w:ind w:left="2" w:firstLine="0"/>
            </w:pPr>
            <w:r>
              <w:t xml:space="preserve">Data, personal data and any information, which may include (but isn’t limited to) any: </w:t>
            </w:r>
          </w:p>
          <w:p w:rsidR="007D11BB" w:rsidRDefault="004E520F">
            <w:pPr>
              <w:numPr>
                <w:ilvl w:val="0"/>
                <w:numId w:val="20"/>
              </w:numPr>
              <w:spacing w:after="0" w:line="240" w:lineRule="auto"/>
              <w:ind w:hanging="360"/>
            </w:pPr>
            <w:r>
              <w:t xml:space="preserve">information about business, affairs, developments, trade secrets, know-how, personnel, and third parties, including all </w:t>
            </w:r>
          </w:p>
          <w:p w:rsidR="007D11BB" w:rsidRDefault="004E520F">
            <w:pPr>
              <w:spacing w:after="40" w:line="239" w:lineRule="auto"/>
              <w:ind w:left="722" w:firstLine="0"/>
            </w:pPr>
            <w:r>
              <w:t xml:space="preserve">Intellectual Property Rights (IPRs), together with all information derived from any of the above </w:t>
            </w:r>
          </w:p>
          <w:p w:rsidR="007D11BB" w:rsidRDefault="004E520F">
            <w:pPr>
              <w:numPr>
                <w:ilvl w:val="0"/>
                <w:numId w:val="20"/>
              </w:numPr>
              <w:spacing w:after="0" w:line="259" w:lineRule="auto"/>
              <w:ind w:hanging="360"/>
            </w:pPr>
            <w:r>
              <w:t xml:space="preserve">other information clearly designated as being confidential or which ought reasonably be considered to be confidential (whether or not it is marked 'confidential'). </w:t>
            </w:r>
          </w:p>
        </w:tc>
      </w:tr>
      <w:tr w:rsidR="007D11BB">
        <w:trPr>
          <w:trHeight w:val="847"/>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Control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‘Control’ as defined in section 1124 and 450 of the Corporation Tax </w:t>
            </w:r>
          </w:p>
          <w:p w:rsidR="007D11BB" w:rsidRDefault="004E520F">
            <w:pPr>
              <w:spacing w:after="0" w:line="259" w:lineRule="auto"/>
              <w:ind w:left="2" w:firstLine="0"/>
            </w:pPr>
            <w:r>
              <w:t xml:space="preserve">Act 2010. 'Controls' and 'Controlled' will be interpreted accordingly. </w:t>
            </w:r>
          </w:p>
        </w:tc>
      </w:tr>
      <w:tr w:rsidR="007D11BB">
        <w:trPr>
          <w:trHeight w:val="528"/>
        </w:trPr>
        <w:tc>
          <w:tcPr>
            <w:tcW w:w="3435" w:type="dxa"/>
            <w:tcBorders>
              <w:top w:val="single" w:sz="6" w:space="0" w:color="000001"/>
              <w:left w:val="single" w:sz="4" w:space="0" w:color="000001"/>
              <w:bottom w:val="single" w:sz="6" w:space="0" w:color="000001"/>
              <w:right w:val="single" w:sz="6" w:space="0" w:color="000001"/>
            </w:tcBorders>
            <w:vAlign w:val="center"/>
          </w:tcPr>
          <w:p w:rsidR="007D11BB" w:rsidRDefault="004E520F">
            <w:pPr>
              <w:spacing w:after="0" w:line="259" w:lineRule="auto"/>
              <w:ind w:left="0" w:firstLine="0"/>
            </w:pPr>
            <w:r>
              <w:t xml:space="preserve">Controller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Takes the meaning given in the Data Protection Legislation</w:t>
            </w:r>
            <w:r>
              <w:rPr>
                <w:color w:val="353535"/>
              </w:rPr>
              <w:t>.</w:t>
            </w:r>
            <w:r>
              <w:rPr>
                <w:rFonts w:ascii="Arial" w:eastAsia="Arial" w:hAnsi="Arial" w:cs="Arial"/>
                <w:sz w:val="20"/>
              </w:rPr>
              <w:t xml:space="preserve"> </w:t>
            </w:r>
          </w:p>
        </w:tc>
      </w:tr>
      <w:tr w:rsidR="007D11BB">
        <w:trPr>
          <w:trHeight w:val="2110"/>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lastRenderedPageBreak/>
              <w:t xml:space="preserve">Crown </w:t>
            </w:r>
          </w:p>
          <w:p w:rsidR="007D11BB" w:rsidRDefault="004E520F">
            <w:pPr>
              <w:spacing w:after="0" w:line="259" w:lineRule="auto"/>
              <w:ind w:left="0" w:firstLine="0"/>
            </w:pPr>
            <w:r>
              <w:t xml:space="preserve">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r w:rsidR="007D11BB">
        <w:trPr>
          <w:trHeight w:val="1162"/>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Data Loss Event </w:t>
            </w:r>
            <w:r>
              <w:rPr>
                <w:rFonts w:ascii="Times New Roman" w:eastAsia="Times New Roman" w:hAnsi="Times New Roman" w:cs="Times New Roman"/>
                <w:b/>
              </w:rPr>
              <w:t>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right="190" w:firstLine="0"/>
            </w:pPr>
            <w:r>
              <w:t xml:space="preserve">Means a breach of security leading to the accidental or unlawful destruction, loss, alteration, unauthorised disclosure of, or access to, Personal Data transmitted, stored or otherwise processed </w:t>
            </w:r>
          </w:p>
        </w:tc>
      </w:tr>
    </w:tbl>
    <w:p w:rsidR="007D11BB" w:rsidRDefault="007D11BB">
      <w:pPr>
        <w:spacing w:after="0" w:line="259" w:lineRule="auto"/>
        <w:ind w:left="-701" w:right="42" w:firstLine="0"/>
      </w:pPr>
    </w:p>
    <w:tbl>
      <w:tblPr>
        <w:tblStyle w:val="TableGrid"/>
        <w:tblW w:w="10594" w:type="dxa"/>
        <w:tblInd w:w="10" w:type="dxa"/>
        <w:tblCellMar>
          <w:top w:w="171" w:type="dxa"/>
          <w:left w:w="94" w:type="dxa"/>
          <w:right w:w="73" w:type="dxa"/>
        </w:tblCellMar>
        <w:tblLook w:val="04A0" w:firstRow="1" w:lastRow="0" w:firstColumn="1" w:lastColumn="0" w:noHBand="0" w:noVBand="1"/>
      </w:tblPr>
      <w:tblGrid>
        <w:gridCol w:w="3435"/>
        <w:gridCol w:w="7159"/>
      </w:tblGrid>
      <w:tr w:rsidR="007D11BB">
        <w:trPr>
          <w:trHeight w:val="1282"/>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Data Protection Impact Assessment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An assessment by the Controller of the impact of the envisaged processing by the Processor under this Call-Off Contract on the protection of Personal Data. </w:t>
            </w:r>
          </w:p>
        </w:tc>
      </w:tr>
      <w:tr w:rsidR="007D11BB">
        <w:trPr>
          <w:trHeight w:val="3375"/>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Data Protection Legislation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Data Protection Legislation means:  </w:t>
            </w:r>
          </w:p>
          <w:p w:rsidR="007D11BB" w:rsidRDefault="004E520F">
            <w:pPr>
              <w:spacing w:after="13" w:line="259" w:lineRule="auto"/>
              <w:ind w:left="2" w:firstLine="0"/>
            </w:pPr>
            <w:r>
              <w:t xml:space="preserve"> </w:t>
            </w:r>
          </w:p>
          <w:p w:rsidR="007D11BB" w:rsidRDefault="004E520F">
            <w:pPr>
              <w:spacing w:after="0" w:line="254" w:lineRule="auto"/>
              <w:ind w:left="362" w:right="150" w:firstLine="0"/>
            </w:pPr>
            <w:r>
              <w:t>i)</w:t>
            </w:r>
            <w:r>
              <w:rPr>
                <w:rFonts w:ascii="Arial" w:eastAsia="Arial" w:hAnsi="Arial" w:cs="Arial"/>
              </w:rPr>
              <w:t xml:space="preserve"> </w:t>
            </w:r>
            <w:r>
              <w:rPr>
                <w:rFonts w:ascii="Arial" w:eastAsia="Arial" w:hAnsi="Arial" w:cs="Arial"/>
              </w:rPr>
              <w:tab/>
            </w:r>
            <w:r>
              <w:t>the GDPR, the LED and any applicable national implementing Laws as amended from time to time  ii)</w:t>
            </w:r>
            <w:r>
              <w:rPr>
                <w:rFonts w:ascii="Arial" w:eastAsia="Arial" w:hAnsi="Arial" w:cs="Arial"/>
              </w:rPr>
              <w:t xml:space="preserve"> </w:t>
            </w:r>
            <w:r>
              <w:rPr>
                <w:rFonts w:ascii="Arial" w:eastAsia="Arial" w:hAnsi="Arial" w:cs="Arial"/>
              </w:rPr>
              <w:tab/>
            </w:r>
            <w:r>
              <w:t>the DPA 2018 to the extent that it relates to processing of personal data and privacy; iii)</w:t>
            </w:r>
            <w:r>
              <w:rPr>
                <w:rFonts w:ascii="Arial" w:eastAsia="Arial" w:hAnsi="Arial" w:cs="Arial"/>
              </w:rPr>
              <w:t xml:space="preserve"> </w:t>
            </w:r>
            <w:r>
              <w:rPr>
                <w:rFonts w:ascii="Arial" w:eastAsia="Arial" w:hAnsi="Arial" w:cs="Arial"/>
              </w:rPr>
              <w:tab/>
            </w:r>
            <w:r>
              <w:t xml:space="preserve">all applicable Law about the processing of personal data </w:t>
            </w:r>
          </w:p>
          <w:p w:rsidR="007D11BB" w:rsidRDefault="004E520F">
            <w:pPr>
              <w:spacing w:after="0" w:line="259" w:lineRule="auto"/>
              <w:ind w:left="1082" w:firstLine="0"/>
            </w:pPr>
            <w:r>
              <w:t xml:space="preserve">and privacy, including if applicable legally binding guidance and codes of practice issued by the Information Commissioner. </w:t>
            </w:r>
          </w:p>
        </w:tc>
      </w:tr>
      <w:tr w:rsidR="007D11BB">
        <w:trPr>
          <w:trHeight w:val="528"/>
        </w:trPr>
        <w:tc>
          <w:tcPr>
            <w:tcW w:w="3435" w:type="dxa"/>
            <w:tcBorders>
              <w:top w:val="single" w:sz="6" w:space="0" w:color="000001"/>
              <w:left w:val="single" w:sz="4" w:space="0" w:color="000001"/>
              <w:bottom w:val="single" w:sz="6" w:space="0" w:color="000001"/>
              <w:right w:val="single" w:sz="6" w:space="0" w:color="000001"/>
            </w:tcBorders>
            <w:vAlign w:val="center"/>
          </w:tcPr>
          <w:p w:rsidR="007D11BB" w:rsidRDefault="004E520F">
            <w:pPr>
              <w:spacing w:after="0" w:line="259" w:lineRule="auto"/>
              <w:ind w:left="0" w:firstLine="0"/>
            </w:pPr>
            <w:r>
              <w:t xml:space="preserve">Data Subject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Takes the meaning given in the Data Protection Legislation. </w:t>
            </w:r>
          </w:p>
        </w:tc>
      </w:tr>
      <w:tr w:rsidR="007D11BB">
        <w:trPr>
          <w:trHeight w:val="4196"/>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lastRenderedPageBreak/>
              <w:t xml:space="preserve">Default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10" w:line="259" w:lineRule="auto"/>
              <w:ind w:left="2" w:firstLine="0"/>
            </w:pPr>
            <w:r>
              <w:t xml:space="preserve">Default is any: </w:t>
            </w:r>
          </w:p>
          <w:p w:rsidR="007D11BB" w:rsidRDefault="004E520F">
            <w:pPr>
              <w:numPr>
                <w:ilvl w:val="0"/>
                <w:numId w:val="21"/>
              </w:numPr>
              <w:spacing w:after="39" w:line="240" w:lineRule="auto"/>
              <w:ind w:hanging="360"/>
            </w:pPr>
            <w:r>
              <w:t xml:space="preserve">breach of the obligations of the Supplier (including any fundamental breach or breach of a fundamental term) </w:t>
            </w:r>
          </w:p>
          <w:p w:rsidR="007D11BB" w:rsidRDefault="004E520F">
            <w:pPr>
              <w:numPr>
                <w:ilvl w:val="0"/>
                <w:numId w:val="21"/>
              </w:numPr>
              <w:spacing w:after="0" w:line="239" w:lineRule="auto"/>
              <w:ind w:hanging="360"/>
            </w:pPr>
            <w:r>
              <w:t xml:space="preserve">other default, negligence or negligent statement of the Supplier, of its Subcontractors or any Supplier Staff (whether by act or omission), in connection with or in relation to this Call-Off Contract </w:t>
            </w:r>
          </w:p>
          <w:p w:rsidR="007D11BB" w:rsidRDefault="004E520F">
            <w:pPr>
              <w:spacing w:after="0" w:line="259" w:lineRule="auto"/>
              <w:ind w:left="2" w:firstLine="0"/>
            </w:pPr>
            <w:r>
              <w:t xml:space="preserve"> </w:t>
            </w:r>
          </w:p>
          <w:p w:rsidR="007D11BB" w:rsidRDefault="004E520F">
            <w:pPr>
              <w:spacing w:after="0" w:line="259" w:lineRule="auto"/>
              <w:ind w:left="2" w:right="9" w:firstLine="0"/>
            </w:pPr>
            <w:r>
              <w:t xml:space="preserve">Unless otherwise specified in the Framework Agreement the Supplier is liable to CCS for a Default of the Framework Agreement and in relation to a Default of the Call-Off Contract, the Supplier is liable to the Buyer. </w:t>
            </w:r>
          </w:p>
        </w:tc>
      </w:tr>
      <w:tr w:rsidR="007D11BB">
        <w:trPr>
          <w:trHeight w:val="845"/>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Deliverable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The G-Cloud Services the Buyer contracts the Supplier to provide under this Call-Off Contract. </w:t>
            </w:r>
          </w:p>
        </w:tc>
      </w:tr>
      <w:tr w:rsidR="007D11BB">
        <w:trPr>
          <w:trHeight w:val="847"/>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Digital Marketplace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The government marketplace where Services are available for Buyers to buy. (</w:t>
            </w:r>
            <w:hyperlink r:id="rId141">
              <w:r>
                <w:rPr>
                  <w:color w:val="1155CC"/>
                  <w:u w:val="single" w:color="1155CC"/>
                </w:rPr>
                <w:t>https://www.digitalmarketplace.service.gov.uk</w:t>
              </w:r>
            </w:hyperlink>
            <w:hyperlink r:id="rId142">
              <w:r>
                <w:t>/</w:t>
              </w:r>
            </w:hyperlink>
            <w:r>
              <w:t>)</w:t>
            </w:r>
            <w:r>
              <w:rPr>
                <w:rFonts w:ascii="Arial" w:eastAsia="Arial" w:hAnsi="Arial" w:cs="Arial"/>
                <w:sz w:val="20"/>
              </w:rPr>
              <w:t xml:space="preserve"> </w:t>
            </w:r>
          </w:p>
        </w:tc>
      </w:tr>
      <w:tr w:rsidR="007D11BB">
        <w:trPr>
          <w:trHeight w:val="529"/>
        </w:trPr>
        <w:tc>
          <w:tcPr>
            <w:tcW w:w="3435" w:type="dxa"/>
            <w:tcBorders>
              <w:top w:val="single" w:sz="6" w:space="0" w:color="000001"/>
              <w:left w:val="single" w:sz="4" w:space="0" w:color="000001"/>
              <w:bottom w:val="single" w:sz="6" w:space="0" w:color="000001"/>
              <w:right w:val="single" w:sz="6" w:space="0" w:color="000001"/>
            </w:tcBorders>
            <w:vAlign w:val="center"/>
          </w:tcPr>
          <w:p w:rsidR="007D11BB" w:rsidRDefault="004E520F">
            <w:pPr>
              <w:spacing w:after="0" w:line="259" w:lineRule="auto"/>
              <w:ind w:left="0" w:firstLine="0"/>
            </w:pPr>
            <w:r>
              <w:t xml:space="preserve">DPA 2018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Data Protection Act 2018. </w:t>
            </w:r>
          </w:p>
        </w:tc>
      </w:tr>
      <w:tr w:rsidR="007D11BB">
        <w:trPr>
          <w:trHeight w:val="1162"/>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Employment Regulations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The Transfer of Undertakings (Protection of Employment) Regulations 2006 (SI 2006/246) (‘TUPE’) which implements the Acquired Rights Directive. </w:t>
            </w:r>
          </w:p>
        </w:tc>
      </w:tr>
      <w:tr w:rsidR="007D11BB">
        <w:trPr>
          <w:trHeight w:val="845"/>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End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Means to terminate; and Ended and Ending are construed accordingly. </w:t>
            </w:r>
          </w:p>
        </w:tc>
      </w:tr>
    </w:tbl>
    <w:p w:rsidR="007D11BB" w:rsidRDefault="007D11BB">
      <w:pPr>
        <w:spacing w:after="0" w:line="259" w:lineRule="auto"/>
        <w:ind w:left="-701" w:right="42" w:firstLine="0"/>
      </w:pPr>
    </w:p>
    <w:tbl>
      <w:tblPr>
        <w:tblStyle w:val="TableGrid"/>
        <w:tblW w:w="10594" w:type="dxa"/>
        <w:tblInd w:w="10" w:type="dxa"/>
        <w:tblCellMar>
          <w:top w:w="171" w:type="dxa"/>
          <w:left w:w="94" w:type="dxa"/>
          <w:right w:w="57" w:type="dxa"/>
        </w:tblCellMar>
        <w:tblLook w:val="04A0" w:firstRow="1" w:lastRow="0" w:firstColumn="1" w:lastColumn="0" w:noHBand="0" w:noVBand="1"/>
      </w:tblPr>
      <w:tblGrid>
        <w:gridCol w:w="3435"/>
        <w:gridCol w:w="7159"/>
      </w:tblGrid>
      <w:tr w:rsidR="007D11BB">
        <w:trPr>
          <w:trHeight w:val="1479"/>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Environmental Information Regulations or EIR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The Environmental Information Regulations 2004 together with any </w:t>
            </w:r>
          </w:p>
          <w:p w:rsidR="007D11BB" w:rsidRDefault="004E520F">
            <w:pPr>
              <w:spacing w:after="0" w:line="259" w:lineRule="auto"/>
              <w:ind w:left="2" w:firstLine="0"/>
            </w:pPr>
            <w:r>
              <w:t xml:space="preserve">guidance or codes of practice issued by the Information Commissioner or relevant Government department about the regulations. </w:t>
            </w:r>
          </w:p>
        </w:tc>
      </w:tr>
      <w:tr w:rsidR="007D11BB">
        <w:trPr>
          <w:trHeight w:val="1476"/>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Equipment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right="37" w:firstLine="0"/>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r w:rsidR="007D11BB">
        <w:trPr>
          <w:trHeight w:val="845"/>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lastRenderedPageBreak/>
              <w:t xml:space="preserve">ESI Reference Number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The 14 digit ESI reference number from the summary of outcome screen of the ESI tool. </w:t>
            </w:r>
          </w:p>
        </w:tc>
      </w:tr>
      <w:tr w:rsidR="007D11BB">
        <w:trPr>
          <w:trHeight w:val="1479"/>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Employment Status Indicator test tool or ESI tool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1" w:line="239" w:lineRule="auto"/>
              <w:ind w:left="2" w:firstLine="0"/>
            </w:pPr>
            <w:r>
              <w:t xml:space="preserve">The HMRC Employment Status Indicator test tool. The most up-todate version must be used. At the time of drafting the tool may be found here: </w:t>
            </w:r>
          </w:p>
          <w:p w:rsidR="007D11BB" w:rsidRDefault="00933DC8">
            <w:pPr>
              <w:spacing w:after="0" w:line="259" w:lineRule="auto"/>
              <w:ind w:left="2" w:firstLine="0"/>
            </w:pPr>
            <w:hyperlink r:id="rId143">
              <w:r w:rsidR="004E520F">
                <w:rPr>
                  <w:color w:val="1155CC"/>
                  <w:u w:val="single" w:color="1155CC"/>
                </w:rPr>
                <w:t>http://tools.hmrc.gov.uk/esi</w:t>
              </w:r>
            </w:hyperlink>
            <w:hyperlink r:id="rId144">
              <w:r w:rsidR="004E520F">
                <w:rPr>
                  <w:rFonts w:ascii="Arial" w:eastAsia="Arial" w:hAnsi="Arial" w:cs="Arial"/>
                  <w:sz w:val="20"/>
                </w:rPr>
                <w:t xml:space="preserve"> </w:t>
              </w:r>
            </w:hyperlink>
          </w:p>
        </w:tc>
      </w:tr>
      <w:tr w:rsidR="007D11BB">
        <w:trPr>
          <w:trHeight w:val="528"/>
        </w:trPr>
        <w:tc>
          <w:tcPr>
            <w:tcW w:w="3435" w:type="dxa"/>
            <w:tcBorders>
              <w:top w:val="single" w:sz="6" w:space="0" w:color="000001"/>
              <w:left w:val="single" w:sz="4" w:space="0" w:color="000001"/>
              <w:bottom w:val="single" w:sz="6" w:space="0" w:color="000001"/>
              <w:right w:val="single" w:sz="6" w:space="0" w:color="000001"/>
            </w:tcBorders>
            <w:vAlign w:val="center"/>
          </w:tcPr>
          <w:p w:rsidR="007D11BB" w:rsidRDefault="004E520F">
            <w:pPr>
              <w:spacing w:after="0" w:line="259" w:lineRule="auto"/>
              <w:ind w:left="0" w:firstLine="0"/>
            </w:pPr>
            <w:r>
              <w:t xml:space="preserve">Expiry Date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The expiry date of this Call-Off Contract in the Order Form. </w:t>
            </w:r>
          </w:p>
        </w:tc>
      </w:tr>
      <w:tr w:rsidR="007D11BB">
        <w:trPr>
          <w:trHeight w:val="7801"/>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Force Majeure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40" w:line="239" w:lineRule="auto"/>
              <w:ind w:left="2" w:firstLine="0"/>
            </w:pPr>
            <w:r>
              <w:t xml:space="preserve">A Force Majeure event means anything affecting either Party's performance of their obligations arising from any: </w:t>
            </w:r>
          </w:p>
          <w:p w:rsidR="007D11BB" w:rsidRDefault="004E520F">
            <w:pPr>
              <w:numPr>
                <w:ilvl w:val="0"/>
                <w:numId w:val="22"/>
              </w:numPr>
              <w:spacing w:after="41" w:line="238" w:lineRule="auto"/>
              <w:ind w:hanging="360"/>
            </w:pPr>
            <w:r>
              <w:t xml:space="preserve">acts, events or omissions beyond the reasonable control of the affected Party </w:t>
            </w:r>
          </w:p>
          <w:p w:rsidR="007D11BB" w:rsidRDefault="004E520F">
            <w:pPr>
              <w:numPr>
                <w:ilvl w:val="0"/>
                <w:numId w:val="22"/>
              </w:numPr>
              <w:spacing w:after="36" w:line="240" w:lineRule="auto"/>
              <w:ind w:hanging="360"/>
            </w:pPr>
            <w:r>
              <w:t xml:space="preserve">riots, war or armed conflict, acts of terrorism, nuclear, biological or chemical warfare </w:t>
            </w:r>
          </w:p>
          <w:p w:rsidR="007D11BB" w:rsidRDefault="004E520F">
            <w:pPr>
              <w:numPr>
                <w:ilvl w:val="0"/>
                <w:numId w:val="22"/>
              </w:numPr>
              <w:spacing w:after="14" w:line="259" w:lineRule="auto"/>
              <w:ind w:hanging="360"/>
            </w:pPr>
            <w:r>
              <w:t xml:space="preserve">acts of government, local government or Regulatory Bodies </w:t>
            </w:r>
          </w:p>
          <w:p w:rsidR="007D11BB" w:rsidRDefault="004E520F">
            <w:pPr>
              <w:numPr>
                <w:ilvl w:val="0"/>
                <w:numId w:val="22"/>
              </w:numPr>
              <w:spacing w:after="39" w:line="240" w:lineRule="auto"/>
              <w:ind w:hanging="360"/>
            </w:pPr>
            <w:r>
              <w:t xml:space="preserve">fire, flood or disaster and any failure or shortage of power or fuel </w:t>
            </w:r>
          </w:p>
          <w:p w:rsidR="007D11BB" w:rsidRDefault="004E520F">
            <w:pPr>
              <w:numPr>
                <w:ilvl w:val="0"/>
                <w:numId w:val="22"/>
              </w:numPr>
              <w:spacing w:after="1" w:line="238" w:lineRule="auto"/>
              <w:ind w:hanging="360"/>
            </w:pPr>
            <w:r>
              <w:t xml:space="preserve">industrial dispute affecting a third party for which a substitute third party isn’t reasonably available </w:t>
            </w:r>
          </w:p>
          <w:p w:rsidR="007D11BB" w:rsidRDefault="004E520F">
            <w:pPr>
              <w:spacing w:after="0" w:line="259" w:lineRule="auto"/>
              <w:ind w:left="2" w:firstLine="0"/>
            </w:pPr>
            <w:r>
              <w:t xml:space="preserve"> </w:t>
            </w:r>
          </w:p>
          <w:p w:rsidR="007D11BB" w:rsidRDefault="004E520F">
            <w:pPr>
              <w:spacing w:after="10" w:line="259" w:lineRule="auto"/>
              <w:ind w:left="2" w:firstLine="0"/>
            </w:pPr>
            <w:r>
              <w:t xml:space="preserve">The following do not constitute a Force Majeure event: </w:t>
            </w:r>
          </w:p>
          <w:p w:rsidR="007D11BB" w:rsidRDefault="004E520F">
            <w:pPr>
              <w:numPr>
                <w:ilvl w:val="0"/>
                <w:numId w:val="22"/>
              </w:numPr>
              <w:spacing w:after="39" w:line="240" w:lineRule="auto"/>
              <w:ind w:hanging="360"/>
            </w:pPr>
            <w:r>
              <w:t xml:space="preserve">any industrial dispute about the Supplier, its staff, or failure in the Supplier’s (or a Subcontractor's) supply chain </w:t>
            </w:r>
          </w:p>
          <w:p w:rsidR="007D11BB" w:rsidRDefault="004E520F">
            <w:pPr>
              <w:numPr>
                <w:ilvl w:val="0"/>
                <w:numId w:val="22"/>
              </w:numPr>
              <w:spacing w:after="40" w:line="239" w:lineRule="auto"/>
              <w:ind w:hanging="360"/>
            </w:pPr>
            <w:r>
              <w:t xml:space="preserve">any event which is attributable to the wilful act, neglect or failure to take reasonable precautions by the Party seeking to rely on Force Majeure </w:t>
            </w:r>
          </w:p>
          <w:p w:rsidR="007D11BB" w:rsidRDefault="004E520F">
            <w:pPr>
              <w:numPr>
                <w:ilvl w:val="0"/>
                <w:numId w:val="22"/>
              </w:numPr>
              <w:spacing w:after="40" w:line="239" w:lineRule="auto"/>
              <w:ind w:hanging="360"/>
            </w:pPr>
            <w:r>
              <w:t xml:space="preserve">the event was foreseeable by the Party seeking to rely on Force Majeure at the time this Call-Off Contract was entered into </w:t>
            </w:r>
          </w:p>
          <w:p w:rsidR="007D11BB" w:rsidRDefault="004E520F">
            <w:pPr>
              <w:numPr>
                <w:ilvl w:val="0"/>
                <w:numId w:val="22"/>
              </w:numPr>
              <w:spacing w:after="0" w:line="259" w:lineRule="auto"/>
              <w:ind w:hanging="360"/>
            </w:pPr>
            <w:r>
              <w:t xml:space="preserve">any event which is attributable to the Party seeking to rely on Force Majeure and its failure to comply with its own business continuity and disaster recovery plans </w:t>
            </w:r>
          </w:p>
        </w:tc>
      </w:tr>
    </w:tbl>
    <w:p w:rsidR="007D11BB" w:rsidRDefault="007D11BB">
      <w:pPr>
        <w:spacing w:after="0" w:line="259" w:lineRule="auto"/>
        <w:ind w:left="-701" w:right="42" w:firstLine="0"/>
      </w:pPr>
    </w:p>
    <w:tbl>
      <w:tblPr>
        <w:tblStyle w:val="TableGrid"/>
        <w:tblW w:w="10594" w:type="dxa"/>
        <w:tblInd w:w="10" w:type="dxa"/>
        <w:tblCellMar>
          <w:top w:w="171" w:type="dxa"/>
          <w:left w:w="94" w:type="dxa"/>
          <w:right w:w="42" w:type="dxa"/>
        </w:tblCellMar>
        <w:tblLook w:val="04A0" w:firstRow="1" w:lastRow="0" w:firstColumn="1" w:lastColumn="0" w:noHBand="0" w:noVBand="1"/>
      </w:tblPr>
      <w:tblGrid>
        <w:gridCol w:w="3435"/>
        <w:gridCol w:w="7159"/>
      </w:tblGrid>
      <w:tr w:rsidR="007D11BB">
        <w:trPr>
          <w:trHeight w:val="1479"/>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lastRenderedPageBreak/>
              <w:t xml:space="preserve">Former Supplier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A supplier supplying services to the Buyer before the Start Date that are the same as or substantially similar to the Services. This also includes any Subcontractor or the Supplier (or any subcontractor of the Subcontractor). </w:t>
            </w:r>
          </w:p>
        </w:tc>
      </w:tr>
      <w:tr w:rsidR="007D11BB">
        <w:trPr>
          <w:trHeight w:val="845"/>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Framework Agreement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The clauses of framework agreement</w:t>
            </w:r>
            <w:r>
              <w:rPr>
                <w:rFonts w:ascii="Arial" w:eastAsia="Arial" w:hAnsi="Arial" w:cs="Arial"/>
              </w:rPr>
              <w:t xml:space="preserve"> </w:t>
            </w:r>
            <w:r>
              <w:t>RM1557.10 together with the Framework Schedules.</w:t>
            </w:r>
            <w:r>
              <w:rPr>
                <w:rFonts w:ascii="Arial" w:eastAsia="Arial" w:hAnsi="Arial" w:cs="Arial"/>
                <w:sz w:val="20"/>
              </w:rPr>
              <w:t xml:space="preserve"> </w:t>
            </w:r>
          </w:p>
        </w:tc>
      </w:tr>
      <w:tr w:rsidR="007D11BB">
        <w:trPr>
          <w:trHeight w:val="1793"/>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Fraud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Any offence under Laws creating offences in respect of fraudulent acts (including the Misrepresentation Act 1967) or at common law in respect of fraudulent acts in relation to this Call-Off Contract or defrauding or attempting to defraud or conspiring to defraud the Crown. </w:t>
            </w:r>
          </w:p>
        </w:tc>
      </w:tr>
      <w:tr w:rsidR="007D11BB">
        <w:trPr>
          <w:trHeight w:val="1477"/>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Freedom of Information Act or FOIA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right="5" w:firstLine="0"/>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7D11BB">
        <w:trPr>
          <w:trHeight w:val="2110"/>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G-Cloud Services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The cloud services described in Framework Agreement Section 2 </w:t>
            </w:r>
          </w:p>
          <w:p w:rsidR="007D11BB" w:rsidRDefault="004E520F">
            <w:pPr>
              <w:spacing w:after="0" w:line="259" w:lineRule="auto"/>
              <w:ind w:left="2" w:firstLine="0"/>
            </w:pPr>
            <w:r>
              <w:t xml:space="preserve">(Services Offered) as defined by the Service Definition, the Supplier </w:t>
            </w:r>
          </w:p>
          <w:p w:rsidR="007D11BB" w:rsidRDefault="004E520F">
            <w:pPr>
              <w:spacing w:after="0" w:line="259" w:lineRule="auto"/>
              <w:ind w:left="2" w:firstLine="0"/>
            </w:pPr>
            <w:r>
              <w:t xml:space="preserve">Terms and any related Application documentation, which the Supplier must make available to CCS and Buyers and those services which are deliverable by the Supplier under the Collaboration Agreement. </w:t>
            </w:r>
          </w:p>
        </w:tc>
      </w:tr>
      <w:tr w:rsidR="007D11BB">
        <w:trPr>
          <w:trHeight w:val="530"/>
        </w:trPr>
        <w:tc>
          <w:tcPr>
            <w:tcW w:w="3435" w:type="dxa"/>
            <w:tcBorders>
              <w:top w:val="single" w:sz="6" w:space="0" w:color="000001"/>
              <w:left w:val="single" w:sz="4" w:space="0" w:color="000001"/>
              <w:bottom w:val="single" w:sz="6" w:space="0" w:color="000001"/>
              <w:right w:val="single" w:sz="6" w:space="0" w:color="000001"/>
            </w:tcBorders>
            <w:vAlign w:val="center"/>
          </w:tcPr>
          <w:p w:rsidR="007D11BB" w:rsidRDefault="004E520F">
            <w:pPr>
              <w:spacing w:after="0" w:line="259" w:lineRule="auto"/>
              <w:ind w:left="0" w:firstLine="0"/>
            </w:pPr>
            <w:r>
              <w:t xml:space="preserve">GDPR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jc w:val="both"/>
            </w:pPr>
            <w:r>
              <w:t xml:space="preserve">The General Data Protection Regulation (Regulation (EU) 2016/679). </w:t>
            </w:r>
          </w:p>
        </w:tc>
      </w:tr>
      <w:tr w:rsidR="007D11BB">
        <w:trPr>
          <w:trHeight w:val="1793"/>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Good Industry Practice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7D11BB">
        <w:trPr>
          <w:trHeight w:val="528"/>
        </w:trPr>
        <w:tc>
          <w:tcPr>
            <w:tcW w:w="3435" w:type="dxa"/>
            <w:tcBorders>
              <w:top w:val="single" w:sz="6" w:space="0" w:color="000001"/>
              <w:left w:val="single" w:sz="4" w:space="0" w:color="000001"/>
              <w:bottom w:val="single" w:sz="6" w:space="0" w:color="000001"/>
              <w:right w:val="single" w:sz="6" w:space="0" w:color="000001"/>
            </w:tcBorders>
            <w:vAlign w:val="center"/>
          </w:tcPr>
          <w:p w:rsidR="007D11BB" w:rsidRDefault="004E520F">
            <w:pPr>
              <w:spacing w:after="0" w:line="259" w:lineRule="auto"/>
              <w:ind w:left="0" w:firstLine="0"/>
            </w:pPr>
            <w:r>
              <w:t xml:space="preserve">Guarantee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The guarantee described in Schedule 5. </w:t>
            </w:r>
          </w:p>
        </w:tc>
      </w:tr>
      <w:tr w:rsidR="007D11BB">
        <w:trPr>
          <w:trHeight w:val="1479"/>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lastRenderedPageBreak/>
              <w:t xml:space="preserve">Guidance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Any current UK Government guidance on the Public Contracts </w:t>
            </w:r>
          </w:p>
          <w:p w:rsidR="007D11BB" w:rsidRDefault="004E520F">
            <w:pPr>
              <w:spacing w:after="0" w:line="259" w:lineRule="auto"/>
              <w:ind w:left="2" w:firstLine="0"/>
            </w:pPr>
            <w:r>
              <w:t xml:space="preserve">Regulations 2015. In the event of a conflict between any current UK Government guidance and the Crown Commercial Service guidance, current UK Government guidance will take precedence. </w:t>
            </w:r>
          </w:p>
        </w:tc>
      </w:tr>
      <w:tr w:rsidR="007D11BB">
        <w:trPr>
          <w:trHeight w:val="845"/>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Indicative Test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ESI tool completed by contractors on their own behalf at the request of CCS or the Buyer (as applicable) under clause 4.6. </w:t>
            </w:r>
          </w:p>
        </w:tc>
      </w:tr>
    </w:tbl>
    <w:p w:rsidR="007D11BB" w:rsidRDefault="007D11BB">
      <w:pPr>
        <w:spacing w:after="0" w:line="259" w:lineRule="auto"/>
        <w:ind w:left="-701" w:right="42" w:firstLine="0"/>
      </w:pPr>
    </w:p>
    <w:tbl>
      <w:tblPr>
        <w:tblStyle w:val="TableGrid"/>
        <w:tblW w:w="10594" w:type="dxa"/>
        <w:tblInd w:w="10" w:type="dxa"/>
        <w:tblCellMar>
          <w:top w:w="171" w:type="dxa"/>
          <w:left w:w="94" w:type="dxa"/>
          <w:right w:w="53" w:type="dxa"/>
        </w:tblCellMar>
        <w:tblLook w:val="04A0" w:firstRow="1" w:lastRow="0" w:firstColumn="1" w:lastColumn="0" w:noHBand="0" w:noVBand="1"/>
      </w:tblPr>
      <w:tblGrid>
        <w:gridCol w:w="3435"/>
        <w:gridCol w:w="7159"/>
      </w:tblGrid>
      <w:tr w:rsidR="007D11BB">
        <w:trPr>
          <w:trHeight w:val="845"/>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Information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Has the meaning given under section 84 of the Freedom of Information Act 2000. </w:t>
            </w:r>
          </w:p>
        </w:tc>
      </w:tr>
      <w:tr w:rsidR="007D11BB">
        <w:trPr>
          <w:trHeight w:val="845"/>
        </w:trPr>
        <w:tc>
          <w:tcPr>
            <w:tcW w:w="3435" w:type="dxa"/>
            <w:tcBorders>
              <w:top w:val="single" w:sz="6" w:space="0" w:color="000001"/>
              <w:left w:val="single" w:sz="4" w:space="0" w:color="000001"/>
              <w:bottom w:val="single" w:sz="6" w:space="0" w:color="000001"/>
              <w:right w:val="single" w:sz="6" w:space="0" w:color="000001"/>
            </w:tcBorders>
            <w:vAlign w:val="center"/>
          </w:tcPr>
          <w:p w:rsidR="007D11BB" w:rsidRDefault="004E520F">
            <w:pPr>
              <w:spacing w:after="0" w:line="259" w:lineRule="auto"/>
              <w:ind w:left="0" w:firstLine="0"/>
              <w:jc w:val="both"/>
            </w:pPr>
            <w:r>
              <w:t xml:space="preserve">Information Security Management System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The information security management system and process developed by the Supplier in accordance with clause 16.1. </w:t>
            </w:r>
          </w:p>
        </w:tc>
      </w:tr>
      <w:tr w:rsidR="007D11BB">
        <w:trPr>
          <w:trHeight w:val="1162"/>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Inside IR35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Contractual engagements which would be determined to be within the scope of the IR35 Intermediaries legislation if assessed using the ESI tool. </w:t>
            </w:r>
          </w:p>
        </w:tc>
      </w:tr>
      <w:tr w:rsidR="007D11BB">
        <w:trPr>
          <w:trHeight w:val="2110"/>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Insolvency Event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12" w:line="259" w:lineRule="auto"/>
              <w:ind w:left="2" w:firstLine="0"/>
            </w:pPr>
            <w:r>
              <w:t xml:space="preserve">Can be: </w:t>
            </w:r>
          </w:p>
          <w:p w:rsidR="007D11BB" w:rsidRDefault="004E520F">
            <w:pPr>
              <w:numPr>
                <w:ilvl w:val="0"/>
                <w:numId w:val="23"/>
              </w:numPr>
              <w:spacing w:after="14" w:line="259" w:lineRule="auto"/>
              <w:ind w:firstLine="0"/>
            </w:pPr>
            <w:r>
              <w:t xml:space="preserve">a voluntary arrangement </w:t>
            </w:r>
          </w:p>
          <w:p w:rsidR="007D11BB" w:rsidRDefault="004E520F">
            <w:pPr>
              <w:numPr>
                <w:ilvl w:val="0"/>
                <w:numId w:val="23"/>
              </w:numPr>
              <w:spacing w:after="13" w:line="259" w:lineRule="auto"/>
              <w:ind w:firstLine="0"/>
            </w:pPr>
            <w:r>
              <w:t xml:space="preserve">a winding-up petition </w:t>
            </w:r>
          </w:p>
          <w:p w:rsidR="007D11BB" w:rsidRDefault="004E520F">
            <w:pPr>
              <w:numPr>
                <w:ilvl w:val="0"/>
                <w:numId w:val="23"/>
              </w:numPr>
              <w:spacing w:after="0" w:line="259" w:lineRule="auto"/>
              <w:ind w:firstLine="0"/>
            </w:pPr>
            <w:r>
              <w:t xml:space="preserve">the appointment of a receiver or administrator </w:t>
            </w:r>
            <w:r>
              <w:rPr>
                <w:rFonts w:ascii="Wingdings" w:eastAsia="Wingdings" w:hAnsi="Wingdings" w:cs="Wingdings"/>
              </w:rPr>
              <w:t></w:t>
            </w:r>
            <w:r>
              <w:rPr>
                <w:rFonts w:ascii="Arial" w:eastAsia="Arial" w:hAnsi="Arial" w:cs="Arial"/>
              </w:rPr>
              <w:t xml:space="preserve"> </w:t>
            </w:r>
            <w:r>
              <w:t xml:space="preserve">an unresolved statutory demand  </w:t>
            </w:r>
            <w:r>
              <w:rPr>
                <w:rFonts w:ascii="Wingdings" w:eastAsia="Wingdings" w:hAnsi="Wingdings" w:cs="Wingdings"/>
              </w:rPr>
              <w:t></w:t>
            </w:r>
            <w:r>
              <w:rPr>
                <w:rFonts w:ascii="Arial" w:eastAsia="Arial" w:hAnsi="Arial" w:cs="Arial"/>
              </w:rPr>
              <w:t xml:space="preserve"> </w:t>
            </w:r>
            <w:r>
              <w:t xml:space="preserve">a Schedule A1 moratorium. </w:t>
            </w:r>
          </w:p>
        </w:tc>
      </w:tr>
      <w:tr w:rsidR="007D11BB">
        <w:trPr>
          <w:trHeight w:val="4006"/>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Intellectual Property Rights or IPR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13" w:line="259" w:lineRule="auto"/>
              <w:ind w:left="2" w:firstLine="0"/>
            </w:pPr>
            <w:r>
              <w:t xml:space="preserve">Intellectual Property Rights are: </w:t>
            </w:r>
          </w:p>
          <w:p w:rsidR="007D11BB" w:rsidRDefault="004E520F">
            <w:pPr>
              <w:numPr>
                <w:ilvl w:val="0"/>
                <w:numId w:val="24"/>
              </w:numPr>
              <w:spacing w:after="40" w:line="238" w:lineRule="auto"/>
              <w:ind w:hanging="360"/>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rsidR="007D11BB" w:rsidRDefault="004E520F">
            <w:pPr>
              <w:numPr>
                <w:ilvl w:val="0"/>
                <w:numId w:val="24"/>
              </w:numPr>
              <w:spacing w:after="40" w:line="239" w:lineRule="auto"/>
              <w:ind w:hanging="360"/>
            </w:pPr>
            <w:r>
              <w:t xml:space="preserve">applications for registration, and the right to apply for registration, for any of the rights listed at (a) that are capable of being registered in any country or jurisdiction </w:t>
            </w:r>
          </w:p>
          <w:p w:rsidR="007D11BB" w:rsidRDefault="004E520F">
            <w:pPr>
              <w:numPr>
                <w:ilvl w:val="0"/>
                <w:numId w:val="24"/>
              </w:numPr>
              <w:spacing w:after="0" w:line="259" w:lineRule="auto"/>
              <w:ind w:hanging="360"/>
            </w:pPr>
            <w:r>
              <w:t xml:space="preserve">all other rights having equivalent or similar effect in any country or jurisdiction </w:t>
            </w:r>
          </w:p>
        </w:tc>
      </w:tr>
      <w:tr w:rsidR="007D11BB">
        <w:trPr>
          <w:trHeight w:val="2427"/>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lastRenderedPageBreak/>
              <w:t xml:space="preserve">Intermediary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12" w:line="259" w:lineRule="auto"/>
              <w:ind w:left="2" w:firstLine="0"/>
            </w:pPr>
            <w:r>
              <w:t xml:space="preserve">For the purposes of the IR35 rules an intermediary can be: </w:t>
            </w:r>
          </w:p>
          <w:p w:rsidR="007D11BB" w:rsidRDefault="004E520F">
            <w:pPr>
              <w:numPr>
                <w:ilvl w:val="0"/>
                <w:numId w:val="25"/>
              </w:numPr>
              <w:spacing w:after="14" w:line="259" w:lineRule="auto"/>
              <w:ind w:hanging="360"/>
            </w:pPr>
            <w:r>
              <w:t xml:space="preserve">the supplier's own limited company </w:t>
            </w:r>
          </w:p>
          <w:p w:rsidR="007D11BB" w:rsidRDefault="004E520F">
            <w:pPr>
              <w:numPr>
                <w:ilvl w:val="0"/>
                <w:numId w:val="25"/>
              </w:numPr>
              <w:spacing w:after="10" w:line="259" w:lineRule="auto"/>
              <w:ind w:hanging="360"/>
            </w:pPr>
            <w:r>
              <w:t xml:space="preserve">a service or a personal service company </w:t>
            </w:r>
          </w:p>
          <w:p w:rsidR="007D11BB" w:rsidRDefault="004E520F">
            <w:pPr>
              <w:numPr>
                <w:ilvl w:val="0"/>
                <w:numId w:val="25"/>
              </w:numPr>
              <w:spacing w:after="0" w:line="259" w:lineRule="auto"/>
              <w:ind w:hanging="360"/>
            </w:pPr>
            <w:r>
              <w:t xml:space="preserve">a partnership </w:t>
            </w:r>
          </w:p>
          <w:p w:rsidR="007D11BB" w:rsidRDefault="004E520F">
            <w:pPr>
              <w:spacing w:after="0" w:line="259" w:lineRule="auto"/>
              <w:ind w:left="2" w:firstLine="0"/>
            </w:pPr>
            <w:r>
              <w:t xml:space="preserve"> </w:t>
            </w:r>
          </w:p>
          <w:p w:rsidR="007D11BB" w:rsidRDefault="004E520F">
            <w:pPr>
              <w:spacing w:after="0" w:line="259" w:lineRule="auto"/>
              <w:ind w:left="2" w:firstLine="0"/>
            </w:pPr>
            <w:r>
              <w:t xml:space="preserve">It does not apply if you work for a client through a Managed Service Company (MSC) or agency (for example, an employment agency). </w:t>
            </w:r>
          </w:p>
        </w:tc>
      </w:tr>
      <w:tr w:rsidR="007D11BB">
        <w:trPr>
          <w:trHeight w:val="528"/>
        </w:trPr>
        <w:tc>
          <w:tcPr>
            <w:tcW w:w="3435" w:type="dxa"/>
            <w:tcBorders>
              <w:top w:val="single" w:sz="6" w:space="0" w:color="000001"/>
              <w:left w:val="single" w:sz="4" w:space="0" w:color="000001"/>
              <w:bottom w:val="single" w:sz="6" w:space="0" w:color="000001"/>
              <w:right w:val="single" w:sz="6" w:space="0" w:color="000001"/>
            </w:tcBorders>
            <w:vAlign w:val="center"/>
          </w:tcPr>
          <w:p w:rsidR="007D11BB" w:rsidRDefault="004E520F">
            <w:pPr>
              <w:spacing w:after="0" w:line="259" w:lineRule="auto"/>
              <w:ind w:left="0" w:firstLine="0"/>
            </w:pPr>
            <w:r>
              <w:t xml:space="preserve">IPR Claim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A claim as set out in clause 11.5. </w:t>
            </w:r>
          </w:p>
        </w:tc>
      </w:tr>
      <w:tr w:rsidR="007D11BB">
        <w:trPr>
          <w:trHeight w:val="1162"/>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IR35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IR35 is also known as ‘Intermediaries legislation’. It’s a set of rules that affect tax and National Insurance where a Supplier is contracted to work for a client through an Intermediary. </w:t>
            </w:r>
          </w:p>
        </w:tc>
      </w:tr>
    </w:tbl>
    <w:p w:rsidR="007D11BB" w:rsidRDefault="007D11BB">
      <w:pPr>
        <w:spacing w:after="0" w:line="259" w:lineRule="auto"/>
        <w:ind w:left="-701" w:right="42" w:firstLine="0"/>
      </w:pPr>
    </w:p>
    <w:tbl>
      <w:tblPr>
        <w:tblStyle w:val="TableGrid"/>
        <w:tblW w:w="10594" w:type="dxa"/>
        <w:tblInd w:w="10" w:type="dxa"/>
        <w:tblCellMar>
          <w:top w:w="171" w:type="dxa"/>
          <w:left w:w="94" w:type="dxa"/>
          <w:right w:w="73" w:type="dxa"/>
        </w:tblCellMar>
        <w:tblLook w:val="04A0" w:firstRow="1" w:lastRow="0" w:firstColumn="1" w:lastColumn="0" w:noHBand="0" w:noVBand="1"/>
      </w:tblPr>
      <w:tblGrid>
        <w:gridCol w:w="3435"/>
        <w:gridCol w:w="7159"/>
      </w:tblGrid>
      <w:tr w:rsidR="007D11BB">
        <w:trPr>
          <w:trHeight w:val="845"/>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IR35 Assessment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Assessment of employment status using the ESI tool to determine if engagement is Inside or Outside IR35. </w:t>
            </w:r>
          </w:p>
        </w:tc>
      </w:tr>
      <w:tr w:rsidR="007D11BB">
        <w:trPr>
          <w:trHeight w:val="1478"/>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Know-How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All ideas, concepts, schemes, information, knowledge, techniques, methodology, and anything else in the nature of know-how relating to the G-Cloud Services but excluding know-how already in the Supplier’s or CCS’s possession before the Start Date. </w:t>
            </w:r>
          </w:p>
        </w:tc>
      </w:tr>
      <w:tr w:rsidR="007D11BB">
        <w:trPr>
          <w:trHeight w:val="2110"/>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Law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 </w:t>
            </w:r>
          </w:p>
        </w:tc>
      </w:tr>
      <w:tr w:rsidR="007D11BB">
        <w:trPr>
          <w:trHeight w:val="528"/>
        </w:trPr>
        <w:tc>
          <w:tcPr>
            <w:tcW w:w="3435" w:type="dxa"/>
            <w:tcBorders>
              <w:top w:val="single" w:sz="6" w:space="0" w:color="000001"/>
              <w:left w:val="single" w:sz="4" w:space="0" w:color="000001"/>
              <w:bottom w:val="single" w:sz="6" w:space="0" w:color="000001"/>
              <w:right w:val="single" w:sz="6" w:space="0" w:color="000001"/>
            </w:tcBorders>
            <w:vAlign w:val="center"/>
          </w:tcPr>
          <w:p w:rsidR="007D11BB" w:rsidRDefault="004E520F">
            <w:pPr>
              <w:spacing w:after="0" w:line="259" w:lineRule="auto"/>
              <w:ind w:left="0" w:firstLine="0"/>
            </w:pPr>
            <w:r>
              <w:t xml:space="preserve">LED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Law Enforcement Directive (EU) 2016/680. </w:t>
            </w:r>
          </w:p>
        </w:tc>
      </w:tr>
      <w:tr w:rsidR="007D11BB">
        <w:trPr>
          <w:trHeight w:val="1793"/>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 </w:t>
            </w:r>
          </w:p>
          <w:p w:rsidR="007D11BB" w:rsidRDefault="004E520F">
            <w:pPr>
              <w:spacing w:after="0" w:line="259" w:lineRule="auto"/>
              <w:ind w:left="0" w:firstLine="0"/>
            </w:pPr>
            <w:r>
              <w:t xml:space="preserve">Loss </w:t>
            </w:r>
          </w:p>
          <w:p w:rsidR="007D11BB" w:rsidRDefault="004E520F">
            <w:pPr>
              <w:spacing w:after="0" w:line="259" w:lineRule="auto"/>
              <w:ind w:left="0" w:firstLine="0"/>
            </w:pPr>
            <w:r>
              <w:t xml:space="preserve"> </w:t>
            </w:r>
          </w:p>
          <w:p w:rsidR="007D11BB" w:rsidRDefault="004E520F">
            <w:pPr>
              <w:spacing w:after="0" w:line="259" w:lineRule="auto"/>
              <w:ind w:left="0" w:firstLine="0"/>
            </w:pPr>
            <w:r>
              <w:t xml:space="preserve">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right="12"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r>
              <w:rPr>
                <w:rFonts w:ascii="Arial" w:eastAsia="Arial" w:hAnsi="Arial" w:cs="Arial"/>
                <w:sz w:val="20"/>
              </w:rPr>
              <w:t xml:space="preserve"> </w:t>
            </w:r>
          </w:p>
        </w:tc>
      </w:tr>
      <w:tr w:rsidR="007D11BB">
        <w:trPr>
          <w:trHeight w:val="845"/>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lastRenderedPageBreak/>
              <w:t xml:space="preserve">Lot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Any of the 3 Lots specified in the ITT and Lots will be construed accordingly. </w:t>
            </w:r>
          </w:p>
        </w:tc>
      </w:tr>
      <w:tr w:rsidR="007D11BB">
        <w:trPr>
          <w:trHeight w:val="2110"/>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Malicious Software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7D11BB">
        <w:trPr>
          <w:trHeight w:val="1793"/>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Management Charge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7D11BB">
        <w:trPr>
          <w:trHeight w:val="847"/>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Management Information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The management information specified in Framework Agreement section 6 (What you report to CCS). </w:t>
            </w:r>
          </w:p>
        </w:tc>
      </w:tr>
      <w:tr w:rsidR="007D11BB">
        <w:trPr>
          <w:trHeight w:val="1162"/>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Material Breach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Those breaches which have been expressly set out as a material breach and any other single serious breach or persistent failure to perform as required under this Call-Off Contract. </w:t>
            </w:r>
          </w:p>
        </w:tc>
      </w:tr>
    </w:tbl>
    <w:p w:rsidR="007D11BB" w:rsidRDefault="007D11BB">
      <w:pPr>
        <w:spacing w:after="0" w:line="259" w:lineRule="auto"/>
        <w:ind w:left="-701" w:right="42" w:firstLine="0"/>
      </w:pPr>
    </w:p>
    <w:tbl>
      <w:tblPr>
        <w:tblStyle w:val="TableGrid"/>
        <w:tblW w:w="10594" w:type="dxa"/>
        <w:tblInd w:w="10" w:type="dxa"/>
        <w:tblCellMar>
          <w:top w:w="19" w:type="dxa"/>
          <w:bottom w:w="27" w:type="dxa"/>
          <w:right w:w="53" w:type="dxa"/>
        </w:tblCellMar>
        <w:tblLook w:val="04A0" w:firstRow="1" w:lastRow="0" w:firstColumn="1" w:lastColumn="0" w:noHBand="0" w:noVBand="1"/>
      </w:tblPr>
      <w:tblGrid>
        <w:gridCol w:w="3435"/>
        <w:gridCol w:w="816"/>
        <w:gridCol w:w="6343"/>
      </w:tblGrid>
      <w:tr w:rsidR="007D11BB">
        <w:trPr>
          <w:trHeight w:val="1162"/>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94" w:firstLine="0"/>
            </w:pPr>
            <w:r>
              <w:t xml:space="preserve">Ministry of Justice Code </w:t>
            </w:r>
          </w:p>
        </w:tc>
        <w:tc>
          <w:tcPr>
            <w:tcW w:w="7158" w:type="dxa"/>
            <w:gridSpan w:val="2"/>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96" w:firstLine="0"/>
            </w:pPr>
            <w:r>
              <w:t xml:space="preserve">The Ministry of Justice’s Code of Practice on the Discharge of the Functions of Public Authorities under Part 1 of the Freedom of Information Act 2000. </w:t>
            </w:r>
          </w:p>
        </w:tc>
      </w:tr>
      <w:tr w:rsidR="007D11BB">
        <w:trPr>
          <w:trHeight w:val="1162"/>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94" w:firstLine="0"/>
            </w:pPr>
            <w:r>
              <w:t xml:space="preserve">New Fair Deal </w:t>
            </w:r>
          </w:p>
        </w:tc>
        <w:tc>
          <w:tcPr>
            <w:tcW w:w="7158" w:type="dxa"/>
            <w:gridSpan w:val="2"/>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96" w:firstLine="0"/>
            </w:pPr>
            <w:r>
              <w:t xml:space="preserve">The revised Fair Deal position in the HM Treasury guidance: “Fair Deal for staff pensions: staff transfer from central government” issued in October 2013 as amended. </w:t>
            </w:r>
          </w:p>
        </w:tc>
      </w:tr>
      <w:tr w:rsidR="007D11BB">
        <w:trPr>
          <w:trHeight w:val="845"/>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94" w:firstLine="0"/>
            </w:pPr>
            <w:r>
              <w:t xml:space="preserve">Order </w:t>
            </w:r>
          </w:p>
        </w:tc>
        <w:tc>
          <w:tcPr>
            <w:tcW w:w="7158" w:type="dxa"/>
            <w:gridSpan w:val="2"/>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96" w:right="27" w:firstLine="0"/>
            </w:pPr>
            <w:r>
              <w:t xml:space="preserve">An order for G-Cloud Services placed by a Contracting Body with the Supplier in accordance with the Ordering Processes. </w:t>
            </w:r>
          </w:p>
        </w:tc>
      </w:tr>
      <w:tr w:rsidR="007D11BB">
        <w:trPr>
          <w:trHeight w:val="845"/>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94" w:firstLine="0"/>
            </w:pPr>
            <w:r>
              <w:t xml:space="preserve">Order Form </w:t>
            </w:r>
          </w:p>
        </w:tc>
        <w:tc>
          <w:tcPr>
            <w:tcW w:w="7158" w:type="dxa"/>
            <w:gridSpan w:val="2"/>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96" w:firstLine="0"/>
            </w:pPr>
            <w:r>
              <w:t xml:space="preserve">The order form set out in Part A of the Call-Off Contract to be used by a Buyer to order G-Cloud Services. </w:t>
            </w:r>
          </w:p>
        </w:tc>
      </w:tr>
      <w:tr w:rsidR="007D11BB">
        <w:trPr>
          <w:trHeight w:val="529"/>
        </w:trPr>
        <w:tc>
          <w:tcPr>
            <w:tcW w:w="3435" w:type="dxa"/>
            <w:tcBorders>
              <w:top w:val="single" w:sz="6" w:space="0" w:color="000001"/>
              <w:left w:val="single" w:sz="4" w:space="0" w:color="000001"/>
              <w:bottom w:val="single" w:sz="6" w:space="0" w:color="000001"/>
              <w:right w:val="single" w:sz="6" w:space="0" w:color="000001"/>
            </w:tcBorders>
            <w:vAlign w:val="center"/>
          </w:tcPr>
          <w:p w:rsidR="007D11BB" w:rsidRDefault="004E520F">
            <w:pPr>
              <w:spacing w:after="0" w:line="259" w:lineRule="auto"/>
              <w:ind w:left="94" w:firstLine="0"/>
            </w:pPr>
            <w:r>
              <w:t xml:space="preserve">Ordered G-Cloud Services </w:t>
            </w:r>
          </w:p>
        </w:tc>
        <w:tc>
          <w:tcPr>
            <w:tcW w:w="7158" w:type="dxa"/>
            <w:gridSpan w:val="2"/>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96" w:firstLine="0"/>
            </w:pPr>
            <w:r>
              <w:t xml:space="preserve">G-Cloud Services which are the subject of an Order by the Buyer. </w:t>
            </w:r>
          </w:p>
        </w:tc>
      </w:tr>
      <w:tr w:rsidR="007D11BB">
        <w:trPr>
          <w:trHeight w:val="1162"/>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94" w:firstLine="0"/>
            </w:pPr>
            <w:r>
              <w:lastRenderedPageBreak/>
              <w:t xml:space="preserve">Outside IR35 </w:t>
            </w:r>
          </w:p>
        </w:tc>
        <w:tc>
          <w:tcPr>
            <w:tcW w:w="7158" w:type="dxa"/>
            <w:gridSpan w:val="2"/>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96" w:firstLine="0"/>
            </w:pPr>
            <w:r>
              <w:t xml:space="preserve">Contractual engagements which would be determined to not be within the scope of the IR35 intermediaries legislation if assessed using the ESI tool. </w:t>
            </w:r>
          </w:p>
        </w:tc>
      </w:tr>
      <w:tr w:rsidR="007D11BB">
        <w:trPr>
          <w:trHeight w:val="845"/>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94" w:firstLine="0"/>
            </w:pPr>
            <w:r>
              <w:t xml:space="preserve">Party </w:t>
            </w:r>
          </w:p>
        </w:tc>
        <w:tc>
          <w:tcPr>
            <w:tcW w:w="7158" w:type="dxa"/>
            <w:gridSpan w:val="2"/>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96" w:firstLine="0"/>
            </w:pPr>
            <w:r>
              <w:t xml:space="preserve">The Buyer or the Supplier and ‘Parties’ will be interpreted accordingly. </w:t>
            </w:r>
          </w:p>
        </w:tc>
      </w:tr>
      <w:tr w:rsidR="007D11BB">
        <w:trPr>
          <w:trHeight w:val="530"/>
        </w:trPr>
        <w:tc>
          <w:tcPr>
            <w:tcW w:w="3435" w:type="dxa"/>
            <w:tcBorders>
              <w:top w:val="single" w:sz="6" w:space="0" w:color="000001"/>
              <w:left w:val="single" w:sz="4" w:space="0" w:color="000001"/>
              <w:bottom w:val="single" w:sz="6" w:space="0" w:color="000001"/>
              <w:right w:val="single" w:sz="6" w:space="0" w:color="000001"/>
            </w:tcBorders>
            <w:vAlign w:val="center"/>
          </w:tcPr>
          <w:p w:rsidR="007D11BB" w:rsidRDefault="004E520F">
            <w:pPr>
              <w:spacing w:after="0" w:line="259" w:lineRule="auto"/>
              <w:ind w:left="94" w:firstLine="0"/>
            </w:pPr>
            <w:r>
              <w:t xml:space="preserve">Personal Data </w:t>
            </w:r>
          </w:p>
        </w:tc>
        <w:tc>
          <w:tcPr>
            <w:tcW w:w="7158" w:type="dxa"/>
            <w:gridSpan w:val="2"/>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96" w:firstLine="0"/>
            </w:pPr>
            <w:r>
              <w:t xml:space="preserve">Takes the meaning given in the Data Protection Legislation. </w:t>
            </w:r>
          </w:p>
        </w:tc>
      </w:tr>
      <w:tr w:rsidR="007D11BB">
        <w:trPr>
          <w:trHeight w:val="528"/>
        </w:trPr>
        <w:tc>
          <w:tcPr>
            <w:tcW w:w="3435" w:type="dxa"/>
            <w:tcBorders>
              <w:top w:val="single" w:sz="6" w:space="0" w:color="000001"/>
              <w:left w:val="single" w:sz="4" w:space="0" w:color="000001"/>
              <w:bottom w:val="single" w:sz="6" w:space="0" w:color="000001"/>
              <w:right w:val="single" w:sz="6" w:space="0" w:color="000001"/>
            </w:tcBorders>
            <w:vAlign w:val="center"/>
          </w:tcPr>
          <w:p w:rsidR="007D11BB" w:rsidRDefault="004E520F">
            <w:pPr>
              <w:spacing w:after="0" w:line="259" w:lineRule="auto"/>
              <w:ind w:left="94" w:firstLine="0"/>
            </w:pPr>
            <w:r>
              <w:t xml:space="preserve">Personal Data Breach  </w:t>
            </w:r>
          </w:p>
        </w:tc>
        <w:tc>
          <w:tcPr>
            <w:tcW w:w="7158" w:type="dxa"/>
            <w:gridSpan w:val="2"/>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96" w:firstLine="0"/>
            </w:pPr>
            <w:r>
              <w:t xml:space="preserve">Takes the meaning given in the Data Protection Legislation. </w:t>
            </w:r>
          </w:p>
        </w:tc>
      </w:tr>
      <w:tr w:rsidR="007D11BB">
        <w:trPr>
          <w:trHeight w:val="1479"/>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94" w:firstLine="0"/>
            </w:pPr>
            <w:r>
              <w:t xml:space="preserve">Processing </w:t>
            </w:r>
          </w:p>
        </w:tc>
        <w:tc>
          <w:tcPr>
            <w:tcW w:w="7158" w:type="dxa"/>
            <w:gridSpan w:val="2"/>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96" w:firstLine="0"/>
            </w:pPr>
            <w:r>
              <w:t>Takes the meaning given in the Data Protection Legislation but, for the purposes of this Call-Off Contract, it will include both manual and automatic Processing. ‘Process’ and ‘processed’ will be interpreted accordingly.</w:t>
            </w:r>
            <w:r>
              <w:rPr>
                <w:rFonts w:ascii="Arial" w:eastAsia="Arial" w:hAnsi="Arial" w:cs="Arial"/>
                <w:sz w:val="20"/>
              </w:rPr>
              <w:t xml:space="preserve"> </w:t>
            </w:r>
          </w:p>
        </w:tc>
      </w:tr>
      <w:tr w:rsidR="007D11BB">
        <w:trPr>
          <w:trHeight w:val="528"/>
        </w:trPr>
        <w:tc>
          <w:tcPr>
            <w:tcW w:w="3435" w:type="dxa"/>
            <w:tcBorders>
              <w:top w:val="single" w:sz="6" w:space="0" w:color="000001"/>
              <w:left w:val="single" w:sz="4" w:space="0" w:color="000001"/>
              <w:bottom w:val="single" w:sz="6" w:space="0" w:color="000001"/>
              <w:right w:val="single" w:sz="6" w:space="0" w:color="000001"/>
            </w:tcBorders>
            <w:vAlign w:val="center"/>
          </w:tcPr>
          <w:p w:rsidR="007D11BB" w:rsidRDefault="004E520F">
            <w:pPr>
              <w:spacing w:after="0" w:line="259" w:lineRule="auto"/>
              <w:ind w:left="94" w:firstLine="0"/>
            </w:pPr>
            <w:r>
              <w:t xml:space="preserve">Processor </w:t>
            </w:r>
          </w:p>
        </w:tc>
        <w:tc>
          <w:tcPr>
            <w:tcW w:w="7158" w:type="dxa"/>
            <w:gridSpan w:val="2"/>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96" w:firstLine="0"/>
            </w:pPr>
            <w:r>
              <w:t xml:space="preserve">Takes the meaning given in the Data Protection Legislation. </w:t>
            </w:r>
          </w:p>
        </w:tc>
      </w:tr>
      <w:tr w:rsidR="007D11BB">
        <w:trPr>
          <w:trHeight w:val="1716"/>
        </w:trPr>
        <w:tc>
          <w:tcPr>
            <w:tcW w:w="3435" w:type="dxa"/>
            <w:tcBorders>
              <w:top w:val="single" w:sz="6" w:space="0" w:color="000001"/>
              <w:left w:val="single" w:sz="4" w:space="0" w:color="000001"/>
              <w:bottom w:val="nil"/>
              <w:right w:val="single" w:sz="6" w:space="0" w:color="000001"/>
            </w:tcBorders>
          </w:tcPr>
          <w:p w:rsidR="007D11BB" w:rsidRDefault="004E520F">
            <w:pPr>
              <w:spacing w:after="0" w:line="259" w:lineRule="auto"/>
              <w:ind w:left="94" w:firstLine="0"/>
            </w:pPr>
            <w:r>
              <w:t xml:space="preserve">Prohibited Act </w:t>
            </w:r>
          </w:p>
        </w:tc>
        <w:tc>
          <w:tcPr>
            <w:tcW w:w="816" w:type="dxa"/>
            <w:tcBorders>
              <w:top w:val="single" w:sz="6" w:space="0" w:color="000001"/>
              <w:left w:val="single" w:sz="6" w:space="0" w:color="000001"/>
              <w:bottom w:val="nil"/>
              <w:right w:val="nil"/>
            </w:tcBorders>
            <w:vAlign w:val="bottom"/>
          </w:tcPr>
          <w:p w:rsidR="007D11BB" w:rsidRDefault="004E520F">
            <w:pPr>
              <w:spacing w:after="21" w:line="239" w:lineRule="auto"/>
              <w:ind w:left="96" w:firstLine="0"/>
            </w:pPr>
            <w:r>
              <w:t xml:space="preserve">for or to: </w:t>
            </w:r>
          </w:p>
          <w:p w:rsidR="007D11BB" w:rsidRDefault="004E520F">
            <w:pPr>
              <w:spacing w:after="0" w:line="259" w:lineRule="auto"/>
              <w:ind w:left="0" w:right="128" w:firstLine="0"/>
              <w:jc w:val="right"/>
            </w:pPr>
            <w:r>
              <w:rPr>
                <w:rFonts w:ascii="Wingdings" w:eastAsia="Wingdings" w:hAnsi="Wingdings" w:cs="Wingdings"/>
              </w:rPr>
              <w:t></w:t>
            </w:r>
            <w:r>
              <w:rPr>
                <w:rFonts w:ascii="Arial" w:eastAsia="Arial" w:hAnsi="Arial" w:cs="Arial"/>
              </w:rPr>
              <w:t xml:space="preserve"> </w:t>
            </w:r>
          </w:p>
        </w:tc>
        <w:tc>
          <w:tcPr>
            <w:tcW w:w="6342" w:type="dxa"/>
            <w:tcBorders>
              <w:top w:val="single" w:sz="6" w:space="0" w:color="000001"/>
              <w:left w:val="nil"/>
              <w:bottom w:val="nil"/>
              <w:right w:val="single" w:sz="4" w:space="0" w:color="000001"/>
            </w:tcBorders>
            <w:vAlign w:val="bottom"/>
          </w:tcPr>
          <w:p w:rsidR="007D11BB" w:rsidRDefault="004E520F">
            <w:pPr>
              <w:spacing w:after="314" w:line="239" w:lineRule="auto"/>
              <w:ind w:left="-96" w:hanging="624"/>
            </w:pPr>
            <w:r>
              <w:t xml:space="preserve">To directly or indirectly offer, promise or give any person working engaged by a Buyer or CCS a financial or other advantage </w:t>
            </w:r>
          </w:p>
          <w:p w:rsidR="007D11BB" w:rsidRDefault="004E520F">
            <w:pPr>
              <w:spacing w:after="0" w:line="259" w:lineRule="auto"/>
              <w:ind w:left="0" w:firstLine="0"/>
            </w:pPr>
            <w:r>
              <w:t xml:space="preserve">induce that person to perform improperly a relevant function or activity </w:t>
            </w:r>
          </w:p>
        </w:tc>
      </w:tr>
      <w:tr w:rsidR="007D11BB">
        <w:trPr>
          <w:trHeight w:val="632"/>
        </w:trPr>
        <w:tc>
          <w:tcPr>
            <w:tcW w:w="3435" w:type="dxa"/>
            <w:tcBorders>
              <w:top w:val="nil"/>
              <w:left w:val="single" w:sz="4" w:space="0" w:color="000001"/>
              <w:bottom w:val="nil"/>
              <w:right w:val="single" w:sz="6" w:space="0" w:color="000001"/>
            </w:tcBorders>
          </w:tcPr>
          <w:p w:rsidR="007D11BB" w:rsidRDefault="007D11BB">
            <w:pPr>
              <w:spacing w:after="160" w:line="259" w:lineRule="auto"/>
              <w:ind w:left="0" w:firstLine="0"/>
            </w:pPr>
          </w:p>
        </w:tc>
        <w:tc>
          <w:tcPr>
            <w:tcW w:w="816" w:type="dxa"/>
            <w:tcBorders>
              <w:top w:val="nil"/>
              <w:left w:val="single" w:sz="6" w:space="0" w:color="000001"/>
              <w:bottom w:val="nil"/>
              <w:right w:val="nil"/>
            </w:tcBorders>
          </w:tcPr>
          <w:p w:rsidR="007D11BB" w:rsidRDefault="004E520F">
            <w:pPr>
              <w:spacing w:after="0" w:line="259" w:lineRule="auto"/>
              <w:ind w:left="0" w:right="128" w:firstLine="0"/>
              <w:jc w:val="right"/>
            </w:pPr>
            <w:r>
              <w:rPr>
                <w:rFonts w:ascii="Wingdings" w:eastAsia="Wingdings" w:hAnsi="Wingdings" w:cs="Wingdings"/>
              </w:rPr>
              <w:t></w:t>
            </w:r>
            <w:r>
              <w:rPr>
                <w:rFonts w:ascii="Arial" w:eastAsia="Arial" w:hAnsi="Arial" w:cs="Arial"/>
              </w:rPr>
              <w:t xml:space="preserve"> </w:t>
            </w:r>
          </w:p>
        </w:tc>
        <w:tc>
          <w:tcPr>
            <w:tcW w:w="6342" w:type="dxa"/>
            <w:tcBorders>
              <w:top w:val="nil"/>
              <w:left w:val="nil"/>
              <w:bottom w:val="nil"/>
              <w:right w:val="single" w:sz="4" w:space="0" w:color="000001"/>
            </w:tcBorders>
          </w:tcPr>
          <w:p w:rsidR="007D11BB" w:rsidRDefault="004E520F">
            <w:pPr>
              <w:spacing w:after="0" w:line="259" w:lineRule="auto"/>
              <w:ind w:left="0" w:firstLine="0"/>
            </w:pPr>
            <w:r>
              <w:t xml:space="preserve">reward that person for improper performance of a relevant function or activity </w:t>
            </w:r>
          </w:p>
        </w:tc>
      </w:tr>
      <w:tr w:rsidR="007D11BB">
        <w:trPr>
          <w:trHeight w:val="1343"/>
        </w:trPr>
        <w:tc>
          <w:tcPr>
            <w:tcW w:w="3435" w:type="dxa"/>
            <w:tcBorders>
              <w:top w:val="nil"/>
              <w:left w:val="single" w:sz="4" w:space="0" w:color="000001"/>
              <w:bottom w:val="single" w:sz="6" w:space="0" w:color="000001"/>
              <w:right w:val="single" w:sz="6" w:space="0" w:color="000001"/>
            </w:tcBorders>
          </w:tcPr>
          <w:p w:rsidR="007D11BB" w:rsidRDefault="007D11BB">
            <w:pPr>
              <w:spacing w:after="160" w:line="259" w:lineRule="auto"/>
              <w:ind w:left="0" w:firstLine="0"/>
            </w:pPr>
          </w:p>
        </w:tc>
        <w:tc>
          <w:tcPr>
            <w:tcW w:w="816" w:type="dxa"/>
            <w:tcBorders>
              <w:top w:val="nil"/>
              <w:left w:val="single" w:sz="6" w:space="0" w:color="000001"/>
              <w:bottom w:val="single" w:sz="6" w:space="0" w:color="000001"/>
              <w:right w:val="nil"/>
            </w:tcBorders>
          </w:tcPr>
          <w:p w:rsidR="007D11BB" w:rsidRDefault="004E520F">
            <w:pPr>
              <w:spacing w:after="0" w:line="259" w:lineRule="auto"/>
              <w:ind w:left="0" w:right="128" w:firstLine="0"/>
              <w:jc w:val="right"/>
            </w:pPr>
            <w:r>
              <w:rPr>
                <w:rFonts w:ascii="Wingdings" w:eastAsia="Wingdings" w:hAnsi="Wingdings" w:cs="Wingdings"/>
              </w:rPr>
              <w:t></w:t>
            </w:r>
            <w:r>
              <w:rPr>
                <w:rFonts w:ascii="Arial" w:eastAsia="Arial" w:hAnsi="Arial" w:cs="Arial"/>
              </w:rPr>
              <w:t xml:space="preserve"> </w:t>
            </w:r>
          </w:p>
        </w:tc>
        <w:tc>
          <w:tcPr>
            <w:tcW w:w="6342" w:type="dxa"/>
            <w:tcBorders>
              <w:top w:val="nil"/>
              <w:left w:val="nil"/>
              <w:bottom w:val="single" w:sz="6" w:space="0" w:color="000001"/>
              <w:right w:val="single" w:sz="4" w:space="0" w:color="000001"/>
            </w:tcBorders>
          </w:tcPr>
          <w:p w:rsidR="007D11BB" w:rsidRDefault="004E520F">
            <w:pPr>
              <w:spacing w:after="12" w:line="259" w:lineRule="auto"/>
              <w:ind w:left="0" w:firstLine="0"/>
            </w:pPr>
            <w:r>
              <w:t xml:space="preserve">commit any offence: </w:t>
            </w:r>
          </w:p>
          <w:p w:rsidR="007D11BB" w:rsidRDefault="004E520F">
            <w:pPr>
              <w:numPr>
                <w:ilvl w:val="0"/>
                <w:numId w:val="26"/>
              </w:numPr>
              <w:spacing w:after="15" w:line="259" w:lineRule="auto"/>
              <w:ind w:hanging="360"/>
            </w:pPr>
            <w:r>
              <w:t xml:space="preserve">under the Bribery Act 2010 </w:t>
            </w:r>
          </w:p>
          <w:p w:rsidR="007D11BB" w:rsidRDefault="004E520F">
            <w:pPr>
              <w:numPr>
                <w:ilvl w:val="0"/>
                <w:numId w:val="26"/>
              </w:numPr>
              <w:spacing w:after="11" w:line="259" w:lineRule="auto"/>
              <w:ind w:hanging="360"/>
            </w:pPr>
            <w:r>
              <w:t xml:space="preserve">under legislation creating offences concerning Fraud </w:t>
            </w:r>
          </w:p>
          <w:p w:rsidR="007D11BB" w:rsidRDefault="004E520F">
            <w:pPr>
              <w:numPr>
                <w:ilvl w:val="0"/>
                <w:numId w:val="26"/>
              </w:numPr>
              <w:spacing w:after="0" w:line="259" w:lineRule="auto"/>
              <w:ind w:hanging="360"/>
            </w:pPr>
            <w:r>
              <w:t xml:space="preserve">at common Law concerning Fraud </w:t>
            </w:r>
          </w:p>
        </w:tc>
      </w:tr>
    </w:tbl>
    <w:p w:rsidR="007D11BB" w:rsidRDefault="007D11BB">
      <w:pPr>
        <w:spacing w:after="0" w:line="259" w:lineRule="auto"/>
        <w:ind w:left="-701" w:right="42" w:firstLine="0"/>
      </w:pPr>
    </w:p>
    <w:tbl>
      <w:tblPr>
        <w:tblStyle w:val="TableGrid"/>
        <w:tblW w:w="10594" w:type="dxa"/>
        <w:tblInd w:w="10" w:type="dxa"/>
        <w:tblCellMar>
          <w:top w:w="170" w:type="dxa"/>
          <w:left w:w="94" w:type="dxa"/>
          <w:right w:w="113" w:type="dxa"/>
        </w:tblCellMar>
        <w:tblLook w:val="04A0" w:firstRow="1" w:lastRow="0" w:firstColumn="1" w:lastColumn="0" w:noHBand="0" w:noVBand="1"/>
      </w:tblPr>
      <w:tblGrid>
        <w:gridCol w:w="3435"/>
        <w:gridCol w:w="7159"/>
      </w:tblGrid>
      <w:tr w:rsidR="007D11BB">
        <w:trPr>
          <w:trHeight w:val="845"/>
        </w:trPr>
        <w:tc>
          <w:tcPr>
            <w:tcW w:w="3435" w:type="dxa"/>
            <w:tcBorders>
              <w:top w:val="single" w:sz="6" w:space="0" w:color="000001"/>
              <w:left w:val="single" w:sz="4" w:space="0" w:color="000001"/>
              <w:bottom w:val="single" w:sz="6" w:space="0" w:color="000001"/>
              <w:right w:val="single" w:sz="6" w:space="0" w:color="000001"/>
            </w:tcBorders>
          </w:tcPr>
          <w:p w:rsidR="007D11BB" w:rsidRDefault="007D11BB">
            <w:pPr>
              <w:spacing w:after="160" w:line="259" w:lineRule="auto"/>
              <w:ind w:left="0" w:firstLine="0"/>
            </w:pP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1442" w:hanging="360"/>
            </w:pPr>
            <w:r>
              <w:rPr>
                <w:rFonts w:ascii="Wingdings 2" w:eastAsia="Wingdings 2" w:hAnsi="Wingdings 2" w:cs="Wingdings 2"/>
              </w:rPr>
              <w:t></w:t>
            </w:r>
            <w:r>
              <w:rPr>
                <w:rFonts w:ascii="Arial" w:eastAsia="Arial" w:hAnsi="Arial" w:cs="Arial"/>
              </w:rPr>
              <w:t xml:space="preserve"> </w:t>
            </w:r>
            <w:r>
              <w:t xml:space="preserve">committing or attempting or conspiring to commit Fraud </w:t>
            </w:r>
          </w:p>
        </w:tc>
      </w:tr>
      <w:tr w:rsidR="007D11BB">
        <w:trPr>
          <w:trHeight w:val="2110"/>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Project Specific IPRs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7D11BB">
        <w:trPr>
          <w:trHeight w:val="845"/>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lastRenderedPageBreak/>
              <w:t xml:space="preserve">Property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Assets and property including technical infrastructure, IPRs and equipment.  </w:t>
            </w:r>
          </w:p>
        </w:tc>
      </w:tr>
      <w:tr w:rsidR="007D11BB">
        <w:trPr>
          <w:trHeight w:val="2427"/>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Protective Measures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7D11BB">
        <w:trPr>
          <w:trHeight w:val="1162"/>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PSN or Public Services Network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The Public Services Network (PSN) is the Government’s highperformance network which helps public sector organisations work together, reduce duplication and share resources. </w:t>
            </w:r>
          </w:p>
        </w:tc>
      </w:tr>
      <w:tr w:rsidR="007D11BB">
        <w:trPr>
          <w:trHeight w:val="1160"/>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Regulatory Body or Bodies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Government departments and other bodies which, whether under statute, codes of practice or otherwise, are entitled to investigate or influence the matters dealt with in this Call-Off Contract. </w:t>
            </w:r>
          </w:p>
        </w:tc>
      </w:tr>
      <w:tr w:rsidR="007D11BB">
        <w:trPr>
          <w:trHeight w:val="1162"/>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Relevant Person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Any employee, agent, servant, or representative of the Buyer, any other public body or person employed by or on behalf of the Buyer, or any other public body. </w:t>
            </w:r>
          </w:p>
        </w:tc>
      </w:tr>
      <w:tr w:rsidR="007D11BB">
        <w:trPr>
          <w:trHeight w:val="845"/>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Relevant Transfer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A transfer of employment to which the Employment Regulations applies. </w:t>
            </w:r>
          </w:p>
        </w:tc>
      </w:tr>
      <w:tr w:rsidR="007D11BB">
        <w:trPr>
          <w:trHeight w:val="1796"/>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Replacement Services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r>
              <w:rPr>
                <w:rFonts w:ascii="Arial" w:eastAsia="Arial" w:hAnsi="Arial" w:cs="Arial"/>
                <w:sz w:val="20"/>
              </w:rPr>
              <w:t xml:space="preserve"> </w:t>
            </w:r>
          </w:p>
        </w:tc>
      </w:tr>
      <w:tr w:rsidR="007D11BB">
        <w:trPr>
          <w:trHeight w:val="1162"/>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Replacement Supplier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Any third party service provider of Replacement Services appointed by the Buyer (or where the Buyer is providing replacement Services for its own account, the Buyer). </w:t>
            </w:r>
          </w:p>
        </w:tc>
      </w:tr>
    </w:tbl>
    <w:p w:rsidR="007D11BB" w:rsidRDefault="007D11BB">
      <w:pPr>
        <w:spacing w:after="0" w:line="259" w:lineRule="auto"/>
        <w:ind w:left="-701" w:right="42" w:firstLine="0"/>
      </w:pPr>
    </w:p>
    <w:tbl>
      <w:tblPr>
        <w:tblStyle w:val="TableGrid"/>
        <w:tblW w:w="10594" w:type="dxa"/>
        <w:tblInd w:w="10" w:type="dxa"/>
        <w:tblCellMar>
          <w:top w:w="171" w:type="dxa"/>
          <w:left w:w="94" w:type="dxa"/>
          <w:right w:w="115" w:type="dxa"/>
        </w:tblCellMar>
        <w:tblLook w:val="04A0" w:firstRow="1" w:lastRow="0" w:firstColumn="1" w:lastColumn="0" w:noHBand="0" w:noVBand="1"/>
      </w:tblPr>
      <w:tblGrid>
        <w:gridCol w:w="3435"/>
        <w:gridCol w:w="7159"/>
      </w:tblGrid>
      <w:tr w:rsidR="007D11BB">
        <w:trPr>
          <w:trHeight w:val="530"/>
        </w:trPr>
        <w:tc>
          <w:tcPr>
            <w:tcW w:w="3435" w:type="dxa"/>
            <w:tcBorders>
              <w:top w:val="single" w:sz="6" w:space="0" w:color="000001"/>
              <w:left w:val="single" w:sz="4" w:space="0" w:color="000001"/>
              <w:bottom w:val="single" w:sz="6" w:space="0" w:color="000001"/>
              <w:right w:val="single" w:sz="6" w:space="0" w:color="000001"/>
            </w:tcBorders>
            <w:vAlign w:val="center"/>
          </w:tcPr>
          <w:p w:rsidR="007D11BB" w:rsidRDefault="004E520F">
            <w:pPr>
              <w:spacing w:after="0" w:line="259" w:lineRule="auto"/>
              <w:ind w:left="0" w:firstLine="0"/>
            </w:pPr>
            <w:r>
              <w:t xml:space="preserve">Services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The services ordered by the Buyer as set out in the Order Form. </w:t>
            </w:r>
          </w:p>
        </w:tc>
      </w:tr>
      <w:tr w:rsidR="007D11BB">
        <w:trPr>
          <w:trHeight w:val="845"/>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lastRenderedPageBreak/>
              <w:t xml:space="preserve">Service Data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Data that is owned or managed by the Buyer and used for the GCloud Services, including backup data. </w:t>
            </w:r>
          </w:p>
        </w:tc>
      </w:tr>
      <w:tr w:rsidR="007D11BB">
        <w:trPr>
          <w:trHeight w:val="1159"/>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Service Definition(s)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right="31" w:firstLine="0"/>
            </w:pPr>
            <w:r>
              <w:t xml:space="preserve">The definition of the Supplier's G-Cloud Services provided as part of their Application that includes, but isn’t limited to, those items listed in Section 2 (Services Offered) of the Framework Agreement. </w:t>
            </w:r>
          </w:p>
        </w:tc>
      </w:tr>
      <w:tr w:rsidR="007D11BB">
        <w:trPr>
          <w:trHeight w:val="847"/>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Service Description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The description of the Supplier service offering as published on the Digital Marketplace. </w:t>
            </w:r>
          </w:p>
        </w:tc>
      </w:tr>
      <w:tr w:rsidR="007D11BB">
        <w:trPr>
          <w:trHeight w:val="1160"/>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Service Personal Data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The Personal Data supplied by a Buyer to the Supplier in the course of the use of the G-Cloud Services for purposes of or in connection with this Call-Off Contract. </w:t>
            </w:r>
          </w:p>
        </w:tc>
      </w:tr>
      <w:tr w:rsidR="007D11BB">
        <w:trPr>
          <w:trHeight w:val="1478"/>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Spend Controls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The approval process used by a central government Buyer if it needs to spend money on certain digital or technology services, see </w:t>
            </w:r>
            <w:hyperlink r:id="rId145">
              <w:r>
                <w:rPr>
                  <w:color w:val="1155CC"/>
                  <w:u w:val="single" w:color="1155CC"/>
                </w:rPr>
                <w:t>https://www.gov.uk/service</w:t>
              </w:r>
            </w:hyperlink>
            <w:hyperlink r:id="rId146">
              <w:r>
                <w:rPr>
                  <w:color w:val="1155CC"/>
                  <w:u w:val="single" w:color="1155CC"/>
                </w:rPr>
                <w:t>-</w:t>
              </w:r>
            </w:hyperlink>
            <w:hyperlink r:id="rId147">
              <w:r>
                <w:rPr>
                  <w:color w:val="1155CC"/>
                  <w:u w:val="single" w:color="1155CC"/>
                </w:rPr>
                <w:t>manual/agile</w:t>
              </w:r>
            </w:hyperlink>
            <w:hyperlink r:id="rId148">
              <w:r>
                <w:rPr>
                  <w:color w:val="1155CC"/>
                  <w:u w:val="single" w:color="1155CC"/>
                </w:rPr>
                <w:t>-</w:t>
              </w:r>
            </w:hyperlink>
            <w:hyperlink r:id="rId149">
              <w:r>
                <w:rPr>
                  <w:color w:val="1155CC"/>
                  <w:u w:val="single" w:color="1155CC"/>
                </w:rPr>
                <w:t>delivery/spend</w:t>
              </w:r>
            </w:hyperlink>
            <w:hyperlink r:id="rId150">
              <w:r>
                <w:rPr>
                  <w:color w:val="1155CC"/>
                  <w:u w:val="single" w:color="1155CC"/>
                </w:rPr>
                <w:t>-</w:t>
              </w:r>
            </w:hyperlink>
            <w:hyperlink r:id="rId151">
              <w:r>
                <w:rPr>
                  <w:color w:val="1155CC"/>
                  <w:u w:val="single" w:color="1155CC"/>
                </w:rPr>
                <w:t>controls</w:t>
              </w:r>
            </w:hyperlink>
            <w:hyperlink r:id="rId152"/>
            <w:hyperlink r:id="rId153">
              <w:r>
                <w:rPr>
                  <w:color w:val="1155CC"/>
                  <w:u w:val="single" w:color="1155CC"/>
                </w:rPr>
                <w:t>check</w:t>
              </w:r>
            </w:hyperlink>
            <w:hyperlink r:id="rId154">
              <w:r>
                <w:rPr>
                  <w:color w:val="1155CC"/>
                  <w:u w:val="single" w:color="1155CC"/>
                </w:rPr>
                <w:t>-</w:t>
              </w:r>
            </w:hyperlink>
            <w:hyperlink r:id="rId155">
              <w:r>
                <w:rPr>
                  <w:color w:val="1155CC"/>
                  <w:u w:val="single" w:color="1155CC"/>
                </w:rPr>
                <w:t>if</w:t>
              </w:r>
            </w:hyperlink>
            <w:hyperlink r:id="rId156">
              <w:r>
                <w:rPr>
                  <w:color w:val="1155CC"/>
                  <w:u w:val="single" w:color="1155CC"/>
                </w:rPr>
                <w:t>-</w:t>
              </w:r>
            </w:hyperlink>
            <w:hyperlink r:id="rId157">
              <w:r>
                <w:rPr>
                  <w:color w:val="1155CC"/>
                  <w:u w:val="single" w:color="1155CC"/>
                </w:rPr>
                <w:t>you</w:t>
              </w:r>
            </w:hyperlink>
            <w:hyperlink r:id="rId158">
              <w:r>
                <w:rPr>
                  <w:color w:val="1155CC"/>
                  <w:u w:val="single" w:color="1155CC"/>
                </w:rPr>
                <w:t>-</w:t>
              </w:r>
            </w:hyperlink>
            <w:hyperlink r:id="rId159">
              <w:r>
                <w:rPr>
                  <w:color w:val="1155CC"/>
                  <w:u w:val="single" w:color="1155CC"/>
                </w:rPr>
                <w:t>need</w:t>
              </w:r>
            </w:hyperlink>
            <w:hyperlink r:id="rId160">
              <w:r>
                <w:rPr>
                  <w:color w:val="1155CC"/>
                  <w:u w:val="single" w:color="1155CC"/>
                </w:rPr>
                <w:t>-</w:t>
              </w:r>
            </w:hyperlink>
            <w:hyperlink r:id="rId161">
              <w:r>
                <w:rPr>
                  <w:color w:val="1155CC"/>
                  <w:u w:val="single" w:color="1155CC"/>
                </w:rPr>
                <w:t>approval</w:t>
              </w:r>
            </w:hyperlink>
            <w:hyperlink r:id="rId162">
              <w:r>
                <w:rPr>
                  <w:color w:val="1155CC"/>
                  <w:u w:val="single" w:color="1155CC"/>
                </w:rPr>
                <w:t>-</w:t>
              </w:r>
            </w:hyperlink>
            <w:hyperlink r:id="rId163">
              <w:r>
                <w:rPr>
                  <w:color w:val="1155CC"/>
                  <w:u w:val="single" w:color="1155CC"/>
                </w:rPr>
                <w:t>to</w:t>
              </w:r>
            </w:hyperlink>
            <w:hyperlink r:id="rId164">
              <w:r>
                <w:rPr>
                  <w:color w:val="1155CC"/>
                  <w:u w:val="single" w:color="1155CC"/>
                </w:rPr>
                <w:t>-</w:t>
              </w:r>
            </w:hyperlink>
            <w:hyperlink r:id="rId165">
              <w:r>
                <w:rPr>
                  <w:color w:val="1155CC"/>
                  <w:u w:val="single" w:color="1155CC"/>
                </w:rPr>
                <w:t>spend</w:t>
              </w:r>
            </w:hyperlink>
            <w:hyperlink r:id="rId166">
              <w:r>
                <w:rPr>
                  <w:color w:val="1155CC"/>
                  <w:u w:val="single" w:color="1155CC"/>
                </w:rPr>
                <w:t>-</w:t>
              </w:r>
            </w:hyperlink>
            <w:hyperlink r:id="rId167">
              <w:r>
                <w:rPr>
                  <w:color w:val="1155CC"/>
                  <w:u w:val="single" w:color="1155CC"/>
                </w:rPr>
                <w:t>money</w:t>
              </w:r>
            </w:hyperlink>
            <w:hyperlink r:id="rId168">
              <w:r>
                <w:rPr>
                  <w:color w:val="1155CC"/>
                  <w:u w:val="single" w:color="1155CC"/>
                </w:rPr>
                <w:t>-</w:t>
              </w:r>
            </w:hyperlink>
            <w:hyperlink r:id="rId169">
              <w:r>
                <w:rPr>
                  <w:color w:val="1155CC"/>
                  <w:u w:val="single" w:color="1155CC"/>
                </w:rPr>
                <w:t>on</w:t>
              </w:r>
            </w:hyperlink>
            <w:hyperlink r:id="rId170">
              <w:r>
                <w:rPr>
                  <w:color w:val="1155CC"/>
                  <w:u w:val="single" w:color="1155CC"/>
                </w:rPr>
                <w:t>-</w:t>
              </w:r>
            </w:hyperlink>
            <w:hyperlink r:id="rId171">
              <w:r>
                <w:rPr>
                  <w:color w:val="1155CC"/>
                  <w:u w:val="single" w:color="1155CC"/>
                </w:rPr>
                <w:t>a</w:t>
              </w:r>
            </w:hyperlink>
            <w:hyperlink r:id="rId172">
              <w:r>
                <w:rPr>
                  <w:color w:val="1155CC"/>
                  <w:u w:val="single" w:color="1155CC"/>
                </w:rPr>
                <w:t>-</w:t>
              </w:r>
            </w:hyperlink>
            <w:hyperlink r:id="rId173">
              <w:r>
                <w:rPr>
                  <w:color w:val="1155CC"/>
                  <w:u w:val="single" w:color="1155CC"/>
                </w:rPr>
                <w:t>service</w:t>
              </w:r>
            </w:hyperlink>
            <w:hyperlink r:id="rId174">
              <w:r>
                <w:rPr>
                  <w:rFonts w:ascii="Arial" w:eastAsia="Arial" w:hAnsi="Arial" w:cs="Arial"/>
                  <w:sz w:val="20"/>
                </w:rPr>
                <w:t xml:space="preserve"> </w:t>
              </w:r>
            </w:hyperlink>
          </w:p>
        </w:tc>
      </w:tr>
      <w:tr w:rsidR="007D11BB">
        <w:trPr>
          <w:trHeight w:val="528"/>
        </w:trPr>
        <w:tc>
          <w:tcPr>
            <w:tcW w:w="3435" w:type="dxa"/>
            <w:tcBorders>
              <w:top w:val="single" w:sz="6" w:space="0" w:color="000001"/>
              <w:left w:val="single" w:sz="4" w:space="0" w:color="000001"/>
              <w:bottom w:val="single" w:sz="6" w:space="0" w:color="000001"/>
              <w:right w:val="single" w:sz="6" w:space="0" w:color="000001"/>
            </w:tcBorders>
            <w:vAlign w:val="center"/>
          </w:tcPr>
          <w:p w:rsidR="007D11BB" w:rsidRDefault="004E520F">
            <w:pPr>
              <w:spacing w:after="0" w:line="259" w:lineRule="auto"/>
              <w:ind w:left="0" w:firstLine="0"/>
            </w:pPr>
            <w:r>
              <w:t xml:space="preserve">Start Date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The start date of this Call-Off Contract as set out in the Order Form. </w:t>
            </w:r>
          </w:p>
        </w:tc>
      </w:tr>
      <w:tr w:rsidR="007D11BB">
        <w:trPr>
          <w:trHeight w:val="1796"/>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Subcontract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7D11BB">
        <w:trPr>
          <w:trHeight w:val="1476"/>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Subcontractor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Any third party engaged by the Supplier under a Subcontract </w:t>
            </w:r>
          </w:p>
          <w:p w:rsidR="007D11BB" w:rsidRDefault="004E520F">
            <w:pPr>
              <w:spacing w:after="0" w:line="259" w:lineRule="auto"/>
              <w:ind w:left="2" w:firstLine="0"/>
            </w:pPr>
            <w:r>
              <w:t xml:space="preserve">(permitted under the Framework Agreement and the Call-Off Contract) and its servants or agents in connection with the provision of G-Cloud Services. </w:t>
            </w:r>
          </w:p>
        </w:tc>
      </w:tr>
      <w:tr w:rsidR="007D11BB">
        <w:trPr>
          <w:trHeight w:val="845"/>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Subprocessor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Any third party appointed to process Personal Data on behalf of the Supplier under this Call-Off Contract. </w:t>
            </w:r>
          </w:p>
        </w:tc>
      </w:tr>
      <w:tr w:rsidR="007D11BB">
        <w:trPr>
          <w:trHeight w:val="845"/>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Supplier Representative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The representative appointed by the Supplier from time to time in relation to the Call-Off Contract. </w:t>
            </w:r>
          </w:p>
        </w:tc>
      </w:tr>
      <w:tr w:rsidR="007D11BB">
        <w:trPr>
          <w:trHeight w:val="1162"/>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lastRenderedPageBreak/>
              <w:t xml:space="preserve">Supplier Staff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All persons employed by the Supplier together with the Supplier’s servants, agents, suppliers and Subcontractors used in the performance of its obligations under this Call-Off Contract. </w:t>
            </w:r>
          </w:p>
        </w:tc>
      </w:tr>
      <w:tr w:rsidR="007D11BB">
        <w:trPr>
          <w:trHeight w:val="1162"/>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Supplier Terms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The relevant G-Cloud Service terms and conditions as set out in the Terms and Conditions document supplied as part of the Supplier’s Application. </w:t>
            </w:r>
          </w:p>
        </w:tc>
      </w:tr>
      <w:tr w:rsidR="007D11BB">
        <w:trPr>
          <w:trHeight w:val="528"/>
        </w:trPr>
        <w:tc>
          <w:tcPr>
            <w:tcW w:w="3435" w:type="dxa"/>
            <w:tcBorders>
              <w:top w:val="single" w:sz="6" w:space="0" w:color="000001"/>
              <w:left w:val="single" w:sz="4" w:space="0" w:color="000001"/>
              <w:bottom w:val="single" w:sz="6" w:space="0" w:color="000001"/>
              <w:right w:val="single" w:sz="6" w:space="0" w:color="000001"/>
            </w:tcBorders>
            <w:vAlign w:val="center"/>
          </w:tcPr>
          <w:p w:rsidR="007D11BB" w:rsidRDefault="004E520F">
            <w:pPr>
              <w:spacing w:after="0" w:line="259" w:lineRule="auto"/>
              <w:ind w:left="0" w:firstLine="0"/>
            </w:pPr>
            <w:r>
              <w:t xml:space="preserve">Term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The term of this Call-Off Contract as set out in the Order Form.  </w:t>
            </w:r>
          </w:p>
        </w:tc>
      </w:tr>
      <w:tr w:rsidR="007D11BB">
        <w:trPr>
          <w:trHeight w:val="530"/>
        </w:trPr>
        <w:tc>
          <w:tcPr>
            <w:tcW w:w="3435" w:type="dxa"/>
            <w:tcBorders>
              <w:top w:val="single" w:sz="6" w:space="0" w:color="000001"/>
              <w:left w:val="single" w:sz="4" w:space="0" w:color="000001"/>
              <w:bottom w:val="single" w:sz="6" w:space="0" w:color="000001"/>
              <w:right w:val="single" w:sz="6" w:space="0" w:color="000001"/>
            </w:tcBorders>
            <w:vAlign w:val="center"/>
          </w:tcPr>
          <w:p w:rsidR="007D11BB" w:rsidRDefault="004E520F">
            <w:pPr>
              <w:spacing w:after="0" w:line="259" w:lineRule="auto"/>
              <w:ind w:left="0" w:firstLine="0"/>
            </w:pPr>
            <w:r>
              <w:t xml:space="preserve">Variation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This has the meaning given to it in clause 32 (Variation process). </w:t>
            </w:r>
          </w:p>
        </w:tc>
      </w:tr>
      <w:tr w:rsidR="007D11BB">
        <w:trPr>
          <w:trHeight w:val="845"/>
        </w:trPr>
        <w:tc>
          <w:tcPr>
            <w:tcW w:w="3435" w:type="dxa"/>
            <w:tcBorders>
              <w:top w:val="single" w:sz="6" w:space="0" w:color="000001"/>
              <w:left w:val="single" w:sz="4" w:space="0" w:color="000001"/>
              <w:bottom w:val="single" w:sz="6" w:space="0" w:color="000001"/>
              <w:right w:val="single" w:sz="6" w:space="0" w:color="000001"/>
            </w:tcBorders>
          </w:tcPr>
          <w:p w:rsidR="007D11BB" w:rsidRDefault="004E520F">
            <w:pPr>
              <w:spacing w:after="0" w:line="259" w:lineRule="auto"/>
              <w:ind w:left="0" w:firstLine="0"/>
            </w:pPr>
            <w:r>
              <w:t xml:space="preserve">Working Days </w:t>
            </w:r>
          </w:p>
        </w:tc>
        <w:tc>
          <w:tcPr>
            <w:tcW w:w="7158" w:type="dxa"/>
            <w:tcBorders>
              <w:top w:val="single" w:sz="6" w:space="0" w:color="000001"/>
              <w:left w:val="single" w:sz="6" w:space="0" w:color="000001"/>
              <w:bottom w:val="single" w:sz="6" w:space="0" w:color="000001"/>
              <w:right w:val="single" w:sz="4" w:space="0" w:color="000001"/>
            </w:tcBorders>
            <w:vAlign w:val="center"/>
          </w:tcPr>
          <w:p w:rsidR="007D11BB" w:rsidRDefault="004E520F">
            <w:pPr>
              <w:spacing w:after="0" w:line="259" w:lineRule="auto"/>
              <w:ind w:left="2" w:firstLine="0"/>
            </w:pPr>
            <w:r>
              <w:t xml:space="preserve">Any day other than a Saturday, Sunday or public holiday in England and Wales. </w:t>
            </w:r>
          </w:p>
        </w:tc>
      </w:tr>
      <w:tr w:rsidR="007D11BB">
        <w:trPr>
          <w:trHeight w:val="528"/>
        </w:trPr>
        <w:tc>
          <w:tcPr>
            <w:tcW w:w="3435" w:type="dxa"/>
            <w:tcBorders>
              <w:top w:val="single" w:sz="6" w:space="0" w:color="000001"/>
              <w:left w:val="single" w:sz="4" w:space="0" w:color="000001"/>
              <w:bottom w:val="single" w:sz="4" w:space="0" w:color="000001"/>
              <w:right w:val="single" w:sz="6" w:space="0" w:color="000001"/>
            </w:tcBorders>
            <w:vAlign w:val="center"/>
          </w:tcPr>
          <w:p w:rsidR="007D11BB" w:rsidRDefault="004E520F">
            <w:pPr>
              <w:spacing w:after="0" w:line="259" w:lineRule="auto"/>
              <w:ind w:left="0" w:firstLine="0"/>
            </w:pPr>
            <w:r>
              <w:t xml:space="preserve">Year </w:t>
            </w:r>
          </w:p>
        </w:tc>
        <w:tc>
          <w:tcPr>
            <w:tcW w:w="7158" w:type="dxa"/>
            <w:tcBorders>
              <w:top w:val="single" w:sz="6" w:space="0" w:color="000001"/>
              <w:left w:val="single" w:sz="6" w:space="0" w:color="000001"/>
              <w:bottom w:val="single" w:sz="4" w:space="0" w:color="000001"/>
              <w:right w:val="single" w:sz="4" w:space="0" w:color="000001"/>
            </w:tcBorders>
            <w:vAlign w:val="center"/>
          </w:tcPr>
          <w:p w:rsidR="007D11BB" w:rsidRDefault="004E520F">
            <w:pPr>
              <w:spacing w:after="0" w:line="259" w:lineRule="auto"/>
              <w:ind w:left="2" w:firstLine="0"/>
            </w:pPr>
            <w:r>
              <w:t xml:space="preserve">A contract year. </w:t>
            </w:r>
          </w:p>
        </w:tc>
      </w:tr>
    </w:tbl>
    <w:p w:rsidR="007D11BB" w:rsidRDefault="004E520F">
      <w:pPr>
        <w:spacing w:after="220" w:line="259" w:lineRule="auto"/>
        <w:ind w:left="5" w:firstLine="0"/>
      </w:pPr>
      <w:r>
        <w:t xml:space="preserve"> </w:t>
      </w:r>
    </w:p>
    <w:p w:rsidR="007D11BB" w:rsidRDefault="004E520F">
      <w:pPr>
        <w:spacing w:after="0" w:line="259" w:lineRule="auto"/>
        <w:ind w:left="5" w:firstLine="0"/>
        <w:jc w:val="both"/>
      </w:pPr>
      <w:r>
        <w:rPr>
          <w:rFonts w:ascii="Arial" w:eastAsia="Arial" w:hAnsi="Arial" w:cs="Arial"/>
          <w:sz w:val="20"/>
        </w:rPr>
        <w:t xml:space="preserve"> </w:t>
      </w:r>
      <w:r>
        <w:rPr>
          <w:rFonts w:ascii="Arial" w:eastAsia="Arial" w:hAnsi="Arial" w:cs="Arial"/>
          <w:sz w:val="20"/>
        </w:rPr>
        <w:tab/>
      </w:r>
      <w:r>
        <w:t xml:space="preserve"> </w:t>
      </w:r>
      <w:r>
        <w:br w:type="page"/>
      </w:r>
    </w:p>
    <w:p w:rsidR="007D11BB" w:rsidRDefault="004E520F">
      <w:pPr>
        <w:spacing w:after="221" w:line="259" w:lineRule="auto"/>
        <w:ind w:left="5" w:firstLine="0"/>
      </w:pPr>
      <w:r>
        <w:lastRenderedPageBreak/>
        <w:t xml:space="preserve"> </w:t>
      </w:r>
    </w:p>
    <w:p w:rsidR="007D11BB" w:rsidRDefault="004E520F">
      <w:pPr>
        <w:spacing w:after="0" w:line="259" w:lineRule="auto"/>
        <w:ind w:left="5" w:firstLine="0"/>
      </w:pPr>
      <w:r>
        <w:t xml:space="preserve"> </w:t>
      </w:r>
    </w:p>
    <w:p w:rsidR="007D11BB" w:rsidRDefault="004E520F">
      <w:pPr>
        <w:pStyle w:val="Heading1"/>
        <w:spacing w:after="200"/>
        <w:ind w:left="0"/>
      </w:pPr>
      <w:bookmarkStart w:id="8" w:name="_Toc72498"/>
      <w:r>
        <w:t>Schedule 7 - Processing, Personal Data and Data Subjects</w:t>
      </w:r>
      <w:r>
        <w:rPr>
          <w:rFonts w:ascii="Arial" w:eastAsia="Arial" w:hAnsi="Arial" w:cs="Arial"/>
          <w:b/>
          <w:sz w:val="22"/>
        </w:rPr>
        <w:t xml:space="preserve"> </w:t>
      </w:r>
      <w:bookmarkEnd w:id="8"/>
    </w:p>
    <w:p w:rsidR="007D11BB" w:rsidRDefault="004E520F">
      <w:pPr>
        <w:spacing w:after="10"/>
        <w:ind w:left="0"/>
      </w:pPr>
      <w:r>
        <w:t xml:space="preserve">Subject matter of the processing: </w:t>
      </w:r>
      <w:r>
        <w:rPr>
          <w:color w:val="353535"/>
        </w:rPr>
        <w:t xml:space="preserve"> </w:t>
      </w:r>
    </w:p>
    <w:p w:rsidR="007D11BB" w:rsidRDefault="004E520F">
      <w:pPr>
        <w:spacing w:after="212" w:line="268" w:lineRule="auto"/>
        <w:ind w:left="0"/>
      </w:pPr>
      <w:r>
        <w:rPr>
          <w:color w:val="353535"/>
        </w:rPr>
        <w:t>Controlling access to the AVIS platform. Highways England must retain details of who the user is, who they work for and why they need access to the system.</w:t>
      </w:r>
      <w:r>
        <w:rPr>
          <w:rFonts w:ascii="Arial" w:eastAsia="Arial" w:hAnsi="Arial" w:cs="Arial"/>
          <w:sz w:val="20"/>
        </w:rPr>
        <w:t xml:space="preserve"> </w:t>
      </w:r>
    </w:p>
    <w:p w:rsidR="007D11BB" w:rsidRDefault="004E520F">
      <w:pPr>
        <w:spacing w:after="1"/>
        <w:ind w:left="0"/>
      </w:pPr>
      <w:r>
        <w:t xml:space="preserve">Duration of the processing: </w:t>
      </w:r>
      <w:r>
        <w:rPr>
          <w:color w:val="353535"/>
        </w:rPr>
        <w:t xml:space="preserve"> </w:t>
      </w:r>
    </w:p>
    <w:p w:rsidR="007D11BB" w:rsidRDefault="004E520F">
      <w:pPr>
        <w:spacing w:after="212" w:line="268" w:lineRule="auto"/>
        <w:ind w:left="0"/>
      </w:pPr>
      <w:r>
        <w:rPr>
          <w:color w:val="353535"/>
        </w:rPr>
        <w:t>December 20</w:t>
      </w:r>
      <w:r>
        <w:rPr>
          <w:color w:val="353535"/>
          <w:sz w:val="21"/>
          <w:vertAlign w:val="superscript"/>
        </w:rPr>
        <w:t>th</w:t>
      </w:r>
      <w:r>
        <w:rPr>
          <w:color w:val="353535"/>
        </w:rPr>
        <w:t xml:space="preserve"> 2018 – December 19</w:t>
      </w:r>
      <w:r>
        <w:rPr>
          <w:color w:val="353535"/>
          <w:sz w:val="21"/>
          <w:vertAlign w:val="superscript"/>
        </w:rPr>
        <w:t>th</w:t>
      </w:r>
      <w:r>
        <w:rPr>
          <w:color w:val="353535"/>
        </w:rPr>
        <w:t xml:space="preserve"> 2019 </w:t>
      </w:r>
      <w:r>
        <w:rPr>
          <w:rFonts w:ascii="Arial" w:eastAsia="Arial" w:hAnsi="Arial" w:cs="Arial"/>
          <w:sz w:val="20"/>
        </w:rPr>
        <w:t xml:space="preserve"> </w:t>
      </w:r>
    </w:p>
    <w:p w:rsidR="007D11BB" w:rsidRDefault="004E520F">
      <w:pPr>
        <w:spacing w:after="11"/>
        <w:ind w:left="0"/>
      </w:pPr>
      <w:r>
        <w:t xml:space="preserve">Nature and purposes of the Processing: </w:t>
      </w:r>
      <w:r>
        <w:rPr>
          <w:color w:val="353535"/>
        </w:rPr>
        <w:t xml:space="preserve"> </w:t>
      </w:r>
    </w:p>
    <w:p w:rsidR="007D11BB" w:rsidRDefault="004E520F">
      <w:pPr>
        <w:spacing w:after="212" w:line="268" w:lineRule="auto"/>
        <w:ind w:left="0"/>
      </w:pPr>
      <w:r>
        <w:rPr>
          <w:color w:val="353535"/>
        </w:rPr>
        <w:t xml:space="preserve">Controlling access to the AVIS platform. Highways England must retain details of who the user is, who they work for and why they need access to the system. HE and IBI Group maintain a user spreadsheet that is used to control those accessing the system. The details of the user is entered onto the AVIS platform and the user is emailed directly by the system.   </w:t>
      </w:r>
      <w:r>
        <w:rPr>
          <w:rFonts w:ascii="Arial" w:eastAsia="Arial" w:hAnsi="Arial" w:cs="Arial"/>
          <w:sz w:val="20"/>
        </w:rPr>
        <w:t xml:space="preserve"> </w:t>
      </w:r>
    </w:p>
    <w:p w:rsidR="007D11BB" w:rsidRDefault="004E520F">
      <w:pPr>
        <w:spacing w:after="11"/>
        <w:ind w:left="0"/>
      </w:pPr>
      <w:r>
        <w:t xml:space="preserve">Type of Personal Data: </w:t>
      </w:r>
      <w:r>
        <w:rPr>
          <w:color w:val="353535"/>
        </w:rPr>
        <w:t xml:space="preserve"> </w:t>
      </w:r>
    </w:p>
    <w:p w:rsidR="007D11BB" w:rsidRDefault="004E520F">
      <w:pPr>
        <w:spacing w:after="212" w:line="268" w:lineRule="auto"/>
        <w:ind w:left="0"/>
      </w:pPr>
      <w:r>
        <w:rPr>
          <w:color w:val="353535"/>
        </w:rPr>
        <w:t>Name, company name, work email, work address, work phone number</w:t>
      </w:r>
      <w:r>
        <w:rPr>
          <w:rFonts w:ascii="Arial" w:eastAsia="Arial" w:hAnsi="Arial" w:cs="Arial"/>
          <w:sz w:val="20"/>
        </w:rPr>
        <w:t xml:space="preserve"> </w:t>
      </w:r>
    </w:p>
    <w:p w:rsidR="007D11BB" w:rsidRDefault="004E520F">
      <w:pPr>
        <w:spacing w:after="12"/>
        <w:ind w:left="0"/>
      </w:pPr>
      <w:r>
        <w:t xml:space="preserve">Categories of Data Subject: </w:t>
      </w:r>
      <w:r>
        <w:rPr>
          <w:color w:val="353535"/>
        </w:rPr>
        <w:t xml:space="preserve"> </w:t>
      </w:r>
    </w:p>
    <w:p w:rsidR="007D11BB" w:rsidRDefault="004E520F">
      <w:pPr>
        <w:spacing w:after="212" w:line="268" w:lineRule="auto"/>
        <w:ind w:left="0"/>
      </w:pPr>
      <w:r>
        <w:rPr>
          <w:rFonts w:ascii="Times New Roman" w:eastAsia="Times New Roman" w:hAnsi="Times New Roman" w:cs="Times New Roman"/>
          <w:color w:val="353535"/>
        </w:rPr>
        <w:t> </w:t>
      </w:r>
      <w:r>
        <w:rPr>
          <w:color w:val="353535"/>
        </w:rPr>
        <w:t xml:space="preserve">Staff, Suppliers </w:t>
      </w:r>
      <w:r>
        <w:rPr>
          <w:rFonts w:ascii="Arial" w:eastAsia="Arial" w:hAnsi="Arial" w:cs="Arial"/>
          <w:sz w:val="20"/>
        </w:rPr>
        <w:t xml:space="preserve"> </w:t>
      </w:r>
    </w:p>
    <w:p w:rsidR="007D11BB" w:rsidRDefault="004E520F">
      <w:pPr>
        <w:spacing w:after="5"/>
        <w:ind w:left="0"/>
      </w:pPr>
      <w:r>
        <w:t xml:space="preserve">Plan for return or destruction of the data once the Processing is complete UNLESS requirement under union or member state law to preserve that type of data: </w:t>
      </w:r>
      <w:r>
        <w:rPr>
          <w:color w:val="353535"/>
        </w:rPr>
        <w:t xml:space="preserve"> </w:t>
      </w:r>
    </w:p>
    <w:p w:rsidR="007D11BB" w:rsidRDefault="004E520F">
      <w:pPr>
        <w:spacing w:after="151" w:line="268" w:lineRule="auto"/>
        <w:ind w:left="0"/>
      </w:pPr>
      <w:r>
        <w:rPr>
          <w:rFonts w:ascii="Times New Roman" w:eastAsia="Times New Roman" w:hAnsi="Times New Roman" w:cs="Times New Roman"/>
          <w:b/>
          <w:color w:val="353535"/>
        </w:rPr>
        <w:t> </w:t>
      </w:r>
      <w:r>
        <w:rPr>
          <w:color w:val="353535"/>
        </w:rPr>
        <w:t>Data will be retained for the duration of the contract. Memset will destroy the data in accordance with their data management policy. IBI Group will destroy copies of users details on contract completion</w:t>
      </w:r>
      <w:r>
        <w:rPr>
          <w:rFonts w:ascii="Arial" w:eastAsia="Arial" w:hAnsi="Arial" w:cs="Arial"/>
          <w:sz w:val="20"/>
        </w:rPr>
        <w:t xml:space="preserve"> </w:t>
      </w:r>
    </w:p>
    <w:p w:rsidR="007D11BB" w:rsidRDefault="004E520F">
      <w:pPr>
        <w:spacing w:after="0" w:line="259" w:lineRule="auto"/>
        <w:ind w:left="5" w:firstLine="0"/>
      </w:pPr>
      <w:r>
        <w:rPr>
          <w:rFonts w:ascii="Arial" w:eastAsia="Arial" w:hAnsi="Arial" w:cs="Arial"/>
          <w:sz w:val="20"/>
        </w:rPr>
        <w:t xml:space="preserve"> </w:t>
      </w:r>
    </w:p>
    <w:sectPr w:rsidR="007D11BB">
      <w:footerReference w:type="even" r:id="rId175"/>
      <w:footerReference w:type="default" r:id="rId176"/>
      <w:footerReference w:type="first" r:id="rId177"/>
      <w:pgSz w:w="11906" w:h="16838"/>
      <w:pgMar w:top="971" w:right="561" w:bottom="2199" w:left="701" w:header="720" w:footer="9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3DC8" w:rsidRDefault="00933DC8">
      <w:pPr>
        <w:spacing w:after="0" w:line="240" w:lineRule="auto"/>
      </w:pPr>
      <w:r>
        <w:separator/>
      </w:r>
    </w:p>
  </w:endnote>
  <w:endnote w:type="continuationSeparator" w:id="0">
    <w:p w:rsidR="00933DC8" w:rsidRDefault="00933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1BB" w:rsidRDefault="004E520F">
    <w:pPr>
      <w:spacing w:after="214" w:line="259" w:lineRule="auto"/>
      <w:ind w:left="5" w:firstLine="0"/>
    </w:pPr>
    <w:r>
      <w:rPr>
        <w:rFonts w:ascii="Arial" w:eastAsia="Arial" w:hAnsi="Arial" w:cs="Arial"/>
        <w:sz w:val="16"/>
      </w:rPr>
      <w:t xml:space="preserve"> </w:t>
    </w:r>
  </w:p>
  <w:p w:rsidR="007D11BB" w:rsidRDefault="004E520F">
    <w:pPr>
      <w:tabs>
        <w:tab w:val="center" w:pos="4326"/>
        <w:tab w:val="center" w:pos="5046"/>
        <w:tab w:val="center" w:pos="5766"/>
        <w:tab w:val="center" w:pos="6486"/>
        <w:tab w:val="center" w:pos="7206"/>
        <w:tab w:val="center" w:pos="7927"/>
        <w:tab w:val="center" w:pos="8647"/>
        <w:tab w:val="center" w:pos="9367"/>
      </w:tabs>
      <w:spacing w:after="51" w:line="259" w:lineRule="auto"/>
      <w:ind w:left="0" w:firstLine="0"/>
    </w:pPr>
    <w:r>
      <w:rPr>
        <w:rFonts w:ascii="Arial" w:eastAsia="Arial" w:hAnsi="Arial" w:cs="Arial"/>
        <w:sz w:val="16"/>
      </w:rPr>
      <w:t xml:space="preserve">G-Cloud 10 Call-Off Contract – RM1557.10 18-06-2018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7D11BB" w:rsidRDefault="004E520F">
    <w:pPr>
      <w:spacing w:after="206" w:line="259" w:lineRule="auto"/>
      <w:ind w:left="5" w:firstLine="0"/>
    </w:pPr>
    <w:r>
      <w:rPr>
        <w:rFonts w:ascii="Arial" w:eastAsia="Arial" w:hAnsi="Arial" w:cs="Arial"/>
        <w:sz w:val="16"/>
      </w:rPr>
      <w:t xml:space="preserve">https://www.gov.uk/government/publications/g-cloud-10-call-off-contract          </w:t>
    </w:r>
    <w:r>
      <w:rPr>
        <w:rFonts w:ascii="Arial" w:eastAsia="Arial" w:hAnsi="Arial" w:cs="Arial"/>
        <w:sz w:val="20"/>
      </w:rPr>
      <w:t xml:space="preserve"> </w:t>
    </w:r>
  </w:p>
  <w:p w:rsidR="007D11BB" w:rsidRDefault="004E520F">
    <w:pPr>
      <w:spacing w:after="0" w:line="259" w:lineRule="auto"/>
      <w:ind w:left="5" w:firstLine="0"/>
    </w:pPr>
    <w:r>
      <w:rPr>
        <w:rFonts w:ascii="Arial" w:eastAsia="Arial" w:hAnsi="Arial" w:cs="Arial"/>
        <w:sz w:val="16"/>
      </w:rPr>
      <w:t xml:space="preserve">                                                                                                                                                                                                                      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58</w:t>
    </w: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1BB" w:rsidRDefault="004E520F">
    <w:pPr>
      <w:spacing w:after="214" w:line="259" w:lineRule="auto"/>
      <w:ind w:left="5" w:firstLine="0"/>
    </w:pPr>
    <w:r>
      <w:rPr>
        <w:rFonts w:ascii="Arial" w:eastAsia="Arial" w:hAnsi="Arial" w:cs="Arial"/>
        <w:sz w:val="16"/>
      </w:rPr>
      <w:t xml:space="preserve"> </w:t>
    </w:r>
  </w:p>
  <w:p w:rsidR="007D11BB" w:rsidRDefault="004E520F">
    <w:pPr>
      <w:tabs>
        <w:tab w:val="center" w:pos="4326"/>
        <w:tab w:val="center" w:pos="5046"/>
        <w:tab w:val="center" w:pos="5766"/>
        <w:tab w:val="center" w:pos="6486"/>
        <w:tab w:val="center" w:pos="7206"/>
        <w:tab w:val="center" w:pos="7927"/>
        <w:tab w:val="center" w:pos="8647"/>
        <w:tab w:val="center" w:pos="9367"/>
      </w:tabs>
      <w:spacing w:after="51" w:line="259" w:lineRule="auto"/>
      <w:ind w:left="0" w:firstLine="0"/>
    </w:pPr>
    <w:r>
      <w:rPr>
        <w:rFonts w:ascii="Arial" w:eastAsia="Arial" w:hAnsi="Arial" w:cs="Arial"/>
        <w:sz w:val="16"/>
      </w:rPr>
      <w:t xml:space="preserve">G-Cloud 10 Call-Off Contract – RM1557.10 18-06-2018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7D11BB" w:rsidRDefault="004E520F">
    <w:pPr>
      <w:spacing w:after="206" w:line="259" w:lineRule="auto"/>
      <w:ind w:left="5" w:firstLine="0"/>
    </w:pPr>
    <w:r>
      <w:rPr>
        <w:rFonts w:ascii="Arial" w:eastAsia="Arial" w:hAnsi="Arial" w:cs="Arial"/>
        <w:sz w:val="16"/>
      </w:rPr>
      <w:t xml:space="preserve">https://www.gov.uk/government/publications/g-cloud-10-call-off-contract          </w:t>
    </w:r>
    <w:r>
      <w:rPr>
        <w:rFonts w:ascii="Arial" w:eastAsia="Arial" w:hAnsi="Arial" w:cs="Arial"/>
        <w:sz w:val="20"/>
      </w:rPr>
      <w:t xml:space="preserve"> </w:t>
    </w:r>
  </w:p>
  <w:p w:rsidR="007D11BB" w:rsidRDefault="004E520F">
    <w:pPr>
      <w:spacing w:after="0" w:line="259" w:lineRule="auto"/>
      <w:ind w:left="5" w:firstLine="0"/>
    </w:pPr>
    <w:r>
      <w:rPr>
        <w:rFonts w:ascii="Arial" w:eastAsia="Arial" w:hAnsi="Arial" w:cs="Arial"/>
        <w:sz w:val="16"/>
      </w:rPr>
      <w:t xml:space="preserve">                                                                                                                                                                                                                      Page </w:t>
    </w:r>
    <w:r>
      <w:fldChar w:fldCharType="begin"/>
    </w:r>
    <w:r>
      <w:instrText xml:space="preserve"> PAGE   \* MERGEFORMAT </w:instrText>
    </w:r>
    <w:r>
      <w:fldChar w:fldCharType="separate"/>
    </w:r>
    <w:r w:rsidR="003E15E1" w:rsidRPr="003E15E1">
      <w:rPr>
        <w:rFonts w:ascii="Arial" w:eastAsia="Arial" w:hAnsi="Arial" w:cs="Arial"/>
        <w:noProof/>
        <w:sz w:val="16"/>
      </w:rPr>
      <w:t>4</w:t>
    </w:r>
    <w:r>
      <w:rPr>
        <w:rFonts w:ascii="Arial" w:eastAsia="Arial" w:hAnsi="Arial" w:cs="Arial"/>
        <w:sz w:val="16"/>
      </w:rPr>
      <w:fldChar w:fldCharType="end"/>
    </w:r>
    <w:r>
      <w:rPr>
        <w:rFonts w:ascii="Arial" w:eastAsia="Arial" w:hAnsi="Arial" w:cs="Arial"/>
        <w:sz w:val="16"/>
      </w:rPr>
      <w:t xml:space="preserve"> of 58</w:t>
    </w: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1BB" w:rsidRDefault="004E520F">
    <w:pPr>
      <w:spacing w:after="214" w:line="259" w:lineRule="auto"/>
      <w:ind w:left="5" w:firstLine="0"/>
    </w:pPr>
    <w:r>
      <w:rPr>
        <w:rFonts w:ascii="Arial" w:eastAsia="Arial" w:hAnsi="Arial" w:cs="Arial"/>
        <w:sz w:val="16"/>
      </w:rPr>
      <w:t xml:space="preserve"> </w:t>
    </w:r>
  </w:p>
  <w:p w:rsidR="007D11BB" w:rsidRDefault="004E520F">
    <w:pPr>
      <w:tabs>
        <w:tab w:val="center" w:pos="4326"/>
        <w:tab w:val="center" w:pos="5046"/>
        <w:tab w:val="center" w:pos="5766"/>
        <w:tab w:val="center" w:pos="6486"/>
        <w:tab w:val="center" w:pos="7206"/>
        <w:tab w:val="center" w:pos="7927"/>
        <w:tab w:val="center" w:pos="8647"/>
        <w:tab w:val="center" w:pos="9367"/>
      </w:tabs>
      <w:spacing w:after="51" w:line="259" w:lineRule="auto"/>
      <w:ind w:left="0" w:firstLine="0"/>
    </w:pPr>
    <w:r>
      <w:rPr>
        <w:rFonts w:ascii="Arial" w:eastAsia="Arial" w:hAnsi="Arial" w:cs="Arial"/>
        <w:sz w:val="16"/>
      </w:rPr>
      <w:t xml:space="preserve">G-Cloud 10 Call-Off Contract – RM1557.10 18-06-2018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7D11BB" w:rsidRDefault="004E520F">
    <w:pPr>
      <w:spacing w:after="206" w:line="259" w:lineRule="auto"/>
      <w:ind w:left="5" w:firstLine="0"/>
    </w:pPr>
    <w:r>
      <w:rPr>
        <w:rFonts w:ascii="Arial" w:eastAsia="Arial" w:hAnsi="Arial" w:cs="Arial"/>
        <w:sz w:val="16"/>
      </w:rPr>
      <w:t xml:space="preserve">https://www.gov.uk/government/publications/g-cloud-10-call-off-contract          </w:t>
    </w:r>
    <w:r>
      <w:rPr>
        <w:rFonts w:ascii="Arial" w:eastAsia="Arial" w:hAnsi="Arial" w:cs="Arial"/>
        <w:sz w:val="20"/>
      </w:rPr>
      <w:t xml:space="preserve"> </w:t>
    </w:r>
  </w:p>
  <w:p w:rsidR="007D11BB" w:rsidRDefault="004E520F">
    <w:pPr>
      <w:spacing w:after="0" w:line="259" w:lineRule="auto"/>
      <w:ind w:left="5" w:firstLine="0"/>
    </w:pPr>
    <w:r>
      <w:rPr>
        <w:rFonts w:ascii="Arial" w:eastAsia="Arial" w:hAnsi="Arial" w:cs="Arial"/>
        <w:sz w:val="16"/>
      </w:rPr>
      <w:t xml:space="preserve">                                                                                                                                                                                                                      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58</w:t>
    </w:r>
    <w:r>
      <w:rPr>
        <w:rFonts w:ascii="Arial" w:eastAsia="Arial" w:hAnsi="Arial" w:cs="Arial"/>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1BB" w:rsidRDefault="004E520F">
    <w:pPr>
      <w:spacing w:after="214" w:line="259" w:lineRule="auto"/>
      <w:ind w:left="5" w:firstLine="0"/>
    </w:pPr>
    <w:r>
      <w:rPr>
        <w:rFonts w:ascii="Arial" w:eastAsia="Arial" w:hAnsi="Arial" w:cs="Arial"/>
        <w:sz w:val="16"/>
      </w:rPr>
      <w:t xml:space="preserve"> </w:t>
    </w:r>
  </w:p>
  <w:p w:rsidR="007D11BB" w:rsidRDefault="004E520F">
    <w:pPr>
      <w:tabs>
        <w:tab w:val="center" w:pos="4326"/>
        <w:tab w:val="center" w:pos="5046"/>
        <w:tab w:val="center" w:pos="5766"/>
        <w:tab w:val="center" w:pos="6486"/>
        <w:tab w:val="center" w:pos="7206"/>
        <w:tab w:val="center" w:pos="7927"/>
        <w:tab w:val="center" w:pos="8647"/>
        <w:tab w:val="center" w:pos="9367"/>
      </w:tabs>
      <w:spacing w:after="51" w:line="259" w:lineRule="auto"/>
      <w:ind w:left="0" w:firstLine="0"/>
    </w:pPr>
    <w:r>
      <w:rPr>
        <w:rFonts w:ascii="Arial" w:eastAsia="Arial" w:hAnsi="Arial" w:cs="Arial"/>
        <w:sz w:val="16"/>
      </w:rPr>
      <w:t xml:space="preserve">G-Cloud 10 Call-Off Contract – RM1557.10 18-06-2018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7D11BB" w:rsidRDefault="004E520F">
    <w:pPr>
      <w:spacing w:after="206" w:line="259" w:lineRule="auto"/>
      <w:ind w:left="5" w:firstLine="0"/>
    </w:pPr>
    <w:r>
      <w:rPr>
        <w:rFonts w:ascii="Arial" w:eastAsia="Arial" w:hAnsi="Arial" w:cs="Arial"/>
        <w:sz w:val="16"/>
      </w:rPr>
      <w:t xml:space="preserve">https://www.gov.uk/government/publications/g-cloud-10-call-off-contract          </w:t>
    </w:r>
    <w:r>
      <w:rPr>
        <w:rFonts w:ascii="Arial" w:eastAsia="Arial" w:hAnsi="Arial" w:cs="Arial"/>
        <w:sz w:val="20"/>
      </w:rPr>
      <w:t xml:space="preserve"> </w:t>
    </w:r>
  </w:p>
  <w:p w:rsidR="007D11BB" w:rsidRDefault="004E520F">
    <w:pPr>
      <w:spacing w:after="0" w:line="259" w:lineRule="auto"/>
      <w:ind w:left="5" w:firstLine="0"/>
      <w:jc w:val="both"/>
    </w:pPr>
    <w:r>
      <w:rPr>
        <w:rFonts w:ascii="Arial" w:eastAsia="Arial" w:hAnsi="Arial" w:cs="Arial"/>
        <w:sz w:val="16"/>
      </w:rPr>
      <w:t xml:space="preserve">                                                                                                                                                                                                                      Page </w:t>
    </w:r>
    <w:r>
      <w:fldChar w:fldCharType="begin"/>
    </w:r>
    <w:r>
      <w:instrText xml:space="preserve"> PAGE   \* MERGEFORMAT </w:instrText>
    </w:r>
    <w:r>
      <w:fldChar w:fldCharType="separate"/>
    </w:r>
    <w:r>
      <w:rPr>
        <w:rFonts w:ascii="Arial" w:eastAsia="Arial" w:hAnsi="Arial" w:cs="Arial"/>
        <w:sz w:val="16"/>
      </w:rPr>
      <w:t>10</w:t>
    </w:r>
    <w:r>
      <w:rPr>
        <w:rFonts w:ascii="Arial" w:eastAsia="Arial" w:hAnsi="Arial" w:cs="Arial"/>
        <w:sz w:val="16"/>
      </w:rPr>
      <w:fldChar w:fldCharType="end"/>
    </w:r>
    <w:r>
      <w:rPr>
        <w:rFonts w:ascii="Arial" w:eastAsia="Arial" w:hAnsi="Arial" w:cs="Arial"/>
        <w:sz w:val="16"/>
      </w:rPr>
      <w:t xml:space="preserve"> of 58</w:t>
    </w:r>
    <w:r>
      <w:rPr>
        <w:rFonts w:ascii="Arial" w:eastAsia="Arial" w:hAnsi="Arial" w:cs="Arial"/>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1BB" w:rsidRDefault="004E520F">
    <w:pPr>
      <w:spacing w:after="214" w:line="259" w:lineRule="auto"/>
      <w:ind w:left="5" w:firstLine="0"/>
    </w:pPr>
    <w:r>
      <w:rPr>
        <w:rFonts w:ascii="Arial" w:eastAsia="Arial" w:hAnsi="Arial" w:cs="Arial"/>
        <w:sz w:val="16"/>
      </w:rPr>
      <w:t xml:space="preserve"> </w:t>
    </w:r>
  </w:p>
  <w:p w:rsidR="007D11BB" w:rsidRDefault="004E520F">
    <w:pPr>
      <w:tabs>
        <w:tab w:val="center" w:pos="4326"/>
        <w:tab w:val="center" w:pos="5046"/>
        <w:tab w:val="center" w:pos="5766"/>
        <w:tab w:val="center" w:pos="6486"/>
        <w:tab w:val="center" w:pos="7206"/>
        <w:tab w:val="center" w:pos="7927"/>
        <w:tab w:val="center" w:pos="8647"/>
        <w:tab w:val="center" w:pos="9367"/>
      </w:tabs>
      <w:spacing w:after="51" w:line="259" w:lineRule="auto"/>
      <w:ind w:left="0" w:firstLine="0"/>
    </w:pPr>
    <w:r>
      <w:rPr>
        <w:rFonts w:ascii="Arial" w:eastAsia="Arial" w:hAnsi="Arial" w:cs="Arial"/>
        <w:sz w:val="16"/>
      </w:rPr>
      <w:t xml:space="preserve">G-Cloud 10 Call-Off Contract – RM1557.10 18-06-2018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7D11BB" w:rsidRDefault="004E520F">
    <w:pPr>
      <w:spacing w:after="206" w:line="259" w:lineRule="auto"/>
      <w:ind w:left="5" w:firstLine="0"/>
    </w:pPr>
    <w:r>
      <w:rPr>
        <w:rFonts w:ascii="Arial" w:eastAsia="Arial" w:hAnsi="Arial" w:cs="Arial"/>
        <w:sz w:val="16"/>
      </w:rPr>
      <w:t xml:space="preserve">https://www.gov.uk/government/publications/g-cloud-10-call-off-contract          </w:t>
    </w:r>
    <w:r>
      <w:rPr>
        <w:rFonts w:ascii="Arial" w:eastAsia="Arial" w:hAnsi="Arial" w:cs="Arial"/>
        <w:sz w:val="20"/>
      </w:rPr>
      <w:t xml:space="preserve"> </w:t>
    </w:r>
  </w:p>
  <w:p w:rsidR="007D11BB" w:rsidRDefault="004E520F">
    <w:pPr>
      <w:spacing w:after="0" w:line="259" w:lineRule="auto"/>
      <w:ind w:left="5" w:firstLine="0"/>
      <w:jc w:val="both"/>
    </w:pPr>
    <w:r>
      <w:rPr>
        <w:rFonts w:ascii="Arial" w:eastAsia="Arial" w:hAnsi="Arial" w:cs="Arial"/>
        <w:sz w:val="16"/>
      </w:rPr>
      <w:t xml:space="preserve">                                                                                                                                                                                                                      Page </w:t>
    </w:r>
    <w:r>
      <w:fldChar w:fldCharType="begin"/>
    </w:r>
    <w:r>
      <w:instrText xml:space="preserve"> PAGE   \* MERGEFORMAT </w:instrText>
    </w:r>
    <w:r>
      <w:fldChar w:fldCharType="separate"/>
    </w:r>
    <w:r w:rsidR="003E15E1" w:rsidRPr="003E15E1">
      <w:rPr>
        <w:rFonts w:ascii="Arial" w:eastAsia="Arial" w:hAnsi="Arial" w:cs="Arial"/>
        <w:noProof/>
        <w:sz w:val="16"/>
      </w:rPr>
      <w:t>50</w:t>
    </w:r>
    <w:r>
      <w:rPr>
        <w:rFonts w:ascii="Arial" w:eastAsia="Arial" w:hAnsi="Arial" w:cs="Arial"/>
        <w:sz w:val="16"/>
      </w:rPr>
      <w:fldChar w:fldCharType="end"/>
    </w:r>
    <w:r>
      <w:rPr>
        <w:rFonts w:ascii="Arial" w:eastAsia="Arial" w:hAnsi="Arial" w:cs="Arial"/>
        <w:sz w:val="16"/>
      </w:rPr>
      <w:t xml:space="preserve"> of 58</w:t>
    </w:r>
    <w:r>
      <w:rPr>
        <w:rFonts w:ascii="Arial" w:eastAsia="Arial" w:hAnsi="Arial" w:cs="Arial"/>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1BB" w:rsidRDefault="004E520F">
    <w:pPr>
      <w:spacing w:after="214" w:line="259" w:lineRule="auto"/>
      <w:ind w:left="5" w:firstLine="0"/>
    </w:pPr>
    <w:r>
      <w:rPr>
        <w:rFonts w:ascii="Arial" w:eastAsia="Arial" w:hAnsi="Arial" w:cs="Arial"/>
        <w:sz w:val="16"/>
      </w:rPr>
      <w:t xml:space="preserve"> </w:t>
    </w:r>
  </w:p>
  <w:p w:rsidR="007D11BB" w:rsidRDefault="004E520F">
    <w:pPr>
      <w:tabs>
        <w:tab w:val="center" w:pos="4326"/>
        <w:tab w:val="center" w:pos="5046"/>
        <w:tab w:val="center" w:pos="5766"/>
        <w:tab w:val="center" w:pos="6486"/>
        <w:tab w:val="center" w:pos="7206"/>
        <w:tab w:val="center" w:pos="7927"/>
        <w:tab w:val="center" w:pos="8647"/>
        <w:tab w:val="center" w:pos="9367"/>
      </w:tabs>
      <w:spacing w:after="51" w:line="259" w:lineRule="auto"/>
      <w:ind w:left="0" w:firstLine="0"/>
    </w:pPr>
    <w:r>
      <w:rPr>
        <w:rFonts w:ascii="Arial" w:eastAsia="Arial" w:hAnsi="Arial" w:cs="Arial"/>
        <w:sz w:val="16"/>
      </w:rPr>
      <w:t xml:space="preserve">G-Cloud 10 Call-Off Contract – RM1557.10 18-06-2018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7D11BB" w:rsidRDefault="004E520F">
    <w:pPr>
      <w:spacing w:after="206" w:line="259" w:lineRule="auto"/>
      <w:ind w:left="5" w:firstLine="0"/>
    </w:pPr>
    <w:r>
      <w:rPr>
        <w:rFonts w:ascii="Arial" w:eastAsia="Arial" w:hAnsi="Arial" w:cs="Arial"/>
        <w:sz w:val="16"/>
      </w:rPr>
      <w:t xml:space="preserve">https://www.gov.uk/government/publications/g-cloud-10-call-off-contract          </w:t>
    </w:r>
    <w:r>
      <w:rPr>
        <w:rFonts w:ascii="Arial" w:eastAsia="Arial" w:hAnsi="Arial" w:cs="Arial"/>
        <w:sz w:val="20"/>
      </w:rPr>
      <w:t xml:space="preserve"> </w:t>
    </w:r>
  </w:p>
  <w:p w:rsidR="007D11BB" w:rsidRDefault="004E520F">
    <w:pPr>
      <w:spacing w:after="0" w:line="259" w:lineRule="auto"/>
      <w:ind w:left="5" w:firstLine="0"/>
      <w:jc w:val="both"/>
    </w:pPr>
    <w:r>
      <w:rPr>
        <w:rFonts w:ascii="Arial" w:eastAsia="Arial" w:hAnsi="Arial" w:cs="Arial"/>
        <w:sz w:val="16"/>
      </w:rPr>
      <w:t xml:space="preserve">                                                                                                                                                                                                                      Page </w:t>
    </w:r>
    <w:r>
      <w:fldChar w:fldCharType="begin"/>
    </w:r>
    <w:r>
      <w:instrText xml:space="preserve"> PAGE   \* MERGEFORMAT </w:instrText>
    </w:r>
    <w:r>
      <w:fldChar w:fldCharType="separate"/>
    </w:r>
    <w:r>
      <w:rPr>
        <w:rFonts w:ascii="Arial" w:eastAsia="Arial" w:hAnsi="Arial" w:cs="Arial"/>
        <w:sz w:val="16"/>
      </w:rPr>
      <w:t>10</w:t>
    </w:r>
    <w:r>
      <w:rPr>
        <w:rFonts w:ascii="Arial" w:eastAsia="Arial" w:hAnsi="Arial" w:cs="Arial"/>
        <w:sz w:val="16"/>
      </w:rPr>
      <w:fldChar w:fldCharType="end"/>
    </w:r>
    <w:r>
      <w:rPr>
        <w:rFonts w:ascii="Arial" w:eastAsia="Arial" w:hAnsi="Arial" w:cs="Arial"/>
        <w:sz w:val="16"/>
      </w:rPr>
      <w:t xml:space="preserve"> of 58</w:t>
    </w: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3DC8" w:rsidRDefault="00933DC8">
      <w:pPr>
        <w:spacing w:after="0" w:line="240" w:lineRule="auto"/>
      </w:pPr>
      <w:r>
        <w:separator/>
      </w:r>
    </w:p>
  </w:footnote>
  <w:footnote w:type="continuationSeparator" w:id="0">
    <w:p w:rsidR="00933DC8" w:rsidRDefault="00933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5E1" w:rsidRDefault="003E15E1" w:rsidP="003E15E1">
    <w:pPr>
      <w:pStyle w:val="Header"/>
      <w:jc w:val="right"/>
    </w:pPr>
    <w:r>
      <w:t>Redacted under Section 40 of the FOI Act (2000)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0A5D"/>
    <w:multiLevelType w:val="hybridMultilevel"/>
    <w:tmpl w:val="73A29924"/>
    <w:lvl w:ilvl="0" w:tplc="7D943110">
      <w:start w:val="1"/>
      <w:numFmt w:val="bullet"/>
      <w:lvlText w:val=""/>
      <w:lvlJc w:val="left"/>
      <w:pPr>
        <w:ind w:left="7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B9545AE8">
      <w:start w:val="1"/>
      <w:numFmt w:val="bullet"/>
      <w:lvlText w:val="o"/>
      <w:lvlJc w:val="left"/>
      <w:pPr>
        <w:ind w:left="14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EA78BEFA">
      <w:start w:val="1"/>
      <w:numFmt w:val="bullet"/>
      <w:lvlText w:val="▪"/>
      <w:lvlJc w:val="left"/>
      <w:pPr>
        <w:ind w:left="21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2F30A2AC">
      <w:start w:val="1"/>
      <w:numFmt w:val="bullet"/>
      <w:lvlText w:val="•"/>
      <w:lvlJc w:val="left"/>
      <w:pPr>
        <w:ind w:left="28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38AA4892">
      <w:start w:val="1"/>
      <w:numFmt w:val="bullet"/>
      <w:lvlText w:val="o"/>
      <w:lvlJc w:val="left"/>
      <w:pPr>
        <w:ind w:left="36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8CC4C392">
      <w:start w:val="1"/>
      <w:numFmt w:val="bullet"/>
      <w:lvlText w:val="▪"/>
      <w:lvlJc w:val="left"/>
      <w:pPr>
        <w:ind w:left="43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3C9A3BCC">
      <w:start w:val="1"/>
      <w:numFmt w:val="bullet"/>
      <w:lvlText w:val="•"/>
      <w:lvlJc w:val="left"/>
      <w:pPr>
        <w:ind w:left="50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8B0828AC">
      <w:start w:val="1"/>
      <w:numFmt w:val="bullet"/>
      <w:lvlText w:val="o"/>
      <w:lvlJc w:val="left"/>
      <w:pPr>
        <w:ind w:left="57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94447D08">
      <w:start w:val="1"/>
      <w:numFmt w:val="bullet"/>
      <w:lvlText w:val="▪"/>
      <w:lvlJc w:val="left"/>
      <w:pPr>
        <w:ind w:left="64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E20527"/>
    <w:multiLevelType w:val="hybridMultilevel"/>
    <w:tmpl w:val="BB7CF9F6"/>
    <w:lvl w:ilvl="0" w:tplc="EDA228E0">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4A36E0">
      <w:start w:val="1"/>
      <w:numFmt w:val="bullet"/>
      <w:lvlText w:val="o"/>
      <w:lvlJc w:val="left"/>
      <w:pPr>
        <w:ind w:left="14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D42A82">
      <w:start w:val="1"/>
      <w:numFmt w:val="bullet"/>
      <w:lvlText w:val="▪"/>
      <w:lvlJc w:val="left"/>
      <w:pPr>
        <w:ind w:left="21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DC8A98">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12DEDC">
      <w:start w:val="1"/>
      <w:numFmt w:val="bullet"/>
      <w:lvlText w:val="o"/>
      <w:lvlJc w:val="left"/>
      <w:pPr>
        <w:ind w:left="36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7E12BC">
      <w:start w:val="1"/>
      <w:numFmt w:val="bullet"/>
      <w:lvlText w:val="▪"/>
      <w:lvlJc w:val="left"/>
      <w:pPr>
        <w:ind w:left="43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2AB87E">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323F2C">
      <w:start w:val="1"/>
      <w:numFmt w:val="bullet"/>
      <w:lvlText w:val="o"/>
      <w:lvlJc w:val="left"/>
      <w:pPr>
        <w:ind w:left="57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E63DE0">
      <w:start w:val="1"/>
      <w:numFmt w:val="bullet"/>
      <w:lvlText w:val="▪"/>
      <w:lvlJc w:val="left"/>
      <w:pPr>
        <w:ind w:left="64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2F28D9"/>
    <w:multiLevelType w:val="hybridMultilevel"/>
    <w:tmpl w:val="9F0AE86C"/>
    <w:lvl w:ilvl="0" w:tplc="24506294">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AEB8E8">
      <w:start w:val="1"/>
      <w:numFmt w:val="bullet"/>
      <w:lvlText w:val="o"/>
      <w:lvlJc w:val="left"/>
      <w:pPr>
        <w:ind w:left="1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ACC65C0">
      <w:start w:val="1"/>
      <w:numFmt w:val="bullet"/>
      <w:lvlText w:val="▪"/>
      <w:lvlJc w:val="left"/>
      <w:pPr>
        <w:ind w:left="2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FAC790">
      <w:start w:val="1"/>
      <w:numFmt w:val="bullet"/>
      <w:lvlText w:val="•"/>
      <w:lvlJc w:val="left"/>
      <w:pPr>
        <w:ind w:left="2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16F9C6">
      <w:start w:val="1"/>
      <w:numFmt w:val="bullet"/>
      <w:lvlText w:val="o"/>
      <w:lvlJc w:val="left"/>
      <w:pPr>
        <w:ind w:left="37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EF66F18">
      <w:start w:val="1"/>
      <w:numFmt w:val="bullet"/>
      <w:lvlText w:val="▪"/>
      <w:lvlJc w:val="left"/>
      <w:pPr>
        <w:ind w:left="44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9EEA02">
      <w:start w:val="1"/>
      <w:numFmt w:val="bullet"/>
      <w:lvlText w:val="•"/>
      <w:lvlJc w:val="left"/>
      <w:pPr>
        <w:ind w:left="5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24882C">
      <w:start w:val="1"/>
      <w:numFmt w:val="bullet"/>
      <w:lvlText w:val="o"/>
      <w:lvlJc w:val="left"/>
      <w:pPr>
        <w:ind w:left="5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2C22F4">
      <w:start w:val="1"/>
      <w:numFmt w:val="bullet"/>
      <w:lvlText w:val="▪"/>
      <w:lvlJc w:val="left"/>
      <w:pPr>
        <w:ind w:left="65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F486203"/>
    <w:multiLevelType w:val="hybridMultilevel"/>
    <w:tmpl w:val="9894FADA"/>
    <w:lvl w:ilvl="0" w:tplc="1274746A">
      <w:start w:val="1"/>
      <w:numFmt w:val="bullet"/>
      <w:lvlText w:val=""/>
      <w:lvlJc w:val="left"/>
      <w:pPr>
        <w:ind w:left="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A94C650">
      <w:start w:val="1"/>
      <w:numFmt w:val="bullet"/>
      <w:lvlText w:val="o"/>
      <w:lvlJc w:val="left"/>
      <w:pPr>
        <w:ind w:left="15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918F6BC">
      <w:start w:val="1"/>
      <w:numFmt w:val="bullet"/>
      <w:lvlText w:val="▪"/>
      <w:lvlJc w:val="left"/>
      <w:pPr>
        <w:ind w:left="22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E162C64">
      <w:start w:val="1"/>
      <w:numFmt w:val="bullet"/>
      <w:lvlText w:val="•"/>
      <w:lvlJc w:val="left"/>
      <w:pPr>
        <w:ind w:left="29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D16E7F8">
      <w:start w:val="1"/>
      <w:numFmt w:val="bullet"/>
      <w:lvlText w:val="o"/>
      <w:lvlJc w:val="left"/>
      <w:pPr>
        <w:ind w:left="36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D0A5526">
      <w:start w:val="1"/>
      <w:numFmt w:val="bullet"/>
      <w:lvlText w:val="▪"/>
      <w:lvlJc w:val="left"/>
      <w:pPr>
        <w:ind w:left="44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22684C0">
      <w:start w:val="1"/>
      <w:numFmt w:val="bullet"/>
      <w:lvlText w:val="•"/>
      <w:lvlJc w:val="left"/>
      <w:pPr>
        <w:ind w:left="51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18623FA">
      <w:start w:val="1"/>
      <w:numFmt w:val="bullet"/>
      <w:lvlText w:val="o"/>
      <w:lvlJc w:val="left"/>
      <w:pPr>
        <w:ind w:left="58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6B8E332">
      <w:start w:val="1"/>
      <w:numFmt w:val="bullet"/>
      <w:lvlText w:val="▪"/>
      <w:lvlJc w:val="left"/>
      <w:pPr>
        <w:ind w:left="65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360A54"/>
    <w:multiLevelType w:val="hybridMultilevel"/>
    <w:tmpl w:val="C5B8B016"/>
    <w:lvl w:ilvl="0" w:tplc="DDC090EC">
      <w:start w:val="1"/>
      <w:numFmt w:val="decimal"/>
      <w:lvlText w:val="%1"/>
      <w:lvlJc w:val="left"/>
      <w:pPr>
        <w:ind w:left="3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520272A6">
      <w:start w:val="1"/>
      <w:numFmt w:val="lowerLetter"/>
      <w:lvlText w:val="%2"/>
      <w:lvlJc w:val="left"/>
      <w:pPr>
        <w:ind w:left="8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E24CFFD6">
      <w:start w:val="1"/>
      <w:numFmt w:val="lowerRoman"/>
      <w:lvlText w:val="%3"/>
      <w:lvlJc w:val="left"/>
      <w:pPr>
        <w:ind w:left="13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58787088">
      <w:start w:val="1"/>
      <w:numFmt w:val="lowerRoman"/>
      <w:lvlRestart w:val="0"/>
      <w:lvlText w:val="%4)"/>
      <w:lvlJc w:val="left"/>
      <w:pPr>
        <w:ind w:left="1654"/>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88F81808">
      <w:start w:val="1"/>
      <w:numFmt w:val="lowerLetter"/>
      <w:lvlText w:val="%5"/>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6076EA80">
      <w:start w:val="1"/>
      <w:numFmt w:val="lowerRoman"/>
      <w:lvlText w:val="%6"/>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BBB805EE">
      <w:start w:val="1"/>
      <w:numFmt w:val="decimal"/>
      <w:lvlText w:val="%7"/>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EC401BAC">
      <w:start w:val="1"/>
      <w:numFmt w:val="lowerLetter"/>
      <w:lvlText w:val="%8"/>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069E34AC">
      <w:start w:val="1"/>
      <w:numFmt w:val="lowerRoman"/>
      <w:lvlText w:val="%9"/>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280D37"/>
    <w:multiLevelType w:val="hybridMultilevel"/>
    <w:tmpl w:val="72B88404"/>
    <w:lvl w:ilvl="0" w:tplc="0DD62090">
      <w:start w:val="1"/>
      <w:numFmt w:val="bullet"/>
      <w:lvlText w:val=""/>
      <w:lvlJc w:val="left"/>
      <w:pPr>
        <w:ind w:left="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8024D1C">
      <w:start w:val="1"/>
      <w:numFmt w:val="bullet"/>
      <w:lvlText w:val="o"/>
      <w:lvlJc w:val="left"/>
      <w:pPr>
        <w:ind w:left="15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AB84C60">
      <w:start w:val="1"/>
      <w:numFmt w:val="bullet"/>
      <w:lvlText w:val="▪"/>
      <w:lvlJc w:val="left"/>
      <w:pPr>
        <w:ind w:left="22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9762B52">
      <w:start w:val="1"/>
      <w:numFmt w:val="bullet"/>
      <w:lvlText w:val="•"/>
      <w:lvlJc w:val="left"/>
      <w:pPr>
        <w:ind w:left="29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5465C78">
      <w:start w:val="1"/>
      <w:numFmt w:val="bullet"/>
      <w:lvlText w:val="o"/>
      <w:lvlJc w:val="left"/>
      <w:pPr>
        <w:ind w:left="36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E5890DE">
      <w:start w:val="1"/>
      <w:numFmt w:val="bullet"/>
      <w:lvlText w:val="▪"/>
      <w:lvlJc w:val="left"/>
      <w:pPr>
        <w:ind w:left="44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248BE14">
      <w:start w:val="1"/>
      <w:numFmt w:val="bullet"/>
      <w:lvlText w:val="•"/>
      <w:lvlJc w:val="left"/>
      <w:pPr>
        <w:ind w:left="51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6DAC9D0">
      <w:start w:val="1"/>
      <w:numFmt w:val="bullet"/>
      <w:lvlText w:val="o"/>
      <w:lvlJc w:val="left"/>
      <w:pPr>
        <w:ind w:left="58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5000CF8">
      <w:start w:val="1"/>
      <w:numFmt w:val="bullet"/>
      <w:lvlText w:val="▪"/>
      <w:lvlJc w:val="left"/>
      <w:pPr>
        <w:ind w:left="65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CA75868"/>
    <w:multiLevelType w:val="multilevel"/>
    <w:tmpl w:val="AA2A770C"/>
    <w:lvl w:ilvl="0">
      <w:start w:val="1"/>
      <w:numFmt w:val="decimal"/>
      <w:lvlText w:val="%1."/>
      <w:lvlJc w:val="left"/>
      <w:pPr>
        <w:ind w:left="238"/>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1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8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6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3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0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7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F2A5439"/>
    <w:multiLevelType w:val="hybridMultilevel"/>
    <w:tmpl w:val="C49620CA"/>
    <w:lvl w:ilvl="0" w:tplc="6C4C35A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E6AA8C">
      <w:start w:val="1"/>
      <w:numFmt w:val="bullet"/>
      <w:lvlText w:val="o"/>
      <w:lvlJc w:val="left"/>
      <w:pPr>
        <w:ind w:left="1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94E1F4">
      <w:start w:val="1"/>
      <w:numFmt w:val="bullet"/>
      <w:lvlText w:val="▪"/>
      <w:lvlJc w:val="left"/>
      <w:pPr>
        <w:ind w:left="2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68556E">
      <w:start w:val="1"/>
      <w:numFmt w:val="bullet"/>
      <w:lvlText w:val="•"/>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EE7836">
      <w:start w:val="1"/>
      <w:numFmt w:val="bullet"/>
      <w:lvlText w:val="o"/>
      <w:lvlJc w:val="left"/>
      <w:pPr>
        <w:ind w:left="3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7EFC78">
      <w:start w:val="1"/>
      <w:numFmt w:val="bullet"/>
      <w:lvlText w:val="▪"/>
      <w:lvlJc w:val="left"/>
      <w:pPr>
        <w:ind w:left="4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0A1042">
      <w:start w:val="1"/>
      <w:numFmt w:val="bullet"/>
      <w:lvlText w:val="•"/>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FE0024">
      <w:start w:val="1"/>
      <w:numFmt w:val="bullet"/>
      <w:lvlText w:val="o"/>
      <w:lvlJc w:val="left"/>
      <w:pPr>
        <w:ind w:left="5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3AA116">
      <w:start w:val="1"/>
      <w:numFmt w:val="bullet"/>
      <w:lvlText w:val="▪"/>
      <w:lvlJc w:val="left"/>
      <w:pPr>
        <w:ind w:left="6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16E33E9"/>
    <w:multiLevelType w:val="hybridMultilevel"/>
    <w:tmpl w:val="712C2A84"/>
    <w:lvl w:ilvl="0" w:tplc="69AEC33C">
      <w:start w:val="1"/>
      <w:numFmt w:val="bullet"/>
      <w:lvlText w:val=""/>
      <w:lvlJc w:val="left"/>
      <w:pPr>
        <w:ind w:left="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26AD63A">
      <w:start w:val="1"/>
      <w:numFmt w:val="bullet"/>
      <w:lvlText w:val="o"/>
      <w:lvlJc w:val="left"/>
      <w:pPr>
        <w:ind w:left="15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ECA4996">
      <w:start w:val="1"/>
      <w:numFmt w:val="bullet"/>
      <w:lvlText w:val="▪"/>
      <w:lvlJc w:val="left"/>
      <w:pPr>
        <w:ind w:left="22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BAAB28C">
      <w:start w:val="1"/>
      <w:numFmt w:val="bullet"/>
      <w:lvlText w:val="•"/>
      <w:lvlJc w:val="left"/>
      <w:pPr>
        <w:ind w:left="29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9CAEF02">
      <w:start w:val="1"/>
      <w:numFmt w:val="bullet"/>
      <w:lvlText w:val="o"/>
      <w:lvlJc w:val="left"/>
      <w:pPr>
        <w:ind w:left="36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532D572">
      <w:start w:val="1"/>
      <w:numFmt w:val="bullet"/>
      <w:lvlText w:val="▪"/>
      <w:lvlJc w:val="left"/>
      <w:pPr>
        <w:ind w:left="44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0DA2D0A">
      <w:start w:val="1"/>
      <w:numFmt w:val="bullet"/>
      <w:lvlText w:val="•"/>
      <w:lvlJc w:val="left"/>
      <w:pPr>
        <w:ind w:left="51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E88A3A6">
      <w:start w:val="1"/>
      <w:numFmt w:val="bullet"/>
      <w:lvlText w:val="o"/>
      <w:lvlJc w:val="left"/>
      <w:pPr>
        <w:ind w:left="58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0AC5586">
      <w:start w:val="1"/>
      <w:numFmt w:val="bullet"/>
      <w:lvlText w:val="▪"/>
      <w:lvlJc w:val="left"/>
      <w:pPr>
        <w:ind w:left="65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1DB069D"/>
    <w:multiLevelType w:val="hybridMultilevel"/>
    <w:tmpl w:val="D060B03C"/>
    <w:lvl w:ilvl="0" w:tplc="9B1C1906">
      <w:start w:val="1"/>
      <w:numFmt w:val="bullet"/>
      <w:lvlText w:val=""/>
      <w:lvlJc w:val="left"/>
      <w:pPr>
        <w:ind w:left="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D7E3E12">
      <w:start w:val="1"/>
      <w:numFmt w:val="bullet"/>
      <w:lvlText w:val="o"/>
      <w:lvlJc w:val="left"/>
      <w:pPr>
        <w:ind w:left="15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A1C6EA6">
      <w:start w:val="1"/>
      <w:numFmt w:val="bullet"/>
      <w:lvlText w:val="▪"/>
      <w:lvlJc w:val="left"/>
      <w:pPr>
        <w:ind w:left="22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3280D54">
      <w:start w:val="1"/>
      <w:numFmt w:val="bullet"/>
      <w:lvlText w:val="•"/>
      <w:lvlJc w:val="left"/>
      <w:pPr>
        <w:ind w:left="29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5FA1B8A">
      <w:start w:val="1"/>
      <w:numFmt w:val="bullet"/>
      <w:lvlText w:val="o"/>
      <w:lvlJc w:val="left"/>
      <w:pPr>
        <w:ind w:left="36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D58088E">
      <w:start w:val="1"/>
      <w:numFmt w:val="bullet"/>
      <w:lvlText w:val="▪"/>
      <w:lvlJc w:val="left"/>
      <w:pPr>
        <w:ind w:left="44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796F7CE">
      <w:start w:val="1"/>
      <w:numFmt w:val="bullet"/>
      <w:lvlText w:val="•"/>
      <w:lvlJc w:val="left"/>
      <w:pPr>
        <w:ind w:left="51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FA4AC2E">
      <w:start w:val="1"/>
      <w:numFmt w:val="bullet"/>
      <w:lvlText w:val="o"/>
      <w:lvlJc w:val="left"/>
      <w:pPr>
        <w:ind w:left="58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A9A03FC">
      <w:start w:val="1"/>
      <w:numFmt w:val="bullet"/>
      <w:lvlText w:val="▪"/>
      <w:lvlJc w:val="left"/>
      <w:pPr>
        <w:ind w:left="65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C904D6F"/>
    <w:multiLevelType w:val="hybridMultilevel"/>
    <w:tmpl w:val="B2BA1878"/>
    <w:lvl w:ilvl="0" w:tplc="2340B69E">
      <w:start w:val="1"/>
      <w:numFmt w:val="bullet"/>
      <w:lvlText w:val=""/>
      <w:lvlJc w:val="left"/>
      <w:pPr>
        <w:ind w:left="3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3E0C80A">
      <w:start w:val="1"/>
      <w:numFmt w:val="bullet"/>
      <w:lvlText w:val="o"/>
      <w:lvlJc w:val="left"/>
      <w:pPr>
        <w:ind w:left="15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A0AB230">
      <w:start w:val="1"/>
      <w:numFmt w:val="bullet"/>
      <w:lvlText w:val="▪"/>
      <w:lvlJc w:val="left"/>
      <w:pPr>
        <w:ind w:left="22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7E23D6C">
      <w:start w:val="1"/>
      <w:numFmt w:val="bullet"/>
      <w:lvlText w:val="•"/>
      <w:lvlJc w:val="left"/>
      <w:pPr>
        <w:ind w:left="29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8CAF7A4">
      <w:start w:val="1"/>
      <w:numFmt w:val="bullet"/>
      <w:lvlText w:val="o"/>
      <w:lvlJc w:val="left"/>
      <w:pPr>
        <w:ind w:left="36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06E6F42">
      <w:start w:val="1"/>
      <w:numFmt w:val="bullet"/>
      <w:lvlText w:val="▪"/>
      <w:lvlJc w:val="left"/>
      <w:pPr>
        <w:ind w:left="44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0E61E16">
      <w:start w:val="1"/>
      <w:numFmt w:val="bullet"/>
      <w:lvlText w:val="•"/>
      <w:lvlJc w:val="left"/>
      <w:pPr>
        <w:ind w:left="51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39692F4">
      <w:start w:val="1"/>
      <w:numFmt w:val="bullet"/>
      <w:lvlText w:val="o"/>
      <w:lvlJc w:val="left"/>
      <w:pPr>
        <w:ind w:left="58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506E3B6">
      <w:start w:val="1"/>
      <w:numFmt w:val="bullet"/>
      <w:lvlText w:val="▪"/>
      <w:lvlJc w:val="left"/>
      <w:pPr>
        <w:ind w:left="65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1C0873"/>
    <w:multiLevelType w:val="hybridMultilevel"/>
    <w:tmpl w:val="9A7C02BA"/>
    <w:lvl w:ilvl="0" w:tplc="E2D6E596">
      <w:start w:val="1"/>
      <w:numFmt w:val="upperLetter"/>
      <w:lvlText w:val="(%1)"/>
      <w:lvlJc w:val="left"/>
      <w:pPr>
        <w:ind w:left="72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60C28F42">
      <w:start w:val="1"/>
      <w:numFmt w:val="lowerLetter"/>
      <w:lvlText w:val="%2"/>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82429E84">
      <w:start w:val="1"/>
      <w:numFmt w:val="lowerRoman"/>
      <w:lvlText w:val="%3"/>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B92C4942">
      <w:start w:val="1"/>
      <w:numFmt w:val="decimal"/>
      <w:lvlText w:val="%4"/>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C0DAFE5A">
      <w:start w:val="1"/>
      <w:numFmt w:val="lowerLetter"/>
      <w:lvlText w:val="%5"/>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8BD611A2">
      <w:start w:val="1"/>
      <w:numFmt w:val="lowerRoman"/>
      <w:lvlText w:val="%6"/>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D7D6B956">
      <w:start w:val="1"/>
      <w:numFmt w:val="decimal"/>
      <w:lvlText w:val="%7"/>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9CB6A36C">
      <w:start w:val="1"/>
      <w:numFmt w:val="lowerLetter"/>
      <w:lvlText w:val="%8"/>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F3324EB6">
      <w:start w:val="1"/>
      <w:numFmt w:val="lowerRoman"/>
      <w:lvlText w:val="%9"/>
      <w:lvlJc w:val="left"/>
      <w:pPr>
        <w:ind w:left="61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9D0107F"/>
    <w:multiLevelType w:val="hybridMultilevel"/>
    <w:tmpl w:val="00005222"/>
    <w:lvl w:ilvl="0" w:tplc="59184D0E">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1AC5DE">
      <w:start w:val="1"/>
      <w:numFmt w:val="bullet"/>
      <w:lvlText w:val="o"/>
      <w:lvlJc w:val="left"/>
      <w:pPr>
        <w:ind w:left="1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256EA04">
      <w:start w:val="1"/>
      <w:numFmt w:val="bullet"/>
      <w:lvlText w:val="▪"/>
      <w:lvlJc w:val="left"/>
      <w:pPr>
        <w:ind w:left="2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EE07E62">
      <w:start w:val="1"/>
      <w:numFmt w:val="bullet"/>
      <w:lvlText w:val="•"/>
      <w:lvlJc w:val="left"/>
      <w:pPr>
        <w:ind w:left="2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40D2CC">
      <w:start w:val="1"/>
      <w:numFmt w:val="bullet"/>
      <w:lvlText w:val="o"/>
      <w:lvlJc w:val="left"/>
      <w:pPr>
        <w:ind w:left="37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D9C92F0">
      <w:start w:val="1"/>
      <w:numFmt w:val="bullet"/>
      <w:lvlText w:val="▪"/>
      <w:lvlJc w:val="left"/>
      <w:pPr>
        <w:ind w:left="44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0E3156">
      <w:start w:val="1"/>
      <w:numFmt w:val="bullet"/>
      <w:lvlText w:val="•"/>
      <w:lvlJc w:val="left"/>
      <w:pPr>
        <w:ind w:left="5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BEEBC0">
      <w:start w:val="1"/>
      <w:numFmt w:val="bullet"/>
      <w:lvlText w:val="o"/>
      <w:lvlJc w:val="left"/>
      <w:pPr>
        <w:ind w:left="5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8FADA38">
      <w:start w:val="1"/>
      <w:numFmt w:val="bullet"/>
      <w:lvlText w:val="▪"/>
      <w:lvlJc w:val="left"/>
      <w:pPr>
        <w:ind w:left="65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A103ACE"/>
    <w:multiLevelType w:val="hybridMultilevel"/>
    <w:tmpl w:val="58EA9CBA"/>
    <w:lvl w:ilvl="0" w:tplc="F4248BF0">
      <w:start w:val="1"/>
      <w:numFmt w:val="bullet"/>
      <w:lvlText w:val=""/>
      <w:lvlJc w:val="left"/>
      <w:pPr>
        <w:ind w:left="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8D6565A">
      <w:start w:val="1"/>
      <w:numFmt w:val="bullet"/>
      <w:lvlText w:val="o"/>
      <w:lvlJc w:val="left"/>
      <w:pPr>
        <w:ind w:left="15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F4ACA5C">
      <w:start w:val="1"/>
      <w:numFmt w:val="bullet"/>
      <w:lvlText w:val="▪"/>
      <w:lvlJc w:val="left"/>
      <w:pPr>
        <w:ind w:left="22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03620DC">
      <w:start w:val="1"/>
      <w:numFmt w:val="bullet"/>
      <w:lvlText w:val="•"/>
      <w:lvlJc w:val="left"/>
      <w:pPr>
        <w:ind w:left="29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A107138">
      <w:start w:val="1"/>
      <w:numFmt w:val="bullet"/>
      <w:lvlText w:val="o"/>
      <w:lvlJc w:val="left"/>
      <w:pPr>
        <w:ind w:left="36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254B346">
      <w:start w:val="1"/>
      <w:numFmt w:val="bullet"/>
      <w:lvlText w:val="▪"/>
      <w:lvlJc w:val="left"/>
      <w:pPr>
        <w:ind w:left="44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C18DF0C">
      <w:start w:val="1"/>
      <w:numFmt w:val="bullet"/>
      <w:lvlText w:val="•"/>
      <w:lvlJc w:val="left"/>
      <w:pPr>
        <w:ind w:left="51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2883774">
      <w:start w:val="1"/>
      <w:numFmt w:val="bullet"/>
      <w:lvlText w:val="o"/>
      <w:lvlJc w:val="left"/>
      <w:pPr>
        <w:ind w:left="58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EEAEE72">
      <w:start w:val="1"/>
      <w:numFmt w:val="bullet"/>
      <w:lvlText w:val="▪"/>
      <w:lvlJc w:val="left"/>
      <w:pPr>
        <w:ind w:left="65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BD62DE6"/>
    <w:multiLevelType w:val="hybridMultilevel"/>
    <w:tmpl w:val="F5C4FAF6"/>
    <w:lvl w:ilvl="0" w:tplc="5712A6DE">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E22D04">
      <w:start w:val="1"/>
      <w:numFmt w:val="bullet"/>
      <w:lvlText w:val="o"/>
      <w:lvlJc w:val="left"/>
      <w:pPr>
        <w:ind w:left="1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EA229D8">
      <w:start w:val="1"/>
      <w:numFmt w:val="bullet"/>
      <w:lvlText w:val="▪"/>
      <w:lvlJc w:val="left"/>
      <w:pPr>
        <w:ind w:left="2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BC6F0E">
      <w:start w:val="1"/>
      <w:numFmt w:val="bullet"/>
      <w:lvlText w:val="•"/>
      <w:lvlJc w:val="left"/>
      <w:pPr>
        <w:ind w:left="2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B400F4">
      <w:start w:val="1"/>
      <w:numFmt w:val="bullet"/>
      <w:lvlText w:val="o"/>
      <w:lvlJc w:val="left"/>
      <w:pPr>
        <w:ind w:left="37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33EA5C2">
      <w:start w:val="1"/>
      <w:numFmt w:val="bullet"/>
      <w:lvlText w:val="▪"/>
      <w:lvlJc w:val="left"/>
      <w:pPr>
        <w:ind w:left="44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DE8731A">
      <w:start w:val="1"/>
      <w:numFmt w:val="bullet"/>
      <w:lvlText w:val="•"/>
      <w:lvlJc w:val="left"/>
      <w:pPr>
        <w:ind w:left="5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F2B57A">
      <w:start w:val="1"/>
      <w:numFmt w:val="bullet"/>
      <w:lvlText w:val="o"/>
      <w:lvlJc w:val="left"/>
      <w:pPr>
        <w:ind w:left="5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97A580E">
      <w:start w:val="1"/>
      <w:numFmt w:val="bullet"/>
      <w:lvlText w:val="▪"/>
      <w:lvlJc w:val="left"/>
      <w:pPr>
        <w:ind w:left="65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F9D3D02"/>
    <w:multiLevelType w:val="hybridMultilevel"/>
    <w:tmpl w:val="740ECC04"/>
    <w:lvl w:ilvl="0" w:tplc="5D04E4C8">
      <w:start w:val="1"/>
      <w:numFmt w:val="bullet"/>
      <w:lvlText w:val=""/>
      <w:lvlJc w:val="left"/>
      <w:pPr>
        <w:ind w:left="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DA00FFE">
      <w:start w:val="1"/>
      <w:numFmt w:val="bullet"/>
      <w:lvlText w:val="o"/>
      <w:lvlJc w:val="left"/>
      <w:pPr>
        <w:ind w:left="15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68C9D30">
      <w:start w:val="1"/>
      <w:numFmt w:val="bullet"/>
      <w:lvlText w:val="▪"/>
      <w:lvlJc w:val="left"/>
      <w:pPr>
        <w:ind w:left="22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04090DC">
      <w:start w:val="1"/>
      <w:numFmt w:val="bullet"/>
      <w:lvlText w:val="•"/>
      <w:lvlJc w:val="left"/>
      <w:pPr>
        <w:ind w:left="29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DDC3AC2">
      <w:start w:val="1"/>
      <w:numFmt w:val="bullet"/>
      <w:lvlText w:val="o"/>
      <w:lvlJc w:val="left"/>
      <w:pPr>
        <w:ind w:left="36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EA4F7B2">
      <w:start w:val="1"/>
      <w:numFmt w:val="bullet"/>
      <w:lvlText w:val="▪"/>
      <w:lvlJc w:val="left"/>
      <w:pPr>
        <w:ind w:left="44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3C47956">
      <w:start w:val="1"/>
      <w:numFmt w:val="bullet"/>
      <w:lvlText w:val="•"/>
      <w:lvlJc w:val="left"/>
      <w:pPr>
        <w:ind w:left="51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DE6D08C">
      <w:start w:val="1"/>
      <w:numFmt w:val="bullet"/>
      <w:lvlText w:val="o"/>
      <w:lvlJc w:val="left"/>
      <w:pPr>
        <w:ind w:left="58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68048FC">
      <w:start w:val="1"/>
      <w:numFmt w:val="bullet"/>
      <w:lvlText w:val="▪"/>
      <w:lvlJc w:val="left"/>
      <w:pPr>
        <w:ind w:left="65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04C66A6"/>
    <w:multiLevelType w:val="multilevel"/>
    <w:tmpl w:val="8C60AD80"/>
    <w:lvl w:ilvl="0">
      <w:start w:val="9"/>
      <w:numFmt w:val="decimal"/>
      <w:lvlText w:val="%1"/>
      <w:lvlJc w:val="left"/>
      <w:pPr>
        <w:ind w:left="3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1290E61"/>
    <w:multiLevelType w:val="hybridMultilevel"/>
    <w:tmpl w:val="8DE88F3C"/>
    <w:lvl w:ilvl="0" w:tplc="5672A788">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887924">
      <w:start w:val="1"/>
      <w:numFmt w:val="bullet"/>
      <w:lvlText w:val="o"/>
      <w:lvlJc w:val="left"/>
      <w:pPr>
        <w:ind w:left="1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F02BB68">
      <w:start w:val="1"/>
      <w:numFmt w:val="bullet"/>
      <w:lvlText w:val="▪"/>
      <w:lvlJc w:val="left"/>
      <w:pPr>
        <w:ind w:left="2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AE8352">
      <w:start w:val="1"/>
      <w:numFmt w:val="bullet"/>
      <w:lvlText w:val="•"/>
      <w:lvlJc w:val="left"/>
      <w:pPr>
        <w:ind w:left="2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FE4942">
      <w:start w:val="1"/>
      <w:numFmt w:val="bullet"/>
      <w:lvlText w:val="o"/>
      <w:lvlJc w:val="left"/>
      <w:pPr>
        <w:ind w:left="37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1DAE902">
      <w:start w:val="1"/>
      <w:numFmt w:val="bullet"/>
      <w:lvlText w:val="▪"/>
      <w:lvlJc w:val="left"/>
      <w:pPr>
        <w:ind w:left="44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5C27154">
      <w:start w:val="1"/>
      <w:numFmt w:val="bullet"/>
      <w:lvlText w:val="•"/>
      <w:lvlJc w:val="left"/>
      <w:pPr>
        <w:ind w:left="5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5C5D26">
      <w:start w:val="1"/>
      <w:numFmt w:val="bullet"/>
      <w:lvlText w:val="o"/>
      <w:lvlJc w:val="left"/>
      <w:pPr>
        <w:ind w:left="5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7545DDE">
      <w:start w:val="1"/>
      <w:numFmt w:val="bullet"/>
      <w:lvlText w:val="▪"/>
      <w:lvlJc w:val="left"/>
      <w:pPr>
        <w:ind w:left="65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3E607BF"/>
    <w:multiLevelType w:val="hybridMultilevel"/>
    <w:tmpl w:val="D4B6ED4C"/>
    <w:lvl w:ilvl="0" w:tplc="31781E84">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1EF2CC">
      <w:start w:val="1"/>
      <w:numFmt w:val="bullet"/>
      <w:lvlText w:val="o"/>
      <w:lvlJc w:val="left"/>
      <w:pPr>
        <w:ind w:left="1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B12FBF6">
      <w:start w:val="1"/>
      <w:numFmt w:val="bullet"/>
      <w:lvlText w:val="▪"/>
      <w:lvlJc w:val="left"/>
      <w:pPr>
        <w:ind w:left="2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6D81F30">
      <w:start w:val="1"/>
      <w:numFmt w:val="bullet"/>
      <w:lvlText w:val="•"/>
      <w:lvlJc w:val="left"/>
      <w:pPr>
        <w:ind w:left="2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F637BA">
      <w:start w:val="1"/>
      <w:numFmt w:val="bullet"/>
      <w:lvlText w:val="o"/>
      <w:lvlJc w:val="left"/>
      <w:pPr>
        <w:ind w:left="37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38E2118">
      <w:start w:val="1"/>
      <w:numFmt w:val="bullet"/>
      <w:lvlText w:val="▪"/>
      <w:lvlJc w:val="left"/>
      <w:pPr>
        <w:ind w:left="44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523F46">
      <w:start w:val="1"/>
      <w:numFmt w:val="bullet"/>
      <w:lvlText w:val="•"/>
      <w:lvlJc w:val="left"/>
      <w:pPr>
        <w:ind w:left="5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567C70">
      <w:start w:val="1"/>
      <w:numFmt w:val="bullet"/>
      <w:lvlText w:val="o"/>
      <w:lvlJc w:val="left"/>
      <w:pPr>
        <w:ind w:left="5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722E6B0">
      <w:start w:val="1"/>
      <w:numFmt w:val="bullet"/>
      <w:lvlText w:val="▪"/>
      <w:lvlJc w:val="left"/>
      <w:pPr>
        <w:ind w:left="65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1574EFC"/>
    <w:multiLevelType w:val="multilevel"/>
    <w:tmpl w:val="B30E9576"/>
    <w:lvl w:ilvl="0">
      <w:start w:val="1"/>
      <w:numFmt w:val="decimal"/>
      <w:lvlText w:val="%1."/>
      <w:lvlJc w:val="left"/>
      <w:pPr>
        <w:ind w:left="238"/>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51F5005"/>
    <w:multiLevelType w:val="multilevel"/>
    <w:tmpl w:val="4E381AC0"/>
    <w:lvl w:ilvl="0">
      <w:start w:val="9"/>
      <w:numFmt w:val="decimal"/>
      <w:lvlText w:val="%1"/>
      <w:lvlJc w:val="left"/>
      <w:pPr>
        <w:ind w:left="3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7F75FA0"/>
    <w:multiLevelType w:val="multilevel"/>
    <w:tmpl w:val="B2224ED0"/>
    <w:lvl w:ilvl="0">
      <w:start w:val="9"/>
      <w:numFmt w:val="decimal"/>
      <w:lvlText w:val="%1"/>
      <w:lvlJc w:val="left"/>
      <w:pPr>
        <w:ind w:left="3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512276D"/>
    <w:multiLevelType w:val="hybridMultilevel"/>
    <w:tmpl w:val="718EEA5C"/>
    <w:lvl w:ilvl="0" w:tplc="8E90B8BE">
      <w:start w:val="1"/>
      <w:numFmt w:val="decimal"/>
      <w:lvlText w:val="%1"/>
      <w:lvlJc w:val="left"/>
      <w:pPr>
        <w:ind w:left="360"/>
      </w:pPr>
      <w:rPr>
        <w:rFonts w:ascii="Sylfaen" w:eastAsia="Sylfaen" w:hAnsi="Sylfaen" w:cs="Sylfaen"/>
        <w:b w:val="0"/>
        <w:i w:val="0"/>
        <w:strike w:val="0"/>
        <w:dstrike w:val="0"/>
        <w:color w:val="00000A"/>
        <w:sz w:val="24"/>
        <w:szCs w:val="24"/>
        <w:u w:val="none" w:color="000000"/>
        <w:bdr w:val="none" w:sz="0" w:space="0" w:color="auto"/>
        <w:shd w:val="clear" w:color="auto" w:fill="auto"/>
        <w:vertAlign w:val="baseline"/>
      </w:rPr>
    </w:lvl>
    <w:lvl w:ilvl="1" w:tplc="DC124F4C">
      <w:start w:val="1"/>
      <w:numFmt w:val="lowerLetter"/>
      <w:lvlText w:val="%2"/>
      <w:lvlJc w:val="left"/>
      <w:pPr>
        <w:ind w:left="1035"/>
      </w:pPr>
      <w:rPr>
        <w:rFonts w:ascii="Sylfaen" w:eastAsia="Sylfaen" w:hAnsi="Sylfaen" w:cs="Sylfaen"/>
        <w:b w:val="0"/>
        <w:i w:val="0"/>
        <w:strike w:val="0"/>
        <w:dstrike w:val="0"/>
        <w:color w:val="00000A"/>
        <w:sz w:val="24"/>
        <w:szCs w:val="24"/>
        <w:u w:val="none" w:color="000000"/>
        <w:bdr w:val="none" w:sz="0" w:space="0" w:color="auto"/>
        <w:shd w:val="clear" w:color="auto" w:fill="auto"/>
        <w:vertAlign w:val="baseline"/>
      </w:rPr>
    </w:lvl>
    <w:lvl w:ilvl="2" w:tplc="84D439DC">
      <w:start w:val="1"/>
      <w:numFmt w:val="lowerRoman"/>
      <w:lvlText w:val="%3"/>
      <w:lvlJc w:val="left"/>
      <w:pPr>
        <w:ind w:left="1710"/>
      </w:pPr>
      <w:rPr>
        <w:rFonts w:ascii="Sylfaen" w:eastAsia="Sylfaen" w:hAnsi="Sylfaen" w:cs="Sylfaen"/>
        <w:b w:val="0"/>
        <w:i w:val="0"/>
        <w:strike w:val="0"/>
        <w:dstrike w:val="0"/>
        <w:color w:val="00000A"/>
        <w:sz w:val="24"/>
        <w:szCs w:val="24"/>
        <w:u w:val="none" w:color="000000"/>
        <w:bdr w:val="none" w:sz="0" w:space="0" w:color="auto"/>
        <w:shd w:val="clear" w:color="auto" w:fill="auto"/>
        <w:vertAlign w:val="baseline"/>
      </w:rPr>
    </w:lvl>
    <w:lvl w:ilvl="3" w:tplc="FE6AC060">
      <w:start w:val="1"/>
      <w:numFmt w:val="decimal"/>
      <w:lvlText w:val="%4"/>
      <w:lvlJc w:val="left"/>
      <w:pPr>
        <w:ind w:left="2385"/>
      </w:pPr>
      <w:rPr>
        <w:rFonts w:ascii="Sylfaen" w:eastAsia="Sylfaen" w:hAnsi="Sylfaen" w:cs="Sylfaen"/>
        <w:b w:val="0"/>
        <w:i w:val="0"/>
        <w:strike w:val="0"/>
        <w:dstrike w:val="0"/>
        <w:color w:val="00000A"/>
        <w:sz w:val="24"/>
        <w:szCs w:val="24"/>
        <w:u w:val="none" w:color="000000"/>
        <w:bdr w:val="none" w:sz="0" w:space="0" w:color="auto"/>
        <w:shd w:val="clear" w:color="auto" w:fill="auto"/>
        <w:vertAlign w:val="baseline"/>
      </w:rPr>
    </w:lvl>
    <w:lvl w:ilvl="4" w:tplc="AB5C80B2">
      <w:start w:val="1"/>
      <w:numFmt w:val="lowerRoman"/>
      <w:lvlRestart w:val="0"/>
      <w:lvlText w:val="%5."/>
      <w:lvlJc w:val="left"/>
      <w:pPr>
        <w:ind w:left="3426"/>
      </w:pPr>
      <w:rPr>
        <w:rFonts w:ascii="Sylfaen" w:eastAsia="Sylfaen" w:hAnsi="Sylfaen" w:cs="Sylfaen"/>
        <w:b w:val="0"/>
        <w:i w:val="0"/>
        <w:strike w:val="0"/>
        <w:dstrike w:val="0"/>
        <w:color w:val="00000A"/>
        <w:sz w:val="24"/>
        <w:szCs w:val="24"/>
        <w:u w:val="none" w:color="000000"/>
        <w:bdr w:val="none" w:sz="0" w:space="0" w:color="auto"/>
        <w:shd w:val="clear" w:color="auto" w:fill="auto"/>
        <w:vertAlign w:val="baseline"/>
      </w:rPr>
    </w:lvl>
    <w:lvl w:ilvl="5" w:tplc="C53E9162">
      <w:start w:val="1"/>
      <w:numFmt w:val="lowerRoman"/>
      <w:lvlText w:val="%6"/>
      <w:lvlJc w:val="left"/>
      <w:pPr>
        <w:ind w:left="3780"/>
      </w:pPr>
      <w:rPr>
        <w:rFonts w:ascii="Sylfaen" w:eastAsia="Sylfaen" w:hAnsi="Sylfaen" w:cs="Sylfaen"/>
        <w:b w:val="0"/>
        <w:i w:val="0"/>
        <w:strike w:val="0"/>
        <w:dstrike w:val="0"/>
        <w:color w:val="00000A"/>
        <w:sz w:val="24"/>
        <w:szCs w:val="24"/>
        <w:u w:val="none" w:color="000000"/>
        <w:bdr w:val="none" w:sz="0" w:space="0" w:color="auto"/>
        <w:shd w:val="clear" w:color="auto" w:fill="auto"/>
        <w:vertAlign w:val="baseline"/>
      </w:rPr>
    </w:lvl>
    <w:lvl w:ilvl="6" w:tplc="D1727BA4">
      <w:start w:val="1"/>
      <w:numFmt w:val="decimal"/>
      <w:lvlText w:val="%7"/>
      <w:lvlJc w:val="left"/>
      <w:pPr>
        <w:ind w:left="4500"/>
      </w:pPr>
      <w:rPr>
        <w:rFonts w:ascii="Sylfaen" w:eastAsia="Sylfaen" w:hAnsi="Sylfaen" w:cs="Sylfaen"/>
        <w:b w:val="0"/>
        <w:i w:val="0"/>
        <w:strike w:val="0"/>
        <w:dstrike w:val="0"/>
        <w:color w:val="00000A"/>
        <w:sz w:val="24"/>
        <w:szCs w:val="24"/>
        <w:u w:val="none" w:color="000000"/>
        <w:bdr w:val="none" w:sz="0" w:space="0" w:color="auto"/>
        <w:shd w:val="clear" w:color="auto" w:fill="auto"/>
        <w:vertAlign w:val="baseline"/>
      </w:rPr>
    </w:lvl>
    <w:lvl w:ilvl="7" w:tplc="A95835CE">
      <w:start w:val="1"/>
      <w:numFmt w:val="lowerLetter"/>
      <w:lvlText w:val="%8"/>
      <w:lvlJc w:val="left"/>
      <w:pPr>
        <w:ind w:left="5220"/>
      </w:pPr>
      <w:rPr>
        <w:rFonts w:ascii="Sylfaen" w:eastAsia="Sylfaen" w:hAnsi="Sylfaen" w:cs="Sylfaen"/>
        <w:b w:val="0"/>
        <w:i w:val="0"/>
        <w:strike w:val="0"/>
        <w:dstrike w:val="0"/>
        <w:color w:val="00000A"/>
        <w:sz w:val="24"/>
        <w:szCs w:val="24"/>
        <w:u w:val="none" w:color="000000"/>
        <w:bdr w:val="none" w:sz="0" w:space="0" w:color="auto"/>
        <w:shd w:val="clear" w:color="auto" w:fill="auto"/>
        <w:vertAlign w:val="baseline"/>
      </w:rPr>
    </w:lvl>
    <w:lvl w:ilvl="8" w:tplc="8E78214E">
      <w:start w:val="1"/>
      <w:numFmt w:val="lowerRoman"/>
      <w:lvlText w:val="%9"/>
      <w:lvlJc w:val="left"/>
      <w:pPr>
        <w:ind w:left="5940"/>
      </w:pPr>
      <w:rPr>
        <w:rFonts w:ascii="Sylfaen" w:eastAsia="Sylfaen" w:hAnsi="Sylfaen" w:cs="Sylfaen"/>
        <w:b w:val="0"/>
        <w:i w:val="0"/>
        <w:strike w:val="0"/>
        <w:dstrike w:val="0"/>
        <w:color w:val="00000A"/>
        <w:sz w:val="24"/>
        <w:szCs w:val="24"/>
        <w:u w:val="none" w:color="000000"/>
        <w:bdr w:val="none" w:sz="0" w:space="0" w:color="auto"/>
        <w:shd w:val="clear" w:color="auto" w:fill="auto"/>
        <w:vertAlign w:val="baseline"/>
      </w:rPr>
    </w:lvl>
  </w:abstractNum>
  <w:abstractNum w:abstractNumId="23" w15:restartNumberingAfterBreak="0">
    <w:nsid w:val="68D87F8F"/>
    <w:multiLevelType w:val="multilevel"/>
    <w:tmpl w:val="A5A06CB6"/>
    <w:lvl w:ilvl="0">
      <w:start w:val="10"/>
      <w:numFmt w:val="decimal"/>
      <w:lvlText w:val="%1."/>
      <w:lvlJc w:val="left"/>
      <w:pPr>
        <w:ind w:left="35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1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8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6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3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0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7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C8D2B6B"/>
    <w:multiLevelType w:val="hybridMultilevel"/>
    <w:tmpl w:val="C35AE1D2"/>
    <w:lvl w:ilvl="0" w:tplc="D49AC76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FE044C">
      <w:start w:val="1"/>
      <w:numFmt w:val="bullet"/>
      <w:lvlText w:val="o"/>
      <w:lvlJc w:val="left"/>
      <w:pPr>
        <w:ind w:left="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8C5CA4">
      <w:start w:val="1"/>
      <w:numFmt w:val="bullet"/>
      <w:lvlText w:val="●"/>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E8C70C">
      <w:start w:val="1"/>
      <w:numFmt w:val="bullet"/>
      <w:lvlText w:val="•"/>
      <w:lvlJc w:val="left"/>
      <w:pPr>
        <w:ind w:left="2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3A5720">
      <w:start w:val="1"/>
      <w:numFmt w:val="bullet"/>
      <w:lvlText w:val="o"/>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30A332">
      <w:start w:val="1"/>
      <w:numFmt w:val="bullet"/>
      <w:lvlText w:val="▪"/>
      <w:lvlJc w:val="left"/>
      <w:pPr>
        <w:ind w:left="3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122162">
      <w:start w:val="1"/>
      <w:numFmt w:val="bullet"/>
      <w:lvlText w:val="•"/>
      <w:lvlJc w:val="left"/>
      <w:pPr>
        <w:ind w:left="4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BA3DAC">
      <w:start w:val="1"/>
      <w:numFmt w:val="bullet"/>
      <w:lvlText w:val="o"/>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F766FF6">
      <w:start w:val="1"/>
      <w:numFmt w:val="bullet"/>
      <w:lvlText w:val="▪"/>
      <w:lvlJc w:val="left"/>
      <w:pPr>
        <w:ind w:left="5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F9C564C"/>
    <w:multiLevelType w:val="multilevel"/>
    <w:tmpl w:val="BDC0F858"/>
    <w:lvl w:ilvl="0">
      <w:start w:val="25"/>
      <w:numFmt w:val="decimal"/>
      <w:lvlText w:val="%1."/>
      <w:lvlJc w:val="left"/>
      <w:pPr>
        <w:ind w:left="35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1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8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6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3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0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7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19"/>
  </w:num>
  <w:num w:numId="2">
    <w:abstractNumId w:val="11"/>
  </w:num>
  <w:num w:numId="3">
    <w:abstractNumId w:val="1"/>
  </w:num>
  <w:num w:numId="4">
    <w:abstractNumId w:val="6"/>
  </w:num>
  <w:num w:numId="5">
    <w:abstractNumId w:val="16"/>
  </w:num>
  <w:num w:numId="6">
    <w:abstractNumId w:val="20"/>
  </w:num>
  <w:num w:numId="7">
    <w:abstractNumId w:val="21"/>
  </w:num>
  <w:num w:numId="8">
    <w:abstractNumId w:val="24"/>
  </w:num>
  <w:num w:numId="9">
    <w:abstractNumId w:val="23"/>
  </w:num>
  <w:num w:numId="10">
    <w:abstractNumId w:val="25"/>
  </w:num>
  <w:num w:numId="11">
    <w:abstractNumId w:val="22"/>
  </w:num>
  <w:num w:numId="12">
    <w:abstractNumId w:val="4"/>
  </w:num>
  <w:num w:numId="13">
    <w:abstractNumId w:val="2"/>
  </w:num>
  <w:num w:numId="14">
    <w:abstractNumId w:val="14"/>
  </w:num>
  <w:num w:numId="15">
    <w:abstractNumId w:val="17"/>
  </w:num>
  <w:num w:numId="16">
    <w:abstractNumId w:val="18"/>
  </w:num>
  <w:num w:numId="17">
    <w:abstractNumId w:val="12"/>
  </w:num>
  <w:num w:numId="18">
    <w:abstractNumId w:val="7"/>
  </w:num>
  <w:num w:numId="19">
    <w:abstractNumId w:val="8"/>
  </w:num>
  <w:num w:numId="20">
    <w:abstractNumId w:val="13"/>
  </w:num>
  <w:num w:numId="21">
    <w:abstractNumId w:val="3"/>
  </w:num>
  <w:num w:numId="22">
    <w:abstractNumId w:val="15"/>
  </w:num>
  <w:num w:numId="23">
    <w:abstractNumId w:val="10"/>
  </w:num>
  <w:num w:numId="24">
    <w:abstractNumId w:val="9"/>
  </w:num>
  <w:num w:numId="25">
    <w:abstractNumId w:val="5"/>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1BB"/>
    <w:rsid w:val="00025CBE"/>
    <w:rsid w:val="003E15E1"/>
    <w:rsid w:val="004C0D5E"/>
    <w:rsid w:val="004E520F"/>
    <w:rsid w:val="007D11BB"/>
    <w:rsid w:val="00933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AE1A6"/>
  <w15:docId w15:val="{AACE68AE-AB3D-4421-BCF2-19337E098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46" w:line="270" w:lineRule="auto"/>
      <w:ind w:left="15" w:hanging="10"/>
    </w:pPr>
    <w:rPr>
      <w:rFonts w:ascii="Sylfaen" w:eastAsia="Sylfaen" w:hAnsi="Sylfaen" w:cs="Sylfaen"/>
      <w:color w:val="000000"/>
      <w:sz w:val="24"/>
    </w:rPr>
  </w:style>
  <w:style w:type="paragraph" w:styleId="Heading1">
    <w:name w:val="heading 1"/>
    <w:next w:val="Normal"/>
    <w:link w:val="Heading1Char"/>
    <w:uiPriority w:val="9"/>
    <w:unhideWhenUsed/>
    <w:qFormat/>
    <w:pPr>
      <w:keepNext/>
      <w:keepLines/>
      <w:spacing w:after="246" w:line="270" w:lineRule="auto"/>
      <w:ind w:left="15" w:hanging="10"/>
      <w:outlineLvl w:val="0"/>
    </w:pPr>
    <w:rPr>
      <w:rFonts w:ascii="Sylfaen" w:eastAsia="Sylfaen" w:hAnsi="Sylfaen" w:cs="Sylfae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ylfaen" w:eastAsia="Sylfaen" w:hAnsi="Sylfaen" w:cs="Sylfaen"/>
      <w:color w:val="000000"/>
      <w:sz w:val="24"/>
    </w:rPr>
  </w:style>
  <w:style w:type="paragraph" w:styleId="TOC1">
    <w:name w:val="toc 1"/>
    <w:hidden/>
    <w:pPr>
      <w:spacing w:after="130"/>
      <w:ind w:left="27" w:right="16" w:hanging="10"/>
    </w:pPr>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E15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15E1"/>
    <w:rPr>
      <w:rFonts w:ascii="Sylfaen" w:eastAsia="Sylfaen" w:hAnsi="Sylfaen" w:cs="Sylfae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cpni.gov.uk/content/adopt-risk-management-approach" TargetMode="External"/><Relationship Id="rId117" Type="http://schemas.openxmlformats.org/officeDocument/2006/relationships/hyperlink" Target="https://www.gov.uk/guidance/g-cloud-templates-and-legal-documents" TargetMode="External"/><Relationship Id="rId21" Type="http://schemas.openxmlformats.org/officeDocument/2006/relationships/hyperlink" Target="https://www.gov.uk/government/publications/government-security-classifications" TargetMode="External"/><Relationship Id="rId42" Type="http://schemas.openxmlformats.org/officeDocument/2006/relationships/hyperlink" Target="https://www.ncsc.gov.uk/guidance/risk-management-collection" TargetMode="External"/><Relationship Id="rId47" Type="http://schemas.openxmlformats.org/officeDocument/2006/relationships/hyperlink" Target="https://www.ncsc.gov.uk/guidance/risk-management-collection" TargetMode="External"/><Relationship Id="rId63" Type="http://schemas.openxmlformats.org/officeDocument/2006/relationships/hyperlink" Target="https://www.gov.uk/government/publications/technology-code-of-practice/technology-code-of-practice" TargetMode="External"/><Relationship Id="rId68" Type="http://schemas.openxmlformats.org/officeDocument/2006/relationships/hyperlink" Target="https://www.ncsc.gov.uk/guidance/implementing-cloud-security-principles" TargetMode="External"/><Relationship Id="rId84" Type="http://schemas.openxmlformats.org/officeDocument/2006/relationships/hyperlink" Target="https://www.gov.uk/government/publications/technology-code-of-practice/technology-code-of-practice" TargetMode="External"/><Relationship Id="rId89" Type="http://schemas.openxmlformats.org/officeDocument/2006/relationships/hyperlink" Target="https://www.gov.uk/government/publications/technology-code-of-practice/technology-code-of-practice" TargetMode="External"/><Relationship Id="rId112" Type="http://schemas.openxmlformats.org/officeDocument/2006/relationships/hyperlink" Target="https://www.gov.uk/guidance/g-cloud-templates-and-legal-documents" TargetMode="External"/><Relationship Id="rId133" Type="http://schemas.openxmlformats.org/officeDocument/2006/relationships/hyperlink" Target="https://www.gov.uk/guidance/g-cloud-templates-and-legal-documents" TargetMode="External"/><Relationship Id="rId138" Type="http://schemas.openxmlformats.org/officeDocument/2006/relationships/hyperlink" Target="https://www.gov.uk/guidance/g-cloud-templates-and-legal-documents" TargetMode="External"/><Relationship Id="rId154" Type="http://schemas.openxmlformats.org/officeDocument/2006/relationships/hyperlink" Target="https://www.gov.uk/service-manual/agile-delivery/spend-controls-check-if-you-need-approval-to-spend-money-on-a-service" TargetMode="External"/><Relationship Id="rId159" Type="http://schemas.openxmlformats.org/officeDocument/2006/relationships/hyperlink" Target="https://www.gov.uk/service-manual/agile-delivery/spend-controls-check-if-you-need-approval-to-spend-money-on-a-service" TargetMode="External"/><Relationship Id="rId175" Type="http://schemas.openxmlformats.org/officeDocument/2006/relationships/footer" Target="footer4.xml"/><Relationship Id="rId170" Type="http://schemas.openxmlformats.org/officeDocument/2006/relationships/hyperlink" Target="https://www.gov.uk/service-manual/agile-delivery/spend-controls-check-if-you-need-approval-to-spend-money-on-a-service" TargetMode="External"/><Relationship Id="rId16" Type="http://schemas.openxmlformats.org/officeDocument/2006/relationships/hyperlink" Target="https://www.gov.uk/government/publications/security-policy-framework" TargetMode="External"/><Relationship Id="rId107" Type="http://schemas.openxmlformats.org/officeDocument/2006/relationships/hyperlink" Target="https://www.gov.uk/guidance/g-cloud-templates-and-legal-documents" TargetMode="External"/><Relationship Id="rId11" Type="http://schemas.openxmlformats.org/officeDocument/2006/relationships/footer" Target="footer3.xml"/><Relationship Id="rId32" Type="http://schemas.openxmlformats.org/officeDocument/2006/relationships/hyperlink" Target="https://www.cpni.gov.uk/protection-sensitive-information-and-assets" TargetMode="External"/><Relationship Id="rId37" Type="http://schemas.openxmlformats.org/officeDocument/2006/relationships/hyperlink" Target="https://www.cpni.gov.uk/protection-sensitive-information-and-assets" TargetMode="External"/><Relationship Id="rId53" Type="http://schemas.openxmlformats.org/officeDocument/2006/relationships/hyperlink" Target="https://www.gov.uk/government/publications/technology-code-of-practice/technology-code-of-practice" TargetMode="External"/><Relationship Id="rId58" Type="http://schemas.openxmlformats.org/officeDocument/2006/relationships/hyperlink" Target="https://www.gov.uk/government/publications/technology-code-of-practice/technology-code-of-practice" TargetMode="External"/><Relationship Id="rId74" Type="http://schemas.openxmlformats.org/officeDocument/2006/relationships/hyperlink" Target="https://www.gov.uk/government/publications/cyber-risk-management-a-board-level-responsibility/10-steps-summary" TargetMode="External"/><Relationship Id="rId79" Type="http://schemas.openxmlformats.org/officeDocument/2006/relationships/hyperlink" Target="https://www.gov.uk/government/publications/cyber-risk-management-a-board-level-responsibility/10-steps-summary" TargetMode="External"/><Relationship Id="rId102" Type="http://schemas.openxmlformats.org/officeDocument/2006/relationships/hyperlink" Target="https://www.ncsc.gov.uk/guidance/10-steps-cyber-security" TargetMode="External"/><Relationship Id="rId123" Type="http://schemas.openxmlformats.org/officeDocument/2006/relationships/hyperlink" Target="https://www.gov.uk/guidance/g-cloud-templates-and-legal-documents" TargetMode="External"/><Relationship Id="rId128" Type="http://schemas.openxmlformats.org/officeDocument/2006/relationships/hyperlink" Target="https://www.gov.uk/guidance/g-cloud-templates-and-legal-documents" TargetMode="External"/><Relationship Id="rId144" Type="http://schemas.openxmlformats.org/officeDocument/2006/relationships/hyperlink" Target="http://tools.hmrc.gov.uk/esi" TargetMode="External"/><Relationship Id="rId149" Type="http://schemas.openxmlformats.org/officeDocument/2006/relationships/hyperlink" Target="https://www.gov.uk/service-manual/agile-delivery/spend-controls-check-if-you-need-approval-to-spend-money-on-a-service" TargetMode="External"/><Relationship Id="rId5" Type="http://schemas.openxmlformats.org/officeDocument/2006/relationships/footnotes" Target="footnotes.xml"/><Relationship Id="rId90" Type="http://schemas.openxmlformats.org/officeDocument/2006/relationships/hyperlink" Target="https://www.gov.uk/government/publications/technology-code-of-practice/technology-code-of-practice" TargetMode="External"/><Relationship Id="rId95" Type="http://schemas.openxmlformats.org/officeDocument/2006/relationships/hyperlink" Target="https://www.gov.uk/government/publications/cyber-risk-management-a-board-level-responsibility/10-steps-summary" TargetMode="External"/><Relationship Id="rId160" Type="http://schemas.openxmlformats.org/officeDocument/2006/relationships/hyperlink" Target="https://www.gov.uk/service-manual/agile-delivery/spend-controls-check-if-you-need-approval-to-spend-money-on-a-service" TargetMode="External"/><Relationship Id="rId165"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gov.uk/government/publications/government-security-classifications" TargetMode="External"/><Relationship Id="rId27" Type="http://schemas.openxmlformats.org/officeDocument/2006/relationships/hyperlink" Target="https://www.cpni.gov.uk/content/adopt-risk-management-approach" TargetMode="External"/><Relationship Id="rId43" Type="http://schemas.openxmlformats.org/officeDocument/2006/relationships/hyperlink" Target="https://www.ncsc.gov.uk/guidance/risk-management-collection" TargetMode="External"/><Relationship Id="rId48" Type="http://schemas.openxmlformats.org/officeDocument/2006/relationships/hyperlink" Target="https://www.cesg.gov.uk/risk-management-collection" TargetMode="External"/><Relationship Id="rId64" Type="http://schemas.openxmlformats.org/officeDocument/2006/relationships/hyperlink" Target="https://www.gov.uk/government/publications/technology-code-of-practice/technology-code-of-practice" TargetMode="External"/><Relationship Id="rId69" Type="http://schemas.openxmlformats.org/officeDocument/2006/relationships/hyperlink" Target="https://www.ncsc.gov.uk/guidance/implementing-cloud-security-principles" TargetMode="External"/><Relationship Id="rId113" Type="http://schemas.openxmlformats.org/officeDocument/2006/relationships/hyperlink" Target="https://www.gov.uk/guidance/g-cloud-templates-and-legal-documents" TargetMode="External"/><Relationship Id="rId118" Type="http://schemas.openxmlformats.org/officeDocument/2006/relationships/hyperlink" Target="https://www.gov.uk/guidance/g-cloud-templates-and-legal-documents" TargetMode="External"/><Relationship Id="rId134" Type="http://schemas.openxmlformats.org/officeDocument/2006/relationships/hyperlink" Target="https://www.gov.uk/guidance/g-cloud-templates-and-legal-documents" TargetMode="External"/><Relationship Id="rId139" Type="http://schemas.openxmlformats.org/officeDocument/2006/relationships/hyperlink" Target="https://www.gov.uk/guidance/g-cloud-templates-and-legal-documents" TargetMode="External"/><Relationship Id="rId80" Type="http://schemas.openxmlformats.org/officeDocument/2006/relationships/hyperlink" Target="https://www.gov.uk/government/publications/cyber-risk-management-a-board-level-responsibility/10-steps-summary" TargetMode="External"/><Relationship Id="rId85" Type="http://schemas.openxmlformats.org/officeDocument/2006/relationships/hyperlink" Target="https://www.gov.uk/government/publications/technology-code-of-practice/technology-code-of-practice" TargetMode="External"/><Relationship Id="rId150" Type="http://schemas.openxmlformats.org/officeDocument/2006/relationships/hyperlink" Target="https://www.gov.uk/service-manual/agile-delivery/spend-controls-check-if-you-need-approval-to-spend-money-on-a-service" TargetMode="External"/><Relationship Id="rId155" Type="http://schemas.openxmlformats.org/officeDocument/2006/relationships/hyperlink" Target="https://www.gov.uk/service-manual/agile-delivery/spend-controls-check-if-you-need-approval-to-spend-money-on-a-service" TargetMode="External"/><Relationship Id="rId171" Type="http://schemas.openxmlformats.org/officeDocument/2006/relationships/hyperlink" Target="https://www.gov.uk/service-manual/agile-delivery/spend-controls-check-if-you-need-approval-to-spend-money-on-a-service" TargetMode="External"/><Relationship Id="rId176" Type="http://schemas.openxmlformats.org/officeDocument/2006/relationships/footer" Target="footer5.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gov.uk/government/publications/security-policy-framework" TargetMode="External"/><Relationship Id="rId33" Type="http://schemas.openxmlformats.org/officeDocument/2006/relationships/hyperlink" Target="https://www.cpni.gov.uk/protection-sensitive-information-and-assets" TargetMode="External"/><Relationship Id="rId38" Type="http://schemas.openxmlformats.org/officeDocument/2006/relationships/hyperlink" Target="https://www.cpni.gov.uk/protection-sensitive-information-and-assets" TargetMode="External"/><Relationship Id="rId59" Type="http://schemas.openxmlformats.org/officeDocument/2006/relationships/hyperlink" Target="https://www.gov.uk/government/publications/technology-code-of-practice/technology-code-of-practice" TargetMode="External"/><Relationship Id="rId103" Type="http://schemas.openxmlformats.org/officeDocument/2006/relationships/hyperlink" Target="https://www.ncsc.gov.uk/guidance/10-steps-cyber-security" TargetMode="External"/><Relationship Id="rId108" Type="http://schemas.openxmlformats.org/officeDocument/2006/relationships/hyperlink" Target="https://www.gov.uk/guidance/g-cloud-templates-and-legal-documents" TargetMode="External"/><Relationship Id="rId124" Type="http://schemas.openxmlformats.org/officeDocument/2006/relationships/hyperlink" Target="https://www.gov.uk/guidance/g-cloud-templates-and-legal-documents" TargetMode="External"/><Relationship Id="rId129" Type="http://schemas.openxmlformats.org/officeDocument/2006/relationships/hyperlink" Target="https://www.gov.uk/guidance/g-cloud-templates-and-legal-documents" TargetMode="External"/><Relationship Id="rId54" Type="http://schemas.openxmlformats.org/officeDocument/2006/relationships/hyperlink" Target="https://www.gov.uk/government/publications/technology-code-of-practice/technology-code-of-practice" TargetMode="External"/><Relationship Id="rId70" Type="http://schemas.openxmlformats.org/officeDocument/2006/relationships/hyperlink" Target="https://www.ncsc.gov.uk/guidance/implementing-cloud-security-principles" TargetMode="External"/><Relationship Id="rId75" Type="http://schemas.openxmlformats.org/officeDocument/2006/relationships/hyperlink" Target="https://www.gov.uk/government/publications/cyber-risk-management-a-board-level-responsibility/10-steps-summary" TargetMode="External"/><Relationship Id="rId91" Type="http://schemas.openxmlformats.org/officeDocument/2006/relationships/hyperlink" Target="https://www.gov.uk/government/publications/technology-code-of-practice/technology-code-of-practice" TargetMode="External"/><Relationship Id="rId96" Type="http://schemas.openxmlformats.org/officeDocument/2006/relationships/hyperlink" Target="https://www.gov.uk/government/publications/cyber-risk-management-a-board-level-responsibility/10-steps-summary" TargetMode="External"/><Relationship Id="rId140" Type="http://schemas.openxmlformats.org/officeDocument/2006/relationships/hyperlink" Target="https://www.gov.uk/guidance/g-cloud-templates-and-legal-documents" TargetMode="External"/><Relationship Id="rId145" Type="http://schemas.openxmlformats.org/officeDocument/2006/relationships/hyperlink" Target="https://www.gov.uk/service-manual/agile-delivery/spend-controls-check-if-you-need-approval-to-spend-money-on-a-service" TargetMode="External"/><Relationship Id="rId161" Type="http://schemas.openxmlformats.org/officeDocument/2006/relationships/hyperlink" Target="https://www.gov.uk/service-manual/agile-delivery/spend-controls-check-if-you-need-approval-to-spend-money-on-a-service" TargetMode="External"/><Relationship Id="rId166" Type="http://schemas.openxmlformats.org/officeDocument/2006/relationships/hyperlink" Target="https://www.gov.uk/service-manual/agile-delivery/spend-controls-check-if-you-need-approval-to-spend-money-on-a-service"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gov.uk/government/publications/government-security-classifications" TargetMode="External"/><Relationship Id="rId28" Type="http://schemas.openxmlformats.org/officeDocument/2006/relationships/hyperlink" Target="https://www.cpni.gov.uk/content/adopt-risk-management-approach" TargetMode="External"/><Relationship Id="rId49" Type="http://schemas.openxmlformats.org/officeDocument/2006/relationships/hyperlink" Target="https://www.cesg.gov.uk/risk-management-collection" TargetMode="External"/><Relationship Id="rId114" Type="http://schemas.openxmlformats.org/officeDocument/2006/relationships/hyperlink" Target="https://www.gov.uk/guidance/g-cloud-templates-and-legal-documents" TargetMode="External"/><Relationship Id="rId119" Type="http://schemas.openxmlformats.org/officeDocument/2006/relationships/hyperlink" Target="https://www.gov.uk/guidance/g-cloud-templates-and-legal-documents" TargetMode="External"/><Relationship Id="rId10" Type="http://schemas.openxmlformats.org/officeDocument/2006/relationships/footer" Target="footer2.xml"/><Relationship Id="rId31" Type="http://schemas.openxmlformats.org/officeDocument/2006/relationships/hyperlink" Target="https://www.cpni.gov.uk/content/adopt-risk-management-approach" TargetMode="External"/><Relationship Id="rId44" Type="http://schemas.openxmlformats.org/officeDocument/2006/relationships/hyperlink" Target="https://www.ncsc.gov.uk/guidance/risk-management-collection" TargetMode="External"/><Relationship Id="rId52" Type="http://schemas.openxmlformats.org/officeDocument/2006/relationships/hyperlink" Target="https://www.gov.uk/government/publications/technology-code-of-practice/technology-code-of-practice" TargetMode="External"/><Relationship Id="rId60" Type="http://schemas.openxmlformats.org/officeDocument/2006/relationships/hyperlink" Target="https://www.gov.uk/government/publications/technology-code-of-practice/technology-code-of-practice" TargetMode="External"/><Relationship Id="rId65" Type="http://schemas.openxmlformats.org/officeDocument/2006/relationships/hyperlink" Target="https://www.gov.uk/government/publications/technology-code-of-practice/technology-code-of-practice" TargetMode="External"/><Relationship Id="rId73" Type="http://schemas.openxmlformats.org/officeDocument/2006/relationships/hyperlink" Target="https://www.ncsc.gov.uk/guidance/implementing-cloud-security-principles" TargetMode="External"/><Relationship Id="rId78" Type="http://schemas.openxmlformats.org/officeDocument/2006/relationships/hyperlink" Target="https://www.gov.uk/government/publications/cyber-risk-management-a-board-level-responsibility/10-steps-summary" TargetMode="External"/><Relationship Id="rId81" Type="http://schemas.openxmlformats.org/officeDocument/2006/relationships/hyperlink" Target="https://www.gov.uk/government/publications/technology-code-of-practice/technology-code-of-practice" TargetMode="External"/><Relationship Id="rId86" Type="http://schemas.openxmlformats.org/officeDocument/2006/relationships/hyperlink" Target="https://www.gov.uk/government/publications/technology-code-of-practice/technology-code-of-practice" TargetMode="External"/><Relationship Id="rId94" Type="http://schemas.openxmlformats.org/officeDocument/2006/relationships/hyperlink" Target="https://www.gov.uk/government/publications/technology-code-of-practice/technology-code-of-practice" TargetMode="External"/><Relationship Id="rId99" Type="http://schemas.openxmlformats.org/officeDocument/2006/relationships/hyperlink" Target="https://www.ncsc.gov.uk/guidance/10-steps-cyber-security" TargetMode="External"/><Relationship Id="rId101" Type="http://schemas.openxmlformats.org/officeDocument/2006/relationships/hyperlink" Target="https://www.ncsc.gov.uk/guidance/10-steps-cyber-security" TargetMode="External"/><Relationship Id="rId122" Type="http://schemas.openxmlformats.org/officeDocument/2006/relationships/hyperlink" Target="https://www.gov.uk/guidance/g-cloud-templates-and-legal-documents" TargetMode="External"/><Relationship Id="rId130" Type="http://schemas.openxmlformats.org/officeDocument/2006/relationships/hyperlink" Target="https://www.gov.uk/guidance/g-cloud-templates-and-legal-documents" TargetMode="External"/><Relationship Id="rId135" Type="http://schemas.openxmlformats.org/officeDocument/2006/relationships/hyperlink" Target="https://www.gov.uk/guidance/g-cloud-templates-and-legal-documents" TargetMode="External"/><Relationship Id="rId143" Type="http://schemas.openxmlformats.org/officeDocument/2006/relationships/hyperlink" Target="http://tools.hmrc.gov.uk/esi" TargetMode="External"/><Relationship Id="rId148" Type="http://schemas.openxmlformats.org/officeDocument/2006/relationships/hyperlink" Target="https://www.gov.uk/service-manual/agile-delivery/spend-controls-check-if-you-need-approval-to-spend-money-on-a-service" TargetMode="External"/><Relationship Id="rId151" Type="http://schemas.openxmlformats.org/officeDocument/2006/relationships/hyperlink" Target="https://www.gov.uk/service-manual/agile-delivery/spend-controls-check-if-you-need-approval-to-spend-money-on-a-service" TargetMode="External"/><Relationship Id="rId156" Type="http://schemas.openxmlformats.org/officeDocument/2006/relationships/hyperlink" Target="https://www.gov.uk/service-manual/agile-delivery/spend-controls-check-if-you-need-approval-to-spend-money-on-a-service" TargetMode="External"/><Relationship Id="rId164" Type="http://schemas.openxmlformats.org/officeDocument/2006/relationships/hyperlink" Target="https://www.gov.uk/service-manual/agile-delivery/spend-controls-check-if-you-need-approval-to-spend-money-on-a-service" TargetMode="External"/><Relationship Id="rId169" Type="http://schemas.openxmlformats.org/officeDocument/2006/relationships/hyperlink" Target="https://www.gov.uk/service-manual/agile-delivery/spend-controls-check-if-you-need-approval-to-spend-money-on-a-service" TargetMode="External"/><Relationship Id="rId177"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72" Type="http://schemas.openxmlformats.org/officeDocument/2006/relationships/hyperlink" Target="https://www.gov.uk/service-manual/agile-delivery/spend-controls-check-if-you-need-approval-to-spend-money-on-a-service" TargetMode="Externa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government/publications/government-security-classifications" TargetMode="External"/><Relationship Id="rId39" Type="http://schemas.openxmlformats.org/officeDocument/2006/relationships/hyperlink" Target="https://www.cpni.gov.uk/protection-sensitive-information-and-assets" TargetMode="External"/><Relationship Id="rId109" Type="http://schemas.openxmlformats.org/officeDocument/2006/relationships/hyperlink" Target="https://www.gov.uk/guidance/g-cloud-templates-and-legal-documents" TargetMode="External"/><Relationship Id="rId34" Type="http://schemas.openxmlformats.org/officeDocument/2006/relationships/hyperlink" Target="https://www.cpni.gov.uk/protection-sensitive-information-and-assets" TargetMode="External"/><Relationship Id="rId50" Type="http://schemas.openxmlformats.org/officeDocument/2006/relationships/hyperlink" Target="https://www.cesg.gov.uk/risk-management-collection" TargetMode="External"/><Relationship Id="rId55" Type="http://schemas.openxmlformats.org/officeDocument/2006/relationships/hyperlink" Target="https://www.gov.uk/government/publications/technology-code-of-practice/technology-code-of-practice" TargetMode="External"/><Relationship Id="rId76" Type="http://schemas.openxmlformats.org/officeDocument/2006/relationships/hyperlink" Target="https://www.gov.uk/government/publications/cyber-risk-management-a-board-level-responsibility/10-steps-summary" TargetMode="External"/><Relationship Id="rId97" Type="http://schemas.openxmlformats.org/officeDocument/2006/relationships/hyperlink" Target="https://www.ncsc.gov.uk/guidance/10-steps-cyber-security" TargetMode="External"/><Relationship Id="rId104" Type="http://schemas.openxmlformats.org/officeDocument/2006/relationships/hyperlink" Target="https://www.ncsc.gov.uk/guidance/10-steps-cyber-security" TargetMode="External"/><Relationship Id="rId120" Type="http://schemas.openxmlformats.org/officeDocument/2006/relationships/hyperlink" Target="https://www.gov.uk/guidance/g-cloud-templates-and-legal-documents" TargetMode="External"/><Relationship Id="rId125" Type="http://schemas.openxmlformats.org/officeDocument/2006/relationships/hyperlink" Target="https://www.gov.uk/guidance/g-cloud-templates-and-legal-documents" TargetMode="External"/><Relationship Id="rId141" Type="http://schemas.openxmlformats.org/officeDocument/2006/relationships/hyperlink" Target="https://www.digitalmarketplace.service.gov.uk/" TargetMode="External"/><Relationship Id="rId146" Type="http://schemas.openxmlformats.org/officeDocument/2006/relationships/hyperlink" Target="https://www.gov.uk/service-manual/agile-delivery/spend-controls-check-if-you-need-approval-to-spend-money-on-a-service" TargetMode="External"/><Relationship Id="rId167" Type="http://schemas.openxmlformats.org/officeDocument/2006/relationships/hyperlink" Target="https://www.gov.uk/service-manual/agile-delivery/spend-controls-check-if-you-need-approval-to-spend-money-on-a-service" TargetMode="External"/><Relationship Id="rId7" Type="http://schemas.openxmlformats.org/officeDocument/2006/relationships/image" Target="media/image1.jpg"/><Relationship Id="rId71" Type="http://schemas.openxmlformats.org/officeDocument/2006/relationships/hyperlink" Target="https://www.ncsc.gov.uk/guidance/implementing-cloud-security-principles" TargetMode="External"/><Relationship Id="rId92" Type="http://schemas.openxmlformats.org/officeDocument/2006/relationships/hyperlink" Target="https://www.gov.uk/government/publications/technology-code-of-practice/technology-code-of-practice" TargetMode="External"/><Relationship Id="rId162" Type="http://schemas.openxmlformats.org/officeDocument/2006/relationships/hyperlink" Target="https://www.gov.uk/service-manual/agile-delivery/spend-controls-check-if-you-need-approval-to-spend-money-on-a-service" TargetMode="External"/><Relationship Id="rId2" Type="http://schemas.openxmlformats.org/officeDocument/2006/relationships/styles" Target="styles.xml"/><Relationship Id="rId29" Type="http://schemas.openxmlformats.org/officeDocument/2006/relationships/hyperlink" Target="https://www.cpni.gov.uk/content/adopt-risk-management-approach" TargetMode="External"/><Relationship Id="rId24" Type="http://schemas.openxmlformats.org/officeDocument/2006/relationships/hyperlink" Target="https://www.cpni.gov.uk/content/adopt-risk-management-approach" TargetMode="External"/><Relationship Id="rId40" Type="http://schemas.openxmlformats.org/officeDocument/2006/relationships/hyperlink" Target="https://www.cpni.gov.uk/protection-sensitive-information-and-assets" TargetMode="External"/><Relationship Id="rId45" Type="http://schemas.openxmlformats.org/officeDocument/2006/relationships/hyperlink" Target="https://www.ncsc.gov.uk/guidance/risk-management-collection" TargetMode="External"/><Relationship Id="rId66" Type="http://schemas.openxmlformats.org/officeDocument/2006/relationships/hyperlink" Target="https://www.ncsc.gov.uk/guidance/implementing-cloud-security-principles" TargetMode="External"/><Relationship Id="rId87" Type="http://schemas.openxmlformats.org/officeDocument/2006/relationships/hyperlink" Target="https://www.gov.uk/government/publications/technology-code-of-practice/technology-code-of-practice" TargetMode="External"/><Relationship Id="rId110" Type="http://schemas.openxmlformats.org/officeDocument/2006/relationships/hyperlink" Target="https://www.gov.uk/guidance/g-cloud-templates-and-legal-documents" TargetMode="External"/><Relationship Id="rId115" Type="http://schemas.openxmlformats.org/officeDocument/2006/relationships/hyperlink" Target="https://www.gov.uk/guidance/g-cloud-templates-and-legal-documents" TargetMode="External"/><Relationship Id="rId131" Type="http://schemas.openxmlformats.org/officeDocument/2006/relationships/hyperlink" Target="https://www.gov.uk/guidance/g-cloud-templates-and-legal-documents" TargetMode="External"/><Relationship Id="rId136" Type="http://schemas.openxmlformats.org/officeDocument/2006/relationships/hyperlink" Target="https://www.gov.uk/guidance/g-cloud-templates-and-legal-documents" TargetMode="External"/><Relationship Id="rId157" Type="http://schemas.openxmlformats.org/officeDocument/2006/relationships/hyperlink" Target="https://www.gov.uk/service-manual/agile-delivery/spend-controls-check-if-you-need-approval-to-spend-money-on-a-service" TargetMode="External"/><Relationship Id="rId178" Type="http://schemas.openxmlformats.org/officeDocument/2006/relationships/fontTable" Target="fontTable.xml"/><Relationship Id="rId61" Type="http://schemas.openxmlformats.org/officeDocument/2006/relationships/hyperlink" Target="https://www.gov.uk/government/publications/technology-code-of-practice/technology-code-of-practice" TargetMode="External"/><Relationship Id="rId82" Type="http://schemas.openxmlformats.org/officeDocument/2006/relationships/hyperlink" Target="https://www.gov.uk/government/publications/technology-code-of-practice/technology-code-of-practice" TargetMode="External"/><Relationship Id="rId152" Type="http://schemas.openxmlformats.org/officeDocument/2006/relationships/hyperlink" Target="https://www.gov.uk/service-manual/agile-delivery/spend-controls-check-if-you-need-approval-to-spend-money-on-a-service" TargetMode="External"/><Relationship Id="rId173"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gov.uk/government/publications/government-security-classifications" TargetMode="External"/><Relationship Id="rId14" Type="http://schemas.openxmlformats.org/officeDocument/2006/relationships/hyperlink" Target="https://www.gov.uk/government/publications/security-policy-framework" TargetMode="External"/><Relationship Id="rId30" Type="http://schemas.openxmlformats.org/officeDocument/2006/relationships/hyperlink" Target="https://www.cpni.gov.uk/content/adopt-risk-management-approach" TargetMode="External"/><Relationship Id="rId35" Type="http://schemas.openxmlformats.org/officeDocument/2006/relationships/hyperlink" Target="https://www.cpni.gov.uk/protection-sensitive-information-and-assets" TargetMode="External"/><Relationship Id="rId56" Type="http://schemas.openxmlformats.org/officeDocument/2006/relationships/hyperlink" Target="https://www.gov.uk/government/publications/technology-code-of-practice/technology-code-of-practice" TargetMode="External"/><Relationship Id="rId77" Type="http://schemas.openxmlformats.org/officeDocument/2006/relationships/hyperlink" Target="https://www.gov.uk/government/publications/cyber-risk-management-a-board-level-responsibility/10-steps-summary" TargetMode="External"/><Relationship Id="rId100" Type="http://schemas.openxmlformats.org/officeDocument/2006/relationships/hyperlink" Target="https://www.ncsc.gov.uk/guidance/10-steps-cyber-security" TargetMode="External"/><Relationship Id="rId105" Type="http://schemas.openxmlformats.org/officeDocument/2006/relationships/hyperlink" Target="https://www.gov.uk/guidance/g-cloud-templates-and-legal-documents" TargetMode="External"/><Relationship Id="rId126" Type="http://schemas.openxmlformats.org/officeDocument/2006/relationships/hyperlink" Target="https://www.gov.uk/guidance/g-cloud-templates-and-legal-documents" TargetMode="External"/><Relationship Id="rId147" Type="http://schemas.openxmlformats.org/officeDocument/2006/relationships/hyperlink" Target="https://www.gov.uk/service-manual/agile-delivery/spend-controls-check-if-you-need-approval-to-spend-money-on-a-service" TargetMode="External"/><Relationship Id="rId168" Type="http://schemas.openxmlformats.org/officeDocument/2006/relationships/hyperlink" Target="https://www.gov.uk/service-manual/agile-delivery/spend-controls-check-if-you-need-approval-to-spend-money-on-a-service" TargetMode="External"/><Relationship Id="rId8" Type="http://schemas.openxmlformats.org/officeDocument/2006/relationships/header" Target="header1.xml"/><Relationship Id="rId51" Type="http://schemas.openxmlformats.org/officeDocument/2006/relationships/hyperlink" Target="https://www.cesg.gov.uk/risk-management-collection" TargetMode="External"/><Relationship Id="rId72" Type="http://schemas.openxmlformats.org/officeDocument/2006/relationships/hyperlink" Target="https://www.ncsc.gov.uk/guidance/implementing-cloud-security-principles" TargetMode="External"/><Relationship Id="rId93" Type="http://schemas.openxmlformats.org/officeDocument/2006/relationships/hyperlink" Target="https://www.gov.uk/government/publications/technology-code-of-practice/technology-code-of-practice" TargetMode="External"/><Relationship Id="rId98" Type="http://schemas.openxmlformats.org/officeDocument/2006/relationships/hyperlink" Target="https://www.ncsc.gov.uk/guidance/10-steps-cyber-security" TargetMode="External"/><Relationship Id="rId121" Type="http://schemas.openxmlformats.org/officeDocument/2006/relationships/hyperlink" Target="https://www.gov.uk/guidance/g-cloud-templates-and-legal-documents" TargetMode="External"/><Relationship Id="rId142" Type="http://schemas.openxmlformats.org/officeDocument/2006/relationships/hyperlink" Target="https://www.digitalmarketplace.service.gov.uk/" TargetMode="External"/><Relationship Id="rId163"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25" Type="http://schemas.openxmlformats.org/officeDocument/2006/relationships/hyperlink" Target="https://www.cpni.gov.uk/content/adopt-risk-management-approach" TargetMode="External"/><Relationship Id="rId46" Type="http://schemas.openxmlformats.org/officeDocument/2006/relationships/hyperlink" Target="https://www.ncsc.gov.uk/guidance/risk-management-collection" TargetMode="External"/><Relationship Id="rId67" Type="http://schemas.openxmlformats.org/officeDocument/2006/relationships/hyperlink" Target="https://www.ncsc.gov.uk/guidance/implementing-cloud-security-principles" TargetMode="External"/><Relationship Id="rId116" Type="http://schemas.openxmlformats.org/officeDocument/2006/relationships/hyperlink" Target="https://www.gov.uk/guidance/g-cloud-templates-and-legal-documents" TargetMode="External"/><Relationship Id="rId137" Type="http://schemas.openxmlformats.org/officeDocument/2006/relationships/hyperlink" Target="https://www.gov.uk/guidance/g-cloud-templates-and-legal-documents" TargetMode="External"/><Relationship Id="rId158"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yperlink" Target="https://www.gov.uk/government/publications/government-security-classifications" TargetMode="External"/><Relationship Id="rId41" Type="http://schemas.openxmlformats.org/officeDocument/2006/relationships/hyperlink" Target="https://www.cpni.gov.uk/protection-sensitive-information-and-assets" TargetMode="External"/><Relationship Id="rId62" Type="http://schemas.openxmlformats.org/officeDocument/2006/relationships/hyperlink" Target="https://www.gov.uk/government/publications/technology-code-of-practice/technology-code-of-practice" TargetMode="External"/><Relationship Id="rId83" Type="http://schemas.openxmlformats.org/officeDocument/2006/relationships/hyperlink" Target="https://www.gov.uk/government/publications/technology-code-of-practice/technology-code-of-practice" TargetMode="External"/><Relationship Id="rId88" Type="http://schemas.openxmlformats.org/officeDocument/2006/relationships/hyperlink" Target="https://www.gov.uk/government/publications/technology-code-of-practice/technology-code-of-practice" TargetMode="External"/><Relationship Id="rId111" Type="http://schemas.openxmlformats.org/officeDocument/2006/relationships/hyperlink" Target="https://www.gov.uk/guidance/g-cloud-templates-and-legal-documents" TargetMode="External"/><Relationship Id="rId132" Type="http://schemas.openxmlformats.org/officeDocument/2006/relationships/hyperlink" Target="https://www.gov.uk/guidance/g-cloud-templates-and-legal-documents" TargetMode="External"/><Relationship Id="rId153" Type="http://schemas.openxmlformats.org/officeDocument/2006/relationships/hyperlink" Target="https://www.gov.uk/service-manual/agile-delivery/spend-controls-check-if-you-need-approval-to-spend-money-on-a-service" TargetMode="External"/><Relationship Id="rId174" Type="http://schemas.openxmlformats.org/officeDocument/2006/relationships/hyperlink" Target="https://www.gov.uk/service-manual/agile-delivery/spend-controls-check-if-you-need-approval-to-spend-money-on-a-service" TargetMode="External"/><Relationship Id="rId179" Type="http://schemas.openxmlformats.org/officeDocument/2006/relationships/theme" Target="theme/theme1.xml"/><Relationship Id="rId15" Type="http://schemas.openxmlformats.org/officeDocument/2006/relationships/hyperlink" Target="https://www.gov.uk/government/publications/security-policy-framework" TargetMode="External"/><Relationship Id="rId36" Type="http://schemas.openxmlformats.org/officeDocument/2006/relationships/hyperlink" Target="https://www.cpni.gov.uk/protection-sensitive-information-and-assets" TargetMode="External"/><Relationship Id="rId57" Type="http://schemas.openxmlformats.org/officeDocument/2006/relationships/hyperlink" Target="https://www.gov.uk/government/publications/technology-code-of-practice/technology-code-of-practice" TargetMode="External"/><Relationship Id="rId106" Type="http://schemas.openxmlformats.org/officeDocument/2006/relationships/hyperlink" Target="https://www.gov.uk/guidance/g-cloud-templates-and-legal-documents" TargetMode="External"/><Relationship Id="rId127" Type="http://schemas.openxmlformats.org/officeDocument/2006/relationships/hyperlink" Target="https://www.gov.uk/guidance/g-cloud-templates-and-legal-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14511</Words>
  <Characters>82717</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cp:keywords/>
  <cp:lastModifiedBy>Biddle, Calvin</cp:lastModifiedBy>
  <cp:revision>2</cp:revision>
  <dcterms:created xsi:type="dcterms:W3CDTF">2019-01-14T09:37:00Z</dcterms:created>
  <dcterms:modified xsi:type="dcterms:W3CDTF">2019-01-14T09:37:00Z</dcterms:modified>
</cp:coreProperties>
</file>