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1"/>
        <w:tblW w:w="9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9"/>
        <w:gridCol w:w="4487"/>
      </w:tblGrid>
      <w:tr w:rsidR="00582B96" w:rsidRPr="008D4A19" w14:paraId="0D88743A" w14:textId="77777777" w:rsidTr="00061C01">
        <w:tc>
          <w:tcPr>
            <w:tcW w:w="4539" w:type="dxa"/>
          </w:tcPr>
          <w:p w14:paraId="0D887438" w14:textId="77777777" w:rsidR="00582B96" w:rsidRPr="008D4A19" w:rsidRDefault="00582B96" w:rsidP="00061C01">
            <w:pPr>
              <w:spacing w:after="200" w:line="276" w:lineRule="auto"/>
              <w:rPr>
                <w:rFonts w:eastAsiaTheme="minorHAnsi" w:cstheme="minorBidi"/>
                <w:b/>
                <w:color w:val="FF0000"/>
                <w:szCs w:val="22"/>
              </w:rPr>
            </w:pPr>
            <w:r w:rsidRPr="008D4A19">
              <w:rPr>
                <w:rFonts w:eastAsiaTheme="minorHAnsi" w:cstheme="minorBidi"/>
                <w:b/>
                <w:noProof/>
                <w:color w:val="FF0000"/>
                <w:szCs w:val="22"/>
                <w:lang w:eastAsia="en-GB"/>
              </w:rPr>
              <w:drawing>
                <wp:inline distT="0" distB="0" distL="0" distR="0" wp14:anchorId="0D8876C2" wp14:editId="0D8876C3">
                  <wp:extent cx="1555668" cy="933401"/>
                  <wp:effectExtent l="0" t="0" r="6985" b="635"/>
                  <wp:docPr id="9" name="Picture 5"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FA_BLK_AW"/>
                          <pic:cNvPicPr>
                            <a:picLocks noChangeAspect="1" noChangeArrowheads="1"/>
                          </pic:cNvPicPr>
                        </pic:nvPicPr>
                        <pic:blipFill>
                          <a:blip r:embed="rId12" cstate="print"/>
                          <a:srcRect/>
                          <a:stretch>
                            <a:fillRect/>
                          </a:stretch>
                        </pic:blipFill>
                        <pic:spPr bwMode="auto">
                          <a:xfrm>
                            <a:off x="0" y="0"/>
                            <a:ext cx="1563148" cy="937889"/>
                          </a:xfrm>
                          <a:prstGeom prst="rect">
                            <a:avLst/>
                          </a:prstGeom>
                          <a:noFill/>
                          <a:ln w="9525">
                            <a:noFill/>
                            <a:miter lim="800000"/>
                            <a:headEnd/>
                            <a:tailEnd/>
                          </a:ln>
                        </pic:spPr>
                      </pic:pic>
                    </a:graphicData>
                  </a:graphic>
                </wp:inline>
              </w:drawing>
            </w:r>
          </w:p>
        </w:tc>
        <w:tc>
          <w:tcPr>
            <w:tcW w:w="4487" w:type="dxa"/>
          </w:tcPr>
          <w:p w14:paraId="0D887439" w14:textId="77777777" w:rsidR="00582B96" w:rsidRPr="008D4A19" w:rsidRDefault="00582B96" w:rsidP="00061C01">
            <w:pPr>
              <w:spacing w:after="200" w:line="276" w:lineRule="auto"/>
              <w:jc w:val="right"/>
              <w:rPr>
                <w:rFonts w:eastAsiaTheme="minorHAnsi" w:cstheme="minorBidi"/>
                <w:b/>
                <w:color w:val="FF0000"/>
                <w:szCs w:val="22"/>
              </w:rPr>
            </w:pPr>
            <w:r>
              <w:rPr>
                <w:noProof/>
                <w:lang w:eastAsia="en-GB"/>
              </w:rPr>
              <w:drawing>
                <wp:inline distT="0" distB="0" distL="0" distR="0" wp14:anchorId="0D8876C4" wp14:editId="0D8876C5">
                  <wp:extent cx="1047135" cy="1047135"/>
                  <wp:effectExtent l="0" t="0" r="635" b="635"/>
                  <wp:docPr id="1"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bl>
    <w:p w14:paraId="0D88743B" w14:textId="77777777" w:rsidR="00582B96" w:rsidRDefault="00582B96" w:rsidP="00582B96"/>
    <w:p w14:paraId="0D88743C" w14:textId="77777777" w:rsidR="00582B96" w:rsidRPr="00D144D9" w:rsidRDefault="00582B96" w:rsidP="00582B96">
      <w:pPr>
        <w:rPr>
          <w:color w:val="FF0000"/>
        </w:rPr>
      </w:pPr>
    </w:p>
    <w:p w14:paraId="0D88743D" w14:textId="77777777" w:rsidR="00582B96" w:rsidRDefault="00582B96" w:rsidP="00582B96"/>
    <w:p w14:paraId="0D88743E" w14:textId="77777777" w:rsidR="00582B96" w:rsidRDefault="00582B96" w:rsidP="00582B96"/>
    <w:p w14:paraId="0D88743F" w14:textId="77777777" w:rsidR="00582B96" w:rsidRDefault="00582B96" w:rsidP="00582B96"/>
    <w:p w14:paraId="0D887440" w14:textId="77777777" w:rsidR="00C5289B" w:rsidRDefault="00C5289B" w:rsidP="00582B96">
      <w:pPr>
        <w:rPr>
          <w:b/>
          <w:sz w:val="52"/>
          <w:szCs w:val="52"/>
        </w:rPr>
      </w:pPr>
    </w:p>
    <w:p w14:paraId="0D887441" w14:textId="77777777" w:rsidR="00582B96" w:rsidRPr="00360CDD" w:rsidRDefault="00582B96" w:rsidP="00582B96">
      <w:pPr>
        <w:rPr>
          <w:b/>
          <w:sz w:val="52"/>
          <w:szCs w:val="52"/>
        </w:rPr>
      </w:pPr>
      <w:r w:rsidRPr="00360CDD">
        <w:rPr>
          <w:b/>
          <w:sz w:val="52"/>
          <w:szCs w:val="52"/>
        </w:rPr>
        <w:t xml:space="preserve">SPECIFICATION </w:t>
      </w:r>
    </w:p>
    <w:p w14:paraId="0D887442" w14:textId="77777777" w:rsidR="00582B96" w:rsidRDefault="00582B96" w:rsidP="00582B96">
      <w:pPr>
        <w:rPr>
          <w:b/>
          <w:sz w:val="48"/>
          <w:szCs w:val="48"/>
        </w:rPr>
      </w:pPr>
    </w:p>
    <w:p w14:paraId="0D887443" w14:textId="77777777" w:rsidR="00582B96" w:rsidRDefault="00582B96" w:rsidP="00582B96">
      <w:pPr>
        <w:rPr>
          <w:b/>
          <w:sz w:val="48"/>
          <w:szCs w:val="48"/>
        </w:rPr>
      </w:pPr>
    </w:p>
    <w:p w14:paraId="0D887444" w14:textId="77777777" w:rsidR="00582B96" w:rsidRDefault="00582B96" w:rsidP="00582B96">
      <w:pPr>
        <w:rPr>
          <w:b/>
          <w:sz w:val="48"/>
          <w:szCs w:val="48"/>
        </w:rPr>
      </w:pPr>
    </w:p>
    <w:p w14:paraId="0D887445" w14:textId="26AB0EA3" w:rsidR="00582B96" w:rsidRPr="0037054A" w:rsidRDefault="00582B96" w:rsidP="00582B96">
      <w:pPr>
        <w:rPr>
          <w:b/>
          <w:sz w:val="36"/>
          <w:szCs w:val="36"/>
        </w:rPr>
      </w:pPr>
      <w:r w:rsidRPr="00360CDD">
        <w:rPr>
          <w:b/>
          <w:sz w:val="36"/>
          <w:szCs w:val="36"/>
        </w:rPr>
        <w:t xml:space="preserve">INVITATION TO TENDER </w:t>
      </w:r>
      <w:r w:rsidR="0037054A" w:rsidRPr="0037054A">
        <w:rPr>
          <w:b/>
          <w:sz w:val="36"/>
          <w:szCs w:val="36"/>
        </w:rPr>
        <w:t>itt_300</w:t>
      </w:r>
      <w:r w:rsidR="002E1322">
        <w:rPr>
          <w:b/>
          <w:sz w:val="36"/>
          <w:szCs w:val="36"/>
        </w:rPr>
        <w:t>81</w:t>
      </w:r>
      <w:bookmarkStart w:id="0" w:name="_GoBack"/>
      <w:bookmarkEnd w:id="0"/>
    </w:p>
    <w:p w14:paraId="0D887446" w14:textId="77777777" w:rsidR="00582B96" w:rsidRPr="0037054A" w:rsidRDefault="00582B96" w:rsidP="00582B96">
      <w:pPr>
        <w:autoSpaceDE w:val="0"/>
        <w:autoSpaceDN w:val="0"/>
        <w:adjustRightInd w:val="0"/>
        <w:rPr>
          <w:rFonts w:cs="Arial"/>
          <w:b/>
          <w:bCs/>
          <w:sz w:val="48"/>
          <w:szCs w:val="48"/>
        </w:rPr>
      </w:pPr>
    </w:p>
    <w:p w14:paraId="0D887447" w14:textId="77777777" w:rsidR="00582B96" w:rsidRPr="0037054A" w:rsidRDefault="00582B96" w:rsidP="00582B96">
      <w:pPr>
        <w:autoSpaceDE w:val="0"/>
        <w:autoSpaceDN w:val="0"/>
        <w:adjustRightInd w:val="0"/>
        <w:rPr>
          <w:rFonts w:cs="Arial"/>
          <w:b/>
          <w:bCs/>
          <w:sz w:val="48"/>
          <w:szCs w:val="48"/>
        </w:rPr>
      </w:pPr>
    </w:p>
    <w:p w14:paraId="0D887448" w14:textId="77777777" w:rsidR="00582B96" w:rsidRPr="0037054A" w:rsidRDefault="00697B8B" w:rsidP="00A44796">
      <w:pPr>
        <w:autoSpaceDE w:val="0"/>
        <w:autoSpaceDN w:val="0"/>
        <w:adjustRightInd w:val="0"/>
        <w:rPr>
          <w:rFonts w:cs="Arial"/>
          <w:b/>
          <w:bCs/>
          <w:sz w:val="36"/>
          <w:szCs w:val="36"/>
        </w:rPr>
      </w:pPr>
      <w:r w:rsidRPr="0037054A">
        <w:rPr>
          <w:rFonts w:cs="Arial"/>
          <w:b/>
          <w:bCs/>
          <w:sz w:val="36"/>
          <w:szCs w:val="36"/>
        </w:rPr>
        <w:t>Skills development, job readiness and pre-apprenticeship training for unemployed groups; Modern Skills for Construction</w:t>
      </w:r>
      <w:r w:rsidR="00C10273" w:rsidRPr="0037054A">
        <w:rPr>
          <w:rFonts w:cs="Arial"/>
          <w:b/>
          <w:bCs/>
          <w:sz w:val="36"/>
          <w:szCs w:val="36"/>
        </w:rPr>
        <w:t xml:space="preserve"> </w:t>
      </w:r>
    </w:p>
    <w:p w14:paraId="0D887449" w14:textId="77777777" w:rsidR="00582B96" w:rsidRPr="0037054A" w:rsidRDefault="005608E8" w:rsidP="00582B96">
      <w:pPr>
        <w:rPr>
          <w:b/>
          <w:sz w:val="36"/>
          <w:szCs w:val="36"/>
        </w:rPr>
      </w:pPr>
      <w:r w:rsidRPr="0037054A">
        <w:rPr>
          <w:b/>
          <w:sz w:val="36"/>
          <w:szCs w:val="36"/>
        </w:rPr>
        <w:t>23-013-P1</w:t>
      </w:r>
    </w:p>
    <w:p w14:paraId="0D88744A" w14:textId="77777777" w:rsidR="00582B96" w:rsidRPr="0037054A" w:rsidRDefault="00582B96" w:rsidP="00582B96">
      <w:pPr>
        <w:rPr>
          <w:b/>
          <w:sz w:val="48"/>
          <w:szCs w:val="48"/>
        </w:rPr>
      </w:pPr>
    </w:p>
    <w:p w14:paraId="0D88744B" w14:textId="77777777" w:rsidR="00582B96" w:rsidRPr="0037054A" w:rsidRDefault="00E55A2F" w:rsidP="00582B96">
      <w:pPr>
        <w:rPr>
          <w:b/>
          <w:sz w:val="36"/>
          <w:szCs w:val="36"/>
        </w:rPr>
      </w:pPr>
      <w:r w:rsidRPr="0037054A">
        <w:rPr>
          <w:b/>
          <w:sz w:val="36"/>
          <w:szCs w:val="36"/>
        </w:rPr>
        <w:t>Geographic L</w:t>
      </w:r>
      <w:r w:rsidR="00582B96" w:rsidRPr="0037054A">
        <w:rPr>
          <w:b/>
          <w:sz w:val="36"/>
          <w:szCs w:val="36"/>
        </w:rPr>
        <w:t xml:space="preserve">ocation </w:t>
      </w:r>
      <w:r w:rsidR="00697B8B" w:rsidRPr="0037054A">
        <w:rPr>
          <w:b/>
          <w:sz w:val="36"/>
          <w:szCs w:val="36"/>
        </w:rPr>
        <w:t>London</w:t>
      </w:r>
    </w:p>
    <w:p w14:paraId="0D88744C" w14:textId="77777777" w:rsidR="00582B96" w:rsidRDefault="00582B96" w:rsidP="00582B96">
      <w:pPr>
        <w:rPr>
          <w:b/>
          <w:sz w:val="48"/>
          <w:szCs w:val="48"/>
        </w:rPr>
      </w:pPr>
    </w:p>
    <w:p w14:paraId="0D88744D" w14:textId="77777777" w:rsidR="00582B96" w:rsidRDefault="00582B96" w:rsidP="00582B96">
      <w:pPr>
        <w:rPr>
          <w:b/>
          <w:sz w:val="48"/>
          <w:szCs w:val="48"/>
        </w:rPr>
      </w:pPr>
    </w:p>
    <w:p w14:paraId="0D88744E" w14:textId="77777777" w:rsidR="00582B96" w:rsidRDefault="00582B96" w:rsidP="00582B96">
      <w:pPr>
        <w:rPr>
          <w:b/>
          <w:sz w:val="48"/>
          <w:szCs w:val="48"/>
        </w:rPr>
      </w:pPr>
    </w:p>
    <w:p w14:paraId="0D88744F" w14:textId="68C5497D" w:rsidR="00582B96" w:rsidRPr="00360CDD" w:rsidRDefault="00582B96" w:rsidP="00582B96">
      <w:pPr>
        <w:rPr>
          <w:b/>
          <w:sz w:val="36"/>
          <w:szCs w:val="36"/>
        </w:rPr>
      </w:pPr>
      <w:r w:rsidRPr="00360CDD">
        <w:rPr>
          <w:b/>
          <w:sz w:val="36"/>
          <w:szCs w:val="36"/>
        </w:rPr>
        <w:t>DATE:</w:t>
      </w:r>
      <w:r w:rsidR="002F71DB">
        <w:rPr>
          <w:b/>
          <w:sz w:val="36"/>
          <w:szCs w:val="36"/>
        </w:rPr>
        <w:t xml:space="preserve"> </w:t>
      </w:r>
      <w:r w:rsidR="0037054A">
        <w:rPr>
          <w:b/>
          <w:sz w:val="36"/>
          <w:szCs w:val="36"/>
        </w:rPr>
        <w:t>June</w:t>
      </w:r>
      <w:r w:rsidR="00F76597">
        <w:rPr>
          <w:b/>
          <w:sz w:val="36"/>
          <w:szCs w:val="36"/>
        </w:rPr>
        <w:t xml:space="preserve"> 2016</w:t>
      </w:r>
    </w:p>
    <w:p w14:paraId="0D887450" w14:textId="77777777" w:rsidR="00582B96" w:rsidRDefault="00582B96"/>
    <w:tbl>
      <w:tblPr>
        <w:tblW w:w="0" w:type="auto"/>
        <w:tblLook w:val="01E0" w:firstRow="1" w:lastRow="1" w:firstColumn="1" w:lastColumn="1" w:noHBand="0" w:noVBand="0"/>
      </w:tblPr>
      <w:tblGrid>
        <w:gridCol w:w="4421"/>
        <w:gridCol w:w="4366"/>
      </w:tblGrid>
      <w:tr w:rsidR="00ED67E0" w14:paraId="0D887453" w14:textId="77777777" w:rsidTr="00B24D65">
        <w:tc>
          <w:tcPr>
            <w:tcW w:w="4421" w:type="dxa"/>
          </w:tcPr>
          <w:p w14:paraId="0D887451" w14:textId="77777777" w:rsidR="00ED67E0" w:rsidRDefault="00ED67E0" w:rsidP="000419AD">
            <w:pPr>
              <w:pStyle w:val="Header"/>
              <w:tabs>
                <w:tab w:val="clear" w:pos="4153"/>
                <w:tab w:val="clear" w:pos="8306"/>
                <w:tab w:val="left" w:pos="1185"/>
              </w:tabs>
            </w:pPr>
            <w:r>
              <w:tab/>
            </w:r>
          </w:p>
        </w:tc>
        <w:tc>
          <w:tcPr>
            <w:tcW w:w="4366" w:type="dxa"/>
          </w:tcPr>
          <w:p w14:paraId="0D887452" w14:textId="77777777" w:rsidR="00ED67E0" w:rsidRDefault="00ED67E0" w:rsidP="000419AD">
            <w:pPr>
              <w:pStyle w:val="Header"/>
              <w:jc w:val="right"/>
            </w:pPr>
          </w:p>
        </w:tc>
      </w:tr>
      <w:tr w:rsidR="00ED67E0" w:rsidRPr="002465E9" w14:paraId="0D887456" w14:textId="77777777" w:rsidTr="00B24D65">
        <w:tc>
          <w:tcPr>
            <w:tcW w:w="4421" w:type="dxa"/>
          </w:tcPr>
          <w:p w14:paraId="0D887454" w14:textId="77777777" w:rsidR="00ED67E0" w:rsidRDefault="00ED67E0" w:rsidP="000419AD">
            <w:pPr>
              <w:pStyle w:val="Header"/>
            </w:pPr>
            <w:r>
              <w:rPr>
                <w:noProof/>
                <w:lang w:eastAsia="en-GB"/>
              </w:rPr>
              <w:lastRenderedPageBreak/>
              <w:drawing>
                <wp:inline distT="0" distB="0" distL="0" distR="0" wp14:anchorId="0D8876C6" wp14:editId="0D8876C7">
                  <wp:extent cx="1809750" cy="1085850"/>
                  <wp:effectExtent l="19050" t="0" r="0" b="0"/>
                  <wp:docPr id="8" name="Picture 1" descr="SFA_BLK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FA_BLK_AW"/>
                          <pic:cNvPicPr>
                            <a:picLocks noChangeAspect="1" noChangeArrowheads="1"/>
                          </pic:cNvPicPr>
                        </pic:nvPicPr>
                        <pic:blipFill>
                          <a:blip r:embed="rId14" cstate="print"/>
                          <a:srcRect/>
                          <a:stretch>
                            <a:fillRect/>
                          </a:stretch>
                        </pic:blipFill>
                        <pic:spPr bwMode="auto">
                          <a:xfrm>
                            <a:off x="0" y="0"/>
                            <a:ext cx="1809750" cy="1085850"/>
                          </a:xfrm>
                          <a:prstGeom prst="rect">
                            <a:avLst/>
                          </a:prstGeom>
                          <a:noFill/>
                          <a:ln w="9525">
                            <a:noFill/>
                            <a:miter lim="800000"/>
                            <a:headEnd/>
                            <a:tailEnd/>
                          </a:ln>
                        </pic:spPr>
                      </pic:pic>
                    </a:graphicData>
                  </a:graphic>
                </wp:inline>
              </w:drawing>
            </w:r>
          </w:p>
        </w:tc>
        <w:tc>
          <w:tcPr>
            <w:tcW w:w="4366" w:type="dxa"/>
          </w:tcPr>
          <w:p w14:paraId="0D887455" w14:textId="77777777" w:rsidR="00ED67E0" w:rsidRDefault="000D51DE" w:rsidP="000419AD">
            <w:pPr>
              <w:pStyle w:val="Header"/>
              <w:jc w:val="right"/>
            </w:pPr>
            <w:r>
              <w:rPr>
                <w:noProof/>
                <w:lang w:eastAsia="en-GB"/>
              </w:rPr>
              <w:drawing>
                <wp:inline distT="0" distB="0" distL="0" distR="0" wp14:anchorId="0D8876C8" wp14:editId="0D8876C9">
                  <wp:extent cx="1047135" cy="1047135"/>
                  <wp:effectExtent l="0" t="0" r="635" b="635"/>
                  <wp:docPr id="7" name="Picture 64" descr="Description: LogoESF_Col_Portra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Description: LogoESF_Col_Portrai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44960" cy="1044960"/>
                          </a:xfrm>
                          <a:prstGeom prst="rect">
                            <a:avLst/>
                          </a:prstGeom>
                          <a:noFill/>
                          <a:ln>
                            <a:noFill/>
                          </a:ln>
                        </pic:spPr>
                      </pic:pic>
                    </a:graphicData>
                  </a:graphic>
                </wp:inline>
              </w:drawing>
            </w:r>
          </w:p>
        </w:tc>
      </w:tr>
      <w:tr w:rsidR="008441FE" w:rsidRPr="002465E9" w14:paraId="0D887459" w14:textId="77777777" w:rsidTr="00B24D65">
        <w:tc>
          <w:tcPr>
            <w:tcW w:w="4421" w:type="dxa"/>
          </w:tcPr>
          <w:p w14:paraId="0D887457" w14:textId="77777777" w:rsidR="008441FE" w:rsidRDefault="008441FE" w:rsidP="000419AD">
            <w:pPr>
              <w:pStyle w:val="Header"/>
              <w:rPr>
                <w:noProof/>
                <w:lang w:eastAsia="en-GB"/>
              </w:rPr>
            </w:pPr>
          </w:p>
        </w:tc>
        <w:tc>
          <w:tcPr>
            <w:tcW w:w="4366" w:type="dxa"/>
          </w:tcPr>
          <w:p w14:paraId="0D887458" w14:textId="77777777" w:rsidR="008441FE" w:rsidRDefault="008441FE" w:rsidP="000419AD">
            <w:pPr>
              <w:pStyle w:val="Header"/>
              <w:jc w:val="right"/>
              <w:rPr>
                <w:noProof/>
                <w:lang w:eastAsia="en-GB"/>
              </w:rPr>
            </w:pPr>
          </w:p>
        </w:tc>
      </w:tr>
    </w:tbl>
    <w:p w14:paraId="0D88745A" w14:textId="77777777" w:rsidR="0015011A" w:rsidRDefault="0015011A" w:rsidP="0015011A"/>
    <w:tbl>
      <w:tblPr>
        <w:tblStyle w:val="TableGrid"/>
        <w:tblW w:w="5177" w:type="pct"/>
        <w:tblLayout w:type="fixed"/>
        <w:tblLook w:val="04A0" w:firstRow="1" w:lastRow="0" w:firstColumn="1" w:lastColumn="0" w:noHBand="0" w:noVBand="1"/>
      </w:tblPr>
      <w:tblGrid>
        <w:gridCol w:w="9088"/>
      </w:tblGrid>
      <w:tr w:rsidR="00967429" w:rsidRPr="00EF4406" w14:paraId="0D88745E" w14:textId="77777777" w:rsidTr="00E55A2F">
        <w:trPr>
          <w:trHeight w:val="597"/>
        </w:trPr>
        <w:tc>
          <w:tcPr>
            <w:tcW w:w="9088" w:type="dxa"/>
          </w:tcPr>
          <w:p w14:paraId="0D88745C" w14:textId="6CFE72CB" w:rsidR="007654E6" w:rsidRPr="0037054A" w:rsidRDefault="0037054A" w:rsidP="00A524B5">
            <w:pPr>
              <w:pStyle w:val="BodyText"/>
              <w:tabs>
                <w:tab w:val="num" w:pos="1134"/>
              </w:tabs>
              <w:spacing w:after="0"/>
              <w:jc w:val="both"/>
              <w:rPr>
                <w:rFonts w:ascii="Arial" w:hAnsi="Arial" w:cs="Arial"/>
                <w:b/>
              </w:rPr>
            </w:pPr>
            <w:r w:rsidRPr="0037054A">
              <w:rPr>
                <w:rFonts w:ascii="Arial" w:hAnsi="Arial" w:cs="Arial"/>
                <w:b/>
              </w:rPr>
              <w:t xml:space="preserve">ESF </w:t>
            </w:r>
            <w:r w:rsidR="00B3399A" w:rsidRPr="0037054A">
              <w:rPr>
                <w:rFonts w:ascii="Arial" w:hAnsi="Arial" w:cs="Arial"/>
                <w:b/>
              </w:rPr>
              <w:t xml:space="preserve">: </w:t>
            </w:r>
            <w:r w:rsidR="00A44796" w:rsidRPr="0037054A">
              <w:rPr>
                <w:rFonts w:ascii="Arial" w:hAnsi="Arial" w:cs="Arial"/>
                <w:b/>
              </w:rPr>
              <w:t>Skills development, job readiness and pre-apprenticeship training for unemployed groups; Modern Skills for Construction</w:t>
            </w:r>
            <w:r>
              <w:rPr>
                <w:rFonts w:ascii="Arial" w:hAnsi="Arial" w:cs="Arial"/>
                <w:b/>
              </w:rPr>
              <w:t xml:space="preserve"> itt _30076</w:t>
            </w:r>
          </w:p>
          <w:p w14:paraId="0D88745D" w14:textId="77777777" w:rsidR="00967429" w:rsidRPr="00200BC6" w:rsidRDefault="00967429" w:rsidP="00A524B5">
            <w:pPr>
              <w:pStyle w:val="BodyText"/>
              <w:tabs>
                <w:tab w:val="num" w:pos="1134"/>
              </w:tabs>
              <w:spacing w:after="0"/>
              <w:jc w:val="both"/>
              <w:rPr>
                <w:rFonts w:ascii="Arial" w:hAnsi="Arial" w:cs="Arial"/>
                <w:b/>
                <w:color w:val="FF0000"/>
              </w:rPr>
            </w:pPr>
          </w:p>
        </w:tc>
      </w:tr>
      <w:tr w:rsidR="00967429" w14:paraId="0D887460" w14:textId="77777777" w:rsidTr="00C02C70">
        <w:trPr>
          <w:trHeight w:val="567"/>
        </w:trPr>
        <w:tc>
          <w:tcPr>
            <w:tcW w:w="9088" w:type="dxa"/>
            <w:shd w:val="clear" w:color="auto" w:fill="D9D9D9" w:themeFill="background1" w:themeFillShade="D9"/>
            <w:vAlign w:val="center"/>
          </w:tcPr>
          <w:p w14:paraId="0D88745F" w14:textId="77777777" w:rsidR="00967429" w:rsidRPr="00FD3B0A" w:rsidRDefault="004C726D" w:rsidP="00FD3B0A">
            <w:pPr>
              <w:pStyle w:val="SpecificationHeading"/>
            </w:pPr>
            <w:r w:rsidRPr="00FD3B0A">
              <w:t>BACKGROUND</w:t>
            </w:r>
          </w:p>
        </w:tc>
      </w:tr>
      <w:tr w:rsidR="00967429" w:rsidRPr="00EF4406" w14:paraId="0D8874B9" w14:textId="77777777" w:rsidTr="00E55A2F">
        <w:tc>
          <w:tcPr>
            <w:tcW w:w="9088" w:type="dxa"/>
          </w:tcPr>
          <w:p w14:paraId="0D887461" w14:textId="77777777" w:rsidR="00B24D65" w:rsidRPr="002833D9" w:rsidRDefault="00B24D65" w:rsidP="00A524B5">
            <w:pPr>
              <w:tabs>
                <w:tab w:val="num" w:pos="900"/>
              </w:tabs>
              <w:autoSpaceDE w:val="0"/>
              <w:autoSpaceDN w:val="0"/>
              <w:adjustRightInd w:val="0"/>
              <w:rPr>
                <w:rFonts w:cs="Arial"/>
                <w:b/>
              </w:rPr>
            </w:pPr>
          </w:p>
          <w:p w14:paraId="0D887462" w14:textId="77777777" w:rsidR="001F0385" w:rsidRPr="002833D9" w:rsidRDefault="002833D9" w:rsidP="00A524B5">
            <w:pPr>
              <w:tabs>
                <w:tab w:val="num" w:pos="900"/>
              </w:tabs>
              <w:autoSpaceDE w:val="0"/>
              <w:autoSpaceDN w:val="0"/>
              <w:adjustRightInd w:val="0"/>
              <w:rPr>
                <w:rFonts w:cs="Arial"/>
                <w:b/>
              </w:rPr>
            </w:pPr>
            <w:r w:rsidRPr="002833D9">
              <w:rPr>
                <w:rFonts w:cs="Arial"/>
                <w:b/>
              </w:rPr>
              <w:t>General</w:t>
            </w:r>
          </w:p>
          <w:p w14:paraId="0D887463" w14:textId="77777777" w:rsidR="002833D9" w:rsidRPr="002833D9" w:rsidRDefault="002833D9" w:rsidP="00A524B5">
            <w:pPr>
              <w:tabs>
                <w:tab w:val="num" w:pos="900"/>
              </w:tabs>
              <w:autoSpaceDE w:val="0"/>
              <w:autoSpaceDN w:val="0"/>
              <w:adjustRightInd w:val="0"/>
              <w:rPr>
                <w:rFonts w:cs="Arial"/>
                <w:b/>
              </w:rPr>
            </w:pPr>
          </w:p>
          <w:p w14:paraId="0D887464" w14:textId="77777777" w:rsidR="00B24D65" w:rsidRPr="005A1D76" w:rsidRDefault="00B24D65" w:rsidP="00A524B5">
            <w:pPr>
              <w:tabs>
                <w:tab w:val="num" w:pos="900"/>
              </w:tabs>
              <w:autoSpaceDE w:val="0"/>
              <w:autoSpaceDN w:val="0"/>
              <w:adjustRightInd w:val="0"/>
              <w:rPr>
                <w:rFonts w:cs="Arial"/>
              </w:rPr>
            </w:pPr>
            <w:r w:rsidRPr="005A1D76">
              <w:rPr>
                <w:rFonts w:cs="Arial"/>
              </w:rPr>
              <w:t xml:space="preserve">The contracting authority is the Secretary of State for Business Innovation and </w:t>
            </w:r>
            <w:r w:rsidR="002E3B40" w:rsidRPr="005A1D76">
              <w:rPr>
                <w:rFonts w:cs="Arial"/>
              </w:rPr>
              <w:t xml:space="preserve">Skills </w:t>
            </w:r>
            <w:r w:rsidRPr="005A1D76">
              <w:rPr>
                <w:rFonts w:cs="Arial"/>
              </w:rPr>
              <w:t>acting through the Skills Funding Agency</w:t>
            </w:r>
            <w:r w:rsidR="00442DA3" w:rsidRPr="005A1D76">
              <w:rPr>
                <w:rFonts w:cs="Arial"/>
              </w:rPr>
              <w:t xml:space="preserve"> </w:t>
            </w:r>
            <w:r w:rsidRPr="005A1D76">
              <w:rPr>
                <w:rFonts w:cs="Arial"/>
              </w:rPr>
              <w:t>(SFA), an executive agency of the Department for Business Innovation and Skills exercising functions to fund adult education and skills.</w:t>
            </w:r>
          </w:p>
          <w:p w14:paraId="0D887465" w14:textId="77777777" w:rsidR="002833D9" w:rsidRPr="005A1D76" w:rsidRDefault="002833D9" w:rsidP="00A524B5">
            <w:pPr>
              <w:tabs>
                <w:tab w:val="num" w:pos="900"/>
              </w:tabs>
              <w:autoSpaceDE w:val="0"/>
              <w:autoSpaceDN w:val="0"/>
              <w:adjustRightInd w:val="0"/>
              <w:rPr>
                <w:rFonts w:cs="Arial"/>
              </w:rPr>
            </w:pPr>
          </w:p>
          <w:p w14:paraId="0D887466" w14:textId="77777777" w:rsidR="002833D9" w:rsidRPr="005A1D76" w:rsidRDefault="002833D9" w:rsidP="00A524B5">
            <w:pPr>
              <w:rPr>
                <w:rFonts w:cs="Arial"/>
              </w:rPr>
            </w:pPr>
            <w:r w:rsidRPr="005A1D76">
              <w:rPr>
                <w:rFonts w:cs="Arial"/>
              </w:rPr>
              <w:t>T</w:t>
            </w:r>
            <w:r w:rsidR="009F51A8" w:rsidRPr="005A1D76">
              <w:rPr>
                <w:rFonts w:cs="Arial"/>
              </w:rPr>
              <w:t>he SFA, acting as an Opt-In Organisation</w:t>
            </w:r>
            <w:r w:rsidRPr="005A1D76">
              <w:rPr>
                <w:rFonts w:cs="Arial"/>
              </w:rPr>
              <w:t xml:space="preserve"> for the European Social Fund (ESF), is procuring education and training services to meet priorities identified by </w:t>
            </w:r>
            <w:r w:rsidR="00F3689D" w:rsidRPr="005A1D76">
              <w:t xml:space="preserve">Local Enterprise Partnership (LEP) area European Structural and Investment Funds Sub–Committees. </w:t>
            </w:r>
            <w:r w:rsidRPr="005A1D76">
              <w:rPr>
                <w:rFonts w:cs="Arial"/>
              </w:rPr>
              <w:t>As a</w:t>
            </w:r>
            <w:r w:rsidR="009F51A8" w:rsidRPr="005A1D76">
              <w:rPr>
                <w:rFonts w:cs="Arial"/>
              </w:rPr>
              <w:t>n</w:t>
            </w:r>
            <w:r w:rsidRPr="005A1D76">
              <w:rPr>
                <w:rFonts w:cs="Arial"/>
              </w:rPr>
              <w:t xml:space="preserve"> </w:t>
            </w:r>
            <w:r w:rsidR="009F51A8" w:rsidRPr="005A1D76">
              <w:rPr>
                <w:rFonts w:cs="Arial"/>
              </w:rPr>
              <w:t>Opt-In Organisation</w:t>
            </w:r>
            <w:r w:rsidRPr="005A1D76">
              <w:rPr>
                <w:rFonts w:cs="Arial"/>
              </w:rPr>
              <w:t xml:space="preserve"> the SFA provides match funding at Priority Axis level utilising sources of public funding as match for ESF funded activity.</w:t>
            </w:r>
          </w:p>
          <w:p w14:paraId="0D887467" w14:textId="77777777" w:rsidR="002833D9" w:rsidRDefault="002833D9" w:rsidP="00A524B5">
            <w:pPr>
              <w:rPr>
                <w:rFonts w:cs="Arial"/>
              </w:rPr>
            </w:pPr>
          </w:p>
          <w:p w14:paraId="0D887468" w14:textId="77777777" w:rsidR="006E012E" w:rsidRPr="00A63E89" w:rsidRDefault="006E012E" w:rsidP="006E012E">
            <w:r w:rsidRPr="005A1D76">
              <w:rPr>
                <w:rFonts w:cs="Arial"/>
              </w:rPr>
              <w:t xml:space="preserve">This Invitation to Tender (ITT) </w:t>
            </w:r>
            <w:r w:rsidRPr="00AD0B65">
              <w:rPr>
                <w:rFonts w:cs="Arial"/>
              </w:rPr>
              <w:t>is for Priority</w:t>
            </w:r>
            <w:r>
              <w:rPr>
                <w:rFonts w:cs="Arial"/>
              </w:rPr>
              <w:t xml:space="preserve"> Axis</w:t>
            </w:r>
            <w:r w:rsidRPr="00AD0B65">
              <w:rPr>
                <w:rFonts w:cs="Arial"/>
              </w:rPr>
              <w:t xml:space="preserve"> </w:t>
            </w:r>
            <w:r>
              <w:rPr>
                <w:rFonts w:cs="Arial"/>
              </w:rPr>
              <w:t>1 and its Investment Priorities (IP)</w:t>
            </w:r>
            <w:r>
              <w:t>, wh</w:t>
            </w:r>
            <w:r w:rsidRPr="00A63E89">
              <w:t xml:space="preserve">ere the need has been identified both in the LEP area and European Structural and Investment Fund Strategies.  </w:t>
            </w:r>
          </w:p>
          <w:p w14:paraId="0D887469" w14:textId="77777777" w:rsidR="006E012E" w:rsidRPr="00AD0B65" w:rsidRDefault="006E012E" w:rsidP="006E012E">
            <w:pPr>
              <w:rPr>
                <w:rFonts w:cs="Arial"/>
              </w:rPr>
            </w:pPr>
          </w:p>
          <w:p w14:paraId="0D88746A" w14:textId="77777777" w:rsidR="006E012E" w:rsidRDefault="006E012E" w:rsidP="006E012E">
            <w:r w:rsidRPr="005608E8">
              <w:t>The Priority Axis 1 supports activity to increase participation in the labour market and thereby improve social inclusion and mobility.   The objectives of Priority Axis 1 covered in this specification are:</w:t>
            </w:r>
          </w:p>
          <w:p w14:paraId="7525AF04" w14:textId="77777777" w:rsidR="00C02C70" w:rsidRPr="005608E8" w:rsidRDefault="00C02C70" w:rsidP="006E012E"/>
          <w:p w14:paraId="0D88746B" w14:textId="77777777" w:rsidR="006E012E" w:rsidRPr="005608E8" w:rsidRDefault="006E012E" w:rsidP="006E012E">
            <w:pPr>
              <w:pStyle w:val="ListParagraph"/>
              <w:numPr>
                <w:ilvl w:val="0"/>
                <w:numId w:val="68"/>
              </w:numPr>
            </w:pPr>
            <w:r w:rsidRPr="005608E8">
              <w:t>To improve the employability of long-term unemployed people, so that they can compete effectively in the labour market.</w:t>
            </w:r>
          </w:p>
          <w:p w14:paraId="0D88746C" w14:textId="77777777" w:rsidR="006E012E" w:rsidRPr="005608E8" w:rsidRDefault="006E012E" w:rsidP="006E012E">
            <w:pPr>
              <w:pStyle w:val="ListParagraph"/>
              <w:numPr>
                <w:ilvl w:val="0"/>
                <w:numId w:val="68"/>
              </w:numPr>
            </w:pPr>
            <w:r w:rsidRPr="005608E8">
              <w:t xml:space="preserve">To provide </w:t>
            </w:r>
            <w:r w:rsidR="00105E0B" w:rsidRPr="005608E8">
              <w:t>participant</w:t>
            </w:r>
            <w:r w:rsidRPr="005608E8">
              <w:t>s from groups which face particular labour market disadvantage with additional support so that they can compete effectively in the labour market.</w:t>
            </w:r>
          </w:p>
          <w:p w14:paraId="0D88746D" w14:textId="77777777" w:rsidR="006E012E" w:rsidRPr="005608E8" w:rsidRDefault="006E012E" w:rsidP="006E012E">
            <w:pPr>
              <w:pStyle w:val="ListParagraph"/>
              <w:numPr>
                <w:ilvl w:val="0"/>
                <w:numId w:val="68"/>
              </w:numPr>
            </w:pPr>
            <w:r w:rsidRPr="005608E8">
              <w:t>To encourage inactive people to participate in the labour market and to improve their employability.</w:t>
            </w:r>
          </w:p>
          <w:p w14:paraId="0D88746E" w14:textId="77777777" w:rsidR="006E012E" w:rsidRPr="005608E8" w:rsidRDefault="006E012E" w:rsidP="006E012E">
            <w:pPr>
              <w:pStyle w:val="ListParagraph"/>
              <w:numPr>
                <w:ilvl w:val="0"/>
                <w:numId w:val="68"/>
              </w:numPr>
            </w:pPr>
            <w:r w:rsidRPr="005608E8">
              <w:t>To address the basic skills needs of unemployed and inactive people so that they can compete effectively in the labour market.</w:t>
            </w:r>
          </w:p>
          <w:p w14:paraId="0D88746F" w14:textId="77777777" w:rsidR="006E012E" w:rsidRPr="005608E8" w:rsidRDefault="006E012E" w:rsidP="006E012E">
            <w:pPr>
              <w:pStyle w:val="Default"/>
              <w:numPr>
                <w:ilvl w:val="0"/>
                <w:numId w:val="68"/>
              </w:numPr>
            </w:pPr>
            <w:r w:rsidRPr="005608E8">
              <w:t xml:space="preserve">To provide support for women at a disadvantage in the labour market, and particularly those who are currently inactive, to contribute to our efforts to reduce the gender employment gap. </w:t>
            </w:r>
          </w:p>
          <w:p w14:paraId="0D887470" w14:textId="77777777" w:rsidR="006E012E" w:rsidRPr="005608E8" w:rsidRDefault="006E012E" w:rsidP="006E012E">
            <w:pPr>
              <w:pStyle w:val="Default"/>
              <w:numPr>
                <w:ilvl w:val="0"/>
                <w:numId w:val="68"/>
              </w:numPr>
            </w:pPr>
            <w:r w:rsidRPr="005608E8">
              <w:lastRenderedPageBreak/>
              <w:t xml:space="preserve">To support people with multiple and complex barriers to participation to address these underlying issues and to move closer to or into the labour market. </w:t>
            </w:r>
          </w:p>
          <w:p w14:paraId="0D887471" w14:textId="77777777" w:rsidR="006E012E" w:rsidRPr="005608E8" w:rsidRDefault="006E012E" w:rsidP="006E012E">
            <w:pPr>
              <w:pStyle w:val="ListParagraph"/>
              <w:numPr>
                <w:ilvl w:val="0"/>
                <w:numId w:val="68"/>
              </w:numPr>
            </w:pPr>
            <w:r w:rsidRPr="005608E8">
              <w:t>To support prisoners in custody and on release, and those without work who are serving sentences in the community, to improve their employability.</w:t>
            </w:r>
          </w:p>
          <w:p w14:paraId="0D887472" w14:textId="77777777" w:rsidR="006E012E" w:rsidRPr="005608E8" w:rsidRDefault="006E012E" w:rsidP="006E012E">
            <w:pPr>
              <w:pStyle w:val="ListParagraph"/>
              <w:numPr>
                <w:ilvl w:val="0"/>
                <w:numId w:val="68"/>
              </w:numPr>
            </w:pPr>
            <w:r w:rsidRPr="005608E8">
              <w:t xml:space="preserve">To engage marginalised </w:t>
            </w:r>
            <w:r w:rsidR="00105E0B" w:rsidRPr="005608E8">
              <w:t>participant</w:t>
            </w:r>
            <w:r w:rsidRPr="005608E8">
              <w:t>s and support them to re-engage with education, training, or in employment.</w:t>
            </w:r>
          </w:p>
          <w:p w14:paraId="0D887473" w14:textId="77777777" w:rsidR="006E012E" w:rsidRPr="005608E8" w:rsidRDefault="006E012E" w:rsidP="006E012E"/>
          <w:p w14:paraId="0D887474" w14:textId="1A90C430" w:rsidR="006E012E" w:rsidRDefault="006E012E" w:rsidP="006E012E">
            <w:r>
              <w:t xml:space="preserve">The </w:t>
            </w:r>
            <w:r w:rsidR="008403E4">
              <w:t>theme</w:t>
            </w:r>
            <w:r>
              <w:t xml:space="preserve"> in Priority Axis 1 in this specification are:</w:t>
            </w:r>
          </w:p>
          <w:p w14:paraId="0D887475" w14:textId="77777777" w:rsidR="006E012E" w:rsidRDefault="006E012E" w:rsidP="006E012E">
            <w:pPr>
              <w:pStyle w:val="ListParagraph"/>
              <w:numPr>
                <w:ilvl w:val="0"/>
                <w:numId w:val="69"/>
              </w:numPr>
            </w:pPr>
            <w:r w:rsidRPr="003E0C7F">
              <w:rPr>
                <w:b/>
              </w:rPr>
              <w:t>Access to employment for jobseekers and inactive people</w:t>
            </w:r>
            <w:r>
              <w:t xml:space="preserve"> (IP1.1) - to help those who are disadvantaged but still relatively close to the labour market to tackle their barriers to work, and enter and sustain employment.  </w:t>
            </w:r>
          </w:p>
          <w:p w14:paraId="0D887476" w14:textId="77777777" w:rsidR="006E012E" w:rsidRPr="005A1D76" w:rsidRDefault="006E012E" w:rsidP="00A524B5">
            <w:pPr>
              <w:rPr>
                <w:rFonts w:cs="Arial"/>
              </w:rPr>
            </w:pPr>
          </w:p>
          <w:p w14:paraId="0D887477" w14:textId="77777777" w:rsidR="006E012E" w:rsidRPr="003E0C7F" w:rsidRDefault="006E012E" w:rsidP="006E012E">
            <w:pPr>
              <w:rPr>
                <w:b/>
              </w:rPr>
            </w:pPr>
            <w:r w:rsidRPr="003E0C7F">
              <w:rPr>
                <w:b/>
              </w:rPr>
              <w:t xml:space="preserve">Access to </w:t>
            </w:r>
            <w:r>
              <w:rPr>
                <w:b/>
              </w:rPr>
              <w:t>E</w:t>
            </w:r>
            <w:r w:rsidRPr="003E0C7F">
              <w:rPr>
                <w:b/>
              </w:rPr>
              <w:t xml:space="preserve">mployment for </w:t>
            </w:r>
            <w:r>
              <w:rPr>
                <w:b/>
              </w:rPr>
              <w:t>J</w:t>
            </w:r>
            <w:r w:rsidRPr="003E0C7F">
              <w:rPr>
                <w:b/>
              </w:rPr>
              <w:t xml:space="preserve">obseekers and </w:t>
            </w:r>
            <w:r>
              <w:rPr>
                <w:b/>
              </w:rPr>
              <w:t>I</w:t>
            </w:r>
            <w:r w:rsidRPr="003E0C7F">
              <w:rPr>
                <w:b/>
              </w:rPr>
              <w:t xml:space="preserve">nactive </w:t>
            </w:r>
            <w:r>
              <w:rPr>
                <w:b/>
              </w:rPr>
              <w:t>P</w:t>
            </w:r>
            <w:r w:rsidRPr="003E0C7F">
              <w:rPr>
                <w:b/>
              </w:rPr>
              <w:t>eople</w:t>
            </w:r>
          </w:p>
          <w:p w14:paraId="0D887478" w14:textId="77777777" w:rsidR="006E012E" w:rsidRDefault="006E012E" w:rsidP="006E012E">
            <w:pPr>
              <w:rPr>
                <w:rFonts w:cs="Arial"/>
                <w:b/>
              </w:rPr>
            </w:pPr>
          </w:p>
          <w:p w14:paraId="0D887479" w14:textId="77777777" w:rsidR="006E012E" w:rsidRPr="005608E8" w:rsidRDefault="006E012E" w:rsidP="006E012E">
            <w:pPr>
              <w:autoSpaceDE w:val="0"/>
              <w:autoSpaceDN w:val="0"/>
              <w:adjustRightInd w:val="0"/>
              <w:rPr>
                <w:rFonts w:cs="Arial"/>
                <w:color w:val="000000"/>
                <w:lang w:eastAsia="en-GB"/>
              </w:rPr>
            </w:pPr>
            <w:r w:rsidRPr="005608E8">
              <w:rPr>
                <w:rFonts w:cs="Arial"/>
                <w:color w:val="000000"/>
                <w:lang w:eastAsia="en-GB"/>
              </w:rPr>
              <w:t xml:space="preserve">The Government is promoting employment for all by providing support mechanisms and benefits that incentivise work and reduce worklessness, to ensure that </w:t>
            </w:r>
            <w:r w:rsidR="00105E0B" w:rsidRPr="005608E8">
              <w:rPr>
                <w:rFonts w:cs="Arial"/>
                <w:color w:val="000000"/>
                <w:lang w:eastAsia="en-GB"/>
              </w:rPr>
              <w:t>participant</w:t>
            </w:r>
            <w:r w:rsidRPr="005608E8">
              <w:rPr>
                <w:rFonts w:cs="Arial"/>
                <w:color w:val="000000"/>
                <w:lang w:eastAsia="en-GB"/>
              </w:rPr>
              <w:t xml:space="preserve">s can fulfil their potential within the labour market. National policies to help people move from welfare to employment are designed to ensure that jobseekers get the support they need to find a job and, in return, jobseekers are expected to do all they can to find work. </w:t>
            </w:r>
          </w:p>
          <w:p w14:paraId="0D88747A" w14:textId="77777777" w:rsidR="006E012E" w:rsidRPr="005608E8" w:rsidRDefault="006E012E" w:rsidP="006E012E">
            <w:pPr>
              <w:autoSpaceDE w:val="0"/>
              <w:autoSpaceDN w:val="0"/>
              <w:adjustRightInd w:val="0"/>
              <w:rPr>
                <w:rFonts w:cs="Arial"/>
                <w:color w:val="000000"/>
                <w:lang w:eastAsia="en-GB"/>
              </w:rPr>
            </w:pPr>
          </w:p>
          <w:p w14:paraId="0D88747B" w14:textId="0C10AA2B" w:rsidR="006E012E" w:rsidRPr="005608E8" w:rsidRDefault="006E012E" w:rsidP="006E012E">
            <w:pPr>
              <w:tabs>
                <w:tab w:val="num" w:pos="900"/>
              </w:tabs>
              <w:autoSpaceDE w:val="0"/>
              <w:autoSpaceDN w:val="0"/>
              <w:adjustRightInd w:val="0"/>
              <w:rPr>
                <w:rFonts w:cs="Arial"/>
              </w:rPr>
            </w:pPr>
            <w:r w:rsidRPr="005608E8">
              <w:rPr>
                <w:rFonts w:cs="Arial"/>
                <w:color w:val="000000"/>
                <w:lang w:eastAsia="en-GB"/>
              </w:rPr>
              <w:t xml:space="preserve">As the recovery strengthens, it is likely that those closest to the labour market will find it easier to find work, but there is a risk that the most disadvantaged will be left behind and find it increasingly difficult to compete effectively for work. ESF will therefore be used to ensure that these disadvantaged groups are provided with the right level of support, tailored to the needs of </w:t>
            </w:r>
            <w:r w:rsidR="00105E0B" w:rsidRPr="005608E8">
              <w:rPr>
                <w:rFonts w:cs="Arial"/>
                <w:color w:val="000000"/>
                <w:lang w:eastAsia="en-GB"/>
              </w:rPr>
              <w:t>participant</w:t>
            </w:r>
            <w:r w:rsidRPr="005608E8">
              <w:rPr>
                <w:rFonts w:cs="Arial"/>
                <w:color w:val="000000"/>
                <w:lang w:eastAsia="en-GB"/>
              </w:rPr>
              <w:t xml:space="preserve">s and businesses in local labour markets. This will be the primary added value for ESF. Activities include help to identify the barriers </w:t>
            </w:r>
            <w:r w:rsidR="00105E0B" w:rsidRPr="005608E8">
              <w:rPr>
                <w:rFonts w:cs="Arial"/>
                <w:color w:val="000000"/>
                <w:lang w:eastAsia="en-GB"/>
              </w:rPr>
              <w:t>participant</w:t>
            </w:r>
            <w:r w:rsidRPr="005608E8">
              <w:rPr>
                <w:rFonts w:cs="Arial"/>
                <w:color w:val="000000"/>
                <w:lang w:eastAsia="en-GB"/>
              </w:rPr>
              <w:t xml:space="preserve">s face in moving into work (for example: confidence, lack of recent work experience, basic skills, job-related skills, </w:t>
            </w:r>
            <w:r w:rsidR="00C02C70" w:rsidRPr="005608E8">
              <w:rPr>
                <w:rFonts w:cs="Arial"/>
                <w:color w:val="000000"/>
                <w:lang w:eastAsia="en-GB"/>
              </w:rPr>
              <w:t>job seeking</w:t>
            </w:r>
            <w:r w:rsidRPr="005608E8">
              <w:rPr>
                <w:rFonts w:cs="Arial"/>
                <w:color w:val="000000"/>
                <w:lang w:eastAsia="en-GB"/>
              </w:rPr>
              <w:t xml:space="preserve"> skills, or other material barriers like debt or transport difficulties) and working with them to tackle these barriers.</w:t>
            </w:r>
          </w:p>
          <w:p w14:paraId="0D88747C" w14:textId="77777777" w:rsidR="003441FF" w:rsidRDefault="003441FF" w:rsidP="00A524B5">
            <w:pPr>
              <w:rPr>
                <w:rFonts w:cs="Arial"/>
              </w:rPr>
            </w:pPr>
          </w:p>
          <w:p w14:paraId="0D88747D" w14:textId="77777777" w:rsidR="00F16B23" w:rsidRDefault="00774920" w:rsidP="00697B8B">
            <w:pPr>
              <w:rPr>
                <w:rFonts w:cs="Arial"/>
                <w:b/>
              </w:rPr>
            </w:pPr>
            <w:r>
              <w:rPr>
                <w:rFonts w:cs="Arial"/>
                <w:b/>
              </w:rPr>
              <w:t xml:space="preserve">London Enterprise Panel </w:t>
            </w:r>
            <w:r w:rsidR="00F16B23">
              <w:rPr>
                <w:rFonts w:cs="Arial"/>
                <w:b/>
              </w:rPr>
              <w:t>Background</w:t>
            </w:r>
          </w:p>
          <w:p w14:paraId="0D88747E" w14:textId="77777777" w:rsidR="00F16B23" w:rsidRDefault="00F16B23" w:rsidP="00697B8B">
            <w:pPr>
              <w:rPr>
                <w:rFonts w:cs="Arial"/>
                <w:b/>
                <w:u w:val="single"/>
              </w:rPr>
            </w:pPr>
          </w:p>
          <w:p w14:paraId="0D88747F" w14:textId="77777777" w:rsidR="000F67B3" w:rsidRPr="00BC3EC3" w:rsidRDefault="000F67B3" w:rsidP="000F67B3">
            <w:pPr>
              <w:rPr>
                <w:rFonts w:cs="Arial"/>
              </w:rPr>
            </w:pPr>
            <w:r w:rsidRPr="00BC3EC3">
              <w:rPr>
                <w:rFonts w:cs="Arial"/>
              </w:rPr>
              <w:t xml:space="preserve">ESF in London is managed by the Greater London Authority who act as the Intermediate Body for ESF under the strategic direction of the Mayor and the London Enterprise Panel.  </w:t>
            </w:r>
          </w:p>
          <w:p w14:paraId="0D887480" w14:textId="77777777" w:rsidR="000F67B3" w:rsidRPr="00BC3EC3" w:rsidRDefault="000F67B3" w:rsidP="000F67B3">
            <w:pPr>
              <w:rPr>
                <w:rFonts w:cs="Arial"/>
              </w:rPr>
            </w:pPr>
          </w:p>
          <w:p w14:paraId="0D887481" w14:textId="77777777" w:rsidR="000F67B3" w:rsidRPr="00BC3EC3" w:rsidRDefault="000F67B3" w:rsidP="000F67B3">
            <w:pPr>
              <w:rPr>
                <w:rFonts w:cs="Arial"/>
              </w:rPr>
            </w:pPr>
            <w:r w:rsidRPr="00BC3EC3">
              <w:rPr>
                <w:rFonts w:cs="Arial"/>
              </w:rPr>
              <w:t>The London Enterprise Panel (LEP) produced a detailed European Structural and Investment Fund (ESIF) Strategy in 2014 detailing how ESF supported the capital’s Jobs and Growth aims.  The LEP has been allocated approximately £748m for the delivery of the ESIF Strategy for London 2014-20 (</w:t>
            </w:r>
            <w:hyperlink r:id="rId15" w:history="1">
              <w:r w:rsidRPr="00BC3EC3">
                <w:rPr>
                  <w:rStyle w:val="Hyperlink"/>
                  <w:rFonts w:cs="Arial"/>
                  <w:sz w:val="24"/>
                  <w:szCs w:val="24"/>
                </w:rPr>
                <w:t>https://lep.london/publication/european-funding-strategy-2014-20</w:t>
              </w:r>
            </w:hyperlink>
            <w:r w:rsidRPr="00BC3EC3">
              <w:rPr>
                <w:rFonts w:cs="Arial"/>
              </w:rPr>
              <w:t>)</w:t>
            </w:r>
          </w:p>
          <w:p w14:paraId="0D887482" w14:textId="77777777" w:rsidR="000F67B3" w:rsidRPr="00BC3EC3" w:rsidRDefault="000F67B3" w:rsidP="000F67B3">
            <w:pPr>
              <w:rPr>
                <w:rFonts w:cs="Arial"/>
              </w:rPr>
            </w:pPr>
          </w:p>
          <w:p w14:paraId="0D887483" w14:textId="77777777" w:rsidR="000F67B3" w:rsidRPr="00BC3EC3" w:rsidRDefault="000F67B3" w:rsidP="000F67B3">
            <w:pPr>
              <w:rPr>
                <w:rFonts w:cs="Arial"/>
              </w:rPr>
            </w:pPr>
            <w:r w:rsidRPr="00BC3EC3">
              <w:rPr>
                <w:rFonts w:cs="Arial"/>
              </w:rPr>
              <w:t xml:space="preserve">The ESIF Strategy for London builds on the LEP’s Jobs and Growth Plan.  Alongside London’s successes there are many challenges; juxtaposed with highly successful agile and profitable labour markets are significant pockets of </w:t>
            </w:r>
            <w:r w:rsidRPr="00BC3EC3">
              <w:rPr>
                <w:rFonts w:cs="Arial"/>
              </w:rPr>
              <w:lastRenderedPageBreak/>
              <w:t xml:space="preserve">deprivation, worklessness and economic under performance.  The residents of many London boroughs do not possess the skills or opportunities to share in the successes of local markets.  London’s allocation of funding allows the LEP to develop a responsive and relevant portfolio of activities to tackle the ESIF strategy challenges. </w:t>
            </w:r>
          </w:p>
          <w:p w14:paraId="0D887484" w14:textId="77777777" w:rsidR="000F67B3" w:rsidRPr="00BC3EC3" w:rsidRDefault="000F67B3" w:rsidP="000F67B3">
            <w:pPr>
              <w:rPr>
                <w:rFonts w:cs="Arial"/>
              </w:rPr>
            </w:pPr>
          </w:p>
          <w:p w14:paraId="0D887485" w14:textId="77777777" w:rsidR="000F67B3" w:rsidRDefault="000F67B3" w:rsidP="000F67B3">
            <w:pPr>
              <w:rPr>
                <w:rFonts w:cs="Arial"/>
              </w:rPr>
            </w:pPr>
            <w:r w:rsidRPr="00BC3EC3">
              <w:rPr>
                <w:rFonts w:cs="Arial"/>
              </w:rPr>
              <w:t xml:space="preserve">With this in mind, the LEP has designed a range of ESF employment and skills programmes, including sector specific skills provision which is demand led, aimed at equipping business with the skills they need to grow their business. Interventions should focus on areas with opportunities for sustained employment and include employer engagement wherever possible to support the achievement of job outcomes. </w:t>
            </w:r>
          </w:p>
          <w:p w14:paraId="0D887486" w14:textId="77777777" w:rsidR="000F67B3" w:rsidRPr="00BC3EC3" w:rsidRDefault="000F67B3" w:rsidP="000F67B3">
            <w:pPr>
              <w:rPr>
                <w:rFonts w:cs="Arial"/>
              </w:rPr>
            </w:pPr>
          </w:p>
          <w:p w14:paraId="0D887487" w14:textId="77777777" w:rsidR="000F67B3" w:rsidRDefault="000F67B3" w:rsidP="000F67B3">
            <w:pPr>
              <w:rPr>
                <w:rFonts w:cs="Arial"/>
              </w:rPr>
            </w:pPr>
            <w:r w:rsidRPr="00BC3EC3">
              <w:rPr>
                <w:rFonts w:cs="Arial"/>
              </w:rPr>
              <w:t xml:space="preserve">There is also a strong focus on in-work progression and poverty. The LEP has consistently championed the London Living Wage and will continue to do so with a range of ESF programmes looking to lift people out of poverty. These include support for low paid workers, particularly parents, as well as incentivising providers to support people into well paid, sustainable work where possible. </w:t>
            </w:r>
          </w:p>
          <w:p w14:paraId="0D887488" w14:textId="77777777" w:rsidR="002B75AC" w:rsidRPr="00BC3EC3" w:rsidRDefault="002B75AC" w:rsidP="000F67B3">
            <w:pPr>
              <w:rPr>
                <w:rFonts w:cs="Arial"/>
              </w:rPr>
            </w:pPr>
          </w:p>
          <w:p w14:paraId="0D887489" w14:textId="77777777" w:rsidR="000F67B3" w:rsidRDefault="000F67B3" w:rsidP="000F67B3">
            <w:pPr>
              <w:rPr>
                <w:rFonts w:cs="Arial"/>
              </w:rPr>
            </w:pPr>
            <w:r w:rsidRPr="00BC3EC3">
              <w:rPr>
                <w:rFonts w:cs="Arial"/>
              </w:rPr>
              <w:t xml:space="preserve">Support will be delivered through sub-regional contracts based on existing borough sub-regional partnerships. This will allow better coordination of activities and integration with local borough services, and contracts of this scale also appear to be good value for money. </w:t>
            </w:r>
          </w:p>
          <w:p w14:paraId="0D88748A" w14:textId="77777777" w:rsidR="000F67B3" w:rsidRPr="00BC3EC3" w:rsidRDefault="000F67B3" w:rsidP="000F67B3">
            <w:pPr>
              <w:rPr>
                <w:rFonts w:cs="Arial"/>
              </w:rPr>
            </w:pPr>
          </w:p>
          <w:p w14:paraId="0D88748B" w14:textId="77777777" w:rsidR="000F67B3" w:rsidRPr="00BC3EC3" w:rsidRDefault="000F67B3" w:rsidP="000F67B3">
            <w:pPr>
              <w:rPr>
                <w:rFonts w:cs="Arial"/>
              </w:rPr>
            </w:pPr>
            <w:r w:rsidRPr="00BC3EC3">
              <w:rPr>
                <w:rFonts w:cs="Arial"/>
              </w:rPr>
              <w:t xml:space="preserve">In developing these programmes, the LEP has brought together stakeholders including the ESF </w:t>
            </w:r>
            <w:r w:rsidR="005608E8" w:rsidRPr="00BC3EC3">
              <w:rPr>
                <w:rFonts w:cs="Arial"/>
              </w:rPr>
              <w:t>Co-financing</w:t>
            </w:r>
            <w:r w:rsidRPr="00BC3EC3">
              <w:rPr>
                <w:rFonts w:cs="Arial"/>
              </w:rPr>
              <w:t xml:space="preserve"> organisations (CFOs), London Councils, the London Voluntary Service Council (LVSC), local communities and Job Centre Plus. The LEP has also applied lessons learnt from the 2007-2013 London ESF programme.  As a result of these discussions, the programmes will reflect the ESIF Strategy’s three Investment Themes: Freedoms, Flexibilities and Funding Incentives; Informed Customers; Employer Engagement; and respond to the objective of providing Londoners, especially disadvantaged Londoners, the skills they need to get, remain in and prosper in jobs.  </w:t>
            </w:r>
          </w:p>
          <w:p w14:paraId="0D88748C" w14:textId="77777777" w:rsidR="000F67B3" w:rsidRPr="00BC3EC3" w:rsidRDefault="000F67B3" w:rsidP="000F67B3">
            <w:pPr>
              <w:rPr>
                <w:rFonts w:cs="Arial"/>
              </w:rPr>
            </w:pPr>
          </w:p>
          <w:p w14:paraId="0D88748D" w14:textId="77777777" w:rsidR="000F67B3" w:rsidRPr="00BC3EC3" w:rsidRDefault="000F67B3" w:rsidP="000F67B3">
            <w:pPr>
              <w:rPr>
                <w:rFonts w:cs="Arial"/>
              </w:rPr>
            </w:pPr>
            <w:r w:rsidRPr="00BC3EC3">
              <w:rPr>
                <w:rFonts w:cs="Arial"/>
              </w:rPr>
              <w:t xml:space="preserve">A summary of the complete package of all ESF employment and skills programmes that will be procured across the CFOs in London (SFA, DWP and Big Lottery Fund) for the first phase of the 2014-2020 ESIF programme – can be found here: </w:t>
            </w:r>
          </w:p>
          <w:p w14:paraId="0D88748E" w14:textId="77777777" w:rsidR="000F67B3" w:rsidRPr="00BC3EC3" w:rsidRDefault="000F67B3" w:rsidP="000F67B3">
            <w:pPr>
              <w:rPr>
                <w:rFonts w:cs="Arial"/>
              </w:rPr>
            </w:pPr>
          </w:p>
          <w:p w14:paraId="0D88748F" w14:textId="77777777" w:rsidR="000F67B3" w:rsidRPr="00BC3EC3" w:rsidRDefault="00C72F48" w:rsidP="000F67B3">
            <w:pPr>
              <w:rPr>
                <w:rFonts w:cs="Arial"/>
              </w:rPr>
            </w:pPr>
            <w:hyperlink r:id="rId16" w:history="1">
              <w:r w:rsidR="000F67B3" w:rsidRPr="0061095A">
                <w:rPr>
                  <w:rStyle w:val="Hyperlink"/>
                  <w:rFonts w:cs="Arial"/>
                  <w:sz w:val="24"/>
                  <w:szCs w:val="24"/>
                </w:rPr>
                <w:t>https://lep.london/publication/european-social-fund-proposed-opt-organisation-provision</w:t>
              </w:r>
            </w:hyperlink>
            <w:r w:rsidR="000F67B3">
              <w:rPr>
                <w:rFonts w:cs="Arial"/>
              </w:rPr>
              <w:t xml:space="preserve"> </w:t>
            </w:r>
          </w:p>
          <w:p w14:paraId="0D887490" w14:textId="77777777" w:rsidR="000F67B3" w:rsidRPr="00BC3EC3" w:rsidRDefault="000F67B3" w:rsidP="000F67B3">
            <w:pPr>
              <w:rPr>
                <w:rFonts w:cs="Arial"/>
              </w:rPr>
            </w:pPr>
          </w:p>
          <w:p w14:paraId="0D887491" w14:textId="77777777" w:rsidR="000F67B3" w:rsidRPr="00BC3EC3" w:rsidRDefault="000F67B3" w:rsidP="000F67B3">
            <w:pPr>
              <w:rPr>
                <w:rFonts w:cs="Arial"/>
              </w:rPr>
            </w:pPr>
            <w:r w:rsidRPr="00BC3EC3">
              <w:rPr>
                <w:rFonts w:cs="Arial"/>
              </w:rPr>
              <w:t>Bidders should be committed to working in partnership to deliver the ESF programmes in London ‎and consider how they will work collaboratively to achieve the overall programme objectives. The LEP is keen to do what it can to encourage the integration of ESF provision with other local services.</w:t>
            </w:r>
          </w:p>
          <w:p w14:paraId="0D887492" w14:textId="77777777" w:rsidR="000F67B3" w:rsidRPr="00C34952" w:rsidRDefault="000F67B3" w:rsidP="00697B8B">
            <w:pPr>
              <w:rPr>
                <w:rFonts w:cs="Arial"/>
                <w:b/>
                <w:u w:val="single"/>
              </w:rPr>
            </w:pPr>
          </w:p>
          <w:p w14:paraId="0D887495" w14:textId="77777777" w:rsidR="00774920" w:rsidRPr="005608E8" w:rsidRDefault="00774920" w:rsidP="00921292">
            <w:pPr>
              <w:rPr>
                <w:rFonts w:cs="Arial"/>
                <w:b/>
              </w:rPr>
            </w:pPr>
            <w:r w:rsidRPr="005608E8">
              <w:rPr>
                <w:rFonts w:cs="Arial"/>
                <w:b/>
              </w:rPr>
              <w:t>Service Specific Background</w:t>
            </w:r>
          </w:p>
          <w:p w14:paraId="0D887496" w14:textId="77777777" w:rsidR="00774920" w:rsidRPr="005608E8" w:rsidRDefault="00774920" w:rsidP="00921292">
            <w:pPr>
              <w:rPr>
                <w:rFonts w:cs="Arial"/>
                <w:b/>
              </w:rPr>
            </w:pPr>
          </w:p>
          <w:p w14:paraId="0D887497" w14:textId="56841EDC" w:rsidR="00921292" w:rsidRPr="005608E8" w:rsidRDefault="00E55A2F" w:rsidP="00921292">
            <w:pPr>
              <w:rPr>
                <w:rFonts w:cs="Arial"/>
              </w:rPr>
            </w:pPr>
            <w:r w:rsidRPr="005608E8">
              <w:rPr>
                <w:rFonts w:cs="Arial"/>
              </w:rPr>
              <w:lastRenderedPageBreak/>
              <w:t>T</w:t>
            </w:r>
            <w:r w:rsidR="00921292" w:rsidRPr="005608E8">
              <w:rPr>
                <w:rFonts w:cs="Arial"/>
              </w:rPr>
              <w:t>his programme aims to get unemployed and economically inactive Londoners into construction jobs created by developments across London, by giving them the skills needed to compete effectively in the modern construction industry.  It will upskill and support Londoners into constructi</w:t>
            </w:r>
            <w:r w:rsidR="00FE29DC">
              <w:rPr>
                <w:rFonts w:cs="Arial"/>
              </w:rPr>
              <w:t>on</w:t>
            </w:r>
            <w:r w:rsidR="00921292" w:rsidRPr="005608E8">
              <w:rPr>
                <w:rFonts w:cs="Arial"/>
              </w:rPr>
              <w:t xml:space="preserve"> jobs requiring ‘modern’ construction skills, facilitating their mobility between sites to ensure sustainability and that they progress into well paid employment.  It will support businesses to recruit Londoners into employment across key London developments such as Nine Elms Vauxhall, Elephant and Castle, King’s Cross Central, and others, through demand led, employer informed approaches.</w:t>
            </w:r>
          </w:p>
          <w:p w14:paraId="0D887498" w14:textId="77777777" w:rsidR="00921292" w:rsidRPr="005608E8" w:rsidRDefault="00921292" w:rsidP="003D53F5">
            <w:pPr>
              <w:rPr>
                <w:rFonts w:cs="Arial"/>
              </w:rPr>
            </w:pPr>
          </w:p>
          <w:p w14:paraId="0D887499" w14:textId="77777777" w:rsidR="003D53F5" w:rsidRPr="005608E8" w:rsidRDefault="003D53F5" w:rsidP="003D53F5">
            <w:pPr>
              <w:rPr>
                <w:rFonts w:cs="Arial"/>
              </w:rPr>
            </w:pPr>
            <w:r w:rsidRPr="005608E8">
              <w:rPr>
                <w:rFonts w:cs="Arial"/>
              </w:rPr>
              <w:t>London is currently undergoing a significant period of intensive construction activity, with construction activity forecast to rise by 2% a year, yet the employment of local people in the construction labour force remains at startlingly low proportions (0% on some key sites) and many of the key skills necessary to undertake modern construction jobs are not delivered within the London area.</w:t>
            </w:r>
          </w:p>
          <w:p w14:paraId="0D88749A" w14:textId="77777777" w:rsidR="00921292" w:rsidRPr="005608E8" w:rsidRDefault="00921292" w:rsidP="003D53F5">
            <w:pPr>
              <w:rPr>
                <w:rFonts w:cs="Arial"/>
              </w:rPr>
            </w:pPr>
          </w:p>
          <w:p w14:paraId="0D88749B" w14:textId="77777777" w:rsidR="003D53F5" w:rsidRPr="005608E8" w:rsidRDefault="003D53F5" w:rsidP="003D53F5">
            <w:pPr>
              <w:rPr>
                <w:rFonts w:cs="Arial"/>
              </w:rPr>
            </w:pPr>
            <w:r w:rsidRPr="005608E8">
              <w:rPr>
                <w:rFonts w:cs="Arial"/>
              </w:rPr>
              <w:t>The ‘Technology and Skills in the Construction Industry’ report states that construction is one of the most important sectors in the UK economy, with 12 per cent of construction taking place offsite. This percentage is being driven upwards with notable drivers influencing the uptake of offsite technologies, particularly in relation to the need for higher volume output in home building and the impetus of the low carbon agenda. Offsite is an opportunity to more tightly control costs, respond to government targets for Building Information Modelling (BIM) and energy efficiency, increase efficiency in the build process and improve quality (including site health and safety). To unlock this growth and ensure people benefit there needs to be a correlating investment in skills growth needed to adopt emerging or future technologies and to realise the potential of these technologies for diversification and business growth.</w:t>
            </w:r>
          </w:p>
          <w:p w14:paraId="0D88749C" w14:textId="77777777" w:rsidR="003D53F5" w:rsidRPr="005608E8" w:rsidRDefault="003D53F5" w:rsidP="003D53F5">
            <w:pPr>
              <w:rPr>
                <w:rFonts w:cs="Arial"/>
              </w:rPr>
            </w:pPr>
          </w:p>
          <w:p w14:paraId="0D88749D" w14:textId="77777777" w:rsidR="003D53F5" w:rsidRPr="005608E8" w:rsidRDefault="003D53F5" w:rsidP="003D53F5">
            <w:pPr>
              <w:rPr>
                <w:rFonts w:cs="Arial"/>
              </w:rPr>
            </w:pPr>
            <w:r w:rsidRPr="005608E8">
              <w:rPr>
                <w:rFonts w:cs="Arial"/>
              </w:rPr>
              <w:t>Additionally, there is a significant body of evidence suggesting that the construction industry faces a significant skills shortage in the medium to long term. More than 80% of employers interviewed on the future of the construction industry reported skills shortages as a chronic problem. Anecdotal information suggests that some employers seem unwilling to employ older workers.</w:t>
            </w:r>
          </w:p>
          <w:p w14:paraId="0D88749E" w14:textId="77777777" w:rsidR="00E55A2F" w:rsidRPr="005608E8" w:rsidRDefault="00E55A2F" w:rsidP="003D53F5">
            <w:pPr>
              <w:rPr>
                <w:rFonts w:cs="Arial"/>
              </w:rPr>
            </w:pPr>
          </w:p>
          <w:p w14:paraId="0D88749F" w14:textId="77777777" w:rsidR="00526F30" w:rsidRPr="00E55A2F" w:rsidRDefault="001A096D" w:rsidP="00526F30">
            <w:pPr>
              <w:rPr>
                <w:rFonts w:cs="Arial"/>
              </w:rPr>
            </w:pPr>
            <w:r>
              <w:rPr>
                <w:rFonts w:cs="Arial"/>
              </w:rPr>
              <w:t>E</w:t>
            </w:r>
            <w:r w:rsidR="00526F30" w:rsidRPr="00E55A2F">
              <w:rPr>
                <w:rFonts w:cs="Arial"/>
              </w:rPr>
              <w:t>xamples of the demand for construction skills in London</w:t>
            </w:r>
            <w:r>
              <w:rPr>
                <w:rFonts w:cs="Arial"/>
              </w:rPr>
              <w:t xml:space="preserve"> include the  following:</w:t>
            </w:r>
          </w:p>
          <w:p w14:paraId="0D8874A0" w14:textId="77777777" w:rsidR="005608E8" w:rsidRDefault="005608E8" w:rsidP="001167EA">
            <w:pPr>
              <w:spacing w:after="160" w:line="259" w:lineRule="auto"/>
              <w:rPr>
                <w:rFonts w:cs="Arial"/>
              </w:rPr>
            </w:pPr>
          </w:p>
          <w:p w14:paraId="0D8874A1" w14:textId="77777777" w:rsidR="001A096D" w:rsidRDefault="00526F30" w:rsidP="001167EA">
            <w:pPr>
              <w:spacing w:after="160" w:line="259" w:lineRule="auto"/>
              <w:rPr>
                <w:rFonts w:cs="Arial"/>
                <w:bCs/>
                <w:color w:val="17365D" w:themeColor="text2" w:themeShade="BF"/>
              </w:rPr>
            </w:pPr>
            <w:r w:rsidRPr="00E55A2F">
              <w:rPr>
                <w:rFonts w:cs="Arial"/>
              </w:rPr>
              <w:t xml:space="preserve">The Nine Elms Vauxhall (NEV) development </w:t>
            </w:r>
            <w:r w:rsidR="001A096D">
              <w:rPr>
                <w:rFonts w:cs="Arial"/>
              </w:rPr>
              <w:t>that</w:t>
            </w:r>
            <w:r w:rsidRPr="00E55A2F">
              <w:rPr>
                <w:rFonts w:cs="Arial"/>
              </w:rPr>
              <w:t xml:space="preserve"> will create:</w:t>
            </w:r>
            <w:r w:rsidR="001167EA" w:rsidRPr="00E55A2F">
              <w:rPr>
                <w:rFonts w:cs="Arial"/>
                <w:bCs/>
                <w:color w:val="17365D" w:themeColor="text2" w:themeShade="BF"/>
              </w:rPr>
              <w:t xml:space="preserve"> </w:t>
            </w:r>
          </w:p>
          <w:p w14:paraId="0D8874A2" w14:textId="77777777" w:rsidR="001A096D" w:rsidRPr="005608E8" w:rsidRDefault="001A096D" w:rsidP="001A096D">
            <w:pPr>
              <w:numPr>
                <w:ilvl w:val="0"/>
                <w:numId w:val="55"/>
              </w:numPr>
              <w:spacing w:after="160" w:line="259" w:lineRule="auto"/>
              <w:rPr>
                <w:rFonts w:cs="Arial"/>
                <w:bCs/>
              </w:rPr>
            </w:pPr>
            <w:r w:rsidRPr="005608E8">
              <w:rPr>
                <w:rFonts w:cs="Arial"/>
                <w:bCs/>
              </w:rPr>
              <w:t>22,000 construction jobs</w:t>
            </w:r>
          </w:p>
          <w:p w14:paraId="0D8874A3" w14:textId="77777777" w:rsidR="001A096D" w:rsidRPr="005608E8" w:rsidRDefault="001A096D" w:rsidP="001A096D">
            <w:pPr>
              <w:numPr>
                <w:ilvl w:val="0"/>
                <w:numId w:val="55"/>
              </w:numPr>
              <w:spacing w:after="160" w:line="259" w:lineRule="auto"/>
              <w:rPr>
                <w:rFonts w:cs="Arial"/>
                <w:bCs/>
              </w:rPr>
            </w:pPr>
            <w:r w:rsidRPr="005608E8">
              <w:rPr>
                <w:rFonts w:cs="Arial"/>
                <w:bCs/>
              </w:rPr>
              <w:t>workforce of 5,000 will be on sites through 2015-2021</w:t>
            </w:r>
          </w:p>
          <w:p w14:paraId="0D8874A4" w14:textId="77777777" w:rsidR="001A096D" w:rsidRPr="005608E8" w:rsidRDefault="001A096D" w:rsidP="001A096D">
            <w:pPr>
              <w:numPr>
                <w:ilvl w:val="0"/>
                <w:numId w:val="55"/>
              </w:numPr>
              <w:spacing w:after="160" w:line="259" w:lineRule="auto"/>
              <w:rPr>
                <w:rFonts w:cs="Arial"/>
                <w:bCs/>
              </w:rPr>
            </w:pPr>
            <w:r w:rsidRPr="005608E8">
              <w:rPr>
                <w:rFonts w:cs="Arial"/>
                <w:bCs/>
              </w:rPr>
              <w:t>8,500 peak workforce (equivalent to Olympic workforce) peaking in mid-2016</w:t>
            </w:r>
          </w:p>
          <w:p w14:paraId="0D8874A5" w14:textId="77777777" w:rsidR="001A096D" w:rsidRPr="001A096D" w:rsidRDefault="001A096D" w:rsidP="001A096D">
            <w:pPr>
              <w:numPr>
                <w:ilvl w:val="0"/>
                <w:numId w:val="55"/>
              </w:numPr>
              <w:spacing w:after="160" w:line="259" w:lineRule="auto"/>
              <w:rPr>
                <w:rFonts w:cs="Arial"/>
                <w:bCs/>
                <w:color w:val="17365D" w:themeColor="text2" w:themeShade="BF"/>
              </w:rPr>
            </w:pPr>
            <w:r w:rsidRPr="005608E8">
              <w:rPr>
                <w:rFonts w:cs="Arial"/>
                <w:bCs/>
              </w:rPr>
              <w:t>25+ projects running simultaneously at peak</w:t>
            </w:r>
          </w:p>
          <w:p w14:paraId="0D8874A6" w14:textId="77777777" w:rsidR="001A096D" w:rsidRPr="005608E8" w:rsidRDefault="001A096D" w:rsidP="001A096D">
            <w:pPr>
              <w:numPr>
                <w:ilvl w:val="0"/>
                <w:numId w:val="55"/>
              </w:numPr>
              <w:spacing w:after="160" w:line="259" w:lineRule="auto"/>
              <w:rPr>
                <w:rFonts w:cs="Arial"/>
                <w:bCs/>
              </w:rPr>
            </w:pPr>
            <w:r w:rsidRPr="005608E8">
              <w:rPr>
                <w:rFonts w:cs="Arial"/>
                <w:bCs/>
              </w:rPr>
              <w:t>Construction activity unabated for 10 years plus</w:t>
            </w:r>
          </w:p>
          <w:p w14:paraId="0D8874A7" w14:textId="77777777" w:rsidR="001A096D" w:rsidRPr="005608E8" w:rsidRDefault="001A096D" w:rsidP="005608E8">
            <w:pPr>
              <w:spacing w:line="259" w:lineRule="auto"/>
              <w:rPr>
                <w:rFonts w:cs="Arial"/>
                <w:bCs/>
              </w:rPr>
            </w:pPr>
            <w:r w:rsidRPr="005608E8">
              <w:rPr>
                <w:rFonts w:cs="Arial"/>
                <w:bCs/>
              </w:rPr>
              <w:lastRenderedPageBreak/>
              <w:t>In the King’s Cross development, LB Camden and employers have identified a clear demand for groundwork, reinforced concrete and steel frame, cladding operatives and dry lining trades across the site for the next two to three years</w:t>
            </w:r>
          </w:p>
          <w:p w14:paraId="0D8874A8" w14:textId="77777777" w:rsidR="008E5929" w:rsidRPr="005608E8" w:rsidRDefault="008E5929" w:rsidP="005608E8">
            <w:pPr>
              <w:spacing w:line="259" w:lineRule="auto"/>
              <w:rPr>
                <w:rFonts w:cs="Arial"/>
                <w:bCs/>
              </w:rPr>
            </w:pPr>
          </w:p>
          <w:p w14:paraId="0D8874A9" w14:textId="77777777" w:rsidR="001A096D" w:rsidRPr="005608E8" w:rsidRDefault="001A096D" w:rsidP="005608E8">
            <w:pPr>
              <w:spacing w:line="259" w:lineRule="auto"/>
              <w:rPr>
                <w:rFonts w:cs="Arial"/>
                <w:bCs/>
              </w:rPr>
            </w:pPr>
            <w:r w:rsidRPr="005608E8">
              <w:rPr>
                <w:rFonts w:cs="Arial"/>
                <w:bCs/>
              </w:rPr>
              <w:t>Oxford Economics’ research for the London Legacy Development Corporation found that from 2015-2030 more than 2,500 jobs a year will be created in construction in the Host Boroughs, of which more than 2,000 will be in skilled construction, metal or electrical trades.</w:t>
            </w:r>
          </w:p>
          <w:p w14:paraId="0D8874AA" w14:textId="77777777" w:rsidR="001A096D" w:rsidRPr="005608E8" w:rsidRDefault="001A096D" w:rsidP="005608E8">
            <w:pPr>
              <w:spacing w:line="259" w:lineRule="auto"/>
              <w:rPr>
                <w:rFonts w:cs="Arial"/>
                <w:bCs/>
              </w:rPr>
            </w:pPr>
          </w:p>
          <w:p w14:paraId="0D8874AB" w14:textId="77777777" w:rsidR="001A096D" w:rsidRPr="005608E8" w:rsidRDefault="001A096D" w:rsidP="005608E8">
            <w:pPr>
              <w:spacing w:line="259" w:lineRule="auto"/>
              <w:rPr>
                <w:rFonts w:cs="Arial"/>
                <w:bCs/>
              </w:rPr>
            </w:pPr>
            <w:r w:rsidRPr="005608E8">
              <w:rPr>
                <w:rFonts w:cs="Arial"/>
                <w:bCs/>
              </w:rPr>
              <w:t>The Westfield town centre development in Croydon will require around 4,000 construction jobs, including construction managers, building envelope specialists, plant operative and specialist structural operatives, as well as considerable requirements for higher level skills such as senior managers and civil engineers.</w:t>
            </w:r>
          </w:p>
          <w:p w14:paraId="0D8874AC" w14:textId="77777777" w:rsidR="008C1605" w:rsidRDefault="008C1605" w:rsidP="005608E8">
            <w:pPr>
              <w:spacing w:line="259" w:lineRule="auto"/>
              <w:rPr>
                <w:rFonts w:cs="Arial"/>
                <w:bCs/>
                <w:color w:val="17365D" w:themeColor="text2" w:themeShade="BF"/>
              </w:rPr>
            </w:pPr>
          </w:p>
          <w:p w14:paraId="0D8874AD" w14:textId="77777777" w:rsidR="008C1605" w:rsidRPr="005608E8" w:rsidRDefault="008C1605" w:rsidP="005608E8">
            <w:pPr>
              <w:spacing w:line="259" w:lineRule="auto"/>
              <w:rPr>
                <w:rFonts w:cs="Arial"/>
                <w:bCs/>
              </w:rPr>
            </w:pPr>
            <w:r w:rsidRPr="005608E8">
              <w:rPr>
                <w:rFonts w:cs="Arial"/>
                <w:bCs/>
              </w:rPr>
              <w:t>There is considerable public investment in construction skills but it lacks the flexibility to respond to industry demand and current courses do not always meet industry needs and in many cases the frameworks required by industry are not delivered in London.  The Services seek to address these gaps in provision.</w:t>
            </w:r>
          </w:p>
          <w:p w14:paraId="0D8874AE" w14:textId="77777777" w:rsidR="008C1605" w:rsidRPr="005608E8" w:rsidRDefault="008C1605" w:rsidP="008C1605">
            <w:pPr>
              <w:spacing w:after="160" w:line="259" w:lineRule="auto"/>
              <w:rPr>
                <w:rFonts w:cs="Arial"/>
                <w:bCs/>
              </w:rPr>
            </w:pPr>
            <w:r w:rsidRPr="005608E8">
              <w:rPr>
                <w:rFonts w:cs="Arial"/>
                <w:bCs/>
              </w:rPr>
              <w:t>There is value in a network of training centres, linked into a wider London construction skills and employment offer, which provides outside space for plant training etc.  The Services should link to any new training centres that open durin</w:t>
            </w:r>
            <w:r w:rsidR="005608E8">
              <w:rPr>
                <w:rFonts w:cs="Arial"/>
                <w:bCs/>
              </w:rPr>
              <w:t>g the duration of the contract.</w:t>
            </w:r>
          </w:p>
          <w:p w14:paraId="0D8874AF" w14:textId="77777777" w:rsidR="008C1605" w:rsidRPr="005608E8" w:rsidRDefault="008C1605" w:rsidP="008C1605">
            <w:pPr>
              <w:rPr>
                <w:rFonts w:cs="Arial"/>
              </w:rPr>
            </w:pPr>
            <w:r w:rsidRPr="005608E8">
              <w:rPr>
                <w:rFonts w:cs="Arial"/>
              </w:rPr>
              <w:t>On-site employer led training schools driven by the needs of the local development are a proven approach (London Olympics).  This Service should seek to build on lessons learned on delivery of key large-scale developments such as the Bluewater development.</w:t>
            </w:r>
          </w:p>
          <w:p w14:paraId="0D8874B0" w14:textId="77777777" w:rsidR="008C1605" w:rsidRDefault="008C1605" w:rsidP="008C1605">
            <w:pPr>
              <w:rPr>
                <w:rFonts w:cs="Arial"/>
                <w:color w:val="17365D" w:themeColor="text2" w:themeShade="BF"/>
              </w:rPr>
            </w:pPr>
          </w:p>
          <w:p w14:paraId="0D8874B1" w14:textId="77777777" w:rsidR="008C1605" w:rsidRPr="005608E8" w:rsidRDefault="00277233" w:rsidP="008C1605">
            <w:pPr>
              <w:rPr>
                <w:rFonts w:cs="Arial"/>
              </w:rPr>
            </w:pPr>
            <w:r w:rsidRPr="005608E8">
              <w:rPr>
                <w:rFonts w:cs="Arial"/>
              </w:rPr>
              <w:t xml:space="preserve">Through </w:t>
            </w:r>
            <w:r w:rsidR="008C1605" w:rsidRPr="005608E8">
              <w:rPr>
                <w:rFonts w:cs="Arial"/>
              </w:rPr>
              <w:t>201</w:t>
            </w:r>
            <w:r w:rsidRPr="005608E8">
              <w:rPr>
                <w:rFonts w:cs="Arial"/>
              </w:rPr>
              <w:t>5 - 2017</w:t>
            </w:r>
            <w:r w:rsidR="008C1605" w:rsidRPr="005608E8">
              <w:rPr>
                <w:rFonts w:cs="Arial"/>
              </w:rPr>
              <w:t xml:space="preserve"> a number of London boroughs will be delivering constructions skills projects as part of the New Homes Bonus (NHB) LEP programme.  This Service is likely to be complementary and therefore the LEP will work with London boroughs to ensure that the ESF and NHB provision is linked, where appropriate, and complimentary. For example the NHB provision could cover costs not eligible under this contract such as CSCS Cards</w:t>
            </w:r>
          </w:p>
          <w:p w14:paraId="0D8874B2" w14:textId="77777777" w:rsidR="008C1605" w:rsidRDefault="008C1605" w:rsidP="008C1605">
            <w:pPr>
              <w:rPr>
                <w:rFonts w:cs="Arial"/>
                <w:bCs/>
                <w:color w:val="17365D" w:themeColor="text2" w:themeShade="BF"/>
              </w:rPr>
            </w:pPr>
          </w:p>
          <w:p w14:paraId="0F0CD19A" w14:textId="77777777" w:rsidR="00FE29DC" w:rsidRDefault="008C1605" w:rsidP="00FE29DC">
            <w:pPr>
              <w:spacing w:line="259" w:lineRule="auto"/>
              <w:rPr>
                <w:rFonts w:cs="Arial"/>
                <w:bCs/>
              </w:rPr>
            </w:pPr>
            <w:r w:rsidRPr="005608E8">
              <w:rPr>
                <w:rFonts w:cs="Arial"/>
                <w:bCs/>
              </w:rPr>
              <w:t xml:space="preserve">Contractors and construction clients insist that everyone on their sites should have the correct CSCS card for the work they are undertaking.  Payment for these cards cannot be funded through this contract. </w:t>
            </w:r>
            <w:r w:rsidR="001167EA" w:rsidRPr="005608E8">
              <w:rPr>
                <w:rFonts w:cs="Arial"/>
                <w:bCs/>
              </w:rPr>
              <w:t xml:space="preserve">There is however the potential to work with relevant London borough New Homes Bonus projects, Jobcentre Plus (via Flexible Support Fund) and others to ensure that all participants have the relevant card prior to going on site.  This will require careful sequencing between projects.  </w:t>
            </w:r>
          </w:p>
          <w:p w14:paraId="1131AD3A" w14:textId="39CF56B9" w:rsidR="00FE29DC" w:rsidRDefault="00FE29DC" w:rsidP="00FE29DC">
            <w:pPr>
              <w:spacing w:line="259" w:lineRule="auto"/>
              <w:rPr>
                <w:rFonts w:cs="Arial"/>
                <w:bCs/>
              </w:rPr>
            </w:pPr>
          </w:p>
          <w:p w14:paraId="0D8874B3" w14:textId="0AC3B634" w:rsidR="001167EA" w:rsidRPr="005608E8" w:rsidRDefault="001167EA" w:rsidP="00FE29DC">
            <w:pPr>
              <w:spacing w:line="259" w:lineRule="auto"/>
              <w:rPr>
                <w:rFonts w:cs="Arial"/>
                <w:bCs/>
              </w:rPr>
            </w:pPr>
            <w:r w:rsidRPr="005608E8">
              <w:rPr>
                <w:rFonts w:cs="Arial"/>
                <w:bCs/>
              </w:rPr>
              <w:t>It is important to overcome perceptions that the construction sector only offers low paid and unstable work by linking in with other marketing campaigns, such as the Construction Industry Training Board (CITB) and UK</w:t>
            </w:r>
            <w:r w:rsidR="00324C2B" w:rsidRPr="005608E8">
              <w:rPr>
                <w:rFonts w:cs="Arial"/>
                <w:bCs/>
              </w:rPr>
              <w:t xml:space="preserve"> </w:t>
            </w:r>
            <w:r w:rsidRPr="005608E8">
              <w:rPr>
                <w:rFonts w:cs="Arial"/>
                <w:bCs/>
              </w:rPr>
              <w:t>C</w:t>
            </w:r>
            <w:r w:rsidR="00324C2B" w:rsidRPr="005608E8">
              <w:rPr>
                <w:rFonts w:cs="Arial"/>
                <w:bCs/>
              </w:rPr>
              <w:t xml:space="preserve">ontractors </w:t>
            </w:r>
            <w:r w:rsidRPr="005608E8">
              <w:rPr>
                <w:rFonts w:cs="Arial"/>
                <w:bCs/>
              </w:rPr>
              <w:t>G</w:t>
            </w:r>
            <w:r w:rsidR="00324C2B" w:rsidRPr="005608E8">
              <w:rPr>
                <w:rFonts w:cs="Arial"/>
                <w:bCs/>
              </w:rPr>
              <w:t>roup (UKCG).</w:t>
            </w:r>
            <w:r w:rsidRPr="005608E8">
              <w:rPr>
                <w:rFonts w:cs="Arial"/>
                <w:bCs/>
              </w:rPr>
              <w:t xml:space="preserve"> </w:t>
            </w:r>
          </w:p>
          <w:p w14:paraId="0D8874B4" w14:textId="77777777" w:rsidR="001167EA" w:rsidRPr="00EC29ED" w:rsidRDefault="001167EA" w:rsidP="001167EA">
            <w:pPr>
              <w:pStyle w:val="Default"/>
              <w:rPr>
                <w:color w:val="auto"/>
                <w:lang w:eastAsia="en-GB"/>
              </w:rPr>
            </w:pPr>
            <w:r w:rsidRPr="00EC29ED">
              <w:rPr>
                <w:color w:val="auto"/>
                <w:lang w:eastAsia="en-GB"/>
              </w:rPr>
              <w:t xml:space="preserve">This programme has been developed through a range of activities; one to one consultations with stakeholders representing a wide range of local interests; review </w:t>
            </w:r>
            <w:r w:rsidRPr="00EC29ED">
              <w:rPr>
                <w:color w:val="auto"/>
                <w:lang w:eastAsia="en-GB"/>
              </w:rPr>
              <w:lastRenderedPageBreak/>
              <w:t>of previous projects funded through the 2007-13 ESF round as well as complimentary programmes</w:t>
            </w:r>
            <w:r w:rsidR="008E5929">
              <w:rPr>
                <w:color w:val="auto"/>
                <w:lang w:eastAsia="en-GB"/>
              </w:rPr>
              <w:t xml:space="preserve"> and through </w:t>
            </w:r>
            <w:r w:rsidRPr="00EC29ED">
              <w:rPr>
                <w:color w:val="auto"/>
                <w:lang w:eastAsia="en-GB"/>
              </w:rPr>
              <w:t xml:space="preserve">a Task and Finish group who carried out a review of all the evidence available appertaining to this particular group of </w:t>
            </w:r>
            <w:r>
              <w:rPr>
                <w:color w:val="auto"/>
                <w:lang w:eastAsia="en-GB"/>
              </w:rPr>
              <w:t>participant</w:t>
            </w:r>
            <w:r w:rsidRPr="00EC29ED">
              <w:rPr>
                <w:color w:val="auto"/>
                <w:lang w:eastAsia="en-GB"/>
              </w:rPr>
              <w:t>s, including current participation and indicative trends.</w:t>
            </w:r>
          </w:p>
          <w:p w14:paraId="0D8874B5" w14:textId="77777777" w:rsidR="001167EA" w:rsidRPr="00EC29ED" w:rsidRDefault="001167EA" w:rsidP="001167EA">
            <w:pPr>
              <w:pStyle w:val="Default"/>
              <w:rPr>
                <w:color w:val="auto"/>
                <w:lang w:eastAsia="en-GB"/>
              </w:rPr>
            </w:pPr>
          </w:p>
          <w:p w14:paraId="0D8874B6" w14:textId="77777777" w:rsidR="001167EA" w:rsidRPr="00EC29ED" w:rsidRDefault="001167EA" w:rsidP="001167EA">
            <w:pPr>
              <w:pStyle w:val="Default"/>
              <w:rPr>
                <w:color w:val="auto"/>
                <w:lang w:eastAsia="en-GB"/>
              </w:rPr>
            </w:pPr>
            <w:r w:rsidRPr="00EC29ED">
              <w:rPr>
                <w:color w:val="auto"/>
                <w:lang w:eastAsia="en-GB"/>
              </w:rPr>
              <w:t>The demand for the interventions described in this programme is supported by data and intelligence and softer partner views and feedback.</w:t>
            </w:r>
          </w:p>
          <w:p w14:paraId="0D8874B8" w14:textId="77777777" w:rsidR="000D51DE" w:rsidRPr="002833D9" w:rsidRDefault="000D51DE" w:rsidP="00697B8B">
            <w:pPr>
              <w:rPr>
                <w:rFonts w:cs="Arial"/>
                <w:lang w:eastAsia="en-GB"/>
              </w:rPr>
            </w:pPr>
          </w:p>
        </w:tc>
      </w:tr>
      <w:tr w:rsidR="00967429" w14:paraId="0D8874BB" w14:textId="77777777" w:rsidTr="00C02C70">
        <w:trPr>
          <w:trHeight w:val="567"/>
        </w:trPr>
        <w:tc>
          <w:tcPr>
            <w:tcW w:w="9088" w:type="dxa"/>
            <w:shd w:val="clear" w:color="auto" w:fill="D9D9D9" w:themeFill="background1" w:themeFillShade="D9"/>
            <w:vAlign w:val="center"/>
          </w:tcPr>
          <w:p w14:paraId="0D8874BA" w14:textId="77777777" w:rsidR="00967429" w:rsidRPr="00C107CE" w:rsidRDefault="002E25F4" w:rsidP="00C107CE">
            <w:pPr>
              <w:tabs>
                <w:tab w:val="num" w:pos="900"/>
              </w:tabs>
              <w:autoSpaceDE w:val="0"/>
              <w:autoSpaceDN w:val="0"/>
              <w:adjustRightInd w:val="0"/>
              <w:rPr>
                <w:rFonts w:cs="Arial"/>
                <w:b/>
              </w:rPr>
            </w:pPr>
            <w:r w:rsidRPr="002833D9">
              <w:rPr>
                <w:rFonts w:cs="Arial"/>
                <w:b/>
              </w:rPr>
              <w:lastRenderedPageBreak/>
              <w:t>DEFINITION OF TERMS</w:t>
            </w:r>
          </w:p>
        </w:tc>
      </w:tr>
      <w:tr w:rsidR="00967429" w:rsidRPr="00EF4406" w14:paraId="0D8874DB" w14:textId="77777777" w:rsidTr="00E55A2F">
        <w:tc>
          <w:tcPr>
            <w:tcW w:w="9088" w:type="dxa"/>
          </w:tcPr>
          <w:p w14:paraId="0D8874BC" w14:textId="77777777" w:rsidR="005C44C5" w:rsidRDefault="005C44C5" w:rsidP="000304B2">
            <w:pPr>
              <w:ind w:left="360" w:hanging="360"/>
              <w:rPr>
                <w:b/>
              </w:rPr>
            </w:pPr>
          </w:p>
          <w:p w14:paraId="0D8874BD" w14:textId="77777777" w:rsidR="000304B2" w:rsidRPr="005A1D76" w:rsidRDefault="000304B2" w:rsidP="000304B2">
            <w:pPr>
              <w:ind w:left="360" w:hanging="360"/>
            </w:pPr>
            <w:r w:rsidRPr="005A1D76">
              <w:rPr>
                <w:b/>
              </w:rPr>
              <w:t xml:space="preserve">Candidate: </w:t>
            </w:r>
            <w:r w:rsidRPr="005A1D76">
              <w:t>means an organisation who has been invited to take part in this restricted procurement procedure</w:t>
            </w:r>
          </w:p>
          <w:p w14:paraId="0D8874BE" w14:textId="77777777" w:rsidR="000304B2" w:rsidRPr="005A1D76" w:rsidRDefault="000304B2" w:rsidP="000304B2">
            <w:pPr>
              <w:ind w:left="360" w:hanging="360"/>
              <w:rPr>
                <w:b/>
              </w:rPr>
            </w:pPr>
          </w:p>
          <w:p w14:paraId="0D8874BF" w14:textId="77777777" w:rsidR="000304B2" w:rsidRPr="005A1D76" w:rsidRDefault="000304B2" w:rsidP="000304B2">
            <w:pPr>
              <w:ind w:left="360" w:hanging="360"/>
              <w:rPr>
                <w:b/>
              </w:rPr>
            </w:pPr>
            <w:r w:rsidRPr="005A1D76">
              <w:rPr>
                <w:b/>
              </w:rPr>
              <w:t>Disability</w:t>
            </w:r>
            <w:r w:rsidRPr="005A1D76">
              <w:t>:</w:t>
            </w:r>
            <w:r w:rsidR="00043303">
              <w:t xml:space="preserve">  A person </w:t>
            </w:r>
            <w:r w:rsidR="00043303">
              <w:rPr>
                <w:lang w:val="en"/>
              </w:rPr>
              <w:t>who has a physical or mental impairment that has a substantial and long-term adverse effect on the ability to carry out normal day-to-day activities.</w:t>
            </w:r>
          </w:p>
          <w:p w14:paraId="0D8874C0" w14:textId="77777777" w:rsidR="000304B2" w:rsidRPr="005A1D76" w:rsidRDefault="000304B2" w:rsidP="000304B2">
            <w:pPr>
              <w:ind w:left="360" w:hanging="360"/>
              <w:rPr>
                <w:b/>
              </w:rPr>
            </w:pPr>
          </w:p>
          <w:p w14:paraId="0D8874C1" w14:textId="77777777" w:rsidR="006E012E" w:rsidRDefault="000304B2" w:rsidP="000304B2">
            <w:pPr>
              <w:ind w:left="360" w:hanging="360"/>
            </w:pPr>
            <w:r w:rsidRPr="005A1D76">
              <w:rPr>
                <w:b/>
              </w:rPr>
              <w:t>Eligibility:</w:t>
            </w:r>
            <w:r w:rsidRPr="005A1D76">
              <w:t xml:space="preserve"> Only people who are eligible to work in UK are eligible for this </w:t>
            </w:r>
            <w:r w:rsidR="00BC7F87">
              <w:t xml:space="preserve">EU </w:t>
            </w:r>
            <w:r w:rsidRPr="005A1D76">
              <w:t>programme.</w:t>
            </w:r>
          </w:p>
          <w:p w14:paraId="0D8874C2" w14:textId="77777777" w:rsidR="000304B2" w:rsidRDefault="000304B2" w:rsidP="000304B2">
            <w:pPr>
              <w:ind w:left="360" w:hanging="360"/>
            </w:pPr>
            <w:r w:rsidRPr="005A1D76">
              <w:t xml:space="preserve">  </w:t>
            </w:r>
          </w:p>
          <w:p w14:paraId="0D8874C3" w14:textId="77777777" w:rsidR="006E012E" w:rsidRPr="003E0C7F" w:rsidRDefault="006E012E" w:rsidP="006E012E">
            <w:pPr>
              <w:autoSpaceDE w:val="0"/>
              <w:autoSpaceDN w:val="0"/>
              <w:adjustRightInd w:val="0"/>
              <w:ind w:left="360" w:hanging="360"/>
              <w:rPr>
                <w:b/>
              </w:rPr>
            </w:pPr>
            <w:r>
              <w:rPr>
                <w:b/>
              </w:rPr>
              <w:t xml:space="preserve">IAG: </w:t>
            </w:r>
            <w:r>
              <w:t>Information, advice and guidance service offered to participants.</w:t>
            </w:r>
            <w:r>
              <w:rPr>
                <w:b/>
              </w:rPr>
              <w:t xml:space="preserve"> </w:t>
            </w:r>
          </w:p>
          <w:p w14:paraId="0D8874C4" w14:textId="77777777" w:rsidR="000304B2" w:rsidRPr="009F2BFB" w:rsidRDefault="00AA0B4C" w:rsidP="00E55A2F">
            <w:pPr>
              <w:autoSpaceDE w:val="0"/>
              <w:autoSpaceDN w:val="0"/>
              <w:adjustRightInd w:val="0"/>
              <w:rPr>
                <w:b/>
              </w:rPr>
            </w:pPr>
            <w:r>
              <w:t xml:space="preserve">  </w:t>
            </w:r>
          </w:p>
          <w:p w14:paraId="0D8874C5" w14:textId="77777777" w:rsidR="00983C86" w:rsidRPr="00D73A35" w:rsidRDefault="00983C86" w:rsidP="00983C86">
            <w:pPr>
              <w:autoSpaceDE w:val="0"/>
              <w:autoSpaceDN w:val="0"/>
              <w:adjustRightInd w:val="0"/>
              <w:ind w:left="360" w:hanging="360"/>
              <w:rPr>
                <w:rFonts w:cs="Arial"/>
                <w:iCs/>
                <w:lang w:eastAsia="en-GB"/>
              </w:rPr>
            </w:pPr>
            <w:r w:rsidRPr="00E55A2F">
              <w:rPr>
                <w:rFonts w:cs="Arial"/>
                <w:b/>
                <w:iCs/>
                <w:lang w:eastAsia="en-GB"/>
              </w:rPr>
              <w:t>Inactive</w:t>
            </w:r>
            <w:r w:rsidRPr="00E55A2F">
              <w:rPr>
                <w:rFonts w:cs="Arial"/>
                <w:iCs/>
                <w:lang w:eastAsia="en-GB"/>
              </w:rPr>
              <w:t>:  are persons currently not part of the labour force (in the sense that they are not employed or unemployed according to the definitions provided).</w:t>
            </w:r>
          </w:p>
          <w:p w14:paraId="0D8874C6" w14:textId="77777777" w:rsidR="003A723F" w:rsidRDefault="003A723F" w:rsidP="005A1D76">
            <w:pPr>
              <w:autoSpaceDE w:val="0"/>
              <w:autoSpaceDN w:val="0"/>
              <w:adjustRightInd w:val="0"/>
            </w:pPr>
          </w:p>
          <w:p w14:paraId="0D8874C7" w14:textId="77777777" w:rsidR="006E012E" w:rsidRPr="00F67261" w:rsidRDefault="006E012E" w:rsidP="006E012E">
            <w:pPr>
              <w:autoSpaceDE w:val="0"/>
              <w:autoSpaceDN w:val="0"/>
              <w:adjustRightInd w:val="0"/>
              <w:ind w:left="360" w:hanging="360"/>
            </w:pPr>
            <w:r w:rsidRPr="00F67261">
              <w:rPr>
                <w:b/>
              </w:rPr>
              <w:t>Job Seeking:</w:t>
            </w:r>
            <w:r w:rsidRPr="00F67261">
              <w:t xml:space="preserve"> Where applicable, persons engaged in job seeking is understood to be persons usually without work and actively seeking work.</w:t>
            </w:r>
          </w:p>
          <w:p w14:paraId="49E914C2" w14:textId="77777777" w:rsidR="00C02C70" w:rsidRDefault="00C02C70" w:rsidP="00C02C70">
            <w:pPr>
              <w:autoSpaceDE w:val="0"/>
              <w:autoSpaceDN w:val="0"/>
              <w:adjustRightInd w:val="0"/>
              <w:ind w:left="360" w:hanging="360"/>
              <w:rPr>
                <w:b/>
              </w:rPr>
            </w:pPr>
          </w:p>
          <w:p w14:paraId="0043F3B5" w14:textId="77777777" w:rsidR="00C02C70" w:rsidRDefault="00C02C70" w:rsidP="00C02C70">
            <w:pPr>
              <w:autoSpaceDE w:val="0"/>
              <w:autoSpaceDN w:val="0"/>
              <w:adjustRightInd w:val="0"/>
              <w:ind w:left="360" w:hanging="360"/>
            </w:pPr>
            <w:r w:rsidRPr="00043303">
              <w:rPr>
                <w:b/>
              </w:rPr>
              <w:t>Micro Businesses:</w:t>
            </w:r>
            <w:r w:rsidRPr="00043303">
              <w:t xml:space="preserve"> This relates to organisations employing less than 10 Employees </w:t>
            </w:r>
          </w:p>
          <w:p w14:paraId="0D8874C8" w14:textId="77777777" w:rsidR="006E012E" w:rsidRPr="005A1D76" w:rsidRDefault="006E012E" w:rsidP="005A1D76">
            <w:pPr>
              <w:autoSpaceDE w:val="0"/>
              <w:autoSpaceDN w:val="0"/>
              <w:adjustRightInd w:val="0"/>
            </w:pPr>
          </w:p>
          <w:p w14:paraId="0D8874C9" w14:textId="0DCE448D" w:rsidR="000304B2" w:rsidRPr="005A1D76" w:rsidRDefault="000304B2" w:rsidP="000304B2">
            <w:pPr>
              <w:autoSpaceDE w:val="0"/>
              <w:autoSpaceDN w:val="0"/>
              <w:adjustRightInd w:val="0"/>
              <w:ind w:left="360" w:hanging="360"/>
            </w:pPr>
            <w:r w:rsidRPr="005A1D76">
              <w:rPr>
                <w:b/>
              </w:rPr>
              <w:t xml:space="preserve">Qualifications: </w:t>
            </w:r>
            <w:r w:rsidRPr="005A1D76">
              <w:t xml:space="preserve">Qualification means a formal outcome assessment and validation process which is obtained when a competent body determines that a </w:t>
            </w:r>
            <w:r w:rsidR="00105E0B">
              <w:t>participant</w:t>
            </w:r>
            <w:r w:rsidRPr="005A1D76">
              <w:t xml:space="preserve"> has achieved learning outcomes to given standards.  Regulated qualifications/aims are those listed in the Learning Aims Reference Service as being regulated.  Non-regulated aims are those listed in the Learning Aims Reference Service as being non-regulated.  </w:t>
            </w:r>
          </w:p>
          <w:p w14:paraId="0D8874CA" w14:textId="77777777" w:rsidR="000304B2" w:rsidRPr="005A1D76" w:rsidRDefault="000304B2" w:rsidP="000304B2">
            <w:pPr>
              <w:autoSpaceDE w:val="0"/>
              <w:autoSpaceDN w:val="0"/>
              <w:adjustRightInd w:val="0"/>
              <w:ind w:left="360" w:hanging="360"/>
            </w:pPr>
          </w:p>
          <w:p w14:paraId="0D8874CB" w14:textId="77777777" w:rsidR="000304B2" w:rsidRPr="005A1D76" w:rsidRDefault="00C107CE" w:rsidP="00C107CE">
            <w:pPr>
              <w:autoSpaceDE w:val="0"/>
              <w:autoSpaceDN w:val="0"/>
              <w:adjustRightInd w:val="0"/>
              <w:ind w:left="360" w:hanging="360"/>
            </w:pPr>
            <w:r w:rsidRPr="005A1D76">
              <w:t xml:space="preserve">     </w:t>
            </w:r>
            <w:r w:rsidR="000304B2" w:rsidRPr="005A1D76">
              <w:t>Regulated and non-regulated aims must be planned to be delivered within budget.</w:t>
            </w:r>
          </w:p>
          <w:p w14:paraId="0D8874CC" w14:textId="77777777" w:rsidR="000304B2" w:rsidRPr="005A1D76" w:rsidRDefault="000304B2" w:rsidP="00C107CE">
            <w:pPr>
              <w:autoSpaceDE w:val="0"/>
              <w:autoSpaceDN w:val="0"/>
              <w:adjustRightInd w:val="0"/>
              <w:ind w:left="360" w:hanging="360"/>
            </w:pPr>
          </w:p>
          <w:p w14:paraId="0D8874CD" w14:textId="77777777" w:rsidR="000304B2" w:rsidRPr="005A1D76" w:rsidRDefault="00C107CE" w:rsidP="00C107CE">
            <w:pPr>
              <w:autoSpaceDE w:val="0"/>
              <w:autoSpaceDN w:val="0"/>
              <w:adjustRightInd w:val="0"/>
              <w:ind w:left="360" w:hanging="360"/>
            </w:pPr>
            <w:r w:rsidRPr="005A1D76">
              <w:t xml:space="preserve">     </w:t>
            </w:r>
            <w:r w:rsidR="000304B2" w:rsidRPr="005A1D76">
              <w:t>Qualification rates are based on the published LARS rates at the start of the contract.</w:t>
            </w:r>
          </w:p>
          <w:p w14:paraId="0D8874CE" w14:textId="77777777" w:rsidR="000304B2" w:rsidRPr="005A1D76" w:rsidRDefault="000304B2" w:rsidP="000304B2">
            <w:pPr>
              <w:autoSpaceDE w:val="0"/>
              <w:autoSpaceDN w:val="0"/>
              <w:adjustRightInd w:val="0"/>
              <w:ind w:left="360" w:hanging="360"/>
            </w:pPr>
          </w:p>
          <w:p w14:paraId="0D8874CF" w14:textId="77777777" w:rsidR="000304B2" w:rsidRPr="005A1D76" w:rsidRDefault="000304B2" w:rsidP="000304B2">
            <w:pPr>
              <w:autoSpaceDE w:val="0"/>
              <w:autoSpaceDN w:val="0"/>
              <w:adjustRightInd w:val="0"/>
              <w:ind w:left="360" w:hanging="360"/>
            </w:pPr>
            <w:r w:rsidRPr="005A1D76">
              <w:rPr>
                <w:b/>
              </w:rPr>
              <w:t xml:space="preserve">Services:  </w:t>
            </w:r>
            <w:r w:rsidRPr="005A1D76">
              <w:t xml:space="preserve">The provision of education, training or support delivered to </w:t>
            </w:r>
            <w:r w:rsidR="00105E0B">
              <w:t>participant</w:t>
            </w:r>
            <w:r w:rsidRPr="005A1D76">
              <w:t>s.</w:t>
            </w:r>
          </w:p>
          <w:p w14:paraId="0D8874D0" w14:textId="77777777" w:rsidR="000304B2" w:rsidRPr="005A1D76" w:rsidRDefault="000304B2" w:rsidP="000304B2">
            <w:pPr>
              <w:autoSpaceDE w:val="0"/>
              <w:autoSpaceDN w:val="0"/>
              <w:adjustRightInd w:val="0"/>
              <w:ind w:left="360" w:hanging="360"/>
            </w:pPr>
          </w:p>
          <w:p w14:paraId="583EDF1E" w14:textId="77777777" w:rsidR="00C02C70" w:rsidRPr="00043303" w:rsidRDefault="00C02C70" w:rsidP="00C02C70">
            <w:pPr>
              <w:autoSpaceDE w:val="0"/>
              <w:autoSpaceDN w:val="0"/>
              <w:adjustRightInd w:val="0"/>
              <w:ind w:left="360" w:hanging="360"/>
            </w:pPr>
            <w:r w:rsidRPr="00043303">
              <w:rPr>
                <w:b/>
              </w:rPr>
              <w:t>Small and Medium sized Enterprises</w:t>
            </w:r>
            <w:r w:rsidRPr="00043303">
              <w:t xml:space="preserve">: This applies to organisations employing less than 250 employees  </w:t>
            </w:r>
          </w:p>
          <w:p w14:paraId="7F0276EF" w14:textId="77777777" w:rsidR="00C02C70" w:rsidRDefault="00C02C70" w:rsidP="000304B2">
            <w:pPr>
              <w:autoSpaceDE w:val="0"/>
              <w:autoSpaceDN w:val="0"/>
              <w:adjustRightInd w:val="0"/>
              <w:ind w:left="360" w:hanging="360"/>
              <w:rPr>
                <w:b/>
              </w:rPr>
            </w:pPr>
          </w:p>
          <w:p w14:paraId="0D8874D1" w14:textId="77777777" w:rsidR="000304B2" w:rsidRPr="005A1D76" w:rsidRDefault="006E012E" w:rsidP="000304B2">
            <w:pPr>
              <w:autoSpaceDE w:val="0"/>
              <w:autoSpaceDN w:val="0"/>
              <w:adjustRightInd w:val="0"/>
              <w:ind w:left="360" w:hanging="360"/>
              <w:rPr>
                <w:color w:val="FF0000"/>
              </w:rPr>
            </w:pPr>
            <w:r>
              <w:rPr>
                <w:b/>
              </w:rPr>
              <w:t>Status</w:t>
            </w:r>
            <w:r w:rsidR="000304B2" w:rsidRPr="005A1D76">
              <w:rPr>
                <w:b/>
              </w:rPr>
              <w:t>:</w:t>
            </w:r>
            <w:r w:rsidR="000304B2" w:rsidRPr="005A1D76">
              <w:t xml:space="preserve"> Employment status and age are determined on the date of starting on the</w:t>
            </w:r>
            <w:r w:rsidR="00E82E42">
              <w:t xml:space="preserve"> Services</w:t>
            </w:r>
            <w:r w:rsidR="000304B2" w:rsidRPr="005A1D76">
              <w:t>.</w:t>
            </w:r>
            <w:r w:rsidR="000304B2" w:rsidRPr="005A1D76">
              <w:rPr>
                <w:b/>
              </w:rPr>
              <w:t xml:space="preserve"> </w:t>
            </w:r>
          </w:p>
          <w:p w14:paraId="0D8874D2" w14:textId="77777777" w:rsidR="000304B2" w:rsidRPr="005A1D76" w:rsidRDefault="000304B2" w:rsidP="000304B2">
            <w:pPr>
              <w:autoSpaceDE w:val="0"/>
              <w:autoSpaceDN w:val="0"/>
              <w:adjustRightInd w:val="0"/>
              <w:ind w:left="360" w:hanging="360"/>
              <w:rPr>
                <w:color w:val="FF0000"/>
              </w:rPr>
            </w:pPr>
          </w:p>
          <w:p w14:paraId="0D8874D3" w14:textId="77777777" w:rsidR="000304B2" w:rsidRDefault="000304B2" w:rsidP="000304B2">
            <w:pPr>
              <w:autoSpaceDE w:val="0"/>
              <w:autoSpaceDN w:val="0"/>
              <w:adjustRightInd w:val="0"/>
              <w:ind w:left="360" w:hanging="360"/>
            </w:pPr>
            <w:r w:rsidRPr="005A1D76">
              <w:rPr>
                <w:b/>
              </w:rPr>
              <w:t>Survey</w:t>
            </w:r>
            <w:r w:rsidRPr="005A1D76">
              <w:t>: Where applicable, long term sustained outcomes over 6 months will be monitored separately.  Some ESF indicators will be collected by survey by the ESF Managing Authority directly from the participants.</w:t>
            </w:r>
          </w:p>
          <w:p w14:paraId="0D8874D4" w14:textId="77777777" w:rsidR="005A1D76" w:rsidRPr="005A1D76" w:rsidRDefault="005A1D76" w:rsidP="000304B2">
            <w:pPr>
              <w:autoSpaceDE w:val="0"/>
              <w:autoSpaceDN w:val="0"/>
              <w:adjustRightInd w:val="0"/>
              <w:ind w:left="360" w:hanging="360"/>
              <w:rPr>
                <w:color w:val="FF0000"/>
              </w:rPr>
            </w:pPr>
          </w:p>
          <w:p w14:paraId="0D8874D5" w14:textId="77777777" w:rsidR="005A1D76" w:rsidRDefault="005A1D76" w:rsidP="005A1D76">
            <w:pPr>
              <w:autoSpaceDE w:val="0"/>
              <w:autoSpaceDN w:val="0"/>
              <w:adjustRightInd w:val="0"/>
              <w:ind w:left="360" w:hanging="360"/>
            </w:pPr>
            <w:r w:rsidRPr="005A1D76">
              <w:rPr>
                <w:b/>
              </w:rPr>
              <w:t>Unemployed:</w:t>
            </w:r>
            <w:r w:rsidRPr="005A1D76">
              <w:t xml:space="preserve"> Unemployed are persons usually without work, available for work and actively seeking work.  Persons considered registered unemployed would be included.  Full time students are considered as inactive but not eligible for this provision as they are not available for work.  Long term unemployment is greater than 6 months for under 25 years old and greater than 12 months for 25 years old or more.</w:t>
            </w:r>
          </w:p>
          <w:p w14:paraId="0D8874DA" w14:textId="77777777" w:rsidR="00200BC6" w:rsidRPr="00590073" w:rsidRDefault="00200BC6" w:rsidP="00C02C70">
            <w:pPr>
              <w:autoSpaceDE w:val="0"/>
              <w:autoSpaceDN w:val="0"/>
              <w:adjustRightInd w:val="0"/>
            </w:pPr>
          </w:p>
        </w:tc>
      </w:tr>
      <w:tr w:rsidR="00967429" w:rsidRPr="00544738" w14:paraId="0D8874DD" w14:textId="77777777" w:rsidTr="00C02C70">
        <w:trPr>
          <w:trHeight w:val="567"/>
        </w:trPr>
        <w:tc>
          <w:tcPr>
            <w:tcW w:w="9088" w:type="dxa"/>
            <w:shd w:val="clear" w:color="auto" w:fill="D9D9D9" w:themeFill="background1" w:themeFillShade="D9"/>
            <w:vAlign w:val="center"/>
          </w:tcPr>
          <w:p w14:paraId="0D8874DC" w14:textId="77777777" w:rsidR="00967429" w:rsidRPr="00C107CE" w:rsidRDefault="002E25F4" w:rsidP="00C107CE">
            <w:pPr>
              <w:autoSpaceDE w:val="0"/>
              <w:autoSpaceDN w:val="0"/>
              <w:adjustRightInd w:val="0"/>
              <w:rPr>
                <w:rFonts w:cs="Arial"/>
                <w:b/>
                <w:lang w:eastAsia="en-GB"/>
              </w:rPr>
            </w:pPr>
            <w:r w:rsidRPr="002833D9">
              <w:rPr>
                <w:rFonts w:cs="Arial"/>
                <w:b/>
                <w:lang w:eastAsia="en-GB"/>
              </w:rPr>
              <w:lastRenderedPageBreak/>
              <w:t>SERVICE REQUIREMENTS</w:t>
            </w:r>
          </w:p>
        </w:tc>
      </w:tr>
      <w:tr w:rsidR="00967429" w:rsidRPr="00544738" w14:paraId="0D887577" w14:textId="77777777" w:rsidTr="00E55A2F">
        <w:tc>
          <w:tcPr>
            <w:tcW w:w="9088" w:type="dxa"/>
          </w:tcPr>
          <w:p w14:paraId="0D8874DE" w14:textId="77777777" w:rsidR="000D51DE" w:rsidRDefault="000D51DE" w:rsidP="00A524B5">
            <w:pPr>
              <w:rPr>
                <w:rFonts w:cs="Arial"/>
                <w:b/>
              </w:rPr>
            </w:pPr>
          </w:p>
          <w:p w14:paraId="0D8874DF" w14:textId="77777777" w:rsidR="002E25F4" w:rsidRDefault="002E25F4" w:rsidP="00A524B5">
            <w:pPr>
              <w:rPr>
                <w:rFonts w:cs="Arial"/>
                <w:b/>
              </w:rPr>
            </w:pPr>
            <w:r w:rsidRPr="002833D9">
              <w:rPr>
                <w:rFonts w:cs="Arial"/>
                <w:b/>
              </w:rPr>
              <w:t xml:space="preserve">General </w:t>
            </w:r>
            <w:r w:rsidR="00EA180F">
              <w:rPr>
                <w:rFonts w:cs="Arial"/>
                <w:b/>
              </w:rPr>
              <w:t>Service Requirements</w:t>
            </w:r>
          </w:p>
          <w:p w14:paraId="0D8874E0" w14:textId="77777777" w:rsidR="00EA180F" w:rsidRPr="001A4B05" w:rsidRDefault="00EA180F" w:rsidP="00A524B5">
            <w:pPr>
              <w:rPr>
                <w:rFonts w:cs="Arial"/>
                <w:b/>
              </w:rPr>
            </w:pPr>
          </w:p>
          <w:p w14:paraId="0D8874E1" w14:textId="77777777" w:rsidR="002E25F4" w:rsidRPr="00D535E6" w:rsidRDefault="002E25F4" w:rsidP="00A524B5">
            <w:pPr>
              <w:rPr>
                <w:rFonts w:cs="Arial"/>
              </w:rPr>
            </w:pPr>
            <w:r w:rsidRPr="00D535E6">
              <w:rPr>
                <w:rFonts w:cs="Arial"/>
              </w:rPr>
              <w:t>All activities must complement and avoid duplication with other provision, thereby adding value to D</w:t>
            </w:r>
            <w:r w:rsidR="00F3689D" w:rsidRPr="00D535E6">
              <w:rPr>
                <w:rFonts w:cs="Arial"/>
              </w:rPr>
              <w:t xml:space="preserve">epartment for </w:t>
            </w:r>
            <w:r w:rsidRPr="00D535E6">
              <w:rPr>
                <w:rFonts w:cs="Arial"/>
              </w:rPr>
              <w:t>W</w:t>
            </w:r>
            <w:r w:rsidR="00F3689D" w:rsidRPr="00D535E6">
              <w:rPr>
                <w:rFonts w:cs="Arial"/>
              </w:rPr>
              <w:t xml:space="preserve">ork and </w:t>
            </w:r>
            <w:r w:rsidRPr="00D535E6">
              <w:rPr>
                <w:rFonts w:cs="Arial"/>
              </w:rPr>
              <w:t>P</w:t>
            </w:r>
            <w:r w:rsidR="00F3689D" w:rsidRPr="00D535E6">
              <w:rPr>
                <w:rFonts w:cs="Arial"/>
              </w:rPr>
              <w:t>ensions</w:t>
            </w:r>
            <w:r w:rsidRPr="00D535E6">
              <w:rPr>
                <w:rFonts w:cs="Arial"/>
              </w:rPr>
              <w:t>/Big Lottery</w:t>
            </w:r>
            <w:r w:rsidR="00581451" w:rsidRPr="00D535E6">
              <w:rPr>
                <w:rFonts w:cs="Arial"/>
              </w:rPr>
              <w:t>, E</w:t>
            </w:r>
            <w:r w:rsidR="00F3689D" w:rsidRPr="00D535E6">
              <w:rPr>
                <w:rFonts w:cs="Arial"/>
              </w:rPr>
              <w:t xml:space="preserve">ducation </w:t>
            </w:r>
            <w:r w:rsidR="00581451" w:rsidRPr="00D535E6">
              <w:rPr>
                <w:rFonts w:cs="Arial"/>
              </w:rPr>
              <w:t>F</w:t>
            </w:r>
            <w:r w:rsidR="00F3689D" w:rsidRPr="00D535E6">
              <w:rPr>
                <w:rFonts w:cs="Arial"/>
              </w:rPr>
              <w:t xml:space="preserve">unding </w:t>
            </w:r>
            <w:r w:rsidR="00581451" w:rsidRPr="00D535E6">
              <w:rPr>
                <w:rFonts w:cs="Arial"/>
              </w:rPr>
              <w:t>A</w:t>
            </w:r>
            <w:r w:rsidR="00F3689D" w:rsidRPr="00D535E6">
              <w:rPr>
                <w:rFonts w:cs="Arial"/>
              </w:rPr>
              <w:t>gency</w:t>
            </w:r>
            <w:r w:rsidR="00581451" w:rsidRPr="00D535E6">
              <w:rPr>
                <w:rFonts w:cs="Arial"/>
              </w:rPr>
              <w:t>,</w:t>
            </w:r>
            <w:r w:rsidRPr="00D535E6">
              <w:rPr>
                <w:rFonts w:cs="Arial"/>
              </w:rPr>
              <w:t xml:space="preserve"> Skills Funding Agency</w:t>
            </w:r>
            <w:r w:rsidR="00C107CE" w:rsidRPr="00D535E6">
              <w:rPr>
                <w:rFonts w:cs="Arial"/>
              </w:rPr>
              <w:t>, local</w:t>
            </w:r>
            <w:r w:rsidR="00581451" w:rsidRPr="00D535E6">
              <w:rPr>
                <w:rFonts w:cs="Arial"/>
              </w:rPr>
              <w:t xml:space="preserve"> authority</w:t>
            </w:r>
            <w:r w:rsidR="00C0243B" w:rsidRPr="00D535E6">
              <w:rPr>
                <w:rFonts w:cs="Arial"/>
              </w:rPr>
              <w:t>,</w:t>
            </w:r>
            <w:r w:rsidR="00581451" w:rsidRPr="00D535E6">
              <w:rPr>
                <w:rFonts w:cs="Arial"/>
              </w:rPr>
              <w:t xml:space="preserve"> </w:t>
            </w:r>
            <w:r w:rsidR="00C0243B" w:rsidRPr="00D535E6">
              <w:rPr>
                <w:rFonts w:cs="Arial"/>
              </w:rPr>
              <w:t>N</w:t>
            </w:r>
            <w:r w:rsidR="00F3689D" w:rsidRPr="00D535E6">
              <w:rPr>
                <w:rFonts w:cs="Arial"/>
              </w:rPr>
              <w:t xml:space="preserve">ational </w:t>
            </w:r>
            <w:r w:rsidR="00C0243B" w:rsidRPr="00D535E6">
              <w:rPr>
                <w:rFonts w:cs="Arial"/>
              </w:rPr>
              <w:t>C</w:t>
            </w:r>
            <w:r w:rsidR="00F3689D" w:rsidRPr="00D535E6">
              <w:rPr>
                <w:rFonts w:cs="Arial"/>
              </w:rPr>
              <w:t xml:space="preserve">areers </w:t>
            </w:r>
            <w:r w:rsidR="00C0243B" w:rsidRPr="00D535E6">
              <w:rPr>
                <w:rFonts w:cs="Arial"/>
              </w:rPr>
              <w:t>S</w:t>
            </w:r>
            <w:r w:rsidR="00F3689D" w:rsidRPr="00D535E6">
              <w:rPr>
                <w:rFonts w:cs="Arial"/>
              </w:rPr>
              <w:t>ervice</w:t>
            </w:r>
            <w:r w:rsidR="00C0243B" w:rsidRPr="00D535E6">
              <w:rPr>
                <w:rFonts w:cs="Arial"/>
              </w:rPr>
              <w:t xml:space="preserve"> and the new Careers Enterprise Company </w:t>
            </w:r>
            <w:r w:rsidRPr="00D535E6">
              <w:rPr>
                <w:rFonts w:cs="Arial"/>
              </w:rPr>
              <w:t xml:space="preserve">funded provision. </w:t>
            </w:r>
            <w:r w:rsidR="0006724D" w:rsidRPr="00D535E6">
              <w:rPr>
                <w:rFonts w:cs="Arial"/>
              </w:rPr>
              <w:t xml:space="preserve"> </w:t>
            </w:r>
            <w:r w:rsidRPr="00D535E6">
              <w:rPr>
                <w:rFonts w:cs="Arial"/>
              </w:rPr>
              <w:t xml:space="preserve">Successful </w:t>
            </w:r>
            <w:r w:rsidR="00C6219F" w:rsidRPr="00D535E6">
              <w:rPr>
                <w:rFonts w:cs="Arial"/>
              </w:rPr>
              <w:t>candidate</w:t>
            </w:r>
            <w:r w:rsidRPr="00D535E6">
              <w:rPr>
                <w:rFonts w:cs="Arial"/>
              </w:rPr>
              <w:t>s will be required to ensure that ESF provision will clearly add value and not duplicate any provision that can be arranged locally through existing mainstream institutions.</w:t>
            </w:r>
          </w:p>
          <w:p w14:paraId="0D8874E2" w14:textId="77777777" w:rsidR="00ED156A" w:rsidRPr="00D535E6" w:rsidRDefault="00ED156A" w:rsidP="00A524B5">
            <w:pPr>
              <w:rPr>
                <w:rFonts w:cs="Arial"/>
              </w:rPr>
            </w:pPr>
          </w:p>
          <w:p w14:paraId="0D8874E3" w14:textId="77777777" w:rsidR="0031325C" w:rsidRPr="00D535E6" w:rsidRDefault="00ED156A" w:rsidP="00A524B5">
            <w:pPr>
              <w:rPr>
                <w:rFonts w:cs="Arial"/>
                <w:b/>
                <w:i/>
              </w:rPr>
            </w:pPr>
            <w:r w:rsidRPr="00D535E6">
              <w:rPr>
                <w:rFonts w:cs="Arial"/>
                <w:b/>
                <w:i/>
              </w:rPr>
              <w:t>Capacity and readiness to deliver</w:t>
            </w:r>
          </w:p>
          <w:p w14:paraId="0D8874E4" w14:textId="77777777" w:rsidR="00ED156A" w:rsidRPr="00D535E6" w:rsidRDefault="00ED156A" w:rsidP="00ED156A">
            <w:pPr>
              <w:autoSpaceDE w:val="0"/>
              <w:autoSpaceDN w:val="0"/>
              <w:adjustRightInd w:val="0"/>
              <w:rPr>
                <w:rFonts w:cs="Arial"/>
              </w:rPr>
            </w:pPr>
            <w:r w:rsidRPr="00D535E6">
              <w:rPr>
                <w:rFonts w:cs="Arial"/>
              </w:rPr>
              <w:t>Candidates must have:</w:t>
            </w:r>
          </w:p>
          <w:p w14:paraId="0D8874E5" w14:textId="77777777" w:rsidR="00E15FDE" w:rsidRPr="00E15FDE" w:rsidRDefault="00E15FDE" w:rsidP="00E15FDE">
            <w:pPr>
              <w:pStyle w:val="ListParagraph"/>
              <w:numPr>
                <w:ilvl w:val="0"/>
                <w:numId w:val="58"/>
              </w:numPr>
              <w:rPr>
                <w:rFonts w:cs="Arial"/>
                <w:szCs w:val="22"/>
              </w:rPr>
            </w:pPr>
            <w:r w:rsidRPr="00E15FDE">
              <w:rPr>
                <w:rFonts w:cs="Arial"/>
                <w:szCs w:val="22"/>
              </w:rPr>
              <w:t xml:space="preserve">The resources to offer very </w:t>
            </w:r>
            <w:r w:rsidR="006E012E">
              <w:rPr>
                <w:rFonts w:cs="Arial"/>
                <w:szCs w:val="22"/>
              </w:rPr>
              <w:t>locally tailored solutions and flexible delivery to meet the skills and apprenticeship priorities of employers.</w:t>
            </w:r>
          </w:p>
          <w:p w14:paraId="0D8874E6" w14:textId="77777777" w:rsidR="00ED156A" w:rsidRPr="00D535E6" w:rsidRDefault="00ED156A" w:rsidP="002C2B65">
            <w:pPr>
              <w:pStyle w:val="ListParagraph"/>
              <w:numPr>
                <w:ilvl w:val="0"/>
                <w:numId w:val="58"/>
              </w:numPr>
              <w:rPr>
                <w:rFonts w:cs="Arial"/>
                <w:lang w:eastAsia="en-GB"/>
              </w:rPr>
            </w:pPr>
            <w:r w:rsidRPr="00D535E6">
              <w:rPr>
                <w:rFonts w:cs="Arial"/>
                <w:bCs/>
                <w:lang w:eastAsia="en-GB"/>
              </w:rPr>
              <w:t>The capacity to deliver provision immediately upon commencement of the contract and that delivery should not be delayed in any way by any recruitment processes or other processes or relationships that need to be established.</w:t>
            </w:r>
          </w:p>
          <w:p w14:paraId="0D8874E7" w14:textId="77777777" w:rsidR="002F71DB" w:rsidRPr="005A1D76" w:rsidRDefault="002F71DB" w:rsidP="002C2B65">
            <w:pPr>
              <w:pStyle w:val="ListParagraph"/>
              <w:numPr>
                <w:ilvl w:val="0"/>
                <w:numId w:val="58"/>
              </w:numPr>
              <w:rPr>
                <w:rFonts w:cs="Arial"/>
                <w:lang w:eastAsia="en-GB"/>
              </w:rPr>
            </w:pPr>
            <w:r w:rsidRPr="005A1D76">
              <w:rPr>
                <w:rFonts w:cs="Arial"/>
                <w:lang w:eastAsia="en-GB"/>
              </w:rPr>
              <w:t xml:space="preserve">Candidates must be able to demonstrate the ability to undertake robust initial assessment of eligible </w:t>
            </w:r>
            <w:r w:rsidR="00105E0B">
              <w:rPr>
                <w:rFonts w:cs="Arial"/>
                <w:lang w:eastAsia="en-GB"/>
              </w:rPr>
              <w:t>participant</w:t>
            </w:r>
            <w:r w:rsidRPr="005A1D76">
              <w:rPr>
                <w:rFonts w:cs="Arial"/>
                <w:lang w:eastAsia="en-GB"/>
              </w:rPr>
              <w:t>s.  Vocational training delivered must be regulated units and qualifications on</w:t>
            </w:r>
            <w:r w:rsidRPr="00BC7F87">
              <w:rPr>
                <w:rFonts w:cs="Arial"/>
                <w:lang w:eastAsia="en-GB"/>
              </w:rPr>
              <w:t xml:space="preserve"> the Qualifications and Curriculum Framework and be able to support </w:t>
            </w:r>
            <w:r w:rsidR="00105E0B">
              <w:rPr>
                <w:rFonts w:cs="Arial"/>
                <w:lang w:eastAsia="en-GB"/>
              </w:rPr>
              <w:t>participant</w:t>
            </w:r>
            <w:r w:rsidRPr="00BC7F87">
              <w:rPr>
                <w:rFonts w:cs="Arial"/>
                <w:lang w:eastAsia="en-GB"/>
              </w:rPr>
              <w:t xml:space="preserve">s into higher levels of training and workplace </w:t>
            </w:r>
            <w:r w:rsidR="005A1D76">
              <w:rPr>
                <w:rFonts w:cs="Arial"/>
                <w:lang w:eastAsia="en-GB"/>
              </w:rPr>
              <w:t>progression</w:t>
            </w:r>
          </w:p>
          <w:p w14:paraId="0D8874E8" w14:textId="77777777" w:rsidR="00ED156A" w:rsidRPr="002F4192" w:rsidRDefault="00ED156A" w:rsidP="00515602">
            <w:pPr>
              <w:rPr>
                <w:rFonts w:cs="Arial"/>
                <w:lang w:eastAsia="en-GB"/>
              </w:rPr>
            </w:pPr>
          </w:p>
          <w:p w14:paraId="0D8874E9" w14:textId="77777777" w:rsidR="00ED156A" w:rsidRPr="005A1D76" w:rsidRDefault="00ED156A" w:rsidP="00515602">
            <w:pPr>
              <w:rPr>
                <w:rFonts w:cs="Arial"/>
                <w:b/>
                <w:i/>
                <w:lang w:eastAsia="en-GB"/>
              </w:rPr>
            </w:pPr>
            <w:r w:rsidRPr="005A1D76">
              <w:rPr>
                <w:rFonts w:cs="Arial"/>
                <w:b/>
                <w:i/>
                <w:lang w:eastAsia="en-GB"/>
              </w:rPr>
              <w:t>Track record</w:t>
            </w:r>
          </w:p>
          <w:p w14:paraId="0D8874EA" w14:textId="77777777" w:rsidR="00ED156A" w:rsidRDefault="00812EC6" w:rsidP="00515602">
            <w:pPr>
              <w:rPr>
                <w:rFonts w:cs="Arial"/>
                <w:szCs w:val="22"/>
              </w:rPr>
            </w:pPr>
            <w:r w:rsidRPr="005A1D76">
              <w:rPr>
                <w:rFonts w:cs="Arial"/>
              </w:rPr>
              <w:t>T</w:t>
            </w:r>
            <w:r w:rsidRPr="005A1D76">
              <w:rPr>
                <w:rFonts w:cs="Arial"/>
                <w:szCs w:val="22"/>
              </w:rPr>
              <w:t xml:space="preserve">he ability to deliver the required activity, based on a track record in the successful delivery and management of this type </w:t>
            </w:r>
            <w:r w:rsidR="00273291">
              <w:rPr>
                <w:rFonts w:cs="Arial"/>
                <w:szCs w:val="22"/>
              </w:rPr>
              <w:t xml:space="preserve">and size </w:t>
            </w:r>
            <w:r w:rsidRPr="005A1D76">
              <w:rPr>
                <w:rFonts w:cs="Arial"/>
                <w:szCs w:val="22"/>
              </w:rPr>
              <w:t>of programme</w:t>
            </w:r>
          </w:p>
          <w:p w14:paraId="0D8874EB" w14:textId="77777777" w:rsidR="00E43DDB" w:rsidRPr="005A1D76" w:rsidRDefault="00E43DDB" w:rsidP="00515602">
            <w:pPr>
              <w:rPr>
                <w:rFonts w:cs="Arial"/>
                <w:szCs w:val="22"/>
              </w:rPr>
            </w:pPr>
          </w:p>
          <w:p w14:paraId="1C99A464" w14:textId="77777777" w:rsidR="00C02C70" w:rsidRDefault="00C02C70" w:rsidP="00E43DDB">
            <w:pPr>
              <w:rPr>
                <w:rFonts w:cs="Arial"/>
                <w:b/>
                <w:i/>
                <w:lang w:eastAsia="en-GB"/>
              </w:rPr>
            </w:pPr>
          </w:p>
          <w:p w14:paraId="0D8874EC" w14:textId="77777777" w:rsidR="00E43DDB" w:rsidRPr="00E43DDB" w:rsidRDefault="00E43DDB" w:rsidP="00E43DDB">
            <w:pPr>
              <w:rPr>
                <w:rFonts w:cs="Arial"/>
                <w:b/>
                <w:i/>
                <w:lang w:eastAsia="en-GB"/>
              </w:rPr>
            </w:pPr>
            <w:r w:rsidRPr="00E43DDB">
              <w:rPr>
                <w:rFonts w:cs="Arial"/>
                <w:b/>
                <w:i/>
                <w:lang w:eastAsia="en-GB"/>
              </w:rPr>
              <w:t>Information, Advice and Guidance</w:t>
            </w:r>
          </w:p>
          <w:p w14:paraId="0D8874ED" w14:textId="77777777" w:rsidR="00E43DDB" w:rsidRPr="00E43DDB" w:rsidRDefault="00E43DDB" w:rsidP="00E43DDB">
            <w:pPr>
              <w:rPr>
                <w:rFonts w:cs="Arial"/>
                <w:lang w:eastAsia="en-GB"/>
              </w:rPr>
            </w:pPr>
            <w:r w:rsidRPr="00E43DDB">
              <w:rPr>
                <w:rFonts w:cs="Arial"/>
                <w:lang w:eastAsia="en-GB"/>
              </w:rPr>
              <w:lastRenderedPageBreak/>
              <w:t>Where the activity requires effective Information, Advice and Guidance successful</w:t>
            </w:r>
            <w:r w:rsidR="000C2C49">
              <w:rPr>
                <w:rFonts w:cs="Arial"/>
                <w:lang w:eastAsia="en-GB"/>
              </w:rPr>
              <w:t xml:space="preserve"> </w:t>
            </w:r>
            <w:r w:rsidRPr="00E43DDB">
              <w:rPr>
                <w:rFonts w:cs="Arial"/>
                <w:lang w:eastAsia="en-GB"/>
              </w:rPr>
              <w:t>applicants and/or subcontractors delivering this element will either hold or be</w:t>
            </w:r>
            <w:r w:rsidR="000C2C49">
              <w:rPr>
                <w:rFonts w:cs="Arial"/>
                <w:lang w:eastAsia="en-GB"/>
              </w:rPr>
              <w:t xml:space="preserve"> </w:t>
            </w:r>
            <w:r w:rsidRPr="00E43DDB">
              <w:rPr>
                <w:rFonts w:cs="Arial"/>
                <w:lang w:eastAsia="en-GB"/>
              </w:rPr>
              <w:t>working towards the Matrix standard.</w:t>
            </w:r>
          </w:p>
          <w:p w14:paraId="0D8874EE" w14:textId="77777777" w:rsidR="00E43DDB" w:rsidRPr="00E43DDB" w:rsidRDefault="00E43DDB" w:rsidP="00E43DDB">
            <w:pPr>
              <w:rPr>
                <w:rFonts w:cs="Arial"/>
                <w:lang w:eastAsia="en-GB"/>
              </w:rPr>
            </w:pPr>
          </w:p>
          <w:p w14:paraId="0D8874EF" w14:textId="77777777" w:rsidR="00ED156A" w:rsidRPr="005A1D76" w:rsidRDefault="002E25F4" w:rsidP="00A524B5">
            <w:pPr>
              <w:rPr>
                <w:rFonts w:cs="Arial"/>
              </w:rPr>
            </w:pPr>
            <w:r w:rsidRPr="005A1D76">
              <w:rPr>
                <w:rFonts w:cs="Arial"/>
                <w:b/>
                <w:i/>
              </w:rPr>
              <w:t>Management and quality assurance</w:t>
            </w:r>
          </w:p>
          <w:p w14:paraId="0D8874F0" w14:textId="77777777" w:rsidR="002E25F4" w:rsidRPr="005A1D76" w:rsidRDefault="002E25F4" w:rsidP="00A524B5">
            <w:pPr>
              <w:rPr>
                <w:rFonts w:cs="Arial"/>
              </w:rPr>
            </w:pPr>
            <w:r w:rsidRPr="005A1D76">
              <w:rPr>
                <w:rFonts w:cs="Arial"/>
              </w:rPr>
              <w:t>Candidates will need to have effective management arrangements in place to ensure all of the req</w:t>
            </w:r>
            <w:r w:rsidR="001E712C">
              <w:rPr>
                <w:rFonts w:cs="Arial"/>
              </w:rPr>
              <w:t>uirements of this specification are fulfilled</w:t>
            </w:r>
            <w:r w:rsidRPr="005A1D76">
              <w:rPr>
                <w:rFonts w:cs="Arial"/>
              </w:rPr>
              <w:t xml:space="preserve">. </w:t>
            </w:r>
            <w:r w:rsidR="00F45857" w:rsidRPr="005A1D76">
              <w:rPr>
                <w:rFonts w:cs="Arial"/>
              </w:rPr>
              <w:t xml:space="preserve"> </w:t>
            </w:r>
            <w:r w:rsidRPr="005A1D76">
              <w:rPr>
                <w:rFonts w:cs="Arial"/>
              </w:rPr>
              <w:t>The Services must be delivered to a high quality and successful tenderers will need to have in place quality assurance and improvement processes.</w:t>
            </w:r>
          </w:p>
          <w:p w14:paraId="0D8874F1" w14:textId="77777777" w:rsidR="00B06A9F" w:rsidRPr="005A1D76" w:rsidRDefault="00B06A9F" w:rsidP="00A524B5">
            <w:pPr>
              <w:rPr>
                <w:rFonts w:cs="Arial"/>
              </w:rPr>
            </w:pPr>
          </w:p>
          <w:p w14:paraId="0D8874F2" w14:textId="77777777" w:rsidR="00B06A9F" w:rsidRDefault="00B06A9F" w:rsidP="00515602">
            <w:pPr>
              <w:rPr>
                <w:rFonts w:cs="Arial"/>
              </w:rPr>
            </w:pPr>
            <w:r w:rsidRPr="005A1D76">
              <w:rPr>
                <w:rFonts w:cs="Arial"/>
              </w:rPr>
              <w:t xml:space="preserve">The Service needs to be flexible and responsive to the changing economic and political landscape and take into consideration that the approach and associated processes may change during the life of this contract.  Therefore Candidates will be expected to be able to change the delivery of the Services accordingly.  </w:t>
            </w:r>
          </w:p>
          <w:p w14:paraId="0D8874F3" w14:textId="77777777" w:rsidR="00E15FDE" w:rsidRDefault="00E15FDE" w:rsidP="00515602">
            <w:pPr>
              <w:rPr>
                <w:rFonts w:cs="Arial"/>
              </w:rPr>
            </w:pPr>
          </w:p>
          <w:p w14:paraId="0D8874F4" w14:textId="77777777" w:rsidR="00E15FDE" w:rsidRPr="005A1D76" w:rsidRDefault="00E15FDE" w:rsidP="00515602">
            <w:pPr>
              <w:rPr>
                <w:rFonts w:cs="Arial"/>
              </w:rPr>
            </w:pPr>
            <w:r w:rsidRPr="00E15FDE">
              <w:rPr>
                <w:rFonts w:cs="Arial"/>
              </w:rPr>
              <w:t>Candidates should also share appropriate data with other ESF programmes and evaluations</w:t>
            </w:r>
            <w:r w:rsidR="002F3DB8">
              <w:rPr>
                <w:rFonts w:cs="Arial"/>
              </w:rPr>
              <w:t xml:space="preserve"> in</w:t>
            </w:r>
            <w:r w:rsidR="001A096D">
              <w:rPr>
                <w:rFonts w:cs="Arial"/>
              </w:rPr>
              <w:t xml:space="preserve"> </w:t>
            </w:r>
            <w:r w:rsidR="002F3DB8">
              <w:rPr>
                <w:rFonts w:cs="Arial"/>
              </w:rPr>
              <w:t>line with Data Protection law</w:t>
            </w:r>
            <w:r w:rsidRPr="00E15FDE">
              <w:rPr>
                <w:rFonts w:cs="Arial"/>
              </w:rPr>
              <w:t>.</w:t>
            </w:r>
            <w:r w:rsidR="002F3DB8">
              <w:rPr>
                <w:rFonts w:cs="Arial"/>
              </w:rPr>
              <w:t xml:space="preserve">  Candidates will make the participants aware that their data will be used for evaluation.</w:t>
            </w:r>
          </w:p>
          <w:p w14:paraId="0D8874F5" w14:textId="77777777" w:rsidR="001A4B05" w:rsidRPr="005A1D76" w:rsidRDefault="001A4B05" w:rsidP="00A524B5">
            <w:pPr>
              <w:rPr>
                <w:rFonts w:cs="Arial"/>
              </w:rPr>
            </w:pPr>
          </w:p>
          <w:p w14:paraId="0D8874F6" w14:textId="77777777" w:rsidR="002E25F4" w:rsidRPr="005A1D76" w:rsidRDefault="002E25F4" w:rsidP="00A524B5">
            <w:pPr>
              <w:rPr>
                <w:rFonts w:cs="Arial"/>
              </w:rPr>
            </w:pPr>
            <w:r w:rsidRPr="005A1D76">
              <w:rPr>
                <w:rFonts w:cs="Arial"/>
                <w:b/>
                <w:i/>
              </w:rPr>
              <w:t>Partnership working</w:t>
            </w:r>
          </w:p>
          <w:p w14:paraId="0D8874F7" w14:textId="77777777" w:rsidR="002E25F4" w:rsidRPr="005A1D76" w:rsidRDefault="002E25F4" w:rsidP="00A524B5">
            <w:pPr>
              <w:rPr>
                <w:rFonts w:cs="Arial"/>
              </w:rPr>
            </w:pPr>
            <w:r w:rsidRPr="005A1D76">
              <w:rPr>
                <w:rFonts w:cs="Arial"/>
              </w:rPr>
              <w:t>Candidates will be required to work in partnership with other organisations delivering education and training in the area to ensure the Service is complementary to and not in competition with other funded provision.</w:t>
            </w:r>
          </w:p>
          <w:p w14:paraId="0D8874F8" w14:textId="77777777" w:rsidR="002E25F4" w:rsidRPr="005A1D76" w:rsidRDefault="002E25F4" w:rsidP="00A524B5">
            <w:pPr>
              <w:rPr>
                <w:rFonts w:cs="Arial"/>
              </w:rPr>
            </w:pPr>
          </w:p>
          <w:p w14:paraId="0D8874F9" w14:textId="77777777" w:rsidR="002E25F4" w:rsidRPr="005A1D76" w:rsidRDefault="002E25F4" w:rsidP="00A524B5">
            <w:pPr>
              <w:rPr>
                <w:rFonts w:cs="Arial"/>
              </w:rPr>
            </w:pPr>
            <w:r w:rsidRPr="005A1D76">
              <w:rPr>
                <w:rFonts w:cs="Arial"/>
              </w:rPr>
              <w:t xml:space="preserve">The Service must be able to respond to changing local needs and opportunities, as well as policy changes. </w:t>
            </w:r>
          </w:p>
          <w:p w14:paraId="0D8874FA" w14:textId="77777777" w:rsidR="00ED156A" w:rsidRPr="006C64F5" w:rsidRDefault="00ED156A" w:rsidP="00A524B5">
            <w:pPr>
              <w:rPr>
                <w:rFonts w:cs="Arial"/>
                <w:highlight w:val="yellow"/>
              </w:rPr>
            </w:pPr>
          </w:p>
          <w:p w14:paraId="0D8874FB" w14:textId="77777777" w:rsidR="002E25F4" w:rsidRPr="00BC7F87" w:rsidRDefault="00ED156A" w:rsidP="00C107CE">
            <w:pPr>
              <w:autoSpaceDE w:val="0"/>
              <w:autoSpaceDN w:val="0"/>
              <w:adjustRightInd w:val="0"/>
              <w:rPr>
                <w:rFonts w:cs="Arial"/>
              </w:rPr>
            </w:pPr>
            <w:r w:rsidRPr="00BC7F87">
              <w:rPr>
                <w:rFonts w:cs="Arial"/>
              </w:rPr>
              <w:t xml:space="preserve">Candidates will be required to establish linkages with and have an understanding of, local stakeholder needs and develop strong links with the key stakeholders. </w:t>
            </w:r>
          </w:p>
          <w:p w14:paraId="0D8874FC" w14:textId="77777777" w:rsidR="00C0243B" w:rsidRDefault="00C0243B" w:rsidP="00A524B5">
            <w:pPr>
              <w:rPr>
                <w:rFonts w:cs="Arial"/>
              </w:rPr>
            </w:pPr>
          </w:p>
          <w:p w14:paraId="0D8874FD" w14:textId="77777777" w:rsidR="00043303" w:rsidRPr="00BC7F87" w:rsidRDefault="00043303" w:rsidP="00043303">
            <w:pPr>
              <w:autoSpaceDE w:val="0"/>
              <w:autoSpaceDN w:val="0"/>
              <w:adjustRightInd w:val="0"/>
              <w:rPr>
                <w:rFonts w:cs="Arial"/>
              </w:rPr>
            </w:pPr>
            <w:r>
              <w:rPr>
                <w:rFonts w:cs="Arial"/>
              </w:rPr>
              <w:t xml:space="preserve">Candidates will be required to work with employers </w:t>
            </w:r>
            <w:r w:rsidRPr="00EC2618">
              <w:rPr>
                <w:rFonts w:cs="Arial"/>
                <w:color w:val="000000" w:themeColor="text1"/>
              </w:rPr>
              <w:t xml:space="preserve">to </w:t>
            </w:r>
            <w:r>
              <w:rPr>
                <w:rFonts w:cs="Arial"/>
                <w:color w:val="000000" w:themeColor="text1"/>
              </w:rPr>
              <w:t xml:space="preserve">identify the skills gaps and </w:t>
            </w:r>
            <w:r w:rsidRPr="00EC2618">
              <w:rPr>
                <w:rFonts w:cs="Arial"/>
                <w:color w:val="000000" w:themeColor="text1"/>
              </w:rPr>
              <w:t>needs to drive employer growth</w:t>
            </w:r>
            <w:r>
              <w:rPr>
                <w:rFonts w:cs="Arial"/>
                <w:color w:val="000000" w:themeColor="text1"/>
              </w:rPr>
              <w:t>.</w:t>
            </w:r>
            <w:r w:rsidRPr="00BC7F87">
              <w:rPr>
                <w:rFonts w:cs="Arial"/>
              </w:rPr>
              <w:t xml:space="preserve"> </w:t>
            </w:r>
          </w:p>
          <w:p w14:paraId="0D8874FE" w14:textId="77777777" w:rsidR="00043303" w:rsidRDefault="00043303" w:rsidP="00A524B5">
            <w:pPr>
              <w:rPr>
                <w:rFonts w:cs="Arial"/>
              </w:rPr>
            </w:pPr>
          </w:p>
          <w:p w14:paraId="0D8874FF" w14:textId="77777777" w:rsidR="000E66D3" w:rsidRDefault="00FA5F66" w:rsidP="00A524B5">
            <w:pPr>
              <w:rPr>
                <w:rFonts w:cs="Arial"/>
              </w:rPr>
            </w:pPr>
            <w:r>
              <w:rPr>
                <w:rFonts w:cs="Arial"/>
              </w:rPr>
              <w:t xml:space="preserve">Where the Service works with Jobcentre Plus clients the Candidates will be required to co-operate </w:t>
            </w:r>
            <w:r w:rsidR="004B698A" w:rsidRPr="00372220">
              <w:rPr>
                <w:rFonts w:cs="Arial"/>
                <w:bCs/>
                <w:szCs w:val="22"/>
                <w:lang w:eastAsia="en-GB"/>
              </w:rPr>
              <w:t xml:space="preserve">effectively with Jobcentre Plus making them aware of candidates who fail to attend training and notifying them of any instances where </w:t>
            </w:r>
            <w:r w:rsidR="00105E0B">
              <w:rPr>
                <w:rFonts w:cs="Arial"/>
                <w:bCs/>
                <w:szCs w:val="22"/>
                <w:lang w:eastAsia="en-GB"/>
              </w:rPr>
              <w:t>participant</w:t>
            </w:r>
            <w:r w:rsidR="004B698A" w:rsidRPr="00372220">
              <w:rPr>
                <w:rFonts w:cs="Arial"/>
                <w:bCs/>
                <w:szCs w:val="22"/>
                <w:lang w:eastAsia="en-GB"/>
              </w:rPr>
              <w:t>s leave training due to starting work.</w:t>
            </w:r>
            <w:r w:rsidR="00210134">
              <w:rPr>
                <w:rFonts w:cs="Arial"/>
                <w:bCs/>
                <w:szCs w:val="22"/>
                <w:lang w:eastAsia="en-GB"/>
              </w:rPr>
              <w:t xml:space="preserve">  </w:t>
            </w:r>
            <w:r w:rsidR="00136327">
              <w:rPr>
                <w:rFonts w:cs="Arial"/>
              </w:rPr>
              <w:t xml:space="preserve">Candidates will be required to establish links with </w:t>
            </w:r>
            <w:r w:rsidR="000E66D3" w:rsidRPr="00372220">
              <w:rPr>
                <w:rFonts w:cs="Arial"/>
                <w:szCs w:val="22"/>
                <w:lang w:eastAsia="en-GB"/>
              </w:rPr>
              <w:t xml:space="preserve">Jobcentre Plus and visits to public or private sector employers should be made in conjunction with Jobcentre Plus and National Careers Service wherever possible to ensure a smooth, efficient, and joined up approach to arranging benefit claims, offering new employment opportunities and training for all eligible </w:t>
            </w:r>
            <w:r w:rsidR="00105E0B">
              <w:rPr>
                <w:rFonts w:cs="Arial"/>
                <w:szCs w:val="22"/>
                <w:lang w:eastAsia="en-GB"/>
              </w:rPr>
              <w:t>participant</w:t>
            </w:r>
            <w:r w:rsidR="000E66D3" w:rsidRPr="00372220">
              <w:rPr>
                <w:rFonts w:cs="Arial"/>
                <w:szCs w:val="22"/>
                <w:lang w:eastAsia="en-GB"/>
              </w:rPr>
              <w:t xml:space="preserve">s.  </w:t>
            </w:r>
          </w:p>
          <w:p w14:paraId="0D887500" w14:textId="77777777" w:rsidR="000E66D3" w:rsidRDefault="000E66D3" w:rsidP="00A524B5">
            <w:pPr>
              <w:rPr>
                <w:rFonts w:cs="Arial"/>
              </w:rPr>
            </w:pPr>
          </w:p>
          <w:p w14:paraId="0D887501" w14:textId="77777777" w:rsidR="002E25F4" w:rsidRPr="00BC7F87" w:rsidRDefault="002E25F4" w:rsidP="00A524B5">
            <w:pPr>
              <w:rPr>
                <w:rFonts w:cs="Arial"/>
              </w:rPr>
            </w:pPr>
            <w:r w:rsidRPr="00BC7F87">
              <w:rPr>
                <w:rFonts w:cs="Arial"/>
                <w:b/>
                <w:i/>
              </w:rPr>
              <w:t>Market intelligence and local knowledge</w:t>
            </w:r>
          </w:p>
          <w:p w14:paraId="0D887502" w14:textId="77777777" w:rsidR="002E25F4" w:rsidRDefault="002E25F4" w:rsidP="00BC7F87">
            <w:pPr>
              <w:autoSpaceDE w:val="0"/>
              <w:autoSpaceDN w:val="0"/>
              <w:adjustRightInd w:val="0"/>
              <w:ind w:left="29"/>
              <w:rPr>
                <w:rFonts w:cs="Arial"/>
              </w:rPr>
            </w:pPr>
            <w:r w:rsidRPr="00BC7F87">
              <w:rPr>
                <w:rFonts w:cs="Arial"/>
              </w:rPr>
              <w:t>The delivery of the Services must take into account the current and future social and economic indicators including labour market</w:t>
            </w:r>
            <w:r w:rsidR="00BC7F87">
              <w:rPr>
                <w:rFonts w:cs="Arial"/>
              </w:rPr>
              <w:t xml:space="preserve"> intelligence. Candidates must be able to demonstrate a</w:t>
            </w:r>
            <w:r w:rsidR="00812EC6" w:rsidRPr="00BC7F87">
              <w:rPr>
                <w:rFonts w:cs="Arial"/>
                <w:szCs w:val="22"/>
              </w:rPr>
              <w:t xml:space="preserve"> comprehensive understanding of the current employment market and the c</w:t>
            </w:r>
            <w:r w:rsidR="00812EC6" w:rsidRPr="00BC7F87">
              <w:rPr>
                <w:rFonts w:cs="Arial"/>
              </w:rPr>
              <w:t>urrent and future social and economic indicators including labour market intelligence</w:t>
            </w:r>
            <w:r w:rsidR="00BC7F87">
              <w:rPr>
                <w:rFonts w:cs="Arial"/>
              </w:rPr>
              <w:t xml:space="preserve"> for the geographical area being supported</w:t>
            </w:r>
            <w:r w:rsidR="00885437">
              <w:rPr>
                <w:rFonts w:cs="Arial"/>
              </w:rPr>
              <w:t xml:space="preserve">. Candidates must </w:t>
            </w:r>
            <w:r w:rsidR="00885437">
              <w:rPr>
                <w:rFonts w:cs="Arial"/>
              </w:rPr>
              <w:lastRenderedPageBreak/>
              <w:t xml:space="preserve">also have an understanding of local skills shortages and gaps and any existing skills support structures within the LEP area. </w:t>
            </w:r>
          </w:p>
          <w:p w14:paraId="0D887503" w14:textId="77777777" w:rsidR="00043303" w:rsidRDefault="00043303" w:rsidP="00BC7F87">
            <w:pPr>
              <w:autoSpaceDE w:val="0"/>
              <w:autoSpaceDN w:val="0"/>
              <w:adjustRightInd w:val="0"/>
              <w:ind w:left="29"/>
              <w:rPr>
                <w:rFonts w:cs="Arial"/>
                <w:strike/>
                <w:szCs w:val="22"/>
                <w:highlight w:val="yellow"/>
              </w:rPr>
            </w:pPr>
          </w:p>
          <w:p w14:paraId="0D887504" w14:textId="77777777" w:rsidR="002E25F4" w:rsidRPr="00BC7F87" w:rsidRDefault="002E25F4" w:rsidP="005608E8">
            <w:pPr>
              <w:pStyle w:val="letteredlist"/>
              <w:numPr>
                <w:ilvl w:val="0"/>
                <w:numId w:val="0"/>
              </w:numPr>
              <w:spacing w:after="0"/>
              <w:rPr>
                <w:b/>
                <w:i/>
              </w:rPr>
            </w:pPr>
            <w:r w:rsidRPr="00BC7F87">
              <w:rPr>
                <w:b/>
                <w:i/>
              </w:rPr>
              <w:t>Management information and reporting</w:t>
            </w:r>
          </w:p>
          <w:p w14:paraId="0D887505" w14:textId="77777777" w:rsidR="002E25F4" w:rsidRPr="00BC7F87" w:rsidRDefault="002E25F4" w:rsidP="00A524B5">
            <w:pPr>
              <w:rPr>
                <w:rFonts w:cs="Arial"/>
              </w:rPr>
            </w:pPr>
            <w:r w:rsidRPr="00BC7F87">
              <w:t xml:space="preserve">Candidates will develop management information systems to enable it to submit data to the Skills Funding Agency via the Individual Learner Record </w:t>
            </w:r>
            <w:r w:rsidR="00F20E79" w:rsidRPr="00BC7F87">
              <w:t xml:space="preserve">(ILR) </w:t>
            </w:r>
            <w:r w:rsidRPr="00BC7F87">
              <w:t xml:space="preserve">and put in place robust arrangements for ensuring that the evidence required to support payments is collected and retained.  </w:t>
            </w:r>
          </w:p>
          <w:p w14:paraId="0D887506" w14:textId="77777777" w:rsidR="002E25F4" w:rsidRPr="00BC7F87" w:rsidRDefault="002E25F4" w:rsidP="00A524B5">
            <w:pPr>
              <w:rPr>
                <w:rFonts w:cs="Arial"/>
              </w:rPr>
            </w:pPr>
          </w:p>
          <w:p w14:paraId="0D887507" w14:textId="77777777" w:rsidR="002E25F4" w:rsidRPr="00BC7F87" w:rsidRDefault="002E25F4" w:rsidP="00A524B5">
            <w:pPr>
              <w:rPr>
                <w:rFonts w:cs="Arial"/>
                <w:strike/>
              </w:rPr>
            </w:pPr>
            <w:r w:rsidRPr="00BC7F87">
              <w:rPr>
                <w:rFonts w:cs="Arial"/>
              </w:rPr>
              <w:t xml:space="preserve">Candidates will be required to share with LEPs </w:t>
            </w:r>
            <w:r w:rsidR="00025EF8" w:rsidRPr="00BC7F87">
              <w:rPr>
                <w:rFonts w:cs="Arial"/>
              </w:rPr>
              <w:t xml:space="preserve">and the Skills Funding Agency </w:t>
            </w:r>
            <w:r w:rsidRPr="00BC7F87">
              <w:rPr>
                <w:rFonts w:cs="Arial"/>
              </w:rPr>
              <w:t xml:space="preserve">ongoing performance management data as well as additional intelligence to improve the effectiveness </w:t>
            </w:r>
            <w:r w:rsidR="002F71DB" w:rsidRPr="00BC7F87">
              <w:rPr>
                <w:rFonts w:cs="Arial"/>
              </w:rPr>
              <w:t>of Skills</w:t>
            </w:r>
            <w:r w:rsidR="006B0A4D" w:rsidRPr="00BC7F87">
              <w:rPr>
                <w:rFonts w:cs="Arial"/>
              </w:rPr>
              <w:t xml:space="preserve"> Support projects in the LEP area in the future</w:t>
            </w:r>
            <w:r w:rsidRPr="00BC7F87">
              <w:rPr>
                <w:rFonts w:cs="Arial"/>
                <w:strike/>
              </w:rPr>
              <w:t xml:space="preserve"> </w:t>
            </w:r>
          </w:p>
          <w:p w14:paraId="0D887508" w14:textId="77777777" w:rsidR="00C0243B" w:rsidRDefault="00C0243B" w:rsidP="009E7A30">
            <w:pPr>
              <w:rPr>
                <w:rFonts w:cs="Arial"/>
              </w:rPr>
            </w:pPr>
          </w:p>
          <w:p w14:paraId="0D887509" w14:textId="77777777" w:rsidR="00043303" w:rsidRDefault="00043303" w:rsidP="00043303">
            <w:pPr>
              <w:rPr>
                <w:rFonts w:cs="Arial"/>
                <w:b/>
              </w:rPr>
            </w:pPr>
            <w:r>
              <w:rPr>
                <w:rFonts w:cs="Arial"/>
                <w:b/>
              </w:rPr>
              <w:t>Specific Service Requirements</w:t>
            </w:r>
          </w:p>
          <w:p w14:paraId="0D88750A" w14:textId="77777777" w:rsidR="006E012E" w:rsidRDefault="006E012E" w:rsidP="00043303">
            <w:pPr>
              <w:rPr>
                <w:rFonts w:cs="Arial"/>
                <w:b/>
              </w:rPr>
            </w:pPr>
          </w:p>
          <w:p w14:paraId="0D88750B" w14:textId="77777777" w:rsidR="00227DD7" w:rsidRDefault="00227DD7" w:rsidP="00227DD7">
            <w:pPr>
              <w:rPr>
                <w:rFonts w:cs="Arial"/>
              </w:rPr>
            </w:pPr>
            <w:r w:rsidRPr="000C6E00">
              <w:rPr>
                <w:rFonts w:cs="Arial"/>
              </w:rPr>
              <w:t xml:space="preserve">The aim </w:t>
            </w:r>
            <w:r>
              <w:rPr>
                <w:rFonts w:cs="Arial"/>
              </w:rPr>
              <w:t xml:space="preserve">of the Services </w:t>
            </w:r>
            <w:r w:rsidRPr="000C6E00">
              <w:rPr>
                <w:rFonts w:cs="Arial"/>
              </w:rPr>
              <w:t xml:space="preserve">is to provide </w:t>
            </w:r>
            <w:r>
              <w:rPr>
                <w:rFonts w:cs="Arial"/>
              </w:rPr>
              <w:t xml:space="preserve">bespoke </w:t>
            </w:r>
            <w:r w:rsidRPr="000C6E00">
              <w:rPr>
                <w:rFonts w:cs="Arial"/>
              </w:rPr>
              <w:t>support and training for the unemployed and those economically inactive and seeking a return to the labour market but facing skills related barriers to entering the labour market.  The provision will help to deliver the vocationally related skills needed by local employers.</w:t>
            </w:r>
          </w:p>
          <w:p w14:paraId="0D88750C" w14:textId="77777777" w:rsidR="00BA0674" w:rsidRDefault="00BA0674" w:rsidP="00227DD7">
            <w:pPr>
              <w:rPr>
                <w:rFonts w:cs="Arial"/>
              </w:rPr>
            </w:pPr>
          </w:p>
          <w:p w14:paraId="0D88750D" w14:textId="77777777" w:rsidR="00BA0674" w:rsidRPr="005608E8" w:rsidRDefault="00BA0674" w:rsidP="00BA0674">
            <w:pPr>
              <w:rPr>
                <w:rFonts w:cs="Arial"/>
              </w:rPr>
            </w:pPr>
            <w:r w:rsidRPr="005608E8">
              <w:rPr>
                <w:rFonts w:cs="Arial"/>
              </w:rPr>
              <w:t xml:space="preserve">The aim of the Services is to move unemployed and economically inactive Londoners into construction jobs created by the developments across London, by giving them the skills needed to compete effectively in the modern construction industry.  </w:t>
            </w:r>
          </w:p>
          <w:p w14:paraId="0D88750E" w14:textId="77777777" w:rsidR="00BA0674" w:rsidRPr="005608E8" w:rsidRDefault="00BA0674" w:rsidP="00BA0674">
            <w:pPr>
              <w:rPr>
                <w:rFonts w:cs="Arial"/>
              </w:rPr>
            </w:pPr>
          </w:p>
          <w:p w14:paraId="0D88750F" w14:textId="77777777" w:rsidR="00BA0674" w:rsidRPr="005608E8" w:rsidRDefault="00BA0674" w:rsidP="00BA0674">
            <w:pPr>
              <w:rPr>
                <w:rFonts w:cs="Arial"/>
              </w:rPr>
            </w:pPr>
            <w:r w:rsidRPr="005608E8">
              <w:rPr>
                <w:rFonts w:cs="Arial"/>
              </w:rPr>
              <w:t xml:space="preserve">The Services must : </w:t>
            </w:r>
          </w:p>
          <w:p w14:paraId="0D887510" w14:textId="77777777" w:rsidR="00BA0674" w:rsidRPr="005608E8" w:rsidRDefault="00BA0674" w:rsidP="005608E8">
            <w:pPr>
              <w:pStyle w:val="ListParagraph"/>
              <w:numPr>
                <w:ilvl w:val="0"/>
                <w:numId w:val="70"/>
              </w:numPr>
              <w:spacing w:line="240" w:lineRule="atLeast"/>
              <w:rPr>
                <w:rFonts w:cs="Arial"/>
              </w:rPr>
            </w:pPr>
            <w:r w:rsidRPr="005608E8">
              <w:rPr>
                <w:rFonts w:cs="Arial"/>
              </w:rPr>
              <w:t xml:space="preserve">engage 2647 participants </w:t>
            </w:r>
          </w:p>
          <w:p w14:paraId="0D887511" w14:textId="77777777" w:rsidR="00BA0674" w:rsidRPr="00E55A2F" w:rsidRDefault="00BA0674">
            <w:pPr>
              <w:pStyle w:val="ListParagraph"/>
              <w:spacing w:line="240" w:lineRule="atLeast"/>
              <w:rPr>
                <w:rFonts w:cs="Arial"/>
              </w:rPr>
            </w:pPr>
          </w:p>
          <w:p w14:paraId="0D887512" w14:textId="77777777" w:rsidR="00BA0674" w:rsidRPr="005608E8" w:rsidRDefault="00BA0674" w:rsidP="005608E8">
            <w:pPr>
              <w:pStyle w:val="ListParagraph"/>
              <w:numPr>
                <w:ilvl w:val="0"/>
                <w:numId w:val="70"/>
              </w:numPr>
              <w:spacing w:line="240" w:lineRule="atLeast"/>
              <w:rPr>
                <w:rFonts w:cs="Arial"/>
              </w:rPr>
            </w:pPr>
            <w:r w:rsidRPr="005608E8">
              <w:rPr>
                <w:rFonts w:cs="Arial"/>
              </w:rPr>
              <w:t>support 1059 participants gain employment or an apprenticeship</w:t>
            </w:r>
          </w:p>
          <w:p w14:paraId="0D887513" w14:textId="77777777" w:rsidR="00BA0674" w:rsidRPr="00E55A2F" w:rsidRDefault="00BA0674">
            <w:pPr>
              <w:pStyle w:val="ListParagraph"/>
              <w:rPr>
                <w:rFonts w:cs="Arial"/>
              </w:rPr>
            </w:pPr>
          </w:p>
          <w:p w14:paraId="0D887514" w14:textId="77777777" w:rsidR="00BA0674" w:rsidRPr="005608E8" w:rsidRDefault="00BA0674" w:rsidP="005608E8">
            <w:pPr>
              <w:pStyle w:val="ListParagraph"/>
              <w:numPr>
                <w:ilvl w:val="0"/>
                <w:numId w:val="70"/>
              </w:numPr>
              <w:spacing w:line="240" w:lineRule="atLeast"/>
              <w:rPr>
                <w:rFonts w:cs="Arial"/>
              </w:rPr>
            </w:pPr>
            <w:r w:rsidRPr="005608E8">
              <w:rPr>
                <w:rFonts w:cs="Arial"/>
              </w:rPr>
              <w:t>support 508 participants sustain their employment or apprenticeship for 26 weeks out of 32</w:t>
            </w:r>
          </w:p>
          <w:p w14:paraId="0D887515" w14:textId="77777777" w:rsidR="00BA0674" w:rsidRPr="00E55A2F" w:rsidRDefault="00BA0674">
            <w:pPr>
              <w:pStyle w:val="ListParagraph"/>
              <w:rPr>
                <w:rFonts w:cs="Arial"/>
              </w:rPr>
            </w:pPr>
          </w:p>
          <w:p w14:paraId="0D887516" w14:textId="77777777" w:rsidR="00BA0674" w:rsidRPr="005608E8" w:rsidRDefault="00BA0674" w:rsidP="005608E8">
            <w:pPr>
              <w:pStyle w:val="ListParagraph"/>
              <w:numPr>
                <w:ilvl w:val="0"/>
                <w:numId w:val="70"/>
              </w:numPr>
              <w:spacing w:line="240" w:lineRule="atLeast"/>
              <w:rPr>
                <w:rFonts w:cs="Arial"/>
                <w:color w:val="17365D" w:themeColor="text2" w:themeShade="BF"/>
              </w:rPr>
            </w:pPr>
            <w:r w:rsidRPr="005608E8">
              <w:rPr>
                <w:rFonts w:cs="Arial"/>
              </w:rPr>
              <w:t>support 265 participants to progress in work by enrolling on a further training course or qualification during their period of sustained employment.</w:t>
            </w:r>
          </w:p>
          <w:p w14:paraId="0D887517" w14:textId="77777777" w:rsidR="00BA0674" w:rsidRPr="00E55A2F" w:rsidRDefault="00BA0674">
            <w:pPr>
              <w:spacing w:line="240" w:lineRule="atLeast"/>
              <w:rPr>
                <w:rFonts w:cs="Arial"/>
                <w:color w:val="17365D" w:themeColor="text2" w:themeShade="BF"/>
              </w:rPr>
            </w:pPr>
          </w:p>
          <w:p w14:paraId="0D887518" w14:textId="77777777" w:rsidR="00227DD7" w:rsidRDefault="00BA0674" w:rsidP="00227DD7">
            <w:pPr>
              <w:rPr>
                <w:rFonts w:cs="Arial"/>
              </w:rPr>
            </w:pPr>
            <w:r>
              <w:rPr>
                <w:rFonts w:cs="Arial"/>
              </w:rPr>
              <w:t>The Services must provide all p</w:t>
            </w:r>
            <w:r w:rsidR="00227DD7">
              <w:rPr>
                <w:rFonts w:cs="Arial"/>
              </w:rPr>
              <w:t>articipants wi</w:t>
            </w:r>
            <w:r>
              <w:rPr>
                <w:rFonts w:cs="Arial"/>
              </w:rPr>
              <w:t>th</w:t>
            </w:r>
            <w:r w:rsidR="00227DD7">
              <w:rPr>
                <w:rFonts w:cs="Arial"/>
              </w:rPr>
              <w:t xml:space="preserve"> an initial assessment that will diagnose their existing skills and identify skills gaps in relation to employer requirements and/or opportunities for self-employment.  An individual learning plan will then be devised.</w:t>
            </w:r>
          </w:p>
          <w:p w14:paraId="0D887519" w14:textId="77777777" w:rsidR="00227DD7" w:rsidRDefault="00227DD7" w:rsidP="00227DD7">
            <w:pPr>
              <w:rPr>
                <w:rFonts w:cs="Arial"/>
              </w:rPr>
            </w:pPr>
          </w:p>
          <w:p w14:paraId="0D88751A" w14:textId="77777777" w:rsidR="00227DD7" w:rsidRPr="00597A94" w:rsidRDefault="00227DD7" w:rsidP="00227DD7">
            <w:pPr>
              <w:rPr>
                <w:rFonts w:cs="Arial"/>
              </w:rPr>
            </w:pPr>
            <w:r w:rsidRPr="00156FBE">
              <w:rPr>
                <w:rFonts w:cs="Arial"/>
              </w:rPr>
              <w:t xml:space="preserve">The </w:t>
            </w:r>
            <w:r>
              <w:rPr>
                <w:rFonts w:cs="Arial"/>
              </w:rPr>
              <w:t xml:space="preserve">Services will provide meaningful and appropriate information advice and guidance including an overview of the local labour market that will support </w:t>
            </w:r>
            <w:r w:rsidR="00105E0B">
              <w:rPr>
                <w:rFonts w:cs="Arial"/>
              </w:rPr>
              <w:t>participant</w:t>
            </w:r>
            <w:r>
              <w:rPr>
                <w:rFonts w:cs="Arial"/>
              </w:rPr>
              <w:t>s to secure suitable progression into a successful outcome and which raises interest in careers in the LEP’s priority sectors.</w:t>
            </w:r>
          </w:p>
          <w:p w14:paraId="0D88751B" w14:textId="77777777" w:rsidR="00227DD7" w:rsidRDefault="00227DD7" w:rsidP="00227DD7">
            <w:pPr>
              <w:rPr>
                <w:rFonts w:cs="Arial"/>
              </w:rPr>
            </w:pPr>
          </w:p>
          <w:p w14:paraId="0D88751C" w14:textId="77777777" w:rsidR="00227DD7" w:rsidRPr="00A37A3A" w:rsidRDefault="00227DD7" w:rsidP="00227DD7">
            <w:pPr>
              <w:rPr>
                <w:rFonts w:cs="Arial"/>
                <w:bCs/>
                <w:color w:val="000000"/>
                <w:sz w:val="20"/>
              </w:rPr>
            </w:pPr>
            <w:r w:rsidRPr="00A37A3A">
              <w:rPr>
                <w:rFonts w:cs="Arial"/>
                <w:szCs w:val="23"/>
              </w:rPr>
              <w:lastRenderedPageBreak/>
              <w:t xml:space="preserve">The Services must provide </w:t>
            </w:r>
            <w:r w:rsidR="00105E0B">
              <w:rPr>
                <w:rFonts w:cs="Arial"/>
                <w:szCs w:val="23"/>
              </w:rPr>
              <w:t>participant</w:t>
            </w:r>
            <w:r w:rsidRPr="00A37A3A">
              <w:rPr>
                <w:rFonts w:cs="Arial"/>
                <w:szCs w:val="23"/>
              </w:rPr>
              <w:t xml:space="preserve"> and continuous mentor/key worker support for each </w:t>
            </w:r>
            <w:r>
              <w:rPr>
                <w:rFonts w:cs="Arial"/>
                <w:szCs w:val="23"/>
              </w:rPr>
              <w:t>participant.</w:t>
            </w:r>
          </w:p>
          <w:p w14:paraId="0D88751D" w14:textId="77777777" w:rsidR="00227DD7" w:rsidRDefault="00227DD7" w:rsidP="00227DD7">
            <w:pPr>
              <w:rPr>
                <w:rFonts w:cs="Arial"/>
              </w:rPr>
            </w:pPr>
          </w:p>
          <w:p w14:paraId="0D88751E" w14:textId="77777777" w:rsidR="00227DD7" w:rsidRDefault="00227DD7" w:rsidP="00227DD7">
            <w:pPr>
              <w:rPr>
                <w:rFonts w:cs="Arial"/>
              </w:rPr>
            </w:pPr>
            <w:r w:rsidRPr="000A6D6B">
              <w:rPr>
                <w:rFonts w:cs="Arial"/>
              </w:rPr>
              <w:t xml:space="preserve">The </w:t>
            </w:r>
            <w:r>
              <w:rPr>
                <w:rFonts w:cs="Arial"/>
              </w:rPr>
              <w:t>Services will provide participants with a</w:t>
            </w:r>
            <w:r w:rsidRPr="000C6E00">
              <w:rPr>
                <w:rFonts w:cs="Arial"/>
              </w:rPr>
              <w:t>dvice on vacancies, job</w:t>
            </w:r>
            <w:r>
              <w:rPr>
                <w:rFonts w:cs="Arial"/>
              </w:rPr>
              <w:t xml:space="preserve"> </w:t>
            </w:r>
            <w:r w:rsidRPr="000C6E00">
              <w:rPr>
                <w:rFonts w:cs="Arial"/>
              </w:rPr>
              <w:t>search, CV writing and interview techniques</w:t>
            </w:r>
            <w:r>
              <w:rPr>
                <w:rFonts w:cs="Arial"/>
              </w:rPr>
              <w:t xml:space="preserve"> and assistance with </w:t>
            </w:r>
            <w:r w:rsidRPr="000C6E00">
              <w:rPr>
                <w:rFonts w:cs="Arial"/>
              </w:rPr>
              <w:t xml:space="preserve">registration, searching and applications for Apprenticeship vacancies on </w:t>
            </w:r>
            <w:hyperlink r:id="rId17" w:history="1">
              <w:r w:rsidRPr="006A3E9E">
                <w:rPr>
                  <w:rStyle w:val="Hyperlink"/>
                  <w:rFonts w:cs="Arial"/>
                </w:rPr>
                <w:t>www.apprenticeships.org.uk</w:t>
              </w:r>
            </w:hyperlink>
            <w:r>
              <w:rPr>
                <w:rFonts w:cs="Arial"/>
              </w:rPr>
              <w:t xml:space="preserve"> as well as independent study and career skills.</w:t>
            </w:r>
          </w:p>
          <w:p w14:paraId="0D88751F" w14:textId="77777777" w:rsidR="00227DD7" w:rsidRDefault="00227DD7" w:rsidP="00227DD7">
            <w:pPr>
              <w:rPr>
                <w:rFonts w:cs="Arial"/>
              </w:rPr>
            </w:pPr>
          </w:p>
          <w:p w14:paraId="0D887520" w14:textId="77777777" w:rsidR="00227DD7" w:rsidRDefault="00227DD7" w:rsidP="00227DD7">
            <w:pPr>
              <w:rPr>
                <w:rFonts w:cs="Arial"/>
              </w:rPr>
            </w:pPr>
            <w:r>
              <w:rPr>
                <w:rFonts w:cs="Arial"/>
              </w:rPr>
              <w:t xml:space="preserve">The Services must be provided flexibly to support </w:t>
            </w:r>
            <w:r w:rsidR="00105E0B">
              <w:rPr>
                <w:rFonts w:cs="Arial"/>
              </w:rPr>
              <w:t>participant</w:t>
            </w:r>
            <w:r>
              <w:rPr>
                <w:rFonts w:cs="Arial"/>
              </w:rPr>
              <w:t xml:space="preserve"> employability and social mobility including roll on, roll off, year round responsive delivery which accommodates current benefit restrictions/rules where participants are also claimants.  The Services must be designed to help move people into sustainable work, apprenticeships</w:t>
            </w:r>
            <w:r w:rsidR="00BD566D">
              <w:rPr>
                <w:rFonts w:cs="Arial"/>
              </w:rPr>
              <w:t xml:space="preserve"> or </w:t>
            </w:r>
            <w:r>
              <w:rPr>
                <w:rFonts w:cs="Arial"/>
              </w:rPr>
              <w:t>self-employment.</w:t>
            </w:r>
          </w:p>
          <w:p w14:paraId="0D887521" w14:textId="77777777" w:rsidR="00227DD7" w:rsidRDefault="00227DD7" w:rsidP="00227DD7">
            <w:pPr>
              <w:rPr>
                <w:rFonts w:cs="Arial"/>
              </w:rPr>
            </w:pPr>
          </w:p>
          <w:p w14:paraId="0D887522" w14:textId="77777777" w:rsidR="00227DD7" w:rsidRDefault="00227DD7" w:rsidP="00227DD7">
            <w:pPr>
              <w:rPr>
                <w:rFonts w:cs="Arial"/>
              </w:rPr>
            </w:pPr>
            <w:r>
              <w:rPr>
                <w:rFonts w:cs="Arial"/>
              </w:rPr>
              <w:t xml:space="preserve">The Services </w:t>
            </w:r>
            <w:r w:rsidRPr="000C6E00">
              <w:rPr>
                <w:rFonts w:cs="Arial"/>
              </w:rPr>
              <w:t xml:space="preserve">will support the development of innovative approaches to pre-employment support and training, including </w:t>
            </w:r>
            <w:r>
              <w:rPr>
                <w:rFonts w:cs="Arial"/>
              </w:rPr>
              <w:t xml:space="preserve">team working, </w:t>
            </w:r>
            <w:r w:rsidRPr="000C6E00">
              <w:rPr>
                <w:rFonts w:cs="Arial"/>
              </w:rPr>
              <w:t>coaching and mentoring</w:t>
            </w:r>
            <w:r>
              <w:rPr>
                <w:rFonts w:cs="Arial"/>
              </w:rPr>
              <w:t xml:space="preserve">, confidence building and </w:t>
            </w:r>
            <w:r w:rsidRPr="000C6E00">
              <w:rPr>
                <w:rFonts w:cs="Arial"/>
              </w:rPr>
              <w:t>employability training</w:t>
            </w:r>
            <w:r>
              <w:rPr>
                <w:rFonts w:cs="Arial"/>
              </w:rPr>
              <w:t xml:space="preserve">.  The Services will support </w:t>
            </w:r>
            <w:r w:rsidRPr="000C6E00">
              <w:rPr>
                <w:rFonts w:cs="Arial"/>
              </w:rPr>
              <w:t xml:space="preserve">activity that promotes vocational pathways, </w:t>
            </w:r>
            <w:r>
              <w:rPr>
                <w:rFonts w:cs="Arial"/>
              </w:rPr>
              <w:t xml:space="preserve">internships, </w:t>
            </w:r>
            <w:r w:rsidRPr="000C6E00">
              <w:rPr>
                <w:rFonts w:cs="Arial"/>
              </w:rPr>
              <w:t>work experience</w:t>
            </w:r>
            <w:r w:rsidR="00BD566D">
              <w:rPr>
                <w:rFonts w:cs="Arial"/>
              </w:rPr>
              <w:t xml:space="preserve"> and</w:t>
            </w:r>
            <w:r>
              <w:rPr>
                <w:rFonts w:cs="Arial"/>
              </w:rPr>
              <w:t xml:space="preserve"> volunteering which are supported by one to one mentoring</w:t>
            </w:r>
            <w:r w:rsidRPr="000C6E00">
              <w:rPr>
                <w:rFonts w:cs="Arial"/>
              </w:rPr>
              <w:t xml:space="preserve">.  </w:t>
            </w:r>
            <w:r>
              <w:rPr>
                <w:rFonts w:cs="Arial"/>
              </w:rPr>
              <w:t>The Services should also provide self-employment support that reflects the needs of the</w:t>
            </w:r>
            <w:r w:rsidR="001A096D">
              <w:rPr>
                <w:rFonts w:cs="Arial"/>
              </w:rPr>
              <w:t xml:space="preserve"> </w:t>
            </w:r>
            <w:r w:rsidR="005608E8">
              <w:rPr>
                <w:rFonts w:cs="Arial"/>
              </w:rPr>
              <w:t>participants</w:t>
            </w:r>
            <w:r>
              <w:rPr>
                <w:rFonts w:cs="Arial"/>
              </w:rPr>
              <w:t xml:space="preserve"> being supported.</w:t>
            </w:r>
          </w:p>
          <w:p w14:paraId="0D887523" w14:textId="77777777" w:rsidR="00227DD7" w:rsidRDefault="00227DD7" w:rsidP="00227DD7">
            <w:pPr>
              <w:rPr>
                <w:rFonts w:cs="Arial"/>
              </w:rPr>
            </w:pPr>
          </w:p>
          <w:p w14:paraId="0D887524" w14:textId="77777777" w:rsidR="00227DD7" w:rsidRPr="00605653" w:rsidRDefault="00227DD7" w:rsidP="00227DD7">
            <w:pPr>
              <w:rPr>
                <w:rFonts w:cs="Arial"/>
              </w:rPr>
            </w:pPr>
            <w:r>
              <w:rPr>
                <w:rFonts w:cs="Arial"/>
              </w:rPr>
              <w:t xml:space="preserve">The Services will support </w:t>
            </w:r>
            <w:r w:rsidR="00105E0B">
              <w:rPr>
                <w:rFonts w:cs="Arial"/>
              </w:rPr>
              <w:t>participant</w:t>
            </w:r>
            <w:r>
              <w:rPr>
                <w:rFonts w:cs="Arial"/>
              </w:rPr>
              <w:t>s to address personal and social barriers to employment for example</w:t>
            </w:r>
            <w:r w:rsidRPr="00A06997">
              <w:rPr>
                <w:rFonts w:cs="Arial"/>
              </w:rPr>
              <w:t xml:space="preserve"> </w:t>
            </w:r>
            <w:r>
              <w:rPr>
                <w:rFonts w:cs="Arial"/>
              </w:rPr>
              <w:t xml:space="preserve">through </w:t>
            </w:r>
            <w:r w:rsidRPr="00A06997">
              <w:rPr>
                <w:rFonts w:cs="Arial"/>
              </w:rPr>
              <w:t>the purchase of tools, travel costs</w:t>
            </w:r>
            <w:r>
              <w:rPr>
                <w:rFonts w:cs="Arial"/>
              </w:rPr>
              <w:t xml:space="preserve">, childcare and the requirement to have PPE equipment.  </w:t>
            </w:r>
          </w:p>
          <w:p w14:paraId="0D887525" w14:textId="77777777" w:rsidR="00227DD7" w:rsidRDefault="00227DD7" w:rsidP="00227DD7">
            <w:pPr>
              <w:rPr>
                <w:rFonts w:cs="Arial"/>
              </w:rPr>
            </w:pPr>
          </w:p>
          <w:p w14:paraId="0D887526" w14:textId="77777777" w:rsidR="00227DD7" w:rsidRDefault="00227DD7" w:rsidP="00227DD7">
            <w:pPr>
              <w:autoSpaceDE w:val="0"/>
              <w:autoSpaceDN w:val="0"/>
              <w:adjustRightInd w:val="0"/>
              <w:rPr>
                <w:rFonts w:cs="Arial"/>
              </w:rPr>
            </w:pPr>
            <w:r>
              <w:rPr>
                <w:rFonts w:cs="Arial"/>
              </w:rPr>
              <w:t xml:space="preserve">The Services </w:t>
            </w:r>
            <w:r w:rsidRPr="000C6E00">
              <w:rPr>
                <w:rFonts w:cs="Arial"/>
              </w:rPr>
              <w:t xml:space="preserve">should support sustained engagement, transition and progression through creation of individual support packages, appropriate to the particular needs of the </w:t>
            </w:r>
            <w:r w:rsidR="00105E0B">
              <w:rPr>
                <w:rFonts w:cs="Arial"/>
              </w:rPr>
              <w:t>participant</w:t>
            </w:r>
            <w:r w:rsidRPr="000C6E00">
              <w:rPr>
                <w:rFonts w:cs="Arial"/>
              </w:rPr>
              <w:t xml:space="preserve">.  </w:t>
            </w:r>
            <w:r w:rsidR="00105E0B">
              <w:rPr>
                <w:rFonts w:cs="Arial"/>
              </w:rPr>
              <w:t>Participant</w:t>
            </w:r>
            <w:r>
              <w:rPr>
                <w:rFonts w:cs="Arial"/>
              </w:rPr>
              <w:t xml:space="preserve">s will receive regular progress reviews, will receive an exit interview and the Services will track the </w:t>
            </w:r>
            <w:r w:rsidR="00105E0B">
              <w:rPr>
                <w:rFonts w:cs="Arial"/>
              </w:rPr>
              <w:t>participant</w:t>
            </w:r>
            <w:r>
              <w:rPr>
                <w:rFonts w:cs="Arial"/>
              </w:rPr>
              <w:t xml:space="preserve"> after leaving the programme.  </w:t>
            </w:r>
          </w:p>
          <w:p w14:paraId="0D887527" w14:textId="77777777" w:rsidR="00227DD7" w:rsidRDefault="00227DD7" w:rsidP="00227DD7">
            <w:pPr>
              <w:autoSpaceDE w:val="0"/>
              <w:autoSpaceDN w:val="0"/>
              <w:adjustRightInd w:val="0"/>
              <w:rPr>
                <w:rFonts w:cs="Arial"/>
              </w:rPr>
            </w:pPr>
          </w:p>
          <w:p w14:paraId="0D887528" w14:textId="77777777" w:rsidR="00227DD7" w:rsidRPr="004530D4" w:rsidRDefault="00227DD7" w:rsidP="00227DD7">
            <w:pPr>
              <w:rPr>
                <w:rFonts w:cs="Arial"/>
              </w:rPr>
            </w:pPr>
            <w:r w:rsidRPr="004530D4">
              <w:rPr>
                <w:rFonts w:cs="Arial"/>
              </w:rPr>
              <w:t xml:space="preserve">Where </w:t>
            </w:r>
            <w:r w:rsidR="00105E0B">
              <w:rPr>
                <w:rFonts w:cs="Arial"/>
              </w:rPr>
              <w:t>participant</w:t>
            </w:r>
            <w:r w:rsidRPr="004530D4">
              <w:rPr>
                <w:rFonts w:cs="Arial"/>
              </w:rPr>
              <w:t xml:space="preserve">s gain positive outcomes the Services will provide continuous support that will include regular communication, interventions, coaching and mentoring support </w:t>
            </w:r>
            <w:r>
              <w:rPr>
                <w:rFonts w:cs="Arial"/>
              </w:rPr>
              <w:t>for the participant up to the 26</w:t>
            </w:r>
            <w:r w:rsidRPr="004530D4">
              <w:rPr>
                <w:rFonts w:cs="Arial"/>
                <w:vertAlign w:val="superscript"/>
              </w:rPr>
              <w:t>th</w:t>
            </w:r>
            <w:r w:rsidRPr="004530D4">
              <w:rPr>
                <w:rFonts w:cs="Arial"/>
              </w:rPr>
              <w:t xml:space="preserve"> week in employment. </w:t>
            </w:r>
            <w:r>
              <w:rPr>
                <w:rFonts w:cs="Arial"/>
              </w:rPr>
              <w:t xml:space="preserve"> </w:t>
            </w:r>
          </w:p>
          <w:p w14:paraId="0D887529" w14:textId="77777777" w:rsidR="00227DD7" w:rsidRDefault="00227DD7" w:rsidP="00227DD7">
            <w:pPr>
              <w:autoSpaceDE w:val="0"/>
              <w:autoSpaceDN w:val="0"/>
              <w:adjustRightInd w:val="0"/>
              <w:rPr>
                <w:rFonts w:cs="Arial"/>
              </w:rPr>
            </w:pPr>
          </w:p>
          <w:p w14:paraId="0D88752A" w14:textId="77777777" w:rsidR="00227DD7" w:rsidRDefault="00227DD7" w:rsidP="00227DD7">
            <w:pPr>
              <w:rPr>
                <w:rFonts w:cs="Arial"/>
              </w:rPr>
            </w:pPr>
            <w:r>
              <w:rPr>
                <w:rFonts w:cs="Arial"/>
              </w:rPr>
              <w:t>The Services will be required to work with employers to identify potential apprenticeship</w:t>
            </w:r>
            <w:r w:rsidR="00BD566D">
              <w:rPr>
                <w:rFonts w:cs="Arial"/>
              </w:rPr>
              <w:t xml:space="preserve"> </w:t>
            </w:r>
            <w:r>
              <w:rPr>
                <w:rFonts w:cs="Arial"/>
              </w:rPr>
              <w:t>and job opportunities.  The Services will provide a single point of contact service for employers which provides a candidate matching service.  The matching service will set up and maintain a candidate/employer vacancy bank and support employers to identify candidates who meet their needs and will develop a mechanism to ensure candidates engage with</w:t>
            </w:r>
            <w:r w:rsidR="001A096D">
              <w:rPr>
                <w:rFonts w:cs="Arial"/>
              </w:rPr>
              <w:t xml:space="preserve"> the</w:t>
            </w:r>
            <w:r>
              <w:rPr>
                <w:rFonts w:cs="Arial"/>
              </w:rPr>
              <w:t xml:space="preserve"> match</w:t>
            </w:r>
            <w:r w:rsidR="001A096D">
              <w:rPr>
                <w:rFonts w:cs="Arial"/>
              </w:rPr>
              <w:t>ing</w:t>
            </w:r>
            <w:r>
              <w:rPr>
                <w:rFonts w:cs="Arial"/>
              </w:rPr>
              <w:t xml:space="preserve"> service.  </w:t>
            </w:r>
            <w:r w:rsidRPr="00810006">
              <w:rPr>
                <w:rFonts w:cs="Arial"/>
              </w:rPr>
              <w:t>The Services will provide employers with a selection of suitable candidates for each vacancy and any other</w:t>
            </w:r>
            <w:r w:rsidRPr="00DC3AC2">
              <w:rPr>
                <w:rFonts w:cs="Arial"/>
              </w:rPr>
              <w:t xml:space="preserve"> support related to the recruitment process as required by the employer</w:t>
            </w:r>
            <w:r>
              <w:t xml:space="preserve">.  </w:t>
            </w:r>
            <w:r>
              <w:rPr>
                <w:rFonts w:cs="Arial"/>
              </w:rPr>
              <w:t>The Services should provide mentoring support to employers to assist them in supporting their new employees.</w:t>
            </w:r>
          </w:p>
          <w:p w14:paraId="0D88752B" w14:textId="77777777" w:rsidR="00B64121" w:rsidRDefault="00B64121" w:rsidP="00227DD7">
            <w:pPr>
              <w:rPr>
                <w:rFonts w:cs="Arial"/>
              </w:rPr>
            </w:pPr>
          </w:p>
          <w:p w14:paraId="0D88752C" w14:textId="77777777" w:rsidR="00F517AD" w:rsidRPr="00FE29DC" w:rsidRDefault="00F517AD" w:rsidP="00F517AD">
            <w:pPr>
              <w:rPr>
                <w:rFonts w:cs="Arial"/>
              </w:rPr>
            </w:pPr>
            <w:r w:rsidRPr="00FE29DC">
              <w:rPr>
                <w:rFonts w:cs="Arial"/>
              </w:rPr>
              <w:t>The Services must provide both flexible and regular personal adviser support to participants to build confidence, provide careers advice and support them into work.</w:t>
            </w:r>
          </w:p>
          <w:p w14:paraId="0D88752D" w14:textId="77777777" w:rsidR="00F517AD" w:rsidRDefault="00F517AD" w:rsidP="00E55A2F">
            <w:pPr>
              <w:spacing w:line="240" w:lineRule="atLeast"/>
              <w:rPr>
                <w:rFonts w:cs="Arial"/>
                <w:color w:val="17365D" w:themeColor="text2" w:themeShade="BF"/>
                <w:highlight w:val="yellow"/>
              </w:rPr>
            </w:pPr>
          </w:p>
          <w:p w14:paraId="0D88752E" w14:textId="77777777" w:rsidR="003D53F5" w:rsidRPr="005608E8" w:rsidRDefault="00E15FDE" w:rsidP="00E15FDE">
            <w:pPr>
              <w:rPr>
                <w:rFonts w:cs="Arial"/>
              </w:rPr>
            </w:pPr>
            <w:r w:rsidRPr="005608E8">
              <w:rPr>
                <w:rFonts w:cs="Arial"/>
              </w:rPr>
              <w:lastRenderedPageBreak/>
              <w:t xml:space="preserve">The Services will upskill and support Londoners into constructions jobs requiring ‘modern’ construction skills in key developments, through demand led, employer informed approaches, facilitating their mobility between sites to ensure sustainability and that they progress into well paid employment through </w:t>
            </w:r>
            <w:r w:rsidR="00F81EF1" w:rsidRPr="005608E8">
              <w:rPr>
                <w:rFonts w:cs="Arial"/>
              </w:rPr>
              <w:t>two</w:t>
            </w:r>
            <w:r w:rsidRPr="005608E8">
              <w:rPr>
                <w:rFonts w:cs="Arial"/>
              </w:rPr>
              <w:t xml:space="preserve"> stages</w:t>
            </w:r>
            <w:r w:rsidR="003D53F5" w:rsidRPr="005608E8">
              <w:rPr>
                <w:rFonts w:cs="Arial"/>
              </w:rPr>
              <w:t>:</w:t>
            </w:r>
          </w:p>
          <w:p w14:paraId="0D88752F" w14:textId="77777777" w:rsidR="00817DBB" w:rsidRPr="005608E8" w:rsidRDefault="00817DBB" w:rsidP="00E15FDE">
            <w:pPr>
              <w:rPr>
                <w:rFonts w:cs="Arial"/>
              </w:rPr>
            </w:pPr>
          </w:p>
          <w:p w14:paraId="0D887530" w14:textId="77777777" w:rsidR="003D53F5" w:rsidRPr="005608E8" w:rsidRDefault="00817DBB" w:rsidP="003D53F5">
            <w:pPr>
              <w:numPr>
                <w:ilvl w:val="0"/>
                <w:numId w:val="54"/>
              </w:numPr>
              <w:spacing w:after="160" w:line="259" w:lineRule="auto"/>
              <w:rPr>
                <w:rFonts w:cs="Arial"/>
                <w:bCs/>
              </w:rPr>
            </w:pPr>
            <w:r w:rsidRPr="005608E8">
              <w:rPr>
                <w:rFonts w:cs="Arial"/>
              </w:rPr>
              <w:t>Promotion</w:t>
            </w:r>
            <w:r w:rsidR="003D53F5" w:rsidRPr="005608E8">
              <w:rPr>
                <w:rFonts w:cs="Arial"/>
                <w:bCs/>
              </w:rPr>
              <w:t xml:space="preserve"> and pre-employment support;</w:t>
            </w:r>
          </w:p>
          <w:p w14:paraId="0D887531" w14:textId="77777777" w:rsidR="003D53F5" w:rsidRPr="005608E8" w:rsidRDefault="003D53F5" w:rsidP="003D53F5">
            <w:pPr>
              <w:numPr>
                <w:ilvl w:val="0"/>
                <w:numId w:val="54"/>
              </w:numPr>
              <w:spacing w:after="160" w:line="259" w:lineRule="auto"/>
              <w:rPr>
                <w:rFonts w:cs="Arial"/>
                <w:bCs/>
              </w:rPr>
            </w:pPr>
            <w:r w:rsidRPr="005608E8">
              <w:rPr>
                <w:rFonts w:cs="Arial"/>
                <w:bCs/>
              </w:rPr>
              <w:t>Support into work and progression.</w:t>
            </w:r>
          </w:p>
          <w:p w14:paraId="0D887532" w14:textId="77777777" w:rsidR="003D53F5" w:rsidRPr="005608E8" w:rsidRDefault="003D53F5" w:rsidP="003D53F5">
            <w:pPr>
              <w:rPr>
                <w:rFonts w:cs="Arial"/>
              </w:rPr>
            </w:pPr>
          </w:p>
          <w:p w14:paraId="0D887533" w14:textId="77777777" w:rsidR="003D53F5" w:rsidRPr="005608E8" w:rsidRDefault="00817DBB" w:rsidP="003D53F5">
            <w:pPr>
              <w:rPr>
                <w:rFonts w:cs="Arial"/>
                <w:b/>
              </w:rPr>
            </w:pPr>
            <w:r w:rsidRPr="005608E8">
              <w:rPr>
                <w:rFonts w:cs="Arial"/>
                <w:b/>
              </w:rPr>
              <w:t>Promotion</w:t>
            </w:r>
            <w:r w:rsidR="003D53F5" w:rsidRPr="005608E8">
              <w:rPr>
                <w:rFonts w:cs="Arial"/>
                <w:b/>
              </w:rPr>
              <w:t xml:space="preserve"> and Pre-employment Support</w:t>
            </w:r>
          </w:p>
          <w:p w14:paraId="0D887534" w14:textId="77777777" w:rsidR="00E15FDE" w:rsidRPr="005608E8" w:rsidRDefault="00DF0FAF" w:rsidP="00B825AB">
            <w:pPr>
              <w:rPr>
                <w:rFonts w:cs="Arial"/>
              </w:rPr>
            </w:pPr>
            <w:r w:rsidRPr="005608E8">
              <w:rPr>
                <w:rFonts w:cs="Arial"/>
              </w:rPr>
              <w:t xml:space="preserve">A key focus of the Services </w:t>
            </w:r>
            <w:r w:rsidR="00946E6F" w:rsidRPr="005608E8">
              <w:rPr>
                <w:rFonts w:cs="Arial"/>
              </w:rPr>
              <w:t>will</w:t>
            </w:r>
            <w:r w:rsidRPr="005608E8">
              <w:rPr>
                <w:rFonts w:cs="Arial"/>
              </w:rPr>
              <w:t xml:space="preserve"> be</w:t>
            </w:r>
            <w:r w:rsidR="00B825AB" w:rsidRPr="005608E8">
              <w:rPr>
                <w:rFonts w:cs="Arial"/>
              </w:rPr>
              <w:t xml:space="preserve"> on engaging participants</w:t>
            </w:r>
            <w:r w:rsidR="009410D9" w:rsidRPr="005608E8">
              <w:rPr>
                <w:rFonts w:cs="Arial"/>
              </w:rPr>
              <w:t xml:space="preserve"> through referrals from a range of sources, such as Jobcentre Plus (JCP), Local Authorities, Voluntary and Community Sector (VCS) organisations, outreach and other programmes, including those commissioned through ESF.</w:t>
            </w:r>
          </w:p>
          <w:p w14:paraId="0D887535" w14:textId="77777777" w:rsidR="00E15FDE" w:rsidRPr="005608E8" w:rsidRDefault="00E15FDE" w:rsidP="00B825AB">
            <w:pPr>
              <w:rPr>
                <w:rFonts w:cs="Arial"/>
              </w:rPr>
            </w:pPr>
          </w:p>
          <w:p w14:paraId="0D887536" w14:textId="77777777" w:rsidR="00B825AB" w:rsidRPr="005608E8" w:rsidRDefault="00946E6F" w:rsidP="00B825AB">
            <w:pPr>
              <w:rPr>
                <w:rFonts w:cs="Arial"/>
              </w:rPr>
            </w:pPr>
            <w:r w:rsidRPr="005608E8">
              <w:rPr>
                <w:rFonts w:cs="Arial"/>
              </w:rPr>
              <w:t>To encourage take up, c</w:t>
            </w:r>
            <w:r w:rsidR="00E15FDE" w:rsidRPr="005608E8">
              <w:rPr>
                <w:rFonts w:cs="Arial"/>
              </w:rPr>
              <w:t>onstruction should be</w:t>
            </w:r>
            <w:r w:rsidR="00817DBB" w:rsidRPr="005608E8">
              <w:rPr>
                <w:rFonts w:cs="Arial"/>
              </w:rPr>
              <w:t xml:space="preserve"> promoted</w:t>
            </w:r>
            <w:r w:rsidR="00E15FDE" w:rsidRPr="005608E8">
              <w:rPr>
                <w:rFonts w:cs="Arial"/>
              </w:rPr>
              <w:t xml:space="preserve"> to </w:t>
            </w:r>
            <w:r w:rsidR="00B825AB" w:rsidRPr="005608E8">
              <w:rPr>
                <w:rFonts w:cs="Arial"/>
              </w:rPr>
              <w:t xml:space="preserve">potential participants as a career, aiming to overcome perceptions that the sector only offers low paid and unstable work and linking with other marketing campaigns, such as the CITB and UKCG. </w:t>
            </w:r>
          </w:p>
          <w:p w14:paraId="0D887537" w14:textId="77777777" w:rsidR="00B825AB" w:rsidRPr="005608E8" w:rsidRDefault="00B825AB" w:rsidP="003D53F5">
            <w:pPr>
              <w:rPr>
                <w:rFonts w:cs="Arial"/>
              </w:rPr>
            </w:pPr>
          </w:p>
          <w:p w14:paraId="0D887538" w14:textId="77777777" w:rsidR="00C52A4B" w:rsidRPr="005608E8" w:rsidRDefault="00BA0674" w:rsidP="003D53F5">
            <w:pPr>
              <w:rPr>
                <w:rFonts w:cs="Arial"/>
              </w:rPr>
            </w:pPr>
            <w:r w:rsidRPr="005608E8">
              <w:rPr>
                <w:rFonts w:cs="Arial"/>
              </w:rPr>
              <w:t>T</w:t>
            </w:r>
            <w:r w:rsidR="003D53F5" w:rsidRPr="005608E8">
              <w:rPr>
                <w:rFonts w:cs="Arial"/>
              </w:rPr>
              <w:t xml:space="preserve">he </w:t>
            </w:r>
            <w:r w:rsidR="00B825AB" w:rsidRPr="005608E8">
              <w:rPr>
                <w:rFonts w:cs="Arial"/>
              </w:rPr>
              <w:t>Services</w:t>
            </w:r>
            <w:r w:rsidR="003D53F5" w:rsidRPr="005608E8">
              <w:rPr>
                <w:rFonts w:cs="Arial"/>
              </w:rPr>
              <w:t xml:space="preserve"> </w:t>
            </w:r>
            <w:r w:rsidRPr="005608E8">
              <w:rPr>
                <w:rFonts w:cs="Arial"/>
              </w:rPr>
              <w:t>must</w:t>
            </w:r>
            <w:r w:rsidR="003D53F5" w:rsidRPr="005608E8">
              <w:rPr>
                <w:rFonts w:cs="Arial"/>
              </w:rPr>
              <w:t xml:space="preserve"> deliver</w:t>
            </w:r>
            <w:r w:rsidR="00B825AB" w:rsidRPr="005608E8">
              <w:rPr>
                <w:rFonts w:cs="Arial"/>
              </w:rPr>
              <w:t>, as required,</w:t>
            </w:r>
            <w:r w:rsidR="003D53F5" w:rsidRPr="005608E8">
              <w:rPr>
                <w:rFonts w:cs="Arial"/>
              </w:rPr>
              <w:t xml:space="preserve"> challenging and substantive short preparation courses prior to accessing vocational courses or on-site experience. </w:t>
            </w:r>
          </w:p>
          <w:p w14:paraId="0D887539" w14:textId="77777777" w:rsidR="00C52A4B" w:rsidRDefault="00C52A4B" w:rsidP="003D53F5">
            <w:pPr>
              <w:rPr>
                <w:rFonts w:cs="Arial"/>
                <w:color w:val="17365D" w:themeColor="text2" w:themeShade="BF"/>
              </w:rPr>
            </w:pPr>
          </w:p>
          <w:p w14:paraId="0D88753A" w14:textId="77777777" w:rsidR="00C52A4B" w:rsidRPr="00E55A2F" w:rsidRDefault="00C52A4B" w:rsidP="00C52A4B">
            <w:pPr>
              <w:rPr>
                <w:rFonts w:cs="Arial"/>
              </w:rPr>
            </w:pPr>
            <w:r w:rsidRPr="00E55A2F">
              <w:rPr>
                <w:rFonts w:cs="Arial"/>
              </w:rPr>
              <w:t>On average, participants are expected to receive at least 60 Guided Learning Hours for this activity</w:t>
            </w:r>
            <w:r w:rsidR="0067226B">
              <w:rPr>
                <w:rFonts w:cs="Arial"/>
              </w:rPr>
              <w:t xml:space="preserve"> and successfully complete one activity in regulated or non-regulated</w:t>
            </w:r>
            <w:r w:rsidR="008C1605">
              <w:rPr>
                <w:rFonts w:cs="Arial"/>
              </w:rPr>
              <w:t xml:space="preserve"> activity groups</w:t>
            </w:r>
            <w:r w:rsidRPr="00E55A2F">
              <w:rPr>
                <w:rFonts w:cs="Arial"/>
              </w:rPr>
              <w:t>.</w:t>
            </w:r>
            <w:r w:rsidR="0067226B">
              <w:rPr>
                <w:rFonts w:cs="Arial"/>
              </w:rPr>
              <w:t xml:space="preserve">  Examples are:</w:t>
            </w:r>
          </w:p>
          <w:p w14:paraId="0D88753B" w14:textId="77777777" w:rsidR="00C52A4B" w:rsidRPr="00E55A2F" w:rsidRDefault="00C52A4B" w:rsidP="00C52A4B"/>
          <w:p w14:paraId="0D88753C" w14:textId="77777777" w:rsidR="00C52A4B" w:rsidRPr="00E55A2F" w:rsidRDefault="00946E6F" w:rsidP="00C52A4B">
            <w:r>
              <w:rPr>
                <w:rFonts w:cs="Arial"/>
                <w:b/>
                <w:bCs/>
              </w:rPr>
              <w:t>N</w:t>
            </w:r>
            <w:r w:rsidR="00C52A4B">
              <w:rPr>
                <w:rFonts w:cs="Arial"/>
                <w:b/>
                <w:bCs/>
              </w:rPr>
              <w:t>on-regulated activity</w:t>
            </w:r>
            <w:r w:rsidR="00C52A4B" w:rsidRPr="00E55A2F">
              <w:rPr>
                <w:rFonts w:cs="Arial"/>
                <w:b/>
                <w:bCs/>
              </w:rPr>
              <w:t>:</w:t>
            </w:r>
          </w:p>
          <w:p w14:paraId="0D88753D" w14:textId="77777777" w:rsidR="00C52A4B" w:rsidRPr="00E55A2F" w:rsidRDefault="00C52A4B" w:rsidP="00C52A4B">
            <w:r w:rsidRPr="00E55A2F">
              <w:rPr>
                <w:rFonts w:cs="Arial"/>
              </w:rPr>
              <w:t>Soft skills (employability skills, ESOL, literacy,</w:t>
            </w:r>
            <w:r w:rsidR="008C1605">
              <w:rPr>
                <w:rFonts w:cs="Arial"/>
              </w:rPr>
              <w:t xml:space="preserve"> </w:t>
            </w:r>
            <w:r w:rsidRPr="00E55A2F">
              <w:rPr>
                <w:rFonts w:cs="Arial"/>
              </w:rPr>
              <w:t>etc.)</w:t>
            </w:r>
          </w:p>
          <w:p w14:paraId="0D88753E" w14:textId="77777777" w:rsidR="00C52A4B" w:rsidRPr="00E55A2F" w:rsidRDefault="00C52A4B" w:rsidP="00C52A4B">
            <w:r w:rsidRPr="00E55A2F">
              <w:rPr>
                <w:rFonts w:cs="Arial"/>
              </w:rPr>
              <w:t>Work placements</w:t>
            </w:r>
          </w:p>
          <w:p w14:paraId="0D88753F" w14:textId="77777777" w:rsidR="00C52A4B" w:rsidRPr="00E55A2F" w:rsidRDefault="00C52A4B" w:rsidP="00C52A4B">
            <w:r w:rsidRPr="00E55A2F">
              <w:rPr>
                <w:rFonts w:cs="Arial"/>
              </w:rPr>
              <w:t>Work shadowing</w:t>
            </w:r>
          </w:p>
          <w:p w14:paraId="0D887540" w14:textId="77777777" w:rsidR="00C52A4B" w:rsidRPr="00E55A2F" w:rsidRDefault="00C52A4B" w:rsidP="00C52A4B">
            <w:pPr>
              <w:rPr>
                <w:rFonts w:cs="Arial"/>
              </w:rPr>
            </w:pPr>
            <w:r w:rsidRPr="00E55A2F">
              <w:rPr>
                <w:rFonts w:cs="Arial"/>
              </w:rPr>
              <w:t>Mentoring</w:t>
            </w:r>
          </w:p>
          <w:p w14:paraId="0D887541" w14:textId="77777777" w:rsidR="00C52A4B" w:rsidRPr="005608E8" w:rsidRDefault="00C52A4B" w:rsidP="00C52A4B">
            <w:pPr>
              <w:rPr>
                <w:rFonts w:cs="Arial"/>
              </w:rPr>
            </w:pPr>
            <w:r w:rsidRPr="005608E8">
              <w:rPr>
                <w:rFonts w:cs="Arial"/>
              </w:rPr>
              <w:t xml:space="preserve">Drug awareness and testing </w:t>
            </w:r>
          </w:p>
          <w:p w14:paraId="0D887542" w14:textId="77777777" w:rsidR="00C52A4B" w:rsidRPr="00E55A2F" w:rsidRDefault="00C52A4B" w:rsidP="00C52A4B">
            <w:pPr>
              <w:rPr>
                <w:rFonts w:cs="Arial"/>
              </w:rPr>
            </w:pPr>
          </w:p>
          <w:p w14:paraId="0D887543" w14:textId="77777777" w:rsidR="00C52A4B" w:rsidRPr="00E55A2F" w:rsidRDefault="0067226B" w:rsidP="00C52A4B">
            <w:r>
              <w:rPr>
                <w:rFonts w:cs="Arial"/>
                <w:b/>
                <w:bCs/>
              </w:rPr>
              <w:t>R</w:t>
            </w:r>
            <w:r w:rsidR="00C52A4B">
              <w:rPr>
                <w:rFonts w:cs="Arial"/>
                <w:b/>
                <w:bCs/>
              </w:rPr>
              <w:t>egulated activity</w:t>
            </w:r>
            <w:r w:rsidR="00C52A4B" w:rsidRPr="00E55A2F">
              <w:rPr>
                <w:rFonts w:cs="Arial"/>
                <w:b/>
                <w:bCs/>
              </w:rPr>
              <w:t>:</w:t>
            </w:r>
          </w:p>
          <w:p w14:paraId="0D887544" w14:textId="77777777" w:rsidR="00C52A4B" w:rsidRPr="00E55A2F" w:rsidRDefault="00C52A4B" w:rsidP="00C52A4B">
            <w:r w:rsidRPr="00E55A2F">
              <w:rPr>
                <w:rFonts w:cs="Arial"/>
              </w:rPr>
              <w:t xml:space="preserve">Work based vocational training </w:t>
            </w:r>
          </w:p>
          <w:p w14:paraId="0D887545" w14:textId="77777777" w:rsidR="00C52A4B" w:rsidRPr="00E55A2F" w:rsidRDefault="00C52A4B" w:rsidP="00C52A4B">
            <w:r w:rsidRPr="00E55A2F">
              <w:rPr>
                <w:rFonts w:cs="Arial"/>
              </w:rPr>
              <w:t xml:space="preserve">Taster </w:t>
            </w:r>
            <w:r w:rsidR="00C2604E">
              <w:rPr>
                <w:rFonts w:cs="Arial"/>
              </w:rPr>
              <w:t xml:space="preserve">(full) </w:t>
            </w:r>
            <w:r w:rsidRPr="00E55A2F">
              <w:rPr>
                <w:rFonts w:cs="Arial"/>
              </w:rPr>
              <w:t>unit</w:t>
            </w:r>
          </w:p>
          <w:p w14:paraId="0D887546" w14:textId="77777777" w:rsidR="00C52A4B" w:rsidRPr="00E55A2F" w:rsidRDefault="00C52A4B" w:rsidP="00C52A4B">
            <w:r w:rsidRPr="00E55A2F">
              <w:rPr>
                <w:rFonts w:cs="Arial"/>
              </w:rPr>
              <w:t>Core skill qualifications</w:t>
            </w:r>
          </w:p>
          <w:p w14:paraId="0D887547" w14:textId="77777777" w:rsidR="00C52A4B" w:rsidRDefault="00C52A4B" w:rsidP="00C52A4B">
            <w:r w:rsidRPr="00E55A2F">
              <w:rPr>
                <w:rFonts w:cs="Arial"/>
              </w:rPr>
              <w:t>Certificates and industry qualifications</w:t>
            </w:r>
          </w:p>
          <w:p w14:paraId="0D887548" w14:textId="77777777" w:rsidR="00C52A4B" w:rsidRDefault="00C52A4B" w:rsidP="003D53F5">
            <w:pPr>
              <w:rPr>
                <w:rFonts w:cs="Arial"/>
                <w:color w:val="17365D" w:themeColor="text2" w:themeShade="BF"/>
              </w:rPr>
            </w:pPr>
          </w:p>
          <w:p w14:paraId="0D887549" w14:textId="77777777" w:rsidR="003D53F5" w:rsidRPr="005608E8" w:rsidRDefault="00C52A4B" w:rsidP="00C52A4B">
            <w:pPr>
              <w:rPr>
                <w:rFonts w:cs="Arial"/>
              </w:rPr>
            </w:pPr>
            <w:r w:rsidRPr="005608E8">
              <w:rPr>
                <w:rFonts w:cs="Arial"/>
              </w:rPr>
              <w:t>Where appropriate the Services should also look to support participants into s</w:t>
            </w:r>
            <w:r w:rsidR="003D53F5" w:rsidRPr="005608E8">
              <w:rPr>
                <w:rFonts w:cs="Arial"/>
              </w:rPr>
              <w:t>elf-employment in construction</w:t>
            </w:r>
            <w:r w:rsidR="00E30CD9" w:rsidRPr="005608E8">
              <w:rPr>
                <w:rFonts w:cs="Arial"/>
              </w:rPr>
              <w:t>. T</w:t>
            </w:r>
            <w:r w:rsidRPr="005608E8">
              <w:rPr>
                <w:rFonts w:cs="Arial"/>
              </w:rPr>
              <w:t>his should include assisting participants to obtain a</w:t>
            </w:r>
            <w:r w:rsidR="003D53F5" w:rsidRPr="005608E8">
              <w:rPr>
                <w:rFonts w:cs="Arial"/>
              </w:rPr>
              <w:t xml:space="preserve"> </w:t>
            </w:r>
            <w:r w:rsidR="00FC6C6E" w:rsidRPr="005608E8">
              <w:rPr>
                <w:rFonts w:cs="Arial"/>
              </w:rPr>
              <w:t xml:space="preserve">Unique </w:t>
            </w:r>
            <w:r w:rsidR="003D53F5" w:rsidRPr="005608E8">
              <w:rPr>
                <w:rFonts w:cs="Arial"/>
              </w:rPr>
              <w:t>T</w:t>
            </w:r>
            <w:r w:rsidR="00FC6C6E" w:rsidRPr="005608E8">
              <w:rPr>
                <w:rFonts w:cs="Arial"/>
              </w:rPr>
              <w:t xml:space="preserve">axpayer </w:t>
            </w:r>
            <w:r w:rsidR="003D53F5" w:rsidRPr="005608E8">
              <w:rPr>
                <w:rFonts w:cs="Arial"/>
              </w:rPr>
              <w:t>R</w:t>
            </w:r>
            <w:r w:rsidR="00FC6C6E" w:rsidRPr="005608E8">
              <w:rPr>
                <w:rFonts w:cs="Arial"/>
              </w:rPr>
              <w:t>eference</w:t>
            </w:r>
            <w:r w:rsidR="003D53F5" w:rsidRPr="005608E8">
              <w:rPr>
                <w:rFonts w:cs="Arial"/>
              </w:rPr>
              <w:t xml:space="preserve"> number. </w:t>
            </w:r>
          </w:p>
          <w:p w14:paraId="0D88754A" w14:textId="77777777" w:rsidR="003C4A22" w:rsidRPr="005608E8" w:rsidRDefault="003C4A22" w:rsidP="003D53F5">
            <w:pPr>
              <w:rPr>
                <w:rFonts w:cs="Arial"/>
              </w:rPr>
            </w:pPr>
          </w:p>
          <w:p w14:paraId="0D88754B" w14:textId="1A71870E" w:rsidR="003D53F5" w:rsidRPr="005608E8" w:rsidRDefault="00342FE5" w:rsidP="003D53F5">
            <w:pPr>
              <w:rPr>
                <w:rFonts w:cs="Arial"/>
              </w:rPr>
            </w:pPr>
            <w:r w:rsidRPr="005608E8">
              <w:rPr>
                <w:rFonts w:cs="Arial"/>
              </w:rPr>
              <w:t xml:space="preserve">Employer engagement will be a key part of this programme. </w:t>
            </w:r>
            <w:r w:rsidR="00BA0674" w:rsidRPr="005608E8">
              <w:rPr>
                <w:rFonts w:cs="Arial"/>
              </w:rPr>
              <w:t>E</w:t>
            </w:r>
            <w:r w:rsidR="001A4532" w:rsidRPr="005608E8">
              <w:rPr>
                <w:rFonts w:cs="Arial"/>
              </w:rPr>
              <w:t>mployers</w:t>
            </w:r>
            <w:r w:rsidR="00BA0674" w:rsidRPr="005608E8">
              <w:rPr>
                <w:rFonts w:cs="Arial"/>
              </w:rPr>
              <w:t xml:space="preserve"> must be at </w:t>
            </w:r>
            <w:r w:rsidR="005E766B" w:rsidRPr="005608E8">
              <w:rPr>
                <w:rFonts w:cs="Arial"/>
              </w:rPr>
              <w:t xml:space="preserve">the forefront of the </w:t>
            </w:r>
            <w:r w:rsidR="007A6962" w:rsidRPr="005608E8">
              <w:rPr>
                <w:rFonts w:cs="Arial"/>
              </w:rPr>
              <w:t xml:space="preserve">design </w:t>
            </w:r>
            <w:r w:rsidR="005E766B" w:rsidRPr="005608E8">
              <w:rPr>
                <w:rFonts w:cs="Arial"/>
              </w:rPr>
              <w:t xml:space="preserve">and delivery of </w:t>
            </w:r>
            <w:r w:rsidR="007A6962" w:rsidRPr="005608E8">
              <w:rPr>
                <w:rFonts w:cs="Arial"/>
              </w:rPr>
              <w:t>construction preparation courses</w:t>
            </w:r>
            <w:r w:rsidR="00437711" w:rsidRPr="005608E8">
              <w:rPr>
                <w:rFonts w:cs="Arial"/>
              </w:rPr>
              <w:t xml:space="preserve"> to ensure </w:t>
            </w:r>
            <w:r w:rsidR="00A87AAE" w:rsidRPr="005608E8">
              <w:rPr>
                <w:rFonts w:cs="Arial"/>
              </w:rPr>
              <w:t>they</w:t>
            </w:r>
            <w:r w:rsidR="00437711" w:rsidRPr="005608E8">
              <w:rPr>
                <w:rFonts w:cs="Arial"/>
              </w:rPr>
              <w:t xml:space="preserve"> are tailored to </w:t>
            </w:r>
            <w:r w:rsidR="00C02C70">
              <w:rPr>
                <w:rFonts w:cs="Arial"/>
              </w:rPr>
              <w:t>identify</w:t>
            </w:r>
            <w:r w:rsidR="00926A21" w:rsidRPr="005608E8">
              <w:rPr>
                <w:rFonts w:cs="Arial"/>
              </w:rPr>
              <w:t xml:space="preserve"> </w:t>
            </w:r>
            <w:r w:rsidR="00437711" w:rsidRPr="005608E8">
              <w:rPr>
                <w:rFonts w:cs="Arial"/>
              </w:rPr>
              <w:t>skills gaps</w:t>
            </w:r>
            <w:r w:rsidR="008C1605" w:rsidRPr="005608E8">
              <w:rPr>
                <w:rFonts w:cs="Arial"/>
              </w:rPr>
              <w:t>.</w:t>
            </w:r>
            <w:r w:rsidR="00437711" w:rsidRPr="005608E8">
              <w:rPr>
                <w:rFonts w:cs="Arial"/>
              </w:rPr>
              <w:t xml:space="preserve"> </w:t>
            </w:r>
          </w:p>
          <w:p w14:paraId="0D88754C" w14:textId="77777777" w:rsidR="00FC6C6E" w:rsidRDefault="00FC6C6E" w:rsidP="00E55A2F">
            <w:pPr>
              <w:jc w:val="center"/>
              <w:rPr>
                <w:rFonts w:cs="Arial"/>
                <w:color w:val="17365D" w:themeColor="text2" w:themeShade="BF"/>
              </w:rPr>
            </w:pPr>
          </w:p>
          <w:p w14:paraId="0D88754D" w14:textId="77777777" w:rsidR="001A4532" w:rsidRDefault="009B452D" w:rsidP="003D53F5">
            <w:pPr>
              <w:rPr>
                <w:rFonts w:cs="Arial"/>
                <w:bCs/>
              </w:rPr>
            </w:pPr>
            <w:r>
              <w:rPr>
                <w:rFonts w:cs="Arial"/>
                <w:bCs/>
              </w:rPr>
              <w:lastRenderedPageBreak/>
              <w:t xml:space="preserve">To enable </w:t>
            </w:r>
            <w:r w:rsidR="001A4532">
              <w:rPr>
                <w:rFonts w:cs="Arial"/>
                <w:bCs/>
              </w:rPr>
              <w:t xml:space="preserve">participants to secure employment in the construction industry, the Services </w:t>
            </w:r>
            <w:r w:rsidR="00277233">
              <w:rPr>
                <w:rFonts w:cs="Arial"/>
                <w:bCs/>
              </w:rPr>
              <w:t xml:space="preserve">should </w:t>
            </w:r>
            <w:r w:rsidR="00E30CD9">
              <w:rPr>
                <w:rFonts w:cs="Arial"/>
                <w:bCs/>
              </w:rPr>
              <w:t>also</w:t>
            </w:r>
            <w:r w:rsidR="001A4532">
              <w:rPr>
                <w:rFonts w:cs="Arial"/>
                <w:bCs/>
              </w:rPr>
              <w:t xml:space="preserve"> offer vocational training and relevant work experience, responsive to the needs of modern construction, which will meet the needs of high intensity developments across London.</w:t>
            </w:r>
          </w:p>
          <w:p w14:paraId="0D88754E" w14:textId="77777777" w:rsidR="001A4532" w:rsidRDefault="001A4532" w:rsidP="003D53F5">
            <w:pPr>
              <w:rPr>
                <w:rFonts w:cs="Arial"/>
                <w:bCs/>
              </w:rPr>
            </w:pPr>
          </w:p>
          <w:p w14:paraId="0D88754F" w14:textId="77777777" w:rsidR="003D53F5" w:rsidRPr="00EB0553" w:rsidRDefault="00E44ABD" w:rsidP="003D53F5">
            <w:pPr>
              <w:rPr>
                <w:rFonts w:cs="Arial"/>
                <w:bCs/>
              </w:rPr>
            </w:pPr>
            <w:r>
              <w:rPr>
                <w:rFonts w:cs="Arial"/>
                <w:bCs/>
              </w:rPr>
              <w:t xml:space="preserve">The skills and roles the training will focus on </w:t>
            </w:r>
            <w:r w:rsidR="00A87AAE">
              <w:rPr>
                <w:rFonts w:cs="Arial"/>
                <w:bCs/>
              </w:rPr>
              <w:t>should</w:t>
            </w:r>
            <w:r>
              <w:rPr>
                <w:rFonts w:cs="Arial"/>
                <w:bCs/>
              </w:rPr>
              <w:t xml:space="preserve"> vary in relation to the development but may include:</w:t>
            </w:r>
            <w:r w:rsidR="003D53F5" w:rsidRPr="00EB0553">
              <w:rPr>
                <w:rFonts w:cs="Arial"/>
                <w:bCs/>
              </w:rPr>
              <w:t xml:space="preserve"> </w:t>
            </w:r>
          </w:p>
          <w:p w14:paraId="0D887550" w14:textId="77777777" w:rsidR="003D53F5" w:rsidRPr="003D53F5" w:rsidRDefault="003D53F5" w:rsidP="00E55A2F">
            <w:pPr>
              <w:pStyle w:val="ListParagraph"/>
              <w:numPr>
                <w:ilvl w:val="0"/>
                <w:numId w:val="63"/>
              </w:numPr>
              <w:ind w:left="1134" w:hanging="425"/>
              <w:rPr>
                <w:rFonts w:cs="Arial"/>
                <w:bCs/>
              </w:rPr>
            </w:pPr>
            <w:r w:rsidRPr="003D53F5">
              <w:rPr>
                <w:rFonts w:cs="Arial"/>
                <w:bCs/>
              </w:rPr>
              <w:t xml:space="preserve">Plant Skills (CPCS):Telescopic handlers, </w:t>
            </w:r>
          </w:p>
          <w:p w14:paraId="0D887551" w14:textId="77777777" w:rsidR="003D53F5" w:rsidRPr="005A1966" w:rsidRDefault="003D53F5" w:rsidP="00E55A2F">
            <w:pPr>
              <w:pStyle w:val="ListParagraph"/>
              <w:numPr>
                <w:ilvl w:val="0"/>
                <w:numId w:val="63"/>
              </w:numPr>
              <w:ind w:left="1134" w:hanging="425"/>
              <w:rPr>
                <w:rFonts w:cs="Arial"/>
                <w:bCs/>
              </w:rPr>
            </w:pPr>
            <w:r w:rsidRPr="005A1966">
              <w:rPr>
                <w:rFonts w:cs="Arial"/>
                <w:bCs/>
              </w:rPr>
              <w:t xml:space="preserve">Rough terrain forklifts, </w:t>
            </w:r>
          </w:p>
          <w:p w14:paraId="0D887552" w14:textId="77777777" w:rsidR="003D53F5" w:rsidRPr="000C2C49" w:rsidRDefault="003D53F5" w:rsidP="00E55A2F">
            <w:pPr>
              <w:pStyle w:val="ListParagraph"/>
              <w:numPr>
                <w:ilvl w:val="0"/>
                <w:numId w:val="63"/>
              </w:numPr>
              <w:ind w:left="1134" w:hanging="425"/>
              <w:rPr>
                <w:rFonts w:cs="Arial"/>
                <w:bCs/>
              </w:rPr>
            </w:pPr>
            <w:r w:rsidRPr="000C2C49">
              <w:rPr>
                <w:rFonts w:cs="Arial"/>
                <w:bCs/>
              </w:rPr>
              <w:t xml:space="preserve">Forward tipping dumpers, </w:t>
            </w:r>
          </w:p>
          <w:p w14:paraId="0D887553" w14:textId="77777777" w:rsidR="003D53F5" w:rsidRPr="009D435D" w:rsidRDefault="003D53F5" w:rsidP="00E55A2F">
            <w:pPr>
              <w:pStyle w:val="ListParagraph"/>
              <w:numPr>
                <w:ilvl w:val="0"/>
                <w:numId w:val="63"/>
              </w:numPr>
              <w:ind w:left="1134" w:hanging="425"/>
              <w:rPr>
                <w:rFonts w:cs="Arial"/>
                <w:bCs/>
              </w:rPr>
            </w:pPr>
            <w:r w:rsidRPr="009D435D">
              <w:rPr>
                <w:rFonts w:cs="Arial"/>
                <w:bCs/>
              </w:rPr>
              <w:t>Mini-excavators,</w:t>
            </w:r>
          </w:p>
          <w:p w14:paraId="0D887554" w14:textId="77777777" w:rsidR="003D53F5" w:rsidRPr="00100A5F" w:rsidRDefault="003D53F5" w:rsidP="00E55A2F">
            <w:pPr>
              <w:pStyle w:val="ListParagraph"/>
              <w:numPr>
                <w:ilvl w:val="0"/>
                <w:numId w:val="63"/>
              </w:numPr>
              <w:ind w:left="1134" w:hanging="425"/>
              <w:rPr>
                <w:rFonts w:cs="Arial"/>
                <w:bCs/>
              </w:rPr>
            </w:pPr>
            <w:r w:rsidRPr="009D435D">
              <w:rPr>
                <w:rFonts w:cs="Arial"/>
                <w:bCs/>
              </w:rPr>
              <w:t>MEWPS – Mobile Elevated Work Platforms</w:t>
            </w:r>
            <w:r w:rsidR="00E30CD9">
              <w:rPr>
                <w:rFonts w:cs="Arial"/>
                <w:bCs/>
              </w:rPr>
              <w:t>,</w:t>
            </w:r>
          </w:p>
          <w:p w14:paraId="0D887555" w14:textId="77777777" w:rsidR="003D53F5" w:rsidRPr="000C2C49" w:rsidRDefault="003D53F5" w:rsidP="00E55A2F">
            <w:pPr>
              <w:pStyle w:val="ListParagraph"/>
              <w:numPr>
                <w:ilvl w:val="0"/>
                <w:numId w:val="63"/>
              </w:numPr>
              <w:ind w:left="1134" w:hanging="425"/>
              <w:rPr>
                <w:rFonts w:cs="Arial"/>
                <w:bCs/>
              </w:rPr>
            </w:pPr>
            <w:r w:rsidRPr="00921292">
              <w:rPr>
                <w:rFonts w:cs="Arial"/>
                <w:bCs/>
              </w:rPr>
              <w:t>Traffic Marshalls</w:t>
            </w:r>
            <w:r w:rsidR="00E30CD9">
              <w:rPr>
                <w:rFonts w:cs="Arial"/>
                <w:bCs/>
              </w:rPr>
              <w:t>,</w:t>
            </w:r>
          </w:p>
          <w:p w14:paraId="0D887556" w14:textId="77777777" w:rsidR="003D53F5" w:rsidRPr="003D53F5" w:rsidRDefault="003D53F5" w:rsidP="00E55A2F">
            <w:pPr>
              <w:pStyle w:val="ListParagraph"/>
              <w:numPr>
                <w:ilvl w:val="0"/>
                <w:numId w:val="63"/>
              </w:numPr>
              <w:ind w:left="1134" w:hanging="425"/>
              <w:rPr>
                <w:rFonts w:cs="Arial"/>
                <w:bCs/>
              </w:rPr>
            </w:pPr>
            <w:r w:rsidRPr="003D53F5">
              <w:rPr>
                <w:rFonts w:cs="Arial"/>
                <w:bCs/>
              </w:rPr>
              <w:t xml:space="preserve">curtain walling and dry lining, </w:t>
            </w:r>
          </w:p>
          <w:p w14:paraId="0D887557" w14:textId="77777777" w:rsidR="003D53F5" w:rsidRPr="005A1966" w:rsidRDefault="003D53F5" w:rsidP="00E55A2F">
            <w:pPr>
              <w:pStyle w:val="ListParagraph"/>
              <w:numPr>
                <w:ilvl w:val="0"/>
                <w:numId w:val="63"/>
              </w:numPr>
              <w:ind w:left="1134" w:hanging="425"/>
              <w:rPr>
                <w:rFonts w:cs="Arial"/>
                <w:bCs/>
              </w:rPr>
            </w:pPr>
            <w:r w:rsidRPr="005A1966">
              <w:rPr>
                <w:rFonts w:cs="Arial"/>
                <w:bCs/>
              </w:rPr>
              <w:t>slinger/signaller</w:t>
            </w:r>
            <w:r w:rsidR="00E30CD9">
              <w:rPr>
                <w:rFonts w:cs="Arial"/>
                <w:bCs/>
              </w:rPr>
              <w:t>,</w:t>
            </w:r>
          </w:p>
          <w:p w14:paraId="0D887558" w14:textId="77777777" w:rsidR="003D53F5" w:rsidRPr="000C2C49" w:rsidRDefault="003D53F5" w:rsidP="00E55A2F">
            <w:pPr>
              <w:pStyle w:val="ListParagraph"/>
              <w:numPr>
                <w:ilvl w:val="0"/>
                <w:numId w:val="63"/>
              </w:numPr>
              <w:ind w:left="1134" w:hanging="425"/>
              <w:rPr>
                <w:rFonts w:cs="Arial"/>
                <w:bCs/>
              </w:rPr>
            </w:pPr>
            <w:r w:rsidRPr="000C2C49">
              <w:rPr>
                <w:rFonts w:cs="Arial"/>
                <w:bCs/>
              </w:rPr>
              <w:t xml:space="preserve">vehicle loading / unloading and </w:t>
            </w:r>
          </w:p>
          <w:p w14:paraId="0D887559" w14:textId="77777777" w:rsidR="003D53F5" w:rsidRPr="009D435D" w:rsidRDefault="003D53F5" w:rsidP="00E55A2F">
            <w:pPr>
              <w:pStyle w:val="ListParagraph"/>
              <w:numPr>
                <w:ilvl w:val="0"/>
                <w:numId w:val="63"/>
              </w:numPr>
              <w:ind w:left="1134" w:hanging="425"/>
              <w:rPr>
                <w:rFonts w:cs="Arial"/>
                <w:bCs/>
              </w:rPr>
            </w:pPr>
            <w:r w:rsidRPr="009D435D">
              <w:rPr>
                <w:rFonts w:cs="Arial"/>
                <w:bCs/>
              </w:rPr>
              <w:t>crane logistics</w:t>
            </w:r>
            <w:r w:rsidR="00E30CD9">
              <w:rPr>
                <w:rFonts w:cs="Arial"/>
                <w:bCs/>
              </w:rPr>
              <w:t>.</w:t>
            </w:r>
          </w:p>
          <w:p w14:paraId="0D88755A" w14:textId="77777777" w:rsidR="003D53F5" w:rsidRPr="00EB0553" w:rsidRDefault="003D53F5" w:rsidP="003D53F5">
            <w:pPr>
              <w:rPr>
                <w:rFonts w:cs="Arial"/>
                <w:bCs/>
              </w:rPr>
            </w:pPr>
          </w:p>
          <w:p w14:paraId="0D88755B" w14:textId="77777777" w:rsidR="003D53F5" w:rsidRPr="00EB0553" w:rsidRDefault="00E44ABD" w:rsidP="003D53F5">
            <w:pPr>
              <w:rPr>
                <w:rFonts w:cs="Arial"/>
                <w:bCs/>
              </w:rPr>
            </w:pPr>
            <w:r>
              <w:rPr>
                <w:rFonts w:cs="Arial"/>
                <w:bCs/>
              </w:rPr>
              <w:t>In particular, t</w:t>
            </w:r>
            <w:r w:rsidR="003D53F5" w:rsidRPr="00EB0553">
              <w:rPr>
                <w:rFonts w:cs="Arial"/>
                <w:bCs/>
              </w:rPr>
              <w:t>here are a range of trades in demand from new developments that are either not available through SFA approved courses or are but have become out-dated in current practice and application. These include:</w:t>
            </w:r>
          </w:p>
          <w:p w14:paraId="0D88755C" w14:textId="77777777" w:rsidR="003D53F5" w:rsidRPr="003D53F5" w:rsidRDefault="003D53F5" w:rsidP="00E55A2F">
            <w:pPr>
              <w:pStyle w:val="ListParagraph"/>
              <w:numPr>
                <w:ilvl w:val="0"/>
                <w:numId w:val="64"/>
              </w:numPr>
              <w:rPr>
                <w:rFonts w:cs="Arial"/>
                <w:bCs/>
              </w:rPr>
            </w:pPr>
            <w:r w:rsidRPr="003D53F5">
              <w:rPr>
                <w:rFonts w:cs="Arial"/>
                <w:bCs/>
              </w:rPr>
              <w:t>Concrete form work</w:t>
            </w:r>
            <w:r w:rsidR="00E30CD9">
              <w:rPr>
                <w:rFonts w:cs="Arial"/>
                <w:bCs/>
              </w:rPr>
              <w:t>,</w:t>
            </w:r>
          </w:p>
          <w:p w14:paraId="0D88755D" w14:textId="77777777" w:rsidR="003D53F5" w:rsidRPr="000C2C49" w:rsidRDefault="003D53F5" w:rsidP="00E55A2F">
            <w:pPr>
              <w:pStyle w:val="ListParagraph"/>
              <w:numPr>
                <w:ilvl w:val="0"/>
                <w:numId w:val="64"/>
              </w:numPr>
              <w:rPr>
                <w:rFonts w:cs="Arial"/>
                <w:bCs/>
              </w:rPr>
            </w:pPr>
            <w:r w:rsidRPr="000C2C49">
              <w:rPr>
                <w:rFonts w:cs="Arial"/>
                <w:bCs/>
              </w:rPr>
              <w:t>Re-enforced concrete frame/steel frame technologies</w:t>
            </w:r>
            <w:r w:rsidR="00E30CD9">
              <w:rPr>
                <w:rFonts w:cs="Arial"/>
                <w:bCs/>
              </w:rPr>
              <w:t>,</w:t>
            </w:r>
          </w:p>
          <w:p w14:paraId="0D88755E" w14:textId="43CC3A4A" w:rsidR="003D53F5" w:rsidRPr="009D435D" w:rsidRDefault="003D53F5" w:rsidP="00E55A2F">
            <w:pPr>
              <w:pStyle w:val="ListParagraph"/>
              <w:numPr>
                <w:ilvl w:val="0"/>
                <w:numId w:val="64"/>
              </w:numPr>
              <w:rPr>
                <w:rFonts w:cs="Arial"/>
                <w:bCs/>
              </w:rPr>
            </w:pPr>
            <w:r w:rsidRPr="009D435D">
              <w:rPr>
                <w:rFonts w:cs="Arial"/>
                <w:bCs/>
              </w:rPr>
              <w:t>Building envelope skills – fenestration/cladding/</w:t>
            </w:r>
            <w:r w:rsidR="00C02C70" w:rsidRPr="009D435D">
              <w:rPr>
                <w:rFonts w:cs="Arial"/>
                <w:bCs/>
              </w:rPr>
              <w:t>curtain walling</w:t>
            </w:r>
            <w:r w:rsidR="00E30CD9">
              <w:rPr>
                <w:rFonts w:cs="Arial"/>
                <w:bCs/>
              </w:rPr>
              <w:t>,</w:t>
            </w:r>
          </w:p>
          <w:p w14:paraId="0D88755F" w14:textId="77777777" w:rsidR="003D53F5" w:rsidRPr="009D435D" w:rsidRDefault="003D53F5" w:rsidP="00E55A2F">
            <w:pPr>
              <w:pStyle w:val="ListParagraph"/>
              <w:numPr>
                <w:ilvl w:val="0"/>
                <w:numId w:val="64"/>
              </w:numPr>
              <w:rPr>
                <w:rFonts w:cs="Arial"/>
                <w:bCs/>
              </w:rPr>
            </w:pPr>
            <w:r w:rsidRPr="009D435D">
              <w:rPr>
                <w:rFonts w:cs="Arial"/>
                <w:bCs/>
              </w:rPr>
              <w:t>Roofing</w:t>
            </w:r>
            <w:r w:rsidR="00E30CD9">
              <w:rPr>
                <w:rFonts w:cs="Arial"/>
                <w:bCs/>
              </w:rPr>
              <w:t>,</w:t>
            </w:r>
          </w:p>
          <w:p w14:paraId="0D887560" w14:textId="5B003CFC" w:rsidR="003D53F5" w:rsidRPr="00100A5F" w:rsidRDefault="00C02C70" w:rsidP="00E55A2F">
            <w:pPr>
              <w:pStyle w:val="ListParagraph"/>
              <w:numPr>
                <w:ilvl w:val="0"/>
                <w:numId w:val="64"/>
              </w:numPr>
              <w:rPr>
                <w:rFonts w:cs="Arial"/>
                <w:bCs/>
              </w:rPr>
            </w:pPr>
            <w:r w:rsidRPr="00100A5F">
              <w:rPr>
                <w:rFonts w:cs="Arial"/>
                <w:bCs/>
              </w:rPr>
              <w:t>Dry lining</w:t>
            </w:r>
            <w:r w:rsidR="00E30CD9">
              <w:rPr>
                <w:rFonts w:cs="Arial"/>
                <w:bCs/>
              </w:rPr>
              <w:t>,</w:t>
            </w:r>
          </w:p>
          <w:p w14:paraId="0D887561" w14:textId="77777777" w:rsidR="003D53F5" w:rsidRPr="00921292" w:rsidRDefault="003D53F5" w:rsidP="00E55A2F">
            <w:pPr>
              <w:pStyle w:val="ListParagraph"/>
              <w:numPr>
                <w:ilvl w:val="0"/>
                <w:numId w:val="64"/>
              </w:numPr>
              <w:rPr>
                <w:rFonts w:cs="Arial"/>
                <w:bCs/>
              </w:rPr>
            </w:pPr>
            <w:r w:rsidRPr="00921292">
              <w:rPr>
                <w:rFonts w:cs="Arial"/>
                <w:bCs/>
              </w:rPr>
              <w:t>Block work</w:t>
            </w:r>
            <w:r w:rsidR="00E30CD9">
              <w:rPr>
                <w:rFonts w:cs="Arial"/>
                <w:bCs/>
              </w:rPr>
              <w:t>,</w:t>
            </w:r>
          </w:p>
          <w:p w14:paraId="0D887562" w14:textId="77777777" w:rsidR="003D53F5" w:rsidRPr="00921292" w:rsidRDefault="003D53F5" w:rsidP="00E55A2F">
            <w:pPr>
              <w:pStyle w:val="ListParagraph"/>
              <w:numPr>
                <w:ilvl w:val="0"/>
                <w:numId w:val="64"/>
              </w:numPr>
              <w:rPr>
                <w:rFonts w:cs="Arial"/>
                <w:bCs/>
              </w:rPr>
            </w:pPr>
            <w:r w:rsidRPr="00921292">
              <w:rPr>
                <w:rFonts w:cs="Arial"/>
                <w:bCs/>
              </w:rPr>
              <w:t>Painting and decorating – spray technologies</w:t>
            </w:r>
            <w:r w:rsidR="00E30CD9">
              <w:rPr>
                <w:rFonts w:cs="Arial"/>
                <w:bCs/>
              </w:rPr>
              <w:t>,</w:t>
            </w:r>
          </w:p>
          <w:p w14:paraId="0D887563" w14:textId="77777777" w:rsidR="003D53F5" w:rsidRPr="003D53F5" w:rsidRDefault="003D53F5" w:rsidP="00E55A2F">
            <w:pPr>
              <w:pStyle w:val="ListParagraph"/>
              <w:numPr>
                <w:ilvl w:val="0"/>
                <w:numId w:val="64"/>
              </w:numPr>
              <w:rPr>
                <w:rFonts w:cs="Arial"/>
                <w:bCs/>
              </w:rPr>
            </w:pPr>
            <w:r w:rsidRPr="00921292">
              <w:rPr>
                <w:rFonts w:cs="Arial"/>
                <w:bCs/>
              </w:rPr>
              <w:t>Fit out skills including joinery and carpentry, heat and ventilation</w:t>
            </w:r>
            <w:r w:rsidRPr="00EB0553">
              <w:rPr>
                <w:rStyle w:val="FootnoteReference"/>
                <w:rFonts w:cs="Arial"/>
                <w:bCs/>
              </w:rPr>
              <w:footnoteReference w:id="1"/>
            </w:r>
            <w:r w:rsidR="00E30CD9">
              <w:rPr>
                <w:rFonts w:cs="Arial"/>
                <w:bCs/>
              </w:rPr>
              <w:t>, and</w:t>
            </w:r>
          </w:p>
          <w:p w14:paraId="0D887564" w14:textId="77777777" w:rsidR="003D53F5" w:rsidRDefault="003D53F5" w:rsidP="00E55A2F">
            <w:pPr>
              <w:pStyle w:val="ListParagraph"/>
              <w:numPr>
                <w:ilvl w:val="0"/>
                <w:numId w:val="64"/>
              </w:numPr>
              <w:rPr>
                <w:rFonts w:cs="Arial"/>
                <w:bCs/>
              </w:rPr>
            </w:pPr>
            <w:r w:rsidRPr="000C2C49">
              <w:rPr>
                <w:rFonts w:cs="Arial"/>
                <w:bCs/>
              </w:rPr>
              <w:t>Data cabling and BIM technologies</w:t>
            </w:r>
            <w:r w:rsidR="00E30CD9">
              <w:rPr>
                <w:rFonts w:cs="Arial"/>
                <w:bCs/>
              </w:rPr>
              <w:t>.</w:t>
            </w:r>
          </w:p>
          <w:p w14:paraId="0D887565" w14:textId="77777777" w:rsidR="00B825AB" w:rsidRPr="000C2C49" w:rsidRDefault="00B825AB" w:rsidP="00E55A2F">
            <w:pPr>
              <w:pStyle w:val="ListParagraph"/>
              <w:ind w:left="1080"/>
              <w:rPr>
                <w:rFonts w:cs="Arial"/>
                <w:bCs/>
              </w:rPr>
            </w:pPr>
          </w:p>
          <w:p w14:paraId="0D887566" w14:textId="77777777" w:rsidR="00B825AB" w:rsidRPr="00EB0553" w:rsidRDefault="00196F78" w:rsidP="00B825AB">
            <w:pPr>
              <w:rPr>
                <w:rFonts w:cs="Arial"/>
                <w:bCs/>
                <w:lang w:val="en-US"/>
              </w:rPr>
            </w:pPr>
            <w:r>
              <w:rPr>
                <w:rFonts w:cs="Arial"/>
                <w:bCs/>
              </w:rPr>
              <w:t>The Services</w:t>
            </w:r>
            <w:r w:rsidR="00B825AB" w:rsidRPr="00EB0553">
              <w:rPr>
                <w:rFonts w:cs="Arial"/>
                <w:bCs/>
              </w:rPr>
              <w:t xml:space="preserve"> should link with developing or existing construction centres that can provide an external training environment with live site requirements to ensure clients receive on-site experience. There is a particular need for this relating to ground work, form work, plant, steel and </w:t>
            </w:r>
            <w:r w:rsidR="00F81EF1" w:rsidRPr="00E55A2F">
              <w:rPr>
                <w:rFonts w:cs="Arial"/>
                <w:bCs/>
              </w:rPr>
              <w:t>reinforced concrete (RC)</w:t>
            </w:r>
            <w:r w:rsidR="00B825AB" w:rsidRPr="00E55A2F">
              <w:rPr>
                <w:rFonts w:cs="Arial"/>
                <w:bCs/>
              </w:rPr>
              <w:t xml:space="preserve"> frame</w:t>
            </w:r>
            <w:r w:rsidR="00B825AB" w:rsidRPr="00EB0553">
              <w:rPr>
                <w:rFonts w:cs="Arial"/>
                <w:bCs/>
              </w:rPr>
              <w:t xml:space="preserve">, and cladding technologies. </w:t>
            </w:r>
            <w:r w:rsidR="00B825AB" w:rsidRPr="00252C5E">
              <w:rPr>
                <w:rFonts w:cs="Arial"/>
                <w:bCs/>
              </w:rPr>
              <w:t>Provision should also link with existing support</w:t>
            </w:r>
            <w:r w:rsidR="00A87AAE" w:rsidRPr="00E55A2F">
              <w:rPr>
                <w:rFonts w:cs="Arial"/>
                <w:bCs/>
              </w:rPr>
              <w:t>, where appropriate,</w:t>
            </w:r>
            <w:r w:rsidR="00B825AB" w:rsidRPr="00252C5E">
              <w:rPr>
                <w:rFonts w:cs="Arial"/>
                <w:bCs/>
              </w:rPr>
              <w:t xml:space="preserve"> such as London borough New Homes Bonus projects focusing on construction; other borough construction projects and the CITB’s </w:t>
            </w:r>
            <w:r w:rsidR="00B825AB" w:rsidRPr="00252C5E">
              <w:rPr>
                <w:rFonts w:cs="Arial"/>
                <w:bCs/>
                <w:lang w:val="en-US"/>
              </w:rPr>
              <w:t>Joint Initiative programme.</w:t>
            </w:r>
            <w:r w:rsidR="00B825AB" w:rsidRPr="00EB0553">
              <w:rPr>
                <w:rFonts w:cs="Arial"/>
                <w:bCs/>
                <w:lang w:val="en-US"/>
              </w:rPr>
              <w:t xml:space="preserve"> </w:t>
            </w:r>
          </w:p>
          <w:p w14:paraId="0D887567" w14:textId="77777777" w:rsidR="003D53F5" w:rsidRPr="00EB0553" w:rsidRDefault="003D53F5" w:rsidP="003D53F5">
            <w:pPr>
              <w:rPr>
                <w:rFonts w:cs="Arial"/>
                <w:bCs/>
              </w:rPr>
            </w:pPr>
          </w:p>
          <w:p w14:paraId="0D887568" w14:textId="428372F2" w:rsidR="00495FF0" w:rsidRPr="005608E8" w:rsidRDefault="00BA0674" w:rsidP="00495FF0">
            <w:pPr>
              <w:rPr>
                <w:rFonts w:ascii="Calibri" w:hAnsi="Calibri"/>
                <w:sz w:val="22"/>
                <w:szCs w:val="22"/>
              </w:rPr>
            </w:pPr>
            <w:r w:rsidRPr="005608E8">
              <w:rPr>
                <w:iCs/>
              </w:rPr>
              <w:t xml:space="preserve">The Services must </w:t>
            </w:r>
            <w:r w:rsidR="00495FF0" w:rsidRPr="005608E8">
              <w:rPr>
                <w:iCs/>
              </w:rPr>
              <w:t>meet the needs of local employers and learners</w:t>
            </w:r>
            <w:r w:rsidR="00E30CD9" w:rsidRPr="005608E8">
              <w:rPr>
                <w:iCs/>
              </w:rPr>
              <w:t>.</w:t>
            </w:r>
            <w:r w:rsidR="00495FF0" w:rsidRPr="005608E8">
              <w:rPr>
                <w:iCs/>
              </w:rPr>
              <w:t xml:space="preserve"> </w:t>
            </w:r>
            <w:r w:rsidR="00E30CD9" w:rsidRPr="005608E8">
              <w:rPr>
                <w:iCs/>
              </w:rPr>
              <w:t>T</w:t>
            </w:r>
            <w:r w:rsidR="00495FF0" w:rsidRPr="005608E8">
              <w:rPr>
                <w:iCs/>
              </w:rPr>
              <w:t xml:space="preserve">his could include clustering together units from different qualifications.  Where employers require vendor specific training, </w:t>
            </w:r>
            <w:r w:rsidR="0052277C">
              <w:rPr>
                <w:iCs/>
              </w:rPr>
              <w:t>candidates</w:t>
            </w:r>
            <w:r w:rsidR="00495FF0" w:rsidRPr="005608E8">
              <w:rPr>
                <w:iCs/>
              </w:rPr>
              <w:t xml:space="preserve"> should seek alternative sources of funding to support this activity</w:t>
            </w:r>
            <w:r w:rsidR="00495FF0" w:rsidRPr="005608E8">
              <w:t>.</w:t>
            </w:r>
          </w:p>
          <w:p w14:paraId="0D887569" w14:textId="77777777" w:rsidR="00495FF0" w:rsidRPr="00EB0553" w:rsidRDefault="00495FF0" w:rsidP="003D53F5">
            <w:pPr>
              <w:rPr>
                <w:rFonts w:cs="Arial"/>
                <w:bCs/>
              </w:rPr>
            </w:pPr>
          </w:p>
          <w:p w14:paraId="0D88756A" w14:textId="5F6043BE" w:rsidR="00A87AAE" w:rsidRPr="005608E8" w:rsidRDefault="00A87AAE" w:rsidP="00A87AAE">
            <w:pPr>
              <w:rPr>
                <w:rFonts w:cs="Arial"/>
                <w:bCs/>
              </w:rPr>
            </w:pPr>
            <w:r w:rsidRPr="00EA239A">
              <w:rPr>
                <w:rFonts w:cs="Arial"/>
                <w:bCs/>
              </w:rPr>
              <w:lastRenderedPageBreak/>
              <w:t xml:space="preserve">In addition, participants should be able to access discretionary funding, agreed with </w:t>
            </w:r>
            <w:r w:rsidR="00EA239A">
              <w:rPr>
                <w:rFonts w:cs="Arial"/>
                <w:bCs/>
              </w:rPr>
              <w:t>the provider</w:t>
            </w:r>
            <w:r w:rsidRPr="00EA239A">
              <w:rPr>
                <w:rFonts w:cs="Arial"/>
                <w:bCs/>
              </w:rPr>
              <w:t>, for uses such as travel, subsistence and relevant equipment/clothing</w:t>
            </w:r>
            <w:r w:rsidR="00D25B94" w:rsidRPr="00EA239A">
              <w:rPr>
                <w:rFonts w:cs="Arial"/>
                <w:bCs/>
              </w:rPr>
              <w:t xml:space="preserve"> and these costs will be covered by the unit costs on the contract.</w:t>
            </w:r>
          </w:p>
          <w:p w14:paraId="0D88756B" w14:textId="77777777" w:rsidR="003D53F5" w:rsidRPr="005608E8" w:rsidRDefault="003D53F5" w:rsidP="003D53F5">
            <w:pPr>
              <w:rPr>
                <w:rFonts w:cs="Arial"/>
              </w:rPr>
            </w:pPr>
          </w:p>
          <w:p w14:paraId="0D88756C" w14:textId="77777777" w:rsidR="003D53F5" w:rsidRPr="005608E8" w:rsidRDefault="003D53F5" w:rsidP="003D53F5">
            <w:pPr>
              <w:rPr>
                <w:rFonts w:cs="Arial"/>
                <w:bCs/>
              </w:rPr>
            </w:pPr>
            <w:r w:rsidRPr="005608E8">
              <w:rPr>
                <w:rFonts w:cs="Arial"/>
                <w:b/>
              </w:rPr>
              <w:t>Support into work and progression</w:t>
            </w:r>
            <w:r w:rsidRPr="005608E8">
              <w:rPr>
                <w:rFonts w:cs="Arial"/>
                <w:bCs/>
              </w:rPr>
              <w:t xml:space="preserve"> </w:t>
            </w:r>
          </w:p>
          <w:p w14:paraId="0D88756D" w14:textId="77777777" w:rsidR="009F52FF" w:rsidRDefault="009F52FF" w:rsidP="009F52FF">
            <w:pPr>
              <w:rPr>
                <w:rFonts w:cs="Arial"/>
                <w:bCs/>
              </w:rPr>
            </w:pPr>
            <w:r>
              <w:rPr>
                <w:rFonts w:cs="Arial"/>
                <w:bCs/>
              </w:rPr>
              <w:t xml:space="preserve">The Services </w:t>
            </w:r>
            <w:r w:rsidR="000272E8">
              <w:rPr>
                <w:rFonts w:cs="Arial"/>
                <w:bCs/>
              </w:rPr>
              <w:t>will</w:t>
            </w:r>
            <w:r>
              <w:rPr>
                <w:rFonts w:cs="Arial"/>
                <w:bCs/>
              </w:rPr>
              <w:t xml:space="preserve"> work </w:t>
            </w:r>
            <w:r w:rsidRPr="00630607">
              <w:rPr>
                <w:rFonts w:cs="Arial"/>
                <w:bCs/>
              </w:rPr>
              <w:t xml:space="preserve">with participants to ensure that they are job-ready, building on the pre-employment support they </w:t>
            </w:r>
            <w:r w:rsidR="00C52A4B">
              <w:rPr>
                <w:rFonts w:cs="Arial"/>
                <w:bCs/>
              </w:rPr>
              <w:t xml:space="preserve">have </w:t>
            </w:r>
            <w:r w:rsidRPr="00630607">
              <w:rPr>
                <w:rFonts w:cs="Arial"/>
                <w:bCs/>
              </w:rPr>
              <w:t xml:space="preserve">received </w:t>
            </w:r>
            <w:r w:rsidR="00A87AAE">
              <w:rPr>
                <w:rFonts w:cs="Arial"/>
                <w:bCs/>
              </w:rPr>
              <w:t xml:space="preserve">to </w:t>
            </w:r>
            <w:r>
              <w:rPr>
                <w:rFonts w:cs="Arial"/>
                <w:bCs/>
              </w:rPr>
              <w:t>match</w:t>
            </w:r>
            <w:r w:rsidRPr="00100A5F">
              <w:rPr>
                <w:rFonts w:cs="Arial"/>
                <w:bCs/>
              </w:rPr>
              <w:t xml:space="preserve"> participants with appropriate job opportunities, ensuring that emp</w:t>
            </w:r>
            <w:r w:rsidRPr="00921292">
              <w:rPr>
                <w:rFonts w:cs="Arial"/>
                <w:bCs/>
              </w:rPr>
              <w:t>loy</w:t>
            </w:r>
            <w:r>
              <w:rPr>
                <w:rFonts w:cs="Arial"/>
                <w:bCs/>
              </w:rPr>
              <w:t xml:space="preserve">ers receive suitable candidates. As relationships with employers will be central to brokering job opportunities,  </w:t>
            </w:r>
            <w:r w:rsidRPr="003D53F5">
              <w:rPr>
                <w:rFonts w:cs="Arial"/>
                <w:bCs/>
              </w:rPr>
              <w:t xml:space="preserve">positive relationships with construction-based employers </w:t>
            </w:r>
            <w:r w:rsidR="00C07F05">
              <w:rPr>
                <w:rFonts w:cs="Arial"/>
                <w:bCs/>
              </w:rPr>
              <w:t xml:space="preserve">must be developed and the Services must take account of their </w:t>
            </w:r>
            <w:r w:rsidRPr="003D53F5">
              <w:rPr>
                <w:rFonts w:cs="Arial"/>
                <w:bCs/>
              </w:rPr>
              <w:t xml:space="preserve"> recruitment needs</w:t>
            </w:r>
          </w:p>
          <w:p w14:paraId="0D88756E" w14:textId="77777777" w:rsidR="009F52FF" w:rsidRDefault="009F52FF" w:rsidP="00630607">
            <w:pPr>
              <w:rPr>
                <w:rFonts w:cs="Arial"/>
                <w:bCs/>
              </w:rPr>
            </w:pPr>
          </w:p>
          <w:p w14:paraId="0D88756F" w14:textId="77777777" w:rsidR="00630607" w:rsidRDefault="00926A21" w:rsidP="00630607">
            <w:pPr>
              <w:rPr>
                <w:rFonts w:cs="Arial"/>
                <w:bCs/>
              </w:rPr>
            </w:pPr>
            <w:r>
              <w:rPr>
                <w:rFonts w:cs="Arial"/>
                <w:bCs/>
              </w:rPr>
              <w:t>The Services must support participants to sustain employment opportunities paying the London Living Wage where possible.</w:t>
            </w:r>
            <w:r w:rsidR="00630607">
              <w:rPr>
                <w:rFonts w:cs="Arial"/>
                <w:bCs/>
              </w:rPr>
              <w:t xml:space="preserve"> The Services must offer i</w:t>
            </w:r>
            <w:r w:rsidR="00630607" w:rsidRPr="00926A21">
              <w:rPr>
                <w:rFonts w:cs="Arial"/>
                <w:bCs/>
              </w:rPr>
              <w:t>n-work support for participants once they have secured a job for at least t</w:t>
            </w:r>
            <w:r w:rsidR="007222B1">
              <w:rPr>
                <w:rFonts w:cs="Arial"/>
                <w:bCs/>
              </w:rPr>
              <w:t>he</w:t>
            </w:r>
            <w:r w:rsidR="00630607" w:rsidRPr="00926A21">
              <w:rPr>
                <w:rFonts w:cs="Arial"/>
                <w:bCs/>
              </w:rPr>
              <w:t xml:space="preserve"> first six months or to help them complete an apprenticeship. Participants </w:t>
            </w:r>
            <w:r w:rsidR="000272E8">
              <w:rPr>
                <w:rFonts w:cs="Arial"/>
                <w:bCs/>
              </w:rPr>
              <w:t>will</w:t>
            </w:r>
            <w:r w:rsidR="00630607" w:rsidRPr="00926A21">
              <w:rPr>
                <w:rFonts w:cs="Arial"/>
                <w:bCs/>
              </w:rPr>
              <w:t xml:space="preserve"> have a personal adviser </w:t>
            </w:r>
            <w:r w:rsidR="00A87AAE">
              <w:rPr>
                <w:rFonts w:cs="Arial"/>
                <w:bCs/>
              </w:rPr>
              <w:t>who supports them as needed during this time.</w:t>
            </w:r>
            <w:r w:rsidR="00630607" w:rsidRPr="00926A21">
              <w:rPr>
                <w:rFonts w:cs="Arial"/>
                <w:bCs/>
              </w:rPr>
              <w:t xml:space="preserve"> </w:t>
            </w:r>
          </w:p>
          <w:p w14:paraId="0D887570" w14:textId="77777777" w:rsidR="00630607" w:rsidRDefault="00630607" w:rsidP="00E55A2F">
            <w:pPr>
              <w:rPr>
                <w:rFonts w:cs="Arial"/>
                <w:bCs/>
              </w:rPr>
            </w:pPr>
          </w:p>
          <w:p w14:paraId="0D887571" w14:textId="77777777" w:rsidR="000C649B" w:rsidRDefault="00C07F05" w:rsidP="00E55A2F">
            <w:pPr>
              <w:rPr>
                <w:rFonts w:cs="Arial"/>
                <w:bCs/>
              </w:rPr>
            </w:pPr>
            <w:r>
              <w:rPr>
                <w:rFonts w:cs="Arial"/>
                <w:bCs/>
              </w:rPr>
              <w:t>The Services must develop an individual progression plan for all participants o</w:t>
            </w:r>
            <w:r w:rsidR="000C649B">
              <w:rPr>
                <w:rFonts w:cs="Arial"/>
                <w:bCs/>
              </w:rPr>
              <w:t xml:space="preserve">nce </w:t>
            </w:r>
            <w:r>
              <w:rPr>
                <w:rFonts w:cs="Arial"/>
                <w:bCs/>
              </w:rPr>
              <w:t xml:space="preserve">they are </w:t>
            </w:r>
            <w:r w:rsidR="000C649B">
              <w:rPr>
                <w:rFonts w:cs="Arial"/>
                <w:bCs/>
              </w:rPr>
              <w:t>in employment. As part of this</w:t>
            </w:r>
            <w:r w:rsidR="007B7E7D">
              <w:rPr>
                <w:rFonts w:cs="Arial"/>
                <w:bCs/>
              </w:rPr>
              <w:t>,</w:t>
            </w:r>
            <w:r w:rsidR="000C649B">
              <w:rPr>
                <w:rFonts w:cs="Arial"/>
                <w:bCs/>
              </w:rPr>
              <w:t xml:space="preserve"> the Service</w:t>
            </w:r>
            <w:r w:rsidR="007B7E7D">
              <w:rPr>
                <w:rFonts w:cs="Arial"/>
                <w:bCs/>
              </w:rPr>
              <w:t>s</w:t>
            </w:r>
            <w:r w:rsidR="000C649B">
              <w:rPr>
                <w:rFonts w:cs="Arial"/>
                <w:bCs/>
              </w:rPr>
              <w:t xml:space="preserve"> should support participants to </w:t>
            </w:r>
            <w:r w:rsidR="000272E8">
              <w:rPr>
                <w:rFonts w:cs="Arial"/>
                <w:bCs/>
              </w:rPr>
              <w:t xml:space="preserve">sustain and </w:t>
            </w:r>
            <w:r w:rsidR="000C649B">
              <w:rPr>
                <w:rFonts w:cs="Arial"/>
                <w:bCs/>
              </w:rPr>
              <w:t xml:space="preserve">progress in employment </w:t>
            </w:r>
            <w:r w:rsidR="000C649B" w:rsidRPr="000C649B">
              <w:rPr>
                <w:rFonts w:cs="Arial"/>
                <w:bCs/>
              </w:rPr>
              <w:t>by providing</w:t>
            </w:r>
            <w:r w:rsidR="000F1044">
              <w:rPr>
                <w:rFonts w:cs="Arial"/>
                <w:bCs/>
              </w:rPr>
              <w:t xml:space="preserve"> </w:t>
            </w:r>
            <w:r w:rsidR="000C649B" w:rsidRPr="000C649B">
              <w:rPr>
                <w:rFonts w:cs="Arial"/>
                <w:bCs/>
              </w:rPr>
              <w:t>relevant vocational</w:t>
            </w:r>
            <w:r w:rsidR="000C649B">
              <w:rPr>
                <w:rFonts w:cs="Arial"/>
                <w:bCs/>
              </w:rPr>
              <w:t xml:space="preserve"> or higher level</w:t>
            </w:r>
            <w:r w:rsidR="000C649B" w:rsidRPr="000C649B">
              <w:rPr>
                <w:rFonts w:cs="Arial"/>
                <w:bCs/>
              </w:rPr>
              <w:t xml:space="preserve"> training</w:t>
            </w:r>
            <w:r w:rsidR="000C649B">
              <w:rPr>
                <w:rFonts w:cs="Arial"/>
                <w:bCs/>
              </w:rPr>
              <w:t xml:space="preserve"> (including project management, surveying, landscaping and architecture)</w:t>
            </w:r>
            <w:r w:rsidR="000C649B" w:rsidRPr="000C649B">
              <w:rPr>
                <w:rFonts w:cs="Arial"/>
                <w:bCs/>
              </w:rPr>
              <w:t xml:space="preserve">; </w:t>
            </w:r>
            <w:r w:rsidR="005608E8">
              <w:rPr>
                <w:rFonts w:cs="Arial"/>
                <w:bCs/>
              </w:rPr>
              <w:t>to help</w:t>
            </w:r>
            <w:r>
              <w:rPr>
                <w:rFonts w:cs="Arial"/>
                <w:bCs/>
              </w:rPr>
              <w:t xml:space="preserve"> them </w:t>
            </w:r>
            <w:r w:rsidR="000C649B" w:rsidRPr="000C649B">
              <w:rPr>
                <w:rFonts w:cs="Arial"/>
                <w:bCs/>
              </w:rPr>
              <w:t>progress in higher skilled and better paid construction jobs</w:t>
            </w:r>
            <w:r w:rsidR="007B7E7D">
              <w:rPr>
                <w:rFonts w:cs="Arial"/>
                <w:bCs/>
              </w:rPr>
              <w:t>.</w:t>
            </w:r>
          </w:p>
          <w:p w14:paraId="0D887572" w14:textId="77777777" w:rsidR="00313712" w:rsidRDefault="00313712" w:rsidP="00E55A2F">
            <w:pPr>
              <w:rPr>
                <w:rFonts w:cs="Arial"/>
                <w:b/>
                <w:color w:val="17365D" w:themeColor="text2" w:themeShade="BF"/>
              </w:rPr>
            </w:pPr>
          </w:p>
          <w:p w14:paraId="0D887573" w14:textId="77777777" w:rsidR="00313712" w:rsidRPr="005608E8" w:rsidRDefault="00313712" w:rsidP="00313712">
            <w:pPr>
              <w:rPr>
                <w:rFonts w:cs="Arial"/>
                <w:b/>
              </w:rPr>
            </w:pPr>
            <w:r w:rsidRPr="005608E8">
              <w:rPr>
                <w:rFonts w:cs="Arial"/>
                <w:b/>
              </w:rPr>
              <w:t>London Employability Performance Rating</w:t>
            </w:r>
          </w:p>
          <w:p w14:paraId="0D887574" w14:textId="77777777" w:rsidR="00313712" w:rsidRPr="005608E8" w:rsidRDefault="00313712" w:rsidP="00313712">
            <w:pPr>
              <w:spacing w:before="100" w:beforeAutospacing="1" w:after="100" w:afterAutospacing="1"/>
              <w:rPr>
                <w:rFonts w:eastAsiaTheme="minorHAnsi" w:cs="Arial"/>
                <w:lang w:eastAsia="en-GB"/>
              </w:rPr>
            </w:pPr>
            <w:r w:rsidRPr="005608E8">
              <w:rPr>
                <w:rFonts w:eastAsiaTheme="minorHAnsi" w:cs="Arial"/>
                <w:lang w:eastAsia="en-GB"/>
              </w:rPr>
              <w:t>The successful Candidate will be required to participate in the London Employability Performance Rating, which uses management and performance information, supports participant choice and collects evidence of customer satisfaction, provides an evidence-based track record of delivery against grant, improves transparency of contract management and provides a framework for lead delivery partners to performance manage partners and subcontractors.</w:t>
            </w:r>
          </w:p>
          <w:p w14:paraId="73136D61" w14:textId="77777777" w:rsidR="00344FA1" w:rsidRDefault="00313712" w:rsidP="00C02C70">
            <w:pPr>
              <w:spacing w:before="100" w:beforeAutospacing="1" w:after="100" w:afterAutospacing="1"/>
              <w:rPr>
                <w:rFonts w:eastAsia="Arial" w:cs="Arial"/>
                <w:u w:val="single"/>
                <w:lang w:eastAsia="en-GB"/>
              </w:rPr>
            </w:pPr>
            <w:r w:rsidRPr="005608E8">
              <w:rPr>
                <w:rFonts w:eastAsiaTheme="minorHAnsi" w:cs="Arial"/>
                <w:lang w:eastAsia="en-GB"/>
              </w:rPr>
              <w:t xml:space="preserve">Further information about the London Employability Performance Rating can be found on the Greater London Authority’s website: </w:t>
            </w:r>
            <w:hyperlink r:id="rId18" w:history="1">
              <w:r w:rsidRPr="005608E8">
                <w:rPr>
                  <w:rFonts w:eastAsia="Arial" w:cs="Arial"/>
                  <w:u w:val="single"/>
                  <w:lang w:eastAsia="en-GB"/>
                </w:rPr>
                <w:t>http://data.london.gov.uk/london-employability-performance-rating/</w:t>
              </w:r>
            </w:hyperlink>
            <w:r w:rsidRPr="005608E8">
              <w:rPr>
                <w:rFonts w:eastAsia="Arial" w:cs="Arial"/>
                <w:u w:val="single"/>
                <w:lang w:eastAsia="en-GB"/>
              </w:rPr>
              <w:t xml:space="preserve"> </w:t>
            </w:r>
          </w:p>
          <w:p w14:paraId="0D887576" w14:textId="1056F576" w:rsidR="00C02C70" w:rsidRPr="00C02C70" w:rsidRDefault="00C02C70" w:rsidP="00C02C70">
            <w:pPr>
              <w:spacing w:before="100" w:beforeAutospacing="1" w:after="100" w:afterAutospacing="1"/>
              <w:rPr>
                <w:rFonts w:eastAsia="Arial" w:cs="Arial"/>
                <w:lang w:eastAsia="en-GB"/>
              </w:rPr>
            </w:pPr>
          </w:p>
        </w:tc>
      </w:tr>
      <w:tr w:rsidR="00967429" w:rsidRPr="00544738" w14:paraId="0D887579" w14:textId="77777777" w:rsidTr="00C02C70">
        <w:trPr>
          <w:trHeight w:val="567"/>
        </w:trPr>
        <w:tc>
          <w:tcPr>
            <w:tcW w:w="9088" w:type="dxa"/>
            <w:shd w:val="clear" w:color="auto" w:fill="D9D9D9" w:themeFill="background1" w:themeFillShade="D9"/>
            <w:vAlign w:val="center"/>
          </w:tcPr>
          <w:p w14:paraId="0D887578" w14:textId="77777777" w:rsidR="00967429" w:rsidRPr="00544738" w:rsidRDefault="00A005EF" w:rsidP="00FD3B0A">
            <w:pPr>
              <w:pStyle w:val="SpecificationHeading"/>
            </w:pPr>
            <w:r w:rsidRPr="002833D9">
              <w:lastRenderedPageBreak/>
              <w:t>ELIGIBILITY</w:t>
            </w:r>
          </w:p>
        </w:tc>
      </w:tr>
      <w:tr w:rsidR="00967429" w:rsidRPr="00EF4406" w14:paraId="0D8875B1" w14:textId="77777777" w:rsidTr="00E55A2F">
        <w:tc>
          <w:tcPr>
            <w:tcW w:w="9088" w:type="dxa"/>
          </w:tcPr>
          <w:p w14:paraId="0D88757A" w14:textId="77777777" w:rsidR="001E23AA" w:rsidRDefault="001E23AA" w:rsidP="002F70E9">
            <w:pPr>
              <w:rPr>
                <w:rFonts w:cs="Arial"/>
                <w:b/>
                <w:u w:val="single"/>
              </w:rPr>
            </w:pPr>
          </w:p>
          <w:p w14:paraId="0D88757B" w14:textId="77777777" w:rsidR="00A005EF" w:rsidRDefault="00A005EF" w:rsidP="00A005EF">
            <w:pPr>
              <w:rPr>
                <w:b/>
              </w:rPr>
            </w:pPr>
            <w:r>
              <w:rPr>
                <w:b/>
              </w:rPr>
              <w:t>General</w:t>
            </w:r>
          </w:p>
          <w:p w14:paraId="0D88757C" w14:textId="77777777" w:rsidR="00313712" w:rsidRPr="00344FA1" w:rsidRDefault="00313712" w:rsidP="00A005EF"/>
          <w:p w14:paraId="0D88757D" w14:textId="77777777" w:rsidR="00A005EF" w:rsidRPr="002833D9" w:rsidRDefault="00A005EF" w:rsidP="00A005EF">
            <w:pPr>
              <w:rPr>
                <w:rFonts w:cs="Arial"/>
              </w:rPr>
            </w:pPr>
            <w:r w:rsidRPr="00BC7F87">
              <w:rPr>
                <w:rFonts w:cs="Arial"/>
              </w:rPr>
              <w:t xml:space="preserve">General eligibility requirements are set out in </w:t>
            </w:r>
            <w:r w:rsidR="00025EF8" w:rsidRPr="00BC7F87">
              <w:rPr>
                <w:rFonts w:cs="Arial"/>
              </w:rPr>
              <w:t>the</w:t>
            </w:r>
            <w:r w:rsidR="00025EF8" w:rsidRPr="00BC7F87">
              <w:t xml:space="preserve"> </w:t>
            </w:r>
            <w:r w:rsidRPr="00BC7F87">
              <w:rPr>
                <w:rFonts w:cs="Arial"/>
              </w:rPr>
              <w:t>European Social Fund Programme for England 2014-2020</w:t>
            </w:r>
            <w:r w:rsidR="00384AE2" w:rsidRPr="00BC7F87">
              <w:rPr>
                <w:rFonts w:cs="Arial"/>
              </w:rPr>
              <w:t xml:space="preserve"> National Eligibility Rules</w:t>
            </w:r>
            <w:r w:rsidR="00025EF8" w:rsidRPr="00BC7F87">
              <w:rPr>
                <w:rFonts w:cs="Arial"/>
              </w:rPr>
              <w:t xml:space="preserve"> which can be found here: </w:t>
            </w:r>
            <w:hyperlink r:id="rId19" w:history="1">
              <w:r w:rsidR="00475879" w:rsidRPr="00BC7F87">
                <w:rPr>
                  <w:rStyle w:val="Hyperlink"/>
                  <w:rFonts w:cs="Arial"/>
                  <w:sz w:val="24"/>
                  <w:szCs w:val="24"/>
                </w:rPr>
                <w:t>https://www.gov.uk/government/publications/european-structural-and-investment-funds-programme-guidance</w:t>
              </w:r>
            </w:hyperlink>
            <w:r w:rsidR="00475879">
              <w:rPr>
                <w:rFonts w:cs="Arial"/>
              </w:rPr>
              <w:t xml:space="preserve"> </w:t>
            </w:r>
          </w:p>
          <w:p w14:paraId="0D88757E" w14:textId="77777777" w:rsidR="00A005EF" w:rsidRDefault="00A005EF" w:rsidP="00C107CE">
            <w:pPr>
              <w:rPr>
                <w:rFonts w:cs="Arial"/>
              </w:rPr>
            </w:pPr>
          </w:p>
          <w:p w14:paraId="0D887580" w14:textId="77777777" w:rsidR="00043303" w:rsidRPr="00E55A2F" w:rsidRDefault="000C2C49" w:rsidP="00C107CE">
            <w:pPr>
              <w:rPr>
                <w:rFonts w:cs="Arial"/>
                <w:b/>
              </w:rPr>
            </w:pPr>
            <w:r w:rsidRPr="00E55A2F">
              <w:rPr>
                <w:rFonts w:cs="Arial"/>
                <w:b/>
              </w:rPr>
              <w:lastRenderedPageBreak/>
              <w:t>Service Specific Eligibility</w:t>
            </w:r>
          </w:p>
          <w:p w14:paraId="0D887581" w14:textId="77777777" w:rsidR="008C14BD" w:rsidRDefault="008C14BD" w:rsidP="00C107CE">
            <w:pPr>
              <w:rPr>
                <w:rFonts w:cs="Arial"/>
                <w:highlight w:val="yellow"/>
              </w:rPr>
            </w:pPr>
          </w:p>
          <w:p w14:paraId="0D887582" w14:textId="77777777" w:rsidR="008C14BD" w:rsidRPr="005608E8" w:rsidRDefault="008C14BD" w:rsidP="008C14BD">
            <w:pPr>
              <w:ind w:right="113"/>
              <w:rPr>
                <w:rFonts w:cs="Arial"/>
                <w:bCs/>
              </w:rPr>
            </w:pPr>
            <w:r w:rsidRPr="005608E8">
              <w:rPr>
                <w:rFonts w:cs="Arial"/>
                <w:bCs/>
              </w:rPr>
              <w:t>The Services should target:</w:t>
            </w:r>
          </w:p>
          <w:p w14:paraId="0D887583" w14:textId="77777777" w:rsidR="008C14BD" w:rsidRPr="005608E8" w:rsidRDefault="008C14BD" w:rsidP="008C14BD">
            <w:pPr>
              <w:ind w:right="113"/>
              <w:rPr>
                <w:rFonts w:cs="Arial"/>
                <w:szCs w:val="22"/>
              </w:rPr>
            </w:pPr>
          </w:p>
          <w:p w14:paraId="0D887584" w14:textId="77777777" w:rsidR="008C14BD" w:rsidRPr="005608E8" w:rsidRDefault="008C14BD" w:rsidP="008C14BD">
            <w:pPr>
              <w:overflowPunct w:val="0"/>
              <w:autoSpaceDE w:val="0"/>
              <w:autoSpaceDN w:val="0"/>
              <w:adjustRightInd w:val="0"/>
              <w:jc w:val="both"/>
              <w:textAlignment w:val="baseline"/>
              <w:rPr>
                <w:rFonts w:cs="Arial"/>
                <w:lang w:eastAsia="en-GB"/>
              </w:rPr>
            </w:pPr>
            <w:r w:rsidRPr="005608E8">
              <w:rPr>
                <w:rFonts w:cs="Arial"/>
                <w:lang w:eastAsia="en-GB"/>
              </w:rPr>
              <w:t>Unemployed and economically inactive people of working age, including:</w:t>
            </w:r>
          </w:p>
          <w:p w14:paraId="0D887585" w14:textId="77777777" w:rsidR="008C14BD" w:rsidRPr="005608E8" w:rsidRDefault="008C14BD" w:rsidP="008C14BD">
            <w:pPr>
              <w:numPr>
                <w:ilvl w:val="0"/>
                <w:numId w:val="59"/>
              </w:numPr>
              <w:rPr>
                <w:rFonts w:cs="Arial"/>
                <w:bCs/>
              </w:rPr>
            </w:pPr>
            <w:r w:rsidRPr="005608E8">
              <w:rPr>
                <w:rFonts w:cs="Arial"/>
                <w:bCs/>
              </w:rPr>
              <w:t>People who have been unemployed for over 6 months who are aged 25+ (including Work Programme returners)</w:t>
            </w:r>
          </w:p>
          <w:p w14:paraId="0D887586" w14:textId="77777777" w:rsidR="008C14BD" w:rsidRPr="005608E8" w:rsidRDefault="008C14BD" w:rsidP="008C14BD">
            <w:pPr>
              <w:numPr>
                <w:ilvl w:val="0"/>
                <w:numId w:val="59"/>
              </w:numPr>
              <w:rPr>
                <w:rFonts w:cs="Arial"/>
                <w:bCs/>
              </w:rPr>
            </w:pPr>
            <w:r w:rsidRPr="005608E8">
              <w:rPr>
                <w:rFonts w:cs="Arial"/>
                <w:bCs/>
              </w:rPr>
              <w:t>Young people aged 18-24</w:t>
            </w:r>
          </w:p>
          <w:p w14:paraId="0D887587" w14:textId="77777777" w:rsidR="008C14BD" w:rsidRPr="005608E8" w:rsidRDefault="008C14BD" w:rsidP="008C14BD">
            <w:pPr>
              <w:numPr>
                <w:ilvl w:val="0"/>
                <w:numId w:val="59"/>
              </w:numPr>
              <w:rPr>
                <w:rFonts w:cs="Arial"/>
                <w:bCs/>
              </w:rPr>
            </w:pPr>
            <w:r w:rsidRPr="005608E8">
              <w:rPr>
                <w:rFonts w:cs="Arial"/>
                <w:bCs/>
              </w:rPr>
              <w:t>Economically inactive people, excluding students</w:t>
            </w:r>
          </w:p>
          <w:p w14:paraId="0D887588" w14:textId="77777777" w:rsidR="008C14BD" w:rsidRPr="005608E8" w:rsidRDefault="008C14BD" w:rsidP="008C14BD">
            <w:pPr>
              <w:numPr>
                <w:ilvl w:val="0"/>
                <w:numId w:val="59"/>
              </w:numPr>
              <w:rPr>
                <w:rFonts w:cs="Arial"/>
                <w:bCs/>
              </w:rPr>
            </w:pPr>
            <w:r w:rsidRPr="005608E8">
              <w:rPr>
                <w:rFonts w:cs="Arial"/>
                <w:bCs/>
              </w:rPr>
              <w:t xml:space="preserve">Women </w:t>
            </w:r>
          </w:p>
          <w:p w14:paraId="0D887589" w14:textId="77777777" w:rsidR="008C14BD" w:rsidRPr="005608E8" w:rsidRDefault="008C14BD" w:rsidP="008C14BD">
            <w:pPr>
              <w:numPr>
                <w:ilvl w:val="0"/>
                <w:numId w:val="59"/>
              </w:numPr>
              <w:rPr>
                <w:rFonts w:cs="Arial"/>
                <w:bCs/>
              </w:rPr>
            </w:pPr>
            <w:r w:rsidRPr="005608E8">
              <w:rPr>
                <w:rFonts w:cs="Arial"/>
                <w:bCs/>
              </w:rPr>
              <w:t>People age 50+</w:t>
            </w:r>
          </w:p>
          <w:p w14:paraId="0D88758A" w14:textId="77777777" w:rsidR="008C14BD" w:rsidRPr="005608E8" w:rsidRDefault="008C14BD" w:rsidP="008C14BD">
            <w:pPr>
              <w:numPr>
                <w:ilvl w:val="0"/>
                <w:numId w:val="59"/>
              </w:numPr>
              <w:rPr>
                <w:rFonts w:cs="Arial"/>
                <w:bCs/>
              </w:rPr>
            </w:pPr>
            <w:r w:rsidRPr="005608E8">
              <w:rPr>
                <w:rFonts w:cs="Arial"/>
                <w:bCs/>
              </w:rPr>
              <w:t>BAME groups, particularly young black men</w:t>
            </w:r>
          </w:p>
          <w:p w14:paraId="0D88758B" w14:textId="77777777" w:rsidR="008C14BD" w:rsidRPr="005608E8" w:rsidRDefault="008C14BD" w:rsidP="008C14BD">
            <w:pPr>
              <w:numPr>
                <w:ilvl w:val="0"/>
                <w:numId w:val="59"/>
              </w:numPr>
              <w:rPr>
                <w:rFonts w:cs="Arial"/>
                <w:bCs/>
              </w:rPr>
            </w:pPr>
            <w:r w:rsidRPr="005608E8">
              <w:rPr>
                <w:rFonts w:cs="Arial"/>
                <w:bCs/>
              </w:rPr>
              <w:t>Ex-offenders</w:t>
            </w:r>
          </w:p>
          <w:p w14:paraId="0D88758C" w14:textId="77777777" w:rsidR="008C14BD" w:rsidRPr="005608E8" w:rsidRDefault="008C14BD" w:rsidP="008C14BD">
            <w:pPr>
              <w:numPr>
                <w:ilvl w:val="0"/>
                <w:numId w:val="59"/>
              </w:numPr>
              <w:rPr>
                <w:rFonts w:cs="Arial"/>
                <w:bCs/>
              </w:rPr>
            </w:pPr>
            <w:r w:rsidRPr="005608E8">
              <w:rPr>
                <w:rFonts w:cs="Arial"/>
                <w:bCs/>
              </w:rPr>
              <w:t>Ex-military</w:t>
            </w:r>
          </w:p>
          <w:p w14:paraId="0D88758D" w14:textId="77777777" w:rsidR="008C14BD" w:rsidRPr="005608E8" w:rsidRDefault="008C14BD" w:rsidP="008C14BD">
            <w:pPr>
              <w:numPr>
                <w:ilvl w:val="0"/>
                <w:numId w:val="59"/>
              </w:numPr>
              <w:rPr>
                <w:rFonts w:cs="Arial"/>
                <w:bCs/>
              </w:rPr>
            </w:pPr>
            <w:r w:rsidRPr="005608E8">
              <w:rPr>
                <w:rFonts w:cs="Arial"/>
                <w:bCs/>
              </w:rPr>
              <w:t>Care leavers</w:t>
            </w:r>
          </w:p>
          <w:p w14:paraId="0D88758E" w14:textId="77777777" w:rsidR="008C14BD" w:rsidRPr="005608E8" w:rsidRDefault="008C14BD" w:rsidP="008C14BD">
            <w:pPr>
              <w:numPr>
                <w:ilvl w:val="0"/>
                <w:numId w:val="59"/>
              </w:numPr>
              <w:rPr>
                <w:rFonts w:cs="Arial"/>
                <w:bCs/>
              </w:rPr>
            </w:pPr>
            <w:r w:rsidRPr="005608E8">
              <w:rPr>
                <w:rFonts w:cs="Arial"/>
                <w:bCs/>
              </w:rPr>
              <w:t>People with disabilities including mental health issues</w:t>
            </w:r>
          </w:p>
          <w:p w14:paraId="0D88758F" w14:textId="77777777" w:rsidR="00043303" w:rsidRDefault="00043303" w:rsidP="00C107CE">
            <w:pPr>
              <w:rPr>
                <w:rFonts w:cs="Arial"/>
              </w:rPr>
            </w:pPr>
          </w:p>
          <w:p w14:paraId="0D887590" w14:textId="77777777" w:rsidR="00394F36" w:rsidRDefault="00394F36" w:rsidP="00394F36">
            <w:pPr>
              <w:rPr>
                <w:rFonts w:cs="Arial"/>
              </w:rPr>
            </w:pPr>
            <w:r w:rsidRPr="00F67261">
              <w:rPr>
                <w:rFonts w:cs="Arial"/>
              </w:rPr>
              <w:t>Please note LEP Specific requirements are subject to the National Eligibility Rules detailed above.</w:t>
            </w:r>
          </w:p>
          <w:p w14:paraId="0D887591" w14:textId="77777777" w:rsidR="002F52AA" w:rsidRDefault="002F52AA" w:rsidP="00394F36">
            <w:pPr>
              <w:rPr>
                <w:rFonts w:cs="Arial"/>
                <w:iCs/>
              </w:rPr>
            </w:pPr>
          </w:p>
          <w:p w14:paraId="0D887592" w14:textId="77777777" w:rsidR="00394F36" w:rsidRDefault="00394F36" w:rsidP="00394F36">
            <w:pPr>
              <w:rPr>
                <w:rFonts w:ascii="Calibri" w:hAnsi="Calibri"/>
                <w:iCs/>
                <w:sz w:val="22"/>
                <w:szCs w:val="22"/>
              </w:rPr>
            </w:pPr>
            <w:r>
              <w:rPr>
                <w:rFonts w:cs="Arial"/>
                <w:iCs/>
              </w:rPr>
              <w:t>In delivering the Services, the successful Candidate must take into account and support the targets for the following groups where this is consistent with the other Services requirements for addressing the needs of groups identified as priority and meeting the Services deliverables.</w:t>
            </w:r>
          </w:p>
          <w:p w14:paraId="0D887593" w14:textId="77777777" w:rsidR="00394F36" w:rsidRDefault="00394F36" w:rsidP="00394F36">
            <w:pPr>
              <w:ind w:left="720"/>
              <w:rPr>
                <w:iCs/>
              </w:rPr>
            </w:pPr>
            <w:r>
              <w:rPr>
                <w:rFonts w:cs="Arial"/>
                <w:iCs/>
              </w:rPr>
              <w:t> </w:t>
            </w:r>
          </w:p>
          <w:tbl>
            <w:tblPr>
              <w:tblW w:w="5812" w:type="dxa"/>
              <w:tblLayout w:type="fixed"/>
              <w:tblLook w:val="04A0" w:firstRow="1" w:lastRow="0" w:firstColumn="1" w:lastColumn="0" w:noHBand="0" w:noVBand="1"/>
            </w:tblPr>
            <w:tblGrid>
              <w:gridCol w:w="4423"/>
              <w:gridCol w:w="1276"/>
              <w:gridCol w:w="113"/>
            </w:tblGrid>
            <w:tr w:rsidR="0019270F" w:rsidRPr="00162B5B" w14:paraId="0D887596" w14:textId="77777777" w:rsidTr="00E55A2F">
              <w:trPr>
                <w:trHeight w:val="504"/>
              </w:trPr>
              <w:tc>
                <w:tcPr>
                  <w:tcW w:w="4423" w:type="dxa"/>
                  <w:tcBorders>
                    <w:top w:val="nil"/>
                    <w:left w:val="nil"/>
                    <w:bottom w:val="nil"/>
                    <w:right w:val="nil"/>
                  </w:tcBorders>
                  <w:shd w:val="clear" w:color="auto" w:fill="auto"/>
                  <w:noWrap/>
                  <w:vAlign w:val="bottom"/>
                  <w:hideMark/>
                </w:tcPr>
                <w:p w14:paraId="0D887594" w14:textId="77777777" w:rsidR="0019270F" w:rsidRPr="00E55A2F" w:rsidRDefault="0019270F" w:rsidP="0019270F">
                  <w:pPr>
                    <w:rPr>
                      <w:rFonts w:cs="Arial"/>
                      <w:sz w:val="20"/>
                      <w:szCs w:val="20"/>
                      <w:lang w:eastAsia="en-GB"/>
                    </w:rPr>
                  </w:pPr>
                </w:p>
              </w:tc>
              <w:tc>
                <w:tcPr>
                  <w:tcW w:w="1389" w:type="dxa"/>
                  <w:gridSpan w:val="2"/>
                  <w:tcBorders>
                    <w:top w:val="nil"/>
                    <w:left w:val="nil"/>
                    <w:bottom w:val="nil"/>
                    <w:right w:val="nil"/>
                  </w:tcBorders>
                  <w:shd w:val="clear" w:color="auto" w:fill="auto"/>
                  <w:vAlign w:val="bottom"/>
                  <w:hideMark/>
                </w:tcPr>
                <w:p w14:paraId="0D887595" w14:textId="77777777" w:rsidR="0019270F" w:rsidRPr="00E55A2F" w:rsidRDefault="0019270F" w:rsidP="0019270F">
                  <w:pPr>
                    <w:jc w:val="center"/>
                    <w:rPr>
                      <w:rFonts w:cs="Arial"/>
                      <w:b/>
                      <w:bCs/>
                      <w:color w:val="000000"/>
                      <w:sz w:val="22"/>
                      <w:szCs w:val="22"/>
                      <w:lang w:eastAsia="en-GB"/>
                    </w:rPr>
                  </w:pPr>
                  <w:r w:rsidRPr="00E55A2F">
                    <w:rPr>
                      <w:rFonts w:cs="Arial"/>
                      <w:b/>
                      <w:bCs/>
                      <w:color w:val="000000"/>
                      <w:sz w:val="22"/>
                      <w:szCs w:val="22"/>
                      <w:lang w:eastAsia="en-GB"/>
                    </w:rPr>
                    <w:t>More Developed</w:t>
                  </w:r>
                </w:p>
              </w:tc>
            </w:tr>
            <w:tr w:rsidR="0019270F" w:rsidRPr="00162B5B" w14:paraId="0D887599" w14:textId="77777777" w:rsidTr="00E55A2F">
              <w:trPr>
                <w:trHeight w:val="576"/>
              </w:trPr>
              <w:tc>
                <w:tcPr>
                  <w:tcW w:w="4423" w:type="dxa"/>
                  <w:tcBorders>
                    <w:top w:val="nil"/>
                    <w:left w:val="nil"/>
                    <w:bottom w:val="nil"/>
                    <w:right w:val="nil"/>
                  </w:tcBorders>
                  <w:shd w:val="clear" w:color="auto" w:fill="auto"/>
                  <w:vAlign w:val="bottom"/>
                  <w:hideMark/>
                </w:tcPr>
                <w:p w14:paraId="0D887597" w14:textId="77777777" w:rsidR="0019270F" w:rsidRPr="00E55A2F" w:rsidRDefault="0019270F" w:rsidP="0019270F">
                  <w:pPr>
                    <w:rPr>
                      <w:rFonts w:cs="Arial"/>
                      <w:color w:val="000000"/>
                      <w:sz w:val="22"/>
                      <w:szCs w:val="22"/>
                      <w:lang w:eastAsia="en-GB"/>
                    </w:rPr>
                  </w:pPr>
                  <w:r w:rsidRPr="00E55A2F">
                    <w:rPr>
                      <w:rFonts w:cs="Arial"/>
                      <w:color w:val="000000"/>
                      <w:sz w:val="22"/>
                      <w:szCs w:val="22"/>
                      <w:lang w:eastAsia="en-GB"/>
                    </w:rPr>
                    <w:t>Total participants who are unemployed (including long term unemployed)</w:t>
                  </w:r>
                </w:p>
              </w:tc>
              <w:tc>
                <w:tcPr>
                  <w:tcW w:w="1389" w:type="dxa"/>
                  <w:gridSpan w:val="2"/>
                  <w:tcBorders>
                    <w:top w:val="nil"/>
                    <w:left w:val="nil"/>
                    <w:bottom w:val="nil"/>
                    <w:right w:val="nil"/>
                  </w:tcBorders>
                  <w:shd w:val="clear" w:color="auto" w:fill="auto"/>
                  <w:noWrap/>
                  <w:vAlign w:val="bottom"/>
                  <w:hideMark/>
                </w:tcPr>
                <w:p w14:paraId="0D887598" w14:textId="77777777" w:rsidR="0019270F" w:rsidRPr="00E55A2F" w:rsidRDefault="0019270F" w:rsidP="0019270F">
                  <w:pPr>
                    <w:jc w:val="center"/>
                    <w:rPr>
                      <w:rFonts w:cs="Arial"/>
                      <w:color w:val="000000"/>
                      <w:sz w:val="22"/>
                      <w:szCs w:val="22"/>
                      <w:lang w:eastAsia="en-GB"/>
                    </w:rPr>
                  </w:pPr>
                  <w:r w:rsidRPr="00E55A2F">
                    <w:rPr>
                      <w:rFonts w:cs="Arial"/>
                      <w:color w:val="000000"/>
                      <w:sz w:val="22"/>
                      <w:szCs w:val="22"/>
                      <w:lang w:eastAsia="en-GB"/>
                    </w:rPr>
                    <w:t>70%</w:t>
                  </w:r>
                </w:p>
              </w:tc>
            </w:tr>
            <w:tr w:rsidR="0019270F" w:rsidRPr="00162B5B" w14:paraId="0D88759C" w14:textId="77777777" w:rsidTr="00E55A2F">
              <w:trPr>
                <w:trHeight w:val="288"/>
              </w:trPr>
              <w:tc>
                <w:tcPr>
                  <w:tcW w:w="4423" w:type="dxa"/>
                  <w:tcBorders>
                    <w:top w:val="nil"/>
                    <w:left w:val="nil"/>
                    <w:bottom w:val="nil"/>
                    <w:right w:val="nil"/>
                  </w:tcBorders>
                  <w:shd w:val="clear" w:color="auto" w:fill="auto"/>
                  <w:vAlign w:val="bottom"/>
                  <w:hideMark/>
                </w:tcPr>
                <w:p w14:paraId="0D88759A" w14:textId="77777777" w:rsidR="0019270F" w:rsidRPr="00E55A2F" w:rsidRDefault="0019270F" w:rsidP="0019270F">
                  <w:pPr>
                    <w:rPr>
                      <w:rFonts w:cs="Arial"/>
                      <w:color w:val="000000"/>
                      <w:sz w:val="22"/>
                      <w:szCs w:val="22"/>
                      <w:lang w:eastAsia="en-GB"/>
                    </w:rPr>
                  </w:pPr>
                  <w:r w:rsidRPr="00E55A2F">
                    <w:rPr>
                      <w:rFonts w:cs="Arial"/>
                      <w:color w:val="000000"/>
                      <w:sz w:val="22"/>
                      <w:szCs w:val="22"/>
                      <w:lang w:eastAsia="en-GB"/>
                    </w:rPr>
                    <w:t>Total participants who are inactive</w:t>
                  </w:r>
                </w:p>
              </w:tc>
              <w:tc>
                <w:tcPr>
                  <w:tcW w:w="1389" w:type="dxa"/>
                  <w:gridSpan w:val="2"/>
                  <w:tcBorders>
                    <w:top w:val="nil"/>
                    <w:left w:val="nil"/>
                    <w:bottom w:val="nil"/>
                    <w:right w:val="nil"/>
                  </w:tcBorders>
                  <w:shd w:val="clear" w:color="auto" w:fill="auto"/>
                  <w:noWrap/>
                  <w:vAlign w:val="bottom"/>
                  <w:hideMark/>
                </w:tcPr>
                <w:p w14:paraId="0D88759B" w14:textId="77777777" w:rsidR="0019270F" w:rsidRPr="00E55A2F" w:rsidRDefault="0019270F" w:rsidP="0019270F">
                  <w:pPr>
                    <w:jc w:val="center"/>
                    <w:rPr>
                      <w:rFonts w:cs="Arial"/>
                      <w:color w:val="000000"/>
                      <w:sz w:val="22"/>
                      <w:szCs w:val="22"/>
                      <w:lang w:eastAsia="en-GB"/>
                    </w:rPr>
                  </w:pPr>
                  <w:r w:rsidRPr="00E55A2F">
                    <w:rPr>
                      <w:rFonts w:cs="Arial"/>
                      <w:color w:val="000000"/>
                      <w:sz w:val="22"/>
                      <w:szCs w:val="22"/>
                      <w:lang w:eastAsia="en-GB"/>
                    </w:rPr>
                    <w:t>25%</w:t>
                  </w:r>
                </w:p>
              </w:tc>
            </w:tr>
            <w:tr w:rsidR="0019270F" w:rsidRPr="00162B5B" w14:paraId="0D88759F" w14:textId="77777777" w:rsidTr="00E55A2F">
              <w:trPr>
                <w:trHeight w:val="288"/>
              </w:trPr>
              <w:tc>
                <w:tcPr>
                  <w:tcW w:w="4423" w:type="dxa"/>
                  <w:tcBorders>
                    <w:top w:val="nil"/>
                    <w:left w:val="nil"/>
                    <w:bottom w:val="nil"/>
                    <w:right w:val="nil"/>
                  </w:tcBorders>
                  <w:shd w:val="clear" w:color="auto" w:fill="auto"/>
                  <w:vAlign w:val="bottom"/>
                  <w:hideMark/>
                </w:tcPr>
                <w:p w14:paraId="0D88759D" w14:textId="77777777" w:rsidR="0019270F" w:rsidRPr="00E55A2F" w:rsidRDefault="0019270F" w:rsidP="0019270F">
                  <w:pPr>
                    <w:rPr>
                      <w:rFonts w:cs="Arial"/>
                      <w:color w:val="000000"/>
                      <w:sz w:val="22"/>
                      <w:szCs w:val="22"/>
                      <w:lang w:eastAsia="en-GB"/>
                    </w:rPr>
                  </w:pPr>
                  <w:r w:rsidRPr="00E55A2F">
                    <w:rPr>
                      <w:rFonts w:cs="Arial"/>
                      <w:color w:val="000000"/>
                      <w:sz w:val="22"/>
                      <w:szCs w:val="22"/>
                      <w:lang w:eastAsia="en-GB"/>
                    </w:rPr>
                    <w:t>Participants who are over 5</w:t>
                  </w:r>
                  <w:r w:rsidR="00B770E9">
                    <w:rPr>
                      <w:rFonts w:cs="Arial"/>
                      <w:color w:val="000000"/>
                      <w:sz w:val="22"/>
                      <w:szCs w:val="22"/>
                      <w:lang w:eastAsia="en-GB"/>
                    </w:rPr>
                    <w:t>0</w:t>
                  </w:r>
                </w:p>
              </w:tc>
              <w:tc>
                <w:tcPr>
                  <w:tcW w:w="1389" w:type="dxa"/>
                  <w:gridSpan w:val="2"/>
                  <w:tcBorders>
                    <w:top w:val="nil"/>
                    <w:left w:val="nil"/>
                    <w:bottom w:val="nil"/>
                    <w:right w:val="nil"/>
                  </w:tcBorders>
                  <w:shd w:val="clear" w:color="auto" w:fill="auto"/>
                  <w:noWrap/>
                  <w:vAlign w:val="bottom"/>
                  <w:hideMark/>
                </w:tcPr>
                <w:p w14:paraId="0D88759E" w14:textId="77777777" w:rsidR="0019270F" w:rsidRPr="00E55A2F" w:rsidRDefault="0019270F" w:rsidP="0019270F">
                  <w:pPr>
                    <w:jc w:val="center"/>
                    <w:rPr>
                      <w:rFonts w:cs="Arial"/>
                      <w:color w:val="000000"/>
                      <w:sz w:val="22"/>
                      <w:szCs w:val="22"/>
                      <w:lang w:eastAsia="en-GB"/>
                    </w:rPr>
                  </w:pPr>
                  <w:r w:rsidRPr="00E55A2F">
                    <w:rPr>
                      <w:rFonts w:cs="Arial"/>
                      <w:color w:val="000000"/>
                      <w:sz w:val="22"/>
                      <w:szCs w:val="22"/>
                      <w:lang w:eastAsia="en-GB"/>
                    </w:rPr>
                    <w:t>20%</w:t>
                  </w:r>
                </w:p>
              </w:tc>
            </w:tr>
            <w:tr w:rsidR="0019270F" w:rsidRPr="00162B5B" w14:paraId="0D8875A2" w14:textId="77777777" w:rsidTr="00E55A2F">
              <w:trPr>
                <w:trHeight w:val="288"/>
              </w:trPr>
              <w:tc>
                <w:tcPr>
                  <w:tcW w:w="4423" w:type="dxa"/>
                  <w:tcBorders>
                    <w:top w:val="nil"/>
                    <w:left w:val="nil"/>
                    <w:bottom w:val="nil"/>
                    <w:right w:val="nil"/>
                  </w:tcBorders>
                  <w:shd w:val="clear" w:color="auto" w:fill="auto"/>
                  <w:vAlign w:val="bottom"/>
                  <w:hideMark/>
                </w:tcPr>
                <w:p w14:paraId="0D8875A0" w14:textId="77777777" w:rsidR="0019270F" w:rsidRPr="00E55A2F" w:rsidRDefault="0019270F" w:rsidP="0019270F">
                  <w:pPr>
                    <w:rPr>
                      <w:rFonts w:cs="Arial"/>
                      <w:color w:val="000000"/>
                      <w:sz w:val="22"/>
                      <w:szCs w:val="22"/>
                      <w:lang w:eastAsia="en-GB"/>
                    </w:rPr>
                  </w:pPr>
                  <w:r w:rsidRPr="00E55A2F">
                    <w:rPr>
                      <w:rFonts w:cs="Arial"/>
                      <w:color w:val="000000"/>
                      <w:sz w:val="22"/>
                      <w:szCs w:val="22"/>
                      <w:lang w:eastAsia="en-GB"/>
                    </w:rPr>
                    <w:t>Participants from ethnic minorities</w:t>
                  </w:r>
                </w:p>
              </w:tc>
              <w:tc>
                <w:tcPr>
                  <w:tcW w:w="1389" w:type="dxa"/>
                  <w:gridSpan w:val="2"/>
                  <w:tcBorders>
                    <w:top w:val="nil"/>
                    <w:left w:val="nil"/>
                    <w:bottom w:val="nil"/>
                    <w:right w:val="nil"/>
                  </w:tcBorders>
                  <w:shd w:val="clear" w:color="auto" w:fill="auto"/>
                  <w:noWrap/>
                  <w:vAlign w:val="bottom"/>
                  <w:hideMark/>
                </w:tcPr>
                <w:p w14:paraId="0D8875A1" w14:textId="77777777" w:rsidR="0019270F" w:rsidRPr="00E55A2F" w:rsidRDefault="003941BD" w:rsidP="0019270F">
                  <w:pPr>
                    <w:jc w:val="center"/>
                    <w:rPr>
                      <w:rFonts w:cs="Arial"/>
                      <w:color w:val="000000"/>
                      <w:sz w:val="22"/>
                      <w:szCs w:val="22"/>
                      <w:lang w:eastAsia="en-GB"/>
                    </w:rPr>
                  </w:pPr>
                  <w:r>
                    <w:rPr>
                      <w:rFonts w:cs="Arial"/>
                      <w:color w:val="000000"/>
                      <w:sz w:val="22"/>
                      <w:szCs w:val="22"/>
                      <w:lang w:eastAsia="en-GB"/>
                    </w:rPr>
                    <w:t>56</w:t>
                  </w:r>
                  <w:r w:rsidR="0019270F" w:rsidRPr="00E55A2F">
                    <w:rPr>
                      <w:rFonts w:cs="Arial"/>
                      <w:color w:val="000000"/>
                      <w:sz w:val="22"/>
                      <w:szCs w:val="22"/>
                      <w:lang w:eastAsia="en-GB"/>
                    </w:rPr>
                    <w:t>%</w:t>
                  </w:r>
                </w:p>
              </w:tc>
            </w:tr>
            <w:tr w:rsidR="0019270F" w:rsidRPr="00162B5B" w14:paraId="0D8875A5" w14:textId="77777777" w:rsidTr="00E55A2F">
              <w:trPr>
                <w:trHeight w:val="288"/>
              </w:trPr>
              <w:tc>
                <w:tcPr>
                  <w:tcW w:w="4423" w:type="dxa"/>
                  <w:tcBorders>
                    <w:top w:val="nil"/>
                    <w:left w:val="nil"/>
                    <w:bottom w:val="nil"/>
                    <w:right w:val="nil"/>
                  </w:tcBorders>
                  <w:shd w:val="clear" w:color="auto" w:fill="auto"/>
                  <w:vAlign w:val="bottom"/>
                  <w:hideMark/>
                </w:tcPr>
                <w:p w14:paraId="0D8875A3" w14:textId="77777777" w:rsidR="0019270F" w:rsidRPr="00E55A2F" w:rsidRDefault="0019270F" w:rsidP="0019270F">
                  <w:pPr>
                    <w:rPr>
                      <w:rFonts w:cs="Arial"/>
                      <w:color w:val="000000"/>
                      <w:sz w:val="22"/>
                      <w:szCs w:val="22"/>
                      <w:lang w:eastAsia="en-GB"/>
                    </w:rPr>
                  </w:pPr>
                  <w:r w:rsidRPr="00E55A2F">
                    <w:rPr>
                      <w:rFonts w:cs="Arial"/>
                      <w:color w:val="000000"/>
                      <w:sz w:val="22"/>
                      <w:szCs w:val="22"/>
                      <w:lang w:eastAsia="en-GB"/>
                    </w:rPr>
                    <w:t>Female participants</w:t>
                  </w:r>
                </w:p>
              </w:tc>
              <w:tc>
                <w:tcPr>
                  <w:tcW w:w="1389" w:type="dxa"/>
                  <w:gridSpan w:val="2"/>
                  <w:tcBorders>
                    <w:top w:val="nil"/>
                    <w:left w:val="nil"/>
                    <w:bottom w:val="nil"/>
                    <w:right w:val="nil"/>
                  </w:tcBorders>
                  <w:shd w:val="clear" w:color="auto" w:fill="auto"/>
                  <w:noWrap/>
                  <w:vAlign w:val="bottom"/>
                  <w:hideMark/>
                </w:tcPr>
                <w:p w14:paraId="0D8875A4" w14:textId="77777777" w:rsidR="0019270F" w:rsidRPr="00E55A2F" w:rsidRDefault="0019270F" w:rsidP="0019270F">
                  <w:pPr>
                    <w:jc w:val="center"/>
                    <w:rPr>
                      <w:rFonts w:cs="Arial"/>
                      <w:color w:val="000000"/>
                      <w:sz w:val="22"/>
                      <w:szCs w:val="22"/>
                      <w:lang w:eastAsia="en-GB"/>
                    </w:rPr>
                  </w:pPr>
                  <w:r w:rsidRPr="00E55A2F">
                    <w:rPr>
                      <w:rFonts w:cs="Arial"/>
                      <w:color w:val="000000"/>
                      <w:sz w:val="22"/>
                      <w:szCs w:val="22"/>
                      <w:lang w:eastAsia="en-GB"/>
                    </w:rPr>
                    <w:t>45%</w:t>
                  </w:r>
                </w:p>
              </w:tc>
            </w:tr>
            <w:tr w:rsidR="0019270F" w:rsidRPr="00162B5B" w14:paraId="0D8875A8" w14:textId="77777777" w:rsidTr="00E55A2F">
              <w:trPr>
                <w:trHeight w:val="288"/>
              </w:trPr>
              <w:tc>
                <w:tcPr>
                  <w:tcW w:w="4423" w:type="dxa"/>
                  <w:tcBorders>
                    <w:top w:val="nil"/>
                    <w:left w:val="nil"/>
                    <w:bottom w:val="nil"/>
                    <w:right w:val="nil"/>
                  </w:tcBorders>
                  <w:shd w:val="clear" w:color="auto" w:fill="auto"/>
                  <w:vAlign w:val="bottom"/>
                  <w:hideMark/>
                </w:tcPr>
                <w:p w14:paraId="0D8875A6" w14:textId="77777777" w:rsidR="0019270F" w:rsidRPr="00E55A2F" w:rsidRDefault="0019270F" w:rsidP="0019270F">
                  <w:pPr>
                    <w:rPr>
                      <w:rFonts w:cs="Arial"/>
                      <w:color w:val="000000"/>
                      <w:sz w:val="22"/>
                      <w:szCs w:val="22"/>
                      <w:lang w:eastAsia="en-GB"/>
                    </w:rPr>
                  </w:pPr>
                  <w:r w:rsidRPr="00E55A2F">
                    <w:rPr>
                      <w:rFonts w:cs="Arial"/>
                      <w:color w:val="000000"/>
                      <w:sz w:val="22"/>
                      <w:szCs w:val="22"/>
                      <w:lang w:eastAsia="en-GB"/>
                    </w:rPr>
                    <w:t>Participants without basic skills</w:t>
                  </w:r>
                </w:p>
              </w:tc>
              <w:tc>
                <w:tcPr>
                  <w:tcW w:w="1389" w:type="dxa"/>
                  <w:gridSpan w:val="2"/>
                  <w:tcBorders>
                    <w:top w:val="nil"/>
                    <w:left w:val="nil"/>
                    <w:bottom w:val="nil"/>
                    <w:right w:val="nil"/>
                  </w:tcBorders>
                  <w:shd w:val="clear" w:color="auto" w:fill="auto"/>
                  <w:noWrap/>
                  <w:vAlign w:val="bottom"/>
                  <w:hideMark/>
                </w:tcPr>
                <w:p w14:paraId="0D8875A7" w14:textId="77777777" w:rsidR="0019270F" w:rsidRPr="00E55A2F" w:rsidRDefault="0019270F" w:rsidP="0019270F">
                  <w:pPr>
                    <w:jc w:val="center"/>
                    <w:rPr>
                      <w:rFonts w:cs="Arial"/>
                      <w:color w:val="000000"/>
                      <w:sz w:val="22"/>
                      <w:szCs w:val="22"/>
                      <w:lang w:eastAsia="en-GB"/>
                    </w:rPr>
                  </w:pPr>
                  <w:r w:rsidRPr="00E55A2F">
                    <w:rPr>
                      <w:rFonts w:cs="Arial"/>
                      <w:color w:val="000000"/>
                      <w:sz w:val="22"/>
                      <w:szCs w:val="22"/>
                      <w:lang w:eastAsia="en-GB"/>
                    </w:rPr>
                    <w:t>21%</w:t>
                  </w:r>
                </w:p>
              </w:tc>
            </w:tr>
            <w:tr w:rsidR="0019270F" w:rsidRPr="00162B5B" w14:paraId="0D8875AB" w14:textId="77777777" w:rsidTr="00E55A2F">
              <w:trPr>
                <w:trHeight w:val="288"/>
              </w:trPr>
              <w:tc>
                <w:tcPr>
                  <w:tcW w:w="4423" w:type="dxa"/>
                  <w:tcBorders>
                    <w:top w:val="nil"/>
                    <w:left w:val="nil"/>
                    <w:bottom w:val="nil"/>
                    <w:right w:val="nil"/>
                  </w:tcBorders>
                  <w:shd w:val="clear" w:color="auto" w:fill="auto"/>
                  <w:vAlign w:val="bottom"/>
                  <w:hideMark/>
                </w:tcPr>
                <w:p w14:paraId="0D8875A9" w14:textId="77777777" w:rsidR="0019270F" w:rsidRPr="00E55A2F" w:rsidRDefault="0019270F" w:rsidP="0019270F">
                  <w:pPr>
                    <w:rPr>
                      <w:rFonts w:cs="Arial"/>
                      <w:color w:val="000000"/>
                      <w:sz w:val="22"/>
                      <w:szCs w:val="22"/>
                      <w:lang w:eastAsia="en-GB"/>
                    </w:rPr>
                  </w:pPr>
                  <w:r w:rsidRPr="00E55A2F">
                    <w:rPr>
                      <w:rFonts w:cs="Arial"/>
                      <w:color w:val="000000"/>
                      <w:sz w:val="22"/>
                      <w:szCs w:val="22"/>
                      <w:lang w:eastAsia="en-GB"/>
                    </w:rPr>
                    <w:t>Participants with a disability or health problems</w:t>
                  </w:r>
                </w:p>
              </w:tc>
              <w:tc>
                <w:tcPr>
                  <w:tcW w:w="1389" w:type="dxa"/>
                  <w:gridSpan w:val="2"/>
                  <w:tcBorders>
                    <w:top w:val="nil"/>
                    <w:left w:val="nil"/>
                    <w:bottom w:val="nil"/>
                    <w:right w:val="nil"/>
                  </w:tcBorders>
                  <w:shd w:val="clear" w:color="auto" w:fill="auto"/>
                  <w:noWrap/>
                  <w:vAlign w:val="bottom"/>
                  <w:hideMark/>
                </w:tcPr>
                <w:p w14:paraId="0D8875AA" w14:textId="77777777" w:rsidR="0019270F" w:rsidRPr="00E55A2F" w:rsidRDefault="0019270F" w:rsidP="0019270F">
                  <w:pPr>
                    <w:jc w:val="center"/>
                    <w:rPr>
                      <w:rFonts w:cs="Arial"/>
                      <w:color w:val="000000"/>
                      <w:sz w:val="22"/>
                      <w:szCs w:val="22"/>
                      <w:lang w:eastAsia="en-GB"/>
                    </w:rPr>
                  </w:pPr>
                  <w:r w:rsidRPr="00E55A2F">
                    <w:rPr>
                      <w:rFonts w:cs="Arial"/>
                      <w:color w:val="000000"/>
                      <w:sz w:val="22"/>
                      <w:szCs w:val="22"/>
                      <w:lang w:eastAsia="en-GB"/>
                    </w:rPr>
                    <w:t>25%</w:t>
                  </w:r>
                </w:p>
              </w:tc>
            </w:tr>
            <w:tr w:rsidR="0019270F" w:rsidRPr="00162B5B" w14:paraId="0D8875AE" w14:textId="77777777" w:rsidTr="00E55A2F">
              <w:trPr>
                <w:gridAfter w:val="1"/>
                <w:wAfter w:w="113" w:type="dxa"/>
                <w:trHeight w:val="288"/>
              </w:trPr>
              <w:tc>
                <w:tcPr>
                  <w:tcW w:w="4423" w:type="dxa"/>
                  <w:tcBorders>
                    <w:top w:val="nil"/>
                    <w:left w:val="nil"/>
                    <w:bottom w:val="nil"/>
                    <w:right w:val="nil"/>
                  </w:tcBorders>
                  <w:shd w:val="clear" w:color="auto" w:fill="auto"/>
                  <w:vAlign w:val="bottom"/>
                  <w:hideMark/>
                </w:tcPr>
                <w:p w14:paraId="0D8875AC" w14:textId="77777777" w:rsidR="0019270F" w:rsidRPr="00E55A2F" w:rsidRDefault="0019270F" w:rsidP="0019270F">
                  <w:pPr>
                    <w:rPr>
                      <w:rFonts w:cs="Arial"/>
                      <w:color w:val="000000"/>
                      <w:sz w:val="22"/>
                      <w:szCs w:val="22"/>
                      <w:lang w:eastAsia="en-GB"/>
                    </w:rPr>
                  </w:pPr>
                  <w:r w:rsidRPr="00E55A2F">
                    <w:rPr>
                      <w:rFonts w:cs="Arial"/>
                      <w:color w:val="000000"/>
                      <w:sz w:val="22"/>
                      <w:szCs w:val="22"/>
                      <w:lang w:eastAsia="en-GB"/>
                    </w:rPr>
                    <w:t>Participants who are lone parents</w:t>
                  </w:r>
                </w:p>
              </w:tc>
              <w:tc>
                <w:tcPr>
                  <w:tcW w:w="1276" w:type="dxa"/>
                  <w:tcBorders>
                    <w:top w:val="nil"/>
                    <w:left w:val="nil"/>
                    <w:bottom w:val="nil"/>
                    <w:right w:val="nil"/>
                  </w:tcBorders>
                  <w:shd w:val="clear" w:color="auto" w:fill="auto"/>
                  <w:noWrap/>
                  <w:vAlign w:val="bottom"/>
                  <w:hideMark/>
                </w:tcPr>
                <w:p w14:paraId="0D8875AD" w14:textId="77777777" w:rsidR="0019270F" w:rsidRPr="00E55A2F" w:rsidRDefault="0019270F" w:rsidP="0019270F">
                  <w:pPr>
                    <w:jc w:val="center"/>
                    <w:rPr>
                      <w:rFonts w:cs="Arial"/>
                      <w:color w:val="000000"/>
                      <w:sz w:val="22"/>
                      <w:szCs w:val="22"/>
                      <w:lang w:eastAsia="en-GB"/>
                    </w:rPr>
                  </w:pPr>
                  <w:r w:rsidRPr="00E55A2F">
                    <w:rPr>
                      <w:rFonts w:cs="Arial"/>
                      <w:color w:val="000000"/>
                      <w:sz w:val="22"/>
                      <w:szCs w:val="22"/>
                      <w:lang w:eastAsia="en-GB"/>
                    </w:rPr>
                    <w:t>13%</w:t>
                  </w:r>
                </w:p>
              </w:tc>
            </w:tr>
          </w:tbl>
          <w:p w14:paraId="0D8875AF" w14:textId="77777777" w:rsidR="0019270F" w:rsidRDefault="0019270F" w:rsidP="00A005EF">
            <w:pPr>
              <w:rPr>
                <w:rFonts w:cs="Arial"/>
              </w:rPr>
            </w:pPr>
          </w:p>
          <w:p w14:paraId="0D8875B0" w14:textId="77777777" w:rsidR="00FD3B0A" w:rsidRPr="00344FA1" w:rsidRDefault="00FD3B0A" w:rsidP="00225C7E">
            <w:pPr>
              <w:autoSpaceDE w:val="0"/>
              <w:autoSpaceDN w:val="0"/>
              <w:adjustRightInd w:val="0"/>
              <w:rPr>
                <w:rFonts w:cs="Arial"/>
                <w:color w:val="000000"/>
              </w:rPr>
            </w:pPr>
          </w:p>
        </w:tc>
      </w:tr>
      <w:tr w:rsidR="00967429" w:rsidRPr="00EF4406" w14:paraId="0D8875B3" w14:textId="77777777" w:rsidTr="00C02C70">
        <w:trPr>
          <w:trHeight w:val="567"/>
        </w:trPr>
        <w:tc>
          <w:tcPr>
            <w:tcW w:w="9088" w:type="dxa"/>
            <w:shd w:val="clear" w:color="auto" w:fill="D9D9D9" w:themeFill="background1" w:themeFillShade="D9"/>
            <w:vAlign w:val="center"/>
          </w:tcPr>
          <w:p w14:paraId="0D8875B2" w14:textId="77777777" w:rsidR="00967429" w:rsidRPr="00A005EF" w:rsidRDefault="00A005EF" w:rsidP="005E37D8">
            <w:pPr>
              <w:spacing w:before="120" w:after="120"/>
              <w:rPr>
                <w:b/>
                <w:bCs/>
              </w:rPr>
            </w:pPr>
            <w:r w:rsidRPr="00A005EF">
              <w:rPr>
                <w:b/>
              </w:rPr>
              <w:lastRenderedPageBreak/>
              <w:t>GEOGRAPHY / AREA OF DELIVERY</w:t>
            </w:r>
          </w:p>
        </w:tc>
      </w:tr>
      <w:tr w:rsidR="00967429" w:rsidRPr="0052695C" w14:paraId="0D8875EC" w14:textId="77777777" w:rsidTr="00E55A2F">
        <w:trPr>
          <w:trHeight w:val="983"/>
        </w:trPr>
        <w:tc>
          <w:tcPr>
            <w:tcW w:w="9088" w:type="dxa"/>
          </w:tcPr>
          <w:p w14:paraId="0D8875B4" w14:textId="77777777" w:rsidR="002C55C4" w:rsidRDefault="002C55C4" w:rsidP="00A005EF"/>
          <w:p w14:paraId="0D8875B5" w14:textId="77777777" w:rsidR="002C55C4" w:rsidRDefault="002C55C4" w:rsidP="00A005EF">
            <w:r w:rsidRPr="00E55A2F">
              <w:rPr>
                <w:b/>
              </w:rPr>
              <w:t>Service Specific Geography/Area of Delivery</w:t>
            </w:r>
          </w:p>
          <w:p w14:paraId="0D8875B6" w14:textId="77777777" w:rsidR="007E7731" w:rsidRPr="00C107CE" w:rsidRDefault="007E7731" w:rsidP="00A005EF">
            <w:pPr>
              <w:rPr>
                <w:b/>
              </w:rPr>
            </w:pPr>
          </w:p>
          <w:p w14:paraId="0D8875B7" w14:textId="77777777" w:rsidR="00313712" w:rsidRDefault="002C55C4" w:rsidP="00313712">
            <w:r w:rsidRPr="002C55C4">
              <w:t>The Services will be delivered within the London Enterprise Panel area.  London has been divided into four Functional Economic Areas (FEAs) covering Central, North East, South and West London, and one contract will be delivered in each FEA.</w:t>
            </w:r>
          </w:p>
          <w:p w14:paraId="0D8875B8" w14:textId="77777777" w:rsidR="002C55C4" w:rsidRPr="00E925B9" w:rsidRDefault="002C55C4" w:rsidP="00313712"/>
          <w:p w14:paraId="0D8875B9" w14:textId="77777777" w:rsidR="00313712" w:rsidRPr="00E925B9" w:rsidRDefault="00313712" w:rsidP="00313712">
            <w:r w:rsidRPr="00E925B9">
              <w:t>The SFA is looking to procure one candidate for each FEA.</w:t>
            </w:r>
          </w:p>
          <w:p w14:paraId="0D8875BA" w14:textId="77777777" w:rsidR="00313712" w:rsidRPr="00E925B9" w:rsidRDefault="00313712" w:rsidP="00313712"/>
          <w:p w14:paraId="0D8875BB" w14:textId="77777777" w:rsidR="00313712" w:rsidRPr="00E925B9" w:rsidRDefault="00313712" w:rsidP="00313712">
            <w:r w:rsidRPr="00E925B9">
              <w:t xml:space="preserve">A candidate can cover more than one FEA. Please note that a separate application must be made for each FEA. </w:t>
            </w:r>
          </w:p>
          <w:p w14:paraId="0D8875BC" w14:textId="77777777" w:rsidR="00313712" w:rsidRDefault="00313712" w:rsidP="00313712"/>
          <w:p w14:paraId="0D8875BD" w14:textId="77777777" w:rsidR="00313712" w:rsidRPr="00D433F7" w:rsidRDefault="00313712" w:rsidP="00313712">
            <w:r w:rsidRPr="00D433F7">
              <w:t xml:space="preserve">Candidates must cover </w:t>
            </w:r>
            <w:r w:rsidRPr="00D433F7">
              <w:rPr>
                <w:bCs/>
              </w:rPr>
              <w:t xml:space="preserve">all </w:t>
            </w:r>
            <w:r w:rsidRPr="00D433F7">
              <w:t>boroughs within an FEA.</w:t>
            </w:r>
          </w:p>
          <w:p w14:paraId="0D8875BE" w14:textId="77777777" w:rsidR="00313712" w:rsidRPr="009C4CF8" w:rsidRDefault="00313712" w:rsidP="00313712">
            <w:pPr>
              <w:autoSpaceDE w:val="0"/>
              <w:autoSpaceDN w:val="0"/>
              <w:adjustRightInd w:val="0"/>
              <w:rPr>
                <w:rFonts w:cs="Arial"/>
              </w:rPr>
            </w:pPr>
          </w:p>
          <w:p w14:paraId="0D8875BF" w14:textId="77777777" w:rsidR="00313712" w:rsidRPr="009C4CF8" w:rsidRDefault="00313712" w:rsidP="00313712">
            <w:pPr>
              <w:autoSpaceDE w:val="0"/>
              <w:autoSpaceDN w:val="0"/>
              <w:adjustRightInd w:val="0"/>
              <w:rPr>
                <w:rFonts w:cs="Arial"/>
                <w:u w:val="single"/>
              </w:rPr>
            </w:pPr>
            <w:r w:rsidRPr="009C4CF8">
              <w:rPr>
                <w:rFonts w:cs="Arial"/>
                <w:b/>
                <w:u w:val="single"/>
              </w:rPr>
              <w:t xml:space="preserve">Central London </w:t>
            </w:r>
          </w:p>
          <w:p w14:paraId="0D8875C0" w14:textId="77777777" w:rsidR="00313712" w:rsidRPr="009C4CF8" w:rsidRDefault="00313712" w:rsidP="00313712">
            <w:pPr>
              <w:autoSpaceDE w:val="0"/>
              <w:autoSpaceDN w:val="0"/>
              <w:adjustRightInd w:val="0"/>
              <w:rPr>
                <w:rFonts w:cs="Arial"/>
                <w:b/>
              </w:rPr>
            </w:pPr>
          </w:p>
          <w:p w14:paraId="0D8875C1" w14:textId="77777777" w:rsidR="00313712" w:rsidRPr="009C4CF8" w:rsidRDefault="00313712" w:rsidP="00313712">
            <w:pPr>
              <w:autoSpaceDE w:val="0"/>
              <w:autoSpaceDN w:val="0"/>
              <w:adjustRightInd w:val="0"/>
              <w:rPr>
                <w:rFonts w:cs="Arial"/>
              </w:rPr>
            </w:pPr>
            <w:r w:rsidRPr="009C4CF8">
              <w:rPr>
                <w:rFonts w:cs="Arial"/>
              </w:rPr>
              <w:t>Camden</w:t>
            </w:r>
          </w:p>
          <w:p w14:paraId="0D8875C2" w14:textId="77777777" w:rsidR="00313712" w:rsidRPr="009C4CF8" w:rsidRDefault="00313712" w:rsidP="00313712">
            <w:pPr>
              <w:autoSpaceDE w:val="0"/>
              <w:autoSpaceDN w:val="0"/>
              <w:adjustRightInd w:val="0"/>
              <w:rPr>
                <w:rFonts w:cs="Arial"/>
              </w:rPr>
            </w:pPr>
            <w:r w:rsidRPr="009C4CF8">
              <w:rPr>
                <w:rFonts w:cs="Arial"/>
              </w:rPr>
              <w:t>City of London</w:t>
            </w:r>
          </w:p>
          <w:p w14:paraId="0D8875C3" w14:textId="77777777" w:rsidR="00313712" w:rsidRPr="009C4CF8" w:rsidRDefault="00313712" w:rsidP="00313712">
            <w:pPr>
              <w:autoSpaceDE w:val="0"/>
              <w:autoSpaceDN w:val="0"/>
              <w:adjustRightInd w:val="0"/>
              <w:rPr>
                <w:rFonts w:cs="Arial"/>
              </w:rPr>
            </w:pPr>
            <w:r w:rsidRPr="009C4CF8">
              <w:rPr>
                <w:rFonts w:cs="Arial"/>
              </w:rPr>
              <w:t>Islington</w:t>
            </w:r>
          </w:p>
          <w:p w14:paraId="0D8875C4" w14:textId="77777777" w:rsidR="00313712" w:rsidRPr="009C4CF8" w:rsidRDefault="00313712" w:rsidP="00313712">
            <w:pPr>
              <w:autoSpaceDE w:val="0"/>
              <w:autoSpaceDN w:val="0"/>
              <w:adjustRightInd w:val="0"/>
              <w:rPr>
                <w:rFonts w:cs="Arial"/>
              </w:rPr>
            </w:pPr>
            <w:r w:rsidRPr="009C4CF8">
              <w:rPr>
                <w:rFonts w:cs="Arial"/>
              </w:rPr>
              <w:t>Kensington and Chelsea</w:t>
            </w:r>
          </w:p>
          <w:p w14:paraId="0D8875C5" w14:textId="77777777" w:rsidR="00313712" w:rsidRPr="009C4CF8" w:rsidRDefault="00313712" w:rsidP="00313712">
            <w:pPr>
              <w:autoSpaceDE w:val="0"/>
              <w:autoSpaceDN w:val="0"/>
              <w:adjustRightInd w:val="0"/>
              <w:rPr>
                <w:rFonts w:cs="Arial"/>
              </w:rPr>
            </w:pPr>
            <w:r w:rsidRPr="009C4CF8">
              <w:rPr>
                <w:rFonts w:cs="Arial"/>
              </w:rPr>
              <w:t>Lambeth</w:t>
            </w:r>
          </w:p>
          <w:p w14:paraId="0D8875C6" w14:textId="77777777" w:rsidR="00313712" w:rsidRPr="009C4CF8" w:rsidRDefault="00313712" w:rsidP="00313712">
            <w:pPr>
              <w:autoSpaceDE w:val="0"/>
              <w:autoSpaceDN w:val="0"/>
              <w:adjustRightInd w:val="0"/>
              <w:rPr>
                <w:rFonts w:cs="Arial"/>
              </w:rPr>
            </w:pPr>
            <w:r w:rsidRPr="009C4CF8">
              <w:rPr>
                <w:rFonts w:cs="Arial"/>
              </w:rPr>
              <w:t>Lewisham</w:t>
            </w:r>
          </w:p>
          <w:p w14:paraId="0D8875C7" w14:textId="77777777" w:rsidR="00313712" w:rsidRPr="009C4CF8" w:rsidRDefault="00313712" w:rsidP="00313712">
            <w:pPr>
              <w:autoSpaceDE w:val="0"/>
              <w:autoSpaceDN w:val="0"/>
              <w:adjustRightInd w:val="0"/>
              <w:rPr>
                <w:rFonts w:cs="Arial"/>
              </w:rPr>
            </w:pPr>
            <w:r w:rsidRPr="009C4CF8">
              <w:rPr>
                <w:rFonts w:cs="Arial"/>
              </w:rPr>
              <w:t>Southwark</w:t>
            </w:r>
          </w:p>
          <w:p w14:paraId="0D8875C8" w14:textId="77777777" w:rsidR="00313712" w:rsidRPr="009C4CF8" w:rsidRDefault="00313712" w:rsidP="00313712">
            <w:pPr>
              <w:autoSpaceDE w:val="0"/>
              <w:autoSpaceDN w:val="0"/>
              <w:adjustRightInd w:val="0"/>
              <w:rPr>
                <w:rFonts w:cs="Arial"/>
              </w:rPr>
            </w:pPr>
            <w:r w:rsidRPr="009C4CF8">
              <w:rPr>
                <w:rFonts w:cs="Arial"/>
              </w:rPr>
              <w:t>Wandsworth</w:t>
            </w:r>
          </w:p>
          <w:p w14:paraId="0D8875C9" w14:textId="77777777" w:rsidR="00313712" w:rsidRPr="009C4CF8" w:rsidRDefault="00313712" w:rsidP="00313712">
            <w:pPr>
              <w:autoSpaceDE w:val="0"/>
              <w:autoSpaceDN w:val="0"/>
              <w:adjustRightInd w:val="0"/>
              <w:rPr>
                <w:rFonts w:cs="Arial"/>
              </w:rPr>
            </w:pPr>
            <w:r w:rsidRPr="009C4CF8">
              <w:rPr>
                <w:rFonts w:cs="Arial"/>
              </w:rPr>
              <w:t xml:space="preserve">Westminster </w:t>
            </w:r>
          </w:p>
          <w:p w14:paraId="0D8875CA" w14:textId="77777777" w:rsidR="00313712" w:rsidRPr="009C4CF8" w:rsidRDefault="00313712" w:rsidP="00313712">
            <w:pPr>
              <w:autoSpaceDE w:val="0"/>
              <w:autoSpaceDN w:val="0"/>
              <w:adjustRightInd w:val="0"/>
              <w:rPr>
                <w:rFonts w:cs="Arial"/>
              </w:rPr>
            </w:pPr>
          </w:p>
          <w:p w14:paraId="0D8875CB" w14:textId="77777777" w:rsidR="00313712" w:rsidRPr="009C4CF8" w:rsidRDefault="00313712" w:rsidP="00313712">
            <w:pPr>
              <w:autoSpaceDE w:val="0"/>
              <w:autoSpaceDN w:val="0"/>
              <w:adjustRightInd w:val="0"/>
              <w:rPr>
                <w:rFonts w:cs="Arial"/>
                <w:b/>
                <w:u w:val="single"/>
              </w:rPr>
            </w:pPr>
            <w:r w:rsidRPr="009C4CF8">
              <w:rPr>
                <w:rFonts w:cs="Arial"/>
                <w:b/>
                <w:u w:val="single"/>
              </w:rPr>
              <w:t>North &amp; East London</w:t>
            </w:r>
          </w:p>
          <w:p w14:paraId="0D8875CC" w14:textId="77777777" w:rsidR="00313712" w:rsidRPr="009C4CF8" w:rsidRDefault="00313712" w:rsidP="00313712">
            <w:pPr>
              <w:autoSpaceDE w:val="0"/>
              <w:autoSpaceDN w:val="0"/>
              <w:adjustRightInd w:val="0"/>
              <w:rPr>
                <w:rFonts w:cs="Arial"/>
              </w:rPr>
            </w:pPr>
          </w:p>
          <w:p w14:paraId="0D8875CD" w14:textId="77777777" w:rsidR="00313712" w:rsidRPr="009C4CF8" w:rsidRDefault="00313712" w:rsidP="00313712">
            <w:pPr>
              <w:autoSpaceDE w:val="0"/>
              <w:autoSpaceDN w:val="0"/>
              <w:adjustRightInd w:val="0"/>
              <w:rPr>
                <w:rFonts w:cs="Arial"/>
              </w:rPr>
            </w:pPr>
            <w:r w:rsidRPr="009C4CF8">
              <w:rPr>
                <w:rFonts w:cs="Arial"/>
              </w:rPr>
              <w:t>Barking and Dagenham</w:t>
            </w:r>
          </w:p>
          <w:p w14:paraId="0D8875CE" w14:textId="77777777" w:rsidR="00313712" w:rsidRPr="009C4CF8" w:rsidRDefault="00313712" w:rsidP="00313712">
            <w:pPr>
              <w:autoSpaceDE w:val="0"/>
              <w:autoSpaceDN w:val="0"/>
              <w:adjustRightInd w:val="0"/>
              <w:rPr>
                <w:rFonts w:cs="Arial"/>
              </w:rPr>
            </w:pPr>
            <w:r w:rsidRPr="009C4CF8">
              <w:rPr>
                <w:rFonts w:cs="Arial"/>
              </w:rPr>
              <w:t>Enfield,</w:t>
            </w:r>
          </w:p>
          <w:p w14:paraId="0D8875CF" w14:textId="77777777" w:rsidR="00313712" w:rsidRPr="009C4CF8" w:rsidRDefault="00313712" w:rsidP="00313712">
            <w:pPr>
              <w:autoSpaceDE w:val="0"/>
              <w:autoSpaceDN w:val="0"/>
              <w:adjustRightInd w:val="0"/>
              <w:rPr>
                <w:rFonts w:cs="Arial"/>
              </w:rPr>
            </w:pPr>
            <w:r w:rsidRPr="009C4CF8">
              <w:rPr>
                <w:rFonts w:cs="Arial"/>
              </w:rPr>
              <w:t>Greenwich,</w:t>
            </w:r>
          </w:p>
          <w:p w14:paraId="0D8875D0" w14:textId="77777777" w:rsidR="00313712" w:rsidRPr="009C4CF8" w:rsidRDefault="00313712" w:rsidP="00313712">
            <w:pPr>
              <w:autoSpaceDE w:val="0"/>
              <w:autoSpaceDN w:val="0"/>
              <w:adjustRightInd w:val="0"/>
              <w:rPr>
                <w:rFonts w:cs="Arial"/>
              </w:rPr>
            </w:pPr>
            <w:r w:rsidRPr="009C4CF8">
              <w:rPr>
                <w:rFonts w:cs="Arial"/>
              </w:rPr>
              <w:t>Hackney</w:t>
            </w:r>
          </w:p>
          <w:p w14:paraId="0D8875D1" w14:textId="77777777" w:rsidR="00313712" w:rsidRPr="009C4CF8" w:rsidRDefault="00313712" w:rsidP="00313712">
            <w:pPr>
              <w:autoSpaceDE w:val="0"/>
              <w:autoSpaceDN w:val="0"/>
              <w:adjustRightInd w:val="0"/>
              <w:rPr>
                <w:rFonts w:cs="Arial"/>
              </w:rPr>
            </w:pPr>
            <w:r w:rsidRPr="009C4CF8">
              <w:rPr>
                <w:rFonts w:cs="Arial"/>
              </w:rPr>
              <w:t>Haringey,</w:t>
            </w:r>
          </w:p>
          <w:p w14:paraId="0D8875D2" w14:textId="77777777" w:rsidR="00313712" w:rsidRPr="009C4CF8" w:rsidRDefault="00313712" w:rsidP="00313712">
            <w:pPr>
              <w:autoSpaceDE w:val="0"/>
              <w:autoSpaceDN w:val="0"/>
              <w:adjustRightInd w:val="0"/>
              <w:rPr>
                <w:rFonts w:cs="Arial"/>
              </w:rPr>
            </w:pPr>
            <w:r w:rsidRPr="009C4CF8">
              <w:rPr>
                <w:rFonts w:cs="Arial"/>
              </w:rPr>
              <w:t>Havering,</w:t>
            </w:r>
          </w:p>
          <w:p w14:paraId="0D8875D3" w14:textId="77777777" w:rsidR="00313712" w:rsidRPr="009C4CF8" w:rsidRDefault="00313712" w:rsidP="00313712">
            <w:pPr>
              <w:autoSpaceDE w:val="0"/>
              <w:autoSpaceDN w:val="0"/>
              <w:adjustRightInd w:val="0"/>
              <w:rPr>
                <w:rFonts w:cs="Arial"/>
              </w:rPr>
            </w:pPr>
            <w:r w:rsidRPr="009C4CF8">
              <w:rPr>
                <w:rFonts w:cs="Arial"/>
              </w:rPr>
              <w:t xml:space="preserve">Newham </w:t>
            </w:r>
          </w:p>
          <w:p w14:paraId="0D8875D4" w14:textId="77777777" w:rsidR="00313712" w:rsidRPr="009C4CF8" w:rsidRDefault="00313712" w:rsidP="00313712">
            <w:pPr>
              <w:autoSpaceDE w:val="0"/>
              <w:autoSpaceDN w:val="0"/>
              <w:adjustRightInd w:val="0"/>
              <w:rPr>
                <w:rFonts w:cs="Arial"/>
              </w:rPr>
            </w:pPr>
            <w:r w:rsidRPr="009C4CF8">
              <w:rPr>
                <w:rFonts w:cs="Arial"/>
              </w:rPr>
              <w:t>Redbridge,</w:t>
            </w:r>
          </w:p>
          <w:p w14:paraId="0D8875D5" w14:textId="77777777" w:rsidR="00313712" w:rsidRPr="009C4CF8" w:rsidRDefault="00313712" w:rsidP="00313712">
            <w:pPr>
              <w:autoSpaceDE w:val="0"/>
              <w:autoSpaceDN w:val="0"/>
              <w:adjustRightInd w:val="0"/>
              <w:rPr>
                <w:rFonts w:cs="Arial"/>
              </w:rPr>
            </w:pPr>
            <w:r w:rsidRPr="009C4CF8">
              <w:rPr>
                <w:rFonts w:cs="Arial"/>
              </w:rPr>
              <w:t xml:space="preserve">Tower Hamlets, </w:t>
            </w:r>
          </w:p>
          <w:p w14:paraId="0D8875D6" w14:textId="77777777" w:rsidR="00313712" w:rsidRPr="009C4CF8" w:rsidRDefault="00313712" w:rsidP="00313712">
            <w:pPr>
              <w:autoSpaceDE w:val="0"/>
              <w:autoSpaceDN w:val="0"/>
              <w:adjustRightInd w:val="0"/>
              <w:rPr>
                <w:rFonts w:cs="Arial"/>
              </w:rPr>
            </w:pPr>
            <w:r w:rsidRPr="009C4CF8">
              <w:rPr>
                <w:rFonts w:cs="Arial"/>
              </w:rPr>
              <w:t>Waltham Forest</w:t>
            </w:r>
          </w:p>
          <w:p w14:paraId="0D8875D7" w14:textId="77777777" w:rsidR="00313712" w:rsidRPr="009C4CF8" w:rsidRDefault="00313712" w:rsidP="00313712">
            <w:pPr>
              <w:autoSpaceDE w:val="0"/>
              <w:autoSpaceDN w:val="0"/>
              <w:adjustRightInd w:val="0"/>
              <w:rPr>
                <w:rFonts w:cs="Arial"/>
              </w:rPr>
            </w:pPr>
          </w:p>
          <w:p w14:paraId="0D8875D8" w14:textId="77777777" w:rsidR="00313712" w:rsidRPr="009C4CF8" w:rsidRDefault="00313712" w:rsidP="00313712">
            <w:pPr>
              <w:autoSpaceDE w:val="0"/>
              <w:autoSpaceDN w:val="0"/>
              <w:adjustRightInd w:val="0"/>
              <w:rPr>
                <w:rFonts w:cs="Arial"/>
                <w:b/>
                <w:u w:val="single"/>
              </w:rPr>
            </w:pPr>
            <w:r w:rsidRPr="009C4CF8">
              <w:rPr>
                <w:rFonts w:cs="Arial"/>
                <w:b/>
                <w:u w:val="single"/>
              </w:rPr>
              <w:t>South London</w:t>
            </w:r>
          </w:p>
          <w:p w14:paraId="0D8875D9" w14:textId="77777777" w:rsidR="00313712" w:rsidRPr="000015DB" w:rsidRDefault="00313712" w:rsidP="00313712">
            <w:pPr>
              <w:autoSpaceDE w:val="0"/>
              <w:autoSpaceDN w:val="0"/>
              <w:adjustRightInd w:val="0"/>
              <w:rPr>
                <w:rFonts w:cs="Arial"/>
                <w:b/>
                <w:color w:val="FF0000"/>
                <w:u w:val="single"/>
              </w:rPr>
            </w:pPr>
          </w:p>
          <w:p w14:paraId="0D8875DA" w14:textId="77777777" w:rsidR="00313712" w:rsidRPr="009C4CF8" w:rsidRDefault="00313712" w:rsidP="00313712">
            <w:pPr>
              <w:autoSpaceDE w:val="0"/>
              <w:autoSpaceDN w:val="0"/>
              <w:adjustRightInd w:val="0"/>
              <w:rPr>
                <w:rFonts w:cs="Arial"/>
              </w:rPr>
            </w:pPr>
            <w:r w:rsidRPr="009C4CF8">
              <w:rPr>
                <w:rFonts w:cs="Arial"/>
              </w:rPr>
              <w:t>Bexley</w:t>
            </w:r>
          </w:p>
          <w:p w14:paraId="0D8875DB" w14:textId="77777777" w:rsidR="00313712" w:rsidRPr="009C4CF8" w:rsidRDefault="00313712" w:rsidP="00313712">
            <w:pPr>
              <w:autoSpaceDE w:val="0"/>
              <w:autoSpaceDN w:val="0"/>
              <w:adjustRightInd w:val="0"/>
              <w:rPr>
                <w:rFonts w:cs="Arial"/>
              </w:rPr>
            </w:pPr>
            <w:r w:rsidRPr="009C4CF8">
              <w:rPr>
                <w:rFonts w:cs="Arial"/>
              </w:rPr>
              <w:t>Bromley</w:t>
            </w:r>
          </w:p>
          <w:p w14:paraId="0D8875DC" w14:textId="77777777" w:rsidR="00313712" w:rsidRPr="009C4CF8" w:rsidRDefault="00313712" w:rsidP="00313712">
            <w:pPr>
              <w:autoSpaceDE w:val="0"/>
              <w:autoSpaceDN w:val="0"/>
              <w:adjustRightInd w:val="0"/>
              <w:rPr>
                <w:rFonts w:cs="Arial"/>
              </w:rPr>
            </w:pPr>
            <w:r w:rsidRPr="009C4CF8">
              <w:rPr>
                <w:rFonts w:cs="Arial"/>
              </w:rPr>
              <w:t>Croydon</w:t>
            </w:r>
          </w:p>
          <w:p w14:paraId="0D8875DD" w14:textId="77777777" w:rsidR="00313712" w:rsidRPr="009C4CF8" w:rsidRDefault="00313712" w:rsidP="00313712">
            <w:pPr>
              <w:autoSpaceDE w:val="0"/>
              <w:autoSpaceDN w:val="0"/>
              <w:adjustRightInd w:val="0"/>
              <w:rPr>
                <w:rFonts w:cs="Arial"/>
              </w:rPr>
            </w:pPr>
            <w:r w:rsidRPr="009C4CF8">
              <w:rPr>
                <w:rFonts w:cs="Arial"/>
              </w:rPr>
              <w:t>Kingston</w:t>
            </w:r>
          </w:p>
          <w:p w14:paraId="0D8875DE" w14:textId="77777777" w:rsidR="00313712" w:rsidRPr="009C4CF8" w:rsidRDefault="00313712" w:rsidP="00313712">
            <w:pPr>
              <w:autoSpaceDE w:val="0"/>
              <w:autoSpaceDN w:val="0"/>
              <w:adjustRightInd w:val="0"/>
              <w:rPr>
                <w:rFonts w:cs="Arial"/>
              </w:rPr>
            </w:pPr>
            <w:r w:rsidRPr="009C4CF8">
              <w:rPr>
                <w:rFonts w:cs="Arial"/>
              </w:rPr>
              <w:t>Merton</w:t>
            </w:r>
          </w:p>
          <w:p w14:paraId="0D8875DF" w14:textId="77777777" w:rsidR="00313712" w:rsidRPr="009C4CF8" w:rsidRDefault="00313712" w:rsidP="00313712">
            <w:pPr>
              <w:autoSpaceDE w:val="0"/>
              <w:autoSpaceDN w:val="0"/>
              <w:adjustRightInd w:val="0"/>
              <w:rPr>
                <w:rFonts w:cs="Arial"/>
              </w:rPr>
            </w:pPr>
            <w:r w:rsidRPr="009C4CF8">
              <w:rPr>
                <w:rFonts w:cs="Arial"/>
              </w:rPr>
              <w:t>Richmond</w:t>
            </w:r>
          </w:p>
          <w:p w14:paraId="0D8875E0" w14:textId="77777777" w:rsidR="00313712" w:rsidRPr="009C4CF8" w:rsidRDefault="00313712" w:rsidP="00313712">
            <w:pPr>
              <w:autoSpaceDE w:val="0"/>
              <w:autoSpaceDN w:val="0"/>
              <w:adjustRightInd w:val="0"/>
              <w:rPr>
                <w:rFonts w:cs="Arial"/>
              </w:rPr>
            </w:pPr>
            <w:r w:rsidRPr="009C4CF8">
              <w:rPr>
                <w:rFonts w:cs="Arial"/>
              </w:rPr>
              <w:t>Sutton</w:t>
            </w:r>
          </w:p>
          <w:p w14:paraId="0D8875E1" w14:textId="77777777" w:rsidR="00313712" w:rsidRPr="009C4CF8" w:rsidRDefault="00313712" w:rsidP="00313712">
            <w:pPr>
              <w:autoSpaceDE w:val="0"/>
              <w:autoSpaceDN w:val="0"/>
              <w:adjustRightInd w:val="0"/>
              <w:rPr>
                <w:rFonts w:cs="Arial"/>
              </w:rPr>
            </w:pPr>
          </w:p>
          <w:p w14:paraId="0D8875E2" w14:textId="77777777" w:rsidR="00313712" w:rsidRPr="009C4CF8" w:rsidRDefault="00313712" w:rsidP="00313712">
            <w:pPr>
              <w:autoSpaceDE w:val="0"/>
              <w:autoSpaceDN w:val="0"/>
              <w:adjustRightInd w:val="0"/>
              <w:rPr>
                <w:rFonts w:cs="Arial"/>
                <w:b/>
                <w:u w:val="single"/>
              </w:rPr>
            </w:pPr>
            <w:r w:rsidRPr="009C4CF8">
              <w:rPr>
                <w:rFonts w:cs="Arial"/>
                <w:b/>
                <w:u w:val="single"/>
              </w:rPr>
              <w:t>West London</w:t>
            </w:r>
          </w:p>
          <w:p w14:paraId="0D8875E3" w14:textId="77777777" w:rsidR="00313712" w:rsidRPr="009C4CF8" w:rsidRDefault="00313712" w:rsidP="00313712">
            <w:pPr>
              <w:autoSpaceDE w:val="0"/>
              <w:autoSpaceDN w:val="0"/>
              <w:adjustRightInd w:val="0"/>
              <w:rPr>
                <w:rFonts w:cs="Arial"/>
                <w:b/>
                <w:u w:val="single"/>
              </w:rPr>
            </w:pPr>
          </w:p>
          <w:p w14:paraId="0D8875E4" w14:textId="77777777" w:rsidR="00313712" w:rsidRPr="009C4CF8" w:rsidRDefault="00313712" w:rsidP="00313712">
            <w:pPr>
              <w:autoSpaceDE w:val="0"/>
              <w:autoSpaceDN w:val="0"/>
              <w:adjustRightInd w:val="0"/>
              <w:rPr>
                <w:rFonts w:cs="Arial"/>
              </w:rPr>
            </w:pPr>
            <w:r w:rsidRPr="009C4CF8">
              <w:rPr>
                <w:rFonts w:cs="Arial"/>
              </w:rPr>
              <w:t>Barnet</w:t>
            </w:r>
          </w:p>
          <w:p w14:paraId="0D8875E5" w14:textId="77777777" w:rsidR="00313712" w:rsidRPr="009C4CF8" w:rsidRDefault="00313712" w:rsidP="00313712">
            <w:pPr>
              <w:autoSpaceDE w:val="0"/>
              <w:autoSpaceDN w:val="0"/>
              <w:adjustRightInd w:val="0"/>
              <w:rPr>
                <w:rFonts w:cs="Arial"/>
              </w:rPr>
            </w:pPr>
            <w:r w:rsidRPr="009C4CF8">
              <w:rPr>
                <w:rFonts w:cs="Arial"/>
              </w:rPr>
              <w:t>Brent</w:t>
            </w:r>
          </w:p>
          <w:p w14:paraId="0D8875E6" w14:textId="77777777" w:rsidR="00313712" w:rsidRPr="009C4CF8" w:rsidRDefault="00313712" w:rsidP="00313712">
            <w:pPr>
              <w:autoSpaceDE w:val="0"/>
              <w:autoSpaceDN w:val="0"/>
              <w:adjustRightInd w:val="0"/>
              <w:rPr>
                <w:rFonts w:cs="Arial"/>
              </w:rPr>
            </w:pPr>
            <w:r w:rsidRPr="009C4CF8">
              <w:rPr>
                <w:rFonts w:cs="Arial"/>
              </w:rPr>
              <w:t>Ealing</w:t>
            </w:r>
          </w:p>
          <w:p w14:paraId="0D8875E7" w14:textId="77777777" w:rsidR="00313712" w:rsidRPr="009C4CF8" w:rsidRDefault="00313712" w:rsidP="00313712">
            <w:pPr>
              <w:autoSpaceDE w:val="0"/>
              <w:autoSpaceDN w:val="0"/>
              <w:adjustRightInd w:val="0"/>
              <w:rPr>
                <w:rFonts w:cs="Arial"/>
              </w:rPr>
            </w:pPr>
            <w:r w:rsidRPr="009C4CF8">
              <w:rPr>
                <w:rFonts w:cs="Arial"/>
              </w:rPr>
              <w:t>Hammersmith &amp; Fulham</w:t>
            </w:r>
          </w:p>
          <w:p w14:paraId="0D8875E8" w14:textId="77777777" w:rsidR="00313712" w:rsidRPr="009C4CF8" w:rsidRDefault="00313712" w:rsidP="00313712">
            <w:pPr>
              <w:autoSpaceDE w:val="0"/>
              <w:autoSpaceDN w:val="0"/>
              <w:adjustRightInd w:val="0"/>
              <w:rPr>
                <w:rFonts w:cs="Arial"/>
              </w:rPr>
            </w:pPr>
            <w:r w:rsidRPr="009C4CF8">
              <w:rPr>
                <w:rFonts w:cs="Arial"/>
              </w:rPr>
              <w:lastRenderedPageBreak/>
              <w:t>Harrow</w:t>
            </w:r>
          </w:p>
          <w:p w14:paraId="0D8875E9" w14:textId="77777777" w:rsidR="00313712" w:rsidRPr="009C4CF8" w:rsidRDefault="00313712" w:rsidP="00313712">
            <w:pPr>
              <w:autoSpaceDE w:val="0"/>
              <w:autoSpaceDN w:val="0"/>
              <w:adjustRightInd w:val="0"/>
              <w:rPr>
                <w:rFonts w:cs="Arial"/>
              </w:rPr>
            </w:pPr>
            <w:r w:rsidRPr="009C4CF8">
              <w:rPr>
                <w:rFonts w:cs="Arial"/>
              </w:rPr>
              <w:t>Hillingdon</w:t>
            </w:r>
          </w:p>
          <w:p w14:paraId="0D8875EA" w14:textId="77777777" w:rsidR="004825CA" w:rsidRDefault="00313712" w:rsidP="00A005EF">
            <w:pPr>
              <w:autoSpaceDE w:val="0"/>
              <w:autoSpaceDN w:val="0"/>
              <w:adjustRightInd w:val="0"/>
              <w:rPr>
                <w:rFonts w:cs="Arial"/>
              </w:rPr>
            </w:pPr>
            <w:r w:rsidRPr="009C4CF8">
              <w:rPr>
                <w:rFonts w:cs="Arial"/>
              </w:rPr>
              <w:t>Hounslow</w:t>
            </w:r>
          </w:p>
          <w:p w14:paraId="0D8875EB" w14:textId="77777777" w:rsidR="007C2B80" w:rsidRPr="00FF6CCA" w:rsidRDefault="007C2B80" w:rsidP="00105A7C">
            <w:pPr>
              <w:autoSpaceDE w:val="0"/>
              <w:autoSpaceDN w:val="0"/>
              <w:adjustRightInd w:val="0"/>
            </w:pPr>
          </w:p>
        </w:tc>
      </w:tr>
      <w:tr w:rsidR="00967429" w:rsidRPr="00505117" w14:paraId="0D8875EE" w14:textId="77777777" w:rsidTr="00C02C70">
        <w:trPr>
          <w:trHeight w:val="567"/>
        </w:trPr>
        <w:tc>
          <w:tcPr>
            <w:tcW w:w="9088" w:type="dxa"/>
            <w:shd w:val="clear" w:color="auto" w:fill="D9D9D9" w:themeFill="background1" w:themeFillShade="D9"/>
            <w:vAlign w:val="center"/>
          </w:tcPr>
          <w:p w14:paraId="0D8875ED" w14:textId="77777777" w:rsidR="00967429" w:rsidRPr="00A005EF" w:rsidRDefault="00A005EF" w:rsidP="00DA3E5E">
            <w:pPr>
              <w:spacing w:before="120" w:after="120"/>
              <w:rPr>
                <w:b/>
                <w:bCs/>
              </w:rPr>
            </w:pPr>
            <w:r w:rsidRPr="00A005EF">
              <w:rPr>
                <w:b/>
              </w:rPr>
              <w:lastRenderedPageBreak/>
              <w:t>FUNDING AND DELIVERABLES</w:t>
            </w:r>
          </w:p>
        </w:tc>
      </w:tr>
      <w:tr w:rsidR="00967429" w:rsidRPr="00EF4406" w14:paraId="0D8876C0" w14:textId="77777777" w:rsidTr="00E55A2F">
        <w:trPr>
          <w:trHeight w:val="1408"/>
        </w:trPr>
        <w:tc>
          <w:tcPr>
            <w:tcW w:w="9088" w:type="dxa"/>
          </w:tcPr>
          <w:p w14:paraId="0D8875EF" w14:textId="77777777" w:rsidR="007E7731" w:rsidRDefault="007E7731" w:rsidP="00A005EF">
            <w:pPr>
              <w:rPr>
                <w:rFonts w:cs="Arial"/>
              </w:rPr>
            </w:pPr>
          </w:p>
          <w:p w14:paraId="0D8875F0" w14:textId="77777777" w:rsidR="007E7731" w:rsidRPr="00C107CE" w:rsidRDefault="007E7731" w:rsidP="00A005EF">
            <w:pPr>
              <w:rPr>
                <w:rFonts w:cs="Arial"/>
                <w:b/>
              </w:rPr>
            </w:pPr>
            <w:r>
              <w:rPr>
                <w:rFonts w:cs="Arial"/>
                <w:b/>
              </w:rPr>
              <w:t>LEP Specific</w:t>
            </w:r>
          </w:p>
          <w:p w14:paraId="0D8875F1" w14:textId="77777777" w:rsidR="007E7731" w:rsidRDefault="007E7731" w:rsidP="00A005EF">
            <w:pPr>
              <w:rPr>
                <w:rFonts w:cs="Arial"/>
              </w:rPr>
            </w:pPr>
          </w:p>
          <w:p w14:paraId="0D8875F2" w14:textId="13CCA792" w:rsidR="00A005EF" w:rsidRPr="00BC7F87" w:rsidRDefault="00475879" w:rsidP="00A005EF">
            <w:pPr>
              <w:rPr>
                <w:rFonts w:cs="Arial"/>
              </w:rPr>
            </w:pPr>
            <w:r w:rsidRPr="00BC7F87">
              <w:rPr>
                <w:rFonts w:cs="Arial"/>
              </w:rPr>
              <w:t>Currently</w:t>
            </w:r>
            <w:r w:rsidR="00A005EF" w:rsidRPr="00BC7F87">
              <w:rPr>
                <w:rFonts w:cs="Arial"/>
              </w:rPr>
              <w:t xml:space="preserve"> </w:t>
            </w:r>
            <w:r w:rsidR="006073C6" w:rsidRPr="00E55A2F">
              <w:rPr>
                <w:rFonts w:cs="Arial"/>
              </w:rPr>
              <w:t>£4,</w:t>
            </w:r>
            <w:r w:rsidR="003B7866" w:rsidRPr="00E55A2F">
              <w:rPr>
                <w:rFonts w:cs="Arial"/>
              </w:rPr>
              <w:t>266,200</w:t>
            </w:r>
            <w:r w:rsidR="006073C6" w:rsidRPr="00E55A2F">
              <w:rPr>
                <w:rFonts w:cs="Arial"/>
              </w:rPr>
              <w:t xml:space="preserve"> </w:t>
            </w:r>
            <w:r w:rsidR="009552C2" w:rsidRPr="00BC7F87">
              <w:rPr>
                <w:rFonts w:cs="Arial"/>
              </w:rPr>
              <w:t>will be available</w:t>
            </w:r>
            <w:r w:rsidR="00C107CE" w:rsidRPr="00BC7F87">
              <w:rPr>
                <w:rFonts w:cs="Arial"/>
              </w:rPr>
              <w:t xml:space="preserve"> for the period from </w:t>
            </w:r>
            <w:r w:rsidR="00396D37">
              <w:rPr>
                <w:rFonts w:cs="Arial"/>
              </w:rPr>
              <w:t>September</w:t>
            </w:r>
            <w:r w:rsidR="006A28A1">
              <w:rPr>
                <w:rFonts w:cs="Arial"/>
              </w:rPr>
              <w:t xml:space="preserve"> 2016</w:t>
            </w:r>
            <w:r w:rsidR="00C107CE" w:rsidRPr="00BC7F87">
              <w:rPr>
                <w:rFonts w:cs="Arial"/>
              </w:rPr>
              <w:t xml:space="preserve"> to </w:t>
            </w:r>
            <w:r w:rsidR="006A28A1">
              <w:rPr>
                <w:rFonts w:cs="Arial"/>
              </w:rPr>
              <w:t>March 2018</w:t>
            </w:r>
            <w:r w:rsidR="005608E8">
              <w:rPr>
                <w:rFonts w:cs="Arial"/>
              </w:rPr>
              <w:t>.  T</w:t>
            </w:r>
            <w:r w:rsidR="00C107CE" w:rsidRPr="00BC7F87">
              <w:rPr>
                <w:rFonts w:cs="Arial"/>
              </w:rPr>
              <w:t xml:space="preserve">his </w:t>
            </w:r>
            <w:r w:rsidR="009552C2" w:rsidRPr="00BC7F87">
              <w:rPr>
                <w:rFonts w:cs="Arial"/>
              </w:rPr>
              <w:t xml:space="preserve">may be increased if </w:t>
            </w:r>
            <w:r w:rsidRPr="00BC7F87">
              <w:rPr>
                <w:rFonts w:cs="Arial"/>
              </w:rPr>
              <w:t>additional funding</w:t>
            </w:r>
            <w:r w:rsidR="009552C2" w:rsidRPr="00BC7F87">
              <w:rPr>
                <w:rFonts w:cs="Arial"/>
              </w:rPr>
              <w:t xml:space="preserve"> becomes available</w:t>
            </w:r>
            <w:r w:rsidR="00C107CE" w:rsidRPr="00BC7F87">
              <w:rPr>
                <w:rFonts w:cs="Arial"/>
              </w:rPr>
              <w:t>.</w:t>
            </w:r>
          </w:p>
          <w:p w14:paraId="0D8875F3" w14:textId="77777777" w:rsidR="00A005EF" w:rsidRDefault="00A005EF" w:rsidP="00A005EF">
            <w:pPr>
              <w:rPr>
                <w:b/>
              </w:rPr>
            </w:pPr>
          </w:p>
          <w:p w14:paraId="0D8875F4" w14:textId="77777777" w:rsidR="00394F36" w:rsidRDefault="00394F36" w:rsidP="00394F36">
            <w:pPr>
              <w:rPr>
                <w:rFonts w:cs="Arial"/>
              </w:rPr>
            </w:pPr>
            <w:r>
              <w:rPr>
                <w:rFonts w:cs="Arial"/>
              </w:rPr>
              <w:t xml:space="preserve">The table below shows the initial planned outcomes, but performance management may change the volumes and mix during the life of the contract.  From the funding available on the regulated and non-regulated lines, the provider must plan to deliver the appropriate education &amp; training for each participant to enable them to progress. </w:t>
            </w:r>
          </w:p>
          <w:p w14:paraId="0D8875F5" w14:textId="77777777" w:rsidR="00A87AAE" w:rsidRDefault="00A87AAE" w:rsidP="00A87AAE"/>
          <w:p w14:paraId="0D8875F6" w14:textId="6C4ED8A1" w:rsidR="00A87AAE" w:rsidRDefault="00A87AAE" w:rsidP="00A87AAE">
            <w:r>
              <w:t>Candidates</w:t>
            </w:r>
            <w:r w:rsidRPr="00C20F31">
              <w:t xml:space="preserve"> will need to allow sufficient time to achieve 6 month sustained outcomes for the majority of participants. Only those participants securing an ‘</w:t>
            </w:r>
            <w:r>
              <w:t>progression</w:t>
            </w:r>
            <w:r w:rsidRPr="00C20F31">
              <w:t xml:space="preserve"> into </w:t>
            </w:r>
            <w:r>
              <w:t>employment or apprenticeship</w:t>
            </w:r>
            <w:r w:rsidRPr="00C20F31">
              <w:t xml:space="preserve"> outcome 6 months before the final reporting date (i.e. by the end of September 2017) will have sufficient time for a ‘sustained’ outcome to be recorded before the end of the project period (March 2018). </w:t>
            </w:r>
            <w:r w:rsidR="0052277C">
              <w:t>Candidates</w:t>
            </w:r>
            <w:r w:rsidRPr="00C20F31">
              <w:t xml:space="preserve"> must demonstrate in their outputs and result profiles that they can achieve a sufficient number of ‘</w:t>
            </w:r>
            <w:r>
              <w:t>progression</w:t>
            </w:r>
            <w:r w:rsidRPr="00C20F31">
              <w:t xml:space="preserve">’ outcomes by September 2017 in order to achieve the required volume of </w:t>
            </w:r>
            <w:r w:rsidR="007222B1">
              <w:t xml:space="preserve">sustained </w:t>
            </w:r>
            <w:r w:rsidRPr="00C20F31">
              <w:t xml:space="preserve">outcomes by the end of March 2018. </w:t>
            </w:r>
          </w:p>
          <w:p w14:paraId="0D8875F7" w14:textId="77777777" w:rsidR="00394F36" w:rsidRDefault="00394F36" w:rsidP="00A005EF">
            <w:pPr>
              <w:rPr>
                <w:b/>
              </w:rPr>
            </w:pPr>
          </w:p>
          <w:p w14:paraId="0D8875F8" w14:textId="77777777" w:rsidR="00526F30" w:rsidRPr="005608E8" w:rsidRDefault="00526F30" w:rsidP="00526F30">
            <w:pPr>
              <w:pStyle w:val="PlainText"/>
              <w:rPr>
                <w:rFonts w:ascii="Arial" w:hAnsi="Arial" w:cs="Arial"/>
                <w:sz w:val="24"/>
              </w:rPr>
            </w:pPr>
            <w:r w:rsidRPr="005608E8">
              <w:rPr>
                <w:rFonts w:ascii="Arial" w:hAnsi="Arial" w:cs="Arial"/>
                <w:sz w:val="24"/>
              </w:rPr>
              <w:t>In the event that a geographical area cannot be covered through this procurement round, the Agency may negotiate to extend the delivery area to ensure all FEAs are serviced.</w:t>
            </w:r>
          </w:p>
          <w:p w14:paraId="0D8875F9" w14:textId="77777777" w:rsidR="00A87AAE" w:rsidRPr="00BC7F87" w:rsidRDefault="00A87AAE" w:rsidP="00A005EF">
            <w:pPr>
              <w:rPr>
                <w:b/>
              </w:rPr>
            </w:pPr>
          </w:p>
          <w:p w14:paraId="0D8875FA" w14:textId="77777777" w:rsidR="00A005EF" w:rsidRDefault="00A005EF" w:rsidP="00A005EF">
            <w:pPr>
              <w:autoSpaceDE w:val="0"/>
              <w:autoSpaceDN w:val="0"/>
              <w:adjustRightInd w:val="0"/>
              <w:rPr>
                <w:rFonts w:cs="Arial"/>
              </w:rPr>
            </w:pPr>
            <w:r w:rsidRPr="00BC7F87">
              <w:rPr>
                <w:rFonts w:cs="Arial"/>
              </w:rPr>
              <w:t>The minimum service deliverables</w:t>
            </w:r>
            <w:r w:rsidR="00FD3B0A" w:rsidRPr="00BC7F87">
              <w:rPr>
                <w:rFonts w:cs="Arial"/>
              </w:rPr>
              <w:t>,</w:t>
            </w:r>
            <w:r w:rsidRPr="00BC7F87">
              <w:rPr>
                <w:rFonts w:cs="Arial"/>
              </w:rPr>
              <w:t xml:space="preserve"> </w:t>
            </w:r>
            <w:r w:rsidR="007E7731" w:rsidRPr="00BC7F87">
              <w:rPr>
                <w:rFonts w:cs="Arial"/>
              </w:rPr>
              <w:t xml:space="preserve">values and volumes </w:t>
            </w:r>
            <w:r w:rsidRPr="00BC7F87">
              <w:rPr>
                <w:rFonts w:cs="Arial"/>
              </w:rPr>
              <w:t>for which evidence must be provided are:</w:t>
            </w:r>
          </w:p>
          <w:p w14:paraId="0D8875FB" w14:textId="77777777" w:rsidR="00C107CE" w:rsidRDefault="00C107CE" w:rsidP="00A005EF">
            <w:pPr>
              <w:autoSpaceDE w:val="0"/>
              <w:autoSpaceDN w:val="0"/>
              <w:adjustRightInd w:val="0"/>
              <w:rPr>
                <w:rFonts w:cs="Arial"/>
              </w:rPr>
            </w:pPr>
          </w:p>
          <w:p w14:paraId="0D8875FC" w14:textId="77777777" w:rsidR="00FF66E5" w:rsidRPr="005608E8" w:rsidRDefault="005608E8" w:rsidP="00FF66E5">
            <w:pPr>
              <w:autoSpaceDE w:val="0"/>
              <w:autoSpaceDN w:val="0"/>
              <w:adjustRightInd w:val="0"/>
              <w:rPr>
                <w:rFonts w:cs="Arial"/>
                <w:b/>
              </w:rPr>
            </w:pPr>
            <w:r w:rsidRPr="005608E8">
              <w:rPr>
                <w:rFonts w:cs="Arial"/>
                <w:b/>
              </w:rPr>
              <w:t xml:space="preserve">Lot 1:  </w:t>
            </w:r>
            <w:r w:rsidR="00FF66E5" w:rsidRPr="005608E8">
              <w:rPr>
                <w:rFonts w:cs="Arial"/>
                <w:b/>
              </w:rPr>
              <w:t xml:space="preserve">Central London - </w:t>
            </w:r>
            <w:r w:rsidR="00CF22BD" w:rsidRPr="005608E8">
              <w:rPr>
                <w:rFonts w:cs="Arial"/>
                <w:b/>
              </w:rPr>
              <w:t>£1,791,750</w:t>
            </w:r>
          </w:p>
          <w:p w14:paraId="0D8875FD" w14:textId="77777777" w:rsidR="00FF66E5" w:rsidRDefault="00FF66E5" w:rsidP="00A005EF">
            <w:pPr>
              <w:autoSpaceDE w:val="0"/>
              <w:autoSpaceDN w:val="0"/>
              <w:adjustRightInd w:val="0"/>
              <w:rPr>
                <w:rFonts w:cs="Arial"/>
              </w:rPr>
            </w:pPr>
          </w:p>
          <w:tbl>
            <w:tblPr>
              <w:tblW w:w="8780" w:type="dxa"/>
              <w:tblLayout w:type="fixed"/>
              <w:tblLook w:val="04A0" w:firstRow="1" w:lastRow="0" w:firstColumn="1" w:lastColumn="0" w:noHBand="0" w:noVBand="1"/>
            </w:tblPr>
            <w:tblGrid>
              <w:gridCol w:w="4560"/>
              <w:gridCol w:w="1418"/>
              <w:gridCol w:w="1417"/>
              <w:gridCol w:w="1385"/>
            </w:tblGrid>
            <w:tr w:rsidR="00CF22BD" w:rsidRPr="005608E8" w14:paraId="0D887602" w14:textId="77777777" w:rsidTr="00F67DB7">
              <w:trPr>
                <w:trHeight w:val="840"/>
              </w:trPr>
              <w:tc>
                <w:tcPr>
                  <w:tcW w:w="45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8875FE" w14:textId="77777777" w:rsidR="00CF22BD" w:rsidRPr="005608E8" w:rsidRDefault="00CF22BD" w:rsidP="00CF22BD">
                  <w:pPr>
                    <w:rPr>
                      <w:rFonts w:cs="Arial"/>
                      <w:b/>
                      <w:bCs/>
                      <w:color w:val="000000"/>
                      <w:sz w:val="20"/>
                      <w:szCs w:val="20"/>
                      <w:lang w:eastAsia="en-GB"/>
                    </w:rPr>
                  </w:pPr>
                  <w:r w:rsidRPr="005608E8">
                    <w:rPr>
                      <w:rFonts w:cs="Arial"/>
                      <w:b/>
                      <w:bCs/>
                      <w:color w:val="000000"/>
                      <w:sz w:val="20"/>
                      <w:szCs w:val="20"/>
                      <w:lang w:eastAsia="en-GB"/>
                    </w:rPr>
                    <w:t>Description</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8875FF" w14:textId="77777777" w:rsidR="00CF22BD" w:rsidRPr="005608E8" w:rsidRDefault="00CF22BD" w:rsidP="00CF22BD">
                  <w:pPr>
                    <w:jc w:val="center"/>
                    <w:rPr>
                      <w:rFonts w:cs="Arial"/>
                      <w:b/>
                      <w:bCs/>
                      <w:color w:val="000000"/>
                      <w:sz w:val="20"/>
                      <w:szCs w:val="20"/>
                      <w:lang w:eastAsia="en-GB"/>
                    </w:rPr>
                  </w:pPr>
                  <w:r w:rsidRPr="005608E8">
                    <w:rPr>
                      <w:rFonts w:cs="Arial"/>
                      <w:b/>
                      <w:bCs/>
                      <w:color w:val="000000"/>
                      <w:sz w:val="20"/>
                      <w:szCs w:val="20"/>
                      <w:lang w:eastAsia="en-GB"/>
                    </w:rPr>
                    <w:t>Volumes</w:t>
                  </w:r>
                </w:p>
              </w:tc>
              <w:tc>
                <w:tcPr>
                  <w:tcW w:w="141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887600" w14:textId="77777777" w:rsidR="00CF22BD" w:rsidRPr="005608E8" w:rsidRDefault="00CF22BD" w:rsidP="00CF22BD">
                  <w:pPr>
                    <w:jc w:val="center"/>
                    <w:rPr>
                      <w:rFonts w:cs="Arial"/>
                      <w:b/>
                      <w:bCs/>
                      <w:color w:val="000000"/>
                      <w:sz w:val="20"/>
                      <w:szCs w:val="20"/>
                      <w:lang w:eastAsia="en-GB"/>
                    </w:rPr>
                  </w:pPr>
                  <w:r w:rsidRPr="005608E8">
                    <w:rPr>
                      <w:rFonts w:cs="Arial"/>
                      <w:b/>
                      <w:bCs/>
                      <w:color w:val="000000"/>
                      <w:sz w:val="20"/>
                      <w:szCs w:val="20"/>
                      <w:lang w:eastAsia="en-GB"/>
                    </w:rPr>
                    <w:t>Unit Cost Total Value Average per Intervention</w:t>
                  </w:r>
                </w:p>
              </w:tc>
              <w:tc>
                <w:tcPr>
                  <w:tcW w:w="1385"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887601" w14:textId="77777777" w:rsidR="00CF22BD" w:rsidRPr="005608E8" w:rsidRDefault="00CF22BD" w:rsidP="00CF22BD">
                  <w:pPr>
                    <w:jc w:val="center"/>
                    <w:rPr>
                      <w:rFonts w:cs="Arial"/>
                      <w:b/>
                      <w:bCs/>
                      <w:color w:val="000000"/>
                      <w:sz w:val="20"/>
                      <w:szCs w:val="20"/>
                      <w:lang w:eastAsia="en-GB"/>
                    </w:rPr>
                  </w:pPr>
                  <w:r w:rsidRPr="005608E8">
                    <w:rPr>
                      <w:rFonts w:cs="Arial"/>
                      <w:b/>
                      <w:bCs/>
                      <w:color w:val="000000"/>
                      <w:sz w:val="20"/>
                      <w:szCs w:val="20"/>
                      <w:lang w:eastAsia="en-GB"/>
                    </w:rPr>
                    <w:t>£</w:t>
                  </w:r>
                </w:p>
              </w:tc>
            </w:tr>
            <w:tr w:rsidR="00CF22BD" w:rsidRPr="005608E8" w14:paraId="0D887607" w14:textId="77777777" w:rsidTr="00F67DB7">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D887603" w14:textId="77777777" w:rsidR="00CF22BD" w:rsidRPr="005608E8" w:rsidRDefault="00CF22BD" w:rsidP="00CF22BD">
                  <w:pPr>
                    <w:rPr>
                      <w:rFonts w:cs="Arial"/>
                      <w:color w:val="000000"/>
                      <w:sz w:val="20"/>
                      <w:szCs w:val="20"/>
                      <w:lang w:eastAsia="en-GB"/>
                    </w:rPr>
                  </w:pPr>
                  <w:r w:rsidRPr="005608E8">
                    <w:rPr>
                      <w:rFonts w:cs="Arial"/>
                      <w:color w:val="000000"/>
                      <w:sz w:val="20"/>
                      <w:szCs w:val="20"/>
                      <w:lang w:eastAsia="en-GB"/>
                    </w:rPr>
                    <w:t xml:space="preserve">ST01 Learner Assessment and Plan </w:t>
                  </w:r>
                </w:p>
              </w:tc>
              <w:tc>
                <w:tcPr>
                  <w:tcW w:w="1418"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D887604" w14:textId="77777777" w:rsidR="00CF22BD" w:rsidRPr="005608E8" w:rsidRDefault="00CF22BD" w:rsidP="00CF22BD">
                  <w:pPr>
                    <w:jc w:val="center"/>
                    <w:rPr>
                      <w:rFonts w:cs="Arial"/>
                      <w:color w:val="000000"/>
                      <w:sz w:val="20"/>
                      <w:szCs w:val="20"/>
                      <w:lang w:eastAsia="en-GB"/>
                    </w:rPr>
                  </w:pPr>
                  <w:r w:rsidRPr="005608E8">
                    <w:rPr>
                      <w:rFonts w:cs="Arial"/>
                      <w:color w:val="000000"/>
                      <w:sz w:val="20"/>
                      <w:szCs w:val="20"/>
                      <w:lang w:eastAsia="en-GB"/>
                    </w:rPr>
                    <w:t>1112</w:t>
                  </w:r>
                </w:p>
              </w:tc>
              <w:tc>
                <w:tcPr>
                  <w:tcW w:w="141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D887605" w14:textId="77777777" w:rsidR="00CF22BD" w:rsidRPr="005608E8" w:rsidRDefault="00CF22BD" w:rsidP="00CF22BD">
                  <w:pPr>
                    <w:jc w:val="center"/>
                    <w:rPr>
                      <w:rFonts w:cs="Arial"/>
                      <w:color w:val="000000"/>
                      <w:sz w:val="20"/>
                      <w:szCs w:val="20"/>
                      <w:lang w:eastAsia="en-GB"/>
                    </w:rPr>
                  </w:pPr>
                  <w:r w:rsidRPr="005608E8">
                    <w:rPr>
                      <w:rFonts w:cs="Arial"/>
                      <w:color w:val="000000"/>
                      <w:sz w:val="20"/>
                      <w:szCs w:val="20"/>
                      <w:lang w:eastAsia="en-GB"/>
                    </w:rPr>
                    <w:t>£300</w:t>
                  </w:r>
                </w:p>
              </w:tc>
              <w:tc>
                <w:tcPr>
                  <w:tcW w:w="1385"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D887606" w14:textId="77777777" w:rsidR="00CF22BD" w:rsidRPr="005608E8" w:rsidRDefault="00CF22BD" w:rsidP="00CF22BD">
                  <w:pPr>
                    <w:jc w:val="center"/>
                    <w:rPr>
                      <w:rFonts w:cs="Arial"/>
                      <w:color w:val="000000"/>
                      <w:sz w:val="20"/>
                      <w:szCs w:val="20"/>
                      <w:lang w:eastAsia="en-GB"/>
                    </w:rPr>
                  </w:pPr>
                  <w:r w:rsidRPr="005608E8">
                    <w:rPr>
                      <w:rFonts w:cs="Arial"/>
                      <w:color w:val="000000"/>
                      <w:sz w:val="20"/>
                      <w:szCs w:val="20"/>
                      <w:lang w:eastAsia="en-GB"/>
                    </w:rPr>
                    <w:t>£333,600</w:t>
                  </w:r>
                </w:p>
              </w:tc>
            </w:tr>
            <w:tr w:rsidR="00CF22BD" w:rsidRPr="005608E8" w14:paraId="0D88760C" w14:textId="77777777" w:rsidTr="00F67DB7">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D887608" w14:textId="77777777" w:rsidR="00CF22BD" w:rsidRPr="005608E8" w:rsidRDefault="00CF22BD" w:rsidP="00CF22BD">
                  <w:pPr>
                    <w:rPr>
                      <w:rFonts w:cs="Arial"/>
                      <w:color w:val="000000"/>
                      <w:sz w:val="20"/>
                      <w:szCs w:val="20"/>
                      <w:lang w:eastAsia="en-GB"/>
                    </w:rPr>
                  </w:pPr>
                  <w:r w:rsidRPr="005608E8">
                    <w:rPr>
                      <w:rFonts w:cs="Arial"/>
                      <w:color w:val="000000"/>
                      <w:sz w:val="20"/>
                      <w:szCs w:val="20"/>
                      <w:lang w:eastAsia="en-GB"/>
                    </w:rPr>
                    <w:t>RQ01 Regulated Learning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887609" w14:textId="77777777" w:rsidR="00CF22BD" w:rsidRPr="005608E8" w:rsidRDefault="00CF22BD" w:rsidP="00CF22BD">
                  <w:pPr>
                    <w:jc w:val="center"/>
                    <w:rPr>
                      <w:rFonts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8760A" w14:textId="77777777" w:rsidR="00CF22BD" w:rsidRPr="005608E8" w:rsidRDefault="00CF22BD" w:rsidP="00CF22BD">
                  <w:pPr>
                    <w:jc w:val="center"/>
                    <w:rPr>
                      <w:rFonts w:cs="Arial"/>
                      <w:color w:val="000000"/>
                      <w:sz w:val="20"/>
                      <w:szCs w:val="20"/>
                      <w:lang w:eastAsia="en-GB"/>
                    </w:rPr>
                  </w:pP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0B" w14:textId="77777777" w:rsidR="00CF22BD" w:rsidRPr="005608E8" w:rsidRDefault="00CF22BD" w:rsidP="00CF22BD">
                  <w:pPr>
                    <w:jc w:val="center"/>
                    <w:rPr>
                      <w:rFonts w:cs="Arial"/>
                      <w:color w:val="000000"/>
                      <w:sz w:val="20"/>
                      <w:szCs w:val="20"/>
                      <w:lang w:eastAsia="en-GB"/>
                    </w:rPr>
                  </w:pPr>
                  <w:r w:rsidRPr="005608E8">
                    <w:rPr>
                      <w:rFonts w:cs="Arial"/>
                      <w:color w:val="000000"/>
                      <w:sz w:val="20"/>
                      <w:szCs w:val="20"/>
                      <w:lang w:eastAsia="en-GB"/>
                    </w:rPr>
                    <w:t>£300,300</w:t>
                  </w:r>
                </w:p>
              </w:tc>
            </w:tr>
            <w:tr w:rsidR="00CF22BD" w:rsidRPr="005608E8" w14:paraId="0D887611" w14:textId="77777777" w:rsidTr="00F67DB7">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D88760D" w14:textId="77777777" w:rsidR="00CF22BD" w:rsidRPr="005608E8" w:rsidRDefault="00CF22BD" w:rsidP="00CF22BD">
                  <w:pPr>
                    <w:rPr>
                      <w:rFonts w:cs="Arial"/>
                      <w:color w:val="000000"/>
                      <w:sz w:val="20"/>
                      <w:szCs w:val="20"/>
                      <w:lang w:eastAsia="en-GB"/>
                    </w:rPr>
                  </w:pPr>
                  <w:r w:rsidRPr="005608E8">
                    <w:rPr>
                      <w:rFonts w:cs="Arial"/>
                      <w:color w:val="000000"/>
                      <w:sz w:val="20"/>
                      <w:szCs w:val="20"/>
                      <w:lang w:eastAsia="en-GB"/>
                    </w:rPr>
                    <w:t>NR01 Non Regulated Activity</w:t>
                  </w:r>
                </w:p>
              </w:tc>
              <w:tc>
                <w:tcPr>
                  <w:tcW w:w="1418" w:type="dxa"/>
                  <w:tcBorders>
                    <w:top w:val="single" w:sz="4" w:space="0" w:color="auto"/>
                    <w:left w:val="single" w:sz="4" w:space="0" w:color="auto"/>
                    <w:bottom w:val="single" w:sz="4" w:space="0" w:color="auto"/>
                    <w:right w:val="single" w:sz="4" w:space="0" w:color="auto"/>
                  </w:tcBorders>
                  <w:shd w:val="clear" w:color="D9D9D9" w:fill="D9D9D9"/>
                  <w:vAlign w:val="center"/>
                </w:tcPr>
                <w:p w14:paraId="0D88760E" w14:textId="77777777" w:rsidR="00CF22BD" w:rsidRPr="005608E8" w:rsidRDefault="00CF22BD" w:rsidP="00CF22BD">
                  <w:pPr>
                    <w:jc w:val="center"/>
                    <w:rPr>
                      <w:rFonts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0D88760F" w14:textId="77777777" w:rsidR="00CF22BD" w:rsidRPr="005608E8" w:rsidRDefault="00CF22BD" w:rsidP="00CF22BD">
                  <w:pPr>
                    <w:jc w:val="center"/>
                    <w:rPr>
                      <w:rFonts w:cs="Arial"/>
                      <w:color w:val="000000"/>
                      <w:sz w:val="20"/>
                      <w:szCs w:val="20"/>
                      <w:lang w:eastAsia="en-GB"/>
                    </w:rPr>
                  </w:pPr>
                </w:p>
              </w:tc>
              <w:tc>
                <w:tcPr>
                  <w:tcW w:w="138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887610" w14:textId="77777777" w:rsidR="00CF22BD" w:rsidRPr="005608E8" w:rsidRDefault="00CF22BD" w:rsidP="00CF22BD">
                  <w:pPr>
                    <w:jc w:val="center"/>
                    <w:rPr>
                      <w:rFonts w:cs="Arial"/>
                      <w:color w:val="000000"/>
                      <w:sz w:val="20"/>
                      <w:szCs w:val="20"/>
                      <w:lang w:eastAsia="en-GB"/>
                    </w:rPr>
                  </w:pPr>
                  <w:r w:rsidRPr="005608E8">
                    <w:rPr>
                      <w:rFonts w:cs="Arial"/>
                      <w:color w:val="000000"/>
                      <w:sz w:val="20"/>
                      <w:szCs w:val="20"/>
                      <w:lang w:eastAsia="en-GB"/>
                    </w:rPr>
                    <w:t>£300,300</w:t>
                  </w:r>
                </w:p>
              </w:tc>
            </w:tr>
            <w:tr w:rsidR="00CF22BD" w:rsidRPr="005608E8" w14:paraId="0D887616" w14:textId="77777777" w:rsidTr="00F67DB7">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D887612" w14:textId="77777777" w:rsidR="00CF22BD" w:rsidRPr="005608E8" w:rsidRDefault="00CF22BD" w:rsidP="00CF22BD">
                  <w:pPr>
                    <w:rPr>
                      <w:rFonts w:cs="Arial"/>
                      <w:color w:val="000000"/>
                      <w:sz w:val="20"/>
                      <w:szCs w:val="20"/>
                      <w:lang w:eastAsia="en-GB"/>
                    </w:rPr>
                  </w:pPr>
                  <w:r w:rsidRPr="005608E8">
                    <w:rPr>
                      <w:rFonts w:cs="Arial"/>
                      <w:color w:val="000000"/>
                      <w:sz w:val="20"/>
                      <w:szCs w:val="20"/>
                      <w:lang w:eastAsia="en-GB"/>
                    </w:rPr>
                    <w:t>PG01 Progression Paid Employment (EMP)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87613" w14:textId="77777777" w:rsidR="00CF22BD" w:rsidRPr="005608E8" w:rsidRDefault="00CF22BD" w:rsidP="00CF22BD">
                  <w:pPr>
                    <w:jc w:val="center"/>
                    <w:rPr>
                      <w:rFonts w:cs="Arial"/>
                      <w:color w:val="000000"/>
                      <w:sz w:val="20"/>
                      <w:szCs w:val="20"/>
                      <w:lang w:eastAsia="en-GB"/>
                    </w:rPr>
                  </w:pPr>
                  <w:r w:rsidRPr="005608E8">
                    <w:rPr>
                      <w:rFonts w:cs="Arial"/>
                      <w:color w:val="000000"/>
                      <w:sz w:val="20"/>
                      <w:szCs w:val="20"/>
                      <w:lang w:eastAsia="en-GB"/>
                    </w:rPr>
                    <w:t>356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14" w14:textId="77777777" w:rsidR="00CF22BD" w:rsidRPr="005608E8" w:rsidRDefault="00CF22BD" w:rsidP="00CF22BD">
                  <w:pPr>
                    <w:jc w:val="center"/>
                    <w:rPr>
                      <w:rFonts w:cs="Arial"/>
                      <w:color w:val="000000"/>
                      <w:sz w:val="20"/>
                      <w:szCs w:val="20"/>
                      <w:lang w:eastAsia="en-GB"/>
                    </w:rPr>
                  </w:pPr>
                  <w:r w:rsidRPr="005608E8">
                    <w:rPr>
                      <w:rFonts w:cs="Arial"/>
                      <w:color w:val="000000"/>
                      <w:sz w:val="20"/>
                      <w:szCs w:val="20"/>
                      <w:lang w:eastAsia="en-GB"/>
                    </w:rPr>
                    <w:t>£1,050</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15" w14:textId="77777777" w:rsidR="00CF22BD" w:rsidRPr="005608E8" w:rsidRDefault="00CF22BD" w:rsidP="00CF22BD">
                  <w:pPr>
                    <w:jc w:val="center"/>
                    <w:rPr>
                      <w:rFonts w:cs="Arial"/>
                      <w:color w:val="000000"/>
                      <w:sz w:val="20"/>
                      <w:szCs w:val="20"/>
                      <w:lang w:eastAsia="en-GB"/>
                    </w:rPr>
                  </w:pPr>
                  <w:r w:rsidRPr="005608E8">
                    <w:rPr>
                      <w:rFonts w:cs="Arial"/>
                      <w:color w:val="000000"/>
                      <w:sz w:val="20"/>
                      <w:szCs w:val="20"/>
                      <w:lang w:eastAsia="en-GB"/>
                    </w:rPr>
                    <w:t>£373,800</w:t>
                  </w:r>
                </w:p>
              </w:tc>
            </w:tr>
            <w:tr w:rsidR="00CF22BD" w:rsidRPr="005608E8" w14:paraId="0D88761B" w14:textId="77777777" w:rsidTr="00F67DB7">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D887617" w14:textId="77777777" w:rsidR="00CF22BD" w:rsidRPr="005608E8" w:rsidRDefault="00CF22BD" w:rsidP="00CF22BD">
                  <w:pPr>
                    <w:rPr>
                      <w:rFonts w:cs="Arial"/>
                      <w:color w:val="000000"/>
                      <w:sz w:val="20"/>
                      <w:szCs w:val="20"/>
                      <w:lang w:eastAsia="en-GB"/>
                    </w:rPr>
                  </w:pPr>
                  <w:r w:rsidRPr="005608E8">
                    <w:rPr>
                      <w:rFonts w:cs="Arial"/>
                      <w:color w:val="000000"/>
                      <w:sz w:val="20"/>
                      <w:szCs w:val="20"/>
                      <w:lang w:eastAsia="en-GB"/>
                    </w:rPr>
                    <w:t>PG04 Progression Apprenticeship (EDU)</w:t>
                  </w:r>
                </w:p>
              </w:tc>
              <w:tc>
                <w:tcPr>
                  <w:tcW w:w="141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D887618" w14:textId="77777777" w:rsidR="00CF22BD" w:rsidRPr="005608E8" w:rsidRDefault="00CF22BD" w:rsidP="00CF22BD">
                  <w:pPr>
                    <w:jc w:val="center"/>
                    <w:rPr>
                      <w:rFonts w:cs="Arial"/>
                      <w:sz w:val="20"/>
                      <w:szCs w:val="20"/>
                      <w:lang w:eastAsia="en-GB"/>
                    </w:rPr>
                  </w:pPr>
                  <w:r w:rsidRPr="005608E8">
                    <w:rPr>
                      <w:rFonts w:cs="Arial"/>
                      <w:sz w:val="20"/>
                      <w:szCs w:val="20"/>
                      <w:lang w:eastAsia="en-GB"/>
                    </w:rPr>
                    <w:t>89</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887619" w14:textId="77777777" w:rsidR="00CF22BD" w:rsidRPr="005608E8" w:rsidRDefault="00CF22BD" w:rsidP="00CF22BD">
                  <w:pPr>
                    <w:jc w:val="center"/>
                    <w:rPr>
                      <w:rFonts w:cs="Arial"/>
                      <w:color w:val="000000"/>
                      <w:sz w:val="20"/>
                      <w:szCs w:val="20"/>
                      <w:lang w:eastAsia="en-GB"/>
                    </w:rPr>
                  </w:pPr>
                  <w:r w:rsidRPr="005608E8">
                    <w:rPr>
                      <w:rFonts w:cs="Arial"/>
                      <w:color w:val="000000"/>
                      <w:sz w:val="20"/>
                      <w:szCs w:val="20"/>
                      <w:lang w:eastAsia="en-GB"/>
                    </w:rPr>
                    <w:t>£1,050</w:t>
                  </w:r>
                </w:p>
              </w:tc>
              <w:tc>
                <w:tcPr>
                  <w:tcW w:w="138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88761A" w14:textId="77777777" w:rsidR="00CF22BD" w:rsidRPr="005608E8" w:rsidRDefault="00CF22BD" w:rsidP="00CF22BD">
                  <w:pPr>
                    <w:jc w:val="center"/>
                    <w:rPr>
                      <w:rFonts w:cs="Arial"/>
                      <w:color w:val="000000"/>
                      <w:sz w:val="20"/>
                      <w:szCs w:val="20"/>
                      <w:lang w:eastAsia="en-GB"/>
                    </w:rPr>
                  </w:pPr>
                  <w:r w:rsidRPr="005608E8">
                    <w:rPr>
                      <w:rFonts w:cs="Arial"/>
                      <w:color w:val="000000"/>
                      <w:sz w:val="20"/>
                      <w:szCs w:val="20"/>
                      <w:lang w:eastAsia="en-GB"/>
                    </w:rPr>
                    <w:t>£93,450</w:t>
                  </w:r>
                </w:p>
              </w:tc>
            </w:tr>
            <w:tr w:rsidR="00CF22BD" w:rsidRPr="005608E8" w14:paraId="0D887620" w14:textId="77777777" w:rsidTr="00F67DB7">
              <w:trPr>
                <w:trHeight w:val="576"/>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D88761C" w14:textId="77777777" w:rsidR="00CF22BD" w:rsidRPr="005608E8" w:rsidRDefault="00CF22BD" w:rsidP="00CF22BD">
                  <w:pPr>
                    <w:rPr>
                      <w:rFonts w:cs="Arial"/>
                      <w:color w:val="000000"/>
                      <w:sz w:val="20"/>
                      <w:szCs w:val="20"/>
                      <w:lang w:eastAsia="en-GB"/>
                    </w:rPr>
                  </w:pPr>
                  <w:r w:rsidRPr="005608E8">
                    <w:rPr>
                      <w:rFonts w:cs="Arial"/>
                      <w:color w:val="000000"/>
                      <w:sz w:val="20"/>
                      <w:szCs w:val="20"/>
                      <w:lang w:eastAsia="en-GB"/>
                    </w:rPr>
                    <w:lastRenderedPageBreak/>
                    <w:t xml:space="preserve">SD01 Sustained progression in employment or apprenticeship for six months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8761D" w14:textId="77777777" w:rsidR="00CF22BD" w:rsidRPr="005608E8" w:rsidRDefault="00CF22BD" w:rsidP="00CF22BD">
                  <w:pPr>
                    <w:jc w:val="center"/>
                    <w:rPr>
                      <w:rFonts w:cs="Arial"/>
                      <w:sz w:val="20"/>
                      <w:szCs w:val="20"/>
                      <w:lang w:eastAsia="en-GB"/>
                    </w:rPr>
                  </w:pPr>
                  <w:r w:rsidRPr="005608E8">
                    <w:rPr>
                      <w:rFonts w:cs="Arial"/>
                      <w:sz w:val="20"/>
                      <w:szCs w:val="20"/>
                      <w:lang w:eastAsia="en-GB"/>
                    </w:rPr>
                    <w:t>213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1E" w14:textId="77777777" w:rsidR="00CF22BD" w:rsidRPr="005608E8" w:rsidRDefault="00CF22BD" w:rsidP="00CF22BD">
                  <w:pPr>
                    <w:jc w:val="center"/>
                    <w:rPr>
                      <w:rFonts w:cs="Arial"/>
                      <w:color w:val="000000"/>
                      <w:sz w:val="20"/>
                      <w:szCs w:val="20"/>
                      <w:lang w:eastAsia="en-GB"/>
                    </w:rPr>
                  </w:pPr>
                  <w:r w:rsidRPr="005608E8">
                    <w:rPr>
                      <w:rFonts w:cs="Arial"/>
                      <w:color w:val="000000"/>
                      <w:sz w:val="20"/>
                      <w:szCs w:val="20"/>
                      <w:lang w:eastAsia="en-GB"/>
                    </w:rPr>
                    <w:t>£1,650</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1F" w14:textId="77777777" w:rsidR="00CF22BD" w:rsidRPr="005608E8" w:rsidRDefault="00CF22BD" w:rsidP="00CF22BD">
                  <w:pPr>
                    <w:jc w:val="center"/>
                    <w:rPr>
                      <w:rFonts w:cs="Arial"/>
                      <w:color w:val="000000"/>
                      <w:sz w:val="20"/>
                      <w:szCs w:val="20"/>
                      <w:lang w:eastAsia="en-GB"/>
                    </w:rPr>
                  </w:pPr>
                  <w:r w:rsidRPr="005608E8">
                    <w:rPr>
                      <w:rFonts w:cs="Arial"/>
                      <w:color w:val="000000"/>
                      <w:sz w:val="20"/>
                      <w:szCs w:val="20"/>
                      <w:lang w:eastAsia="en-GB"/>
                    </w:rPr>
                    <w:t>£351,450</w:t>
                  </w:r>
                </w:p>
              </w:tc>
            </w:tr>
            <w:tr w:rsidR="00CF22BD" w:rsidRPr="005608E8" w14:paraId="0D887625" w14:textId="77777777" w:rsidTr="00F67DB7">
              <w:trPr>
                <w:trHeight w:val="684"/>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D887621" w14:textId="77777777" w:rsidR="00CF22BD" w:rsidRPr="005608E8" w:rsidRDefault="00CF22BD" w:rsidP="00CF22BD">
                  <w:pPr>
                    <w:rPr>
                      <w:rFonts w:cs="Arial"/>
                      <w:color w:val="000000"/>
                      <w:sz w:val="20"/>
                      <w:szCs w:val="20"/>
                      <w:lang w:eastAsia="en-GB"/>
                    </w:rPr>
                  </w:pPr>
                  <w:r w:rsidRPr="005608E8">
                    <w:rPr>
                      <w:rFonts w:cs="Arial"/>
                      <w:color w:val="000000"/>
                      <w:sz w:val="20"/>
                      <w:szCs w:val="20"/>
                      <w:lang w:eastAsia="en-GB"/>
                    </w:rPr>
                    <w:t>SD02 Learner starts a full qualification after progressing into employment</w:t>
                  </w:r>
                </w:p>
              </w:tc>
              <w:tc>
                <w:tcPr>
                  <w:tcW w:w="141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D887622" w14:textId="77777777" w:rsidR="00CF22BD" w:rsidRPr="005608E8" w:rsidRDefault="00CF22BD" w:rsidP="00CF22BD">
                  <w:pPr>
                    <w:jc w:val="center"/>
                    <w:rPr>
                      <w:rFonts w:cs="Arial"/>
                      <w:sz w:val="20"/>
                      <w:szCs w:val="20"/>
                      <w:lang w:eastAsia="en-GB"/>
                    </w:rPr>
                  </w:pPr>
                  <w:r w:rsidRPr="005608E8">
                    <w:rPr>
                      <w:rFonts w:cs="Arial"/>
                      <w:sz w:val="20"/>
                      <w:szCs w:val="20"/>
                      <w:lang w:eastAsia="en-GB"/>
                    </w:rPr>
                    <w:t>111</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887623" w14:textId="77777777" w:rsidR="00CF22BD" w:rsidRPr="005608E8" w:rsidRDefault="00CF22BD" w:rsidP="00CF22BD">
                  <w:pPr>
                    <w:jc w:val="center"/>
                    <w:rPr>
                      <w:rFonts w:cs="Arial"/>
                      <w:color w:val="000000"/>
                      <w:sz w:val="20"/>
                      <w:szCs w:val="20"/>
                      <w:lang w:eastAsia="en-GB"/>
                    </w:rPr>
                  </w:pPr>
                  <w:r w:rsidRPr="005608E8">
                    <w:rPr>
                      <w:rFonts w:cs="Arial"/>
                      <w:color w:val="000000"/>
                      <w:sz w:val="20"/>
                      <w:szCs w:val="20"/>
                      <w:lang w:eastAsia="en-GB"/>
                    </w:rPr>
                    <w:t>£350</w:t>
                  </w:r>
                </w:p>
              </w:tc>
              <w:tc>
                <w:tcPr>
                  <w:tcW w:w="1385"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887624" w14:textId="77777777" w:rsidR="00CF22BD" w:rsidRPr="005608E8" w:rsidRDefault="00CF22BD" w:rsidP="00CF22BD">
                  <w:pPr>
                    <w:jc w:val="center"/>
                    <w:rPr>
                      <w:rFonts w:cs="Arial"/>
                      <w:color w:val="000000"/>
                      <w:sz w:val="20"/>
                      <w:szCs w:val="20"/>
                      <w:lang w:eastAsia="en-GB"/>
                    </w:rPr>
                  </w:pPr>
                  <w:r w:rsidRPr="005608E8">
                    <w:rPr>
                      <w:rFonts w:cs="Arial"/>
                      <w:color w:val="000000"/>
                      <w:sz w:val="20"/>
                      <w:szCs w:val="20"/>
                      <w:lang w:eastAsia="en-GB"/>
                    </w:rPr>
                    <w:t>£38,850</w:t>
                  </w:r>
                </w:p>
              </w:tc>
            </w:tr>
            <w:tr w:rsidR="00CF22BD" w:rsidRPr="005608E8" w14:paraId="0D88762A" w14:textId="77777777" w:rsidTr="00F67DB7">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D887626" w14:textId="77777777" w:rsidR="00CF22BD" w:rsidRPr="005608E8" w:rsidRDefault="00CF22BD" w:rsidP="00CF22BD">
                  <w:pPr>
                    <w:rPr>
                      <w:rFonts w:cs="Arial"/>
                      <w:color w:val="000000"/>
                      <w:sz w:val="20"/>
                      <w:szCs w:val="20"/>
                      <w:lang w:eastAsia="en-GB"/>
                    </w:rPr>
                  </w:pPr>
                  <w:r w:rsidRPr="005608E8">
                    <w:rPr>
                      <w:rFonts w:cs="Arial"/>
                      <w:color w:val="000000"/>
                      <w:sz w:val="20"/>
                      <w:szCs w:val="20"/>
                      <w:lang w:eastAsia="en-GB"/>
                    </w:rPr>
                    <w:t>Total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87627" w14:textId="77777777" w:rsidR="00CF22BD" w:rsidRPr="005608E8" w:rsidRDefault="00CF22BD" w:rsidP="00CF22BD">
                  <w:pPr>
                    <w:jc w:val="center"/>
                    <w:rPr>
                      <w:rFonts w:cs="Arial"/>
                      <w:sz w:val="20"/>
                      <w:szCs w:val="20"/>
                      <w:lang w:eastAsia="en-GB"/>
                    </w:rPr>
                  </w:pPr>
                  <w:r w:rsidRPr="005608E8">
                    <w:rPr>
                      <w:rFonts w:cs="Arial"/>
                      <w:sz w:val="20"/>
                      <w:szCs w:val="20"/>
                      <w:lang w:eastAsia="en-GB"/>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28" w14:textId="77777777" w:rsidR="00CF22BD" w:rsidRPr="005608E8" w:rsidRDefault="00CF22BD" w:rsidP="00CF22BD">
                  <w:pPr>
                    <w:jc w:val="center"/>
                    <w:rPr>
                      <w:rFonts w:cs="Arial"/>
                      <w:color w:val="000000"/>
                      <w:sz w:val="20"/>
                      <w:szCs w:val="20"/>
                      <w:lang w:eastAsia="en-GB"/>
                    </w:rPr>
                  </w:pPr>
                  <w:r w:rsidRPr="005608E8">
                    <w:rPr>
                      <w:rFonts w:cs="Arial"/>
                      <w:color w:val="000000"/>
                      <w:sz w:val="20"/>
                      <w:szCs w:val="20"/>
                      <w:lang w:eastAsia="en-GB"/>
                    </w:rPr>
                    <w:t> </w:t>
                  </w:r>
                </w:p>
              </w:tc>
              <w:tc>
                <w:tcPr>
                  <w:tcW w:w="13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29" w14:textId="77777777" w:rsidR="00CF22BD" w:rsidRPr="005608E8" w:rsidRDefault="00CF22BD" w:rsidP="00CF22BD">
                  <w:pPr>
                    <w:jc w:val="center"/>
                    <w:rPr>
                      <w:rFonts w:cs="Arial"/>
                      <w:color w:val="000000"/>
                      <w:sz w:val="20"/>
                      <w:szCs w:val="20"/>
                      <w:lang w:eastAsia="en-GB"/>
                    </w:rPr>
                  </w:pPr>
                  <w:r w:rsidRPr="005608E8">
                    <w:rPr>
                      <w:rFonts w:cs="Arial"/>
                      <w:color w:val="000000"/>
                      <w:sz w:val="20"/>
                      <w:szCs w:val="20"/>
                      <w:lang w:eastAsia="en-GB"/>
                    </w:rPr>
                    <w:t>£1,791,750</w:t>
                  </w:r>
                </w:p>
              </w:tc>
            </w:tr>
          </w:tbl>
          <w:p w14:paraId="0D88762B" w14:textId="77777777" w:rsidR="00FF66E5" w:rsidRDefault="00FF66E5" w:rsidP="00A005EF">
            <w:pPr>
              <w:autoSpaceDE w:val="0"/>
              <w:autoSpaceDN w:val="0"/>
              <w:adjustRightInd w:val="0"/>
              <w:rPr>
                <w:rFonts w:cs="Arial"/>
              </w:rPr>
            </w:pPr>
          </w:p>
          <w:p w14:paraId="0D88762C" w14:textId="77777777" w:rsidR="005608E8" w:rsidRPr="00F67DB7" w:rsidRDefault="005608E8" w:rsidP="005608E8">
            <w:pPr>
              <w:rPr>
                <w:rFonts w:cs="Arial"/>
                <w:b/>
              </w:rPr>
            </w:pPr>
            <w:r w:rsidRPr="00F67DB7">
              <w:rPr>
                <w:rFonts w:cs="Arial"/>
                <w:b/>
              </w:rPr>
              <w:t>Lot 2</w:t>
            </w:r>
            <w:r w:rsidR="00F67DB7" w:rsidRPr="00F67DB7">
              <w:rPr>
                <w:rFonts w:cs="Arial"/>
                <w:b/>
              </w:rPr>
              <w:t xml:space="preserve">:  </w:t>
            </w:r>
            <w:r w:rsidRPr="00F67DB7">
              <w:rPr>
                <w:rFonts w:cs="Arial"/>
                <w:b/>
              </w:rPr>
              <w:t>West London - £639,650</w:t>
            </w:r>
          </w:p>
          <w:p w14:paraId="0D88762D" w14:textId="77777777" w:rsidR="005608E8" w:rsidRDefault="005608E8" w:rsidP="005608E8">
            <w:pPr>
              <w:rPr>
                <w:rFonts w:cs="Arial"/>
                <w:b/>
              </w:rPr>
            </w:pPr>
          </w:p>
          <w:tbl>
            <w:tblPr>
              <w:tblW w:w="8671" w:type="dxa"/>
              <w:tblLayout w:type="fixed"/>
              <w:tblLook w:val="04A0" w:firstRow="1" w:lastRow="0" w:firstColumn="1" w:lastColumn="0" w:noHBand="0" w:noVBand="1"/>
            </w:tblPr>
            <w:tblGrid>
              <w:gridCol w:w="4560"/>
              <w:gridCol w:w="1418"/>
              <w:gridCol w:w="1417"/>
              <w:gridCol w:w="1276"/>
            </w:tblGrid>
            <w:tr w:rsidR="005608E8" w:rsidRPr="00F67DB7" w14:paraId="0D887632" w14:textId="77777777" w:rsidTr="00F67DB7">
              <w:trPr>
                <w:trHeight w:val="840"/>
              </w:trPr>
              <w:tc>
                <w:tcPr>
                  <w:tcW w:w="456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88762E" w14:textId="77777777" w:rsidR="005608E8" w:rsidRPr="00F67DB7" w:rsidRDefault="005608E8" w:rsidP="005608E8">
                  <w:pPr>
                    <w:rPr>
                      <w:rFonts w:cs="Arial"/>
                      <w:b/>
                      <w:bCs/>
                      <w:color w:val="000000"/>
                      <w:sz w:val="20"/>
                      <w:szCs w:val="20"/>
                      <w:lang w:eastAsia="en-GB"/>
                    </w:rPr>
                  </w:pPr>
                  <w:r w:rsidRPr="00F67DB7">
                    <w:rPr>
                      <w:rFonts w:cs="Arial"/>
                      <w:b/>
                      <w:bCs/>
                      <w:color w:val="000000"/>
                      <w:sz w:val="20"/>
                      <w:szCs w:val="20"/>
                      <w:lang w:eastAsia="en-GB"/>
                    </w:rPr>
                    <w:t>Description</w:t>
                  </w:r>
                </w:p>
              </w:tc>
              <w:tc>
                <w:tcPr>
                  <w:tcW w:w="1418"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88762F" w14:textId="77777777" w:rsidR="005608E8" w:rsidRPr="00F67DB7" w:rsidRDefault="005608E8" w:rsidP="005608E8">
                  <w:pPr>
                    <w:jc w:val="center"/>
                    <w:rPr>
                      <w:rFonts w:cs="Arial"/>
                      <w:b/>
                      <w:bCs/>
                      <w:color w:val="000000"/>
                      <w:sz w:val="20"/>
                      <w:szCs w:val="20"/>
                      <w:lang w:eastAsia="en-GB"/>
                    </w:rPr>
                  </w:pPr>
                  <w:r w:rsidRPr="00F67DB7">
                    <w:rPr>
                      <w:rFonts w:cs="Arial"/>
                      <w:b/>
                      <w:bCs/>
                      <w:color w:val="000000"/>
                      <w:sz w:val="20"/>
                      <w:szCs w:val="20"/>
                      <w:lang w:eastAsia="en-GB"/>
                    </w:rPr>
                    <w:t>Volumes</w:t>
                  </w:r>
                </w:p>
              </w:tc>
              <w:tc>
                <w:tcPr>
                  <w:tcW w:w="141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887630" w14:textId="77777777" w:rsidR="005608E8" w:rsidRPr="00F67DB7" w:rsidRDefault="005608E8" w:rsidP="005608E8">
                  <w:pPr>
                    <w:jc w:val="center"/>
                    <w:rPr>
                      <w:rFonts w:cs="Arial"/>
                      <w:b/>
                      <w:bCs/>
                      <w:color w:val="000000"/>
                      <w:sz w:val="20"/>
                      <w:szCs w:val="20"/>
                      <w:lang w:eastAsia="en-GB"/>
                    </w:rPr>
                  </w:pPr>
                  <w:r w:rsidRPr="00F67DB7">
                    <w:rPr>
                      <w:rFonts w:cs="Arial"/>
                      <w:b/>
                      <w:bCs/>
                      <w:color w:val="000000"/>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887631" w14:textId="77777777" w:rsidR="005608E8" w:rsidRPr="00F67DB7" w:rsidRDefault="005608E8" w:rsidP="005608E8">
                  <w:pPr>
                    <w:jc w:val="center"/>
                    <w:rPr>
                      <w:rFonts w:cs="Arial"/>
                      <w:b/>
                      <w:bCs/>
                      <w:color w:val="000000"/>
                      <w:sz w:val="20"/>
                      <w:szCs w:val="20"/>
                      <w:lang w:eastAsia="en-GB"/>
                    </w:rPr>
                  </w:pPr>
                  <w:r w:rsidRPr="00F67DB7">
                    <w:rPr>
                      <w:rFonts w:cs="Arial"/>
                      <w:b/>
                      <w:bCs/>
                      <w:color w:val="000000"/>
                      <w:sz w:val="20"/>
                      <w:szCs w:val="20"/>
                      <w:lang w:eastAsia="en-GB"/>
                    </w:rPr>
                    <w:t>£</w:t>
                  </w:r>
                </w:p>
              </w:tc>
            </w:tr>
            <w:tr w:rsidR="005608E8" w:rsidRPr="00F67DB7" w14:paraId="0D887637" w14:textId="77777777" w:rsidTr="00F67DB7">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D887633" w14:textId="77777777" w:rsidR="005608E8" w:rsidRPr="00F67DB7" w:rsidRDefault="005608E8" w:rsidP="005608E8">
                  <w:pPr>
                    <w:rPr>
                      <w:rFonts w:cs="Arial"/>
                      <w:color w:val="000000"/>
                      <w:sz w:val="20"/>
                      <w:szCs w:val="20"/>
                      <w:lang w:eastAsia="en-GB"/>
                    </w:rPr>
                  </w:pPr>
                  <w:r w:rsidRPr="00F67DB7">
                    <w:rPr>
                      <w:rFonts w:cs="Arial"/>
                      <w:color w:val="000000"/>
                      <w:sz w:val="20"/>
                      <w:szCs w:val="20"/>
                      <w:lang w:eastAsia="en-GB"/>
                    </w:rPr>
                    <w:t xml:space="preserve">ST01 Learner Assessment and Plan </w:t>
                  </w:r>
                </w:p>
              </w:tc>
              <w:tc>
                <w:tcPr>
                  <w:tcW w:w="1418"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D887634" w14:textId="77777777" w:rsidR="005608E8" w:rsidRPr="00F67DB7" w:rsidRDefault="005608E8" w:rsidP="005608E8">
                  <w:pPr>
                    <w:jc w:val="center"/>
                    <w:rPr>
                      <w:rFonts w:cs="Arial"/>
                      <w:color w:val="000000"/>
                      <w:sz w:val="20"/>
                      <w:szCs w:val="20"/>
                      <w:lang w:eastAsia="en-GB"/>
                    </w:rPr>
                  </w:pPr>
                  <w:r w:rsidRPr="00F67DB7">
                    <w:rPr>
                      <w:rFonts w:cs="Arial"/>
                      <w:color w:val="000000"/>
                      <w:sz w:val="20"/>
                      <w:szCs w:val="20"/>
                      <w:lang w:eastAsia="en-GB"/>
                    </w:rPr>
                    <w:t>397</w:t>
                  </w:r>
                </w:p>
              </w:tc>
              <w:tc>
                <w:tcPr>
                  <w:tcW w:w="141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D887635" w14:textId="77777777" w:rsidR="005608E8" w:rsidRPr="00F67DB7" w:rsidRDefault="005608E8" w:rsidP="005608E8">
                  <w:pPr>
                    <w:jc w:val="center"/>
                    <w:rPr>
                      <w:rFonts w:cs="Arial"/>
                      <w:color w:val="000000"/>
                      <w:sz w:val="20"/>
                      <w:szCs w:val="20"/>
                      <w:lang w:eastAsia="en-GB"/>
                    </w:rPr>
                  </w:pPr>
                  <w:r w:rsidRPr="00F67DB7">
                    <w:rPr>
                      <w:rFonts w:cs="Arial"/>
                      <w:color w:val="000000"/>
                      <w:sz w:val="20"/>
                      <w:szCs w:val="20"/>
                      <w:lang w:eastAsia="en-GB"/>
                    </w:rPr>
                    <w:t>£300</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D887636" w14:textId="77777777" w:rsidR="005608E8" w:rsidRPr="00F67DB7" w:rsidRDefault="005608E8" w:rsidP="005608E8">
                  <w:pPr>
                    <w:jc w:val="center"/>
                    <w:rPr>
                      <w:rFonts w:cs="Arial"/>
                      <w:color w:val="000000"/>
                      <w:sz w:val="20"/>
                      <w:szCs w:val="20"/>
                      <w:lang w:eastAsia="en-GB"/>
                    </w:rPr>
                  </w:pPr>
                  <w:r w:rsidRPr="00F67DB7">
                    <w:rPr>
                      <w:rFonts w:cs="Arial"/>
                      <w:color w:val="000000"/>
                      <w:sz w:val="20"/>
                      <w:szCs w:val="20"/>
                      <w:lang w:eastAsia="en-GB"/>
                    </w:rPr>
                    <w:t>£119,100</w:t>
                  </w:r>
                </w:p>
              </w:tc>
            </w:tr>
            <w:tr w:rsidR="005608E8" w:rsidRPr="00F67DB7" w14:paraId="0D88763C" w14:textId="77777777" w:rsidTr="00F67DB7">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D887638" w14:textId="77777777" w:rsidR="005608E8" w:rsidRPr="00F67DB7" w:rsidRDefault="005608E8" w:rsidP="005608E8">
                  <w:pPr>
                    <w:rPr>
                      <w:rFonts w:cs="Arial"/>
                      <w:color w:val="000000"/>
                      <w:sz w:val="20"/>
                      <w:szCs w:val="20"/>
                      <w:lang w:eastAsia="en-GB"/>
                    </w:rPr>
                  </w:pPr>
                  <w:r w:rsidRPr="00F67DB7">
                    <w:rPr>
                      <w:rFonts w:cs="Arial"/>
                      <w:color w:val="000000"/>
                      <w:sz w:val="20"/>
                      <w:szCs w:val="20"/>
                      <w:lang w:eastAsia="en-GB"/>
                    </w:rPr>
                    <w:t>RQ01 Regulated Learning</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D887639" w14:textId="77777777" w:rsidR="005608E8" w:rsidRPr="00F67DB7" w:rsidRDefault="005608E8" w:rsidP="005608E8">
                  <w:pPr>
                    <w:jc w:val="center"/>
                    <w:rPr>
                      <w:rFonts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8763A" w14:textId="77777777" w:rsidR="005608E8" w:rsidRPr="00F67DB7" w:rsidRDefault="005608E8" w:rsidP="005608E8">
                  <w:pPr>
                    <w:jc w:val="center"/>
                    <w:rPr>
                      <w:rFonts w:cs="Arial"/>
                      <w:color w:val="00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3B" w14:textId="77777777" w:rsidR="005608E8" w:rsidRPr="00F67DB7" w:rsidRDefault="005608E8" w:rsidP="005608E8">
                  <w:pPr>
                    <w:jc w:val="center"/>
                    <w:rPr>
                      <w:rFonts w:cs="Arial"/>
                      <w:color w:val="000000"/>
                      <w:sz w:val="20"/>
                      <w:szCs w:val="20"/>
                      <w:lang w:eastAsia="en-GB"/>
                    </w:rPr>
                  </w:pPr>
                  <w:r w:rsidRPr="00F67DB7">
                    <w:rPr>
                      <w:rFonts w:cs="Arial"/>
                      <w:color w:val="000000"/>
                      <w:sz w:val="20"/>
                      <w:szCs w:val="20"/>
                      <w:lang w:eastAsia="en-GB"/>
                    </w:rPr>
                    <w:t>£107,100</w:t>
                  </w:r>
                </w:p>
              </w:tc>
            </w:tr>
            <w:tr w:rsidR="005608E8" w:rsidRPr="00F67DB7" w14:paraId="0D887641" w14:textId="77777777" w:rsidTr="00F67DB7">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D88763D" w14:textId="77777777" w:rsidR="005608E8" w:rsidRPr="00F67DB7" w:rsidRDefault="005608E8" w:rsidP="005608E8">
                  <w:pPr>
                    <w:rPr>
                      <w:rFonts w:cs="Arial"/>
                      <w:color w:val="000000"/>
                      <w:sz w:val="20"/>
                      <w:szCs w:val="20"/>
                      <w:lang w:eastAsia="en-GB"/>
                    </w:rPr>
                  </w:pPr>
                  <w:r w:rsidRPr="00F67DB7">
                    <w:rPr>
                      <w:rFonts w:cs="Arial"/>
                      <w:color w:val="000000"/>
                      <w:sz w:val="20"/>
                      <w:szCs w:val="20"/>
                      <w:lang w:eastAsia="en-GB"/>
                    </w:rPr>
                    <w:t>NR01 Non Regulated Activity</w:t>
                  </w:r>
                </w:p>
              </w:tc>
              <w:tc>
                <w:tcPr>
                  <w:tcW w:w="1418" w:type="dxa"/>
                  <w:tcBorders>
                    <w:top w:val="single" w:sz="4" w:space="0" w:color="auto"/>
                    <w:left w:val="single" w:sz="4" w:space="0" w:color="auto"/>
                    <w:bottom w:val="single" w:sz="4" w:space="0" w:color="auto"/>
                    <w:right w:val="single" w:sz="4" w:space="0" w:color="auto"/>
                  </w:tcBorders>
                  <w:shd w:val="clear" w:color="D9D9D9" w:fill="D9D9D9"/>
                  <w:vAlign w:val="center"/>
                </w:tcPr>
                <w:p w14:paraId="0D88763E" w14:textId="77777777" w:rsidR="005608E8" w:rsidRPr="00F67DB7" w:rsidRDefault="005608E8" w:rsidP="005608E8">
                  <w:pPr>
                    <w:jc w:val="center"/>
                    <w:rPr>
                      <w:rFonts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0D88763F" w14:textId="77777777" w:rsidR="005608E8" w:rsidRPr="00F67DB7" w:rsidRDefault="005608E8" w:rsidP="005608E8">
                  <w:pPr>
                    <w:jc w:val="center"/>
                    <w:rPr>
                      <w:rFonts w:cs="Arial"/>
                      <w:color w:val="00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887640" w14:textId="77777777" w:rsidR="005608E8" w:rsidRPr="00F67DB7" w:rsidRDefault="005608E8" w:rsidP="005608E8">
                  <w:pPr>
                    <w:jc w:val="center"/>
                    <w:rPr>
                      <w:rFonts w:cs="Arial"/>
                      <w:color w:val="000000"/>
                      <w:sz w:val="20"/>
                      <w:szCs w:val="20"/>
                      <w:lang w:eastAsia="en-GB"/>
                    </w:rPr>
                  </w:pPr>
                  <w:r w:rsidRPr="00F67DB7">
                    <w:rPr>
                      <w:rFonts w:cs="Arial"/>
                      <w:color w:val="000000"/>
                      <w:sz w:val="20"/>
                      <w:szCs w:val="20"/>
                      <w:lang w:eastAsia="en-GB"/>
                    </w:rPr>
                    <w:t>£107,100</w:t>
                  </w:r>
                </w:p>
              </w:tc>
            </w:tr>
            <w:tr w:rsidR="005608E8" w:rsidRPr="00F67DB7" w14:paraId="0D887646" w14:textId="77777777" w:rsidTr="00F67DB7">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D887642" w14:textId="77777777" w:rsidR="005608E8" w:rsidRPr="00F67DB7" w:rsidRDefault="005608E8" w:rsidP="005608E8">
                  <w:pPr>
                    <w:rPr>
                      <w:rFonts w:cs="Arial"/>
                      <w:color w:val="000000"/>
                      <w:sz w:val="20"/>
                      <w:szCs w:val="20"/>
                      <w:lang w:eastAsia="en-GB"/>
                    </w:rPr>
                  </w:pPr>
                  <w:r w:rsidRPr="00F67DB7">
                    <w:rPr>
                      <w:rFonts w:cs="Arial"/>
                      <w:color w:val="000000"/>
                      <w:sz w:val="20"/>
                      <w:szCs w:val="20"/>
                      <w:lang w:eastAsia="en-GB"/>
                    </w:rPr>
                    <w:t>PG01 Progression Paid Employment (EMP)</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87643" w14:textId="77777777" w:rsidR="005608E8" w:rsidRPr="00F67DB7" w:rsidRDefault="005608E8" w:rsidP="005608E8">
                  <w:pPr>
                    <w:jc w:val="center"/>
                    <w:rPr>
                      <w:rFonts w:cs="Arial"/>
                      <w:color w:val="000000"/>
                      <w:sz w:val="20"/>
                      <w:szCs w:val="20"/>
                      <w:lang w:eastAsia="en-GB"/>
                    </w:rPr>
                  </w:pPr>
                  <w:r w:rsidRPr="00F67DB7">
                    <w:rPr>
                      <w:rFonts w:cs="Arial"/>
                      <w:color w:val="000000"/>
                      <w:sz w:val="20"/>
                      <w:szCs w:val="20"/>
                      <w:lang w:eastAsia="en-GB"/>
                    </w:rPr>
                    <w:t>127</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44" w14:textId="77777777" w:rsidR="005608E8" w:rsidRPr="00F67DB7" w:rsidRDefault="005608E8" w:rsidP="005608E8">
                  <w:pPr>
                    <w:jc w:val="center"/>
                    <w:rPr>
                      <w:rFonts w:cs="Arial"/>
                      <w:color w:val="000000"/>
                      <w:sz w:val="20"/>
                      <w:szCs w:val="20"/>
                      <w:lang w:eastAsia="en-GB"/>
                    </w:rPr>
                  </w:pPr>
                  <w:r w:rsidRPr="00F67DB7">
                    <w:rPr>
                      <w:rFonts w:cs="Arial"/>
                      <w:color w:val="000000"/>
                      <w:sz w:val="20"/>
                      <w:szCs w:val="20"/>
                      <w:lang w:eastAsia="en-GB"/>
                    </w:rPr>
                    <w:t>£1,050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45" w14:textId="77777777" w:rsidR="005608E8" w:rsidRPr="00F67DB7" w:rsidRDefault="005608E8" w:rsidP="005608E8">
                  <w:pPr>
                    <w:jc w:val="center"/>
                    <w:rPr>
                      <w:rFonts w:cs="Arial"/>
                      <w:color w:val="000000"/>
                      <w:sz w:val="20"/>
                      <w:szCs w:val="20"/>
                      <w:lang w:eastAsia="en-GB"/>
                    </w:rPr>
                  </w:pPr>
                  <w:r w:rsidRPr="00F67DB7">
                    <w:rPr>
                      <w:rFonts w:cs="Arial"/>
                      <w:color w:val="000000"/>
                      <w:sz w:val="20"/>
                      <w:szCs w:val="20"/>
                      <w:lang w:eastAsia="en-GB"/>
                    </w:rPr>
                    <w:t>£133,350</w:t>
                  </w:r>
                </w:p>
              </w:tc>
            </w:tr>
            <w:tr w:rsidR="005608E8" w:rsidRPr="00F67DB7" w14:paraId="0D88764B" w14:textId="77777777" w:rsidTr="00F67DB7">
              <w:trPr>
                <w:trHeight w:val="450"/>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D887647" w14:textId="77777777" w:rsidR="005608E8" w:rsidRPr="00F67DB7" w:rsidRDefault="005608E8" w:rsidP="005608E8">
                  <w:pPr>
                    <w:rPr>
                      <w:rFonts w:cs="Arial"/>
                      <w:color w:val="000000"/>
                      <w:sz w:val="20"/>
                      <w:szCs w:val="20"/>
                      <w:lang w:eastAsia="en-GB"/>
                    </w:rPr>
                  </w:pPr>
                  <w:r w:rsidRPr="00F67DB7">
                    <w:rPr>
                      <w:rFonts w:cs="Arial"/>
                      <w:color w:val="000000"/>
                      <w:sz w:val="20"/>
                      <w:szCs w:val="20"/>
                      <w:lang w:eastAsia="en-GB"/>
                    </w:rPr>
                    <w:t>PG04 Progression Apprenticeship (EDU)</w:t>
                  </w:r>
                </w:p>
              </w:tc>
              <w:tc>
                <w:tcPr>
                  <w:tcW w:w="141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D887648" w14:textId="77777777" w:rsidR="005608E8" w:rsidRPr="00F67DB7" w:rsidRDefault="005608E8" w:rsidP="005608E8">
                  <w:pPr>
                    <w:jc w:val="center"/>
                    <w:rPr>
                      <w:rFonts w:cs="Arial"/>
                      <w:sz w:val="20"/>
                      <w:szCs w:val="20"/>
                      <w:lang w:eastAsia="en-GB"/>
                    </w:rPr>
                  </w:pPr>
                  <w:r w:rsidRPr="00F67DB7">
                    <w:rPr>
                      <w:rFonts w:cs="Arial"/>
                      <w:sz w:val="20"/>
                      <w:szCs w:val="20"/>
                      <w:lang w:eastAsia="en-GB"/>
                    </w:rPr>
                    <w:t>32</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887649" w14:textId="77777777" w:rsidR="005608E8" w:rsidRPr="00F67DB7" w:rsidRDefault="005608E8" w:rsidP="005608E8">
                  <w:pPr>
                    <w:jc w:val="center"/>
                    <w:rPr>
                      <w:rFonts w:cs="Arial"/>
                      <w:color w:val="000000"/>
                      <w:sz w:val="20"/>
                      <w:szCs w:val="20"/>
                      <w:lang w:eastAsia="en-GB"/>
                    </w:rPr>
                  </w:pPr>
                  <w:r w:rsidRPr="00F67DB7">
                    <w:rPr>
                      <w:rFonts w:cs="Arial"/>
                      <w:color w:val="000000"/>
                      <w:sz w:val="20"/>
                      <w:szCs w:val="20"/>
                      <w:lang w:eastAsia="en-GB"/>
                    </w:rPr>
                    <w:t>£1,050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88764A" w14:textId="77777777" w:rsidR="005608E8" w:rsidRPr="00F67DB7" w:rsidRDefault="005608E8" w:rsidP="005608E8">
                  <w:pPr>
                    <w:jc w:val="center"/>
                    <w:rPr>
                      <w:rFonts w:cs="Arial"/>
                      <w:color w:val="000000"/>
                      <w:sz w:val="20"/>
                      <w:szCs w:val="20"/>
                      <w:lang w:eastAsia="en-GB"/>
                    </w:rPr>
                  </w:pPr>
                  <w:r w:rsidRPr="00F67DB7">
                    <w:rPr>
                      <w:rFonts w:cs="Arial"/>
                      <w:color w:val="000000"/>
                      <w:sz w:val="20"/>
                      <w:szCs w:val="20"/>
                      <w:lang w:eastAsia="en-GB"/>
                    </w:rPr>
                    <w:t>£33,600</w:t>
                  </w:r>
                </w:p>
              </w:tc>
            </w:tr>
            <w:tr w:rsidR="005608E8" w:rsidRPr="00F67DB7" w14:paraId="0D887650" w14:textId="77777777" w:rsidTr="00F67DB7">
              <w:trPr>
                <w:trHeight w:val="684"/>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D88764C" w14:textId="77777777" w:rsidR="005608E8" w:rsidRPr="00F67DB7" w:rsidRDefault="005608E8" w:rsidP="005608E8">
                  <w:pPr>
                    <w:rPr>
                      <w:rFonts w:cs="Arial"/>
                      <w:color w:val="000000"/>
                      <w:sz w:val="20"/>
                      <w:szCs w:val="20"/>
                      <w:lang w:eastAsia="en-GB"/>
                    </w:rPr>
                  </w:pPr>
                  <w:r w:rsidRPr="00F67DB7">
                    <w:rPr>
                      <w:rFonts w:cs="Arial"/>
                      <w:color w:val="000000"/>
                      <w:sz w:val="20"/>
                      <w:szCs w:val="20"/>
                      <w:lang w:eastAsia="en-GB"/>
                    </w:rPr>
                    <w:t xml:space="preserve">SD01 Sustained progression in employment or apprenticeship for six months </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8764D" w14:textId="77777777" w:rsidR="005608E8" w:rsidRPr="00F67DB7" w:rsidRDefault="005608E8" w:rsidP="005608E8">
                  <w:pPr>
                    <w:jc w:val="center"/>
                    <w:rPr>
                      <w:rFonts w:cs="Arial"/>
                      <w:sz w:val="20"/>
                      <w:szCs w:val="20"/>
                      <w:lang w:eastAsia="en-GB"/>
                    </w:rPr>
                  </w:pPr>
                  <w:r w:rsidRPr="00F67DB7">
                    <w:rPr>
                      <w:rFonts w:cs="Arial"/>
                      <w:sz w:val="20"/>
                      <w:szCs w:val="20"/>
                      <w:lang w:eastAsia="en-GB"/>
                    </w:rPr>
                    <w:t>76</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4E" w14:textId="77777777" w:rsidR="005608E8" w:rsidRPr="00F67DB7" w:rsidRDefault="005608E8" w:rsidP="005608E8">
                  <w:pPr>
                    <w:jc w:val="center"/>
                    <w:rPr>
                      <w:rFonts w:cs="Arial"/>
                      <w:color w:val="000000"/>
                      <w:sz w:val="20"/>
                      <w:szCs w:val="20"/>
                      <w:lang w:eastAsia="en-GB"/>
                    </w:rPr>
                  </w:pPr>
                  <w:r w:rsidRPr="00F67DB7">
                    <w:rPr>
                      <w:rFonts w:cs="Arial"/>
                      <w:color w:val="000000"/>
                      <w:sz w:val="20"/>
                      <w:szCs w:val="20"/>
                      <w:lang w:eastAsia="en-GB"/>
                    </w:rPr>
                    <w:t>£1,650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4F" w14:textId="77777777" w:rsidR="005608E8" w:rsidRPr="00F67DB7" w:rsidRDefault="005608E8" w:rsidP="005608E8">
                  <w:pPr>
                    <w:jc w:val="center"/>
                    <w:rPr>
                      <w:rFonts w:cs="Arial"/>
                      <w:color w:val="000000"/>
                      <w:sz w:val="20"/>
                      <w:szCs w:val="20"/>
                      <w:lang w:eastAsia="en-GB"/>
                    </w:rPr>
                  </w:pPr>
                  <w:r w:rsidRPr="00F67DB7">
                    <w:rPr>
                      <w:rFonts w:cs="Arial"/>
                      <w:color w:val="000000"/>
                      <w:sz w:val="20"/>
                      <w:szCs w:val="20"/>
                      <w:lang w:eastAsia="en-GB"/>
                    </w:rPr>
                    <w:t>£125,400</w:t>
                  </w:r>
                </w:p>
              </w:tc>
            </w:tr>
            <w:tr w:rsidR="005608E8" w:rsidRPr="00F67DB7" w14:paraId="0D887655" w14:textId="77777777" w:rsidTr="00F67DB7">
              <w:trPr>
                <w:trHeight w:val="588"/>
              </w:trPr>
              <w:tc>
                <w:tcPr>
                  <w:tcW w:w="4560"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D887651" w14:textId="77777777" w:rsidR="005608E8" w:rsidRPr="00F67DB7" w:rsidRDefault="005608E8" w:rsidP="005608E8">
                  <w:pPr>
                    <w:rPr>
                      <w:rFonts w:cs="Arial"/>
                      <w:color w:val="000000"/>
                      <w:sz w:val="20"/>
                      <w:szCs w:val="20"/>
                      <w:lang w:eastAsia="en-GB"/>
                    </w:rPr>
                  </w:pPr>
                  <w:r w:rsidRPr="00F67DB7">
                    <w:rPr>
                      <w:rFonts w:cs="Arial"/>
                      <w:color w:val="000000"/>
                      <w:sz w:val="20"/>
                      <w:szCs w:val="20"/>
                      <w:lang w:eastAsia="en-GB"/>
                    </w:rPr>
                    <w:t>SD02 Learner starts a full qualification after progressing into employment</w:t>
                  </w:r>
                </w:p>
              </w:tc>
              <w:tc>
                <w:tcPr>
                  <w:tcW w:w="1418"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D887652" w14:textId="77777777" w:rsidR="005608E8" w:rsidRPr="00F67DB7" w:rsidRDefault="005608E8" w:rsidP="005608E8">
                  <w:pPr>
                    <w:jc w:val="center"/>
                    <w:rPr>
                      <w:rFonts w:cs="Arial"/>
                      <w:sz w:val="20"/>
                      <w:szCs w:val="20"/>
                      <w:lang w:eastAsia="en-GB"/>
                    </w:rPr>
                  </w:pPr>
                  <w:r w:rsidRPr="00F67DB7">
                    <w:rPr>
                      <w:rFonts w:cs="Arial"/>
                      <w:sz w:val="20"/>
                      <w:szCs w:val="20"/>
                      <w:lang w:eastAsia="en-GB"/>
                    </w:rPr>
                    <w:t>40</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887653" w14:textId="77777777" w:rsidR="005608E8" w:rsidRPr="00F67DB7" w:rsidRDefault="005608E8" w:rsidP="005608E8">
                  <w:pPr>
                    <w:jc w:val="center"/>
                    <w:rPr>
                      <w:rFonts w:cs="Arial"/>
                      <w:color w:val="000000"/>
                      <w:sz w:val="20"/>
                      <w:szCs w:val="20"/>
                      <w:lang w:eastAsia="en-GB"/>
                    </w:rPr>
                  </w:pPr>
                  <w:r w:rsidRPr="00F67DB7">
                    <w:rPr>
                      <w:rFonts w:cs="Arial"/>
                      <w:color w:val="000000"/>
                      <w:sz w:val="20"/>
                      <w:szCs w:val="20"/>
                      <w:lang w:eastAsia="en-GB"/>
                    </w:rPr>
                    <w:t>£350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887654" w14:textId="77777777" w:rsidR="005608E8" w:rsidRPr="00F67DB7" w:rsidRDefault="005608E8" w:rsidP="005608E8">
                  <w:pPr>
                    <w:jc w:val="center"/>
                    <w:rPr>
                      <w:rFonts w:cs="Arial"/>
                      <w:color w:val="000000"/>
                      <w:sz w:val="20"/>
                      <w:szCs w:val="20"/>
                      <w:lang w:eastAsia="en-GB"/>
                    </w:rPr>
                  </w:pPr>
                  <w:r w:rsidRPr="00F67DB7">
                    <w:rPr>
                      <w:rFonts w:cs="Arial"/>
                      <w:color w:val="000000"/>
                      <w:sz w:val="20"/>
                      <w:szCs w:val="20"/>
                      <w:lang w:eastAsia="en-GB"/>
                    </w:rPr>
                    <w:t>£14,000</w:t>
                  </w:r>
                </w:p>
              </w:tc>
            </w:tr>
            <w:tr w:rsidR="005608E8" w:rsidRPr="00F67DB7" w14:paraId="0D88765A" w14:textId="77777777" w:rsidTr="00F67DB7">
              <w:trPr>
                <w:trHeight w:val="450"/>
              </w:trPr>
              <w:tc>
                <w:tcPr>
                  <w:tcW w:w="4560"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D887656" w14:textId="77777777" w:rsidR="005608E8" w:rsidRPr="00F67DB7" w:rsidRDefault="005608E8" w:rsidP="005608E8">
                  <w:pPr>
                    <w:rPr>
                      <w:rFonts w:cs="Arial"/>
                      <w:color w:val="000000"/>
                      <w:sz w:val="20"/>
                      <w:szCs w:val="20"/>
                      <w:lang w:eastAsia="en-GB"/>
                    </w:rPr>
                  </w:pPr>
                  <w:r w:rsidRPr="00F67DB7">
                    <w:rPr>
                      <w:rFonts w:cs="Arial"/>
                      <w:color w:val="000000"/>
                      <w:sz w:val="20"/>
                      <w:szCs w:val="20"/>
                      <w:lang w:eastAsia="en-GB"/>
                    </w:rPr>
                    <w:t>Total</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87657" w14:textId="77777777" w:rsidR="005608E8" w:rsidRPr="00F67DB7" w:rsidRDefault="005608E8" w:rsidP="005608E8">
                  <w:pPr>
                    <w:jc w:val="center"/>
                    <w:rPr>
                      <w:rFonts w:cs="Arial"/>
                      <w:sz w:val="20"/>
                      <w:szCs w:val="20"/>
                      <w:lang w:eastAsia="en-GB"/>
                    </w:rPr>
                  </w:pPr>
                  <w:r w:rsidRPr="00F67DB7">
                    <w:rPr>
                      <w:rFonts w:cs="Arial"/>
                      <w:sz w:val="20"/>
                      <w:szCs w:val="20"/>
                      <w:lang w:eastAsia="en-GB"/>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58" w14:textId="77777777" w:rsidR="005608E8" w:rsidRPr="00F67DB7" w:rsidRDefault="005608E8" w:rsidP="005608E8">
                  <w:pPr>
                    <w:jc w:val="center"/>
                    <w:rPr>
                      <w:rFonts w:cs="Arial"/>
                      <w:color w:val="000000"/>
                      <w:sz w:val="20"/>
                      <w:szCs w:val="20"/>
                      <w:lang w:eastAsia="en-GB"/>
                    </w:rPr>
                  </w:pPr>
                  <w:r w:rsidRPr="00F67DB7">
                    <w:rPr>
                      <w:rFonts w:cs="Arial"/>
                      <w:color w:val="000000"/>
                      <w:sz w:val="20"/>
                      <w:szCs w:val="20"/>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59" w14:textId="77777777" w:rsidR="005608E8" w:rsidRPr="00F67DB7" w:rsidRDefault="005608E8" w:rsidP="005608E8">
                  <w:pPr>
                    <w:jc w:val="center"/>
                    <w:rPr>
                      <w:rFonts w:cs="Arial"/>
                      <w:color w:val="000000"/>
                      <w:sz w:val="20"/>
                      <w:szCs w:val="20"/>
                      <w:lang w:eastAsia="en-GB"/>
                    </w:rPr>
                  </w:pPr>
                  <w:r w:rsidRPr="00F67DB7">
                    <w:rPr>
                      <w:rFonts w:cs="Arial"/>
                      <w:color w:val="000000"/>
                      <w:sz w:val="20"/>
                      <w:szCs w:val="20"/>
                      <w:lang w:eastAsia="en-GB"/>
                    </w:rPr>
                    <w:t>£639,650</w:t>
                  </w:r>
                </w:p>
              </w:tc>
            </w:tr>
          </w:tbl>
          <w:p w14:paraId="0D88765B" w14:textId="77777777" w:rsidR="005608E8" w:rsidRDefault="005608E8" w:rsidP="00A005EF">
            <w:pPr>
              <w:autoSpaceDE w:val="0"/>
              <w:autoSpaceDN w:val="0"/>
              <w:adjustRightInd w:val="0"/>
              <w:rPr>
                <w:rFonts w:cs="Arial"/>
              </w:rPr>
            </w:pPr>
          </w:p>
          <w:p w14:paraId="0D88765C" w14:textId="77777777" w:rsidR="00CF22BD" w:rsidRPr="00F67DB7" w:rsidRDefault="005608E8" w:rsidP="00A005EF">
            <w:pPr>
              <w:autoSpaceDE w:val="0"/>
              <w:autoSpaceDN w:val="0"/>
              <w:adjustRightInd w:val="0"/>
              <w:rPr>
                <w:rFonts w:cs="Arial"/>
                <w:b/>
              </w:rPr>
            </w:pPr>
            <w:r w:rsidRPr="00F67DB7">
              <w:rPr>
                <w:rFonts w:cs="Arial"/>
                <w:b/>
              </w:rPr>
              <w:t>Lot 3</w:t>
            </w:r>
            <w:r w:rsidR="00F67DB7" w:rsidRPr="00F67DB7">
              <w:rPr>
                <w:rFonts w:cs="Arial"/>
                <w:b/>
              </w:rPr>
              <w:t xml:space="preserve">:  </w:t>
            </w:r>
            <w:r w:rsidR="00CF22BD" w:rsidRPr="00F67DB7">
              <w:rPr>
                <w:rFonts w:cs="Arial"/>
                <w:b/>
              </w:rPr>
              <w:t>North &amp; East London £1,365,950</w:t>
            </w:r>
          </w:p>
          <w:p w14:paraId="0D88765D" w14:textId="77777777" w:rsidR="00CF22BD" w:rsidRDefault="00CF22BD" w:rsidP="00A005EF">
            <w:pPr>
              <w:autoSpaceDE w:val="0"/>
              <w:autoSpaceDN w:val="0"/>
              <w:adjustRightInd w:val="0"/>
              <w:rPr>
                <w:rFonts w:cs="Arial"/>
              </w:rPr>
            </w:pPr>
          </w:p>
          <w:tbl>
            <w:tblPr>
              <w:tblW w:w="8671" w:type="dxa"/>
              <w:tblLayout w:type="fixed"/>
              <w:tblLook w:val="04A0" w:firstRow="1" w:lastRow="0" w:firstColumn="1" w:lastColumn="0" w:noHBand="0" w:noVBand="1"/>
            </w:tblPr>
            <w:tblGrid>
              <w:gridCol w:w="4702"/>
              <w:gridCol w:w="1276"/>
              <w:gridCol w:w="1417"/>
              <w:gridCol w:w="1276"/>
            </w:tblGrid>
            <w:tr w:rsidR="00CF22BD" w:rsidRPr="00F67DB7" w14:paraId="0D887662" w14:textId="77777777" w:rsidTr="00F67DB7">
              <w:trPr>
                <w:trHeight w:val="840"/>
              </w:trPr>
              <w:tc>
                <w:tcPr>
                  <w:tcW w:w="4702"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88765E" w14:textId="77777777" w:rsidR="00CF22BD" w:rsidRPr="00F67DB7" w:rsidRDefault="00CF22BD" w:rsidP="00CF22BD">
                  <w:pPr>
                    <w:rPr>
                      <w:rFonts w:cs="Arial"/>
                      <w:b/>
                      <w:bCs/>
                      <w:color w:val="000000"/>
                      <w:sz w:val="20"/>
                      <w:szCs w:val="20"/>
                      <w:lang w:eastAsia="en-GB"/>
                    </w:rPr>
                  </w:pPr>
                  <w:r w:rsidRPr="00F67DB7">
                    <w:rPr>
                      <w:rFonts w:cs="Arial"/>
                      <w:b/>
                      <w:bCs/>
                      <w:color w:val="000000"/>
                      <w:sz w:val="20"/>
                      <w:szCs w:val="20"/>
                      <w:lang w:eastAsia="en-GB"/>
                    </w:rPr>
                    <w:t>Description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88765F" w14:textId="77777777" w:rsidR="00CF22BD" w:rsidRPr="00F67DB7" w:rsidRDefault="00CF22BD" w:rsidP="00CF22BD">
                  <w:pPr>
                    <w:jc w:val="center"/>
                    <w:rPr>
                      <w:rFonts w:cs="Arial"/>
                      <w:b/>
                      <w:bCs/>
                      <w:color w:val="000000"/>
                      <w:sz w:val="20"/>
                      <w:szCs w:val="20"/>
                      <w:lang w:eastAsia="en-GB"/>
                    </w:rPr>
                  </w:pPr>
                  <w:r w:rsidRPr="00F67DB7">
                    <w:rPr>
                      <w:rFonts w:cs="Arial"/>
                      <w:b/>
                      <w:bCs/>
                      <w:color w:val="000000"/>
                      <w:sz w:val="20"/>
                      <w:szCs w:val="20"/>
                      <w:lang w:eastAsia="en-GB"/>
                    </w:rPr>
                    <w:t>Volumes</w:t>
                  </w:r>
                </w:p>
              </w:tc>
              <w:tc>
                <w:tcPr>
                  <w:tcW w:w="141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887660" w14:textId="77777777" w:rsidR="00CF22BD" w:rsidRPr="00F67DB7" w:rsidRDefault="00CF22BD" w:rsidP="00CF22BD">
                  <w:pPr>
                    <w:jc w:val="center"/>
                    <w:rPr>
                      <w:rFonts w:cs="Arial"/>
                      <w:b/>
                      <w:bCs/>
                      <w:color w:val="000000"/>
                      <w:sz w:val="20"/>
                      <w:szCs w:val="20"/>
                      <w:lang w:eastAsia="en-GB"/>
                    </w:rPr>
                  </w:pPr>
                  <w:r w:rsidRPr="00F67DB7">
                    <w:rPr>
                      <w:rFonts w:cs="Arial"/>
                      <w:b/>
                      <w:bCs/>
                      <w:color w:val="000000"/>
                      <w:sz w:val="20"/>
                      <w:szCs w:val="20"/>
                      <w:lang w:eastAsia="en-GB"/>
                    </w:rPr>
                    <w:t>Unit Cost Total Value Average per Intervention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887661" w14:textId="77777777" w:rsidR="00CF22BD" w:rsidRPr="00F67DB7" w:rsidRDefault="00CF22BD" w:rsidP="00CF22BD">
                  <w:pPr>
                    <w:jc w:val="center"/>
                    <w:rPr>
                      <w:rFonts w:cs="Arial"/>
                      <w:b/>
                      <w:bCs/>
                      <w:color w:val="000000"/>
                      <w:sz w:val="20"/>
                      <w:szCs w:val="20"/>
                      <w:lang w:eastAsia="en-GB"/>
                    </w:rPr>
                  </w:pPr>
                  <w:r w:rsidRPr="00F67DB7">
                    <w:rPr>
                      <w:rFonts w:cs="Arial"/>
                      <w:b/>
                      <w:bCs/>
                      <w:color w:val="000000"/>
                      <w:sz w:val="20"/>
                      <w:szCs w:val="20"/>
                      <w:lang w:eastAsia="en-GB"/>
                    </w:rPr>
                    <w:t>£</w:t>
                  </w:r>
                </w:p>
              </w:tc>
            </w:tr>
            <w:tr w:rsidR="00CF22BD" w:rsidRPr="00F67DB7" w14:paraId="0D887667" w14:textId="77777777" w:rsidTr="00F67DB7">
              <w:trPr>
                <w:trHeight w:val="450"/>
              </w:trPr>
              <w:tc>
                <w:tcPr>
                  <w:tcW w:w="470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D887663" w14:textId="77777777" w:rsidR="00CF22BD" w:rsidRPr="00F67DB7" w:rsidRDefault="00CF22BD" w:rsidP="00CF22BD">
                  <w:pPr>
                    <w:rPr>
                      <w:rFonts w:cs="Arial"/>
                      <w:color w:val="000000"/>
                      <w:sz w:val="20"/>
                      <w:szCs w:val="20"/>
                      <w:lang w:eastAsia="en-GB"/>
                    </w:rPr>
                  </w:pPr>
                  <w:r w:rsidRPr="00F67DB7">
                    <w:rPr>
                      <w:rFonts w:cs="Arial"/>
                      <w:color w:val="000000"/>
                      <w:sz w:val="20"/>
                      <w:szCs w:val="20"/>
                      <w:lang w:eastAsia="en-GB"/>
                    </w:rPr>
                    <w:t xml:space="preserve">ST01 Learner Assessment and Plan </w:t>
                  </w:r>
                </w:p>
              </w:tc>
              <w:tc>
                <w:tcPr>
                  <w:tcW w:w="127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D887664"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847</w:t>
                  </w:r>
                </w:p>
              </w:tc>
              <w:tc>
                <w:tcPr>
                  <w:tcW w:w="141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D887665"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£300</w:t>
                  </w:r>
                </w:p>
              </w:tc>
              <w:tc>
                <w:tcPr>
                  <w:tcW w:w="1276"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D887666"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£254,100</w:t>
                  </w:r>
                </w:p>
              </w:tc>
            </w:tr>
            <w:tr w:rsidR="00CF22BD" w:rsidRPr="00F67DB7" w14:paraId="0D88766C" w14:textId="77777777" w:rsidTr="00F67DB7">
              <w:trPr>
                <w:trHeight w:val="450"/>
              </w:trPr>
              <w:tc>
                <w:tcPr>
                  <w:tcW w:w="470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D887668" w14:textId="77777777" w:rsidR="00CF22BD" w:rsidRPr="00F67DB7" w:rsidRDefault="00CF22BD" w:rsidP="00CF22BD">
                  <w:pPr>
                    <w:rPr>
                      <w:rFonts w:cs="Arial"/>
                      <w:color w:val="000000"/>
                      <w:sz w:val="20"/>
                      <w:szCs w:val="20"/>
                      <w:lang w:eastAsia="en-GB"/>
                    </w:rPr>
                  </w:pPr>
                  <w:r w:rsidRPr="00F67DB7">
                    <w:rPr>
                      <w:rFonts w:cs="Arial"/>
                      <w:color w:val="000000"/>
                      <w:sz w:val="20"/>
                      <w:szCs w:val="20"/>
                      <w:lang w:eastAsia="en-GB"/>
                    </w:rPr>
                    <w:t>RQ01 Regulated Learning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887669" w14:textId="77777777" w:rsidR="00CF22BD" w:rsidRPr="00F67DB7" w:rsidRDefault="00CF22BD" w:rsidP="00CF22BD">
                  <w:pPr>
                    <w:jc w:val="center"/>
                    <w:rPr>
                      <w:rFonts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8766A" w14:textId="77777777" w:rsidR="00CF22BD" w:rsidRPr="00F67DB7" w:rsidRDefault="00CF22BD" w:rsidP="00CF22BD">
                  <w:pPr>
                    <w:jc w:val="center"/>
                    <w:rPr>
                      <w:rFonts w:cs="Arial"/>
                      <w:color w:val="00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6B"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£228,600</w:t>
                  </w:r>
                </w:p>
              </w:tc>
            </w:tr>
            <w:tr w:rsidR="00CF22BD" w:rsidRPr="00F67DB7" w14:paraId="0D887671" w14:textId="77777777" w:rsidTr="00F67DB7">
              <w:trPr>
                <w:trHeight w:val="450"/>
              </w:trPr>
              <w:tc>
                <w:tcPr>
                  <w:tcW w:w="470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D88766D" w14:textId="77777777" w:rsidR="00CF22BD" w:rsidRPr="00F67DB7" w:rsidRDefault="00CF22BD" w:rsidP="00CF22BD">
                  <w:pPr>
                    <w:rPr>
                      <w:rFonts w:cs="Arial"/>
                      <w:color w:val="000000"/>
                      <w:sz w:val="20"/>
                      <w:szCs w:val="20"/>
                      <w:lang w:eastAsia="en-GB"/>
                    </w:rPr>
                  </w:pPr>
                  <w:r w:rsidRPr="00F67DB7">
                    <w:rPr>
                      <w:rFonts w:cs="Arial"/>
                      <w:color w:val="000000"/>
                      <w:sz w:val="20"/>
                      <w:szCs w:val="20"/>
                      <w:lang w:eastAsia="en-GB"/>
                    </w:rPr>
                    <w:t>NR01 Non Regulated Activity</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tcPr>
                <w:p w14:paraId="0D88766E" w14:textId="77777777" w:rsidR="00CF22BD" w:rsidRPr="00F67DB7" w:rsidRDefault="00CF22BD" w:rsidP="00CF22BD">
                  <w:pPr>
                    <w:jc w:val="center"/>
                    <w:rPr>
                      <w:rFonts w:cs="Arial"/>
                      <w:sz w:val="20"/>
                      <w:szCs w:val="20"/>
                      <w:lang w:eastAsia="en-GB"/>
                    </w:rPr>
                  </w:pP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0D88766F" w14:textId="77777777" w:rsidR="00CF22BD" w:rsidRPr="00F67DB7" w:rsidRDefault="00CF22BD" w:rsidP="00CF22BD">
                  <w:pPr>
                    <w:jc w:val="center"/>
                    <w:rPr>
                      <w:rFonts w:cs="Arial"/>
                      <w:color w:val="000000"/>
                      <w:sz w:val="20"/>
                      <w:szCs w:val="20"/>
                      <w:lang w:eastAsia="en-GB"/>
                    </w:rPr>
                  </w:pP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887670"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£228,600</w:t>
                  </w:r>
                </w:p>
              </w:tc>
            </w:tr>
            <w:tr w:rsidR="00CF22BD" w:rsidRPr="00F67DB7" w14:paraId="0D887676" w14:textId="77777777" w:rsidTr="00F67DB7">
              <w:trPr>
                <w:trHeight w:val="450"/>
              </w:trPr>
              <w:tc>
                <w:tcPr>
                  <w:tcW w:w="470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D887672" w14:textId="77777777" w:rsidR="00CF22BD" w:rsidRPr="00F67DB7" w:rsidRDefault="00CF22BD" w:rsidP="00CF22BD">
                  <w:pPr>
                    <w:rPr>
                      <w:rFonts w:cs="Arial"/>
                      <w:color w:val="000000"/>
                      <w:sz w:val="20"/>
                      <w:szCs w:val="20"/>
                      <w:lang w:eastAsia="en-GB"/>
                    </w:rPr>
                  </w:pPr>
                  <w:r w:rsidRPr="00F67DB7">
                    <w:rPr>
                      <w:rFonts w:cs="Arial"/>
                      <w:color w:val="000000"/>
                      <w:sz w:val="20"/>
                      <w:szCs w:val="20"/>
                      <w:lang w:eastAsia="en-GB"/>
                    </w:rPr>
                    <w:t>PG01 Progression Paid Employment (EMP)</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87673"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271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74"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£1,050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75"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£284,550</w:t>
                  </w:r>
                </w:p>
              </w:tc>
            </w:tr>
            <w:tr w:rsidR="00CF22BD" w:rsidRPr="00F67DB7" w14:paraId="0D88767B" w14:textId="77777777" w:rsidTr="00F67DB7">
              <w:trPr>
                <w:trHeight w:val="450"/>
              </w:trPr>
              <w:tc>
                <w:tcPr>
                  <w:tcW w:w="470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D887677" w14:textId="77777777" w:rsidR="00CF22BD" w:rsidRPr="00F67DB7" w:rsidRDefault="00CF22BD" w:rsidP="00CF22BD">
                  <w:pPr>
                    <w:rPr>
                      <w:rFonts w:cs="Arial"/>
                      <w:color w:val="000000"/>
                      <w:sz w:val="20"/>
                      <w:szCs w:val="20"/>
                      <w:lang w:eastAsia="en-GB"/>
                    </w:rPr>
                  </w:pPr>
                  <w:r w:rsidRPr="00F67DB7">
                    <w:rPr>
                      <w:rFonts w:cs="Arial"/>
                      <w:color w:val="000000"/>
                      <w:sz w:val="20"/>
                      <w:szCs w:val="20"/>
                      <w:lang w:eastAsia="en-GB"/>
                    </w:rPr>
                    <w:t>PG04 Progression Apprenticeship (EDU)</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D887678" w14:textId="77777777" w:rsidR="00CF22BD" w:rsidRPr="00F67DB7" w:rsidRDefault="00CF22BD" w:rsidP="00CF22BD">
                  <w:pPr>
                    <w:jc w:val="center"/>
                    <w:rPr>
                      <w:rFonts w:cs="Arial"/>
                      <w:sz w:val="20"/>
                      <w:szCs w:val="20"/>
                      <w:lang w:eastAsia="en-GB"/>
                    </w:rPr>
                  </w:pPr>
                  <w:r w:rsidRPr="00F67DB7">
                    <w:rPr>
                      <w:rFonts w:cs="Arial"/>
                      <w:sz w:val="20"/>
                      <w:szCs w:val="20"/>
                      <w:lang w:eastAsia="en-GB"/>
                    </w:rPr>
                    <w:t>68</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887679"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£1,050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88767A"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£71,400</w:t>
                  </w:r>
                </w:p>
              </w:tc>
            </w:tr>
            <w:tr w:rsidR="00CF22BD" w:rsidRPr="00F67DB7" w14:paraId="0D887680" w14:textId="77777777" w:rsidTr="00F67DB7">
              <w:trPr>
                <w:trHeight w:val="564"/>
              </w:trPr>
              <w:tc>
                <w:tcPr>
                  <w:tcW w:w="470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D88767C" w14:textId="77777777" w:rsidR="00CF22BD" w:rsidRPr="00F67DB7" w:rsidRDefault="00CF22BD" w:rsidP="00CF22BD">
                  <w:pPr>
                    <w:rPr>
                      <w:rFonts w:cs="Arial"/>
                      <w:color w:val="000000"/>
                      <w:sz w:val="20"/>
                      <w:szCs w:val="20"/>
                      <w:lang w:eastAsia="en-GB"/>
                    </w:rPr>
                  </w:pPr>
                  <w:r w:rsidRPr="00F67DB7">
                    <w:rPr>
                      <w:rFonts w:cs="Arial"/>
                      <w:color w:val="000000"/>
                      <w:sz w:val="20"/>
                      <w:szCs w:val="20"/>
                      <w:lang w:eastAsia="en-GB"/>
                    </w:rPr>
                    <w:t xml:space="preserve">SD01 Sustained progression in employment or apprenticeship for six months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8767D" w14:textId="77777777" w:rsidR="00CF22BD" w:rsidRPr="00F67DB7" w:rsidRDefault="00CF22BD" w:rsidP="00CF22BD">
                  <w:pPr>
                    <w:jc w:val="center"/>
                    <w:rPr>
                      <w:rFonts w:cs="Arial"/>
                      <w:sz w:val="20"/>
                      <w:szCs w:val="20"/>
                      <w:lang w:eastAsia="en-GB"/>
                    </w:rPr>
                  </w:pPr>
                  <w:r w:rsidRPr="00F67DB7">
                    <w:rPr>
                      <w:rFonts w:cs="Arial"/>
                      <w:sz w:val="20"/>
                      <w:szCs w:val="20"/>
                      <w:lang w:eastAsia="en-GB"/>
                    </w:rPr>
                    <w:t>163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7E"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£1,650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7F"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£268,950</w:t>
                  </w:r>
                </w:p>
              </w:tc>
            </w:tr>
            <w:tr w:rsidR="00CF22BD" w:rsidRPr="00F67DB7" w14:paraId="0D887685" w14:textId="77777777" w:rsidTr="00F67DB7">
              <w:trPr>
                <w:trHeight w:val="540"/>
              </w:trPr>
              <w:tc>
                <w:tcPr>
                  <w:tcW w:w="4702"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D887681" w14:textId="77777777" w:rsidR="00CF22BD" w:rsidRPr="00F67DB7" w:rsidRDefault="00CF22BD" w:rsidP="00CF22BD">
                  <w:pPr>
                    <w:rPr>
                      <w:rFonts w:cs="Arial"/>
                      <w:color w:val="000000"/>
                      <w:sz w:val="20"/>
                      <w:szCs w:val="20"/>
                      <w:lang w:eastAsia="en-GB"/>
                    </w:rPr>
                  </w:pPr>
                  <w:r w:rsidRPr="00F67DB7">
                    <w:rPr>
                      <w:rFonts w:cs="Arial"/>
                      <w:color w:val="000000"/>
                      <w:sz w:val="20"/>
                      <w:szCs w:val="20"/>
                      <w:lang w:eastAsia="en-GB"/>
                    </w:rPr>
                    <w:t>SD02 Learner starts a full qualification after progressing into employment</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D887682" w14:textId="77777777" w:rsidR="00CF22BD" w:rsidRPr="00F67DB7" w:rsidRDefault="00CF22BD" w:rsidP="00CF22BD">
                  <w:pPr>
                    <w:jc w:val="center"/>
                    <w:rPr>
                      <w:rFonts w:cs="Arial"/>
                      <w:sz w:val="20"/>
                      <w:szCs w:val="20"/>
                      <w:lang w:eastAsia="en-GB"/>
                    </w:rPr>
                  </w:pPr>
                  <w:r w:rsidRPr="00F67DB7">
                    <w:rPr>
                      <w:rFonts w:cs="Arial"/>
                      <w:sz w:val="20"/>
                      <w:szCs w:val="20"/>
                      <w:lang w:eastAsia="en-GB"/>
                    </w:rPr>
                    <w:t>85</w:t>
                  </w:r>
                </w:p>
              </w:tc>
              <w:tc>
                <w:tcPr>
                  <w:tcW w:w="141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887683"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£350</w:t>
                  </w:r>
                </w:p>
              </w:tc>
              <w:tc>
                <w:tcPr>
                  <w:tcW w:w="1276"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887684"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£29,750</w:t>
                  </w:r>
                </w:p>
              </w:tc>
            </w:tr>
            <w:tr w:rsidR="00CF22BD" w:rsidRPr="00F67DB7" w14:paraId="0D88768A" w14:textId="77777777" w:rsidTr="00F67DB7">
              <w:trPr>
                <w:trHeight w:val="450"/>
              </w:trPr>
              <w:tc>
                <w:tcPr>
                  <w:tcW w:w="4702"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D887686" w14:textId="77777777" w:rsidR="00CF22BD" w:rsidRPr="00F67DB7" w:rsidRDefault="00CF22BD" w:rsidP="00CF22BD">
                  <w:pPr>
                    <w:rPr>
                      <w:rFonts w:cs="Arial"/>
                      <w:color w:val="000000"/>
                      <w:sz w:val="20"/>
                      <w:szCs w:val="20"/>
                      <w:lang w:eastAsia="en-GB"/>
                    </w:rPr>
                  </w:pPr>
                  <w:r w:rsidRPr="00F67DB7">
                    <w:rPr>
                      <w:rFonts w:cs="Arial"/>
                      <w:color w:val="000000"/>
                      <w:sz w:val="20"/>
                      <w:szCs w:val="20"/>
                      <w:lang w:eastAsia="en-GB"/>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87687" w14:textId="77777777" w:rsidR="00CF22BD" w:rsidRPr="00F67DB7" w:rsidRDefault="00CF22BD" w:rsidP="00CF22BD">
                  <w:pPr>
                    <w:jc w:val="center"/>
                    <w:rPr>
                      <w:rFonts w:cs="Arial"/>
                      <w:sz w:val="20"/>
                      <w:szCs w:val="20"/>
                      <w:lang w:eastAsia="en-GB"/>
                    </w:rPr>
                  </w:pPr>
                  <w:r w:rsidRPr="00F67DB7">
                    <w:rPr>
                      <w:rFonts w:cs="Arial"/>
                      <w:sz w:val="20"/>
                      <w:szCs w:val="20"/>
                      <w:lang w:eastAsia="en-GB"/>
                    </w:rPr>
                    <w:t> </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88"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 </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89"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£1,365,950</w:t>
                  </w:r>
                </w:p>
              </w:tc>
            </w:tr>
          </w:tbl>
          <w:p w14:paraId="0D88768B" w14:textId="77777777" w:rsidR="00CF22BD" w:rsidRDefault="00CF22BD" w:rsidP="00A005EF">
            <w:pPr>
              <w:autoSpaceDE w:val="0"/>
              <w:autoSpaceDN w:val="0"/>
              <w:adjustRightInd w:val="0"/>
              <w:rPr>
                <w:rFonts w:cs="Arial"/>
              </w:rPr>
            </w:pPr>
          </w:p>
          <w:p w14:paraId="0D88768C" w14:textId="77777777" w:rsidR="00F67DB7" w:rsidRDefault="00F67DB7" w:rsidP="00A005EF">
            <w:pPr>
              <w:autoSpaceDE w:val="0"/>
              <w:autoSpaceDN w:val="0"/>
              <w:adjustRightInd w:val="0"/>
              <w:rPr>
                <w:rFonts w:cs="Arial"/>
              </w:rPr>
            </w:pPr>
          </w:p>
          <w:p w14:paraId="0D88768D" w14:textId="77777777" w:rsidR="00FF66E5" w:rsidRPr="00F67DB7" w:rsidRDefault="005608E8" w:rsidP="00A005EF">
            <w:pPr>
              <w:autoSpaceDE w:val="0"/>
              <w:autoSpaceDN w:val="0"/>
              <w:adjustRightInd w:val="0"/>
              <w:rPr>
                <w:rFonts w:cs="Arial"/>
                <w:b/>
              </w:rPr>
            </w:pPr>
            <w:r w:rsidRPr="00F67DB7">
              <w:rPr>
                <w:rFonts w:cs="Arial"/>
                <w:b/>
              </w:rPr>
              <w:t>Lot 4</w:t>
            </w:r>
            <w:r w:rsidR="00F67DB7" w:rsidRPr="00F67DB7">
              <w:rPr>
                <w:rFonts w:cs="Arial"/>
                <w:b/>
              </w:rPr>
              <w:t xml:space="preserve">:  </w:t>
            </w:r>
            <w:r w:rsidR="00FF66E5" w:rsidRPr="00F67DB7">
              <w:rPr>
                <w:rFonts w:cs="Arial"/>
                <w:b/>
              </w:rPr>
              <w:t xml:space="preserve">South London - </w:t>
            </w:r>
            <w:r w:rsidR="00CF22BD" w:rsidRPr="00F67DB7">
              <w:rPr>
                <w:rFonts w:cs="Arial"/>
                <w:b/>
              </w:rPr>
              <w:t>£468,850</w:t>
            </w:r>
          </w:p>
          <w:p w14:paraId="0D88768E" w14:textId="77777777" w:rsidR="00FF66E5" w:rsidRDefault="00FF66E5" w:rsidP="00A005EF">
            <w:pPr>
              <w:autoSpaceDE w:val="0"/>
              <w:autoSpaceDN w:val="0"/>
              <w:adjustRightInd w:val="0"/>
              <w:rPr>
                <w:rFonts w:cs="Arial"/>
              </w:rPr>
            </w:pPr>
          </w:p>
          <w:tbl>
            <w:tblPr>
              <w:tblW w:w="8900" w:type="dxa"/>
              <w:tblLayout w:type="fixed"/>
              <w:tblLook w:val="04A0" w:firstRow="1" w:lastRow="0" w:firstColumn="1" w:lastColumn="0" w:noHBand="0" w:noVBand="1"/>
            </w:tblPr>
            <w:tblGrid>
              <w:gridCol w:w="5127"/>
              <w:gridCol w:w="1276"/>
              <w:gridCol w:w="1397"/>
              <w:gridCol w:w="1100"/>
            </w:tblGrid>
            <w:tr w:rsidR="00CF22BD" w:rsidRPr="00F67DB7" w14:paraId="0D887693" w14:textId="77777777" w:rsidTr="00F67DB7">
              <w:trPr>
                <w:trHeight w:val="840"/>
              </w:trPr>
              <w:tc>
                <w:tcPr>
                  <w:tcW w:w="512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88768F" w14:textId="77777777" w:rsidR="00CF22BD" w:rsidRPr="00F67DB7" w:rsidRDefault="000C2C49" w:rsidP="00CF22BD">
                  <w:pPr>
                    <w:rPr>
                      <w:rFonts w:cs="Arial"/>
                      <w:b/>
                      <w:bCs/>
                      <w:color w:val="000000"/>
                      <w:sz w:val="20"/>
                      <w:szCs w:val="20"/>
                      <w:lang w:eastAsia="en-GB"/>
                    </w:rPr>
                  </w:pPr>
                  <w:r w:rsidRPr="00F67DB7">
                    <w:rPr>
                      <w:rFonts w:cs="Arial"/>
                      <w:sz w:val="20"/>
                      <w:szCs w:val="20"/>
                    </w:rPr>
                    <w:t> </w:t>
                  </w:r>
                  <w:r w:rsidR="00CF22BD" w:rsidRPr="00F67DB7">
                    <w:rPr>
                      <w:rFonts w:cs="Arial"/>
                      <w:b/>
                      <w:bCs/>
                      <w:color w:val="000000"/>
                      <w:sz w:val="20"/>
                      <w:szCs w:val="20"/>
                      <w:lang w:eastAsia="en-GB"/>
                    </w:rPr>
                    <w:t>Description</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887690" w14:textId="77777777" w:rsidR="00CF22BD" w:rsidRPr="00F67DB7" w:rsidRDefault="00CF22BD" w:rsidP="00CF22BD">
                  <w:pPr>
                    <w:jc w:val="center"/>
                    <w:rPr>
                      <w:rFonts w:cs="Arial"/>
                      <w:b/>
                      <w:bCs/>
                      <w:color w:val="000000"/>
                      <w:sz w:val="20"/>
                      <w:szCs w:val="20"/>
                      <w:lang w:eastAsia="en-GB"/>
                    </w:rPr>
                  </w:pPr>
                  <w:r w:rsidRPr="00F67DB7">
                    <w:rPr>
                      <w:rFonts w:cs="Arial"/>
                      <w:b/>
                      <w:bCs/>
                      <w:color w:val="000000"/>
                      <w:sz w:val="20"/>
                      <w:szCs w:val="20"/>
                      <w:lang w:eastAsia="en-GB"/>
                    </w:rPr>
                    <w:t>Volumes</w:t>
                  </w:r>
                </w:p>
              </w:tc>
              <w:tc>
                <w:tcPr>
                  <w:tcW w:w="1397"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887691" w14:textId="77777777" w:rsidR="00CF22BD" w:rsidRPr="00F67DB7" w:rsidRDefault="00CF22BD" w:rsidP="00CF22BD">
                  <w:pPr>
                    <w:jc w:val="center"/>
                    <w:rPr>
                      <w:rFonts w:cs="Arial"/>
                      <w:b/>
                      <w:bCs/>
                      <w:color w:val="000000"/>
                      <w:sz w:val="20"/>
                      <w:szCs w:val="20"/>
                      <w:lang w:eastAsia="en-GB"/>
                    </w:rPr>
                  </w:pPr>
                  <w:r w:rsidRPr="00F67DB7">
                    <w:rPr>
                      <w:rFonts w:cs="Arial"/>
                      <w:b/>
                      <w:bCs/>
                      <w:color w:val="000000"/>
                      <w:sz w:val="20"/>
                      <w:szCs w:val="20"/>
                      <w:lang w:eastAsia="en-GB"/>
                    </w:rPr>
                    <w:t>Unit Cost Total Value Average per Intervention</w:t>
                  </w:r>
                </w:p>
              </w:tc>
              <w:tc>
                <w:tcPr>
                  <w:tcW w:w="1100" w:type="dxa"/>
                  <w:tcBorders>
                    <w:top w:val="single" w:sz="4" w:space="0" w:color="auto"/>
                    <w:left w:val="single" w:sz="4" w:space="0" w:color="auto"/>
                    <w:bottom w:val="single" w:sz="12" w:space="0" w:color="auto"/>
                    <w:right w:val="single" w:sz="4" w:space="0" w:color="auto"/>
                  </w:tcBorders>
                  <w:shd w:val="clear" w:color="auto" w:fill="auto"/>
                  <w:vAlign w:val="center"/>
                  <w:hideMark/>
                </w:tcPr>
                <w:p w14:paraId="0D887692" w14:textId="77777777" w:rsidR="00CF22BD" w:rsidRPr="00F67DB7" w:rsidRDefault="00CF22BD" w:rsidP="00CF22BD">
                  <w:pPr>
                    <w:jc w:val="center"/>
                    <w:rPr>
                      <w:rFonts w:cs="Arial"/>
                      <w:b/>
                      <w:bCs/>
                      <w:color w:val="000000"/>
                      <w:sz w:val="20"/>
                      <w:szCs w:val="20"/>
                      <w:lang w:eastAsia="en-GB"/>
                    </w:rPr>
                  </w:pPr>
                  <w:r w:rsidRPr="00F67DB7">
                    <w:rPr>
                      <w:rFonts w:cs="Arial"/>
                      <w:b/>
                      <w:bCs/>
                      <w:color w:val="000000"/>
                      <w:sz w:val="20"/>
                      <w:szCs w:val="20"/>
                      <w:lang w:eastAsia="en-GB"/>
                    </w:rPr>
                    <w:t>£</w:t>
                  </w:r>
                </w:p>
              </w:tc>
            </w:tr>
            <w:tr w:rsidR="00CF22BD" w:rsidRPr="00F67DB7" w14:paraId="0D887698" w14:textId="77777777" w:rsidTr="00F67DB7">
              <w:trPr>
                <w:trHeight w:val="450"/>
              </w:trPr>
              <w:tc>
                <w:tcPr>
                  <w:tcW w:w="5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D887694" w14:textId="77777777" w:rsidR="00CF22BD" w:rsidRPr="00F67DB7" w:rsidRDefault="00CF22BD" w:rsidP="00CF22BD">
                  <w:pPr>
                    <w:rPr>
                      <w:rFonts w:cs="Arial"/>
                      <w:color w:val="000000"/>
                      <w:sz w:val="20"/>
                      <w:szCs w:val="20"/>
                      <w:lang w:eastAsia="en-GB"/>
                    </w:rPr>
                  </w:pPr>
                  <w:r w:rsidRPr="00F67DB7">
                    <w:rPr>
                      <w:rFonts w:cs="Arial"/>
                      <w:color w:val="000000"/>
                      <w:sz w:val="20"/>
                      <w:szCs w:val="20"/>
                      <w:lang w:eastAsia="en-GB"/>
                    </w:rPr>
                    <w:t xml:space="preserve">ST01 Learner Assessment and Plan </w:t>
                  </w:r>
                </w:p>
              </w:tc>
              <w:tc>
                <w:tcPr>
                  <w:tcW w:w="1276"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D887695"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291</w:t>
                  </w:r>
                </w:p>
              </w:tc>
              <w:tc>
                <w:tcPr>
                  <w:tcW w:w="1397"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D887696"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£300</w:t>
                  </w:r>
                </w:p>
              </w:tc>
              <w:tc>
                <w:tcPr>
                  <w:tcW w:w="1100" w:type="dxa"/>
                  <w:tcBorders>
                    <w:top w:val="single" w:sz="4" w:space="0" w:color="000000"/>
                    <w:left w:val="single" w:sz="4" w:space="0" w:color="auto"/>
                    <w:bottom w:val="single" w:sz="4" w:space="0" w:color="auto"/>
                    <w:right w:val="single" w:sz="4" w:space="0" w:color="auto"/>
                  </w:tcBorders>
                  <w:shd w:val="clear" w:color="D9D9D9" w:fill="D9D9D9"/>
                  <w:noWrap/>
                  <w:vAlign w:val="center"/>
                  <w:hideMark/>
                </w:tcPr>
                <w:p w14:paraId="0D887697"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£87,300</w:t>
                  </w:r>
                </w:p>
              </w:tc>
            </w:tr>
            <w:tr w:rsidR="00CF22BD" w:rsidRPr="00F67DB7" w14:paraId="0D88769D" w14:textId="77777777" w:rsidTr="00F67DB7">
              <w:trPr>
                <w:trHeight w:val="450"/>
              </w:trPr>
              <w:tc>
                <w:tcPr>
                  <w:tcW w:w="5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D887699" w14:textId="77777777" w:rsidR="00CF22BD" w:rsidRPr="00F67DB7" w:rsidRDefault="00CF22BD" w:rsidP="00CF22BD">
                  <w:pPr>
                    <w:rPr>
                      <w:rFonts w:cs="Arial"/>
                      <w:color w:val="000000"/>
                      <w:sz w:val="20"/>
                      <w:szCs w:val="20"/>
                      <w:lang w:eastAsia="en-GB"/>
                    </w:rPr>
                  </w:pPr>
                  <w:r w:rsidRPr="00F67DB7">
                    <w:rPr>
                      <w:rFonts w:cs="Arial"/>
                      <w:color w:val="000000"/>
                      <w:sz w:val="20"/>
                      <w:szCs w:val="20"/>
                      <w:lang w:eastAsia="en-GB"/>
                    </w:rPr>
                    <w:t>RQ01 Regulated Learning</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D88769A" w14:textId="77777777" w:rsidR="00CF22BD" w:rsidRPr="00F67DB7" w:rsidRDefault="00CF22BD" w:rsidP="00CF22BD">
                  <w:pPr>
                    <w:jc w:val="center"/>
                    <w:rPr>
                      <w:rFonts w:cs="Arial"/>
                      <w:sz w:val="20"/>
                      <w:szCs w:val="20"/>
                      <w:lang w:eastAsia="en-GB"/>
                    </w:rPr>
                  </w:pP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D88769B" w14:textId="77777777" w:rsidR="00CF22BD" w:rsidRPr="00F67DB7" w:rsidRDefault="00CF22BD" w:rsidP="00CF22BD">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9C"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£78,600</w:t>
                  </w:r>
                </w:p>
              </w:tc>
            </w:tr>
            <w:tr w:rsidR="00CF22BD" w:rsidRPr="00F67DB7" w14:paraId="0D8876A2" w14:textId="77777777" w:rsidTr="00F67DB7">
              <w:trPr>
                <w:trHeight w:val="450"/>
              </w:trPr>
              <w:tc>
                <w:tcPr>
                  <w:tcW w:w="5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D88769E" w14:textId="77777777" w:rsidR="00CF22BD" w:rsidRPr="00F67DB7" w:rsidRDefault="00CF22BD" w:rsidP="00CF22BD">
                  <w:pPr>
                    <w:rPr>
                      <w:rFonts w:cs="Arial"/>
                      <w:color w:val="000000"/>
                      <w:sz w:val="20"/>
                      <w:szCs w:val="20"/>
                      <w:lang w:eastAsia="en-GB"/>
                    </w:rPr>
                  </w:pPr>
                  <w:r w:rsidRPr="00F67DB7">
                    <w:rPr>
                      <w:rFonts w:cs="Arial"/>
                      <w:color w:val="000000"/>
                      <w:sz w:val="20"/>
                      <w:szCs w:val="20"/>
                      <w:lang w:eastAsia="en-GB"/>
                    </w:rPr>
                    <w:t>NR01 Non Regulated Activity</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tcPr>
                <w:p w14:paraId="0D88769F" w14:textId="77777777" w:rsidR="00CF22BD" w:rsidRPr="00F67DB7" w:rsidRDefault="00CF22BD" w:rsidP="00CF22BD">
                  <w:pPr>
                    <w:jc w:val="center"/>
                    <w:rPr>
                      <w:rFonts w:cs="Arial"/>
                      <w:sz w:val="20"/>
                      <w:szCs w:val="20"/>
                      <w:lang w:eastAsia="en-GB"/>
                    </w:rPr>
                  </w:pPr>
                </w:p>
              </w:tc>
              <w:tc>
                <w:tcPr>
                  <w:tcW w:w="1397" w:type="dxa"/>
                  <w:tcBorders>
                    <w:top w:val="single" w:sz="4" w:space="0" w:color="auto"/>
                    <w:left w:val="single" w:sz="4" w:space="0" w:color="auto"/>
                    <w:bottom w:val="single" w:sz="4" w:space="0" w:color="auto"/>
                    <w:right w:val="single" w:sz="4" w:space="0" w:color="auto"/>
                  </w:tcBorders>
                  <w:shd w:val="clear" w:color="D9D9D9" w:fill="D9D9D9"/>
                  <w:noWrap/>
                  <w:vAlign w:val="center"/>
                </w:tcPr>
                <w:p w14:paraId="0D8876A0" w14:textId="77777777" w:rsidR="00CF22BD" w:rsidRPr="00F67DB7" w:rsidRDefault="00CF22BD" w:rsidP="00CF22BD">
                  <w:pPr>
                    <w:jc w:val="center"/>
                    <w:rPr>
                      <w:rFonts w:cs="Arial"/>
                      <w:color w:val="000000"/>
                      <w:sz w:val="20"/>
                      <w:szCs w:val="20"/>
                      <w:lang w:eastAsia="en-GB"/>
                    </w:rPr>
                  </w:pPr>
                </w:p>
              </w:tc>
              <w:tc>
                <w:tcPr>
                  <w:tcW w:w="11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8876A1"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£78,600</w:t>
                  </w:r>
                </w:p>
              </w:tc>
            </w:tr>
            <w:tr w:rsidR="00CF22BD" w:rsidRPr="00F67DB7" w14:paraId="0D8876A7" w14:textId="77777777" w:rsidTr="00F67DB7">
              <w:trPr>
                <w:trHeight w:val="450"/>
              </w:trPr>
              <w:tc>
                <w:tcPr>
                  <w:tcW w:w="5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D8876A3" w14:textId="77777777" w:rsidR="00CF22BD" w:rsidRPr="00F67DB7" w:rsidRDefault="00CF22BD" w:rsidP="00CF22BD">
                  <w:pPr>
                    <w:rPr>
                      <w:rFonts w:cs="Arial"/>
                      <w:color w:val="000000"/>
                      <w:sz w:val="20"/>
                      <w:szCs w:val="20"/>
                      <w:lang w:eastAsia="en-GB"/>
                    </w:rPr>
                  </w:pPr>
                  <w:r w:rsidRPr="00F67DB7">
                    <w:rPr>
                      <w:rFonts w:cs="Arial"/>
                      <w:color w:val="000000"/>
                      <w:sz w:val="20"/>
                      <w:szCs w:val="20"/>
                      <w:lang w:eastAsia="en-GB"/>
                    </w:rPr>
                    <w:t>PG01 Progression Paid Employment (EMP)</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876A4"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93</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A5"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£1,050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A6"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£97,650</w:t>
                  </w:r>
                </w:p>
              </w:tc>
            </w:tr>
            <w:tr w:rsidR="00CF22BD" w:rsidRPr="00F67DB7" w14:paraId="0D8876AC" w14:textId="77777777" w:rsidTr="00F67DB7">
              <w:trPr>
                <w:trHeight w:val="450"/>
              </w:trPr>
              <w:tc>
                <w:tcPr>
                  <w:tcW w:w="5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D8876A8" w14:textId="77777777" w:rsidR="00CF22BD" w:rsidRPr="00F67DB7" w:rsidRDefault="00CF22BD" w:rsidP="00CF22BD">
                  <w:pPr>
                    <w:rPr>
                      <w:rFonts w:cs="Arial"/>
                      <w:color w:val="000000"/>
                      <w:sz w:val="20"/>
                      <w:szCs w:val="20"/>
                      <w:lang w:eastAsia="en-GB"/>
                    </w:rPr>
                  </w:pPr>
                  <w:r w:rsidRPr="00F67DB7">
                    <w:rPr>
                      <w:rFonts w:cs="Arial"/>
                      <w:color w:val="000000"/>
                      <w:sz w:val="20"/>
                      <w:szCs w:val="20"/>
                      <w:lang w:eastAsia="en-GB"/>
                    </w:rPr>
                    <w:t>PG04 Progression Apprenticeship (EDU)</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D8876A9" w14:textId="77777777" w:rsidR="00CF22BD" w:rsidRPr="00F67DB7" w:rsidRDefault="00CF22BD" w:rsidP="00CF22BD">
                  <w:pPr>
                    <w:jc w:val="center"/>
                    <w:rPr>
                      <w:rFonts w:cs="Arial"/>
                      <w:sz w:val="20"/>
                      <w:szCs w:val="20"/>
                      <w:lang w:eastAsia="en-GB"/>
                    </w:rPr>
                  </w:pPr>
                  <w:r w:rsidRPr="00F67DB7">
                    <w:rPr>
                      <w:rFonts w:cs="Arial"/>
                      <w:sz w:val="20"/>
                      <w:szCs w:val="20"/>
                      <w:lang w:eastAsia="en-GB"/>
                    </w:rPr>
                    <w:t>23</w:t>
                  </w:r>
                </w:p>
              </w:tc>
              <w:tc>
                <w:tcPr>
                  <w:tcW w:w="139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8876AA"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£1,050</w:t>
                  </w:r>
                </w:p>
              </w:tc>
              <w:tc>
                <w:tcPr>
                  <w:tcW w:w="11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8876AB"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£24,150</w:t>
                  </w:r>
                </w:p>
              </w:tc>
            </w:tr>
            <w:tr w:rsidR="00CF22BD" w:rsidRPr="00F67DB7" w14:paraId="0D8876B1" w14:textId="77777777" w:rsidTr="00F67DB7">
              <w:trPr>
                <w:trHeight w:val="612"/>
              </w:trPr>
              <w:tc>
                <w:tcPr>
                  <w:tcW w:w="5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D8876AD" w14:textId="77777777" w:rsidR="00CF22BD" w:rsidRPr="00F67DB7" w:rsidRDefault="00CF22BD" w:rsidP="00CF22BD">
                  <w:pPr>
                    <w:rPr>
                      <w:rFonts w:cs="Arial"/>
                      <w:color w:val="000000"/>
                      <w:sz w:val="20"/>
                      <w:szCs w:val="20"/>
                      <w:lang w:eastAsia="en-GB"/>
                    </w:rPr>
                  </w:pPr>
                  <w:r w:rsidRPr="00F67DB7">
                    <w:rPr>
                      <w:rFonts w:cs="Arial"/>
                      <w:color w:val="000000"/>
                      <w:sz w:val="20"/>
                      <w:szCs w:val="20"/>
                      <w:lang w:eastAsia="en-GB"/>
                    </w:rPr>
                    <w:t xml:space="preserve">SD01 Sustained progression in employment or apprenticeship for six months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876AE" w14:textId="77777777" w:rsidR="00CF22BD" w:rsidRPr="00F67DB7" w:rsidRDefault="00CF22BD" w:rsidP="00CF22BD">
                  <w:pPr>
                    <w:jc w:val="center"/>
                    <w:rPr>
                      <w:rFonts w:cs="Arial"/>
                      <w:sz w:val="20"/>
                      <w:szCs w:val="20"/>
                      <w:lang w:eastAsia="en-GB"/>
                    </w:rPr>
                  </w:pPr>
                  <w:r w:rsidRPr="00F67DB7">
                    <w:rPr>
                      <w:rFonts w:cs="Arial"/>
                      <w:sz w:val="20"/>
                      <w:szCs w:val="20"/>
                      <w:lang w:eastAsia="en-GB"/>
                    </w:rPr>
                    <w:t>56</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AF"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£1,650</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B0"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£92,400</w:t>
                  </w:r>
                </w:p>
              </w:tc>
            </w:tr>
            <w:tr w:rsidR="00CF22BD" w:rsidRPr="00F67DB7" w14:paraId="0D8876B6" w14:textId="77777777" w:rsidTr="00F67DB7">
              <w:trPr>
                <w:trHeight w:val="732"/>
              </w:trPr>
              <w:tc>
                <w:tcPr>
                  <w:tcW w:w="5127" w:type="dxa"/>
                  <w:tcBorders>
                    <w:top w:val="single" w:sz="4" w:space="0" w:color="000000"/>
                    <w:left w:val="single" w:sz="4" w:space="0" w:color="auto"/>
                    <w:bottom w:val="single" w:sz="4" w:space="0" w:color="auto"/>
                    <w:right w:val="single" w:sz="4" w:space="0" w:color="auto"/>
                  </w:tcBorders>
                  <w:shd w:val="clear" w:color="D9D9D9" w:fill="D9D9D9"/>
                  <w:vAlign w:val="center"/>
                  <w:hideMark/>
                </w:tcPr>
                <w:p w14:paraId="0D8876B2" w14:textId="77777777" w:rsidR="00CF22BD" w:rsidRPr="00F67DB7" w:rsidRDefault="00CF22BD" w:rsidP="00CF22BD">
                  <w:pPr>
                    <w:rPr>
                      <w:rFonts w:cs="Arial"/>
                      <w:color w:val="000000"/>
                      <w:sz w:val="20"/>
                      <w:szCs w:val="20"/>
                      <w:lang w:eastAsia="en-GB"/>
                    </w:rPr>
                  </w:pPr>
                  <w:r w:rsidRPr="00F67DB7">
                    <w:rPr>
                      <w:rFonts w:cs="Arial"/>
                      <w:color w:val="000000"/>
                      <w:sz w:val="20"/>
                      <w:szCs w:val="20"/>
                      <w:lang w:eastAsia="en-GB"/>
                    </w:rPr>
                    <w:t>SD02 Learner starts a full qualification after progressing into employment</w:t>
                  </w:r>
                </w:p>
              </w:tc>
              <w:tc>
                <w:tcPr>
                  <w:tcW w:w="1276" w:type="dxa"/>
                  <w:tcBorders>
                    <w:top w:val="single" w:sz="4" w:space="0" w:color="auto"/>
                    <w:left w:val="single" w:sz="4" w:space="0" w:color="auto"/>
                    <w:bottom w:val="single" w:sz="4" w:space="0" w:color="auto"/>
                    <w:right w:val="single" w:sz="4" w:space="0" w:color="auto"/>
                  </w:tcBorders>
                  <w:shd w:val="clear" w:color="D9D9D9" w:fill="D9D9D9"/>
                  <w:vAlign w:val="center"/>
                  <w:hideMark/>
                </w:tcPr>
                <w:p w14:paraId="0D8876B3" w14:textId="77777777" w:rsidR="00CF22BD" w:rsidRPr="00F67DB7" w:rsidRDefault="00CF22BD" w:rsidP="00CF22BD">
                  <w:pPr>
                    <w:jc w:val="center"/>
                    <w:rPr>
                      <w:rFonts w:cs="Arial"/>
                      <w:sz w:val="20"/>
                      <w:szCs w:val="20"/>
                      <w:lang w:eastAsia="en-GB"/>
                    </w:rPr>
                  </w:pPr>
                  <w:r w:rsidRPr="00F67DB7">
                    <w:rPr>
                      <w:rFonts w:cs="Arial"/>
                      <w:sz w:val="20"/>
                      <w:szCs w:val="20"/>
                      <w:lang w:eastAsia="en-GB"/>
                    </w:rPr>
                    <w:t>29</w:t>
                  </w:r>
                </w:p>
              </w:tc>
              <w:tc>
                <w:tcPr>
                  <w:tcW w:w="1397"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8876B4"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£350</w:t>
                  </w:r>
                </w:p>
              </w:tc>
              <w:tc>
                <w:tcPr>
                  <w:tcW w:w="1100" w:type="dxa"/>
                  <w:tcBorders>
                    <w:top w:val="single" w:sz="4" w:space="0" w:color="auto"/>
                    <w:left w:val="single" w:sz="4" w:space="0" w:color="auto"/>
                    <w:bottom w:val="single" w:sz="4" w:space="0" w:color="auto"/>
                    <w:right w:val="single" w:sz="4" w:space="0" w:color="auto"/>
                  </w:tcBorders>
                  <w:shd w:val="clear" w:color="D9D9D9" w:fill="D9D9D9"/>
                  <w:noWrap/>
                  <w:vAlign w:val="center"/>
                  <w:hideMark/>
                </w:tcPr>
                <w:p w14:paraId="0D8876B5"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£10,150</w:t>
                  </w:r>
                </w:p>
              </w:tc>
            </w:tr>
            <w:tr w:rsidR="00CF22BD" w:rsidRPr="00F67DB7" w14:paraId="0D8876BB" w14:textId="77777777" w:rsidTr="00F67DB7">
              <w:trPr>
                <w:trHeight w:val="450"/>
              </w:trPr>
              <w:tc>
                <w:tcPr>
                  <w:tcW w:w="5127" w:type="dxa"/>
                  <w:tcBorders>
                    <w:top w:val="single" w:sz="4" w:space="0" w:color="000000"/>
                    <w:left w:val="single" w:sz="4" w:space="0" w:color="auto"/>
                    <w:bottom w:val="single" w:sz="4" w:space="0" w:color="auto"/>
                    <w:right w:val="single" w:sz="4" w:space="0" w:color="auto"/>
                  </w:tcBorders>
                  <w:shd w:val="clear" w:color="auto" w:fill="auto"/>
                  <w:vAlign w:val="center"/>
                  <w:hideMark/>
                </w:tcPr>
                <w:p w14:paraId="0D8876B7" w14:textId="77777777" w:rsidR="00CF22BD" w:rsidRPr="00F67DB7" w:rsidRDefault="00CF22BD" w:rsidP="00CF22BD">
                  <w:pPr>
                    <w:rPr>
                      <w:rFonts w:cs="Arial"/>
                      <w:color w:val="000000"/>
                      <w:sz w:val="20"/>
                      <w:szCs w:val="20"/>
                      <w:lang w:eastAsia="en-GB"/>
                    </w:rPr>
                  </w:pPr>
                  <w:r w:rsidRPr="00F67DB7">
                    <w:rPr>
                      <w:rFonts w:cs="Arial"/>
                      <w:color w:val="000000"/>
                      <w:sz w:val="20"/>
                      <w:szCs w:val="20"/>
                      <w:lang w:eastAsia="en-GB"/>
                    </w:rPr>
                    <w:t>Total</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8876B8" w14:textId="77777777" w:rsidR="00CF22BD" w:rsidRPr="00F67DB7" w:rsidRDefault="00CF22BD" w:rsidP="00CF22BD">
                  <w:pPr>
                    <w:jc w:val="center"/>
                    <w:rPr>
                      <w:rFonts w:cs="Arial"/>
                      <w:sz w:val="20"/>
                      <w:szCs w:val="20"/>
                      <w:lang w:eastAsia="en-GB"/>
                    </w:rPr>
                  </w:pPr>
                  <w:r w:rsidRPr="00F67DB7">
                    <w:rPr>
                      <w:rFonts w:cs="Arial"/>
                      <w:sz w:val="20"/>
                      <w:szCs w:val="20"/>
                      <w:lang w:eastAsia="en-GB"/>
                    </w:rPr>
                    <w:t> </w:t>
                  </w:r>
                </w:p>
              </w:tc>
              <w:tc>
                <w:tcPr>
                  <w:tcW w:w="139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B9"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 </w:t>
                  </w:r>
                </w:p>
              </w:tc>
              <w:tc>
                <w:tcPr>
                  <w:tcW w:w="11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8876BA" w14:textId="77777777" w:rsidR="00CF22BD" w:rsidRPr="00F67DB7" w:rsidRDefault="00CF22BD" w:rsidP="00CF22BD">
                  <w:pPr>
                    <w:jc w:val="center"/>
                    <w:rPr>
                      <w:rFonts w:cs="Arial"/>
                      <w:color w:val="000000"/>
                      <w:sz w:val="20"/>
                      <w:szCs w:val="20"/>
                      <w:lang w:eastAsia="en-GB"/>
                    </w:rPr>
                  </w:pPr>
                  <w:r w:rsidRPr="00F67DB7">
                    <w:rPr>
                      <w:rFonts w:cs="Arial"/>
                      <w:color w:val="000000"/>
                      <w:sz w:val="20"/>
                      <w:szCs w:val="20"/>
                      <w:lang w:eastAsia="en-GB"/>
                    </w:rPr>
                    <w:t>£468,850</w:t>
                  </w:r>
                </w:p>
              </w:tc>
            </w:tr>
          </w:tbl>
          <w:p w14:paraId="0D8876BC" w14:textId="77777777" w:rsidR="00CF22BD" w:rsidRDefault="00CF22BD" w:rsidP="005608E8">
            <w:pPr>
              <w:rPr>
                <w:rFonts w:cs="Arial"/>
                <w:b/>
              </w:rPr>
            </w:pPr>
          </w:p>
          <w:p w14:paraId="0D8876BD" w14:textId="77777777" w:rsidR="00CF22BD" w:rsidRDefault="00CF22BD" w:rsidP="005608E8">
            <w:pPr>
              <w:rPr>
                <w:rFonts w:cs="Arial"/>
                <w:b/>
              </w:rPr>
            </w:pPr>
          </w:p>
          <w:p w14:paraId="0D8876BE" w14:textId="77777777" w:rsidR="00CF22BD" w:rsidRDefault="00CF22BD" w:rsidP="005608E8">
            <w:pPr>
              <w:rPr>
                <w:rFonts w:cs="Arial"/>
                <w:b/>
              </w:rPr>
            </w:pPr>
          </w:p>
          <w:p w14:paraId="0D8876BF" w14:textId="77777777" w:rsidR="00344FA1" w:rsidRPr="00E55A2F" w:rsidRDefault="00344FA1" w:rsidP="005608E8">
            <w:pPr>
              <w:rPr>
                <w:rFonts w:cs="Arial"/>
                <w:b/>
              </w:rPr>
            </w:pPr>
          </w:p>
        </w:tc>
      </w:tr>
    </w:tbl>
    <w:p w14:paraId="0D8876C1" w14:textId="77777777" w:rsidR="00A005EF" w:rsidRDefault="00A005EF"/>
    <w:sectPr w:rsidR="00A005EF" w:rsidSect="0014799D">
      <w:headerReference w:type="default" r:id="rId20"/>
      <w:footerReference w:type="default" r:id="rId21"/>
      <w:type w:val="continuous"/>
      <w:pgSz w:w="11906" w:h="16838"/>
      <w:pgMar w:top="1418" w:right="1701" w:bottom="1418" w:left="1418" w:header="851"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C60F97" w14:textId="77777777" w:rsidR="00C72F48" w:rsidRDefault="00C72F48">
      <w:r>
        <w:separator/>
      </w:r>
    </w:p>
  </w:endnote>
  <w:endnote w:type="continuationSeparator" w:id="0">
    <w:p w14:paraId="31650446" w14:textId="77777777" w:rsidR="00C72F48" w:rsidRDefault="00C72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7279648"/>
      <w:docPartObj>
        <w:docPartGallery w:val="Page Numbers (Bottom of Page)"/>
        <w:docPartUnique/>
      </w:docPartObj>
    </w:sdtPr>
    <w:sdtEndPr>
      <w:rPr>
        <w:noProof/>
      </w:rPr>
    </w:sdtEndPr>
    <w:sdtContent>
      <w:p w14:paraId="0D8876CF" w14:textId="77777777" w:rsidR="005608E8" w:rsidRDefault="005608E8">
        <w:pPr>
          <w:pStyle w:val="Footer"/>
          <w:jc w:val="right"/>
          <w:rPr>
            <w:noProof/>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08"/>
          <w:gridCol w:w="3869"/>
        </w:tblGrid>
        <w:tr w:rsidR="005608E8" w14:paraId="0D8876D2" w14:textId="77777777" w:rsidTr="009808AC">
          <w:tc>
            <w:tcPr>
              <w:tcW w:w="4908" w:type="dxa"/>
            </w:tcPr>
            <w:p w14:paraId="0D8876D0" w14:textId="77777777" w:rsidR="005608E8" w:rsidRDefault="005608E8" w:rsidP="00A44796">
              <w:pPr>
                <w:pStyle w:val="Footer"/>
              </w:pPr>
              <w:r>
                <w:t xml:space="preserve"> </w:t>
              </w:r>
            </w:p>
          </w:tc>
          <w:tc>
            <w:tcPr>
              <w:tcW w:w="3869" w:type="dxa"/>
            </w:tcPr>
            <w:p w14:paraId="0D8876D1" w14:textId="77777777" w:rsidR="005608E8" w:rsidRDefault="005608E8" w:rsidP="009808AC">
              <w:pPr>
                <w:pStyle w:val="Footer"/>
                <w:jc w:val="right"/>
              </w:pPr>
              <w:r>
                <w:t xml:space="preserve"> </w:t>
              </w:r>
              <w:r>
                <w:rPr>
                  <w:b/>
                  <w:bCs/>
                </w:rPr>
                <w:fldChar w:fldCharType="begin"/>
              </w:r>
              <w:r>
                <w:rPr>
                  <w:b/>
                  <w:bCs/>
                </w:rPr>
                <w:instrText xml:space="preserve"> PAGE  \* Arabic  \* MERGEFORMAT </w:instrText>
              </w:r>
              <w:r>
                <w:rPr>
                  <w:b/>
                  <w:bCs/>
                </w:rPr>
                <w:fldChar w:fldCharType="separate"/>
              </w:r>
              <w:r w:rsidR="002E1322">
                <w:rPr>
                  <w:b/>
                  <w:bCs/>
                  <w:noProof/>
                </w:rPr>
                <w:t>19</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sidR="002E1322">
                <w:rPr>
                  <w:b/>
                  <w:bCs/>
                  <w:noProof/>
                </w:rPr>
                <w:t>19</w:t>
              </w:r>
              <w:r>
                <w:rPr>
                  <w:b/>
                  <w:bCs/>
                </w:rPr>
                <w:fldChar w:fldCharType="end"/>
              </w:r>
            </w:p>
          </w:tc>
        </w:tr>
      </w:tbl>
      <w:p w14:paraId="0D8876D3" w14:textId="77777777" w:rsidR="005608E8" w:rsidRDefault="005608E8" w:rsidP="00E55A2F">
        <w:pPr>
          <w:pStyle w:val="Footer"/>
          <w:tabs>
            <w:tab w:val="center" w:pos="4393"/>
            <w:tab w:val="right" w:pos="8787"/>
          </w:tabs>
        </w:pPr>
        <w:r>
          <w:tab/>
        </w:r>
        <w:r>
          <w:tab/>
        </w:r>
      </w:p>
    </w:sdtContent>
  </w:sdt>
  <w:p w14:paraId="0D8876D4" w14:textId="77777777" w:rsidR="005608E8" w:rsidRDefault="005608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D53A2F" w14:textId="77777777" w:rsidR="00C72F48" w:rsidRDefault="00C72F48">
      <w:r>
        <w:separator/>
      </w:r>
    </w:p>
  </w:footnote>
  <w:footnote w:type="continuationSeparator" w:id="0">
    <w:p w14:paraId="01925FC7" w14:textId="77777777" w:rsidR="00C72F48" w:rsidRDefault="00C72F48">
      <w:r>
        <w:continuationSeparator/>
      </w:r>
    </w:p>
  </w:footnote>
  <w:footnote w:id="1">
    <w:p w14:paraId="0D8876D6" w14:textId="77777777" w:rsidR="005608E8" w:rsidRPr="00BD561F" w:rsidRDefault="005608E8" w:rsidP="003D53F5">
      <w:pPr>
        <w:pStyle w:val="FootnoteText"/>
        <w:rPr>
          <w:rFonts w:cs="Arial"/>
        </w:rPr>
      </w:pPr>
      <w:r w:rsidRPr="00BD561F">
        <w:rPr>
          <w:rStyle w:val="FootnoteReference"/>
          <w:rFonts w:cs="Arial"/>
        </w:rPr>
        <w:footnoteRef/>
      </w:r>
      <w:r w:rsidRPr="00BD561F">
        <w:rPr>
          <w:rFonts w:cs="Arial"/>
        </w:rPr>
        <w:t xml:space="preserve"> See EC Harris, 2014, London Prime Residential Development Pipeline: The race to secure capacity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6606804"/>
      <w:docPartObj>
        <w:docPartGallery w:val="Watermarks"/>
        <w:docPartUnique/>
      </w:docPartObj>
    </w:sdtPr>
    <w:sdtEndPr/>
    <w:sdtContent>
      <w:p w14:paraId="0D8876CE" w14:textId="77777777" w:rsidR="005608E8" w:rsidRDefault="00C72F48">
        <w:pPr>
          <w:pStyle w:val="Header"/>
        </w:pPr>
        <w:r>
          <w:rPr>
            <w:noProof/>
            <w:lang w:val="en-US"/>
          </w:rPr>
          <w:pict w14:anchorId="0D8876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CB2AB56A"/>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02467862"/>
    <w:multiLevelType w:val="hybridMultilevel"/>
    <w:tmpl w:val="47C4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483CA1"/>
    <w:multiLevelType w:val="hybridMultilevel"/>
    <w:tmpl w:val="576EAB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8D2F84"/>
    <w:multiLevelType w:val="hybridMultilevel"/>
    <w:tmpl w:val="97B43AC8"/>
    <w:lvl w:ilvl="0" w:tplc="08090001">
      <w:start w:val="1"/>
      <w:numFmt w:val="bullet"/>
      <w:lvlText w:val=""/>
      <w:lvlJc w:val="left"/>
      <w:pPr>
        <w:ind w:left="360" w:hanging="360"/>
      </w:pPr>
      <w:rPr>
        <w:rFonts w:ascii="Symbol" w:hAnsi="Symbol" w:hint="default"/>
      </w:rPr>
    </w:lvl>
    <w:lvl w:ilvl="1" w:tplc="84A8B3D4">
      <w:numFmt w:val="bullet"/>
      <w:lvlText w:val="-"/>
      <w:lvlJc w:val="left"/>
      <w:pPr>
        <w:ind w:left="936" w:hanging="216"/>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96B0D5D"/>
    <w:multiLevelType w:val="hybridMultilevel"/>
    <w:tmpl w:val="9F3C3C4C"/>
    <w:lvl w:ilvl="0" w:tplc="7F8200D2">
      <w:start w:val="1"/>
      <w:numFmt w:val="bullet"/>
      <w:pStyle w:val="bulletedList"/>
      <w:lvlText w:val=""/>
      <w:lvlJc w:val="left"/>
      <w:pPr>
        <w:tabs>
          <w:tab w:val="num" w:pos="567"/>
        </w:tabs>
        <w:ind w:left="567" w:hanging="567"/>
      </w:pPr>
      <w:rPr>
        <w:rFonts w:ascii="Symbol" w:hAnsi="Symbol" w:hint="default"/>
        <w:b w:val="0"/>
        <w:i w:val="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E242A3"/>
    <w:multiLevelType w:val="multilevel"/>
    <w:tmpl w:val="0526FD8A"/>
    <w:name w:val="items4"/>
    <w:lvl w:ilvl="0">
      <w:start w:val="1"/>
      <w:numFmt w:val="none"/>
      <w:pStyle w:val="Heading1"/>
      <w:lvlText w:val=""/>
      <w:lvlJc w:val="left"/>
      <w:pPr>
        <w:tabs>
          <w:tab w:val="num" w:pos="0"/>
        </w:tabs>
        <w:ind w:left="0" w:firstLine="0"/>
      </w:pPr>
    </w:lvl>
    <w:lvl w:ilvl="1">
      <w:start w:val="1"/>
      <w:numFmt w:val="none"/>
      <w:pStyle w:val="Heading2"/>
      <w:lvlText w:val=""/>
      <w:lvlJc w:val="left"/>
      <w:pPr>
        <w:tabs>
          <w:tab w:val="num" w:pos="0"/>
        </w:tabs>
        <w:ind w:left="0" w:firstLine="0"/>
      </w:pPr>
      <w:rPr>
        <w:b/>
      </w:rPr>
    </w:lvl>
    <w:lvl w:ilvl="2">
      <w:start w:val="1"/>
      <w:numFmt w:val="none"/>
      <w:pStyle w:val="Heading3"/>
      <w:lvlText w:val=""/>
      <w:lvlJc w:val="left"/>
      <w:pPr>
        <w:tabs>
          <w:tab w:val="num" w:pos="0"/>
        </w:tabs>
        <w:ind w:left="0" w:firstLine="0"/>
      </w:pPr>
      <w:rPr>
        <w:b/>
      </w:rPr>
    </w:lvl>
    <w:lvl w:ilvl="3">
      <w:start w:val="1"/>
      <w:numFmt w:val="decimal"/>
      <w:lvlRestart w:val="0"/>
      <w:pStyle w:val="numberedparagraph"/>
      <w:lvlText w:val="%4"/>
      <w:lvlJc w:val="left"/>
      <w:pPr>
        <w:tabs>
          <w:tab w:val="num" w:pos="567"/>
        </w:tabs>
        <w:ind w:left="567" w:hanging="567"/>
      </w:pPr>
    </w:lvl>
    <w:lvl w:ilvl="4">
      <w:start w:val="1"/>
      <w:numFmt w:val="lowerLetter"/>
      <w:pStyle w:val="letteredlist"/>
      <w:lvlText w:val="%5"/>
      <w:lvlJc w:val="left"/>
      <w:pPr>
        <w:tabs>
          <w:tab w:val="num" w:pos="964"/>
        </w:tabs>
        <w:ind w:left="964" w:hanging="397"/>
      </w:pPr>
      <w:rPr>
        <w:b w:val="0"/>
      </w:r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
      <w:lvlJc w:val="left"/>
      <w:pPr>
        <w:tabs>
          <w:tab w:val="num" w:pos="2880"/>
        </w:tabs>
        <w:ind w:left="2880" w:hanging="360"/>
      </w:pPr>
    </w:lvl>
    <w:lvl w:ilvl="8">
      <w:start w:val="1"/>
      <w:numFmt w:val="lowerRoman"/>
      <w:lvlText w:val=""/>
      <w:lvlJc w:val="left"/>
      <w:pPr>
        <w:tabs>
          <w:tab w:val="num" w:pos="3240"/>
        </w:tabs>
        <w:ind w:left="3240" w:hanging="360"/>
      </w:pPr>
    </w:lvl>
  </w:abstractNum>
  <w:abstractNum w:abstractNumId="6" w15:restartNumberingAfterBreak="0">
    <w:nsid w:val="0AC140CB"/>
    <w:multiLevelType w:val="hybridMultilevel"/>
    <w:tmpl w:val="E782E2D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B1560B7"/>
    <w:multiLevelType w:val="hybridMultilevel"/>
    <w:tmpl w:val="39446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EB0D5F"/>
    <w:multiLevelType w:val="multilevel"/>
    <w:tmpl w:val="3F0C26FE"/>
    <w:lvl w:ilvl="0">
      <w:start w:val="17"/>
      <w:numFmt w:val="decimal"/>
      <w:pStyle w:val="DfESOutNumbered1"/>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2.1.%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9" w15:restartNumberingAfterBreak="0">
    <w:nsid w:val="14496FF0"/>
    <w:multiLevelType w:val="hybridMultilevel"/>
    <w:tmpl w:val="4B0A4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7B1B47"/>
    <w:multiLevelType w:val="hybridMultilevel"/>
    <w:tmpl w:val="67466242"/>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11" w15:restartNumberingAfterBreak="0">
    <w:nsid w:val="18064B1F"/>
    <w:multiLevelType w:val="hybridMultilevel"/>
    <w:tmpl w:val="472E1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F7E27"/>
    <w:multiLevelType w:val="hybridMultilevel"/>
    <w:tmpl w:val="DFDA3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197047"/>
    <w:multiLevelType w:val="hybridMultilevel"/>
    <w:tmpl w:val="06FC39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F261EB1"/>
    <w:multiLevelType w:val="hybridMultilevel"/>
    <w:tmpl w:val="765E51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630ACF"/>
    <w:multiLevelType w:val="hybridMultilevel"/>
    <w:tmpl w:val="E24AF678"/>
    <w:lvl w:ilvl="0" w:tplc="08090001">
      <w:start w:val="1"/>
      <w:numFmt w:val="bullet"/>
      <w:lvlText w:val=""/>
      <w:lvlJc w:val="left"/>
      <w:pPr>
        <w:ind w:left="682" w:hanging="360"/>
      </w:pPr>
      <w:rPr>
        <w:rFonts w:ascii="Symbol" w:hAnsi="Symbol"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16" w15:restartNumberingAfterBreak="0">
    <w:nsid w:val="218D5A65"/>
    <w:multiLevelType w:val="hybridMultilevel"/>
    <w:tmpl w:val="5BDA3192"/>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7" w15:restartNumberingAfterBreak="0">
    <w:nsid w:val="25561B2E"/>
    <w:multiLevelType w:val="hybridMultilevel"/>
    <w:tmpl w:val="3E189E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2C7D7668"/>
    <w:multiLevelType w:val="hybridMultilevel"/>
    <w:tmpl w:val="A672FD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04C1848"/>
    <w:multiLevelType w:val="hybridMultilevel"/>
    <w:tmpl w:val="743C8E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0B54BA4"/>
    <w:multiLevelType w:val="hybridMultilevel"/>
    <w:tmpl w:val="299473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6B5825"/>
    <w:multiLevelType w:val="hybridMultilevel"/>
    <w:tmpl w:val="8EFA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8A3D4B"/>
    <w:multiLevelType w:val="hybridMultilevel"/>
    <w:tmpl w:val="43CC56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B913D1"/>
    <w:multiLevelType w:val="hybridMultilevel"/>
    <w:tmpl w:val="C3064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AEF3010"/>
    <w:multiLevelType w:val="hybridMultilevel"/>
    <w:tmpl w:val="412CA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B296708"/>
    <w:multiLevelType w:val="hybridMultilevel"/>
    <w:tmpl w:val="48E27762"/>
    <w:lvl w:ilvl="0" w:tplc="42DEB3A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701BF5"/>
    <w:multiLevelType w:val="hybridMultilevel"/>
    <w:tmpl w:val="D242C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3EFF7437"/>
    <w:multiLevelType w:val="hybridMultilevel"/>
    <w:tmpl w:val="46E8A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B66419"/>
    <w:multiLevelType w:val="hybridMultilevel"/>
    <w:tmpl w:val="A7AE2E48"/>
    <w:lvl w:ilvl="0" w:tplc="08090003">
      <w:start w:val="1"/>
      <w:numFmt w:val="bullet"/>
      <w:lvlText w:val="o"/>
      <w:lvlJc w:val="left"/>
      <w:pPr>
        <w:ind w:left="682" w:hanging="360"/>
      </w:pPr>
      <w:rPr>
        <w:rFonts w:ascii="Courier New" w:hAnsi="Courier New" w:cs="Courier New" w:hint="default"/>
      </w:rPr>
    </w:lvl>
    <w:lvl w:ilvl="1" w:tplc="08090003" w:tentative="1">
      <w:start w:val="1"/>
      <w:numFmt w:val="bullet"/>
      <w:lvlText w:val="o"/>
      <w:lvlJc w:val="left"/>
      <w:pPr>
        <w:ind w:left="1402" w:hanging="360"/>
      </w:pPr>
      <w:rPr>
        <w:rFonts w:ascii="Courier New" w:hAnsi="Courier New" w:cs="Courier New" w:hint="default"/>
      </w:rPr>
    </w:lvl>
    <w:lvl w:ilvl="2" w:tplc="08090005" w:tentative="1">
      <w:start w:val="1"/>
      <w:numFmt w:val="bullet"/>
      <w:lvlText w:val=""/>
      <w:lvlJc w:val="left"/>
      <w:pPr>
        <w:ind w:left="2122" w:hanging="360"/>
      </w:pPr>
      <w:rPr>
        <w:rFonts w:ascii="Wingdings" w:hAnsi="Wingdings" w:hint="default"/>
      </w:rPr>
    </w:lvl>
    <w:lvl w:ilvl="3" w:tplc="08090001" w:tentative="1">
      <w:start w:val="1"/>
      <w:numFmt w:val="bullet"/>
      <w:lvlText w:val=""/>
      <w:lvlJc w:val="left"/>
      <w:pPr>
        <w:ind w:left="2842" w:hanging="360"/>
      </w:pPr>
      <w:rPr>
        <w:rFonts w:ascii="Symbol" w:hAnsi="Symbol" w:hint="default"/>
      </w:rPr>
    </w:lvl>
    <w:lvl w:ilvl="4" w:tplc="08090003" w:tentative="1">
      <w:start w:val="1"/>
      <w:numFmt w:val="bullet"/>
      <w:lvlText w:val="o"/>
      <w:lvlJc w:val="left"/>
      <w:pPr>
        <w:ind w:left="3562" w:hanging="360"/>
      </w:pPr>
      <w:rPr>
        <w:rFonts w:ascii="Courier New" w:hAnsi="Courier New" w:cs="Courier New" w:hint="default"/>
      </w:rPr>
    </w:lvl>
    <w:lvl w:ilvl="5" w:tplc="08090005" w:tentative="1">
      <w:start w:val="1"/>
      <w:numFmt w:val="bullet"/>
      <w:lvlText w:val=""/>
      <w:lvlJc w:val="left"/>
      <w:pPr>
        <w:ind w:left="4282" w:hanging="360"/>
      </w:pPr>
      <w:rPr>
        <w:rFonts w:ascii="Wingdings" w:hAnsi="Wingdings" w:hint="default"/>
      </w:rPr>
    </w:lvl>
    <w:lvl w:ilvl="6" w:tplc="08090001" w:tentative="1">
      <w:start w:val="1"/>
      <w:numFmt w:val="bullet"/>
      <w:lvlText w:val=""/>
      <w:lvlJc w:val="left"/>
      <w:pPr>
        <w:ind w:left="5002" w:hanging="360"/>
      </w:pPr>
      <w:rPr>
        <w:rFonts w:ascii="Symbol" w:hAnsi="Symbol" w:hint="default"/>
      </w:rPr>
    </w:lvl>
    <w:lvl w:ilvl="7" w:tplc="08090003" w:tentative="1">
      <w:start w:val="1"/>
      <w:numFmt w:val="bullet"/>
      <w:lvlText w:val="o"/>
      <w:lvlJc w:val="left"/>
      <w:pPr>
        <w:ind w:left="5722" w:hanging="360"/>
      </w:pPr>
      <w:rPr>
        <w:rFonts w:ascii="Courier New" w:hAnsi="Courier New" w:cs="Courier New" w:hint="default"/>
      </w:rPr>
    </w:lvl>
    <w:lvl w:ilvl="8" w:tplc="08090005" w:tentative="1">
      <w:start w:val="1"/>
      <w:numFmt w:val="bullet"/>
      <w:lvlText w:val=""/>
      <w:lvlJc w:val="left"/>
      <w:pPr>
        <w:ind w:left="6442" w:hanging="360"/>
      </w:pPr>
      <w:rPr>
        <w:rFonts w:ascii="Wingdings" w:hAnsi="Wingdings" w:hint="default"/>
      </w:rPr>
    </w:lvl>
  </w:abstractNum>
  <w:abstractNum w:abstractNumId="29" w15:restartNumberingAfterBreak="0">
    <w:nsid w:val="43556892"/>
    <w:multiLevelType w:val="hybridMultilevel"/>
    <w:tmpl w:val="E1EEF8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4CA3DFA"/>
    <w:multiLevelType w:val="hybridMultilevel"/>
    <w:tmpl w:val="C64E4E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45F639C5"/>
    <w:multiLevelType w:val="hybridMultilevel"/>
    <w:tmpl w:val="E15C17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8732790"/>
    <w:multiLevelType w:val="hybridMultilevel"/>
    <w:tmpl w:val="768E89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9A865D9"/>
    <w:multiLevelType w:val="hybridMultilevel"/>
    <w:tmpl w:val="2536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A9C7919"/>
    <w:multiLevelType w:val="hybridMultilevel"/>
    <w:tmpl w:val="E67241C6"/>
    <w:lvl w:ilvl="0" w:tplc="A8D6BA82">
      <w:start w:val="1"/>
      <w:numFmt w:val="bullet"/>
      <w:lvlText w:val=""/>
      <w:lvlJc w:val="left"/>
      <w:pPr>
        <w:ind w:left="360" w:hanging="360"/>
      </w:pPr>
      <w:rPr>
        <w:rFonts w:ascii="Symbol" w:hAnsi="Symbol" w:hint="default"/>
        <w:sz w:val="20"/>
        <w:szCs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BAC4BBC"/>
    <w:multiLevelType w:val="hybridMultilevel"/>
    <w:tmpl w:val="4DEEF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4C837DAA"/>
    <w:multiLevelType w:val="hybridMultilevel"/>
    <w:tmpl w:val="636C8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E2B0536"/>
    <w:multiLevelType w:val="hybridMultilevel"/>
    <w:tmpl w:val="4B5C87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D602DD"/>
    <w:multiLevelType w:val="hybridMultilevel"/>
    <w:tmpl w:val="E8F80DD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0B87B4A"/>
    <w:multiLevelType w:val="hybridMultilevel"/>
    <w:tmpl w:val="535C6962"/>
    <w:lvl w:ilvl="0" w:tplc="08090001">
      <w:start w:val="1"/>
      <w:numFmt w:val="bullet"/>
      <w:lvlText w:val=""/>
      <w:lvlJc w:val="left"/>
      <w:pPr>
        <w:ind w:left="1080" w:hanging="72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1945D8E"/>
    <w:multiLevelType w:val="hybridMultilevel"/>
    <w:tmpl w:val="B3F41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24741E3"/>
    <w:multiLevelType w:val="hybridMultilevel"/>
    <w:tmpl w:val="ADB452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54756313"/>
    <w:multiLevelType w:val="multilevel"/>
    <w:tmpl w:val="01C2AB76"/>
    <w:lvl w:ilvl="0">
      <w:start w:val="1"/>
      <w:numFmt w:val="decimal"/>
      <w:pStyle w:val="NormalWeb"/>
      <w:lvlText w:val="%1"/>
      <w:lvlJc w:val="left"/>
      <w:pPr>
        <w:tabs>
          <w:tab w:val="num" w:pos="720"/>
        </w:tabs>
        <w:ind w:left="720" w:hanging="720"/>
      </w:pPr>
      <w:rPr>
        <w:rFonts w:ascii="Arial" w:hAnsi="Arial" w:cs="Times New Roman" w:hint="default"/>
        <w:sz w:val="21"/>
      </w:rPr>
    </w:lvl>
    <w:lvl w:ilvl="1">
      <w:start w:val="1"/>
      <w:numFmt w:val="decimal"/>
      <w:pStyle w:val="Level1"/>
      <w:lvlText w:val="%1.%2"/>
      <w:lvlJc w:val="left"/>
      <w:pPr>
        <w:tabs>
          <w:tab w:val="num" w:pos="720"/>
        </w:tabs>
        <w:ind w:left="720" w:hanging="720"/>
      </w:pPr>
      <w:rPr>
        <w:rFonts w:ascii="Arial" w:hAnsi="Arial" w:cs="Times New Roman" w:hint="default"/>
        <w:b/>
        <w:sz w:val="22"/>
        <w:szCs w:val="22"/>
      </w:rPr>
    </w:lvl>
    <w:lvl w:ilvl="2">
      <w:start w:val="1"/>
      <w:numFmt w:val="lowerLetter"/>
      <w:pStyle w:val="Level2"/>
      <w:lvlText w:val="(%3)"/>
      <w:lvlJc w:val="left"/>
      <w:pPr>
        <w:tabs>
          <w:tab w:val="num" w:pos="1440"/>
        </w:tabs>
        <w:ind w:left="1440" w:hanging="720"/>
      </w:pPr>
      <w:rPr>
        <w:rFonts w:ascii="Arial" w:hAnsi="Arial" w:cs="Times New Roman" w:hint="default"/>
        <w:sz w:val="21"/>
      </w:rPr>
    </w:lvl>
    <w:lvl w:ilvl="3">
      <w:start w:val="1"/>
      <w:numFmt w:val="lowerRoman"/>
      <w:pStyle w:val="Level3"/>
      <w:lvlText w:val="(%4)"/>
      <w:lvlJc w:val="left"/>
      <w:pPr>
        <w:tabs>
          <w:tab w:val="num" w:pos="2160"/>
        </w:tabs>
        <w:ind w:left="2160" w:hanging="720"/>
      </w:pPr>
      <w:rPr>
        <w:rFonts w:ascii="Arial" w:hAnsi="Arial" w:cs="Times New Roman" w:hint="default"/>
        <w:sz w:val="21"/>
      </w:rPr>
    </w:lvl>
    <w:lvl w:ilvl="4">
      <w:start w:val="1"/>
      <w:numFmt w:val="upperLetter"/>
      <w:pStyle w:val="Level4"/>
      <w:lvlText w:val="(%5)"/>
      <w:lvlJc w:val="left"/>
      <w:pPr>
        <w:tabs>
          <w:tab w:val="num" w:pos="2880"/>
        </w:tabs>
        <w:ind w:left="2880" w:hanging="720"/>
      </w:pPr>
      <w:rPr>
        <w:rFonts w:ascii="Arial" w:hAnsi="Arial" w:cs="Times New Roman" w:hint="default"/>
        <w:sz w:val="21"/>
      </w:rPr>
    </w:lvl>
    <w:lvl w:ilvl="5">
      <w:start w:val="1"/>
      <w:numFmt w:val="upperRoman"/>
      <w:pStyle w:val="Level5"/>
      <w:lvlText w:val="(%6)"/>
      <w:lvlJc w:val="left"/>
      <w:pPr>
        <w:tabs>
          <w:tab w:val="num" w:pos="3600"/>
        </w:tabs>
        <w:ind w:left="3600" w:hanging="720"/>
      </w:pPr>
      <w:rPr>
        <w:rFonts w:ascii="Arial" w:hAnsi="Arial" w:cs="Times New Roman" w:hint="default"/>
        <w:sz w:val="21"/>
      </w:rPr>
    </w:lvl>
    <w:lvl w:ilvl="6">
      <w:start w:val="1"/>
      <w:numFmt w:val="decimal"/>
      <w:lvlText w:val="%7."/>
      <w:lvlJc w:val="left"/>
      <w:pPr>
        <w:tabs>
          <w:tab w:val="num" w:pos="0"/>
        </w:tabs>
        <w:ind w:left="2520" w:hanging="360"/>
      </w:pPr>
      <w:rPr>
        <w:rFonts w:cs="Times New Roman" w:hint="default"/>
      </w:rPr>
    </w:lvl>
    <w:lvl w:ilvl="7">
      <w:start w:val="1"/>
      <w:numFmt w:val="lowerLetter"/>
      <w:lvlText w:val="%8."/>
      <w:lvlJc w:val="left"/>
      <w:pPr>
        <w:tabs>
          <w:tab w:val="num" w:pos="0"/>
        </w:tabs>
        <w:ind w:left="2880" w:hanging="360"/>
      </w:pPr>
      <w:rPr>
        <w:rFonts w:cs="Times New Roman" w:hint="default"/>
      </w:rPr>
    </w:lvl>
    <w:lvl w:ilvl="8">
      <w:start w:val="1"/>
      <w:numFmt w:val="lowerRoman"/>
      <w:lvlText w:val="%9."/>
      <w:lvlJc w:val="left"/>
      <w:pPr>
        <w:tabs>
          <w:tab w:val="num" w:pos="0"/>
        </w:tabs>
        <w:ind w:left="3240" w:hanging="360"/>
      </w:pPr>
      <w:rPr>
        <w:rFonts w:cs="Times New Roman" w:hint="default"/>
      </w:rPr>
    </w:lvl>
  </w:abstractNum>
  <w:abstractNum w:abstractNumId="43" w15:restartNumberingAfterBreak="0">
    <w:nsid w:val="561C42CE"/>
    <w:multiLevelType w:val="hybridMultilevel"/>
    <w:tmpl w:val="4CF23E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4" w15:restartNumberingAfterBreak="0">
    <w:nsid w:val="57B8025F"/>
    <w:multiLevelType w:val="hybridMultilevel"/>
    <w:tmpl w:val="6DAE1D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A647486"/>
    <w:multiLevelType w:val="hybridMultilevel"/>
    <w:tmpl w:val="873EBA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5FB43E87"/>
    <w:multiLevelType w:val="hybridMultilevel"/>
    <w:tmpl w:val="08B200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625C3A6A"/>
    <w:multiLevelType w:val="hybridMultilevel"/>
    <w:tmpl w:val="8CCCF6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62B61FC4"/>
    <w:multiLevelType w:val="multilevel"/>
    <w:tmpl w:val="7904FE84"/>
    <w:lvl w:ilvl="0">
      <w:start w:val="1"/>
      <w:numFmt w:val="none"/>
      <w:lvlText w:val="%1"/>
      <w:lvlJc w:val="left"/>
      <w:pPr>
        <w:tabs>
          <w:tab w:val="num" w:pos="567"/>
        </w:tabs>
        <w:ind w:left="567" w:hanging="567"/>
      </w:pPr>
      <w:rPr>
        <w:rFonts w:ascii="Arial" w:hAnsi="Arial" w:hint="default"/>
      </w:rPr>
    </w:lvl>
    <w:lvl w:ilvl="1">
      <w:start w:val="1"/>
      <w:numFmt w:val="none"/>
      <w:suff w:val="nothing"/>
      <w:lvlText w:val="%2."/>
      <w:lvlJc w:val="left"/>
      <w:pPr>
        <w:ind w:left="567" w:hanging="567"/>
      </w:pPr>
      <w:rPr>
        <w:rFonts w:ascii="Arial" w:hAnsi="Arial" w:hint="default"/>
        <w:sz w:val="22"/>
      </w:rPr>
    </w:lvl>
    <w:lvl w:ilvl="2">
      <w:start w:val="1"/>
      <w:numFmt w:val="none"/>
      <w:lvlRestart w:val="1"/>
      <w:lvlText w:val=""/>
      <w:lvlJc w:val="left"/>
      <w:pPr>
        <w:tabs>
          <w:tab w:val="num" w:pos="851"/>
        </w:tabs>
        <w:ind w:left="851" w:hanging="851"/>
      </w:pPr>
      <w:rPr>
        <w:rFonts w:ascii="Arial" w:hAnsi="Arial" w:hint="default"/>
      </w:rPr>
    </w:lvl>
    <w:lvl w:ilvl="3">
      <w:start w:val="1"/>
      <w:numFmt w:val="none"/>
      <w:lvlRestart w:val="1"/>
      <w:lvlText w:val="%4"/>
      <w:lvlJc w:val="left"/>
      <w:pPr>
        <w:tabs>
          <w:tab w:val="num" w:pos="964"/>
        </w:tabs>
        <w:ind w:left="964" w:hanging="397"/>
      </w:pPr>
      <w:rPr>
        <w:rFonts w:ascii="Arial" w:hAnsi="Arial" w:hint="default"/>
      </w:rPr>
    </w:lvl>
    <w:lvl w:ilvl="4">
      <w:start w:val="1"/>
      <w:numFmt w:val="none"/>
      <w:pStyle w:val="paragraph"/>
      <w:suff w:val="nothing"/>
      <w:lvlText w:val="%1"/>
      <w:lvlJc w:val="left"/>
      <w:pPr>
        <w:ind w:left="0" w:firstLine="0"/>
      </w:pPr>
      <w:rPr>
        <w:rFonts w:hint="default"/>
      </w:rPr>
    </w:lvl>
    <w:lvl w:ilvl="5">
      <w:start w:val="1"/>
      <w:numFmt w:val="lowerLetter"/>
      <w:pStyle w:val="letteredList0"/>
      <w:lvlText w:val="%1%6."/>
      <w:lvlJc w:val="left"/>
      <w:pPr>
        <w:tabs>
          <w:tab w:val="num" w:pos="567"/>
        </w:tabs>
        <w:ind w:left="567" w:hanging="567"/>
      </w:pPr>
      <w:rPr>
        <w:rFonts w:ascii="Arial" w:hAnsi="Arial" w:hint="default"/>
        <w:sz w:val="22"/>
      </w:rPr>
    </w:lvl>
    <w:lvl w:ilvl="6">
      <w:start w:val="1"/>
      <w:numFmt w:val="decimal"/>
      <w:lvlText w:val="%1.%2.%3.%4.%5.%6.%7."/>
      <w:lvlJc w:val="left"/>
      <w:pPr>
        <w:tabs>
          <w:tab w:val="num" w:pos="2880"/>
        </w:tabs>
        <w:ind w:left="2520" w:hanging="1080"/>
      </w:pPr>
      <w:rPr>
        <w:rFonts w:hint="default"/>
      </w:rPr>
    </w:lvl>
    <w:lvl w:ilvl="7">
      <w:start w:val="1"/>
      <w:numFmt w:val="decimal"/>
      <w:lvlText w:val="%1.%2.%3.%4.%5.%6.%7.%8."/>
      <w:lvlJc w:val="left"/>
      <w:pPr>
        <w:tabs>
          <w:tab w:val="num" w:pos="3600"/>
        </w:tabs>
        <w:ind w:left="3024" w:hanging="1224"/>
      </w:pPr>
      <w:rPr>
        <w:rFonts w:hint="default"/>
      </w:rPr>
    </w:lvl>
    <w:lvl w:ilvl="8">
      <w:start w:val="1"/>
      <w:numFmt w:val="decimal"/>
      <w:lvlText w:val="%1.%2.%3.%4.%5.%6.%7.%8.%9."/>
      <w:lvlJc w:val="left"/>
      <w:pPr>
        <w:tabs>
          <w:tab w:val="num" w:pos="4320"/>
        </w:tabs>
        <w:ind w:left="3600" w:hanging="1440"/>
      </w:pPr>
      <w:rPr>
        <w:rFonts w:hint="default"/>
      </w:rPr>
    </w:lvl>
  </w:abstractNum>
  <w:abstractNum w:abstractNumId="49" w15:restartNumberingAfterBreak="0">
    <w:nsid w:val="6379712A"/>
    <w:multiLevelType w:val="hybridMultilevel"/>
    <w:tmpl w:val="38F227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69C86EA5"/>
    <w:multiLevelType w:val="hybridMultilevel"/>
    <w:tmpl w:val="EA30E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6A5056DB"/>
    <w:multiLevelType w:val="hybridMultilevel"/>
    <w:tmpl w:val="65109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B9C0573"/>
    <w:multiLevelType w:val="hybridMultilevel"/>
    <w:tmpl w:val="7A127CEC"/>
    <w:lvl w:ilvl="0" w:tplc="30D261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BB1357B"/>
    <w:multiLevelType w:val="hybridMultilevel"/>
    <w:tmpl w:val="7BE445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6C8D33FF"/>
    <w:multiLevelType w:val="hybridMultilevel"/>
    <w:tmpl w:val="D87CA2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6EB73871"/>
    <w:multiLevelType w:val="hybridMultilevel"/>
    <w:tmpl w:val="D97CE16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73BC425E"/>
    <w:multiLevelType w:val="hybridMultilevel"/>
    <w:tmpl w:val="A73C15C0"/>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57" w15:restartNumberingAfterBreak="0">
    <w:nsid w:val="742633E8"/>
    <w:multiLevelType w:val="hybridMultilevel"/>
    <w:tmpl w:val="0088AD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8" w15:restartNumberingAfterBreak="0">
    <w:nsid w:val="756D2478"/>
    <w:multiLevelType w:val="hybridMultilevel"/>
    <w:tmpl w:val="E564CB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78977D67"/>
    <w:multiLevelType w:val="hybridMultilevel"/>
    <w:tmpl w:val="B78E3C38"/>
    <w:lvl w:ilvl="0" w:tplc="2DB2545E">
      <w:start w:val="1"/>
      <w:numFmt w:val="bullet"/>
      <w:pStyle w:val="BulletInLetteredList"/>
      <w:lvlText w:val="-"/>
      <w:lvlJc w:val="left"/>
      <w:pPr>
        <w:tabs>
          <w:tab w:val="num" w:pos="1134"/>
        </w:tabs>
        <w:ind w:left="1134" w:hanging="567"/>
      </w:pPr>
      <w:rPr>
        <w:rFonts w:hAnsi="Courier New"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8AD5220"/>
    <w:multiLevelType w:val="hybridMultilevel"/>
    <w:tmpl w:val="D9ECC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8D56158"/>
    <w:multiLevelType w:val="hybridMultilevel"/>
    <w:tmpl w:val="696E017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936" w:hanging="216"/>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79296BFF"/>
    <w:multiLevelType w:val="hybridMultilevel"/>
    <w:tmpl w:val="C8E46F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988298A"/>
    <w:multiLevelType w:val="hybridMultilevel"/>
    <w:tmpl w:val="88B8A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BCF0F62"/>
    <w:multiLevelType w:val="hybridMultilevel"/>
    <w:tmpl w:val="071E59D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7E624F80"/>
    <w:multiLevelType w:val="hybridMultilevel"/>
    <w:tmpl w:val="15E0A5F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7E6D7EFD"/>
    <w:multiLevelType w:val="hybridMultilevel"/>
    <w:tmpl w:val="01BC00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7F8D16C0"/>
    <w:multiLevelType w:val="hybridMultilevel"/>
    <w:tmpl w:val="1D5A8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7FCF69B1"/>
    <w:multiLevelType w:val="hybridMultilevel"/>
    <w:tmpl w:val="0F56A69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4"/>
  </w:num>
  <w:num w:numId="2">
    <w:abstractNumId w:val="59"/>
  </w:num>
  <w:num w:numId="3">
    <w:abstractNumId w:val="48"/>
  </w:num>
  <w:num w:numId="4">
    <w:abstractNumId w:val="48"/>
  </w:num>
  <w:num w:numId="5">
    <w:abstractNumId w:val="5"/>
  </w:num>
  <w:num w:numId="6">
    <w:abstractNumId w:val="46"/>
  </w:num>
  <w:num w:numId="7">
    <w:abstractNumId w:val="30"/>
  </w:num>
  <w:num w:numId="8">
    <w:abstractNumId w:val="45"/>
  </w:num>
  <w:num w:numId="9">
    <w:abstractNumId w:val="0"/>
  </w:num>
  <w:num w:numId="10">
    <w:abstractNumId w:val="8"/>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3"/>
  </w:num>
  <w:num w:numId="12">
    <w:abstractNumId w:val="66"/>
  </w:num>
  <w:num w:numId="13">
    <w:abstractNumId w:val="41"/>
  </w:num>
  <w:num w:numId="14">
    <w:abstractNumId w:val="13"/>
  </w:num>
  <w:num w:numId="15">
    <w:abstractNumId w:val="17"/>
  </w:num>
  <w:num w:numId="16">
    <w:abstractNumId w:val="18"/>
  </w:num>
  <w:num w:numId="17">
    <w:abstractNumId w:val="19"/>
  </w:num>
  <w:num w:numId="18">
    <w:abstractNumId w:val="65"/>
  </w:num>
  <w:num w:numId="19">
    <w:abstractNumId w:val="34"/>
  </w:num>
  <w:num w:numId="20">
    <w:abstractNumId w:val="53"/>
  </w:num>
  <w:num w:numId="21">
    <w:abstractNumId w:val="26"/>
  </w:num>
  <w:num w:numId="22">
    <w:abstractNumId w:val="40"/>
  </w:num>
  <w:num w:numId="23">
    <w:abstractNumId w:val="54"/>
  </w:num>
  <w:num w:numId="24">
    <w:abstractNumId w:val="1"/>
  </w:num>
  <w:num w:numId="25">
    <w:abstractNumId w:val="25"/>
  </w:num>
  <w:num w:numId="26">
    <w:abstractNumId w:val="38"/>
  </w:num>
  <w:num w:numId="27">
    <w:abstractNumId w:val="3"/>
  </w:num>
  <w:num w:numId="28">
    <w:abstractNumId w:val="61"/>
  </w:num>
  <w:num w:numId="29">
    <w:abstractNumId w:val="23"/>
  </w:num>
  <w:num w:numId="30">
    <w:abstractNumId w:val="20"/>
  </w:num>
  <w:num w:numId="31">
    <w:abstractNumId w:val="51"/>
  </w:num>
  <w:num w:numId="32">
    <w:abstractNumId w:val="56"/>
  </w:num>
  <w:num w:numId="33">
    <w:abstractNumId w:val="10"/>
  </w:num>
  <w:num w:numId="34">
    <w:abstractNumId w:val="55"/>
  </w:num>
  <w:num w:numId="35">
    <w:abstractNumId w:val="14"/>
  </w:num>
  <w:num w:numId="36">
    <w:abstractNumId w:val="47"/>
  </w:num>
  <w:num w:numId="37">
    <w:abstractNumId w:val="58"/>
  </w:num>
  <w:num w:numId="38">
    <w:abstractNumId w:val="2"/>
  </w:num>
  <w:num w:numId="39">
    <w:abstractNumId w:val="27"/>
  </w:num>
  <w:num w:numId="40">
    <w:abstractNumId w:val="15"/>
  </w:num>
  <w:num w:numId="41">
    <w:abstractNumId w:val="28"/>
  </w:num>
  <w:num w:numId="42">
    <w:abstractNumId w:val="64"/>
  </w:num>
  <w:num w:numId="43">
    <w:abstractNumId w:val="49"/>
  </w:num>
  <w:num w:numId="44">
    <w:abstractNumId w:val="35"/>
  </w:num>
  <w:num w:numId="45">
    <w:abstractNumId w:val="9"/>
  </w:num>
  <w:num w:numId="46">
    <w:abstractNumId w:val="21"/>
  </w:num>
  <w:num w:numId="47">
    <w:abstractNumId w:val="7"/>
  </w:num>
  <w:num w:numId="48">
    <w:abstractNumId w:val="67"/>
  </w:num>
  <w:num w:numId="49">
    <w:abstractNumId w:val="11"/>
  </w:num>
  <w:num w:numId="50">
    <w:abstractNumId w:val="24"/>
  </w:num>
  <w:num w:numId="51">
    <w:abstractNumId w:val="36"/>
  </w:num>
  <w:num w:numId="52">
    <w:abstractNumId w:val="22"/>
  </w:num>
  <w:num w:numId="53">
    <w:abstractNumId w:val="42"/>
  </w:num>
  <w:num w:numId="54">
    <w:abstractNumId w:val="31"/>
  </w:num>
  <w:num w:numId="55">
    <w:abstractNumId w:val="29"/>
  </w:num>
  <w:num w:numId="56">
    <w:abstractNumId w:val="63"/>
  </w:num>
  <w:num w:numId="57">
    <w:abstractNumId w:val="62"/>
  </w:num>
  <w:num w:numId="58">
    <w:abstractNumId w:val="50"/>
  </w:num>
  <w:num w:numId="59">
    <w:abstractNumId w:val="16"/>
  </w:num>
  <w:num w:numId="60">
    <w:abstractNumId w:val="33"/>
  </w:num>
  <w:num w:numId="61">
    <w:abstractNumId w:val="52"/>
  </w:num>
  <w:num w:numId="62">
    <w:abstractNumId w:val="39"/>
  </w:num>
  <w:num w:numId="63">
    <w:abstractNumId w:val="12"/>
  </w:num>
  <w:num w:numId="64">
    <w:abstractNumId w:val="6"/>
  </w:num>
  <w:num w:numId="65">
    <w:abstractNumId w:val="57"/>
  </w:num>
  <w:num w:numId="66">
    <w:abstractNumId w:val="68"/>
  </w:num>
  <w:num w:numId="67">
    <w:abstractNumId w:val="44"/>
  </w:num>
  <w:num w:numId="68">
    <w:abstractNumId w:val="32"/>
  </w:num>
  <w:num w:numId="69">
    <w:abstractNumId w:val="60"/>
  </w:num>
  <w:num w:numId="70">
    <w:abstractNumId w:val="37"/>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rystalPersist" w:val="&lt;CrystalAddin Version=&quot;1&quot;/&gt;"/>
  </w:docVars>
  <w:rsids>
    <w:rsidRoot w:val="006F33C3"/>
    <w:rsid w:val="000001B9"/>
    <w:rsid w:val="0000772D"/>
    <w:rsid w:val="00014A96"/>
    <w:rsid w:val="000241A5"/>
    <w:rsid w:val="00025309"/>
    <w:rsid w:val="00025EF8"/>
    <w:rsid w:val="000262AC"/>
    <w:rsid w:val="000272E8"/>
    <w:rsid w:val="00027A87"/>
    <w:rsid w:val="000304B2"/>
    <w:rsid w:val="00030CDC"/>
    <w:rsid w:val="00031747"/>
    <w:rsid w:val="00031BE9"/>
    <w:rsid w:val="00033BE9"/>
    <w:rsid w:val="00034C95"/>
    <w:rsid w:val="000419AD"/>
    <w:rsid w:val="000426C3"/>
    <w:rsid w:val="00043303"/>
    <w:rsid w:val="00044B29"/>
    <w:rsid w:val="00045543"/>
    <w:rsid w:val="000457C3"/>
    <w:rsid w:val="0004585A"/>
    <w:rsid w:val="00045DF4"/>
    <w:rsid w:val="00055B31"/>
    <w:rsid w:val="00057C5A"/>
    <w:rsid w:val="00057F82"/>
    <w:rsid w:val="00061405"/>
    <w:rsid w:val="000616F5"/>
    <w:rsid w:val="00061C01"/>
    <w:rsid w:val="00065977"/>
    <w:rsid w:val="0006613A"/>
    <w:rsid w:val="0006724D"/>
    <w:rsid w:val="0007093F"/>
    <w:rsid w:val="000730F1"/>
    <w:rsid w:val="00087B1E"/>
    <w:rsid w:val="00090908"/>
    <w:rsid w:val="000935EF"/>
    <w:rsid w:val="00094335"/>
    <w:rsid w:val="000976D1"/>
    <w:rsid w:val="000A0728"/>
    <w:rsid w:val="000A5C48"/>
    <w:rsid w:val="000A6802"/>
    <w:rsid w:val="000B07A1"/>
    <w:rsid w:val="000B41E7"/>
    <w:rsid w:val="000B44ED"/>
    <w:rsid w:val="000B4E0D"/>
    <w:rsid w:val="000C0B90"/>
    <w:rsid w:val="000C1CF5"/>
    <w:rsid w:val="000C2C49"/>
    <w:rsid w:val="000C4E1D"/>
    <w:rsid w:val="000C649B"/>
    <w:rsid w:val="000C7A51"/>
    <w:rsid w:val="000D0395"/>
    <w:rsid w:val="000D3936"/>
    <w:rsid w:val="000D4283"/>
    <w:rsid w:val="000D51DE"/>
    <w:rsid w:val="000E4725"/>
    <w:rsid w:val="000E66D3"/>
    <w:rsid w:val="000E6931"/>
    <w:rsid w:val="000F0F49"/>
    <w:rsid w:val="000F1044"/>
    <w:rsid w:val="000F1295"/>
    <w:rsid w:val="000F1BF3"/>
    <w:rsid w:val="000F23B0"/>
    <w:rsid w:val="000F67B3"/>
    <w:rsid w:val="00100A5F"/>
    <w:rsid w:val="00101C79"/>
    <w:rsid w:val="00105A7C"/>
    <w:rsid w:val="00105E0B"/>
    <w:rsid w:val="00110113"/>
    <w:rsid w:val="00111F99"/>
    <w:rsid w:val="001167EA"/>
    <w:rsid w:val="0012138E"/>
    <w:rsid w:val="00123C60"/>
    <w:rsid w:val="00131443"/>
    <w:rsid w:val="0013204A"/>
    <w:rsid w:val="00133A11"/>
    <w:rsid w:val="00136327"/>
    <w:rsid w:val="00137737"/>
    <w:rsid w:val="00140BC8"/>
    <w:rsid w:val="00143A7D"/>
    <w:rsid w:val="0014799D"/>
    <w:rsid w:val="0015011A"/>
    <w:rsid w:val="001535BC"/>
    <w:rsid w:val="001545B4"/>
    <w:rsid w:val="00160AD5"/>
    <w:rsid w:val="00171CCB"/>
    <w:rsid w:val="00173F06"/>
    <w:rsid w:val="0017418C"/>
    <w:rsid w:val="00174E73"/>
    <w:rsid w:val="001819AA"/>
    <w:rsid w:val="001913DF"/>
    <w:rsid w:val="00191EFE"/>
    <w:rsid w:val="0019270F"/>
    <w:rsid w:val="0019279D"/>
    <w:rsid w:val="001931FA"/>
    <w:rsid w:val="00194CEF"/>
    <w:rsid w:val="00195C99"/>
    <w:rsid w:val="001967C7"/>
    <w:rsid w:val="00196F78"/>
    <w:rsid w:val="001A0525"/>
    <w:rsid w:val="001A096D"/>
    <w:rsid w:val="001A1174"/>
    <w:rsid w:val="001A34A6"/>
    <w:rsid w:val="001A4532"/>
    <w:rsid w:val="001A4B05"/>
    <w:rsid w:val="001A4B42"/>
    <w:rsid w:val="001A5133"/>
    <w:rsid w:val="001B0B95"/>
    <w:rsid w:val="001B180A"/>
    <w:rsid w:val="001C0F4B"/>
    <w:rsid w:val="001C5ABA"/>
    <w:rsid w:val="001C6BE0"/>
    <w:rsid w:val="001D0D50"/>
    <w:rsid w:val="001D1AC8"/>
    <w:rsid w:val="001E04A4"/>
    <w:rsid w:val="001E1416"/>
    <w:rsid w:val="001E1EA5"/>
    <w:rsid w:val="001E23AA"/>
    <w:rsid w:val="001E3703"/>
    <w:rsid w:val="001E45D5"/>
    <w:rsid w:val="001E48F1"/>
    <w:rsid w:val="001E4DC7"/>
    <w:rsid w:val="001E5188"/>
    <w:rsid w:val="001E6783"/>
    <w:rsid w:val="001E6A24"/>
    <w:rsid w:val="001E712C"/>
    <w:rsid w:val="001E73E3"/>
    <w:rsid w:val="001F0385"/>
    <w:rsid w:val="001F0D61"/>
    <w:rsid w:val="001F0E6A"/>
    <w:rsid w:val="001F683C"/>
    <w:rsid w:val="001F687D"/>
    <w:rsid w:val="002007BA"/>
    <w:rsid w:val="00200BC6"/>
    <w:rsid w:val="0020278B"/>
    <w:rsid w:val="00202EA7"/>
    <w:rsid w:val="0020486E"/>
    <w:rsid w:val="00207E67"/>
    <w:rsid w:val="00210134"/>
    <w:rsid w:val="0021080C"/>
    <w:rsid w:val="00212817"/>
    <w:rsid w:val="00225C7E"/>
    <w:rsid w:val="00226225"/>
    <w:rsid w:val="00227DD7"/>
    <w:rsid w:val="00230104"/>
    <w:rsid w:val="002325E4"/>
    <w:rsid w:val="00234B05"/>
    <w:rsid w:val="002369B8"/>
    <w:rsid w:val="00236EB2"/>
    <w:rsid w:val="00244732"/>
    <w:rsid w:val="00246ACC"/>
    <w:rsid w:val="00252C5E"/>
    <w:rsid w:val="0025417A"/>
    <w:rsid w:val="00254DC6"/>
    <w:rsid w:val="00261A57"/>
    <w:rsid w:val="00261BD3"/>
    <w:rsid w:val="00264BF0"/>
    <w:rsid w:val="00272D93"/>
    <w:rsid w:val="00273291"/>
    <w:rsid w:val="00274F72"/>
    <w:rsid w:val="00275DF2"/>
    <w:rsid w:val="00277233"/>
    <w:rsid w:val="00281694"/>
    <w:rsid w:val="0028229D"/>
    <w:rsid w:val="002833D9"/>
    <w:rsid w:val="002914C4"/>
    <w:rsid w:val="00291719"/>
    <w:rsid w:val="00294130"/>
    <w:rsid w:val="00294FCA"/>
    <w:rsid w:val="002A10EA"/>
    <w:rsid w:val="002A4103"/>
    <w:rsid w:val="002A5006"/>
    <w:rsid w:val="002A56C2"/>
    <w:rsid w:val="002A5E6B"/>
    <w:rsid w:val="002B00C3"/>
    <w:rsid w:val="002B2730"/>
    <w:rsid w:val="002B2B9C"/>
    <w:rsid w:val="002B75AC"/>
    <w:rsid w:val="002B7967"/>
    <w:rsid w:val="002C2B65"/>
    <w:rsid w:val="002C3DD0"/>
    <w:rsid w:val="002C55C4"/>
    <w:rsid w:val="002C62CF"/>
    <w:rsid w:val="002C72A2"/>
    <w:rsid w:val="002D5A8E"/>
    <w:rsid w:val="002D7D91"/>
    <w:rsid w:val="002E1322"/>
    <w:rsid w:val="002E25F4"/>
    <w:rsid w:val="002E3B40"/>
    <w:rsid w:val="002E53B9"/>
    <w:rsid w:val="002F2910"/>
    <w:rsid w:val="002F3DB8"/>
    <w:rsid w:val="002F4192"/>
    <w:rsid w:val="002F52AA"/>
    <w:rsid w:val="002F67EA"/>
    <w:rsid w:val="002F70E9"/>
    <w:rsid w:val="002F71DB"/>
    <w:rsid w:val="00300754"/>
    <w:rsid w:val="00301CA8"/>
    <w:rsid w:val="003035E8"/>
    <w:rsid w:val="00303609"/>
    <w:rsid w:val="00303EFB"/>
    <w:rsid w:val="003045E2"/>
    <w:rsid w:val="00307FC5"/>
    <w:rsid w:val="0031325C"/>
    <w:rsid w:val="00313712"/>
    <w:rsid w:val="003146D9"/>
    <w:rsid w:val="00320393"/>
    <w:rsid w:val="003242A9"/>
    <w:rsid w:val="00324C2B"/>
    <w:rsid w:val="00325BC2"/>
    <w:rsid w:val="00325EB2"/>
    <w:rsid w:val="00332BC8"/>
    <w:rsid w:val="00332E13"/>
    <w:rsid w:val="00332E72"/>
    <w:rsid w:val="003341FC"/>
    <w:rsid w:val="003372BE"/>
    <w:rsid w:val="0034251F"/>
    <w:rsid w:val="00342FE5"/>
    <w:rsid w:val="003436BF"/>
    <w:rsid w:val="003437A8"/>
    <w:rsid w:val="003441FF"/>
    <w:rsid w:val="00344FA1"/>
    <w:rsid w:val="003531F2"/>
    <w:rsid w:val="0035514D"/>
    <w:rsid w:val="00363111"/>
    <w:rsid w:val="0036417A"/>
    <w:rsid w:val="00365815"/>
    <w:rsid w:val="0037054A"/>
    <w:rsid w:val="00370ADD"/>
    <w:rsid w:val="003711BA"/>
    <w:rsid w:val="00372BC6"/>
    <w:rsid w:val="00376B4D"/>
    <w:rsid w:val="003807C7"/>
    <w:rsid w:val="003815F3"/>
    <w:rsid w:val="003817E6"/>
    <w:rsid w:val="0038198B"/>
    <w:rsid w:val="00384AE2"/>
    <w:rsid w:val="00391879"/>
    <w:rsid w:val="003941BD"/>
    <w:rsid w:val="00394F36"/>
    <w:rsid w:val="00396D37"/>
    <w:rsid w:val="003A017D"/>
    <w:rsid w:val="003A3761"/>
    <w:rsid w:val="003A457D"/>
    <w:rsid w:val="003A4747"/>
    <w:rsid w:val="003A4850"/>
    <w:rsid w:val="003A6CBE"/>
    <w:rsid w:val="003A703E"/>
    <w:rsid w:val="003A723F"/>
    <w:rsid w:val="003B0CB7"/>
    <w:rsid w:val="003B6ACC"/>
    <w:rsid w:val="003B6D47"/>
    <w:rsid w:val="003B7866"/>
    <w:rsid w:val="003C070A"/>
    <w:rsid w:val="003C218D"/>
    <w:rsid w:val="003C30F9"/>
    <w:rsid w:val="003C3FC1"/>
    <w:rsid w:val="003C4A22"/>
    <w:rsid w:val="003C4BC8"/>
    <w:rsid w:val="003D0098"/>
    <w:rsid w:val="003D53F5"/>
    <w:rsid w:val="003D58B2"/>
    <w:rsid w:val="003D5D97"/>
    <w:rsid w:val="003E3DEA"/>
    <w:rsid w:val="003E657D"/>
    <w:rsid w:val="003F57F0"/>
    <w:rsid w:val="00404490"/>
    <w:rsid w:val="004050CC"/>
    <w:rsid w:val="00407ED0"/>
    <w:rsid w:val="00412EFF"/>
    <w:rsid w:val="0041542B"/>
    <w:rsid w:val="00415AB1"/>
    <w:rsid w:val="00416BE3"/>
    <w:rsid w:val="004241A1"/>
    <w:rsid w:val="00427024"/>
    <w:rsid w:val="00430AA9"/>
    <w:rsid w:val="00437711"/>
    <w:rsid w:val="004404D5"/>
    <w:rsid w:val="0044066C"/>
    <w:rsid w:val="0044287C"/>
    <w:rsid w:val="00442DA3"/>
    <w:rsid w:val="00444DB8"/>
    <w:rsid w:val="00445F12"/>
    <w:rsid w:val="00447E3D"/>
    <w:rsid w:val="0045230F"/>
    <w:rsid w:val="00454193"/>
    <w:rsid w:val="00454504"/>
    <w:rsid w:val="00457BC3"/>
    <w:rsid w:val="00464432"/>
    <w:rsid w:val="00464787"/>
    <w:rsid w:val="00471029"/>
    <w:rsid w:val="00475425"/>
    <w:rsid w:val="00475879"/>
    <w:rsid w:val="004815E5"/>
    <w:rsid w:val="004825CA"/>
    <w:rsid w:val="00495FF0"/>
    <w:rsid w:val="00497B93"/>
    <w:rsid w:val="004A2467"/>
    <w:rsid w:val="004A34B5"/>
    <w:rsid w:val="004A5EE0"/>
    <w:rsid w:val="004B6441"/>
    <w:rsid w:val="004B698A"/>
    <w:rsid w:val="004B701F"/>
    <w:rsid w:val="004B7051"/>
    <w:rsid w:val="004B7AFB"/>
    <w:rsid w:val="004B7B72"/>
    <w:rsid w:val="004C5399"/>
    <w:rsid w:val="004C6E5B"/>
    <w:rsid w:val="004C726D"/>
    <w:rsid w:val="004C7C23"/>
    <w:rsid w:val="004D1EA6"/>
    <w:rsid w:val="004D45FA"/>
    <w:rsid w:val="004D7820"/>
    <w:rsid w:val="004E5C17"/>
    <w:rsid w:val="005005F6"/>
    <w:rsid w:val="0050287E"/>
    <w:rsid w:val="00503222"/>
    <w:rsid w:val="00503817"/>
    <w:rsid w:val="0050687A"/>
    <w:rsid w:val="0051414C"/>
    <w:rsid w:val="00515602"/>
    <w:rsid w:val="00517252"/>
    <w:rsid w:val="0052277C"/>
    <w:rsid w:val="0052301F"/>
    <w:rsid w:val="0052417A"/>
    <w:rsid w:val="00524B4A"/>
    <w:rsid w:val="00525050"/>
    <w:rsid w:val="00526F30"/>
    <w:rsid w:val="00526F80"/>
    <w:rsid w:val="00527247"/>
    <w:rsid w:val="00532143"/>
    <w:rsid w:val="005325A3"/>
    <w:rsid w:val="00533590"/>
    <w:rsid w:val="00544585"/>
    <w:rsid w:val="00546D27"/>
    <w:rsid w:val="00552885"/>
    <w:rsid w:val="005530E1"/>
    <w:rsid w:val="005532B7"/>
    <w:rsid w:val="0055442A"/>
    <w:rsid w:val="005574E2"/>
    <w:rsid w:val="005608E8"/>
    <w:rsid w:val="00566647"/>
    <w:rsid w:val="00567FE1"/>
    <w:rsid w:val="00570163"/>
    <w:rsid w:val="00572D45"/>
    <w:rsid w:val="0057560E"/>
    <w:rsid w:val="00575A04"/>
    <w:rsid w:val="00580A30"/>
    <w:rsid w:val="00581451"/>
    <w:rsid w:val="00581C17"/>
    <w:rsid w:val="00582B96"/>
    <w:rsid w:val="005844BD"/>
    <w:rsid w:val="00584D89"/>
    <w:rsid w:val="00584F79"/>
    <w:rsid w:val="00587150"/>
    <w:rsid w:val="00590073"/>
    <w:rsid w:val="005913DB"/>
    <w:rsid w:val="00596FF4"/>
    <w:rsid w:val="005A08A0"/>
    <w:rsid w:val="005A1966"/>
    <w:rsid w:val="005A19C2"/>
    <w:rsid w:val="005A1D76"/>
    <w:rsid w:val="005A233C"/>
    <w:rsid w:val="005A425F"/>
    <w:rsid w:val="005B03BD"/>
    <w:rsid w:val="005B0619"/>
    <w:rsid w:val="005B25BE"/>
    <w:rsid w:val="005B3498"/>
    <w:rsid w:val="005B4B9E"/>
    <w:rsid w:val="005B7003"/>
    <w:rsid w:val="005C04A2"/>
    <w:rsid w:val="005C1500"/>
    <w:rsid w:val="005C350D"/>
    <w:rsid w:val="005C44C5"/>
    <w:rsid w:val="005C5996"/>
    <w:rsid w:val="005C74C2"/>
    <w:rsid w:val="005D2D1A"/>
    <w:rsid w:val="005D2FF1"/>
    <w:rsid w:val="005D3214"/>
    <w:rsid w:val="005D3E38"/>
    <w:rsid w:val="005D77FE"/>
    <w:rsid w:val="005E0E16"/>
    <w:rsid w:val="005E1FA1"/>
    <w:rsid w:val="005E317E"/>
    <w:rsid w:val="005E37D8"/>
    <w:rsid w:val="005E3A1D"/>
    <w:rsid w:val="005E766B"/>
    <w:rsid w:val="005F081E"/>
    <w:rsid w:val="005F1102"/>
    <w:rsid w:val="00601627"/>
    <w:rsid w:val="00601F38"/>
    <w:rsid w:val="006073C6"/>
    <w:rsid w:val="00607A17"/>
    <w:rsid w:val="006106F1"/>
    <w:rsid w:val="00622E87"/>
    <w:rsid w:val="006254BD"/>
    <w:rsid w:val="00630607"/>
    <w:rsid w:val="006321E9"/>
    <w:rsid w:val="006511E4"/>
    <w:rsid w:val="00651A1C"/>
    <w:rsid w:val="00655E68"/>
    <w:rsid w:val="00663C28"/>
    <w:rsid w:val="00664132"/>
    <w:rsid w:val="006701D5"/>
    <w:rsid w:val="00670BF4"/>
    <w:rsid w:val="0067125E"/>
    <w:rsid w:val="0067226B"/>
    <w:rsid w:val="00673325"/>
    <w:rsid w:val="00675BB3"/>
    <w:rsid w:val="006769F9"/>
    <w:rsid w:val="00680408"/>
    <w:rsid w:val="00683123"/>
    <w:rsid w:val="00683FE3"/>
    <w:rsid w:val="0068445E"/>
    <w:rsid w:val="00685FB5"/>
    <w:rsid w:val="00692CED"/>
    <w:rsid w:val="00693A74"/>
    <w:rsid w:val="006957BC"/>
    <w:rsid w:val="00697265"/>
    <w:rsid w:val="00697B8B"/>
    <w:rsid w:val="006A28A1"/>
    <w:rsid w:val="006A4FD3"/>
    <w:rsid w:val="006B0A4D"/>
    <w:rsid w:val="006B2902"/>
    <w:rsid w:val="006B58FF"/>
    <w:rsid w:val="006B627F"/>
    <w:rsid w:val="006B6B87"/>
    <w:rsid w:val="006B7267"/>
    <w:rsid w:val="006C00C2"/>
    <w:rsid w:val="006C5495"/>
    <w:rsid w:val="006C64F5"/>
    <w:rsid w:val="006C75C3"/>
    <w:rsid w:val="006D484F"/>
    <w:rsid w:val="006D5858"/>
    <w:rsid w:val="006E012E"/>
    <w:rsid w:val="006E31CF"/>
    <w:rsid w:val="006E4BB8"/>
    <w:rsid w:val="006E609B"/>
    <w:rsid w:val="006E6DED"/>
    <w:rsid w:val="006E7CEE"/>
    <w:rsid w:val="006F33C3"/>
    <w:rsid w:val="006F4DC5"/>
    <w:rsid w:val="006F520C"/>
    <w:rsid w:val="007002C7"/>
    <w:rsid w:val="00703699"/>
    <w:rsid w:val="0070487E"/>
    <w:rsid w:val="0070702A"/>
    <w:rsid w:val="007121E9"/>
    <w:rsid w:val="007167C9"/>
    <w:rsid w:val="00716F57"/>
    <w:rsid w:val="0072012D"/>
    <w:rsid w:val="00721D14"/>
    <w:rsid w:val="007221B7"/>
    <w:rsid w:val="007222B1"/>
    <w:rsid w:val="00733C44"/>
    <w:rsid w:val="00734B1E"/>
    <w:rsid w:val="007362B9"/>
    <w:rsid w:val="00736E23"/>
    <w:rsid w:val="00740BBC"/>
    <w:rsid w:val="00741E70"/>
    <w:rsid w:val="00742085"/>
    <w:rsid w:val="007544F0"/>
    <w:rsid w:val="00755E41"/>
    <w:rsid w:val="00757723"/>
    <w:rsid w:val="00757D21"/>
    <w:rsid w:val="0076010B"/>
    <w:rsid w:val="007654E6"/>
    <w:rsid w:val="00765616"/>
    <w:rsid w:val="00772BBA"/>
    <w:rsid w:val="0077321B"/>
    <w:rsid w:val="00773DA2"/>
    <w:rsid w:val="00774920"/>
    <w:rsid w:val="007779B8"/>
    <w:rsid w:val="00780C7F"/>
    <w:rsid w:val="0078143D"/>
    <w:rsid w:val="00783359"/>
    <w:rsid w:val="00785103"/>
    <w:rsid w:val="00787807"/>
    <w:rsid w:val="00794997"/>
    <w:rsid w:val="00795FB8"/>
    <w:rsid w:val="007977E5"/>
    <w:rsid w:val="00797BD3"/>
    <w:rsid w:val="007A1505"/>
    <w:rsid w:val="007A1663"/>
    <w:rsid w:val="007A170C"/>
    <w:rsid w:val="007A38DA"/>
    <w:rsid w:val="007A3B66"/>
    <w:rsid w:val="007A4CDA"/>
    <w:rsid w:val="007A63F7"/>
    <w:rsid w:val="007A6962"/>
    <w:rsid w:val="007B305F"/>
    <w:rsid w:val="007B33D4"/>
    <w:rsid w:val="007B4903"/>
    <w:rsid w:val="007B7E7D"/>
    <w:rsid w:val="007C1168"/>
    <w:rsid w:val="007C1C00"/>
    <w:rsid w:val="007C294F"/>
    <w:rsid w:val="007C2B80"/>
    <w:rsid w:val="007C4557"/>
    <w:rsid w:val="007D184B"/>
    <w:rsid w:val="007D25C3"/>
    <w:rsid w:val="007E2C13"/>
    <w:rsid w:val="007E2F31"/>
    <w:rsid w:val="007E5629"/>
    <w:rsid w:val="007E7731"/>
    <w:rsid w:val="007F2564"/>
    <w:rsid w:val="007F51F2"/>
    <w:rsid w:val="007F575A"/>
    <w:rsid w:val="007F61A6"/>
    <w:rsid w:val="008040A8"/>
    <w:rsid w:val="00806C56"/>
    <w:rsid w:val="00812EC6"/>
    <w:rsid w:val="008139C0"/>
    <w:rsid w:val="0081783D"/>
    <w:rsid w:val="00817DBB"/>
    <w:rsid w:val="008403E4"/>
    <w:rsid w:val="008441FE"/>
    <w:rsid w:val="0086257F"/>
    <w:rsid w:val="00863499"/>
    <w:rsid w:val="00865DD0"/>
    <w:rsid w:val="00866F8D"/>
    <w:rsid w:val="00871CDC"/>
    <w:rsid w:val="008751AB"/>
    <w:rsid w:val="008755C5"/>
    <w:rsid w:val="00884042"/>
    <w:rsid w:val="00885437"/>
    <w:rsid w:val="00887561"/>
    <w:rsid w:val="00887CC4"/>
    <w:rsid w:val="008914FB"/>
    <w:rsid w:val="00891C05"/>
    <w:rsid w:val="00892D58"/>
    <w:rsid w:val="00893B59"/>
    <w:rsid w:val="008A35F2"/>
    <w:rsid w:val="008A7BFE"/>
    <w:rsid w:val="008B0638"/>
    <w:rsid w:val="008B301A"/>
    <w:rsid w:val="008B3265"/>
    <w:rsid w:val="008C04D4"/>
    <w:rsid w:val="008C148F"/>
    <w:rsid w:val="008C14BD"/>
    <w:rsid w:val="008C1605"/>
    <w:rsid w:val="008C6517"/>
    <w:rsid w:val="008C74BF"/>
    <w:rsid w:val="008D41F4"/>
    <w:rsid w:val="008D685F"/>
    <w:rsid w:val="008E0CA3"/>
    <w:rsid w:val="008E1A0A"/>
    <w:rsid w:val="008E22E3"/>
    <w:rsid w:val="008E2EBC"/>
    <w:rsid w:val="008E5929"/>
    <w:rsid w:val="008E6320"/>
    <w:rsid w:val="008F34BD"/>
    <w:rsid w:val="00900D0A"/>
    <w:rsid w:val="0090511E"/>
    <w:rsid w:val="0090637F"/>
    <w:rsid w:val="00906ED1"/>
    <w:rsid w:val="009100F8"/>
    <w:rsid w:val="00911515"/>
    <w:rsid w:val="009116BD"/>
    <w:rsid w:val="00911A56"/>
    <w:rsid w:val="00912377"/>
    <w:rsid w:val="00914BB9"/>
    <w:rsid w:val="00914DF9"/>
    <w:rsid w:val="00920D7A"/>
    <w:rsid w:val="00921292"/>
    <w:rsid w:val="00926A21"/>
    <w:rsid w:val="00931C9D"/>
    <w:rsid w:val="00936137"/>
    <w:rsid w:val="0094091E"/>
    <w:rsid w:val="009410D9"/>
    <w:rsid w:val="00944884"/>
    <w:rsid w:val="00945E4C"/>
    <w:rsid w:val="00946A67"/>
    <w:rsid w:val="00946E6F"/>
    <w:rsid w:val="009549AE"/>
    <w:rsid w:val="009552C2"/>
    <w:rsid w:val="009612F7"/>
    <w:rsid w:val="00965A85"/>
    <w:rsid w:val="00966299"/>
    <w:rsid w:val="00967429"/>
    <w:rsid w:val="00975D7E"/>
    <w:rsid w:val="009808AC"/>
    <w:rsid w:val="00983C86"/>
    <w:rsid w:val="009840A5"/>
    <w:rsid w:val="009907A3"/>
    <w:rsid w:val="009924E0"/>
    <w:rsid w:val="009945CA"/>
    <w:rsid w:val="009A48CE"/>
    <w:rsid w:val="009A79E6"/>
    <w:rsid w:val="009B020D"/>
    <w:rsid w:val="009B452D"/>
    <w:rsid w:val="009B485E"/>
    <w:rsid w:val="009B6412"/>
    <w:rsid w:val="009B666D"/>
    <w:rsid w:val="009C1A29"/>
    <w:rsid w:val="009D12A3"/>
    <w:rsid w:val="009D12C5"/>
    <w:rsid w:val="009D13EE"/>
    <w:rsid w:val="009D327E"/>
    <w:rsid w:val="009D3D53"/>
    <w:rsid w:val="009D404E"/>
    <w:rsid w:val="009D435D"/>
    <w:rsid w:val="009D55C8"/>
    <w:rsid w:val="009E0CB1"/>
    <w:rsid w:val="009E20A3"/>
    <w:rsid w:val="009E7A30"/>
    <w:rsid w:val="009F1166"/>
    <w:rsid w:val="009F1659"/>
    <w:rsid w:val="009F2BFB"/>
    <w:rsid w:val="009F51A8"/>
    <w:rsid w:val="009F52FF"/>
    <w:rsid w:val="00A005EF"/>
    <w:rsid w:val="00A040AC"/>
    <w:rsid w:val="00A06583"/>
    <w:rsid w:val="00A077AE"/>
    <w:rsid w:val="00A11AEC"/>
    <w:rsid w:val="00A1546F"/>
    <w:rsid w:val="00A1567A"/>
    <w:rsid w:val="00A205A2"/>
    <w:rsid w:val="00A2263A"/>
    <w:rsid w:val="00A228E4"/>
    <w:rsid w:val="00A254AE"/>
    <w:rsid w:val="00A3031B"/>
    <w:rsid w:val="00A31AB9"/>
    <w:rsid w:val="00A402FE"/>
    <w:rsid w:val="00A4045A"/>
    <w:rsid w:val="00A406BC"/>
    <w:rsid w:val="00A420B1"/>
    <w:rsid w:val="00A44796"/>
    <w:rsid w:val="00A477D1"/>
    <w:rsid w:val="00A524B5"/>
    <w:rsid w:val="00A60220"/>
    <w:rsid w:val="00A605B5"/>
    <w:rsid w:val="00A62B87"/>
    <w:rsid w:val="00A63E89"/>
    <w:rsid w:val="00A6430E"/>
    <w:rsid w:val="00A668E8"/>
    <w:rsid w:val="00A76A58"/>
    <w:rsid w:val="00A813F8"/>
    <w:rsid w:val="00A818CD"/>
    <w:rsid w:val="00A85142"/>
    <w:rsid w:val="00A857B7"/>
    <w:rsid w:val="00A87AAE"/>
    <w:rsid w:val="00A87E0F"/>
    <w:rsid w:val="00A926B4"/>
    <w:rsid w:val="00A933DA"/>
    <w:rsid w:val="00A93F46"/>
    <w:rsid w:val="00A94B0A"/>
    <w:rsid w:val="00AA0653"/>
    <w:rsid w:val="00AA0B4C"/>
    <w:rsid w:val="00AA35C7"/>
    <w:rsid w:val="00AA3E5C"/>
    <w:rsid w:val="00AA5676"/>
    <w:rsid w:val="00AB276E"/>
    <w:rsid w:val="00AB37C6"/>
    <w:rsid w:val="00AB4EEA"/>
    <w:rsid w:val="00AB5F90"/>
    <w:rsid w:val="00AC1A53"/>
    <w:rsid w:val="00AC384B"/>
    <w:rsid w:val="00AC3AC1"/>
    <w:rsid w:val="00AD0B65"/>
    <w:rsid w:val="00AD6D2B"/>
    <w:rsid w:val="00AE01E8"/>
    <w:rsid w:val="00AE2E02"/>
    <w:rsid w:val="00AF0CF1"/>
    <w:rsid w:val="00AF3545"/>
    <w:rsid w:val="00AF6AC9"/>
    <w:rsid w:val="00B02931"/>
    <w:rsid w:val="00B048EE"/>
    <w:rsid w:val="00B05C27"/>
    <w:rsid w:val="00B06A9F"/>
    <w:rsid w:val="00B13229"/>
    <w:rsid w:val="00B15E45"/>
    <w:rsid w:val="00B20E5C"/>
    <w:rsid w:val="00B21ED4"/>
    <w:rsid w:val="00B24D65"/>
    <w:rsid w:val="00B3130F"/>
    <w:rsid w:val="00B3399A"/>
    <w:rsid w:val="00B348CF"/>
    <w:rsid w:val="00B37256"/>
    <w:rsid w:val="00B50359"/>
    <w:rsid w:val="00B505CF"/>
    <w:rsid w:val="00B52D80"/>
    <w:rsid w:val="00B5379B"/>
    <w:rsid w:val="00B5677B"/>
    <w:rsid w:val="00B56C5A"/>
    <w:rsid w:val="00B64121"/>
    <w:rsid w:val="00B64855"/>
    <w:rsid w:val="00B650A9"/>
    <w:rsid w:val="00B6696F"/>
    <w:rsid w:val="00B66CC6"/>
    <w:rsid w:val="00B70FB2"/>
    <w:rsid w:val="00B770E9"/>
    <w:rsid w:val="00B825AB"/>
    <w:rsid w:val="00B87752"/>
    <w:rsid w:val="00B87EFA"/>
    <w:rsid w:val="00B93DDE"/>
    <w:rsid w:val="00BA0674"/>
    <w:rsid w:val="00BA120C"/>
    <w:rsid w:val="00BA1865"/>
    <w:rsid w:val="00BA2334"/>
    <w:rsid w:val="00BB06DA"/>
    <w:rsid w:val="00BB50B0"/>
    <w:rsid w:val="00BC07D7"/>
    <w:rsid w:val="00BC357A"/>
    <w:rsid w:val="00BC3D6D"/>
    <w:rsid w:val="00BC4384"/>
    <w:rsid w:val="00BC7F87"/>
    <w:rsid w:val="00BD16C9"/>
    <w:rsid w:val="00BD39C7"/>
    <w:rsid w:val="00BD40A0"/>
    <w:rsid w:val="00BD566D"/>
    <w:rsid w:val="00BD660A"/>
    <w:rsid w:val="00BD7FA4"/>
    <w:rsid w:val="00BE4001"/>
    <w:rsid w:val="00BE49F7"/>
    <w:rsid w:val="00BF0EC3"/>
    <w:rsid w:val="00C00A3A"/>
    <w:rsid w:val="00C0243B"/>
    <w:rsid w:val="00C02C70"/>
    <w:rsid w:val="00C04EAD"/>
    <w:rsid w:val="00C07F05"/>
    <w:rsid w:val="00C10273"/>
    <w:rsid w:val="00C1049A"/>
    <w:rsid w:val="00C107CE"/>
    <w:rsid w:val="00C13DE3"/>
    <w:rsid w:val="00C14DC6"/>
    <w:rsid w:val="00C20DCE"/>
    <w:rsid w:val="00C22AF6"/>
    <w:rsid w:val="00C2604E"/>
    <w:rsid w:val="00C3030B"/>
    <w:rsid w:val="00C34EC6"/>
    <w:rsid w:val="00C3711A"/>
    <w:rsid w:val="00C41A6F"/>
    <w:rsid w:val="00C4536B"/>
    <w:rsid w:val="00C47F4E"/>
    <w:rsid w:val="00C5289B"/>
    <w:rsid w:val="00C52A4B"/>
    <w:rsid w:val="00C5774C"/>
    <w:rsid w:val="00C6044B"/>
    <w:rsid w:val="00C60796"/>
    <w:rsid w:val="00C6219F"/>
    <w:rsid w:val="00C641E9"/>
    <w:rsid w:val="00C644F5"/>
    <w:rsid w:val="00C72F48"/>
    <w:rsid w:val="00C7641A"/>
    <w:rsid w:val="00C80FAC"/>
    <w:rsid w:val="00C811EA"/>
    <w:rsid w:val="00C8302D"/>
    <w:rsid w:val="00C8373E"/>
    <w:rsid w:val="00C84DE2"/>
    <w:rsid w:val="00C86B99"/>
    <w:rsid w:val="00C87D58"/>
    <w:rsid w:val="00C87D6D"/>
    <w:rsid w:val="00C92574"/>
    <w:rsid w:val="00C9718A"/>
    <w:rsid w:val="00CA13F9"/>
    <w:rsid w:val="00CA6149"/>
    <w:rsid w:val="00CA6D69"/>
    <w:rsid w:val="00CB241F"/>
    <w:rsid w:val="00CB61CE"/>
    <w:rsid w:val="00CB6BB7"/>
    <w:rsid w:val="00CC1802"/>
    <w:rsid w:val="00CE146F"/>
    <w:rsid w:val="00CE1B6E"/>
    <w:rsid w:val="00CE298D"/>
    <w:rsid w:val="00CE5D4A"/>
    <w:rsid w:val="00CE6114"/>
    <w:rsid w:val="00CF0BD1"/>
    <w:rsid w:val="00CF22BD"/>
    <w:rsid w:val="00D01B68"/>
    <w:rsid w:val="00D25B94"/>
    <w:rsid w:val="00D40CC3"/>
    <w:rsid w:val="00D4509F"/>
    <w:rsid w:val="00D47BED"/>
    <w:rsid w:val="00D501D9"/>
    <w:rsid w:val="00D52ABC"/>
    <w:rsid w:val="00D535E6"/>
    <w:rsid w:val="00D6167E"/>
    <w:rsid w:val="00D67580"/>
    <w:rsid w:val="00D70054"/>
    <w:rsid w:val="00D73447"/>
    <w:rsid w:val="00D75418"/>
    <w:rsid w:val="00D76FA8"/>
    <w:rsid w:val="00D77F98"/>
    <w:rsid w:val="00D831FE"/>
    <w:rsid w:val="00D90744"/>
    <w:rsid w:val="00D92E9F"/>
    <w:rsid w:val="00D934F2"/>
    <w:rsid w:val="00DA37E3"/>
    <w:rsid w:val="00DA39DA"/>
    <w:rsid w:val="00DA3E5E"/>
    <w:rsid w:val="00DA7651"/>
    <w:rsid w:val="00DB2FA1"/>
    <w:rsid w:val="00DB5C0F"/>
    <w:rsid w:val="00DC5127"/>
    <w:rsid w:val="00DC7B87"/>
    <w:rsid w:val="00DD44CA"/>
    <w:rsid w:val="00DD47E2"/>
    <w:rsid w:val="00DD6338"/>
    <w:rsid w:val="00DE0CAB"/>
    <w:rsid w:val="00DE18A3"/>
    <w:rsid w:val="00DE1B57"/>
    <w:rsid w:val="00DE4672"/>
    <w:rsid w:val="00DF0FAF"/>
    <w:rsid w:val="00DF169C"/>
    <w:rsid w:val="00DF4569"/>
    <w:rsid w:val="00DF61FC"/>
    <w:rsid w:val="00E0685C"/>
    <w:rsid w:val="00E076C0"/>
    <w:rsid w:val="00E11599"/>
    <w:rsid w:val="00E15FDE"/>
    <w:rsid w:val="00E21F98"/>
    <w:rsid w:val="00E2204E"/>
    <w:rsid w:val="00E24CC5"/>
    <w:rsid w:val="00E275C2"/>
    <w:rsid w:val="00E30CD9"/>
    <w:rsid w:val="00E37B6C"/>
    <w:rsid w:val="00E413C6"/>
    <w:rsid w:val="00E41BB7"/>
    <w:rsid w:val="00E43DDB"/>
    <w:rsid w:val="00E44261"/>
    <w:rsid w:val="00E44ABD"/>
    <w:rsid w:val="00E45544"/>
    <w:rsid w:val="00E55A2F"/>
    <w:rsid w:val="00E55D00"/>
    <w:rsid w:val="00E56D8F"/>
    <w:rsid w:val="00E57D32"/>
    <w:rsid w:val="00E627AE"/>
    <w:rsid w:val="00E72FF5"/>
    <w:rsid w:val="00E74099"/>
    <w:rsid w:val="00E751A1"/>
    <w:rsid w:val="00E82E42"/>
    <w:rsid w:val="00E838E3"/>
    <w:rsid w:val="00E84720"/>
    <w:rsid w:val="00E93E97"/>
    <w:rsid w:val="00E95E7E"/>
    <w:rsid w:val="00EA180F"/>
    <w:rsid w:val="00EA239A"/>
    <w:rsid w:val="00EA599B"/>
    <w:rsid w:val="00EA61ED"/>
    <w:rsid w:val="00EB0715"/>
    <w:rsid w:val="00EB1337"/>
    <w:rsid w:val="00EB6E31"/>
    <w:rsid w:val="00EC0AD0"/>
    <w:rsid w:val="00EC12A3"/>
    <w:rsid w:val="00EC1414"/>
    <w:rsid w:val="00EC2618"/>
    <w:rsid w:val="00EC2AFC"/>
    <w:rsid w:val="00EC2CBB"/>
    <w:rsid w:val="00EC5F1C"/>
    <w:rsid w:val="00ED0DDC"/>
    <w:rsid w:val="00ED0DEE"/>
    <w:rsid w:val="00ED156A"/>
    <w:rsid w:val="00ED5F5C"/>
    <w:rsid w:val="00ED67E0"/>
    <w:rsid w:val="00EE3F01"/>
    <w:rsid w:val="00EE6303"/>
    <w:rsid w:val="00EF2392"/>
    <w:rsid w:val="00EF2A41"/>
    <w:rsid w:val="00F06729"/>
    <w:rsid w:val="00F06766"/>
    <w:rsid w:val="00F06A90"/>
    <w:rsid w:val="00F10244"/>
    <w:rsid w:val="00F118A0"/>
    <w:rsid w:val="00F11CC0"/>
    <w:rsid w:val="00F16B23"/>
    <w:rsid w:val="00F17CE2"/>
    <w:rsid w:val="00F20CFE"/>
    <w:rsid w:val="00F20E79"/>
    <w:rsid w:val="00F2255D"/>
    <w:rsid w:val="00F22D1A"/>
    <w:rsid w:val="00F24C41"/>
    <w:rsid w:val="00F35014"/>
    <w:rsid w:val="00F351EC"/>
    <w:rsid w:val="00F3689D"/>
    <w:rsid w:val="00F37CFF"/>
    <w:rsid w:val="00F41B74"/>
    <w:rsid w:val="00F43132"/>
    <w:rsid w:val="00F45857"/>
    <w:rsid w:val="00F517AD"/>
    <w:rsid w:val="00F523D2"/>
    <w:rsid w:val="00F5623E"/>
    <w:rsid w:val="00F5711C"/>
    <w:rsid w:val="00F66474"/>
    <w:rsid w:val="00F67DB7"/>
    <w:rsid w:val="00F722BB"/>
    <w:rsid w:val="00F72938"/>
    <w:rsid w:val="00F76597"/>
    <w:rsid w:val="00F81EF1"/>
    <w:rsid w:val="00F87D3E"/>
    <w:rsid w:val="00F9192C"/>
    <w:rsid w:val="00F925C5"/>
    <w:rsid w:val="00FA346F"/>
    <w:rsid w:val="00FA5F66"/>
    <w:rsid w:val="00FA6C71"/>
    <w:rsid w:val="00FB63C5"/>
    <w:rsid w:val="00FC0576"/>
    <w:rsid w:val="00FC1E66"/>
    <w:rsid w:val="00FC3A08"/>
    <w:rsid w:val="00FC6C6E"/>
    <w:rsid w:val="00FD0099"/>
    <w:rsid w:val="00FD05D4"/>
    <w:rsid w:val="00FD3B0A"/>
    <w:rsid w:val="00FD4ABD"/>
    <w:rsid w:val="00FD6B67"/>
    <w:rsid w:val="00FE29DC"/>
    <w:rsid w:val="00FF0667"/>
    <w:rsid w:val="00FF0769"/>
    <w:rsid w:val="00FF08DF"/>
    <w:rsid w:val="00FF33F2"/>
    <w:rsid w:val="00FF66E5"/>
    <w:rsid w:val="00FF6C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887438"/>
  <w15:docId w15:val="{682E3DBE-978A-4AE6-95D7-28580C35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99D"/>
    <w:rPr>
      <w:rFonts w:ascii="Arial" w:hAnsi="Arial"/>
      <w:sz w:val="24"/>
      <w:szCs w:val="24"/>
      <w:lang w:eastAsia="en-US"/>
    </w:rPr>
  </w:style>
  <w:style w:type="paragraph" w:styleId="Heading1">
    <w:name w:val="heading 1"/>
    <w:basedOn w:val="Normal"/>
    <w:next w:val="numberedparagraph"/>
    <w:link w:val="Heading1Char"/>
    <w:uiPriority w:val="99"/>
    <w:qFormat/>
    <w:rsid w:val="00ED67E0"/>
    <w:pPr>
      <w:keepNext/>
      <w:numPr>
        <w:numId w:val="5"/>
      </w:numPr>
      <w:spacing w:before="240" w:after="80"/>
      <w:outlineLvl w:val="0"/>
    </w:pPr>
    <w:rPr>
      <w:rFonts w:cs="Arial"/>
      <w:b/>
      <w:bCs/>
      <w:kern w:val="32"/>
      <w:sz w:val="36"/>
      <w:szCs w:val="32"/>
    </w:rPr>
  </w:style>
  <w:style w:type="paragraph" w:styleId="Heading2">
    <w:name w:val="heading 2"/>
    <w:basedOn w:val="Normal"/>
    <w:next w:val="numberedparagraph"/>
    <w:link w:val="Heading2Char"/>
    <w:uiPriority w:val="99"/>
    <w:qFormat/>
    <w:rsid w:val="00ED67E0"/>
    <w:pPr>
      <w:keepNext/>
      <w:numPr>
        <w:ilvl w:val="1"/>
        <w:numId w:val="5"/>
      </w:numPr>
      <w:spacing w:before="120" w:after="80"/>
      <w:outlineLvl w:val="1"/>
    </w:pPr>
    <w:rPr>
      <w:rFonts w:cs="Arial"/>
      <w:b/>
      <w:bCs/>
      <w:iCs/>
      <w:sz w:val="28"/>
      <w:szCs w:val="28"/>
    </w:rPr>
  </w:style>
  <w:style w:type="paragraph" w:styleId="Heading3">
    <w:name w:val="heading 3"/>
    <w:basedOn w:val="Normal"/>
    <w:next w:val="numberedparagraph"/>
    <w:link w:val="Heading3Char"/>
    <w:uiPriority w:val="99"/>
    <w:qFormat/>
    <w:rsid w:val="00ED67E0"/>
    <w:pPr>
      <w:keepNext/>
      <w:numPr>
        <w:ilvl w:val="2"/>
        <w:numId w:val="5"/>
      </w:numPr>
      <w:spacing w:before="120" w:after="80"/>
      <w:outlineLvl w:val="2"/>
    </w:pPr>
    <w:rPr>
      <w:rFonts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edList">
    <w:name w:val="bulletedList"/>
    <w:basedOn w:val="Normal"/>
    <w:rsid w:val="0014799D"/>
    <w:pPr>
      <w:numPr>
        <w:numId w:val="1"/>
      </w:numPr>
      <w:tabs>
        <w:tab w:val="clear" w:pos="567"/>
        <w:tab w:val="num" w:pos="360"/>
      </w:tabs>
      <w:spacing w:after="60"/>
      <w:ind w:left="0" w:firstLine="0"/>
    </w:pPr>
  </w:style>
  <w:style w:type="paragraph" w:customStyle="1" w:styleId="BulletInLetteredList">
    <w:name w:val="BulletInLetteredList"/>
    <w:basedOn w:val="Normal"/>
    <w:rsid w:val="0014799D"/>
    <w:pPr>
      <w:numPr>
        <w:numId w:val="2"/>
      </w:numPr>
      <w:spacing w:after="60"/>
    </w:pPr>
  </w:style>
  <w:style w:type="paragraph" w:styleId="DocumentMap">
    <w:name w:val="Document Map"/>
    <w:basedOn w:val="Normal"/>
    <w:semiHidden/>
    <w:rsid w:val="0014799D"/>
    <w:pPr>
      <w:shd w:val="clear" w:color="auto" w:fill="000080"/>
    </w:pPr>
    <w:rPr>
      <w:rFonts w:ascii="Tahoma" w:hAnsi="Tahoma" w:cs="Tahoma"/>
      <w:sz w:val="22"/>
    </w:rPr>
  </w:style>
  <w:style w:type="character" w:styleId="Emphasis">
    <w:name w:val="Emphasis"/>
    <w:basedOn w:val="DefaultParagraphFont"/>
    <w:qFormat/>
    <w:rsid w:val="0014799D"/>
    <w:rPr>
      <w:b/>
      <w:iCs/>
    </w:rPr>
  </w:style>
  <w:style w:type="paragraph" w:styleId="Footer">
    <w:name w:val="footer"/>
    <w:basedOn w:val="Normal"/>
    <w:link w:val="FooterChar"/>
    <w:uiPriority w:val="99"/>
    <w:rsid w:val="0014799D"/>
    <w:pPr>
      <w:tabs>
        <w:tab w:val="center" w:pos="4153"/>
        <w:tab w:val="right" w:pos="8306"/>
      </w:tabs>
      <w:spacing w:after="60"/>
    </w:pPr>
    <w:rPr>
      <w:sz w:val="20"/>
    </w:rPr>
  </w:style>
  <w:style w:type="paragraph" w:customStyle="1" w:styleId="footerLine">
    <w:name w:val="footerLine"/>
    <w:basedOn w:val="Footer"/>
    <w:next w:val="Footer"/>
    <w:rsid w:val="0014799D"/>
    <w:pPr>
      <w:pBdr>
        <w:bottom w:val="single" w:sz="4" w:space="1" w:color="auto"/>
      </w:pBdr>
    </w:pPr>
  </w:style>
  <w:style w:type="paragraph" w:styleId="Header">
    <w:name w:val="header"/>
    <w:basedOn w:val="Normal"/>
    <w:rsid w:val="0014799D"/>
    <w:pPr>
      <w:tabs>
        <w:tab w:val="center" w:pos="4153"/>
        <w:tab w:val="right" w:pos="8306"/>
      </w:tabs>
    </w:pPr>
    <w:rPr>
      <w:sz w:val="20"/>
    </w:rPr>
  </w:style>
  <w:style w:type="character" w:styleId="Hyperlink">
    <w:name w:val="Hyperlink"/>
    <w:basedOn w:val="DefaultParagraphFont"/>
    <w:rsid w:val="0014799D"/>
    <w:rPr>
      <w:rFonts w:ascii="Arial" w:hAnsi="Arial"/>
      <w:color w:val="0000FF"/>
      <w:sz w:val="22"/>
      <w:szCs w:val="22"/>
      <w:u w:val="single"/>
    </w:rPr>
  </w:style>
  <w:style w:type="paragraph" w:customStyle="1" w:styleId="letteredList0">
    <w:name w:val="letteredList"/>
    <w:basedOn w:val="Normal"/>
    <w:rsid w:val="0014799D"/>
    <w:pPr>
      <w:numPr>
        <w:ilvl w:val="5"/>
        <w:numId w:val="3"/>
      </w:numPr>
      <w:spacing w:after="60"/>
    </w:pPr>
  </w:style>
  <w:style w:type="paragraph" w:customStyle="1" w:styleId="Mainheading">
    <w:name w:val="Main heading"/>
    <w:basedOn w:val="Normal"/>
    <w:next w:val="Normal"/>
    <w:rsid w:val="0014799D"/>
    <w:pPr>
      <w:keepNext/>
      <w:spacing w:before="240" w:after="80"/>
      <w:outlineLvl w:val="0"/>
    </w:pPr>
    <w:rPr>
      <w:rFonts w:cs="Arial"/>
      <w:b/>
      <w:bCs/>
      <w:kern w:val="32"/>
      <w:sz w:val="28"/>
    </w:rPr>
  </w:style>
  <w:style w:type="paragraph" w:customStyle="1" w:styleId="paragraph">
    <w:name w:val="paragraph"/>
    <w:basedOn w:val="Normal"/>
    <w:rsid w:val="0014799D"/>
    <w:pPr>
      <w:numPr>
        <w:ilvl w:val="4"/>
        <w:numId w:val="4"/>
      </w:numPr>
      <w:spacing w:after="120"/>
      <w:outlineLvl w:val="4"/>
    </w:pPr>
  </w:style>
  <w:style w:type="paragraph" w:styleId="Quote">
    <w:name w:val="Quote"/>
    <w:basedOn w:val="Normal"/>
    <w:qFormat/>
    <w:rsid w:val="0014799D"/>
    <w:pPr>
      <w:spacing w:after="60"/>
      <w:ind w:left="851"/>
    </w:pPr>
    <w:rPr>
      <w:i/>
    </w:rPr>
  </w:style>
  <w:style w:type="paragraph" w:customStyle="1" w:styleId="QuoteSource">
    <w:name w:val="QuoteSource"/>
    <w:basedOn w:val="Normal"/>
    <w:next w:val="Normal"/>
    <w:rsid w:val="0014799D"/>
    <w:pPr>
      <w:spacing w:after="60"/>
      <w:jc w:val="right"/>
    </w:pPr>
  </w:style>
  <w:style w:type="paragraph" w:customStyle="1" w:styleId="Sub-heading">
    <w:name w:val="Sub-heading"/>
    <w:basedOn w:val="Normal"/>
    <w:next w:val="paragraph"/>
    <w:rsid w:val="0014799D"/>
    <w:pPr>
      <w:keepNext/>
      <w:spacing w:before="120" w:after="80"/>
      <w:outlineLvl w:val="1"/>
    </w:pPr>
    <w:rPr>
      <w:b/>
    </w:rPr>
  </w:style>
  <w:style w:type="paragraph" w:customStyle="1" w:styleId="Subtitle1">
    <w:name w:val="Subtitle1"/>
    <w:basedOn w:val="Normal"/>
    <w:rsid w:val="0014799D"/>
    <w:pPr>
      <w:spacing w:before="120" w:after="120"/>
    </w:pPr>
    <w:rPr>
      <w:b/>
    </w:rPr>
  </w:style>
  <w:style w:type="paragraph" w:styleId="Title">
    <w:name w:val="Title"/>
    <w:basedOn w:val="Normal"/>
    <w:qFormat/>
    <w:rsid w:val="0014799D"/>
    <w:pPr>
      <w:spacing w:after="120"/>
      <w:outlineLvl w:val="0"/>
    </w:pPr>
    <w:rPr>
      <w:rFonts w:cs="Arial"/>
      <w:b/>
      <w:bCs/>
      <w:sz w:val="28"/>
      <w:szCs w:val="32"/>
    </w:rPr>
  </w:style>
  <w:style w:type="paragraph" w:customStyle="1" w:styleId="CharCharCharChar">
    <w:name w:val="Char Char Char Char"/>
    <w:basedOn w:val="Normal"/>
    <w:rsid w:val="0015011A"/>
    <w:pPr>
      <w:spacing w:after="160" w:line="240" w:lineRule="exact"/>
    </w:pPr>
    <w:rPr>
      <w:rFonts w:ascii="Verdana" w:eastAsia="MS Mincho" w:hAnsi="Verdana"/>
      <w:sz w:val="20"/>
      <w:szCs w:val="20"/>
    </w:rPr>
  </w:style>
  <w:style w:type="paragraph" w:customStyle="1" w:styleId="DocumentTitle">
    <w:name w:val="DocumentTitle"/>
    <w:basedOn w:val="Normal"/>
    <w:next w:val="Subtitle1"/>
    <w:rsid w:val="0014799D"/>
    <w:pPr>
      <w:spacing w:after="120"/>
      <w:outlineLvl w:val="0"/>
    </w:pPr>
    <w:rPr>
      <w:b/>
      <w:sz w:val="28"/>
    </w:rPr>
  </w:style>
  <w:style w:type="table" w:styleId="TableGrid">
    <w:name w:val="Table Grid"/>
    <w:basedOn w:val="TableNormal"/>
    <w:uiPriority w:val="39"/>
    <w:rsid w:val="0015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67E0"/>
    <w:rPr>
      <w:rFonts w:ascii="Tahoma" w:hAnsi="Tahoma" w:cs="Tahoma"/>
      <w:sz w:val="16"/>
      <w:szCs w:val="16"/>
    </w:rPr>
  </w:style>
  <w:style w:type="character" w:customStyle="1" w:styleId="BalloonTextChar">
    <w:name w:val="Balloon Text Char"/>
    <w:basedOn w:val="DefaultParagraphFont"/>
    <w:link w:val="BalloonText"/>
    <w:rsid w:val="00ED67E0"/>
    <w:rPr>
      <w:rFonts w:ascii="Tahoma" w:hAnsi="Tahoma" w:cs="Tahoma"/>
      <w:sz w:val="16"/>
      <w:szCs w:val="16"/>
      <w:lang w:eastAsia="en-US"/>
    </w:rPr>
  </w:style>
  <w:style w:type="character" w:customStyle="1" w:styleId="Heading1Char">
    <w:name w:val="Heading 1 Char"/>
    <w:basedOn w:val="DefaultParagraphFont"/>
    <w:link w:val="Heading1"/>
    <w:uiPriority w:val="99"/>
    <w:rsid w:val="00ED67E0"/>
    <w:rPr>
      <w:rFonts w:ascii="Arial" w:hAnsi="Arial" w:cs="Arial"/>
      <w:b/>
      <w:bCs/>
      <w:kern w:val="32"/>
      <w:sz w:val="36"/>
      <w:szCs w:val="32"/>
      <w:lang w:eastAsia="en-US"/>
    </w:rPr>
  </w:style>
  <w:style w:type="character" w:customStyle="1" w:styleId="Heading2Char">
    <w:name w:val="Heading 2 Char"/>
    <w:basedOn w:val="DefaultParagraphFont"/>
    <w:link w:val="Heading2"/>
    <w:uiPriority w:val="99"/>
    <w:rsid w:val="00ED67E0"/>
    <w:rPr>
      <w:rFonts w:ascii="Arial" w:hAnsi="Arial" w:cs="Arial"/>
      <w:b/>
      <w:bCs/>
      <w:iCs/>
      <w:sz w:val="28"/>
      <w:szCs w:val="28"/>
      <w:lang w:eastAsia="en-US"/>
    </w:rPr>
  </w:style>
  <w:style w:type="character" w:customStyle="1" w:styleId="Heading3Char">
    <w:name w:val="Heading 3 Char"/>
    <w:basedOn w:val="DefaultParagraphFont"/>
    <w:link w:val="Heading3"/>
    <w:uiPriority w:val="99"/>
    <w:rsid w:val="00ED67E0"/>
    <w:rPr>
      <w:rFonts w:ascii="Arial" w:hAnsi="Arial" w:cs="Arial"/>
      <w:b/>
      <w:bCs/>
      <w:sz w:val="24"/>
      <w:szCs w:val="26"/>
      <w:lang w:eastAsia="en-US"/>
    </w:rPr>
  </w:style>
  <w:style w:type="paragraph" w:customStyle="1" w:styleId="numberedparagraph">
    <w:name w:val="numbered paragraph"/>
    <w:basedOn w:val="Normal"/>
    <w:link w:val="numberedparagraphChar"/>
    <w:uiPriority w:val="99"/>
    <w:rsid w:val="00ED67E0"/>
    <w:pPr>
      <w:numPr>
        <w:ilvl w:val="3"/>
        <w:numId w:val="5"/>
      </w:numPr>
      <w:spacing w:before="120" w:after="120"/>
    </w:pPr>
    <w:rPr>
      <w:rFonts w:cs="Arial"/>
    </w:rPr>
  </w:style>
  <w:style w:type="paragraph" w:customStyle="1" w:styleId="letteredlist">
    <w:name w:val="lettered list"/>
    <w:basedOn w:val="Normal"/>
    <w:uiPriority w:val="99"/>
    <w:rsid w:val="00ED67E0"/>
    <w:pPr>
      <w:numPr>
        <w:ilvl w:val="4"/>
        <w:numId w:val="5"/>
      </w:numPr>
      <w:spacing w:after="60"/>
    </w:pPr>
    <w:rPr>
      <w:rFonts w:cs="Arial"/>
    </w:rPr>
  </w:style>
  <w:style w:type="paragraph" w:customStyle="1" w:styleId="SpecificationHeading">
    <w:name w:val="Specification Heading"/>
    <w:basedOn w:val="Normal"/>
    <w:autoRedefine/>
    <w:uiPriority w:val="99"/>
    <w:rsid w:val="00FD3B0A"/>
    <w:pPr>
      <w:keepNext/>
      <w:keepLines/>
      <w:spacing w:before="120" w:after="60"/>
    </w:pPr>
    <w:rPr>
      <w:rFonts w:cs="Arial"/>
      <w:b/>
      <w:color w:val="000000"/>
    </w:rPr>
  </w:style>
  <w:style w:type="paragraph" w:styleId="BodyText">
    <w:name w:val="Body Text"/>
    <w:basedOn w:val="Normal"/>
    <w:link w:val="BodyTextChar"/>
    <w:uiPriority w:val="99"/>
    <w:rsid w:val="00967429"/>
    <w:pPr>
      <w:spacing w:after="120"/>
    </w:pPr>
    <w:rPr>
      <w:rFonts w:ascii="Times New Roman" w:hAnsi="Times New Roman"/>
      <w:lang w:eastAsia="en-GB"/>
    </w:rPr>
  </w:style>
  <w:style w:type="character" w:customStyle="1" w:styleId="BodyTextChar">
    <w:name w:val="Body Text Char"/>
    <w:basedOn w:val="DefaultParagraphFont"/>
    <w:link w:val="BodyText"/>
    <w:uiPriority w:val="99"/>
    <w:rsid w:val="00967429"/>
    <w:rPr>
      <w:sz w:val="24"/>
      <w:szCs w:val="24"/>
    </w:rPr>
  </w:style>
  <w:style w:type="paragraph" w:styleId="CommentText">
    <w:name w:val="annotation text"/>
    <w:basedOn w:val="Normal"/>
    <w:link w:val="CommentTextChar"/>
    <w:uiPriority w:val="99"/>
    <w:rsid w:val="00967429"/>
    <w:rPr>
      <w:sz w:val="20"/>
      <w:szCs w:val="20"/>
      <w:lang w:eastAsia="en-GB"/>
    </w:rPr>
  </w:style>
  <w:style w:type="character" w:customStyle="1" w:styleId="CommentTextChar">
    <w:name w:val="Comment Text Char"/>
    <w:basedOn w:val="DefaultParagraphFont"/>
    <w:link w:val="CommentText"/>
    <w:uiPriority w:val="99"/>
    <w:rsid w:val="00967429"/>
    <w:rPr>
      <w:rFonts w:ascii="Arial" w:hAnsi="Arial"/>
    </w:rPr>
  </w:style>
  <w:style w:type="paragraph" w:styleId="FootnoteText">
    <w:name w:val="footnote text"/>
    <w:basedOn w:val="Normal"/>
    <w:link w:val="FootnoteTextChar"/>
    <w:rsid w:val="00967429"/>
    <w:rPr>
      <w:sz w:val="20"/>
      <w:szCs w:val="20"/>
      <w:lang w:eastAsia="en-GB"/>
    </w:rPr>
  </w:style>
  <w:style w:type="character" w:customStyle="1" w:styleId="FootnoteTextChar">
    <w:name w:val="Footnote Text Char"/>
    <w:basedOn w:val="DefaultParagraphFont"/>
    <w:link w:val="FootnoteText"/>
    <w:rsid w:val="00967429"/>
    <w:rPr>
      <w:rFonts w:ascii="Arial" w:hAnsi="Arial"/>
    </w:rPr>
  </w:style>
  <w:style w:type="character" w:customStyle="1" w:styleId="numberedparagraphChar">
    <w:name w:val="numbered paragraph Char"/>
    <w:basedOn w:val="DefaultParagraphFont"/>
    <w:link w:val="numberedparagraph"/>
    <w:uiPriority w:val="99"/>
    <w:locked/>
    <w:rsid w:val="00967429"/>
    <w:rPr>
      <w:rFonts w:ascii="Arial" w:hAnsi="Arial" w:cs="Arial"/>
      <w:sz w:val="24"/>
      <w:szCs w:val="24"/>
      <w:lang w:eastAsia="en-US"/>
    </w:rPr>
  </w:style>
  <w:style w:type="paragraph" w:styleId="ListParagraph">
    <w:name w:val="List Paragraph"/>
    <w:aliases w:val="F5 List Paragraph,List Paragraph1,List Paragraph11,Dot pt,No Spacing1,List Paragraph Char Char Char,Indicator Text,Numbered Para 1,Bullet 1,Bullet Points,MAIN CONTENT,List Paragraph12,Bullet Style,Colorful List - Accent 11,Normal numbered"/>
    <w:basedOn w:val="Normal"/>
    <w:link w:val="ListParagraphChar"/>
    <w:uiPriority w:val="34"/>
    <w:qFormat/>
    <w:rsid w:val="002F70E9"/>
    <w:pPr>
      <w:ind w:left="720"/>
      <w:contextualSpacing/>
    </w:pPr>
  </w:style>
  <w:style w:type="character" w:styleId="CommentReference">
    <w:name w:val="annotation reference"/>
    <w:basedOn w:val="DefaultParagraphFont"/>
    <w:uiPriority w:val="99"/>
    <w:unhideWhenUsed/>
    <w:rsid w:val="005E37D8"/>
    <w:rPr>
      <w:sz w:val="16"/>
      <w:szCs w:val="16"/>
    </w:rPr>
  </w:style>
  <w:style w:type="paragraph" w:styleId="CommentSubject">
    <w:name w:val="annotation subject"/>
    <w:basedOn w:val="CommentText"/>
    <w:next w:val="CommentText"/>
    <w:link w:val="CommentSubjectChar"/>
    <w:semiHidden/>
    <w:unhideWhenUsed/>
    <w:rsid w:val="005E37D8"/>
    <w:rPr>
      <w:b/>
      <w:bCs/>
      <w:lang w:eastAsia="en-US"/>
    </w:rPr>
  </w:style>
  <w:style w:type="character" w:customStyle="1" w:styleId="CommentSubjectChar">
    <w:name w:val="Comment Subject Char"/>
    <w:basedOn w:val="CommentTextChar"/>
    <w:link w:val="CommentSubject"/>
    <w:semiHidden/>
    <w:rsid w:val="005E37D8"/>
    <w:rPr>
      <w:rFonts w:ascii="Arial" w:hAnsi="Arial"/>
      <w:b/>
      <w:bCs/>
      <w:lang w:eastAsia="en-US"/>
    </w:rPr>
  </w:style>
  <w:style w:type="paragraph" w:customStyle="1" w:styleId="Default">
    <w:name w:val="Default"/>
    <w:rsid w:val="000D3936"/>
    <w:pPr>
      <w:autoSpaceDE w:val="0"/>
      <w:autoSpaceDN w:val="0"/>
      <w:adjustRightInd w:val="0"/>
    </w:pPr>
    <w:rPr>
      <w:rFonts w:ascii="Arial" w:eastAsiaTheme="minorHAnsi" w:hAnsi="Arial" w:cs="Arial"/>
      <w:color w:val="000000"/>
      <w:sz w:val="24"/>
      <w:szCs w:val="24"/>
      <w:lang w:eastAsia="en-US"/>
    </w:rPr>
  </w:style>
  <w:style w:type="paragraph" w:styleId="ListBullet3">
    <w:name w:val="List Bullet 3"/>
    <w:basedOn w:val="Normal"/>
    <w:uiPriority w:val="99"/>
    <w:semiHidden/>
    <w:unhideWhenUsed/>
    <w:rsid w:val="00DD47E2"/>
    <w:pPr>
      <w:numPr>
        <w:numId w:val="9"/>
      </w:numPr>
      <w:spacing w:after="240" w:line="288" w:lineRule="auto"/>
      <w:contextualSpacing/>
    </w:pPr>
    <w:rPr>
      <w:rFonts w:eastAsiaTheme="minorHAnsi" w:cs="Arial"/>
      <w:lang w:eastAsia="en-GB"/>
    </w:rPr>
  </w:style>
  <w:style w:type="character" w:customStyle="1" w:styleId="DfESOutNumbered1Char">
    <w:name w:val="DfESOutNumbered1 Char"/>
    <w:basedOn w:val="DefaultParagraphFont"/>
    <w:link w:val="DfESOutNumbered1"/>
    <w:locked/>
    <w:rsid w:val="00DD47E2"/>
  </w:style>
  <w:style w:type="paragraph" w:customStyle="1" w:styleId="DfESOutNumbered1">
    <w:name w:val="DfESOutNumbered1"/>
    <w:basedOn w:val="Normal"/>
    <w:link w:val="DfESOutNumbered1Char"/>
    <w:rsid w:val="00DD47E2"/>
    <w:pPr>
      <w:numPr>
        <w:numId w:val="10"/>
      </w:numPr>
      <w:spacing w:after="240" w:line="288" w:lineRule="auto"/>
    </w:pPr>
    <w:rPr>
      <w:rFonts w:ascii="Times New Roman" w:hAnsi="Times New Roman"/>
      <w:sz w:val="20"/>
      <w:szCs w:val="20"/>
      <w:lang w:eastAsia="en-GB"/>
    </w:rPr>
  </w:style>
  <w:style w:type="character" w:styleId="FollowedHyperlink">
    <w:name w:val="FollowedHyperlink"/>
    <w:basedOn w:val="DefaultParagraphFont"/>
    <w:semiHidden/>
    <w:unhideWhenUsed/>
    <w:rsid w:val="00FD3B0A"/>
    <w:rPr>
      <w:color w:val="800080" w:themeColor="followedHyperlink"/>
      <w:u w:val="single"/>
    </w:rPr>
  </w:style>
  <w:style w:type="paragraph" w:styleId="Revision">
    <w:name w:val="Revision"/>
    <w:hidden/>
    <w:uiPriority w:val="99"/>
    <w:semiHidden/>
    <w:rsid w:val="00FD3B0A"/>
    <w:rPr>
      <w:rFonts w:ascii="Arial" w:hAnsi="Arial"/>
      <w:sz w:val="24"/>
      <w:szCs w:val="24"/>
      <w:lang w:eastAsia="en-US"/>
    </w:rPr>
  </w:style>
  <w:style w:type="character" w:customStyle="1" w:styleId="FooterChar">
    <w:name w:val="Footer Char"/>
    <w:basedOn w:val="DefaultParagraphFont"/>
    <w:link w:val="Footer"/>
    <w:uiPriority w:val="99"/>
    <w:rsid w:val="008441FE"/>
    <w:rPr>
      <w:rFonts w:ascii="Arial" w:hAnsi="Arial"/>
      <w:szCs w:val="24"/>
      <w:lang w:eastAsia="en-US"/>
    </w:rPr>
  </w:style>
  <w:style w:type="table" w:customStyle="1" w:styleId="TableGrid1">
    <w:name w:val="Table Grid1"/>
    <w:basedOn w:val="TableNormal"/>
    <w:next w:val="TableGrid"/>
    <w:rsid w:val="00582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AE2E02"/>
    <w:pPr>
      <w:numPr>
        <w:numId w:val="53"/>
      </w:numPr>
      <w:spacing w:before="100" w:beforeAutospacing="1" w:after="100" w:afterAutospacing="1" w:line="260" w:lineRule="atLeast"/>
      <w:jc w:val="both"/>
    </w:pPr>
    <w:rPr>
      <w:rFonts w:ascii="Verdana" w:hAnsi="Verdana"/>
      <w:sz w:val="16"/>
      <w:lang w:eastAsia="en-GB"/>
    </w:rPr>
  </w:style>
  <w:style w:type="paragraph" w:customStyle="1" w:styleId="Level1">
    <w:name w:val="Level 1"/>
    <w:basedOn w:val="Normal"/>
    <w:rsid w:val="00AE2E02"/>
    <w:pPr>
      <w:keepNext/>
      <w:numPr>
        <w:ilvl w:val="1"/>
        <w:numId w:val="53"/>
      </w:numPr>
      <w:spacing w:after="260" w:line="260" w:lineRule="atLeast"/>
      <w:jc w:val="both"/>
      <w:outlineLvl w:val="0"/>
    </w:pPr>
    <w:rPr>
      <w:b/>
      <w:caps/>
      <w:sz w:val="22"/>
    </w:rPr>
  </w:style>
  <w:style w:type="paragraph" w:customStyle="1" w:styleId="Level2">
    <w:name w:val="Level 2"/>
    <w:basedOn w:val="Normal"/>
    <w:rsid w:val="00AE2E02"/>
    <w:pPr>
      <w:numPr>
        <w:ilvl w:val="2"/>
        <w:numId w:val="53"/>
      </w:numPr>
      <w:tabs>
        <w:tab w:val="num" w:pos="720"/>
      </w:tabs>
      <w:spacing w:after="260" w:line="260" w:lineRule="atLeast"/>
      <w:ind w:left="720"/>
      <w:jc w:val="both"/>
      <w:outlineLvl w:val="1"/>
    </w:pPr>
    <w:rPr>
      <w:sz w:val="22"/>
    </w:rPr>
  </w:style>
  <w:style w:type="paragraph" w:customStyle="1" w:styleId="Level3">
    <w:name w:val="Level 3"/>
    <w:basedOn w:val="Normal"/>
    <w:rsid w:val="00AE2E02"/>
    <w:pPr>
      <w:numPr>
        <w:ilvl w:val="3"/>
        <w:numId w:val="53"/>
      </w:numPr>
      <w:tabs>
        <w:tab w:val="num" w:pos="1440"/>
      </w:tabs>
      <w:spacing w:after="260" w:line="260" w:lineRule="atLeast"/>
      <w:ind w:left="1440"/>
      <w:jc w:val="both"/>
      <w:outlineLvl w:val="2"/>
    </w:pPr>
    <w:rPr>
      <w:sz w:val="22"/>
    </w:rPr>
  </w:style>
  <w:style w:type="paragraph" w:customStyle="1" w:styleId="Level4">
    <w:name w:val="Level 4"/>
    <w:basedOn w:val="Normal"/>
    <w:rsid w:val="00AE2E02"/>
    <w:pPr>
      <w:numPr>
        <w:ilvl w:val="4"/>
        <w:numId w:val="53"/>
      </w:numPr>
      <w:tabs>
        <w:tab w:val="num" w:pos="2160"/>
      </w:tabs>
      <w:spacing w:after="260" w:line="260" w:lineRule="atLeast"/>
      <w:ind w:left="2160"/>
      <w:jc w:val="both"/>
      <w:outlineLvl w:val="3"/>
    </w:pPr>
    <w:rPr>
      <w:sz w:val="22"/>
    </w:rPr>
  </w:style>
  <w:style w:type="paragraph" w:customStyle="1" w:styleId="Level5">
    <w:name w:val="Level 5"/>
    <w:basedOn w:val="Normal"/>
    <w:rsid w:val="00AE2E02"/>
    <w:pPr>
      <w:numPr>
        <w:ilvl w:val="5"/>
        <w:numId w:val="53"/>
      </w:numPr>
      <w:tabs>
        <w:tab w:val="num" w:pos="2880"/>
      </w:tabs>
      <w:spacing w:after="260" w:line="260" w:lineRule="atLeast"/>
      <w:ind w:left="2880"/>
      <w:jc w:val="both"/>
      <w:outlineLvl w:val="4"/>
    </w:pPr>
    <w:rPr>
      <w:sz w:val="22"/>
    </w:rPr>
  </w:style>
  <w:style w:type="character" w:customStyle="1" w:styleId="ListParagraphChar">
    <w:name w:val="List Paragraph Char"/>
    <w:aliases w:val="F5 List Paragraph Char,List Paragraph1 Char,List Paragraph11 Char,Dot pt Char,No Spacing1 Char,List Paragraph Char Char Char Char,Indicator Text Char,Numbered Para 1 Char,Bullet 1 Char,Bullet Points Char,MAIN CONTENT Char"/>
    <w:link w:val="ListParagraph"/>
    <w:uiPriority w:val="34"/>
    <w:locked/>
    <w:rsid w:val="00AE2E02"/>
    <w:rPr>
      <w:rFonts w:ascii="Arial" w:hAnsi="Arial"/>
      <w:sz w:val="24"/>
      <w:szCs w:val="24"/>
      <w:lang w:eastAsia="en-US"/>
    </w:rPr>
  </w:style>
  <w:style w:type="paragraph" w:customStyle="1" w:styleId="TableParagraph">
    <w:name w:val="Table Paragraph"/>
    <w:basedOn w:val="Normal"/>
    <w:uiPriority w:val="1"/>
    <w:qFormat/>
    <w:rsid w:val="00697B8B"/>
    <w:pPr>
      <w:widowControl w:val="0"/>
      <w:autoSpaceDE w:val="0"/>
      <w:autoSpaceDN w:val="0"/>
      <w:adjustRightInd w:val="0"/>
    </w:pPr>
    <w:rPr>
      <w:rFonts w:ascii="Times New Roman" w:eastAsiaTheme="minorEastAsia" w:hAnsi="Times New Roman"/>
      <w:lang w:eastAsia="en-GB"/>
    </w:rPr>
  </w:style>
  <w:style w:type="character" w:styleId="FootnoteReference">
    <w:name w:val="footnote reference"/>
    <w:semiHidden/>
    <w:rsid w:val="00173F06"/>
    <w:rPr>
      <w:vertAlign w:val="superscript"/>
    </w:rPr>
  </w:style>
  <w:style w:type="paragraph" w:styleId="PlainText">
    <w:name w:val="Plain Text"/>
    <w:basedOn w:val="Normal"/>
    <w:link w:val="PlainTextChar"/>
    <w:uiPriority w:val="99"/>
    <w:semiHidden/>
    <w:unhideWhenUsed/>
    <w:rsid w:val="0038198B"/>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38198B"/>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7943">
      <w:bodyDiv w:val="1"/>
      <w:marLeft w:val="0"/>
      <w:marRight w:val="0"/>
      <w:marTop w:val="0"/>
      <w:marBottom w:val="0"/>
      <w:divBdr>
        <w:top w:val="none" w:sz="0" w:space="0" w:color="auto"/>
        <w:left w:val="none" w:sz="0" w:space="0" w:color="auto"/>
        <w:bottom w:val="none" w:sz="0" w:space="0" w:color="auto"/>
        <w:right w:val="none" w:sz="0" w:space="0" w:color="auto"/>
      </w:divBdr>
    </w:div>
    <w:div w:id="154343791">
      <w:bodyDiv w:val="1"/>
      <w:marLeft w:val="0"/>
      <w:marRight w:val="0"/>
      <w:marTop w:val="0"/>
      <w:marBottom w:val="0"/>
      <w:divBdr>
        <w:top w:val="none" w:sz="0" w:space="0" w:color="auto"/>
        <w:left w:val="none" w:sz="0" w:space="0" w:color="auto"/>
        <w:bottom w:val="none" w:sz="0" w:space="0" w:color="auto"/>
        <w:right w:val="none" w:sz="0" w:space="0" w:color="auto"/>
      </w:divBdr>
    </w:div>
    <w:div w:id="281889465">
      <w:bodyDiv w:val="1"/>
      <w:marLeft w:val="0"/>
      <w:marRight w:val="0"/>
      <w:marTop w:val="0"/>
      <w:marBottom w:val="0"/>
      <w:divBdr>
        <w:top w:val="none" w:sz="0" w:space="0" w:color="auto"/>
        <w:left w:val="none" w:sz="0" w:space="0" w:color="auto"/>
        <w:bottom w:val="none" w:sz="0" w:space="0" w:color="auto"/>
        <w:right w:val="none" w:sz="0" w:space="0" w:color="auto"/>
      </w:divBdr>
    </w:div>
    <w:div w:id="354616841">
      <w:bodyDiv w:val="1"/>
      <w:marLeft w:val="0"/>
      <w:marRight w:val="0"/>
      <w:marTop w:val="0"/>
      <w:marBottom w:val="0"/>
      <w:divBdr>
        <w:top w:val="none" w:sz="0" w:space="0" w:color="auto"/>
        <w:left w:val="none" w:sz="0" w:space="0" w:color="auto"/>
        <w:bottom w:val="none" w:sz="0" w:space="0" w:color="auto"/>
        <w:right w:val="none" w:sz="0" w:space="0" w:color="auto"/>
      </w:divBdr>
    </w:div>
    <w:div w:id="553732947">
      <w:bodyDiv w:val="1"/>
      <w:marLeft w:val="0"/>
      <w:marRight w:val="0"/>
      <w:marTop w:val="0"/>
      <w:marBottom w:val="0"/>
      <w:divBdr>
        <w:top w:val="none" w:sz="0" w:space="0" w:color="auto"/>
        <w:left w:val="none" w:sz="0" w:space="0" w:color="auto"/>
        <w:bottom w:val="none" w:sz="0" w:space="0" w:color="auto"/>
        <w:right w:val="none" w:sz="0" w:space="0" w:color="auto"/>
      </w:divBdr>
    </w:div>
    <w:div w:id="591399166">
      <w:bodyDiv w:val="1"/>
      <w:marLeft w:val="0"/>
      <w:marRight w:val="0"/>
      <w:marTop w:val="0"/>
      <w:marBottom w:val="0"/>
      <w:divBdr>
        <w:top w:val="none" w:sz="0" w:space="0" w:color="auto"/>
        <w:left w:val="none" w:sz="0" w:space="0" w:color="auto"/>
        <w:bottom w:val="none" w:sz="0" w:space="0" w:color="auto"/>
        <w:right w:val="none" w:sz="0" w:space="0" w:color="auto"/>
      </w:divBdr>
    </w:div>
    <w:div w:id="610280599">
      <w:bodyDiv w:val="1"/>
      <w:marLeft w:val="0"/>
      <w:marRight w:val="0"/>
      <w:marTop w:val="0"/>
      <w:marBottom w:val="0"/>
      <w:divBdr>
        <w:top w:val="none" w:sz="0" w:space="0" w:color="auto"/>
        <w:left w:val="none" w:sz="0" w:space="0" w:color="auto"/>
        <w:bottom w:val="none" w:sz="0" w:space="0" w:color="auto"/>
        <w:right w:val="none" w:sz="0" w:space="0" w:color="auto"/>
      </w:divBdr>
    </w:div>
    <w:div w:id="676149583">
      <w:bodyDiv w:val="1"/>
      <w:marLeft w:val="0"/>
      <w:marRight w:val="0"/>
      <w:marTop w:val="0"/>
      <w:marBottom w:val="0"/>
      <w:divBdr>
        <w:top w:val="none" w:sz="0" w:space="0" w:color="auto"/>
        <w:left w:val="none" w:sz="0" w:space="0" w:color="auto"/>
        <w:bottom w:val="none" w:sz="0" w:space="0" w:color="auto"/>
        <w:right w:val="none" w:sz="0" w:space="0" w:color="auto"/>
      </w:divBdr>
    </w:div>
    <w:div w:id="982781551">
      <w:bodyDiv w:val="1"/>
      <w:marLeft w:val="0"/>
      <w:marRight w:val="0"/>
      <w:marTop w:val="0"/>
      <w:marBottom w:val="0"/>
      <w:divBdr>
        <w:top w:val="none" w:sz="0" w:space="0" w:color="auto"/>
        <w:left w:val="none" w:sz="0" w:space="0" w:color="auto"/>
        <w:bottom w:val="none" w:sz="0" w:space="0" w:color="auto"/>
        <w:right w:val="none" w:sz="0" w:space="0" w:color="auto"/>
      </w:divBdr>
    </w:div>
    <w:div w:id="1109815651">
      <w:bodyDiv w:val="1"/>
      <w:marLeft w:val="0"/>
      <w:marRight w:val="0"/>
      <w:marTop w:val="0"/>
      <w:marBottom w:val="0"/>
      <w:divBdr>
        <w:top w:val="none" w:sz="0" w:space="0" w:color="auto"/>
        <w:left w:val="none" w:sz="0" w:space="0" w:color="auto"/>
        <w:bottom w:val="none" w:sz="0" w:space="0" w:color="auto"/>
        <w:right w:val="none" w:sz="0" w:space="0" w:color="auto"/>
      </w:divBdr>
    </w:div>
    <w:div w:id="1149135684">
      <w:bodyDiv w:val="1"/>
      <w:marLeft w:val="0"/>
      <w:marRight w:val="0"/>
      <w:marTop w:val="0"/>
      <w:marBottom w:val="0"/>
      <w:divBdr>
        <w:top w:val="none" w:sz="0" w:space="0" w:color="auto"/>
        <w:left w:val="none" w:sz="0" w:space="0" w:color="auto"/>
        <w:bottom w:val="none" w:sz="0" w:space="0" w:color="auto"/>
        <w:right w:val="none" w:sz="0" w:space="0" w:color="auto"/>
      </w:divBdr>
    </w:div>
    <w:div w:id="1409614139">
      <w:bodyDiv w:val="1"/>
      <w:marLeft w:val="0"/>
      <w:marRight w:val="0"/>
      <w:marTop w:val="0"/>
      <w:marBottom w:val="0"/>
      <w:divBdr>
        <w:top w:val="none" w:sz="0" w:space="0" w:color="auto"/>
        <w:left w:val="none" w:sz="0" w:space="0" w:color="auto"/>
        <w:bottom w:val="none" w:sz="0" w:space="0" w:color="auto"/>
        <w:right w:val="none" w:sz="0" w:space="0" w:color="auto"/>
      </w:divBdr>
    </w:div>
    <w:div w:id="1464419052">
      <w:bodyDiv w:val="1"/>
      <w:marLeft w:val="0"/>
      <w:marRight w:val="0"/>
      <w:marTop w:val="0"/>
      <w:marBottom w:val="0"/>
      <w:divBdr>
        <w:top w:val="none" w:sz="0" w:space="0" w:color="auto"/>
        <w:left w:val="none" w:sz="0" w:space="0" w:color="auto"/>
        <w:bottom w:val="none" w:sz="0" w:space="0" w:color="auto"/>
        <w:right w:val="none" w:sz="0" w:space="0" w:color="auto"/>
      </w:divBdr>
    </w:div>
    <w:div w:id="1614088692">
      <w:bodyDiv w:val="1"/>
      <w:marLeft w:val="0"/>
      <w:marRight w:val="0"/>
      <w:marTop w:val="0"/>
      <w:marBottom w:val="0"/>
      <w:divBdr>
        <w:top w:val="none" w:sz="0" w:space="0" w:color="auto"/>
        <w:left w:val="none" w:sz="0" w:space="0" w:color="auto"/>
        <w:bottom w:val="none" w:sz="0" w:space="0" w:color="auto"/>
        <w:right w:val="none" w:sz="0" w:space="0" w:color="auto"/>
      </w:divBdr>
    </w:div>
    <w:div w:id="1719814023">
      <w:bodyDiv w:val="1"/>
      <w:marLeft w:val="0"/>
      <w:marRight w:val="0"/>
      <w:marTop w:val="0"/>
      <w:marBottom w:val="0"/>
      <w:divBdr>
        <w:top w:val="none" w:sz="0" w:space="0" w:color="auto"/>
        <w:left w:val="none" w:sz="0" w:space="0" w:color="auto"/>
        <w:bottom w:val="none" w:sz="0" w:space="0" w:color="auto"/>
        <w:right w:val="none" w:sz="0" w:space="0" w:color="auto"/>
      </w:divBdr>
    </w:div>
    <w:div w:id="1835293860">
      <w:bodyDiv w:val="1"/>
      <w:marLeft w:val="0"/>
      <w:marRight w:val="0"/>
      <w:marTop w:val="0"/>
      <w:marBottom w:val="0"/>
      <w:divBdr>
        <w:top w:val="none" w:sz="0" w:space="0" w:color="auto"/>
        <w:left w:val="none" w:sz="0" w:space="0" w:color="auto"/>
        <w:bottom w:val="none" w:sz="0" w:space="0" w:color="auto"/>
        <w:right w:val="none" w:sz="0" w:space="0" w:color="auto"/>
      </w:divBdr>
    </w:div>
    <w:div w:id="1933784054">
      <w:bodyDiv w:val="1"/>
      <w:marLeft w:val="0"/>
      <w:marRight w:val="0"/>
      <w:marTop w:val="0"/>
      <w:marBottom w:val="0"/>
      <w:divBdr>
        <w:top w:val="none" w:sz="0" w:space="0" w:color="auto"/>
        <w:left w:val="none" w:sz="0" w:space="0" w:color="auto"/>
        <w:bottom w:val="none" w:sz="0" w:space="0" w:color="auto"/>
        <w:right w:val="none" w:sz="0" w:space="0" w:color="auto"/>
      </w:divBdr>
    </w:div>
    <w:div w:id="1957441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data.london.gov.uk/london-employability-performance-ratin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www.apprenticeships.org.uk" TargetMode="External"/><Relationship Id="rId2" Type="http://schemas.openxmlformats.org/officeDocument/2006/relationships/customXml" Target="../customXml/item2.xml"/><Relationship Id="rId16" Type="http://schemas.openxmlformats.org/officeDocument/2006/relationships/hyperlink" Target="https://lep.london/publication/european-social-fund-proposed-opt-organisation-provisio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lep.london/publication/european-funding-strategy-2014-20"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european-structural-and-investment-funds-programme-guidan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5CB3F4636D4F4E81116011AB3CE51C" ma:contentTypeVersion="2" ma:contentTypeDescription="Create a new document." ma:contentTypeScope="" ma:versionID="f48591a5093306da1cc403a71fa94a4b">
  <xsd:schema xmlns:xsd="http://www.w3.org/2001/XMLSchema" xmlns:xs="http://www.w3.org/2001/XMLSchema" xmlns:p="http://schemas.microsoft.com/office/2006/metadata/properties" xmlns:ns2="57662250-88eb-4feb-ad90-0853014cc4f8" targetNamespace="http://schemas.microsoft.com/office/2006/metadata/properties" ma:root="true" ma:fieldsID="6bb11078ca620caf36c6731721d3aa63" ns2:_="">
    <xsd:import namespace="57662250-88eb-4feb-ad90-0853014cc4f8"/>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662250-88eb-4feb-ad90-0853014cc4f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8EA7DF-DE60-436A-9239-0EC89B75C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662250-88eb-4feb-ad90-0853014cc4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F8707AF-CB0C-4CC9-9A3C-83F498231BB4}">
  <ds:schemaRefs>
    <ds:schemaRef ds:uri="http://schemas.microsoft.com/office/2006/metadata/longProperties"/>
  </ds:schemaRefs>
</ds:datastoreItem>
</file>

<file path=customXml/itemProps3.xml><?xml version="1.0" encoding="utf-8"?>
<ds:datastoreItem xmlns:ds="http://schemas.openxmlformats.org/officeDocument/2006/customXml" ds:itemID="{55BE69F1-F864-44F6-8D91-1990296B882B}">
  <ds:schemaRefs>
    <ds:schemaRef ds:uri="http://schemas.microsoft.com/sharepoint/v3/contenttype/forms"/>
  </ds:schemaRefs>
</ds:datastoreItem>
</file>

<file path=customXml/itemProps4.xml><?xml version="1.0" encoding="utf-8"?>
<ds:datastoreItem xmlns:ds="http://schemas.openxmlformats.org/officeDocument/2006/customXml" ds:itemID="{BF632BDC-9E09-4606-924E-4C135CAFED4B}">
  <ds:schemaRefs>
    <ds:schemaRef ds:uri="http://schemas.microsoft.com/office/2006/metadata/properties"/>
  </ds:schemaRefs>
</ds:datastoreItem>
</file>

<file path=customXml/itemProps5.xml><?xml version="1.0" encoding="utf-8"?>
<ds:datastoreItem xmlns:ds="http://schemas.openxmlformats.org/officeDocument/2006/customXml" ds:itemID="{8D933229-6430-44BE-BC2A-E658FDC8AB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5749</Words>
  <Characters>32770</Characters>
  <Application>Microsoft Office Word</Application>
  <DocSecurity>0</DocSecurity>
  <Lines>273</Lines>
  <Paragraphs>76</Paragraphs>
  <ScaleCrop>false</ScaleCrop>
  <HeadingPairs>
    <vt:vector size="2" baseType="variant">
      <vt:variant>
        <vt:lpstr>Title</vt:lpstr>
      </vt:variant>
      <vt:variant>
        <vt:i4>1</vt:i4>
      </vt:variant>
    </vt:vector>
  </HeadingPairs>
  <TitlesOfParts>
    <vt:vector size="1" baseType="lpstr">
      <vt:lpstr>Type title of document here</vt:lpstr>
    </vt:vector>
  </TitlesOfParts>
  <Company>Learning and Skills Council</Company>
  <LinksUpToDate>false</LinksUpToDate>
  <CharactersWithSpaces>38443</CharactersWithSpaces>
  <SharedDoc>false</SharedDoc>
  <HLinks>
    <vt:vector size="12" baseType="variant">
      <vt:variant>
        <vt:i4>7471224</vt:i4>
      </vt:variant>
      <vt:variant>
        <vt:i4>3840</vt:i4>
      </vt:variant>
      <vt:variant>
        <vt:i4>1025</vt:i4>
      </vt:variant>
      <vt:variant>
        <vt:i4>1</vt:i4>
      </vt:variant>
      <vt:variant>
        <vt:lpwstr>http://intranet/Portal/Portal%20Content/Resources/Functional%20Groups/Cofinancing/ESF%20Logo/ESF%20new%20programme%20logo/New%20ESF%20Logo%20Hi-Res%20Monochrome%20&amp;%20Transparent.PNG</vt:lpwstr>
      </vt:variant>
      <vt:variant>
        <vt:lpwstr/>
      </vt:variant>
      <vt:variant>
        <vt:i4>7471224</vt:i4>
      </vt:variant>
      <vt:variant>
        <vt:i4>4312</vt:i4>
      </vt:variant>
      <vt:variant>
        <vt:i4>1027</vt:i4>
      </vt:variant>
      <vt:variant>
        <vt:i4>1</vt:i4>
      </vt:variant>
      <vt:variant>
        <vt:lpwstr>http://intranet/Portal/Portal%20Content/Resources/Functional%20Groups/Cofinancing/ESF%20Logo/ESF%20new%20programme%20logo/New%20ESF%20Logo%20Hi-Res%20Monochrome%20&amp;%20Transparent.PNG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title of document here</dc:title>
  <dc:creator>Sarah Stear</dc:creator>
  <cp:lastModifiedBy>Brian</cp:lastModifiedBy>
  <cp:revision>4</cp:revision>
  <cp:lastPrinted>2016-05-18T14:31:00Z</cp:lastPrinted>
  <dcterms:created xsi:type="dcterms:W3CDTF">2016-06-10T08:59:00Z</dcterms:created>
  <dcterms:modified xsi:type="dcterms:W3CDTF">2016-06-10T09:20:00Z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publisher">
    <vt:lpwstr>Learning and Skills Council, Cheylesmore House, Quinton Road, Coventry, CV1 2WT, www.lsc.gov.uk</vt:lpwstr>
  </property>
  <property fmtid="{D5CDD505-2E9C-101B-9397-08002B2CF9AE}" pid="3" name="DC.title" linkTarget="DocumentTitle">
    <vt:lpwstr> TENDER SPECIFICATIONS.Guidelines and Template..</vt:lpwstr>
  </property>
  <property fmtid="{D5CDD505-2E9C-101B-9397-08002B2CF9AE}" pid="4" name="LSC.templateVersion">
    <vt:lpwstr>0.4</vt:lpwstr>
  </property>
  <property fmtid="{D5CDD505-2E9C-101B-9397-08002B2CF9AE}" pid="5" name="ContentType">
    <vt:lpwstr>Document</vt:lpwstr>
  </property>
  <property fmtid="{D5CDD505-2E9C-101B-9397-08002B2CF9AE}" pid="6" name="ContentTypeId">
    <vt:lpwstr>0x010100AB5CB3F4636D4F4E81116011AB3CE51C</vt:lpwstr>
  </property>
</Properties>
</file>