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2DA9F" w14:textId="1C29930B" w:rsidR="003D4905" w:rsidRDefault="003D4905" w:rsidP="003D4905">
      <w:pPr>
        <w:tabs>
          <w:tab w:val="left" w:pos="315"/>
          <w:tab w:val="center" w:pos="6979"/>
        </w:tabs>
        <w:rPr>
          <w:b/>
          <w:sz w:val="24"/>
          <w:szCs w:val="24"/>
        </w:rPr>
      </w:pPr>
      <w:bookmarkStart w:id="0" w:name="_GoBack"/>
      <w:bookmarkEnd w:id="0"/>
      <w:r>
        <w:rPr>
          <w:b/>
          <w:sz w:val="24"/>
          <w:szCs w:val="24"/>
        </w:rPr>
        <w:t>University of Plymouth – future opportunity, under no commitment</w:t>
      </w:r>
    </w:p>
    <w:p w14:paraId="49A243AA" w14:textId="77777777" w:rsidR="003D4905" w:rsidRDefault="003D4905" w:rsidP="003D4905">
      <w:pPr>
        <w:tabs>
          <w:tab w:val="left" w:pos="315"/>
          <w:tab w:val="center" w:pos="6979"/>
        </w:tabs>
        <w:rPr>
          <w:b/>
          <w:sz w:val="24"/>
          <w:szCs w:val="24"/>
        </w:rPr>
      </w:pPr>
    </w:p>
    <w:p w14:paraId="5E3F8A41" w14:textId="710AB1A3" w:rsidR="004C75EF" w:rsidRPr="004C75EF" w:rsidRDefault="004C75EF" w:rsidP="003D4905">
      <w:pPr>
        <w:tabs>
          <w:tab w:val="left" w:pos="315"/>
          <w:tab w:val="center" w:pos="6979"/>
        </w:tabs>
        <w:jc w:val="center"/>
        <w:rPr>
          <w:b/>
          <w:sz w:val="24"/>
          <w:szCs w:val="24"/>
        </w:rPr>
      </w:pPr>
      <w:r w:rsidRPr="004C75EF">
        <w:rPr>
          <w:b/>
          <w:sz w:val="24"/>
          <w:szCs w:val="24"/>
        </w:rPr>
        <w:t>Specification</w:t>
      </w:r>
    </w:p>
    <w:p w14:paraId="2CAA7B7E" w14:textId="77777777" w:rsidR="004C75EF" w:rsidRDefault="004C75EF" w:rsidP="0078501A">
      <w:pPr>
        <w:rPr>
          <w:b/>
        </w:rPr>
      </w:pPr>
    </w:p>
    <w:p w14:paraId="0022519A" w14:textId="1BB3DD5A" w:rsidR="003F03DA" w:rsidRDefault="003F03DA" w:rsidP="0078501A">
      <w:r>
        <w:rPr>
          <w:b/>
        </w:rPr>
        <w:t>Identified business need</w:t>
      </w:r>
      <w:r w:rsidR="0078501A" w:rsidRPr="001645E1">
        <w:rPr>
          <w:b/>
        </w:rPr>
        <w:t>:</w:t>
      </w:r>
      <w:r w:rsidR="0078501A">
        <w:t xml:space="preserve"> Planned and r</w:t>
      </w:r>
      <w:r w:rsidR="009928C3">
        <w:t>eactive maintenance service level agreement for 176 dent</w:t>
      </w:r>
      <w:r w:rsidR="001645E1">
        <w:t>al chair units, located across 4</w:t>
      </w:r>
      <w:r w:rsidR="009928C3">
        <w:t xml:space="preserve"> separate sites. Assets comprising two different manufacturer</w:t>
      </w:r>
      <w:r>
        <w:t xml:space="preserve">s </w:t>
      </w:r>
      <w:r w:rsidR="001645E1">
        <w:t>and including 17 ‘phantom head’ units, used in a simulated dental learning environment (SDLE).</w:t>
      </w:r>
    </w:p>
    <w:p w14:paraId="3FA13B64" w14:textId="416C930E" w:rsidR="003F03DA" w:rsidRDefault="003F03DA" w:rsidP="0078501A">
      <w:r>
        <w:t xml:space="preserve">Planned maintenance </w:t>
      </w:r>
      <w:r w:rsidR="00531990">
        <w:t xml:space="preserve">required to ensure industry regulatory compliance consisting </w:t>
      </w:r>
      <w:r>
        <w:t xml:space="preserve">of annual servicing of all units, scheduled within 3 month period during the summer, due to </w:t>
      </w:r>
      <w:r w:rsidR="006D5ACD">
        <w:t xml:space="preserve">the necessity for </w:t>
      </w:r>
      <w:r>
        <w:t xml:space="preserve">clinical activity throughout the academic year. </w:t>
      </w:r>
    </w:p>
    <w:p w14:paraId="277038E2" w14:textId="7488E7E5" w:rsidR="00531990" w:rsidRDefault="003F03DA" w:rsidP="0078501A">
      <w:r>
        <w:t>Reactive</w:t>
      </w:r>
      <w:r w:rsidR="00531990">
        <w:t xml:space="preserve"> maintenance covering breakdown and call outs with attendance on site within 24 hours from time call is raised. </w:t>
      </w:r>
      <w:r w:rsidR="00F73B1E" w:rsidRPr="00F73B1E">
        <w:t xml:space="preserve">This is essential to ensuring the delivery of undergraduate clinical placements. </w:t>
      </w:r>
      <w:r w:rsidR="00F73B1E">
        <w:t xml:space="preserve">Higher than average reactive maintenance call outs due to educational environment and subsequent inexperience of student operators. </w:t>
      </w:r>
    </w:p>
    <w:tbl>
      <w:tblPr>
        <w:tblStyle w:val="TableGrid"/>
        <w:tblpPr w:leftFromText="180" w:rightFromText="180" w:vertAnchor="text" w:horzAnchor="margin" w:tblpXSpec="center" w:tblpY="323"/>
        <w:tblW w:w="0" w:type="auto"/>
        <w:tblLook w:val="04A0" w:firstRow="1" w:lastRow="0" w:firstColumn="1" w:lastColumn="0" w:noHBand="0" w:noVBand="1"/>
      </w:tblPr>
      <w:tblGrid>
        <w:gridCol w:w="1230"/>
        <w:gridCol w:w="1563"/>
        <w:gridCol w:w="1361"/>
      </w:tblGrid>
      <w:tr w:rsidR="00F73B1E" w:rsidRPr="0078501A" w14:paraId="7BE34237" w14:textId="77777777" w:rsidTr="00F73B1E">
        <w:trPr>
          <w:trHeight w:val="100"/>
        </w:trPr>
        <w:tc>
          <w:tcPr>
            <w:tcW w:w="1230" w:type="dxa"/>
          </w:tcPr>
          <w:p w14:paraId="1742F7E4" w14:textId="77777777" w:rsidR="00F73B1E" w:rsidRPr="001645E1" w:rsidRDefault="00F73B1E" w:rsidP="00F73B1E">
            <w:pPr>
              <w:spacing w:after="160" w:line="259" w:lineRule="auto"/>
              <w:jc w:val="center"/>
            </w:pPr>
            <w:r w:rsidRPr="001645E1">
              <w:t>Location</w:t>
            </w:r>
          </w:p>
        </w:tc>
        <w:tc>
          <w:tcPr>
            <w:tcW w:w="1563" w:type="dxa"/>
          </w:tcPr>
          <w:p w14:paraId="7F2CABBC" w14:textId="77777777" w:rsidR="00F73B1E" w:rsidRPr="001645E1" w:rsidRDefault="00F73B1E" w:rsidP="00F73B1E">
            <w:pPr>
              <w:spacing w:after="160" w:line="259" w:lineRule="auto"/>
              <w:jc w:val="center"/>
            </w:pPr>
            <w:r>
              <w:t>Model</w:t>
            </w:r>
          </w:p>
        </w:tc>
        <w:tc>
          <w:tcPr>
            <w:tcW w:w="1361" w:type="dxa"/>
          </w:tcPr>
          <w:p w14:paraId="6FC53731" w14:textId="77777777" w:rsidR="00F73B1E" w:rsidRPr="001645E1" w:rsidRDefault="00F73B1E" w:rsidP="00F73B1E">
            <w:pPr>
              <w:jc w:val="center"/>
            </w:pPr>
            <w:r>
              <w:t>Number</w:t>
            </w:r>
          </w:p>
        </w:tc>
      </w:tr>
      <w:tr w:rsidR="00F73B1E" w:rsidRPr="0078501A" w14:paraId="58C6C0F4" w14:textId="77777777" w:rsidTr="00F73B1E">
        <w:trPr>
          <w:trHeight w:val="135"/>
        </w:trPr>
        <w:tc>
          <w:tcPr>
            <w:tcW w:w="1230" w:type="dxa"/>
          </w:tcPr>
          <w:p w14:paraId="58703C14" w14:textId="77777777" w:rsidR="00F73B1E" w:rsidRPr="0078501A" w:rsidRDefault="00F73B1E" w:rsidP="00F73B1E">
            <w:pPr>
              <w:spacing w:after="160" w:line="259" w:lineRule="auto"/>
            </w:pPr>
            <w:r w:rsidRPr="0078501A">
              <w:t>Derriford</w:t>
            </w:r>
          </w:p>
        </w:tc>
        <w:tc>
          <w:tcPr>
            <w:tcW w:w="1563" w:type="dxa"/>
          </w:tcPr>
          <w:p w14:paraId="64BDAE18" w14:textId="77777777" w:rsidR="00F73B1E" w:rsidRPr="0078501A" w:rsidRDefault="00F73B1E" w:rsidP="00F73B1E">
            <w:pPr>
              <w:spacing w:after="160" w:line="259" w:lineRule="auto"/>
            </w:pPr>
            <w:r w:rsidRPr="0078501A">
              <w:t>A</w:t>
            </w:r>
            <w:r w:rsidR="00FB5B91">
              <w:t>-</w:t>
            </w:r>
            <w:r w:rsidRPr="0078501A">
              <w:t>dec</w:t>
            </w:r>
          </w:p>
        </w:tc>
        <w:tc>
          <w:tcPr>
            <w:tcW w:w="1361" w:type="dxa"/>
          </w:tcPr>
          <w:p w14:paraId="5BCCBEF6" w14:textId="77777777" w:rsidR="00F73B1E" w:rsidRPr="0078501A" w:rsidRDefault="00F73B1E" w:rsidP="00F73B1E">
            <w:r>
              <w:t>41</w:t>
            </w:r>
          </w:p>
        </w:tc>
      </w:tr>
      <w:tr w:rsidR="00F73B1E" w:rsidRPr="0078501A" w14:paraId="153F2A6C" w14:textId="77777777" w:rsidTr="00F73B1E">
        <w:trPr>
          <w:trHeight w:val="141"/>
        </w:trPr>
        <w:tc>
          <w:tcPr>
            <w:tcW w:w="1230" w:type="dxa"/>
          </w:tcPr>
          <w:p w14:paraId="5BE52575" w14:textId="77777777" w:rsidR="00F73B1E" w:rsidRPr="0078501A" w:rsidRDefault="00F73B1E" w:rsidP="00F73B1E">
            <w:pPr>
              <w:spacing w:after="160" w:line="259" w:lineRule="auto"/>
            </w:pPr>
            <w:r w:rsidRPr="0078501A">
              <w:t>Devonport</w:t>
            </w:r>
          </w:p>
        </w:tc>
        <w:tc>
          <w:tcPr>
            <w:tcW w:w="1563" w:type="dxa"/>
          </w:tcPr>
          <w:p w14:paraId="00DAEB06" w14:textId="77777777" w:rsidR="00F73B1E" w:rsidRPr="0078501A" w:rsidRDefault="00F73B1E" w:rsidP="00F73B1E">
            <w:pPr>
              <w:spacing w:after="160" w:line="259" w:lineRule="auto"/>
            </w:pPr>
            <w:r w:rsidRPr="0078501A">
              <w:t>A</w:t>
            </w:r>
            <w:r w:rsidR="00FB5B91">
              <w:t>-</w:t>
            </w:r>
            <w:r w:rsidRPr="0078501A">
              <w:t>dec</w:t>
            </w:r>
          </w:p>
        </w:tc>
        <w:tc>
          <w:tcPr>
            <w:tcW w:w="1361" w:type="dxa"/>
          </w:tcPr>
          <w:p w14:paraId="6976FFC5" w14:textId="77777777" w:rsidR="00F73B1E" w:rsidRPr="0078501A" w:rsidRDefault="00F73B1E" w:rsidP="00F73B1E">
            <w:r>
              <w:t>43</w:t>
            </w:r>
          </w:p>
        </w:tc>
      </w:tr>
      <w:tr w:rsidR="00F73B1E" w:rsidRPr="0078501A" w14:paraId="5FDA4BAB" w14:textId="77777777" w:rsidTr="00F73B1E">
        <w:trPr>
          <w:trHeight w:val="141"/>
        </w:trPr>
        <w:tc>
          <w:tcPr>
            <w:tcW w:w="1230" w:type="dxa"/>
          </w:tcPr>
          <w:p w14:paraId="334B27DC" w14:textId="77777777" w:rsidR="00F73B1E" w:rsidRPr="0078501A" w:rsidRDefault="00F73B1E" w:rsidP="00F73B1E">
            <w:pPr>
              <w:spacing w:after="160" w:line="259" w:lineRule="auto"/>
            </w:pPr>
            <w:r w:rsidRPr="0078501A">
              <w:t>Truro</w:t>
            </w:r>
          </w:p>
        </w:tc>
        <w:tc>
          <w:tcPr>
            <w:tcW w:w="1563" w:type="dxa"/>
          </w:tcPr>
          <w:p w14:paraId="6544E65B" w14:textId="77777777" w:rsidR="00F73B1E" w:rsidRPr="0078501A" w:rsidRDefault="00F73B1E" w:rsidP="00F73B1E">
            <w:pPr>
              <w:spacing w:after="160" w:line="259" w:lineRule="auto"/>
            </w:pPr>
            <w:r w:rsidRPr="0078501A">
              <w:t>A</w:t>
            </w:r>
            <w:r w:rsidR="00FB5B91">
              <w:t>-</w:t>
            </w:r>
            <w:r w:rsidRPr="0078501A">
              <w:t>dec</w:t>
            </w:r>
          </w:p>
        </w:tc>
        <w:tc>
          <w:tcPr>
            <w:tcW w:w="1361" w:type="dxa"/>
          </w:tcPr>
          <w:p w14:paraId="1F461D2F" w14:textId="77777777" w:rsidR="00F73B1E" w:rsidRPr="0078501A" w:rsidRDefault="00F73B1E" w:rsidP="00F73B1E">
            <w:r>
              <w:t>33</w:t>
            </w:r>
          </w:p>
        </w:tc>
      </w:tr>
      <w:tr w:rsidR="00F73B1E" w:rsidRPr="0078501A" w14:paraId="1100B91C" w14:textId="77777777" w:rsidTr="00F73B1E">
        <w:trPr>
          <w:trHeight w:val="141"/>
        </w:trPr>
        <w:tc>
          <w:tcPr>
            <w:tcW w:w="1230" w:type="dxa"/>
          </w:tcPr>
          <w:p w14:paraId="5495D6C8" w14:textId="77777777" w:rsidR="00F73B1E" w:rsidRPr="0078501A" w:rsidRDefault="00F73B1E" w:rsidP="00F73B1E">
            <w:pPr>
              <w:spacing w:after="160" w:line="259" w:lineRule="auto"/>
            </w:pPr>
            <w:r w:rsidRPr="0078501A">
              <w:t>Exeter</w:t>
            </w:r>
          </w:p>
        </w:tc>
        <w:tc>
          <w:tcPr>
            <w:tcW w:w="1563" w:type="dxa"/>
          </w:tcPr>
          <w:p w14:paraId="135D9392" w14:textId="77777777" w:rsidR="00F73B1E" w:rsidRPr="0078501A" w:rsidRDefault="00F73B1E" w:rsidP="00F73B1E">
            <w:pPr>
              <w:spacing w:after="160" w:line="259" w:lineRule="auto"/>
            </w:pPr>
            <w:r w:rsidRPr="0078501A">
              <w:t>A</w:t>
            </w:r>
            <w:r w:rsidR="00FB5B91">
              <w:t>-</w:t>
            </w:r>
            <w:r w:rsidRPr="0078501A">
              <w:t>dec</w:t>
            </w:r>
          </w:p>
        </w:tc>
        <w:tc>
          <w:tcPr>
            <w:tcW w:w="1361" w:type="dxa"/>
          </w:tcPr>
          <w:p w14:paraId="07F30483" w14:textId="77777777" w:rsidR="00F73B1E" w:rsidRPr="0078501A" w:rsidRDefault="00F73B1E" w:rsidP="00F73B1E">
            <w:r>
              <w:t>9</w:t>
            </w:r>
          </w:p>
        </w:tc>
      </w:tr>
      <w:tr w:rsidR="00F73B1E" w:rsidRPr="0078501A" w14:paraId="11AB1AFC" w14:textId="77777777" w:rsidTr="00F73B1E">
        <w:trPr>
          <w:trHeight w:val="141"/>
        </w:trPr>
        <w:tc>
          <w:tcPr>
            <w:tcW w:w="1230" w:type="dxa"/>
          </w:tcPr>
          <w:p w14:paraId="63CA1E64" w14:textId="77777777" w:rsidR="00F73B1E" w:rsidRPr="0078501A" w:rsidRDefault="00F73B1E" w:rsidP="00F73B1E">
            <w:pPr>
              <w:spacing w:after="160" w:line="259" w:lineRule="auto"/>
            </w:pPr>
            <w:r w:rsidRPr="0078501A">
              <w:t>Exeter</w:t>
            </w:r>
          </w:p>
        </w:tc>
        <w:tc>
          <w:tcPr>
            <w:tcW w:w="1563" w:type="dxa"/>
          </w:tcPr>
          <w:p w14:paraId="5BFCDD82" w14:textId="77777777" w:rsidR="00F73B1E" w:rsidRPr="0078501A" w:rsidRDefault="00F73B1E" w:rsidP="00F73B1E">
            <w:pPr>
              <w:spacing w:after="160" w:line="259" w:lineRule="auto"/>
            </w:pPr>
            <w:r>
              <w:t>Kavo</w:t>
            </w:r>
          </w:p>
        </w:tc>
        <w:tc>
          <w:tcPr>
            <w:tcW w:w="1361" w:type="dxa"/>
          </w:tcPr>
          <w:p w14:paraId="0ECAB5BF" w14:textId="77777777" w:rsidR="00F73B1E" w:rsidRPr="0078501A" w:rsidRDefault="00F73B1E" w:rsidP="00F73B1E">
            <w:r>
              <w:t>33</w:t>
            </w:r>
          </w:p>
        </w:tc>
      </w:tr>
      <w:tr w:rsidR="00F73B1E" w:rsidRPr="0078501A" w14:paraId="79CD5D2D" w14:textId="77777777" w:rsidTr="00F73B1E">
        <w:trPr>
          <w:trHeight w:val="141"/>
        </w:trPr>
        <w:tc>
          <w:tcPr>
            <w:tcW w:w="1230" w:type="dxa"/>
          </w:tcPr>
          <w:p w14:paraId="6C36EAAB" w14:textId="77777777" w:rsidR="00F73B1E" w:rsidRPr="0078501A" w:rsidRDefault="00F73B1E" w:rsidP="00F73B1E">
            <w:pPr>
              <w:spacing w:after="160" w:line="259" w:lineRule="auto"/>
            </w:pPr>
            <w:r>
              <w:t>Exeter</w:t>
            </w:r>
          </w:p>
        </w:tc>
        <w:tc>
          <w:tcPr>
            <w:tcW w:w="1563" w:type="dxa"/>
          </w:tcPr>
          <w:p w14:paraId="11D59A02" w14:textId="77777777" w:rsidR="00F73B1E" w:rsidRPr="001645E1" w:rsidRDefault="00F73B1E" w:rsidP="00F73B1E">
            <w:pPr>
              <w:spacing w:after="160" w:line="259" w:lineRule="auto"/>
            </w:pPr>
            <w:r>
              <w:t>Kavo - SDLE</w:t>
            </w:r>
          </w:p>
        </w:tc>
        <w:tc>
          <w:tcPr>
            <w:tcW w:w="1361" w:type="dxa"/>
          </w:tcPr>
          <w:p w14:paraId="4A820A2E" w14:textId="77777777" w:rsidR="00F73B1E" w:rsidRPr="001645E1" w:rsidRDefault="00F73B1E" w:rsidP="00F73B1E">
            <w:r w:rsidRPr="001645E1">
              <w:t>17</w:t>
            </w:r>
          </w:p>
        </w:tc>
      </w:tr>
      <w:tr w:rsidR="00F73B1E" w:rsidRPr="003F03DA" w14:paraId="06F96B1A" w14:textId="77777777" w:rsidTr="00F73B1E">
        <w:trPr>
          <w:trHeight w:val="141"/>
        </w:trPr>
        <w:tc>
          <w:tcPr>
            <w:tcW w:w="1230" w:type="dxa"/>
          </w:tcPr>
          <w:p w14:paraId="567C78B7" w14:textId="77777777" w:rsidR="00F73B1E" w:rsidRPr="003F03DA" w:rsidRDefault="00F73B1E" w:rsidP="00F73B1E">
            <w:r w:rsidRPr="003F03DA">
              <w:t>Total</w:t>
            </w:r>
          </w:p>
        </w:tc>
        <w:tc>
          <w:tcPr>
            <w:tcW w:w="1563" w:type="dxa"/>
          </w:tcPr>
          <w:p w14:paraId="002FD795" w14:textId="77777777" w:rsidR="00F73B1E" w:rsidRPr="003F03DA" w:rsidRDefault="00F73B1E" w:rsidP="00F73B1E">
            <w:r w:rsidRPr="003F03DA">
              <w:t>Kavo = 50</w:t>
            </w:r>
          </w:p>
        </w:tc>
        <w:tc>
          <w:tcPr>
            <w:tcW w:w="1361" w:type="dxa"/>
          </w:tcPr>
          <w:p w14:paraId="466E0D1A" w14:textId="77777777" w:rsidR="00F73B1E" w:rsidRPr="003F03DA" w:rsidRDefault="00F73B1E" w:rsidP="00F73B1E">
            <w:r w:rsidRPr="003F03DA">
              <w:t>A</w:t>
            </w:r>
            <w:r w:rsidR="00FB5B91">
              <w:t>-</w:t>
            </w:r>
            <w:r w:rsidRPr="003F03DA">
              <w:t>dec = 126</w:t>
            </w:r>
          </w:p>
        </w:tc>
      </w:tr>
    </w:tbl>
    <w:p w14:paraId="298E7F57" w14:textId="77777777" w:rsidR="003F03DA" w:rsidRPr="00531990" w:rsidRDefault="00531990" w:rsidP="0078501A">
      <w:pPr>
        <w:rPr>
          <w:b/>
        </w:rPr>
      </w:pPr>
      <w:r>
        <w:rPr>
          <w:b/>
        </w:rPr>
        <w:t>Asset</w:t>
      </w:r>
      <w:r w:rsidR="00F73B1E">
        <w:rPr>
          <w:b/>
        </w:rPr>
        <w:t xml:space="preserve"> b</w:t>
      </w:r>
      <w:r>
        <w:rPr>
          <w:b/>
        </w:rPr>
        <w:t xml:space="preserve">reakdown: </w:t>
      </w:r>
    </w:p>
    <w:p w14:paraId="5AB7FD9A" w14:textId="77777777" w:rsidR="0078501A" w:rsidRPr="003F03DA" w:rsidRDefault="0078501A" w:rsidP="0078501A"/>
    <w:p w14:paraId="5F88E458" w14:textId="77777777" w:rsidR="0078501A" w:rsidRPr="003F03DA" w:rsidRDefault="0078501A" w:rsidP="0078501A"/>
    <w:p w14:paraId="21ACF749" w14:textId="77777777" w:rsidR="0078501A" w:rsidRPr="003F03DA" w:rsidRDefault="0078501A" w:rsidP="0078501A"/>
    <w:p w14:paraId="039773E7" w14:textId="77777777" w:rsidR="0078501A" w:rsidRPr="003F03DA" w:rsidRDefault="0078501A" w:rsidP="0078501A"/>
    <w:p w14:paraId="64462A3A" w14:textId="77777777" w:rsidR="0078501A" w:rsidRPr="003F03DA" w:rsidRDefault="0078501A" w:rsidP="0078501A">
      <w:r w:rsidRPr="003F03DA">
        <w:t xml:space="preserve"> </w:t>
      </w:r>
    </w:p>
    <w:p w14:paraId="72CECD95" w14:textId="77777777" w:rsidR="0078501A" w:rsidRPr="003F03DA" w:rsidRDefault="0078501A" w:rsidP="0078501A"/>
    <w:p w14:paraId="02B1B728" w14:textId="77777777" w:rsidR="0078501A" w:rsidRPr="003F03DA" w:rsidRDefault="0078501A" w:rsidP="0078501A"/>
    <w:p w14:paraId="76CC2DE7" w14:textId="36FE2AE1" w:rsidR="001645E1" w:rsidRDefault="001645E1" w:rsidP="0078501A"/>
    <w:p w14:paraId="4FBFBF7F" w14:textId="77777777" w:rsidR="00B56B50" w:rsidRDefault="00B56B50" w:rsidP="0078501A"/>
    <w:p w14:paraId="1209F5DA" w14:textId="77777777" w:rsidR="00F73B1E" w:rsidRPr="00FB5B91" w:rsidRDefault="00F73B1E" w:rsidP="0078501A">
      <w:r w:rsidRPr="00F73B1E">
        <w:rPr>
          <w:b/>
        </w:rPr>
        <w:lastRenderedPageBreak/>
        <w:t>M</w:t>
      </w:r>
      <w:r w:rsidR="0078501A" w:rsidRPr="00F73B1E">
        <w:rPr>
          <w:b/>
        </w:rPr>
        <w:t>arket</w:t>
      </w:r>
      <w:r w:rsidRPr="00F73B1E">
        <w:rPr>
          <w:b/>
        </w:rPr>
        <w:t xml:space="preserve"> options</w:t>
      </w:r>
      <w:r w:rsidR="0078501A" w:rsidRPr="00F73B1E">
        <w:rPr>
          <w:b/>
        </w:rPr>
        <w:t>:</w:t>
      </w:r>
      <w:r w:rsidR="00C3447F">
        <w:t xml:space="preserve"> Variety of different providers offer dental chair unit servicing a</w:t>
      </w:r>
      <w:r w:rsidR="00BA40D3">
        <w:t>nd breakdown services, howev</w:t>
      </w:r>
      <w:r w:rsidR="00FB5B91">
        <w:t>er the majority are targeted towards the general dental practice setting and so are not equipped to deliver services on such a wide scale. This is due to providers focusing their se</w:t>
      </w:r>
      <w:r w:rsidR="00443717">
        <w:t xml:space="preserve">rvices on the commercial market, often serving a large number of smaller businesses with a smaller </w:t>
      </w:r>
      <w:r w:rsidR="00FB5B91">
        <w:t>workfo</w:t>
      </w:r>
      <w:r w:rsidR="00443717">
        <w:t>rce team. Therefore owing to the scale and uniqueness of the service we require, other market providers are not able to provide the same levels of service. In relation to the services required in order to maintain the dental chair units, other than the spread of chairs across 4 locations</w:t>
      </w:r>
      <w:r w:rsidR="006D5ACD">
        <w:t>,</w:t>
      </w:r>
      <w:r w:rsidR="00443717">
        <w:t xml:space="preserve"> PDSE operates similarly to a conventional style dental hospital and therefore</w:t>
      </w:r>
      <w:r w:rsidR="006D5ACD">
        <w:t xml:space="preserve"> the services provided by Clinical Engineering are more suitable to meet our needs.  </w:t>
      </w:r>
      <w:r w:rsidR="00443717">
        <w:t xml:space="preserve"> </w:t>
      </w:r>
    </w:p>
    <w:p w14:paraId="23296B36" w14:textId="77777777" w:rsidR="00F73B1E" w:rsidRDefault="006D5ACD" w:rsidP="0078501A">
      <w:pPr>
        <w:rPr>
          <w:b/>
        </w:rPr>
      </w:pPr>
      <w:r>
        <w:rPr>
          <w:b/>
        </w:rPr>
        <w:t>Added value:</w:t>
      </w:r>
    </w:p>
    <w:p w14:paraId="0702C73E" w14:textId="77777777" w:rsidR="006D5ACD" w:rsidRDefault="006D5ACD" w:rsidP="006D5ACD">
      <w:pPr>
        <w:pStyle w:val="ListParagraph"/>
        <w:numPr>
          <w:ilvl w:val="0"/>
          <w:numId w:val="1"/>
        </w:numPr>
      </w:pPr>
      <w:r>
        <w:t>Reactive maintenance costs included in SLA value</w:t>
      </w:r>
    </w:p>
    <w:p w14:paraId="10A25A16" w14:textId="77777777" w:rsidR="00F41BC5" w:rsidRDefault="00F41BC5" w:rsidP="006D5ACD">
      <w:pPr>
        <w:pStyle w:val="ListParagraph"/>
        <w:numPr>
          <w:ilvl w:val="0"/>
          <w:numId w:val="1"/>
        </w:numPr>
      </w:pPr>
      <w:r>
        <w:t>Engineers based either on site, or within 15mins travel time for 3 out of 4 sites</w:t>
      </w:r>
    </w:p>
    <w:p w14:paraId="3F66B930" w14:textId="77777777" w:rsidR="006D5ACD" w:rsidRDefault="006D5ACD" w:rsidP="006D5ACD">
      <w:pPr>
        <w:pStyle w:val="ListParagraph"/>
        <w:numPr>
          <w:ilvl w:val="0"/>
          <w:numId w:val="1"/>
        </w:numPr>
      </w:pPr>
      <w:r>
        <w:t>Skilled and experienced engineers, trained in both manufacturer models and familiar with SDLE set up</w:t>
      </w:r>
    </w:p>
    <w:p w14:paraId="62DB2CF1" w14:textId="77777777" w:rsidR="006D5ACD" w:rsidRPr="006D5ACD" w:rsidRDefault="00F41BC5" w:rsidP="006D5ACD">
      <w:pPr>
        <w:pStyle w:val="ListParagraph"/>
        <w:numPr>
          <w:ilvl w:val="0"/>
          <w:numId w:val="1"/>
        </w:numPr>
      </w:pPr>
      <w:r>
        <w:t>Not for profit service negating commercial up sale pressures</w:t>
      </w:r>
    </w:p>
    <w:p w14:paraId="0D5816D6" w14:textId="77777777" w:rsidR="006D5ACD" w:rsidRDefault="000F6EDE" w:rsidP="0078501A">
      <w:pPr>
        <w:rPr>
          <w:b/>
        </w:rPr>
      </w:pPr>
      <w:r>
        <w:rPr>
          <w:b/>
        </w:rPr>
        <w:t>Risk reduction:</w:t>
      </w:r>
    </w:p>
    <w:p w14:paraId="0770B7D5" w14:textId="77777777" w:rsidR="000F6EDE" w:rsidRDefault="000F6EDE" w:rsidP="000F6EDE">
      <w:pPr>
        <w:pStyle w:val="ListParagraph"/>
        <w:numPr>
          <w:ilvl w:val="0"/>
          <w:numId w:val="2"/>
        </w:numPr>
      </w:pPr>
      <w:r>
        <w:t>Assured reliability and</w:t>
      </w:r>
      <w:r w:rsidRPr="000F6EDE">
        <w:t xml:space="preserve"> ability to deliver service, based upon previous business relations</w:t>
      </w:r>
    </w:p>
    <w:p w14:paraId="0A4920AD" w14:textId="424DB519" w:rsidR="000F6EDE" w:rsidRDefault="000F6EDE" w:rsidP="000F6EDE">
      <w:pPr>
        <w:pStyle w:val="ListParagraph"/>
        <w:numPr>
          <w:ilvl w:val="0"/>
          <w:numId w:val="2"/>
        </w:numPr>
      </w:pPr>
      <w:r>
        <w:t xml:space="preserve">Engineering team familiar with working on a large scale and scheduling works around the academic year. </w:t>
      </w:r>
    </w:p>
    <w:p w14:paraId="3A2955BA" w14:textId="4DFE87A4" w:rsidR="003D4905" w:rsidRDefault="003D4905" w:rsidP="003D4905"/>
    <w:p w14:paraId="38A68E12" w14:textId="782EBB4F" w:rsidR="003D4905" w:rsidRDefault="003D4905" w:rsidP="003D4905">
      <w:r>
        <w:t xml:space="preserve">If you wish to express on interest in this opportunity, please complete the below costing table and return to </w:t>
      </w:r>
      <w:hyperlink r:id="rId8" w:history="1">
        <w:r w:rsidRPr="008C4404">
          <w:rPr>
            <w:rStyle w:val="Hyperlink"/>
          </w:rPr>
          <w:t>procurement@plymouth.ac.uk</w:t>
        </w:r>
      </w:hyperlink>
    </w:p>
    <w:p w14:paraId="64C70811" w14:textId="33D4AF46" w:rsidR="003D4905" w:rsidRDefault="003D4905" w:rsidP="003D4905"/>
    <w:p w14:paraId="0154E7BA" w14:textId="314A6F23" w:rsidR="003D4905" w:rsidRDefault="003D4905" w:rsidP="003D4905"/>
    <w:p w14:paraId="0F965DC6" w14:textId="16981B8F" w:rsidR="003D4905" w:rsidRDefault="003D4905" w:rsidP="003D4905"/>
    <w:p w14:paraId="6465F5A1" w14:textId="368D1E48" w:rsidR="003D4905" w:rsidRDefault="003D4905" w:rsidP="003D4905"/>
    <w:p w14:paraId="5ECF8AD1" w14:textId="5B0D6BE2" w:rsidR="003D4905" w:rsidRDefault="003D4905" w:rsidP="003D4905"/>
    <w:p w14:paraId="2CF0B5E3" w14:textId="297E97D0" w:rsidR="003D4905" w:rsidRDefault="003D4905" w:rsidP="003D4905"/>
    <w:p w14:paraId="7892D1F0" w14:textId="338CDA0D" w:rsidR="003D4905" w:rsidRDefault="003D4905" w:rsidP="003D4905"/>
    <w:p w14:paraId="3D95F3EC" w14:textId="77777777" w:rsidR="003D4905" w:rsidRDefault="003D4905" w:rsidP="003D4905"/>
    <w:p w14:paraId="5FB09D4E" w14:textId="356B9CC5" w:rsidR="004C75EF" w:rsidRDefault="004C75EF" w:rsidP="004C75EF"/>
    <w:p w14:paraId="45AEC91F" w14:textId="425C5A4E" w:rsidR="00E75B5F" w:rsidRPr="004C75EF" w:rsidRDefault="004C75EF" w:rsidP="0078501A">
      <w:pPr>
        <w:rPr>
          <w:b/>
        </w:rPr>
      </w:pPr>
      <w:r w:rsidRPr="004C75EF">
        <w:rPr>
          <w:b/>
        </w:rPr>
        <w:t>Costing table</w:t>
      </w:r>
    </w:p>
    <w:tbl>
      <w:tblPr>
        <w:tblW w:w="11614" w:type="dxa"/>
        <w:tblLook w:val="04A0" w:firstRow="1" w:lastRow="0" w:firstColumn="1" w:lastColumn="0" w:noHBand="0" w:noVBand="1"/>
      </w:tblPr>
      <w:tblGrid>
        <w:gridCol w:w="4880"/>
        <w:gridCol w:w="1080"/>
        <w:gridCol w:w="1420"/>
        <w:gridCol w:w="2249"/>
        <w:gridCol w:w="1985"/>
      </w:tblGrid>
      <w:tr w:rsidR="004C75EF" w:rsidRPr="004C75EF" w14:paraId="55EA710E" w14:textId="77777777" w:rsidTr="00E75B5F">
        <w:trPr>
          <w:trHeight w:val="315"/>
        </w:trPr>
        <w:tc>
          <w:tcPr>
            <w:tcW w:w="48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2BDA9E4" w14:textId="77777777" w:rsidR="004C75EF" w:rsidRPr="004C75EF" w:rsidRDefault="004C75EF" w:rsidP="004C75EF">
            <w:pPr>
              <w:spacing w:after="0" w:line="240" w:lineRule="auto"/>
              <w:jc w:val="center"/>
              <w:rPr>
                <w:rFonts w:ascii="Calibri" w:eastAsia="Times New Roman" w:hAnsi="Calibri" w:cs="Calibri"/>
                <w:b/>
                <w:bCs/>
                <w:color w:val="000000"/>
                <w:lang w:eastAsia="en-GB"/>
              </w:rPr>
            </w:pPr>
            <w:r w:rsidRPr="004C75EF">
              <w:rPr>
                <w:rFonts w:ascii="Calibri" w:eastAsia="Times New Roman" w:hAnsi="Calibri" w:cs="Calibri"/>
                <w:b/>
                <w:bCs/>
                <w:color w:val="000000"/>
                <w:lang w:eastAsia="en-GB"/>
              </w:rPr>
              <w:t>Activity</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14:paraId="712B9772" w14:textId="77777777" w:rsidR="004C75EF" w:rsidRPr="004C75EF" w:rsidRDefault="004C75EF" w:rsidP="004C75EF">
            <w:pPr>
              <w:spacing w:after="0" w:line="240" w:lineRule="auto"/>
              <w:jc w:val="center"/>
              <w:rPr>
                <w:rFonts w:ascii="Calibri" w:eastAsia="Times New Roman" w:hAnsi="Calibri" w:cs="Calibri"/>
                <w:b/>
                <w:bCs/>
                <w:color w:val="000000"/>
                <w:lang w:eastAsia="en-GB"/>
              </w:rPr>
            </w:pPr>
            <w:r w:rsidRPr="004C75EF">
              <w:rPr>
                <w:rFonts w:ascii="Calibri" w:eastAsia="Times New Roman" w:hAnsi="Calibri" w:cs="Calibri"/>
                <w:b/>
                <w:bCs/>
                <w:color w:val="000000"/>
                <w:lang w:eastAsia="en-GB"/>
              </w:rPr>
              <w:t>Total units</w:t>
            </w:r>
          </w:p>
        </w:tc>
        <w:tc>
          <w:tcPr>
            <w:tcW w:w="1420" w:type="dxa"/>
            <w:tcBorders>
              <w:top w:val="single" w:sz="4" w:space="0" w:color="auto"/>
              <w:left w:val="nil"/>
              <w:bottom w:val="single" w:sz="8" w:space="0" w:color="auto"/>
              <w:right w:val="single" w:sz="8" w:space="0" w:color="auto"/>
            </w:tcBorders>
            <w:shd w:val="clear" w:color="auto" w:fill="auto"/>
            <w:vAlign w:val="center"/>
            <w:hideMark/>
          </w:tcPr>
          <w:p w14:paraId="305DE7ED" w14:textId="77777777" w:rsidR="004C75EF" w:rsidRPr="004C75EF" w:rsidRDefault="004C75EF" w:rsidP="004C75EF">
            <w:pPr>
              <w:spacing w:after="0" w:line="240" w:lineRule="auto"/>
              <w:jc w:val="center"/>
              <w:rPr>
                <w:rFonts w:ascii="Calibri" w:eastAsia="Times New Roman" w:hAnsi="Calibri" w:cs="Calibri"/>
                <w:b/>
                <w:bCs/>
                <w:color w:val="000000"/>
                <w:lang w:eastAsia="en-GB"/>
              </w:rPr>
            </w:pPr>
            <w:r w:rsidRPr="004C75EF">
              <w:rPr>
                <w:rFonts w:ascii="Calibri" w:eastAsia="Times New Roman" w:hAnsi="Calibri" w:cs="Calibri"/>
                <w:b/>
                <w:bCs/>
                <w:color w:val="000000"/>
                <w:lang w:eastAsia="en-GB"/>
              </w:rPr>
              <w:t>Price (ex VAT)</w:t>
            </w:r>
          </w:p>
        </w:tc>
        <w:tc>
          <w:tcPr>
            <w:tcW w:w="2249" w:type="dxa"/>
            <w:tcBorders>
              <w:top w:val="single" w:sz="4" w:space="0" w:color="auto"/>
              <w:left w:val="nil"/>
              <w:bottom w:val="single" w:sz="8" w:space="0" w:color="auto"/>
              <w:right w:val="single" w:sz="8" w:space="0" w:color="auto"/>
            </w:tcBorders>
            <w:shd w:val="clear" w:color="auto" w:fill="auto"/>
            <w:vAlign w:val="center"/>
            <w:hideMark/>
          </w:tcPr>
          <w:p w14:paraId="1D973E26" w14:textId="77777777" w:rsidR="004C75EF" w:rsidRPr="004C75EF" w:rsidRDefault="004C75EF" w:rsidP="004C75EF">
            <w:pPr>
              <w:spacing w:after="0" w:line="240" w:lineRule="auto"/>
              <w:jc w:val="center"/>
              <w:rPr>
                <w:rFonts w:ascii="Calibri" w:eastAsia="Times New Roman" w:hAnsi="Calibri" w:cs="Calibri"/>
                <w:b/>
                <w:bCs/>
                <w:color w:val="000000"/>
                <w:lang w:eastAsia="en-GB"/>
              </w:rPr>
            </w:pPr>
            <w:r w:rsidRPr="004C75EF">
              <w:rPr>
                <w:rFonts w:ascii="Calibri" w:eastAsia="Times New Roman" w:hAnsi="Calibri" w:cs="Calibri"/>
                <w:b/>
                <w:bCs/>
                <w:color w:val="000000"/>
                <w:lang w:eastAsia="en-GB"/>
              </w:rPr>
              <w:t>Total</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4E38037B" w14:textId="77777777" w:rsidR="004C75EF" w:rsidRPr="004C75EF" w:rsidRDefault="004C75EF" w:rsidP="004C75EF">
            <w:pPr>
              <w:spacing w:after="0" w:line="240" w:lineRule="auto"/>
              <w:jc w:val="center"/>
              <w:rPr>
                <w:rFonts w:ascii="Calibri" w:eastAsia="Times New Roman" w:hAnsi="Calibri" w:cs="Calibri"/>
                <w:b/>
                <w:bCs/>
                <w:color w:val="000000"/>
                <w:lang w:eastAsia="en-GB"/>
              </w:rPr>
            </w:pPr>
            <w:r w:rsidRPr="004C75EF">
              <w:rPr>
                <w:rFonts w:ascii="Calibri" w:eastAsia="Times New Roman" w:hAnsi="Calibri" w:cs="Calibri"/>
                <w:b/>
                <w:bCs/>
                <w:color w:val="000000"/>
                <w:lang w:eastAsia="en-GB"/>
              </w:rPr>
              <w:t>Notes</w:t>
            </w:r>
          </w:p>
        </w:tc>
      </w:tr>
      <w:tr w:rsidR="004C75EF" w:rsidRPr="004C75EF" w14:paraId="6A5B58C5" w14:textId="77777777" w:rsidTr="00E75B5F">
        <w:trPr>
          <w:trHeight w:val="315"/>
        </w:trPr>
        <w:tc>
          <w:tcPr>
            <w:tcW w:w="4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000B17"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Annual Service – Adec Chair A500 series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2B64581" w14:textId="77777777" w:rsidR="004C75EF" w:rsidRPr="004C75EF" w:rsidRDefault="004C75EF" w:rsidP="004C75EF">
            <w:pPr>
              <w:spacing w:after="0" w:line="240" w:lineRule="auto"/>
              <w:jc w:val="right"/>
              <w:rPr>
                <w:rFonts w:ascii="Calibri" w:eastAsia="Times New Roman" w:hAnsi="Calibri" w:cs="Calibri"/>
                <w:color w:val="000000"/>
                <w:lang w:eastAsia="en-GB"/>
              </w:rPr>
            </w:pPr>
            <w:r w:rsidRPr="004C75EF">
              <w:rPr>
                <w:rFonts w:ascii="Calibri" w:eastAsia="Times New Roman" w:hAnsi="Calibri" w:cs="Calibri"/>
                <w:color w:val="000000"/>
                <w:lang w:eastAsia="en-GB"/>
              </w:rPr>
              <w:t>126</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259518AB"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2249" w:type="dxa"/>
            <w:tcBorders>
              <w:top w:val="single" w:sz="8" w:space="0" w:color="auto"/>
              <w:left w:val="nil"/>
              <w:bottom w:val="single" w:sz="8" w:space="0" w:color="auto"/>
              <w:right w:val="single" w:sz="8" w:space="0" w:color="auto"/>
            </w:tcBorders>
            <w:shd w:val="clear" w:color="auto" w:fill="auto"/>
            <w:vAlign w:val="center"/>
            <w:hideMark/>
          </w:tcPr>
          <w:p w14:paraId="63E01171"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260A0B2C"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r>
      <w:tr w:rsidR="004C75EF" w:rsidRPr="004C75EF" w14:paraId="47068B45" w14:textId="77777777" w:rsidTr="00E75B5F">
        <w:trPr>
          <w:trHeight w:val="315"/>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4D6969D6"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Annual Service – Kavo Chair E30</w:t>
            </w:r>
          </w:p>
        </w:tc>
        <w:tc>
          <w:tcPr>
            <w:tcW w:w="1080" w:type="dxa"/>
            <w:tcBorders>
              <w:top w:val="nil"/>
              <w:left w:val="nil"/>
              <w:bottom w:val="single" w:sz="8" w:space="0" w:color="auto"/>
              <w:right w:val="single" w:sz="8" w:space="0" w:color="auto"/>
            </w:tcBorders>
            <w:shd w:val="clear" w:color="auto" w:fill="auto"/>
            <w:vAlign w:val="center"/>
            <w:hideMark/>
          </w:tcPr>
          <w:p w14:paraId="600E22A3" w14:textId="77777777" w:rsidR="004C75EF" w:rsidRPr="004C75EF" w:rsidRDefault="004C75EF" w:rsidP="004C75EF">
            <w:pPr>
              <w:spacing w:after="0" w:line="240" w:lineRule="auto"/>
              <w:jc w:val="right"/>
              <w:rPr>
                <w:rFonts w:ascii="Calibri" w:eastAsia="Times New Roman" w:hAnsi="Calibri" w:cs="Calibri"/>
                <w:color w:val="000000"/>
                <w:lang w:eastAsia="en-GB"/>
              </w:rPr>
            </w:pPr>
            <w:r w:rsidRPr="004C75EF">
              <w:rPr>
                <w:rFonts w:ascii="Calibri" w:eastAsia="Times New Roman" w:hAnsi="Calibri" w:cs="Calibri"/>
                <w:color w:val="000000"/>
                <w:lang w:eastAsia="en-GB"/>
              </w:rPr>
              <w:t>33</w:t>
            </w:r>
          </w:p>
        </w:tc>
        <w:tc>
          <w:tcPr>
            <w:tcW w:w="1420" w:type="dxa"/>
            <w:tcBorders>
              <w:top w:val="nil"/>
              <w:left w:val="nil"/>
              <w:bottom w:val="single" w:sz="8" w:space="0" w:color="auto"/>
              <w:right w:val="single" w:sz="8" w:space="0" w:color="auto"/>
            </w:tcBorders>
            <w:shd w:val="clear" w:color="auto" w:fill="auto"/>
            <w:vAlign w:val="center"/>
            <w:hideMark/>
          </w:tcPr>
          <w:p w14:paraId="1953B6A3"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2249" w:type="dxa"/>
            <w:tcBorders>
              <w:top w:val="nil"/>
              <w:left w:val="nil"/>
              <w:bottom w:val="single" w:sz="8" w:space="0" w:color="auto"/>
              <w:right w:val="single" w:sz="8" w:space="0" w:color="auto"/>
            </w:tcBorders>
            <w:shd w:val="clear" w:color="auto" w:fill="auto"/>
            <w:vAlign w:val="center"/>
            <w:hideMark/>
          </w:tcPr>
          <w:p w14:paraId="3B924283"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750E7760"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r>
      <w:tr w:rsidR="004C75EF" w:rsidRPr="004C75EF" w14:paraId="5EF45181" w14:textId="77777777" w:rsidTr="00E75B5F">
        <w:trPr>
          <w:trHeight w:val="315"/>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6119B766"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Annual Service - Kavo SDLE DSE Clinical 5197</w:t>
            </w:r>
          </w:p>
        </w:tc>
        <w:tc>
          <w:tcPr>
            <w:tcW w:w="1080" w:type="dxa"/>
            <w:tcBorders>
              <w:top w:val="nil"/>
              <w:left w:val="nil"/>
              <w:bottom w:val="single" w:sz="8" w:space="0" w:color="auto"/>
              <w:right w:val="single" w:sz="8" w:space="0" w:color="auto"/>
            </w:tcBorders>
            <w:shd w:val="clear" w:color="auto" w:fill="auto"/>
            <w:vAlign w:val="center"/>
            <w:hideMark/>
          </w:tcPr>
          <w:p w14:paraId="329D9C06" w14:textId="77777777" w:rsidR="004C75EF" w:rsidRPr="004C75EF" w:rsidRDefault="004C75EF" w:rsidP="004C75EF">
            <w:pPr>
              <w:spacing w:after="0" w:line="240" w:lineRule="auto"/>
              <w:jc w:val="right"/>
              <w:rPr>
                <w:rFonts w:ascii="Calibri" w:eastAsia="Times New Roman" w:hAnsi="Calibri" w:cs="Calibri"/>
                <w:color w:val="000000"/>
                <w:lang w:eastAsia="en-GB"/>
              </w:rPr>
            </w:pPr>
            <w:r w:rsidRPr="004C75EF">
              <w:rPr>
                <w:rFonts w:ascii="Calibri" w:eastAsia="Times New Roman" w:hAnsi="Calibri" w:cs="Calibri"/>
                <w:color w:val="000000"/>
                <w:lang w:eastAsia="en-GB"/>
              </w:rPr>
              <w:t>17</w:t>
            </w:r>
          </w:p>
        </w:tc>
        <w:tc>
          <w:tcPr>
            <w:tcW w:w="1420" w:type="dxa"/>
            <w:tcBorders>
              <w:top w:val="nil"/>
              <w:left w:val="nil"/>
              <w:bottom w:val="single" w:sz="8" w:space="0" w:color="auto"/>
              <w:right w:val="single" w:sz="8" w:space="0" w:color="auto"/>
            </w:tcBorders>
            <w:shd w:val="clear" w:color="auto" w:fill="auto"/>
            <w:vAlign w:val="center"/>
            <w:hideMark/>
          </w:tcPr>
          <w:p w14:paraId="63774F18"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2249" w:type="dxa"/>
            <w:tcBorders>
              <w:top w:val="nil"/>
              <w:left w:val="nil"/>
              <w:bottom w:val="single" w:sz="8" w:space="0" w:color="auto"/>
              <w:right w:val="single" w:sz="8" w:space="0" w:color="auto"/>
            </w:tcBorders>
            <w:shd w:val="clear" w:color="auto" w:fill="auto"/>
            <w:vAlign w:val="center"/>
            <w:hideMark/>
          </w:tcPr>
          <w:p w14:paraId="73223F68"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03E76402"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r>
      <w:tr w:rsidR="004C75EF" w:rsidRPr="004C75EF" w14:paraId="56355BA2" w14:textId="77777777" w:rsidTr="00E75B5F">
        <w:trPr>
          <w:trHeight w:val="315"/>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5DE7A537"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Cost per call out</w:t>
            </w:r>
          </w:p>
        </w:tc>
        <w:tc>
          <w:tcPr>
            <w:tcW w:w="1080" w:type="dxa"/>
            <w:tcBorders>
              <w:top w:val="nil"/>
              <w:left w:val="nil"/>
              <w:bottom w:val="single" w:sz="8" w:space="0" w:color="auto"/>
              <w:right w:val="single" w:sz="8" w:space="0" w:color="auto"/>
            </w:tcBorders>
            <w:shd w:val="clear" w:color="auto" w:fill="auto"/>
            <w:vAlign w:val="center"/>
            <w:hideMark/>
          </w:tcPr>
          <w:p w14:paraId="1ABA29A4"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n/a</w:t>
            </w:r>
          </w:p>
        </w:tc>
        <w:tc>
          <w:tcPr>
            <w:tcW w:w="1420" w:type="dxa"/>
            <w:tcBorders>
              <w:top w:val="nil"/>
              <w:left w:val="nil"/>
              <w:bottom w:val="single" w:sz="8" w:space="0" w:color="auto"/>
              <w:right w:val="single" w:sz="8" w:space="0" w:color="auto"/>
            </w:tcBorders>
            <w:shd w:val="clear" w:color="auto" w:fill="auto"/>
            <w:vAlign w:val="center"/>
            <w:hideMark/>
          </w:tcPr>
          <w:p w14:paraId="72DC3950"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2249" w:type="dxa"/>
            <w:tcBorders>
              <w:top w:val="nil"/>
              <w:left w:val="nil"/>
              <w:bottom w:val="single" w:sz="8" w:space="0" w:color="auto"/>
              <w:right w:val="single" w:sz="8" w:space="0" w:color="auto"/>
            </w:tcBorders>
            <w:shd w:val="clear" w:color="auto" w:fill="auto"/>
            <w:vAlign w:val="center"/>
            <w:hideMark/>
          </w:tcPr>
          <w:p w14:paraId="058FAFDF"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745AB096"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r>
      <w:tr w:rsidR="004C75EF" w:rsidRPr="004C75EF" w14:paraId="1FFD244A" w14:textId="77777777" w:rsidTr="00E75B5F">
        <w:trPr>
          <w:trHeight w:val="315"/>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58093A7B"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Travel cost per mile</w:t>
            </w:r>
          </w:p>
        </w:tc>
        <w:tc>
          <w:tcPr>
            <w:tcW w:w="1080" w:type="dxa"/>
            <w:tcBorders>
              <w:top w:val="nil"/>
              <w:left w:val="nil"/>
              <w:bottom w:val="single" w:sz="8" w:space="0" w:color="auto"/>
              <w:right w:val="single" w:sz="8" w:space="0" w:color="auto"/>
            </w:tcBorders>
            <w:shd w:val="clear" w:color="auto" w:fill="auto"/>
            <w:vAlign w:val="center"/>
            <w:hideMark/>
          </w:tcPr>
          <w:p w14:paraId="75155859"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n/a</w:t>
            </w:r>
          </w:p>
        </w:tc>
        <w:tc>
          <w:tcPr>
            <w:tcW w:w="1420" w:type="dxa"/>
            <w:tcBorders>
              <w:top w:val="nil"/>
              <w:left w:val="nil"/>
              <w:bottom w:val="single" w:sz="8" w:space="0" w:color="auto"/>
              <w:right w:val="single" w:sz="8" w:space="0" w:color="auto"/>
            </w:tcBorders>
            <w:shd w:val="clear" w:color="auto" w:fill="auto"/>
            <w:vAlign w:val="center"/>
            <w:hideMark/>
          </w:tcPr>
          <w:p w14:paraId="4EEB3C1A"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2249" w:type="dxa"/>
            <w:tcBorders>
              <w:top w:val="nil"/>
              <w:left w:val="nil"/>
              <w:bottom w:val="single" w:sz="8" w:space="0" w:color="auto"/>
              <w:right w:val="single" w:sz="8" w:space="0" w:color="auto"/>
            </w:tcBorders>
            <w:shd w:val="clear" w:color="auto" w:fill="auto"/>
            <w:vAlign w:val="center"/>
            <w:hideMark/>
          </w:tcPr>
          <w:p w14:paraId="316D8F55"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53207A35"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r>
      <w:tr w:rsidR="004C75EF" w:rsidRPr="004C75EF" w14:paraId="586E6E91" w14:textId="77777777" w:rsidTr="00E75B5F">
        <w:trPr>
          <w:trHeight w:val="315"/>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4D65E6FA"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Total mileage cost return to Devonport DEF - PL1 4JZ</w:t>
            </w:r>
          </w:p>
        </w:tc>
        <w:tc>
          <w:tcPr>
            <w:tcW w:w="1080" w:type="dxa"/>
            <w:tcBorders>
              <w:top w:val="nil"/>
              <w:left w:val="nil"/>
              <w:bottom w:val="single" w:sz="8" w:space="0" w:color="auto"/>
              <w:right w:val="single" w:sz="8" w:space="0" w:color="auto"/>
            </w:tcBorders>
            <w:shd w:val="clear" w:color="auto" w:fill="auto"/>
            <w:vAlign w:val="center"/>
            <w:hideMark/>
          </w:tcPr>
          <w:p w14:paraId="595AD238"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420" w:type="dxa"/>
            <w:tcBorders>
              <w:top w:val="nil"/>
              <w:left w:val="nil"/>
              <w:bottom w:val="single" w:sz="8" w:space="0" w:color="auto"/>
              <w:right w:val="single" w:sz="8" w:space="0" w:color="auto"/>
            </w:tcBorders>
            <w:shd w:val="clear" w:color="auto" w:fill="auto"/>
            <w:vAlign w:val="center"/>
            <w:hideMark/>
          </w:tcPr>
          <w:p w14:paraId="0C3FA08A"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2249" w:type="dxa"/>
            <w:tcBorders>
              <w:top w:val="nil"/>
              <w:left w:val="nil"/>
              <w:bottom w:val="single" w:sz="8" w:space="0" w:color="auto"/>
              <w:right w:val="single" w:sz="8" w:space="0" w:color="auto"/>
            </w:tcBorders>
            <w:shd w:val="clear" w:color="auto" w:fill="auto"/>
            <w:vAlign w:val="center"/>
            <w:hideMark/>
          </w:tcPr>
          <w:p w14:paraId="7FFE7AB6"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60B69B3D"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r>
      <w:tr w:rsidR="004C75EF" w:rsidRPr="004C75EF" w14:paraId="527BB263" w14:textId="77777777" w:rsidTr="00E75B5F">
        <w:trPr>
          <w:trHeight w:val="315"/>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1F9490BC"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Total mileage cost return to Derriford DEF - PL6 8BT</w:t>
            </w:r>
          </w:p>
        </w:tc>
        <w:tc>
          <w:tcPr>
            <w:tcW w:w="1080" w:type="dxa"/>
            <w:tcBorders>
              <w:top w:val="nil"/>
              <w:left w:val="nil"/>
              <w:bottom w:val="single" w:sz="8" w:space="0" w:color="auto"/>
              <w:right w:val="single" w:sz="8" w:space="0" w:color="auto"/>
            </w:tcBorders>
            <w:shd w:val="clear" w:color="auto" w:fill="auto"/>
            <w:vAlign w:val="center"/>
            <w:hideMark/>
          </w:tcPr>
          <w:p w14:paraId="218150E5"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420" w:type="dxa"/>
            <w:tcBorders>
              <w:top w:val="nil"/>
              <w:left w:val="nil"/>
              <w:bottom w:val="single" w:sz="8" w:space="0" w:color="auto"/>
              <w:right w:val="single" w:sz="8" w:space="0" w:color="auto"/>
            </w:tcBorders>
            <w:shd w:val="clear" w:color="auto" w:fill="auto"/>
            <w:vAlign w:val="center"/>
            <w:hideMark/>
          </w:tcPr>
          <w:p w14:paraId="79091770"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2249" w:type="dxa"/>
            <w:tcBorders>
              <w:top w:val="nil"/>
              <w:left w:val="nil"/>
              <w:bottom w:val="single" w:sz="8" w:space="0" w:color="auto"/>
              <w:right w:val="single" w:sz="8" w:space="0" w:color="auto"/>
            </w:tcBorders>
            <w:shd w:val="clear" w:color="auto" w:fill="auto"/>
            <w:vAlign w:val="center"/>
            <w:hideMark/>
          </w:tcPr>
          <w:p w14:paraId="6CD51101"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44FA542A"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r>
      <w:tr w:rsidR="004C75EF" w:rsidRPr="004C75EF" w14:paraId="08E7A8F0" w14:textId="77777777" w:rsidTr="00E75B5F">
        <w:trPr>
          <w:trHeight w:val="315"/>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6E7765B7"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Total mileage cost return to Exeter DEF - EX2 4SG</w:t>
            </w:r>
          </w:p>
        </w:tc>
        <w:tc>
          <w:tcPr>
            <w:tcW w:w="1080" w:type="dxa"/>
            <w:tcBorders>
              <w:top w:val="nil"/>
              <w:left w:val="nil"/>
              <w:bottom w:val="single" w:sz="8" w:space="0" w:color="auto"/>
              <w:right w:val="single" w:sz="8" w:space="0" w:color="auto"/>
            </w:tcBorders>
            <w:shd w:val="clear" w:color="auto" w:fill="auto"/>
            <w:vAlign w:val="center"/>
            <w:hideMark/>
          </w:tcPr>
          <w:p w14:paraId="758610F1"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420" w:type="dxa"/>
            <w:tcBorders>
              <w:top w:val="nil"/>
              <w:left w:val="nil"/>
              <w:bottom w:val="single" w:sz="8" w:space="0" w:color="auto"/>
              <w:right w:val="single" w:sz="8" w:space="0" w:color="auto"/>
            </w:tcBorders>
            <w:shd w:val="clear" w:color="auto" w:fill="auto"/>
            <w:vAlign w:val="center"/>
            <w:hideMark/>
          </w:tcPr>
          <w:p w14:paraId="3344EA4F"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2249" w:type="dxa"/>
            <w:tcBorders>
              <w:top w:val="nil"/>
              <w:left w:val="nil"/>
              <w:bottom w:val="single" w:sz="8" w:space="0" w:color="auto"/>
              <w:right w:val="single" w:sz="8" w:space="0" w:color="auto"/>
            </w:tcBorders>
            <w:shd w:val="clear" w:color="auto" w:fill="auto"/>
            <w:vAlign w:val="center"/>
            <w:hideMark/>
          </w:tcPr>
          <w:p w14:paraId="75DD9CCE"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51D58F4F"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r>
      <w:tr w:rsidR="004C75EF" w:rsidRPr="004C75EF" w14:paraId="4BDA2BD8" w14:textId="77777777" w:rsidTr="00E75B5F">
        <w:trPr>
          <w:trHeight w:val="315"/>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3A48AD7E"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Total mileage cost return to Truro DEF - TR1 3HD</w:t>
            </w:r>
          </w:p>
        </w:tc>
        <w:tc>
          <w:tcPr>
            <w:tcW w:w="1080" w:type="dxa"/>
            <w:tcBorders>
              <w:top w:val="nil"/>
              <w:left w:val="nil"/>
              <w:bottom w:val="single" w:sz="8" w:space="0" w:color="auto"/>
              <w:right w:val="single" w:sz="8" w:space="0" w:color="auto"/>
            </w:tcBorders>
            <w:shd w:val="clear" w:color="auto" w:fill="auto"/>
            <w:vAlign w:val="center"/>
            <w:hideMark/>
          </w:tcPr>
          <w:p w14:paraId="11349E5B"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420" w:type="dxa"/>
            <w:tcBorders>
              <w:top w:val="nil"/>
              <w:left w:val="nil"/>
              <w:bottom w:val="single" w:sz="8" w:space="0" w:color="auto"/>
              <w:right w:val="single" w:sz="8" w:space="0" w:color="auto"/>
            </w:tcBorders>
            <w:shd w:val="clear" w:color="auto" w:fill="auto"/>
            <w:vAlign w:val="center"/>
            <w:hideMark/>
          </w:tcPr>
          <w:p w14:paraId="2AABCBE5"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2249" w:type="dxa"/>
            <w:tcBorders>
              <w:top w:val="nil"/>
              <w:left w:val="nil"/>
              <w:bottom w:val="single" w:sz="8" w:space="0" w:color="auto"/>
              <w:right w:val="single" w:sz="8" w:space="0" w:color="auto"/>
            </w:tcBorders>
            <w:shd w:val="clear" w:color="auto" w:fill="auto"/>
            <w:vAlign w:val="center"/>
            <w:hideMark/>
          </w:tcPr>
          <w:p w14:paraId="1BB9EAEF"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46768507" w14:textId="77777777" w:rsidR="004C75EF" w:rsidRPr="004C75EF" w:rsidRDefault="004C75EF" w:rsidP="004C75EF">
            <w:pPr>
              <w:spacing w:after="0" w:line="240" w:lineRule="auto"/>
              <w:rPr>
                <w:rFonts w:ascii="Calibri" w:eastAsia="Times New Roman" w:hAnsi="Calibri" w:cs="Calibri"/>
                <w:color w:val="000000"/>
                <w:lang w:eastAsia="en-GB"/>
              </w:rPr>
            </w:pPr>
            <w:r w:rsidRPr="004C75EF">
              <w:rPr>
                <w:rFonts w:ascii="Calibri" w:eastAsia="Times New Roman" w:hAnsi="Calibri" w:cs="Calibri"/>
                <w:color w:val="000000"/>
                <w:lang w:eastAsia="en-GB"/>
              </w:rPr>
              <w:t> </w:t>
            </w:r>
          </w:p>
        </w:tc>
      </w:tr>
    </w:tbl>
    <w:p w14:paraId="34907908" w14:textId="730A8E50" w:rsidR="004C75EF" w:rsidRDefault="004C75EF" w:rsidP="0078501A"/>
    <w:sectPr w:rsidR="004C75EF" w:rsidSect="004C75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4287"/>
    <w:multiLevelType w:val="hybridMultilevel"/>
    <w:tmpl w:val="064E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2C13C6"/>
    <w:multiLevelType w:val="hybridMultilevel"/>
    <w:tmpl w:val="9638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1A"/>
    <w:rsid w:val="000F6EDE"/>
    <w:rsid w:val="001645E1"/>
    <w:rsid w:val="002C2C87"/>
    <w:rsid w:val="003D4905"/>
    <w:rsid w:val="003F03DA"/>
    <w:rsid w:val="00443717"/>
    <w:rsid w:val="004C75EF"/>
    <w:rsid w:val="00531990"/>
    <w:rsid w:val="0056418E"/>
    <w:rsid w:val="006D5ACD"/>
    <w:rsid w:val="0078501A"/>
    <w:rsid w:val="007C2FBB"/>
    <w:rsid w:val="009928C3"/>
    <w:rsid w:val="00B56B50"/>
    <w:rsid w:val="00BA40D3"/>
    <w:rsid w:val="00C3447F"/>
    <w:rsid w:val="00C82ABB"/>
    <w:rsid w:val="00E75B5F"/>
    <w:rsid w:val="00F41BC5"/>
    <w:rsid w:val="00F73B1E"/>
    <w:rsid w:val="00FB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CCC3"/>
  <w15:chartTrackingRefBased/>
  <w15:docId w15:val="{969C909B-398D-4427-90B6-558A764B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ACD"/>
    <w:pPr>
      <w:ind w:left="720"/>
      <w:contextualSpacing/>
    </w:pPr>
  </w:style>
  <w:style w:type="character" w:styleId="Hyperlink">
    <w:name w:val="Hyperlink"/>
    <w:basedOn w:val="DefaultParagraphFont"/>
    <w:uiPriority w:val="99"/>
    <w:unhideWhenUsed/>
    <w:rsid w:val="003D49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638486">
      <w:bodyDiv w:val="1"/>
      <w:marLeft w:val="0"/>
      <w:marRight w:val="0"/>
      <w:marTop w:val="0"/>
      <w:marBottom w:val="0"/>
      <w:divBdr>
        <w:top w:val="none" w:sz="0" w:space="0" w:color="auto"/>
        <w:left w:val="none" w:sz="0" w:space="0" w:color="auto"/>
        <w:bottom w:val="none" w:sz="0" w:space="0" w:color="auto"/>
        <w:right w:val="none" w:sz="0" w:space="0" w:color="auto"/>
      </w:divBdr>
    </w:div>
    <w:div w:id="21265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plymouth.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895DA9EC9EAA4D8D6F3B4B5587E74B" ma:contentTypeVersion="10" ma:contentTypeDescription="Create a new document." ma:contentTypeScope="" ma:versionID="215857b6956b1e8accd8b72777324ed6">
  <xsd:schema xmlns:xsd="http://www.w3.org/2001/XMLSchema" xmlns:xs="http://www.w3.org/2001/XMLSchema" xmlns:p="http://schemas.microsoft.com/office/2006/metadata/properties" xmlns:ns3="e49efe82-2a25-4b70-9f32-072c9d9e5339" xmlns:ns4="1e5a837a-5717-4cde-9c51-24efab0e3436" targetNamespace="http://schemas.microsoft.com/office/2006/metadata/properties" ma:root="true" ma:fieldsID="6b873cddeebf723070de3745d6f5a9a0" ns3:_="" ns4:_="">
    <xsd:import namespace="e49efe82-2a25-4b70-9f32-072c9d9e5339"/>
    <xsd:import namespace="1e5a837a-5717-4cde-9c51-24efab0e34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fe82-2a25-4b70-9f32-072c9d9e5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a837a-5717-4cde-9c51-24efab0e3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6230A-AB14-4FC0-AEAB-6D11707B0608}">
  <ds:schemaRefs>
    <ds:schemaRef ds:uri="http://schemas.microsoft.com/sharepoint/v3/contenttype/forms"/>
  </ds:schemaRefs>
</ds:datastoreItem>
</file>

<file path=customXml/itemProps2.xml><?xml version="1.0" encoding="utf-8"?>
<ds:datastoreItem xmlns:ds="http://schemas.openxmlformats.org/officeDocument/2006/customXml" ds:itemID="{3F13DF56-12FD-4D10-8AC5-CA46B258C2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D0610F-434F-432B-B6EF-ED9CA1CC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fe82-2a25-4b70-9f32-072c9d9e5339"/>
    <ds:schemaRef ds:uri="1e5a837a-5717-4cde-9c51-24efab0e3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Anderson</dc:creator>
  <cp:keywords/>
  <dc:description/>
  <cp:lastModifiedBy>Kate Babcock</cp:lastModifiedBy>
  <cp:revision>2</cp:revision>
  <dcterms:created xsi:type="dcterms:W3CDTF">2019-11-15T13:58:00Z</dcterms:created>
  <dcterms:modified xsi:type="dcterms:W3CDTF">2019-11-15T13:58:00Z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0x01010045895DA9EC9EAA4D8D6F3B4B5587E74B</vt:lpwstr>
  </property>
</Properties>
</file>