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353C8" w14:textId="77777777" w:rsidR="00256CCB" w:rsidRDefault="00256CCB" w:rsidP="00256CCB">
      <w:pPr>
        <w:spacing w:before="60" w:after="60"/>
        <w:jc w:val="center"/>
        <w:rPr>
          <w:b/>
        </w:rPr>
      </w:pPr>
    </w:p>
    <w:p w14:paraId="260BC074" w14:textId="6AF1217C" w:rsidR="00E60DE8" w:rsidRDefault="00E60DE8" w:rsidP="00256CCB">
      <w:pPr>
        <w:spacing w:before="60" w:after="6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F9E8C08" wp14:editId="406EDDA8">
            <wp:simplePos x="0" y="0"/>
            <wp:positionH relativeFrom="margin">
              <wp:posOffset>0</wp:posOffset>
            </wp:positionH>
            <wp:positionV relativeFrom="paragraph">
              <wp:posOffset>196215</wp:posOffset>
            </wp:positionV>
            <wp:extent cx="946150" cy="831850"/>
            <wp:effectExtent l="0" t="0" r="6350" b="6350"/>
            <wp:wrapSquare wrapText="bothSides" distT="0" distB="0" distL="114300" distR="114300"/>
            <wp:docPr id="4" name="image2.png" descr="Description: CCS_2935_SML_A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escription: CCS_2935_SML_AW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831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E2E7D3" w14:textId="6CA9AF9F" w:rsidR="00E60DE8" w:rsidRDefault="00E60DE8" w:rsidP="00256CCB">
      <w:pPr>
        <w:spacing w:before="60" w:after="60"/>
        <w:jc w:val="center"/>
        <w:rPr>
          <w:b/>
        </w:rPr>
      </w:pPr>
      <w:r w:rsidRPr="00A6773F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70359E2C" wp14:editId="7ACA167F">
            <wp:simplePos x="0" y="0"/>
            <wp:positionH relativeFrom="column">
              <wp:posOffset>4241800</wp:posOffset>
            </wp:positionH>
            <wp:positionV relativeFrom="paragraph">
              <wp:posOffset>7620</wp:posOffset>
            </wp:positionV>
            <wp:extent cx="1449070" cy="768350"/>
            <wp:effectExtent l="0" t="0" r="0" b="0"/>
            <wp:wrapTight wrapText="bothSides">
              <wp:wrapPolygon edited="0">
                <wp:start x="0" y="0"/>
                <wp:lineTo x="0" y="20886"/>
                <wp:lineTo x="21297" y="20886"/>
                <wp:lineTo x="21297" y="0"/>
                <wp:lineTo x="0" y="0"/>
              </wp:wrapPolygon>
            </wp:wrapTight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460A5" w14:textId="731E4E2B" w:rsidR="00E60DE8" w:rsidRDefault="00E60DE8" w:rsidP="00256CCB">
      <w:pPr>
        <w:spacing w:before="60" w:after="60"/>
        <w:jc w:val="center"/>
        <w:rPr>
          <w:b/>
        </w:rPr>
      </w:pPr>
    </w:p>
    <w:p w14:paraId="665C6F5C" w14:textId="77777777" w:rsidR="00E60DE8" w:rsidRDefault="00E60DE8" w:rsidP="00256CCB">
      <w:pPr>
        <w:spacing w:before="60" w:after="60"/>
        <w:jc w:val="center"/>
        <w:rPr>
          <w:b/>
        </w:rPr>
      </w:pPr>
    </w:p>
    <w:p w14:paraId="0328F8F6" w14:textId="77777777" w:rsidR="00E60DE8" w:rsidRDefault="00E60DE8" w:rsidP="00256CCB">
      <w:pPr>
        <w:spacing w:before="60" w:after="60"/>
        <w:jc w:val="center"/>
        <w:rPr>
          <w:b/>
        </w:rPr>
      </w:pPr>
    </w:p>
    <w:p w14:paraId="55E3B55B" w14:textId="77777777" w:rsidR="00E60DE8" w:rsidRDefault="00E60DE8" w:rsidP="00256CCB">
      <w:pPr>
        <w:spacing w:before="60" w:after="60"/>
        <w:jc w:val="center"/>
        <w:rPr>
          <w:b/>
        </w:rPr>
      </w:pPr>
    </w:p>
    <w:p w14:paraId="1BB1428C" w14:textId="77777777" w:rsidR="00E60DE8" w:rsidRDefault="00E60DE8" w:rsidP="00256CCB">
      <w:pPr>
        <w:spacing w:before="60" w:after="60"/>
        <w:jc w:val="center"/>
        <w:rPr>
          <w:b/>
        </w:rPr>
      </w:pPr>
    </w:p>
    <w:p w14:paraId="475DE63D" w14:textId="39DEF136" w:rsidR="00B20120" w:rsidRDefault="00E85D28" w:rsidP="00E85D28">
      <w:r>
        <w:t xml:space="preserve">This document is a copy of </w:t>
      </w:r>
      <w:r w:rsidR="004E13E4">
        <w:t>Annex 3</w:t>
      </w:r>
      <w:r w:rsidR="00B20120">
        <w:t xml:space="preserve"> of the </w:t>
      </w:r>
      <w:r>
        <w:t>A</w:t>
      </w:r>
      <w:r w:rsidR="00B20120">
        <w:t xml:space="preserve">greement. </w:t>
      </w:r>
    </w:p>
    <w:p w14:paraId="78568C5F" w14:textId="77777777" w:rsidR="00B20120" w:rsidRDefault="00B20120" w:rsidP="005D11E7">
      <w:pPr>
        <w:jc w:val="center"/>
        <w:rPr>
          <w:b/>
          <w:smallCaps/>
        </w:rPr>
      </w:pPr>
    </w:p>
    <w:p w14:paraId="16A046BE" w14:textId="38D8674E" w:rsidR="00204E5D" w:rsidRDefault="00E67C18" w:rsidP="005D11E7">
      <w:pPr>
        <w:jc w:val="center"/>
        <w:rPr>
          <w:b/>
          <w:smallCaps/>
        </w:rPr>
      </w:pPr>
      <w:r>
        <w:rPr>
          <w:b/>
          <w:smallCaps/>
        </w:rPr>
        <w:t>ANNEX 3</w:t>
      </w:r>
      <w:r w:rsidR="004674A5" w:rsidRPr="0093372C">
        <w:rPr>
          <w:b/>
          <w:smallCaps/>
        </w:rPr>
        <w:t xml:space="preserve"> – SERVICE REQUIREMENTS</w:t>
      </w:r>
    </w:p>
    <w:p w14:paraId="49792B4F" w14:textId="77777777" w:rsidR="000B5CAD" w:rsidRDefault="000B5CAD" w:rsidP="005D11E7">
      <w:pPr>
        <w:jc w:val="center"/>
        <w:rPr>
          <w:b/>
          <w:smallCaps/>
        </w:rPr>
      </w:pPr>
    </w:p>
    <w:p w14:paraId="5A4B8E13" w14:textId="06991897" w:rsidR="000B5CAD" w:rsidRDefault="000B5CAD" w:rsidP="000B5CAD">
      <w:r>
        <w:t>DEFINITIONS</w:t>
      </w:r>
    </w:p>
    <w:p w14:paraId="1F965B2D" w14:textId="77777777" w:rsidR="000B5CAD" w:rsidRDefault="000B5CAD" w:rsidP="000B5CAD"/>
    <w:p w14:paraId="554128CC" w14:textId="445E6335" w:rsidR="000B5CAD" w:rsidRDefault="000B5CAD" w:rsidP="000B5CAD">
      <w:r w:rsidRPr="000B5CAD">
        <w:t>In this Annex, the following definitions shall apply:</w:t>
      </w:r>
    </w:p>
    <w:p w14:paraId="410CFA9A" w14:textId="77777777" w:rsidR="0062344E" w:rsidRDefault="0062344E" w:rsidP="000B5CA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05"/>
      </w:tblGrid>
      <w:tr w:rsidR="000B5CAD" w14:paraId="3D95A4D5" w14:textId="77777777" w:rsidTr="00A075EC">
        <w:tc>
          <w:tcPr>
            <w:tcW w:w="3114" w:type="dxa"/>
          </w:tcPr>
          <w:p w14:paraId="442DBB5D" w14:textId="2C74C541" w:rsidR="000B5CAD" w:rsidRPr="00A075EC" w:rsidRDefault="000B5CAD" w:rsidP="000B5C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 w:rsidRPr="00A075EC">
              <w:rPr>
                <w:b/>
                <w:color w:val="263238"/>
                <w:sz w:val="20"/>
                <w:szCs w:val="20"/>
              </w:rPr>
              <w:t xml:space="preserve">“Milestones”  </w:t>
            </w:r>
          </w:p>
        </w:tc>
        <w:tc>
          <w:tcPr>
            <w:tcW w:w="5905" w:type="dxa"/>
          </w:tcPr>
          <w:p w14:paraId="669122C0" w14:textId="77777777" w:rsidR="000B5CAD" w:rsidRDefault="0062344E" w:rsidP="00A075EC">
            <w:pPr>
              <w:rPr>
                <w:color w:val="263238"/>
                <w:sz w:val="20"/>
                <w:szCs w:val="20"/>
              </w:rPr>
            </w:pPr>
            <w:r>
              <w:rPr>
                <w:color w:val="263238"/>
                <w:sz w:val="20"/>
                <w:szCs w:val="20"/>
              </w:rPr>
              <w:t>d</w:t>
            </w:r>
            <w:r w:rsidR="000B5CAD">
              <w:rPr>
                <w:color w:val="263238"/>
                <w:sz w:val="20"/>
                <w:szCs w:val="20"/>
              </w:rPr>
              <w:t>elivery of Services within a timed phase of the Agreement as set out at paragraph 6</w:t>
            </w:r>
          </w:p>
          <w:p w14:paraId="2979B807" w14:textId="5FBCBC50" w:rsidR="00891D8B" w:rsidRDefault="00891D8B" w:rsidP="00A075EC"/>
        </w:tc>
      </w:tr>
      <w:tr w:rsidR="000B5CAD" w14:paraId="24F5AE5F" w14:textId="77777777" w:rsidTr="00A075EC">
        <w:tc>
          <w:tcPr>
            <w:tcW w:w="3114" w:type="dxa"/>
          </w:tcPr>
          <w:p w14:paraId="30E15360" w14:textId="130168D1" w:rsidR="000B5CAD" w:rsidRPr="00A075EC" w:rsidRDefault="000B5CAD" w:rsidP="000B5C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 w:rsidRPr="00A075EC">
              <w:rPr>
                <w:b/>
                <w:color w:val="263238"/>
                <w:sz w:val="20"/>
                <w:szCs w:val="20"/>
              </w:rPr>
              <w:t>“Service Requirements”</w:t>
            </w:r>
            <w:r w:rsidR="00062958">
              <w:rPr>
                <w:b/>
                <w:color w:val="263238"/>
                <w:sz w:val="20"/>
                <w:szCs w:val="20"/>
              </w:rPr>
              <w:t xml:space="preserve"> and</w:t>
            </w:r>
            <w:r w:rsidR="00062958">
              <w:rPr>
                <w:b/>
                <w:color w:val="263238"/>
                <w:sz w:val="20"/>
                <w:szCs w:val="20"/>
              </w:rPr>
              <w:br/>
              <w:t>“Services”</w:t>
            </w:r>
          </w:p>
        </w:tc>
        <w:tc>
          <w:tcPr>
            <w:tcW w:w="5905" w:type="dxa"/>
          </w:tcPr>
          <w:p w14:paraId="68EF09D9" w14:textId="1953869A" w:rsidR="000B5CAD" w:rsidRDefault="000B5CAD" w:rsidP="000B5C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263238"/>
                <w:sz w:val="20"/>
                <w:szCs w:val="20"/>
              </w:rPr>
            </w:pPr>
            <w:r>
              <w:rPr>
                <w:color w:val="263238"/>
                <w:sz w:val="20"/>
                <w:szCs w:val="20"/>
              </w:rPr>
              <w:t xml:space="preserve">means the </w:t>
            </w:r>
            <w:r w:rsidR="00062958">
              <w:rPr>
                <w:color w:val="263238"/>
                <w:sz w:val="20"/>
                <w:szCs w:val="20"/>
              </w:rPr>
              <w:t>s</w:t>
            </w:r>
            <w:r>
              <w:rPr>
                <w:color w:val="263238"/>
                <w:sz w:val="20"/>
                <w:szCs w:val="20"/>
              </w:rPr>
              <w:t>ervices required to be delivered by the Supplier as set out at this Annex 3</w:t>
            </w:r>
          </w:p>
          <w:p w14:paraId="4F48551A" w14:textId="21099E29" w:rsidR="00891D8B" w:rsidRDefault="00891D8B" w:rsidP="000B5C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891D8B" w14:paraId="23E4FFE4" w14:textId="77777777" w:rsidTr="000B5CAD">
        <w:tc>
          <w:tcPr>
            <w:tcW w:w="3114" w:type="dxa"/>
          </w:tcPr>
          <w:p w14:paraId="286F51C6" w14:textId="0CB6E6B1" w:rsidR="00891D8B" w:rsidRPr="009E0819" w:rsidRDefault="00891D8B" w:rsidP="000B5C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263238"/>
                <w:sz w:val="20"/>
                <w:szCs w:val="20"/>
              </w:rPr>
            </w:pPr>
            <w:r>
              <w:rPr>
                <w:b/>
                <w:color w:val="263238"/>
                <w:sz w:val="20"/>
                <w:szCs w:val="20"/>
              </w:rPr>
              <w:t>“</w:t>
            </w:r>
            <w:r w:rsidRPr="00891D8B">
              <w:rPr>
                <w:b/>
                <w:color w:val="263238"/>
                <w:sz w:val="20"/>
                <w:szCs w:val="20"/>
              </w:rPr>
              <w:t>Potential Additional Services</w:t>
            </w:r>
            <w:r>
              <w:rPr>
                <w:b/>
                <w:color w:val="263238"/>
                <w:sz w:val="20"/>
                <w:szCs w:val="20"/>
              </w:rPr>
              <w:t>”</w:t>
            </w:r>
          </w:p>
        </w:tc>
        <w:tc>
          <w:tcPr>
            <w:tcW w:w="5905" w:type="dxa"/>
          </w:tcPr>
          <w:p w14:paraId="51A0E103" w14:textId="345F7280" w:rsidR="00891D8B" w:rsidRDefault="00891D8B" w:rsidP="002377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263238"/>
                <w:sz w:val="20"/>
                <w:szCs w:val="20"/>
              </w:rPr>
            </w:pPr>
            <w:r>
              <w:rPr>
                <w:color w:val="263238"/>
                <w:sz w:val="20"/>
                <w:szCs w:val="20"/>
              </w:rPr>
              <w:t xml:space="preserve">means the Services </w:t>
            </w:r>
            <w:r w:rsidR="002377BB">
              <w:rPr>
                <w:color w:val="263238"/>
                <w:sz w:val="20"/>
                <w:szCs w:val="20"/>
              </w:rPr>
              <w:t>set out at</w:t>
            </w:r>
            <w:r>
              <w:rPr>
                <w:color w:val="263238"/>
                <w:sz w:val="20"/>
                <w:szCs w:val="20"/>
              </w:rPr>
              <w:t xml:space="preserve"> paragraph 3.5</w:t>
            </w:r>
          </w:p>
        </w:tc>
      </w:tr>
    </w:tbl>
    <w:p w14:paraId="7410D1FA" w14:textId="77777777" w:rsidR="000B5CAD" w:rsidRDefault="000B5CAD" w:rsidP="000B5CAD"/>
    <w:p w14:paraId="487F64D1" w14:textId="77777777" w:rsidR="000B5CAD" w:rsidRDefault="000B5CAD" w:rsidP="005D11E7">
      <w:pPr>
        <w:jc w:val="center"/>
      </w:pPr>
    </w:p>
    <w:p w14:paraId="1DC6B5ED" w14:textId="77777777" w:rsidR="00204E5D" w:rsidRPr="00204E5D" w:rsidRDefault="00204E5D" w:rsidP="005D11E7"/>
    <w:p w14:paraId="250FBE51" w14:textId="794FA18A" w:rsidR="004717AC" w:rsidRDefault="004674A5">
      <w:pPr>
        <w:pStyle w:val="Heading1"/>
        <w:numPr>
          <w:ilvl w:val="0"/>
          <w:numId w:val="1"/>
        </w:numPr>
        <w:spacing w:after="120"/>
      </w:pPr>
      <w:bookmarkStart w:id="0" w:name="_30j0zll" w:colFirst="0" w:colLast="0"/>
      <w:bookmarkStart w:id="1" w:name="_1fob9te" w:colFirst="0" w:colLast="0"/>
      <w:bookmarkStart w:id="2" w:name="_3znysh7" w:colFirst="0" w:colLast="0"/>
      <w:bookmarkEnd w:id="0"/>
      <w:bookmarkEnd w:id="1"/>
      <w:bookmarkEnd w:id="2"/>
      <w:r>
        <w:t xml:space="preserve">INTRODUCTION </w:t>
      </w:r>
    </w:p>
    <w:p w14:paraId="189E8DEB" w14:textId="472AAECD" w:rsidR="004674A5" w:rsidRDefault="004674A5">
      <w:pPr>
        <w:pStyle w:val="Heading2"/>
        <w:numPr>
          <w:ilvl w:val="1"/>
          <w:numId w:val="1"/>
        </w:numPr>
        <w:spacing w:after="120"/>
        <w:ind w:left="709" w:hanging="709"/>
      </w:pPr>
      <w:r>
        <w:t xml:space="preserve">This </w:t>
      </w:r>
      <w:r w:rsidR="004E13E4">
        <w:t>Annex 3</w:t>
      </w:r>
      <w:r>
        <w:t xml:space="preserve"> details the Service Requirement</w:t>
      </w:r>
      <w:r w:rsidR="000043D9">
        <w:t>s</w:t>
      </w:r>
      <w:r>
        <w:t xml:space="preserve"> of this Agreement at paragraphs </w:t>
      </w:r>
      <w:r w:rsidRPr="00A075EC">
        <w:t xml:space="preserve">3 – </w:t>
      </w:r>
      <w:r w:rsidR="00BD090D">
        <w:t>10</w:t>
      </w:r>
      <w:r>
        <w:t>, including the key performance indicators and service level</w:t>
      </w:r>
      <w:r w:rsidR="002377BB">
        <w:t>s</w:t>
      </w:r>
      <w:r>
        <w:t>.</w:t>
      </w:r>
    </w:p>
    <w:p w14:paraId="790F31FF" w14:textId="4B80D07A" w:rsidR="004674A5" w:rsidRDefault="004674A5" w:rsidP="004674A5">
      <w:pPr>
        <w:pStyle w:val="Heading2"/>
        <w:numPr>
          <w:ilvl w:val="1"/>
          <w:numId w:val="1"/>
        </w:numPr>
        <w:spacing w:after="120"/>
        <w:ind w:left="709" w:hanging="709"/>
      </w:pPr>
      <w:r>
        <w:t xml:space="preserve">The scope of the requirement is to provide a </w:t>
      </w:r>
      <w:r w:rsidR="00E67C18">
        <w:t>p</w:t>
      </w:r>
      <w:r>
        <w:t xml:space="preserve">ublic </w:t>
      </w:r>
      <w:r w:rsidR="00E67C18">
        <w:t>r</w:t>
      </w:r>
      <w:r>
        <w:t>elations/</w:t>
      </w:r>
      <w:r w:rsidR="00E67C18">
        <w:t>p</w:t>
      </w:r>
      <w:r>
        <w:t xml:space="preserve">ress </w:t>
      </w:r>
      <w:r w:rsidR="00E67C18">
        <w:t>o</w:t>
      </w:r>
      <w:r>
        <w:t xml:space="preserve">ffice function </w:t>
      </w:r>
      <w:r w:rsidR="002377BB">
        <w:t xml:space="preserve">to </w:t>
      </w:r>
      <w:r>
        <w:t xml:space="preserve">the Authority.  </w:t>
      </w:r>
    </w:p>
    <w:p w14:paraId="299CF15B" w14:textId="7B489411" w:rsidR="004674A5" w:rsidRDefault="004674A5" w:rsidP="004674A5">
      <w:pPr>
        <w:pStyle w:val="Heading2"/>
        <w:numPr>
          <w:ilvl w:val="1"/>
          <w:numId w:val="1"/>
        </w:numPr>
        <w:spacing w:after="120"/>
        <w:ind w:left="709" w:hanging="709"/>
      </w:pPr>
      <w:r>
        <w:t>The Authority does not have an active social media presence</w:t>
      </w:r>
      <w:r w:rsidR="002377BB">
        <w:t xml:space="preserve"> though</w:t>
      </w:r>
      <w:r>
        <w:t xml:space="preserve"> </w:t>
      </w:r>
      <w:r w:rsidR="002377BB">
        <w:t>i</w:t>
      </w:r>
      <w:r>
        <w:t>t does use LinkedIn to advertise job opportunities and promote some of its work. As a result</w:t>
      </w:r>
      <w:r w:rsidR="002377BB">
        <w:t>,</w:t>
      </w:r>
      <w:r w:rsidR="00F5383D">
        <w:t xml:space="preserve"> producing </w:t>
      </w:r>
      <w:r>
        <w:t xml:space="preserve">proactive social media activity </w:t>
      </w:r>
      <w:r w:rsidR="000019F6">
        <w:t xml:space="preserve">on behalf of the Authority </w:t>
      </w:r>
      <w:r w:rsidR="003A7B93">
        <w:t>is not currently</w:t>
      </w:r>
      <w:r>
        <w:t xml:space="preserve"> needed as part of the Service Requirements - however effective monitoring of social media is </w:t>
      </w:r>
      <w:r w:rsidR="003A7B93">
        <w:t xml:space="preserve">a current </w:t>
      </w:r>
      <w:r>
        <w:t xml:space="preserve">part of the requirement. </w:t>
      </w:r>
    </w:p>
    <w:p w14:paraId="4BF16239" w14:textId="77777777" w:rsidR="0093372C" w:rsidRPr="0093372C" w:rsidRDefault="0093372C" w:rsidP="005D11E7"/>
    <w:p w14:paraId="2E9E0634" w14:textId="16EC32D3" w:rsidR="004674A5" w:rsidRPr="00312892" w:rsidRDefault="004674A5" w:rsidP="00312892">
      <w:pPr>
        <w:pStyle w:val="Heading2"/>
        <w:numPr>
          <w:ilvl w:val="0"/>
          <w:numId w:val="1"/>
        </w:numPr>
        <w:spacing w:after="120"/>
        <w:rPr>
          <w:b/>
        </w:rPr>
      </w:pPr>
      <w:r w:rsidRPr="00312892">
        <w:rPr>
          <w:b/>
        </w:rPr>
        <w:t>AUTHORITY OBJECTIVES</w:t>
      </w:r>
      <w:r w:rsidR="00B603DE">
        <w:rPr>
          <w:b/>
        </w:rPr>
        <w:t xml:space="preserve"> AND AUDIENCE</w:t>
      </w:r>
    </w:p>
    <w:p w14:paraId="097A9617" w14:textId="7537C438" w:rsidR="00D3084C" w:rsidRDefault="009E6EA8">
      <w:pPr>
        <w:pStyle w:val="Heading2"/>
        <w:numPr>
          <w:ilvl w:val="1"/>
          <w:numId w:val="1"/>
        </w:numPr>
        <w:spacing w:after="120"/>
        <w:ind w:left="709" w:hanging="709"/>
      </w:pPr>
      <w:r>
        <w:t xml:space="preserve">The Authority carries out a wide range of work for </w:t>
      </w:r>
      <w:r w:rsidR="00851126">
        <w:t>g</w:t>
      </w:r>
      <w:r>
        <w:t>overnment</w:t>
      </w:r>
      <w:r w:rsidR="00987E03">
        <w:t>, its objectives are</w:t>
      </w:r>
      <w:r w:rsidR="00312892">
        <w:t>:</w:t>
      </w:r>
    </w:p>
    <w:p w14:paraId="496113D1" w14:textId="3AA8F998" w:rsidR="00833432" w:rsidRPr="00253C14" w:rsidRDefault="00175ECB" w:rsidP="00253C14">
      <w:pPr>
        <w:pStyle w:val="Heading2"/>
        <w:numPr>
          <w:ilvl w:val="2"/>
          <w:numId w:val="1"/>
        </w:numPr>
        <w:spacing w:after="120"/>
      </w:pPr>
      <w:proofErr w:type="gramStart"/>
      <w:r>
        <w:rPr>
          <w:rFonts w:eastAsia="Times New Roman"/>
          <w:color w:val="222222"/>
        </w:rPr>
        <w:t>prepare</w:t>
      </w:r>
      <w:proofErr w:type="gramEnd"/>
      <w:r>
        <w:rPr>
          <w:rFonts w:eastAsia="Times New Roman"/>
          <w:color w:val="222222"/>
        </w:rPr>
        <w:t xml:space="preserve"> </w:t>
      </w:r>
      <w:r w:rsidR="00833432" w:rsidRPr="00253C14">
        <w:rPr>
          <w:rFonts w:eastAsia="Times New Roman"/>
          <w:color w:val="222222"/>
        </w:rPr>
        <w:t>and execute all significant corporate asset sales by the UK Government</w:t>
      </w:r>
      <w:r w:rsidR="00E5056D" w:rsidRPr="00253C14">
        <w:rPr>
          <w:rFonts w:eastAsia="Times New Roman"/>
          <w:color w:val="222222"/>
        </w:rPr>
        <w:t>; and</w:t>
      </w:r>
    </w:p>
    <w:p w14:paraId="54FD0A3B" w14:textId="5CA0D780" w:rsidR="00833432" w:rsidRPr="00253C14" w:rsidRDefault="00833432" w:rsidP="005822CA">
      <w:pPr>
        <w:pStyle w:val="Heading2"/>
        <w:numPr>
          <w:ilvl w:val="2"/>
          <w:numId w:val="1"/>
        </w:numPr>
        <w:spacing w:after="120"/>
      </w:pPr>
      <w:r w:rsidRPr="005822CA">
        <w:rPr>
          <w:rFonts w:eastAsia="Times New Roman"/>
          <w:color w:val="222222"/>
        </w:rPr>
        <w:t>advise on other major corporate finance matters, includin</w:t>
      </w:r>
      <w:r w:rsidR="003E5EA7" w:rsidRPr="005822CA">
        <w:rPr>
          <w:rFonts w:eastAsia="Times New Roman"/>
          <w:color w:val="222222"/>
        </w:rPr>
        <w:t>g</w:t>
      </w:r>
      <w:r w:rsidR="005822CA">
        <w:rPr>
          <w:rFonts w:eastAsia="Times New Roman"/>
          <w:color w:val="222222"/>
        </w:rPr>
        <w:t xml:space="preserve"> </w:t>
      </w:r>
      <w:r w:rsidRPr="005822CA">
        <w:rPr>
          <w:rFonts w:eastAsia="Times New Roman"/>
          <w:color w:val="222222"/>
        </w:rPr>
        <w:t>all major UK Government financial interventions into corporate structures and on major UK government corporate finance negotiations</w:t>
      </w:r>
      <w:r w:rsidR="00E5056D" w:rsidRPr="005822CA">
        <w:rPr>
          <w:rFonts w:eastAsia="Times New Roman"/>
          <w:color w:val="222222"/>
        </w:rPr>
        <w:t>; and</w:t>
      </w:r>
    </w:p>
    <w:p w14:paraId="7860F320" w14:textId="2A653A33" w:rsidR="00B603DE" w:rsidRPr="005D11E7" w:rsidRDefault="00833432" w:rsidP="00253C14">
      <w:pPr>
        <w:pStyle w:val="Heading2"/>
        <w:numPr>
          <w:ilvl w:val="2"/>
          <w:numId w:val="1"/>
        </w:numPr>
        <w:spacing w:after="120"/>
        <w:rPr>
          <w:color w:val="auto"/>
        </w:rPr>
      </w:pPr>
      <w:proofErr w:type="gramStart"/>
      <w:r w:rsidRPr="00253C14">
        <w:rPr>
          <w:rFonts w:eastAsia="Times New Roman"/>
          <w:color w:val="222222"/>
        </w:rPr>
        <w:lastRenderedPageBreak/>
        <w:t>act</w:t>
      </w:r>
      <w:proofErr w:type="gramEnd"/>
      <w:r w:rsidRPr="00253C14">
        <w:rPr>
          <w:rFonts w:eastAsia="Times New Roman"/>
          <w:color w:val="222222"/>
        </w:rPr>
        <w:t xml:space="preserve"> as shareholder for, and lead establishment of, UK Government arm’s-length bodies </w:t>
      </w:r>
      <w:r w:rsidRPr="005D11E7">
        <w:rPr>
          <w:rFonts w:eastAsia="Times New Roman"/>
          <w:color w:val="auto"/>
        </w:rPr>
        <w:t>as required and in line with HM</w:t>
      </w:r>
      <w:r w:rsidR="002377BB">
        <w:rPr>
          <w:rFonts w:eastAsia="Times New Roman"/>
          <w:color w:val="auto"/>
        </w:rPr>
        <w:t xml:space="preserve"> </w:t>
      </w:r>
      <w:r w:rsidRPr="005D11E7">
        <w:rPr>
          <w:rFonts w:eastAsia="Times New Roman"/>
          <w:color w:val="auto"/>
        </w:rPr>
        <w:t>T</w:t>
      </w:r>
      <w:r w:rsidR="002377BB">
        <w:rPr>
          <w:rFonts w:eastAsia="Times New Roman"/>
          <w:color w:val="auto"/>
        </w:rPr>
        <w:t>reasury (HMT)</w:t>
      </w:r>
      <w:r w:rsidRPr="005D11E7">
        <w:rPr>
          <w:rFonts w:eastAsia="Times New Roman"/>
          <w:color w:val="auto"/>
        </w:rPr>
        <w:t xml:space="preserve"> priorities.</w:t>
      </w:r>
      <w:r w:rsidR="009E6EA8" w:rsidRPr="005D11E7">
        <w:rPr>
          <w:color w:val="auto"/>
        </w:rPr>
        <w:t xml:space="preserve"> </w:t>
      </w:r>
    </w:p>
    <w:p w14:paraId="77D57192" w14:textId="365E61FA" w:rsidR="00B603DE" w:rsidRDefault="00B603DE" w:rsidP="00B603DE">
      <w:pPr>
        <w:pStyle w:val="Heading2"/>
        <w:numPr>
          <w:ilvl w:val="1"/>
          <w:numId w:val="1"/>
        </w:numPr>
        <w:spacing w:after="120"/>
        <w:ind w:left="709" w:hanging="709"/>
      </w:pPr>
      <w:r>
        <w:t>The Authority is independent of government and therefore part of the responsibilities of the Supplier will be to earn</w:t>
      </w:r>
      <w:r w:rsidR="00C124C8">
        <w:t xml:space="preserve"> and maintain</w:t>
      </w:r>
      <w:r>
        <w:t xml:space="preserve"> that independence in the eyes of the media, general public and parliamentarians. </w:t>
      </w:r>
    </w:p>
    <w:p w14:paraId="14F74C47" w14:textId="6B02B944" w:rsidR="004717AC" w:rsidRDefault="009E6EA8" w:rsidP="005D11E7">
      <w:pPr>
        <w:pStyle w:val="Heading2"/>
        <w:numPr>
          <w:ilvl w:val="1"/>
          <w:numId w:val="1"/>
        </w:numPr>
        <w:spacing w:after="120"/>
        <w:ind w:left="709" w:hanging="709"/>
      </w:pPr>
      <w:r>
        <w:t>T</w:t>
      </w:r>
      <w:r w:rsidR="00312892">
        <w:t>he Authority is responsible for 22 portfolio companies, (see Appendix 1 for a list of these companies). From March 2018 it will also be responsible for Royal Bank of Scotland (RBS) and UK Asset Resolution Ltd (UKAR) which have been managed by UK</w:t>
      </w:r>
      <w:r w:rsidR="001A0EF0">
        <w:t xml:space="preserve"> </w:t>
      </w:r>
      <w:r w:rsidR="00312892">
        <w:t>F</w:t>
      </w:r>
      <w:r w:rsidR="001A0EF0">
        <w:t xml:space="preserve">inancial </w:t>
      </w:r>
      <w:r w:rsidR="00312892">
        <w:t>I</w:t>
      </w:r>
      <w:r w:rsidR="001A0EF0">
        <w:t>nvestments Ltd (UKFI)</w:t>
      </w:r>
      <w:r w:rsidR="00312892">
        <w:t xml:space="preserve">. Therefore it is likely to generate significant amounts of media interest and work.  Please note that UKAR has a current </w:t>
      </w:r>
      <w:r w:rsidR="00A235BF">
        <w:t>Agreement</w:t>
      </w:r>
      <w:r w:rsidR="00312892">
        <w:t xml:space="preserve"> for PR advice and </w:t>
      </w:r>
      <w:r w:rsidR="000019F6">
        <w:t xml:space="preserve">this Agreement, and any Potential Additional Services under it, shall </w:t>
      </w:r>
      <w:r w:rsidR="00312892">
        <w:t>not include UKAR PR activity</w:t>
      </w:r>
      <w:bookmarkStart w:id="3" w:name="_ovrp4uk7w5jq" w:colFirst="0" w:colLast="0"/>
      <w:bookmarkStart w:id="4" w:name="_2et92p0" w:colFirst="0" w:colLast="0"/>
      <w:bookmarkEnd w:id="3"/>
      <w:bookmarkEnd w:id="4"/>
      <w:r w:rsidR="000019F6">
        <w:t>.</w:t>
      </w:r>
      <w:r>
        <w:t xml:space="preserve"> </w:t>
      </w:r>
    </w:p>
    <w:p w14:paraId="26725ECC" w14:textId="6C2A7E48" w:rsidR="00947676" w:rsidRDefault="00947676" w:rsidP="00947676">
      <w:pPr>
        <w:pStyle w:val="Heading2"/>
        <w:numPr>
          <w:ilvl w:val="1"/>
          <w:numId w:val="1"/>
        </w:numPr>
        <w:spacing w:after="120"/>
        <w:ind w:left="709" w:hanging="709"/>
      </w:pPr>
      <w:bookmarkStart w:id="5" w:name="_tyjcwt" w:colFirst="0" w:colLast="0"/>
      <w:bookmarkEnd w:id="5"/>
      <w:r>
        <w:t>The Authority has a diverse set of audiences, and these differ depending on which specific assets the PR activity is supporting. At a corporate level, the general audience for the Authority</w:t>
      </w:r>
      <w:r w:rsidR="00ED6535">
        <w:t xml:space="preserve"> </w:t>
      </w:r>
      <w:r>
        <w:t>can be broken down into the following:</w:t>
      </w:r>
    </w:p>
    <w:p w14:paraId="0CAB6D76" w14:textId="77777777" w:rsidR="00947676" w:rsidRDefault="00947676" w:rsidP="00947676">
      <w:pPr>
        <w:pStyle w:val="Heading3"/>
        <w:numPr>
          <w:ilvl w:val="2"/>
          <w:numId w:val="1"/>
        </w:numPr>
      </w:pPr>
      <w:r>
        <w:t xml:space="preserve">Potential investors in the Authority’s assets </w:t>
      </w:r>
    </w:p>
    <w:p w14:paraId="279307EF" w14:textId="1533F472" w:rsidR="00947676" w:rsidRDefault="00947676" w:rsidP="00947676">
      <w:pPr>
        <w:pStyle w:val="Heading3"/>
        <w:numPr>
          <w:ilvl w:val="2"/>
          <w:numId w:val="1"/>
        </w:numPr>
      </w:pPr>
      <w:r>
        <w:t>Trade associations in this finance and public relations sector and business representative groups.  List of main groups the Authority is aware of is at A</w:t>
      </w:r>
      <w:r w:rsidR="007F351C">
        <w:t>ppendix 2</w:t>
      </w:r>
      <w:r w:rsidR="00DC22B1">
        <w:t xml:space="preserve"> to this Annex 3</w:t>
      </w:r>
      <w:r>
        <w:t xml:space="preserve">. </w:t>
      </w:r>
      <w:r w:rsidR="007F351C">
        <w:t xml:space="preserve"> </w:t>
      </w:r>
    </w:p>
    <w:p w14:paraId="4EA41AEA" w14:textId="77777777" w:rsidR="00947676" w:rsidRDefault="00947676" w:rsidP="00947676">
      <w:pPr>
        <w:pStyle w:val="Heading3"/>
        <w:numPr>
          <w:ilvl w:val="2"/>
          <w:numId w:val="1"/>
        </w:numPr>
      </w:pPr>
      <w:r>
        <w:t xml:space="preserve">Parliamentarians – MP’s and Lords </w:t>
      </w:r>
    </w:p>
    <w:p w14:paraId="7809F974" w14:textId="77777777" w:rsidR="000A67DC" w:rsidRDefault="00947676" w:rsidP="00947676">
      <w:pPr>
        <w:pStyle w:val="Heading3"/>
        <w:numPr>
          <w:ilvl w:val="2"/>
          <w:numId w:val="1"/>
        </w:numPr>
      </w:pPr>
      <w:r>
        <w:t>Business and financial media</w:t>
      </w:r>
    </w:p>
    <w:p w14:paraId="08A95A9A" w14:textId="6724E802" w:rsidR="00947676" w:rsidRDefault="000A67DC" w:rsidP="00947676">
      <w:pPr>
        <w:pStyle w:val="Heading3"/>
        <w:numPr>
          <w:ilvl w:val="2"/>
          <w:numId w:val="1"/>
        </w:numPr>
      </w:pPr>
      <w:r>
        <w:t>Other</w:t>
      </w:r>
      <w:r w:rsidR="00947676">
        <w:t xml:space="preserve"> </w:t>
      </w:r>
      <w:r>
        <w:t>Government departments and agencies</w:t>
      </w:r>
    </w:p>
    <w:p w14:paraId="7CD50968" w14:textId="55DE45F2" w:rsidR="007F351C" w:rsidRPr="007F351C" w:rsidRDefault="007F351C" w:rsidP="00B366A7">
      <w:pPr>
        <w:ind w:left="709"/>
      </w:pPr>
      <w:r>
        <w:t>Given that the Authority has no direct responsibility or influence over organisations within the list above, the Supplier is expected to update and maintain their own knowledge regarding Authority audiences.</w:t>
      </w:r>
    </w:p>
    <w:p w14:paraId="1FC0C568" w14:textId="77777777" w:rsidR="0093372C" w:rsidRPr="00947676" w:rsidRDefault="0093372C" w:rsidP="00FD2E79"/>
    <w:p w14:paraId="7A084546" w14:textId="61E5A735" w:rsidR="004717AC" w:rsidRDefault="004717AC" w:rsidP="007F351C"/>
    <w:p w14:paraId="29D55A59" w14:textId="5DE19513" w:rsidR="004717AC" w:rsidRDefault="000043D9" w:rsidP="00D029CC">
      <w:pPr>
        <w:pStyle w:val="Heading1"/>
        <w:spacing w:after="120"/>
        <w:ind w:firstLine="0"/>
      </w:pPr>
      <w:bookmarkStart w:id="6" w:name="_3dy6vkm" w:colFirst="0" w:colLast="0"/>
      <w:bookmarkStart w:id="7" w:name="_1t3h5sf" w:colFirst="0" w:colLast="0"/>
      <w:bookmarkEnd w:id="6"/>
      <w:bookmarkEnd w:id="7"/>
      <w:r>
        <w:t>SERVICE</w:t>
      </w:r>
      <w:r w:rsidR="009E6EA8">
        <w:t xml:space="preserve"> REQUIREMENT</w:t>
      </w:r>
      <w:r>
        <w:t>S</w:t>
      </w:r>
    </w:p>
    <w:p w14:paraId="42C52E80" w14:textId="77777777" w:rsidR="000043D9" w:rsidRPr="000043D9" w:rsidRDefault="000043D9" w:rsidP="00D029CC"/>
    <w:p w14:paraId="1690F894" w14:textId="0434B670" w:rsidR="000F736C" w:rsidRDefault="000F736C" w:rsidP="000F736C">
      <w:pPr>
        <w:pStyle w:val="Heading2"/>
        <w:numPr>
          <w:ilvl w:val="0"/>
          <w:numId w:val="1"/>
        </w:numPr>
        <w:spacing w:after="120"/>
      </w:pPr>
      <w:r>
        <w:t xml:space="preserve">The </w:t>
      </w:r>
      <w:r w:rsidR="00745DED">
        <w:t>Service R</w:t>
      </w:r>
      <w:r>
        <w:t xml:space="preserve">equirements comprise of </w:t>
      </w:r>
      <w:r w:rsidR="00745DED">
        <w:t>the three areas</w:t>
      </w:r>
      <w:r>
        <w:t xml:space="preserve"> set out below (and at 3.4, 3.5</w:t>
      </w:r>
      <w:r w:rsidR="00745DED">
        <w:t xml:space="preserve"> and 3.6</w:t>
      </w:r>
      <w:r>
        <w:t>) along</w:t>
      </w:r>
      <w:r w:rsidR="004C18E4">
        <w:t xml:space="preserve"> with </w:t>
      </w:r>
      <w:r>
        <w:t xml:space="preserve">the </w:t>
      </w:r>
      <w:r w:rsidR="00E705BB">
        <w:t>requirements</w:t>
      </w:r>
      <w:r>
        <w:t xml:space="preserve"> detailed at paragraph</w:t>
      </w:r>
      <w:r w:rsidR="00E705BB">
        <w:t>s</w:t>
      </w:r>
      <w:r w:rsidR="00745DED">
        <w:t xml:space="preserve"> 4</w:t>
      </w:r>
      <w:r w:rsidR="00E705BB">
        <w:t xml:space="preserve"> through to (and including) 10 which include reporting,</w:t>
      </w:r>
      <w:r>
        <w:t xml:space="preserve"> key milestones, key performance indicators and service level</w:t>
      </w:r>
      <w:r w:rsidR="004C18E4">
        <w:t>s</w:t>
      </w:r>
      <w:r>
        <w:t xml:space="preserve"> linked to the</w:t>
      </w:r>
      <w:r w:rsidR="00745DED">
        <w:t xml:space="preserve"> Service Requirements</w:t>
      </w:r>
      <w:r>
        <w:t xml:space="preserve">: </w:t>
      </w:r>
    </w:p>
    <w:p w14:paraId="42BAD395" w14:textId="2AF10B75" w:rsidR="00F12691" w:rsidRDefault="00F12691" w:rsidP="008A476B">
      <w:pPr>
        <w:pStyle w:val="Heading2"/>
        <w:numPr>
          <w:ilvl w:val="1"/>
          <w:numId w:val="1"/>
        </w:numPr>
        <w:spacing w:after="120"/>
      </w:pPr>
      <w:r w:rsidRPr="000F736C">
        <w:rPr>
          <w:b/>
        </w:rPr>
        <w:t>Business as usual</w:t>
      </w:r>
      <w:r w:rsidR="00D63165" w:rsidRPr="000F736C">
        <w:rPr>
          <w:b/>
        </w:rPr>
        <w:t xml:space="preserve"> services</w:t>
      </w:r>
      <w:r w:rsidR="00E232A7">
        <w:t>,</w:t>
      </w:r>
      <w:r w:rsidR="00B05C0B">
        <w:t xml:space="preserve"> for which there will be a set monthly retainer payable to the Supplier</w:t>
      </w:r>
      <w:r w:rsidR="00E232A7">
        <w:t>,</w:t>
      </w:r>
      <w:r w:rsidR="00B05C0B">
        <w:t xml:space="preserve"> </w:t>
      </w:r>
      <w:r w:rsidR="004C18E4">
        <w:t>will</w:t>
      </w:r>
      <w:r w:rsidR="006A7484">
        <w:t xml:space="preserve"> include</w:t>
      </w:r>
      <w:r w:rsidR="00B05C0B">
        <w:t xml:space="preserve"> but not </w:t>
      </w:r>
      <w:r w:rsidR="006A7484">
        <w:t xml:space="preserve">be </w:t>
      </w:r>
      <w:r w:rsidR="00DC22B1">
        <w:t>limited to:</w:t>
      </w:r>
      <w:r w:rsidR="00B05C0B">
        <w:t xml:space="preserve"> </w:t>
      </w:r>
      <w:r>
        <w:t xml:space="preserve"> </w:t>
      </w:r>
    </w:p>
    <w:p w14:paraId="2EAC44C6" w14:textId="77777777" w:rsidR="00E232A7" w:rsidRPr="00B979C0" w:rsidRDefault="00E232A7" w:rsidP="00E232A7">
      <w:pPr>
        <w:pStyle w:val="Heading2"/>
        <w:spacing w:after="120"/>
        <w:ind w:left="1843" w:firstLine="0"/>
      </w:pPr>
      <w:r>
        <w:t xml:space="preserve">Delivery of a media communications strategy. </w:t>
      </w:r>
    </w:p>
    <w:p w14:paraId="1DA2EE62" w14:textId="7D2DCC5D" w:rsidR="00B05C0B" w:rsidRDefault="00E232A7" w:rsidP="00B05C0B">
      <w:pPr>
        <w:pStyle w:val="Heading2"/>
        <w:spacing w:after="120"/>
        <w:ind w:left="1843" w:firstLine="0"/>
      </w:pPr>
      <w:r>
        <w:t>Delivery of a m</w:t>
      </w:r>
      <w:r w:rsidR="00B05C0B">
        <w:t>edia engagement programme</w:t>
      </w:r>
      <w:r w:rsidR="005E6E37">
        <w:t>.</w:t>
      </w:r>
      <w:r w:rsidR="00A938F3">
        <w:t xml:space="preserve"> </w:t>
      </w:r>
    </w:p>
    <w:p w14:paraId="28269BE1" w14:textId="02FB11A0" w:rsidR="000019F6" w:rsidRDefault="00B05C0B" w:rsidP="00634446">
      <w:pPr>
        <w:pStyle w:val="Heading2"/>
        <w:spacing w:after="120"/>
        <w:ind w:left="1843" w:firstLine="0"/>
      </w:pPr>
      <w:r>
        <w:t>R</w:t>
      </w:r>
      <w:r w:rsidR="00F12691">
        <w:t>egular/ daily/ monthly duties</w:t>
      </w:r>
      <w:r w:rsidR="000019F6">
        <w:t>.</w:t>
      </w:r>
    </w:p>
    <w:p w14:paraId="699B1573" w14:textId="14BAB288" w:rsidR="00D63165" w:rsidRDefault="00C124C8" w:rsidP="008A476B">
      <w:pPr>
        <w:pStyle w:val="Heading2"/>
        <w:numPr>
          <w:ilvl w:val="1"/>
          <w:numId w:val="1"/>
        </w:numPr>
        <w:spacing w:after="120"/>
      </w:pPr>
      <w:r w:rsidRPr="000F736C">
        <w:rPr>
          <w:b/>
        </w:rPr>
        <w:t xml:space="preserve">Potential Additional </w:t>
      </w:r>
      <w:r w:rsidR="005A4554" w:rsidRPr="000F736C">
        <w:rPr>
          <w:b/>
        </w:rPr>
        <w:t>Services</w:t>
      </w:r>
      <w:r w:rsidR="00D63165">
        <w:t>:</w:t>
      </w:r>
    </w:p>
    <w:p w14:paraId="0BBB4AEF" w14:textId="20211794" w:rsidR="00D63165" w:rsidRDefault="00D63165" w:rsidP="005D11E7">
      <w:pPr>
        <w:ind w:left="1800"/>
      </w:pPr>
      <w:r>
        <w:t xml:space="preserve">PR services for potential future transactions for which the Supplier may </w:t>
      </w:r>
      <w:r w:rsidR="000043D9">
        <w:t xml:space="preserve">be </w:t>
      </w:r>
      <w:r>
        <w:t>awarded th</w:t>
      </w:r>
      <w:r w:rsidR="000043D9">
        <w:t>e</w:t>
      </w:r>
      <w:r>
        <w:t xml:space="preserve"> work on a </w:t>
      </w:r>
      <w:r w:rsidR="006A7484">
        <w:t>c</w:t>
      </w:r>
      <w:r>
        <w:t xml:space="preserve">all </w:t>
      </w:r>
      <w:r w:rsidR="00A354B7">
        <w:t>o</w:t>
      </w:r>
      <w:r>
        <w:t>ff basis under this Agreement.</w:t>
      </w:r>
    </w:p>
    <w:p w14:paraId="0C674D78" w14:textId="77777777" w:rsidR="00987E03" w:rsidRPr="00D63165" w:rsidRDefault="00987E03" w:rsidP="005D11E7">
      <w:pPr>
        <w:ind w:left="1800"/>
      </w:pPr>
    </w:p>
    <w:p w14:paraId="713B4278" w14:textId="707A29D2" w:rsidR="00F12691" w:rsidRDefault="00D63165" w:rsidP="008A476B">
      <w:pPr>
        <w:pStyle w:val="Heading2"/>
        <w:numPr>
          <w:ilvl w:val="1"/>
          <w:numId w:val="1"/>
        </w:numPr>
        <w:spacing w:after="120"/>
      </w:pPr>
      <w:r w:rsidRPr="000F736C">
        <w:rPr>
          <w:b/>
        </w:rPr>
        <w:lastRenderedPageBreak/>
        <w:t>Capability</w:t>
      </w:r>
      <w:r w:rsidR="00C7172D">
        <w:t>:</w:t>
      </w:r>
      <w:r w:rsidR="00F12691">
        <w:t xml:space="preserve"> </w:t>
      </w:r>
    </w:p>
    <w:p w14:paraId="19A35DB9" w14:textId="373C3497" w:rsidR="00D63165" w:rsidRPr="00D63165" w:rsidRDefault="00D63165" w:rsidP="00987E03">
      <w:pPr>
        <w:ind w:left="1843"/>
      </w:pPr>
      <w:r>
        <w:t>The level of capability the Supplier is required to maintain and make available to the Authority throughout the term of this Agreement.</w:t>
      </w:r>
    </w:p>
    <w:p w14:paraId="6F5A999E" w14:textId="4C13C1B5" w:rsidR="00F12691" w:rsidRDefault="00F12691" w:rsidP="00FD2E79">
      <w:pPr>
        <w:pStyle w:val="Heading2"/>
        <w:spacing w:after="120"/>
        <w:ind w:left="2127" w:hanging="1418"/>
      </w:pPr>
      <w:r>
        <w:t xml:space="preserve">  </w:t>
      </w:r>
    </w:p>
    <w:p w14:paraId="0E17C0E9" w14:textId="77777777" w:rsidR="00181215" w:rsidRPr="00634446" w:rsidRDefault="00FD1108" w:rsidP="00181215">
      <w:pPr>
        <w:pStyle w:val="Heading2"/>
        <w:numPr>
          <w:ilvl w:val="1"/>
          <w:numId w:val="1"/>
        </w:numPr>
        <w:spacing w:after="120"/>
        <w:ind w:left="709" w:hanging="709"/>
        <w:rPr>
          <w:b/>
        </w:rPr>
      </w:pPr>
      <w:bookmarkStart w:id="8" w:name="_4d34og8" w:colFirst="0" w:colLast="0"/>
      <w:bookmarkEnd w:id="8"/>
      <w:r w:rsidRPr="00634446">
        <w:rPr>
          <w:b/>
        </w:rPr>
        <w:t xml:space="preserve">BUSINESS AS USUAL </w:t>
      </w:r>
      <w:r w:rsidR="00D63165" w:rsidRPr="00634446">
        <w:rPr>
          <w:b/>
        </w:rPr>
        <w:t>SERVICES</w:t>
      </w:r>
    </w:p>
    <w:p w14:paraId="10216DA8" w14:textId="63B3BD0A" w:rsidR="006579DB" w:rsidRDefault="00181215" w:rsidP="00634446">
      <w:pPr>
        <w:pStyle w:val="Heading2"/>
        <w:spacing w:after="120"/>
        <w:ind w:left="709" w:firstLine="0"/>
      </w:pPr>
      <w:r>
        <w:t>The Supplier shall</w:t>
      </w:r>
      <w:r w:rsidR="000019F6">
        <w:t>:</w:t>
      </w:r>
    </w:p>
    <w:p w14:paraId="799C765B" w14:textId="2F97677F" w:rsidR="00181215" w:rsidRPr="00181215" w:rsidRDefault="006579DB" w:rsidP="00634446">
      <w:pPr>
        <w:pStyle w:val="Heading3"/>
        <w:numPr>
          <w:ilvl w:val="2"/>
          <w:numId w:val="1"/>
        </w:numPr>
      </w:pPr>
      <w:r>
        <w:t>P</w:t>
      </w:r>
      <w:r w:rsidR="00181215" w:rsidRPr="00181215">
        <w:t>rovide a sufficient level of resource throughout the duration of the Agreement in order to consistently deliver the Service Requirements.</w:t>
      </w:r>
    </w:p>
    <w:p w14:paraId="6F6ECB85" w14:textId="1270A48E" w:rsidR="00E232A7" w:rsidRDefault="00213EE1" w:rsidP="00634446">
      <w:pPr>
        <w:pStyle w:val="Heading3"/>
        <w:numPr>
          <w:ilvl w:val="2"/>
          <w:numId w:val="1"/>
        </w:numPr>
      </w:pPr>
      <w:r>
        <w:t>Work with the Authority to develop and d</w:t>
      </w:r>
      <w:r w:rsidR="00181215">
        <w:t>eliver a</w:t>
      </w:r>
      <w:r>
        <w:t xml:space="preserve"> comprehensive</w:t>
      </w:r>
      <w:r w:rsidR="00181215">
        <w:t xml:space="preserve"> m</w:t>
      </w:r>
      <w:r w:rsidR="00372028">
        <w:t xml:space="preserve">edia </w:t>
      </w:r>
      <w:r w:rsidR="004E4F7B">
        <w:t>c</w:t>
      </w:r>
      <w:r w:rsidR="00372028">
        <w:t xml:space="preserve">ommunications </w:t>
      </w:r>
      <w:r w:rsidR="004E4F7B">
        <w:t>s</w:t>
      </w:r>
      <w:r w:rsidR="00372028">
        <w:t xml:space="preserve">trategy which is refreshed every 6 months. </w:t>
      </w:r>
      <w:r w:rsidRPr="00213EE1">
        <w:t>In line with the Authority’s objectives at paragraph 2.1, the strategy shall:</w:t>
      </w:r>
      <w:r w:rsidR="00372028">
        <w:t xml:space="preserve"> </w:t>
      </w:r>
    </w:p>
    <w:p w14:paraId="289D4B56" w14:textId="7820AE76" w:rsidR="00372028" w:rsidRDefault="00213EE1" w:rsidP="00634446">
      <w:pPr>
        <w:pStyle w:val="ListParagraph"/>
        <w:numPr>
          <w:ilvl w:val="4"/>
          <w:numId w:val="1"/>
        </w:numPr>
        <w:spacing w:after="240"/>
        <w:ind w:left="2268"/>
      </w:pPr>
      <w:r>
        <w:t>P</w:t>
      </w:r>
      <w:r w:rsidR="00372028" w:rsidRPr="00372028">
        <w:t>osition the Authority as ‘the government centre of excellence in corporate finance and governance’ and an effective steward of the government and the wider public sector assets</w:t>
      </w:r>
      <w:r w:rsidR="00920C67">
        <w:t>; and</w:t>
      </w:r>
      <w:r w:rsidR="00372028" w:rsidRPr="00372028">
        <w:t xml:space="preserve">  </w:t>
      </w:r>
    </w:p>
    <w:p w14:paraId="1BB3288F" w14:textId="3B534B6A" w:rsidR="00372028" w:rsidRDefault="00372028" w:rsidP="00634446">
      <w:pPr>
        <w:pStyle w:val="ListParagraph"/>
        <w:numPr>
          <w:ilvl w:val="4"/>
          <w:numId w:val="1"/>
        </w:numPr>
        <w:spacing w:after="240"/>
        <w:ind w:left="2268"/>
      </w:pPr>
      <w:r>
        <w:t>I</w:t>
      </w:r>
      <w:r w:rsidRPr="009047ED">
        <w:t>ncrease the profile of the Authority and engage the media to enhance and protect the reputation and public profile of the Authority</w:t>
      </w:r>
      <w:r w:rsidR="00920C67">
        <w:t>; and</w:t>
      </w:r>
    </w:p>
    <w:p w14:paraId="72238166" w14:textId="1F257E33" w:rsidR="00372028" w:rsidRDefault="00372028" w:rsidP="00634446">
      <w:pPr>
        <w:pStyle w:val="ListParagraph"/>
        <w:numPr>
          <w:ilvl w:val="4"/>
          <w:numId w:val="1"/>
        </w:numPr>
        <w:spacing w:after="240"/>
        <w:ind w:left="2268"/>
      </w:pPr>
      <w:r>
        <w:t xml:space="preserve">Ensure </w:t>
      </w:r>
      <w:r w:rsidR="00744F50">
        <w:t xml:space="preserve">the </w:t>
      </w:r>
      <w:r>
        <w:t>target audiences in paragraph 2.4, and those that have influence on the target audiences understand the Authority’s corporate narrative</w:t>
      </w:r>
      <w:r w:rsidR="00920C67">
        <w:t>; and</w:t>
      </w:r>
    </w:p>
    <w:p w14:paraId="2B5E53C0" w14:textId="485069A5" w:rsidR="00372028" w:rsidRDefault="00372028" w:rsidP="00634446">
      <w:pPr>
        <w:pStyle w:val="ListParagraph"/>
        <w:numPr>
          <w:ilvl w:val="4"/>
          <w:numId w:val="1"/>
        </w:numPr>
        <w:spacing w:after="240"/>
        <w:ind w:left="2268"/>
      </w:pPr>
      <w:r>
        <w:t>Support, at a minimum, an accurate and balanced view of the government and the Authority’s role, principally through media and commentary</w:t>
      </w:r>
      <w:r w:rsidR="00920C67">
        <w:t>; and</w:t>
      </w:r>
    </w:p>
    <w:p w14:paraId="21FC680D" w14:textId="4FF1CC09" w:rsidR="00372028" w:rsidRDefault="00372028" w:rsidP="00634446">
      <w:pPr>
        <w:pStyle w:val="ListParagraph"/>
        <w:numPr>
          <w:ilvl w:val="4"/>
          <w:numId w:val="1"/>
        </w:numPr>
        <w:spacing w:after="240"/>
        <w:ind w:left="2268"/>
      </w:pPr>
      <w:r>
        <w:t xml:space="preserve">Anticipate </w:t>
      </w:r>
      <w:r w:rsidRPr="009047ED">
        <w:t xml:space="preserve">scenarios across the portfolio </w:t>
      </w:r>
      <w:r>
        <w:t xml:space="preserve">which </w:t>
      </w:r>
      <w:r w:rsidRPr="009047ED">
        <w:t>bear</w:t>
      </w:r>
      <w:r w:rsidR="002E403A">
        <w:t xml:space="preserve"> </w:t>
      </w:r>
      <w:r w:rsidRPr="009047ED">
        <w:t xml:space="preserve">relevance to the </w:t>
      </w:r>
      <w:r>
        <w:t xml:space="preserve">Authority </w:t>
      </w:r>
      <w:r w:rsidRPr="009047ED">
        <w:t>as a shareholder</w:t>
      </w:r>
      <w:r w:rsidR="00920C67">
        <w:t>; and</w:t>
      </w:r>
    </w:p>
    <w:p w14:paraId="56EF0142" w14:textId="7C515E1E" w:rsidR="00DE4893" w:rsidRDefault="00DE4893" w:rsidP="00634446">
      <w:pPr>
        <w:pStyle w:val="ListParagraph"/>
        <w:numPr>
          <w:ilvl w:val="4"/>
          <w:numId w:val="1"/>
        </w:numPr>
        <w:spacing w:after="240"/>
        <w:ind w:left="2268"/>
      </w:pPr>
      <w:r>
        <w:t>Provide financial communications and strategic support</w:t>
      </w:r>
      <w:r w:rsidR="000F736C">
        <w:t xml:space="preserve"> for project</w:t>
      </w:r>
      <w:r w:rsidR="00DC22B1">
        <w:t>s</w:t>
      </w:r>
      <w:r w:rsidR="000F736C">
        <w:t xml:space="preserve"> undertaken by the Authority</w:t>
      </w:r>
      <w:r>
        <w:t xml:space="preserve"> across government, and the wider Public Sector</w:t>
      </w:r>
      <w:r w:rsidR="00920C67">
        <w:t>:</w:t>
      </w:r>
      <w:r>
        <w:t xml:space="preserve"> </w:t>
      </w:r>
    </w:p>
    <w:p w14:paraId="2A10386A" w14:textId="38BE4F6B" w:rsidR="00DE4893" w:rsidRDefault="00DE4893" w:rsidP="004E4F7B">
      <w:pPr>
        <w:pStyle w:val="Heading3"/>
        <w:numPr>
          <w:ilvl w:val="3"/>
          <w:numId w:val="6"/>
        </w:numPr>
        <w:spacing w:after="0"/>
        <w:ind w:left="2874" w:hanging="357"/>
      </w:pPr>
      <w:r>
        <w:t>Advising on commercial transactions, especially financial assets disposals;</w:t>
      </w:r>
      <w:r w:rsidR="00920C67">
        <w:t xml:space="preserve"> and</w:t>
      </w:r>
    </w:p>
    <w:p w14:paraId="4B510283" w14:textId="09F297CF" w:rsidR="00DE4893" w:rsidRDefault="00DE4893" w:rsidP="004E4F7B">
      <w:pPr>
        <w:pStyle w:val="Heading3"/>
        <w:numPr>
          <w:ilvl w:val="3"/>
          <w:numId w:val="6"/>
        </w:numPr>
        <w:spacing w:after="0"/>
        <w:ind w:left="2874" w:hanging="357"/>
      </w:pPr>
      <w:r>
        <w:t>Managing both corporate and political messages</w:t>
      </w:r>
      <w:r w:rsidR="00920C67">
        <w:t>.</w:t>
      </w:r>
    </w:p>
    <w:p w14:paraId="1C146EE5" w14:textId="77777777" w:rsidR="00DE4893" w:rsidRPr="00DE4893" w:rsidRDefault="00DE4893" w:rsidP="00634446"/>
    <w:p w14:paraId="2747603B" w14:textId="0F176C76" w:rsidR="00181215" w:rsidRDefault="00181215">
      <w:pPr>
        <w:pStyle w:val="Heading3"/>
        <w:numPr>
          <w:ilvl w:val="2"/>
          <w:numId w:val="1"/>
        </w:numPr>
      </w:pPr>
      <w:r>
        <w:t>Deliver a proactive targeted media engagement programme</w:t>
      </w:r>
      <w:r w:rsidR="00213EE1">
        <w:t>, the programme shall</w:t>
      </w:r>
      <w:r>
        <w:t xml:space="preserve">: </w:t>
      </w:r>
    </w:p>
    <w:p w14:paraId="1E94BA46" w14:textId="16E8EE06" w:rsidR="009047ED" w:rsidRDefault="00312892" w:rsidP="00C1474F">
      <w:pPr>
        <w:pStyle w:val="ListParagraph"/>
        <w:numPr>
          <w:ilvl w:val="4"/>
          <w:numId w:val="1"/>
        </w:numPr>
        <w:spacing w:after="240"/>
        <w:ind w:left="2268"/>
      </w:pPr>
      <w:r>
        <w:t>Provide a</w:t>
      </w:r>
      <w:r w:rsidR="000F736C">
        <w:t xml:space="preserve"> clear, simple, multi-channel communications</w:t>
      </w:r>
      <w:r w:rsidR="009047ED" w:rsidRPr="009047ED">
        <w:t xml:space="preserve"> 12 month </w:t>
      </w:r>
      <w:r w:rsidR="001700FF" w:rsidRPr="009047ED">
        <w:t>p</w:t>
      </w:r>
      <w:r w:rsidR="00213EE1">
        <w:t>rogramme</w:t>
      </w:r>
      <w:r w:rsidR="001700FF" w:rsidRPr="009047ED">
        <w:t xml:space="preserve"> </w:t>
      </w:r>
      <w:r w:rsidR="009047ED" w:rsidRPr="009047ED">
        <w:t xml:space="preserve">to keep key parts of the media up to date with the work of the Authority and to continue to build the Authority’s profile. </w:t>
      </w:r>
      <w:r w:rsidR="00C1474F">
        <w:t xml:space="preserve">The media engagement programme </w:t>
      </w:r>
      <w:r w:rsidR="001700FF">
        <w:t>will be reviewed monthly and refreshed at the annual contract review meeting</w:t>
      </w:r>
      <w:r w:rsidR="000F736C">
        <w:t>;</w:t>
      </w:r>
      <w:r w:rsidR="00920C67">
        <w:t xml:space="preserve"> and</w:t>
      </w:r>
      <w:r w:rsidR="00B603DE">
        <w:br/>
      </w:r>
    </w:p>
    <w:p w14:paraId="072ADCF0" w14:textId="4A578946" w:rsidR="00312892" w:rsidRDefault="00312892" w:rsidP="00C1474F">
      <w:pPr>
        <w:pStyle w:val="ListParagraph"/>
        <w:numPr>
          <w:ilvl w:val="4"/>
          <w:numId w:val="1"/>
        </w:numPr>
        <w:spacing w:after="240"/>
        <w:ind w:left="2268"/>
      </w:pPr>
      <w:r>
        <w:t xml:space="preserve">Support the Authority in delivering </w:t>
      </w:r>
      <w:r w:rsidR="000F736C">
        <w:t xml:space="preserve">the above 12 month </w:t>
      </w:r>
      <w:r w:rsidR="00407C5F">
        <w:t>programme</w:t>
      </w:r>
      <w:r>
        <w:t>;</w:t>
      </w:r>
      <w:r w:rsidR="00920C67">
        <w:t xml:space="preserve"> and</w:t>
      </w:r>
      <w:r w:rsidR="00B603DE">
        <w:br/>
      </w:r>
    </w:p>
    <w:p w14:paraId="5C5C05A8" w14:textId="1B3A2BC8" w:rsidR="00312892" w:rsidRDefault="00DE4893" w:rsidP="00C1474F">
      <w:pPr>
        <w:pStyle w:val="ListParagraph"/>
        <w:numPr>
          <w:ilvl w:val="4"/>
          <w:numId w:val="1"/>
        </w:numPr>
        <w:spacing w:after="240"/>
        <w:ind w:left="2268"/>
      </w:pPr>
      <w:r>
        <w:t>Provide p</w:t>
      </w:r>
      <w:r w:rsidR="009047ED" w:rsidRPr="009047ED">
        <w:t xml:space="preserve">roactive communications </w:t>
      </w:r>
      <w:r w:rsidR="004D6FE0" w:rsidRPr="009047ED">
        <w:t>planning</w:t>
      </w:r>
      <w:r w:rsidR="004D6FE0">
        <w:t xml:space="preserve">; </w:t>
      </w:r>
      <w:r w:rsidR="009047ED" w:rsidRPr="009047ED">
        <w:t xml:space="preserve">principally through background briefings and relationship-building with </w:t>
      </w:r>
      <w:r w:rsidR="004D6FE0">
        <w:t>the Authority’s</w:t>
      </w:r>
      <w:r w:rsidR="004D6FE0" w:rsidRPr="009047ED">
        <w:t xml:space="preserve"> </w:t>
      </w:r>
      <w:r w:rsidR="009047ED" w:rsidRPr="009047ED">
        <w:t>audiences</w:t>
      </w:r>
      <w:r w:rsidR="00C124C8">
        <w:t>, as set out in paragraph 2.4</w:t>
      </w:r>
      <w:r w:rsidR="000F736C">
        <w:t>;</w:t>
      </w:r>
      <w:r w:rsidR="00920C67">
        <w:t xml:space="preserve"> and</w:t>
      </w:r>
    </w:p>
    <w:p w14:paraId="3A9125D4" w14:textId="06CC6C51" w:rsidR="00D0042F" w:rsidRDefault="00D0042F" w:rsidP="00C1474F">
      <w:pPr>
        <w:pStyle w:val="ListParagraph"/>
        <w:spacing w:after="240"/>
        <w:ind w:left="2268"/>
      </w:pPr>
    </w:p>
    <w:p w14:paraId="5577E043" w14:textId="21AE59F8" w:rsidR="00D0042F" w:rsidRDefault="009047ED" w:rsidP="00C1474F">
      <w:pPr>
        <w:pStyle w:val="ListParagraph"/>
        <w:numPr>
          <w:ilvl w:val="4"/>
          <w:numId w:val="1"/>
        </w:numPr>
        <w:spacing w:after="240"/>
        <w:ind w:left="2268"/>
      </w:pPr>
      <w:r w:rsidRPr="009047ED">
        <w:t>On-the-record commentary should be reserved for instances where the Authority either cannot avoid making a statement or where it has a planned set-piece announcement, such as a disposal</w:t>
      </w:r>
      <w:r w:rsidR="000F736C">
        <w:t>;</w:t>
      </w:r>
      <w:r w:rsidRPr="009047ED">
        <w:t xml:space="preserve"> </w:t>
      </w:r>
      <w:r w:rsidR="00920C67">
        <w:t>and</w:t>
      </w:r>
      <w:r w:rsidR="00B603DE">
        <w:br/>
      </w:r>
    </w:p>
    <w:p w14:paraId="5F4376B2" w14:textId="0D9DDFFE" w:rsidR="00B603DE" w:rsidRDefault="00B603DE" w:rsidP="00C1474F">
      <w:pPr>
        <w:pStyle w:val="ListParagraph"/>
        <w:numPr>
          <w:ilvl w:val="4"/>
          <w:numId w:val="1"/>
        </w:numPr>
        <w:spacing w:after="240"/>
        <w:ind w:left="2268"/>
      </w:pPr>
      <w:r>
        <w:t>Create, build interest in and excitement around, asset disposals</w:t>
      </w:r>
      <w:r w:rsidR="00213EE1">
        <w:t xml:space="preserve">. </w:t>
      </w:r>
      <w:r>
        <w:br/>
      </w:r>
    </w:p>
    <w:p w14:paraId="3BE262B8" w14:textId="655403AB" w:rsidR="004717AC" w:rsidRDefault="009E6EA8" w:rsidP="00947676">
      <w:pPr>
        <w:pStyle w:val="Heading3"/>
        <w:numPr>
          <w:ilvl w:val="2"/>
          <w:numId w:val="1"/>
        </w:numPr>
      </w:pPr>
      <w:r>
        <w:t>Provide daily support including:</w:t>
      </w:r>
    </w:p>
    <w:p w14:paraId="76F1F4D9" w14:textId="072EB9FA" w:rsidR="004717AC" w:rsidRDefault="009E6EA8" w:rsidP="00251714">
      <w:pPr>
        <w:pStyle w:val="Heading3"/>
        <w:numPr>
          <w:ilvl w:val="3"/>
          <w:numId w:val="1"/>
        </w:numPr>
      </w:pPr>
      <w:proofErr w:type="gramStart"/>
      <w:r>
        <w:t>a</w:t>
      </w:r>
      <w:proofErr w:type="gramEnd"/>
      <w:r>
        <w:t xml:space="preserve"> daily email media intelligence digest to all current staff (monitoring all forms of media) </w:t>
      </w:r>
      <w:r w:rsidR="002058D8">
        <w:t>p</w:t>
      </w:r>
      <w:r w:rsidR="00330549">
        <w:t>roviding</w:t>
      </w:r>
      <w:r>
        <w:t xml:space="preserve"> insights into the media landscape</w:t>
      </w:r>
      <w:r w:rsidR="002058D8">
        <w:t>. This should cover media intelligence with a summary covering all assets across which the Authority manages</w:t>
      </w:r>
      <w:r>
        <w:t xml:space="preserve">; and </w:t>
      </w:r>
    </w:p>
    <w:p w14:paraId="3B4B1807" w14:textId="3AB69B9E" w:rsidR="004717AC" w:rsidRDefault="009E6EA8" w:rsidP="00251714">
      <w:pPr>
        <w:pStyle w:val="Heading3"/>
        <w:numPr>
          <w:ilvl w:val="3"/>
          <w:numId w:val="1"/>
        </w:numPr>
      </w:pPr>
      <w:proofErr w:type="gramStart"/>
      <w:r>
        <w:t>intra-day</w:t>
      </w:r>
      <w:proofErr w:type="gramEnd"/>
      <w:r>
        <w:t xml:space="preserve"> coverage reports / call logs</w:t>
      </w:r>
      <w:r w:rsidR="00950E2E">
        <w:t xml:space="preserve"> by email </w:t>
      </w:r>
      <w:r w:rsidR="00251714">
        <w:t xml:space="preserve">between the successful Supplier and the Authority </w:t>
      </w:r>
      <w:r>
        <w:t>on days of announcements</w:t>
      </w:r>
      <w:r w:rsidR="00920C67">
        <w:t>; and</w:t>
      </w:r>
      <w:r>
        <w:t xml:space="preserve"> </w:t>
      </w:r>
    </w:p>
    <w:p w14:paraId="709A1744" w14:textId="0A7CD7D1" w:rsidR="00F57EA3" w:rsidRDefault="009E6EA8" w:rsidP="00251714">
      <w:pPr>
        <w:pStyle w:val="Heading3"/>
        <w:numPr>
          <w:ilvl w:val="3"/>
          <w:numId w:val="1"/>
        </w:numPr>
      </w:pPr>
      <w:proofErr w:type="gramStart"/>
      <w:r>
        <w:t>intra-day</w:t>
      </w:r>
      <w:proofErr w:type="gramEnd"/>
      <w:r>
        <w:t xml:space="preserve"> coverage (by email) of relevant breaking stories</w:t>
      </w:r>
      <w:r w:rsidR="00920C67">
        <w:t>; and</w:t>
      </w:r>
      <w:r w:rsidR="00E97BC4">
        <w:t xml:space="preserve"> </w:t>
      </w:r>
    </w:p>
    <w:p w14:paraId="5A291014" w14:textId="084C9109" w:rsidR="00181215" w:rsidRDefault="00531C57" w:rsidP="00634446">
      <w:pPr>
        <w:pStyle w:val="Heading3"/>
        <w:numPr>
          <w:ilvl w:val="3"/>
          <w:numId w:val="1"/>
        </w:numPr>
      </w:pPr>
      <w:proofErr w:type="gramStart"/>
      <w:r>
        <w:t>a</w:t>
      </w:r>
      <w:r w:rsidR="00181215">
        <w:t>ct</w:t>
      </w:r>
      <w:r w:rsidR="00920C67">
        <w:t>ing</w:t>
      </w:r>
      <w:proofErr w:type="gramEnd"/>
      <w:r w:rsidR="00181215">
        <w:t xml:space="preserve"> as the Authority </w:t>
      </w:r>
      <w:r w:rsidR="004E4F7B">
        <w:t>p</w:t>
      </w:r>
      <w:r w:rsidR="00181215">
        <w:t xml:space="preserve">ress </w:t>
      </w:r>
      <w:r w:rsidR="00A35B0D">
        <w:t>o</w:t>
      </w:r>
      <w:r w:rsidR="00181215">
        <w:t>ffice, handling reactive media enquiries – after consultation with the Authority</w:t>
      </w:r>
      <w:r w:rsidR="000019F6">
        <w:t>.</w:t>
      </w:r>
      <w:r w:rsidR="00181215">
        <w:t xml:space="preserve">  </w:t>
      </w:r>
    </w:p>
    <w:p w14:paraId="40AEBD71" w14:textId="7270111D" w:rsidR="00213EE1" w:rsidRDefault="00213EE1" w:rsidP="00213EE1">
      <w:pPr>
        <w:pStyle w:val="Heading3"/>
        <w:numPr>
          <w:ilvl w:val="2"/>
          <w:numId w:val="1"/>
        </w:numPr>
      </w:pPr>
      <w:r>
        <w:t>Work with the Authority to develop appropriate communications materials (press notices briefing notes, RNS’s etc.)</w:t>
      </w:r>
      <w:r w:rsidR="00920C67">
        <w:t>.</w:t>
      </w:r>
    </w:p>
    <w:p w14:paraId="0AA667C7" w14:textId="5FC88BDC" w:rsidR="00213EE1" w:rsidRDefault="00213EE1" w:rsidP="00213EE1">
      <w:pPr>
        <w:pStyle w:val="Heading3"/>
        <w:numPr>
          <w:ilvl w:val="2"/>
          <w:numId w:val="1"/>
        </w:numPr>
      </w:pPr>
      <w:r>
        <w:t xml:space="preserve">Provide media/PR training sessions to all identified key figures, as and when required by the Authority.  </w:t>
      </w:r>
    </w:p>
    <w:p w14:paraId="636A84C2" w14:textId="7C64BACA" w:rsidR="004717AC" w:rsidRDefault="009E6EA8" w:rsidP="00F57EA3">
      <w:pPr>
        <w:pStyle w:val="Heading3"/>
        <w:numPr>
          <w:ilvl w:val="2"/>
          <w:numId w:val="1"/>
        </w:numPr>
      </w:pPr>
      <w:r>
        <w:t xml:space="preserve">Provide </w:t>
      </w:r>
      <w:r w:rsidR="008B14D2">
        <w:t xml:space="preserve">public affairs </w:t>
      </w:r>
      <w:r>
        <w:t xml:space="preserve">support to </w:t>
      </w:r>
      <w:r w:rsidR="008B14D2">
        <w:t xml:space="preserve">senior figures at </w:t>
      </w:r>
      <w:r>
        <w:t>the Authority</w:t>
      </w:r>
      <w:r w:rsidR="008B14D2">
        <w:t xml:space="preserve"> </w:t>
      </w:r>
      <w:r w:rsidR="00E66430">
        <w:t>by</w:t>
      </w:r>
      <w:r w:rsidR="008B14D2">
        <w:t xml:space="preserve"> supporting their </w:t>
      </w:r>
      <w:r>
        <w:t>parliamentary</w:t>
      </w:r>
      <w:r w:rsidR="00E66430">
        <w:t xml:space="preserve"> activity</w:t>
      </w:r>
      <w:r w:rsidR="008B14D2">
        <w:t xml:space="preserve"> and </w:t>
      </w:r>
      <w:r w:rsidR="00950E2E">
        <w:t xml:space="preserve">managing </w:t>
      </w:r>
      <w:r w:rsidR="008B14D2">
        <w:t>their reputations with parliamentarians</w:t>
      </w:r>
      <w:r w:rsidR="00E66430">
        <w:t>.</w:t>
      </w:r>
      <w:r w:rsidR="008B14D2">
        <w:t xml:space="preserve"> Including</w:t>
      </w:r>
      <w:r w:rsidR="00E66430">
        <w:t>, but not limited to</w:t>
      </w:r>
      <w:r w:rsidR="00531C57">
        <w:t>,</w:t>
      </w:r>
      <w:r w:rsidR="00E66430">
        <w:t xml:space="preserve"> supporting their a</w:t>
      </w:r>
      <w:r>
        <w:t xml:space="preserve">ppearances at </w:t>
      </w:r>
      <w:r w:rsidR="00407C5F">
        <w:t>s</w:t>
      </w:r>
      <w:r>
        <w:t xml:space="preserve">elect </w:t>
      </w:r>
      <w:r w:rsidR="00407C5F">
        <w:t>c</w:t>
      </w:r>
      <w:r>
        <w:t>ommittees</w:t>
      </w:r>
      <w:r w:rsidR="00E66430">
        <w:t xml:space="preserve"> by</w:t>
      </w:r>
      <w:r>
        <w:t xml:space="preserve">: </w:t>
      </w:r>
    </w:p>
    <w:p w14:paraId="0873F2C0" w14:textId="056BAEA1" w:rsidR="004717AC" w:rsidRDefault="00E66430" w:rsidP="00F57EA3">
      <w:pPr>
        <w:pStyle w:val="Heading3"/>
        <w:numPr>
          <w:ilvl w:val="3"/>
          <w:numId w:val="1"/>
        </w:numPr>
      </w:pPr>
      <w:proofErr w:type="gramStart"/>
      <w:r>
        <w:t>providing</w:t>
      </w:r>
      <w:proofErr w:type="gramEnd"/>
      <w:r w:rsidR="003B5BF0">
        <w:t xml:space="preserve"> </w:t>
      </w:r>
      <w:r w:rsidR="009E6EA8">
        <w:t xml:space="preserve">appropriate briefing on the </w:t>
      </w:r>
      <w:r w:rsidR="00407C5F">
        <w:t>s</w:t>
      </w:r>
      <w:r w:rsidR="009E6EA8">
        <w:t xml:space="preserve">elect </w:t>
      </w:r>
      <w:r w:rsidR="00407C5F">
        <w:t>c</w:t>
      </w:r>
      <w:r w:rsidR="009E6EA8">
        <w:t xml:space="preserve">ommittees and their members; and </w:t>
      </w:r>
    </w:p>
    <w:p w14:paraId="6A4A5A0E" w14:textId="0F97E04D" w:rsidR="009B2A7D" w:rsidRDefault="00E66430" w:rsidP="00F57EA3">
      <w:pPr>
        <w:pStyle w:val="Heading3"/>
        <w:numPr>
          <w:ilvl w:val="3"/>
          <w:numId w:val="1"/>
        </w:numPr>
      </w:pPr>
      <w:proofErr w:type="gramStart"/>
      <w:r>
        <w:t>holding</w:t>
      </w:r>
      <w:proofErr w:type="gramEnd"/>
      <w:r>
        <w:t xml:space="preserve"> </w:t>
      </w:r>
      <w:r w:rsidR="009E6EA8">
        <w:t>face-to face briefing sessions with the Authority including dummy runs ahead of such appearances</w:t>
      </w:r>
      <w:r w:rsidR="00920C67">
        <w:t>.</w:t>
      </w:r>
    </w:p>
    <w:p w14:paraId="4DBABA11" w14:textId="6F5F4373" w:rsidR="00466108" w:rsidRDefault="00466108" w:rsidP="005D11E7">
      <w:pPr>
        <w:pStyle w:val="Heading3"/>
        <w:numPr>
          <w:ilvl w:val="2"/>
          <w:numId w:val="1"/>
        </w:numPr>
      </w:pPr>
      <w:r>
        <w:t xml:space="preserve">Attend and take active part in weekly meetings. </w:t>
      </w:r>
    </w:p>
    <w:p w14:paraId="4927FF15" w14:textId="33B07A06" w:rsidR="00466108" w:rsidRDefault="00466108" w:rsidP="005D11E7">
      <w:pPr>
        <w:pStyle w:val="Heading3"/>
        <w:numPr>
          <w:ilvl w:val="2"/>
          <w:numId w:val="1"/>
        </w:numPr>
      </w:pPr>
      <w:r>
        <w:t>Attend and take active part in quarterly and annual performance reviews</w:t>
      </w:r>
      <w:r w:rsidR="000019F6">
        <w:t>.</w:t>
      </w:r>
    </w:p>
    <w:p w14:paraId="1445F95F" w14:textId="77777777" w:rsidR="000019F6" w:rsidRPr="000019F6" w:rsidRDefault="000019F6" w:rsidP="002E403A"/>
    <w:p w14:paraId="6C78050E" w14:textId="7E39D0B1" w:rsidR="00F11446" w:rsidRPr="00294EBE" w:rsidRDefault="005B5967">
      <w:pPr>
        <w:pStyle w:val="Heading2"/>
        <w:numPr>
          <w:ilvl w:val="1"/>
          <w:numId w:val="1"/>
        </w:numPr>
        <w:spacing w:after="120"/>
        <w:ind w:left="709" w:hanging="709"/>
        <w:rPr>
          <w:b/>
        </w:rPr>
      </w:pPr>
      <w:r w:rsidRPr="00294EBE">
        <w:rPr>
          <w:b/>
        </w:rPr>
        <w:t xml:space="preserve">POTENTIAL </w:t>
      </w:r>
      <w:r w:rsidR="0057380B" w:rsidRPr="00294EBE">
        <w:rPr>
          <w:b/>
        </w:rPr>
        <w:t xml:space="preserve">ADDITIONAL </w:t>
      </w:r>
      <w:r w:rsidR="00F92D41" w:rsidRPr="00294EBE">
        <w:rPr>
          <w:b/>
        </w:rPr>
        <w:t xml:space="preserve">SERVICES </w:t>
      </w:r>
    </w:p>
    <w:p w14:paraId="5DF839EF" w14:textId="757AA542" w:rsidR="004717AC" w:rsidRDefault="003F3AC5" w:rsidP="00D5078A">
      <w:pPr>
        <w:pStyle w:val="Heading2"/>
        <w:spacing w:after="120"/>
        <w:ind w:left="709" w:firstLine="0"/>
      </w:pPr>
      <w:r>
        <w:t xml:space="preserve">3.5.1 </w:t>
      </w:r>
      <w:r w:rsidR="009E6EA8">
        <w:t xml:space="preserve">The basic scope of </w:t>
      </w:r>
      <w:r w:rsidR="00F92D41">
        <w:t xml:space="preserve">potential </w:t>
      </w:r>
      <w:r w:rsidR="009E6EA8">
        <w:t xml:space="preserve">future PR </w:t>
      </w:r>
      <w:r w:rsidR="00F92D41">
        <w:t xml:space="preserve">activity </w:t>
      </w:r>
      <w:r w:rsidR="009E6EA8">
        <w:t>is set out below</w:t>
      </w:r>
      <w:r w:rsidR="008D70A6">
        <w:t xml:space="preserve">. </w:t>
      </w:r>
      <w:r>
        <w:t xml:space="preserve">Where at its sole discretion the Authority </w:t>
      </w:r>
      <w:r w:rsidR="00531C57">
        <w:t>requests,</w:t>
      </w:r>
      <w:r>
        <w:t xml:space="preserve"> t</w:t>
      </w:r>
      <w:r w:rsidR="008D70A6">
        <w:t>he Supplier shall</w:t>
      </w:r>
      <w:r w:rsidR="009E6EA8">
        <w:t xml:space="preserve">: </w:t>
      </w:r>
    </w:p>
    <w:p w14:paraId="0AB036E2" w14:textId="4EDB0BA5" w:rsidR="004717AC" w:rsidRDefault="00F92D41" w:rsidP="002E403A">
      <w:pPr>
        <w:pStyle w:val="Heading3"/>
        <w:numPr>
          <w:ilvl w:val="3"/>
          <w:numId w:val="1"/>
        </w:numPr>
      </w:pPr>
      <w:r>
        <w:lastRenderedPageBreak/>
        <w:t>A</w:t>
      </w:r>
      <w:r w:rsidR="009E6EA8">
        <w:t>dvise the Authority</w:t>
      </w:r>
      <w:r w:rsidR="00692F2E">
        <w:t xml:space="preserve">, </w:t>
      </w:r>
      <w:r w:rsidR="009E6EA8">
        <w:t>relevant government department</w:t>
      </w:r>
      <w:r w:rsidR="00692F2E">
        <w:t xml:space="preserve">s and </w:t>
      </w:r>
      <w:r w:rsidR="00692F2E" w:rsidRPr="005D11E7">
        <w:t>wider public sector</w:t>
      </w:r>
      <w:r w:rsidR="00692F2E">
        <w:t xml:space="preserve"> </w:t>
      </w:r>
      <w:r w:rsidR="009E6EA8">
        <w:t>on a targeted media engagement programme and develop the necessary materials</w:t>
      </w:r>
      <w:r w:rsidR="00E97BC4">
        <w:t>;</w:t>
      </w:r>
      <w:r w:rsidR="009E6EA8">
        <w:t xml:space="preserve"> </w:t>
      </w:r>
      <w:r w:rsidR="00531C57">
        <w:t>and/or</w:t>
      </w:r>
    </w:p>
    <w:p w14:paraId="07E9155B" w14:textId="5CA002D0" w:rsidR="00F92D41" w:rsidRDefault="00F92D41" w:rsidP="002E403A">
      <w:pPr>
        <w:pStyle w:val="Heading3"/>
        <w:numPr>
          <w:ilvl w:val="3"/>
          <w:numId w:val="1"/>
        </w:numPr>
      </w:pPr>
      <w:r>
        <w:t>P</w:t>
      </w:r>
      <w:r w:rsidR="009E6EA8">
        <w:t>rovide necessary media monitoring during any transactions including (but not limited to) national, broadcast, regional, specialist and social media</w:t>
      </w:r>
      <w:r w:rsidR="00E97BC4">
        <w:t>;</w:t>
      </w:r>
      <w:r w:rsidR="00531C57">
        <w:t xml:space="preserve"> </w:t>
      </w:r>
      <w:r w:rsidR="00531C57">
        <w:t>and/or</w:t>
      </w:r>
    </w:p>
    <w:p w14:paraId="4418663F" w14:textId="0198D8CE" w:rsidR="00F92D41" w:rsidRPr="00F92D41" w:rsidRDefault="00F92D41" w:rsidP="002E403A">
      <w:pPr>
        <w:pStyle w:val="Heading3"/>
        <w:numPr>
          <w:ilvl w:val="3"/>
          <w:numId w:val="1"/>
        </w:numPr>
      </w:pPr>
      <w:r>
        <w:t>W</w:t>
      </w:r>
      <w:r w:rsidRPr="00F92D41">
        <w:t>ork with a number of interested parties and key stakeholders including (but not limited to): other government and the wider public sector press offices, banks, lawyers, special advisors and Ministers</w:t>
      </w:r>
      <w:r w:rsidR="00E97BC4">
        <w:t>;</w:t>
      </w:r>
      <w:r w:rsidRPr="00F92D41">
        <w:t xml:space="preserve"> </w:t>
      </w:r>
      <w:r w:rsidR="00531C57">
        <w:t>and/or</w:t>
      </w:r>
    </w:p>
    <w:p w14:paraId="16952C82" w14:textId="5FC2183F" w:rsidR="00F92D41" w:rsidRDefault="00F92D41" w:rsidP="002E403A">
      <w:pPr>
        <w:pStyle w:val="Heading3"/>
        <w:numPr>
          <w:ilvl w:val="3"/>
          <w:numId w:val="1"/>
        </w:numPr>
      </w:pPr>
      <w:r>
        <w:t>A</w:t>
      </w:r>
      <w:r w:rsidRPr="00F92D41">
        <w:t>dvise on tactical and strategic interventions which can be made to relay government messages successfully</w:t>
      </w:r>
      <w:r w:rsidR="00E97BC4">
        <w:t xml:space="preserve">; </w:t>
      </w:r>
      <w:r w:rsidR="00531C57">
        <w:t>and/or</w:t>
      </w:r>
    </w:p>
    <w:p w14:paraId="5E9AAA40" w14:textId="3C639E68" w:rsidR="00F92D41" w:rsidRPr="00F92D41" w:rsidRDefault="00F92D41" w:rsidP="002E403A">
      <w:pPr>
        <w:pStyle w:val="Heading3"/>
        <w:numPr>
          <w:ilvl w:val="3"/>
          <w:numId w:val="1"/>
        </w:numPr>
      </w:pPr>
      <w:r>
        <w:t>Flex resources to react to and cover intense bursts of activity and periods of less intensity</w:t>
      </w:r>
      <w:r w:rsidR="00E97BC4">
        <w:t>;</w:t>
      </w:r>
      <w:r w:rsidR="00531C57" w:rsidRPr="00531C57">
        <w:t xml:space="preserve"> </w:t>
      </w:r>
      <w:r w:rsidR="00531C57">
        <w:t>and/or</w:t>
      </w:r>
    </w:p>
    <w:p w14:paraId="7FE0A05A" w14:textId="74200116" w:rsidR="008B1014" w:rsidRDefault="00F92D41" w:rsidP="002E403A">
      <w:pPr>
        <w:pStyle w:val="Heading3"/>
        <w:numPr>
          <w:ilvl w:val="3"/>
          <w:numId w:val="1"/>
        </w:numPr>
      </w:pPr>
      <w:r>
        <w:t>P</w:t>
      </w:r>
      <w:r w:rsidR="006E12A6" w:rsidRPr="006E12A6">
        <w:t xml:space="preserve">rovide media/PR training session to prepare each identified Authority individual with skills and confidence to </w:t>
      </w:r>
      <w:r w:rsidR="008659A3">
        <w:t>as and when required</w:t>
      </w:r>
      <w:r w:rsidR="00E97BC4">
        <w:t>;</w:t>
      </w:r>
      <w:r w:rsidR="008D70A6">
        <w:t xml:space="preserve"> </w:t>
      </w:r>
      <w:r w:rsidR="00531C57">
        <w:t>and/or</w:t>
      </w:r>
    </w:p>
    <w:p w14:paraId="7A9BD8AA" w14:textId="68DACCD6" w:rsidR="008D70A6" w:rsidRDefault="008D70A6" w:rsidP="002E403A">
      <w:pPr>
        <w:pStyle w:val="Heading3"/>
        <w:numPr>
          <w:ilvl w:val="3"/>
          <w:numId w:val="1"/>
        </w:numPr>
      </w:pPr>
      <w:r>
        <w:t>Sign an non-disclosure agreement (NDA)</w:t>
      </w:r>
      <w:r w:rsidR="00E97BC4">
        <w:t>;</w:t>
      </w:r>
      <w:r w:rsidR="00531C57" w:rsidRPr="00531C57">
        <w:t xml:space="preserve"> </w:t>
      </w:r>
      <w:r w:rsidR="00531C57">
        <w:t>and/or</w:t>
      </w:r>
    </w:p>
    <w:p w14:paraId="653D485C" w14:textId="668189AE" w:rsidR="003F3AC5" w:rsidRDefault="008D70A6" w:rsidP="002E403A">
      <w:pPr>
        <w:pStyle w:val="Heading3"/>
        <w:numPr>
          <w:ilvl w:val="3"/>
          <w:numId w:val="1"/>
        </w:numPr>
      </w:pPr>
      <w:r>
        <w:t>Attend and take active part in meetings</w:t>
      </w:r>
      <w:r w:rsidR="003F3AC5">
        <w:t xml:space="preserve"> as required.</w:t>
      </w:r>
    </w:p>
    <w:p w14:paraId="0E79B673" w14:textId="5F97007D" w:rsidR="008B1014" w:rsidRDefault="008B1014" w:rsidP="003F3AC5">
      <w:pPr>
        <w:pStyle w:val="Heading3"/>
        <w:numPr>
          <w:ilvl w:val="2"/>
          <w:numId w:val="1"/>
        </w:numPr>
      </w:pPr>
      <w:r>
        <w:t>There may be instances in which</w:t>
      </w:r>
      <w:r w:rsidR="003F3AC5">
        <w:t>, despite a request from the Authority</w:t>
      </w:r>
      <w:r w:rsidR="001715FD">
        <w:t xml:space="preserve"> for the Supplier</w:t>
      </w:r>
      <w:r w:rsidR="003F3AC5">
        <w:t xml:space="preserve"> to undertake Potential Additional Service</w:t>
      </w:r>
      <w:r w:rsidR="001715FD">
        <w:t>(s)</w:t>
      </w:r>
      <w:r w:rsidR="003F3AC5">
        <w:t xml:space="preserve">, </w:t>
      </w:r>
      <w:r>
        <w:t>the Supplier is not suitable to provide the</w:t>
      </w:r>
      <w:r w:rsidR="005A4554">
        <w:t xml:space="preserve"> </w:t>
      </w:r>
      <w:r w:rsidR="00CB56C3">
        <w:t>Potential</w:t>
      </w:r>
      <w:r w:rsidR="00E97BC4">
        <w:t xml:space="preserve"> Additional</w:t>
      </w:r>
      <w:r w:rsidR="005A4554">
        <w:t xml:space="preserve"> Service</w:t>
      </w:r>
      <w:r w:rsidR="001715FD">
        <w:t>(</w:t>
      </w:r>
      <w:r w:rsidR="005A4554">
        <w:t>s</w:t>
      </w:r>
      <w:r w:rsidR="001715FD">
        <w:t>)</w:t>
      </w:r>
      <w:r w:rsidR="005A4554">
        <w:t xml:space="preserve">. Such instances are </w:t>
      </w:r>
      <w:r w:rsidR="001715FD">
        <w:t>set</w:t>
      </w:r>
      <w:r w:rsidR="005A4554">
        <w:t xml:space="preserve"> out below:</w:t>
      </w:r>
    </w:p>
    <w:p w14:paraId="6E591531" w14:textId="77777777" w:rsidR="008B1014" w:rsidRDefault="008B1014" w:rsidP="00ED6535">
      <w:pPr>
        <w:pStyle w:val="Heading3"/>
        <w:numPr>
          <w:ilvl w:val="3"/>
          <w:numId w:val="1"/>
        </w:numPr>
      </w:pPr>
      <w:r>
        <w:t>Where a conflict of interest is identified; and/or</w:t>
      </w:r>
    </w:p>
    <w:p w14:paraId="6A8EFA93" w14:textId="7651DB20" w:rsidR="008B1014" w:rsidRDefault="008B1014" w:rsidP="00ED6535">
      <w:pPr>
        <w:pStyle w:val="Heading3"/>
        <w:numPr>
          <w:ilvl w:val="3"/>
          <w:numId w:val="1"/>
        </w:numPr>
      </w:pPr>
      <w:r>
        <w:t>Where it is not value for money to use the Supplier; and/or</w:t>
      </w:r>
    </w:p>
    <w:p w14:paraId="0A2FCA53" w14:textId="0A9D9E74" w:rsidR="008B1014" w:rsidRDefault="008B1014" w:rsidP="00ED6535">
      <w:pPr>
        <w:pStyle w:val="Heading3"/>
        <w:numPr>
          <w:ilvl w:val="3"/>
          <w:numId w:val="1"/>
        </w:numPr>
      </w:pPr>
      <w:r>
        <w:t xml:space="preserve">Where the budget for this </w:t>
      </w:r>
      <w:r w:rsidR="00A235BF" w:rsidRPr="005D11E7">
        <w:t>Agreement</w:t>
      </w:r>
      <w:r>
        <w:t xml:space="preserve"> has been exceeded; and/or</w:t>
      </w:r>
    </w:p>
    <w:p w14:paraId="276D060B" w14:textId="00696BA3" w:rsidR="008B1014" w:rsidRDefault="008B1014" w:rsidP="008B1014">
      <w:pPr>
        <w:pStyle w:val="Heading3"/>
        <w:numPr>
          <w:ilvl w:val="3"/>
          <w:numId w:val="1"/>
        </w:numPr>
      </w:pPr>
      <w:r>
        <w:t xml:space="preserve">Where the Supplier identifies it is unable to carry out the specific work for reasons it communicates in writing to the Authority and which are accepted by the Authority. </w:t>
      </w:r>
    </w:p>
    <w:p w14:paraId="3B9C7D32" w14:textId="373903D5" w:rsidR="00B2605D" w:rsidRDefault="008B1014" w:rsidP="00FD2E79">
      <w:pPr>
        <w:pStyle w:val="Heading3"/>
        <w:numPr>
          <w:ilvl w:val="2"/>
          <w:numId w:val="1"/>
        </w:numPr>
      </w:pPr>
      <w:r>
        <w:t xml:space="preserve">The Authority will discuss the </w:t>
      </w:r>
      <w:r w:rsidR="001715FD">
        <w:t>Potential Additional S</w:t>
      </w:r>
      <w:r w:rsidR="00A35B0D">
        <w:t>ervice</w:t>
      </w:r>
      <w:r w:rsidR="001715FD">
        <w:t>(</w:t>
      </w:r>
      <w:r w:rsidR="00A35B0D">
        <w:t>s</w:t>
      </w:r>
      <w:r w:rsidR="001715FD">
        <w:t>)</w:t>
      </w:r>
      <w:r w:rsidR="00A35B0D">
        <w:t xml:space="preserve"> required </w:t>
      </w:r>
      <w:r w:rsidR="005A4554">
        <w:t>with the successful Supplier.</w:t>
      </w:r>
      <w:r>
        <w:t xml:space="preserve"> </w:t>
      </w:r>
      <w:r w:rsidR="005A4554">
        <w:t>I</w:t>
      </w:r>
      <w:r>
        <w:t>f</w:t>
      </w:r>
      <w:r w:rsidR="00B2605D">
        <w:t>, at the sole discretion of the Authority,</w:t>
      </w:r>
      <w:r>
        <w:t xml:space="preserve"> the reasons</w:t>
      </w:r>
      <w:r w:rsidR="005A4554">
        <w:t xml:space="preserve"> identified at </w:t>
      </w:r>
      <w:r w:rsidR="008D70A6" w:rsidRPr="00A075EC">
        <w:t>3.</w:t>
      </w:r>
      <w:r w:rsidR="00B2605D" w:rsidRPr="009E0819">
        <w:t>5.</w:t>
      </w:r>
      <w:r w:rsidR="00920C67">
        <w:t>2</w:t>
      </w:r>
      <w:r>
        <w:t xml:space="preserve"> apply </w:t>
      </w:r>
      <w:r w:rsidR="001715FD">
        <w:t xml:space="preserve">then </w:t>
      </w:r>
      <w:r>
        <w:t>the Authority will undertake a separate process to secure a</w:t>
      </w:r>
      <w:r w:rsidR="001715FD">
        <w:t>n alternative</w:t>
      </w:r>
      <w:r>
        <w:t xml:space="preserve"> provider.</w:t>
      </w:r>
    </w:p>
    <w:p w14:paraId="09DEE0EC" w14:textId="3145F910" w:rsidR="00D13551" w:rsidRDefault="00B2605D" w:rsidP="00B2605D">
      <w:pPr>
        <w:pStyle w:val="Heading3"/>
        <w:numPr>
          <w:ilvl w:val="2"/>
          <w:numId w:val="1"/>
        </w:numPr>
      </w:pPr>
      <w:r w:rsidRPr="00B2605D">
        <w:t xml:space="preserve">If, at the sole discretion of the Authority, it is deemed suitable for the Supplier to carry out the Potential Additional </w:t>
      </w:r>
      <w:r w:rsidR="00A35B0D">
        <w:t>Service</w:t>
      </w:r>
      <w:r w:rsidR="001715FD">
        <w:t>(</w:t>
      </w:r>
      <w:r w:rsidR="00A35B0D">
        <w:t>s</w:t>
      </w:r>
      <w:r w:rsidR="001715FD">
        <w:t>)</w:t>
      </w:r>
      <w:r w:rsidR="00A35B0D">
        <w:t xml:space="preserve"> </w:t>
      </w:r>
      <w:r w:rsidRPr="00B2605D">
        <w:t xml:space="preserve">then the Charges set out at Annex 2 </w:t>
      </w:r>
      <w:r w:rsidR="001715FD">
        <w:t xml:space="preserve">of this Agreement </w:t>
      </w:r>
      <w:r w:rsidRPr="00B2605D">
        <w:t>will apply.</w:t>
      </w:r>
    </w:p>
    <w:p w14:paraId="7D8DCD3B" w14:textId="77777777" w:rsidR="004717AC" w:rsidRPr="00294EBE" w:rsidRDefault="009E6EA8">
      <w:pPr>
        <w:pStyle w:val="Heading2"/>
        <w:numPr>
          <w:ilvl w:val="1"/>
          <w:numId w:val="1"/>
        </w:numPr>
        <w:spacing w:after="120"/>
        <w:ind w:left="709" w:hanging="709"/>
        <w:rPr>
          <w:b/>
        </w:rPr>
      </w:pPr>
      <w:r w:rsidRPr="00294EBE">
        <w:rPr>
          <w:b/>
        </w:rPr>
        <w:lastRenderedPageBreak/>
        <w:t>CAPABILITY</w:t>
      </w:r>
    </w:p>
    <w:p w14:paraId="441BDDA6" w14:textId="61FD55AA" w:rsidR="00A064F7" w:rsidRPr="00A064F7" w:rsidRDefault="00A064F7" w:rsidP="00F369DB">
      <w:pPr>
        <w:ind w:left="709"/>
      </w:pPr>
      <w:r>
        <w:t xml:space="preserve">The </w:t>
      </w:r>
      <w:r w:rsidR="00F369DB">
        <w:t>Supplier shall</w:t>
      </w:r>
      <w:r>
        <w:t>:</w:t>
      </w:r>
    </w:p>
    <w:p w14:paraId="657FA80D" w14:textId="77777777" w:rsidR="004717AC" w:rsidRDefault="004717AC">
      <w:pPr>
        <w:rPr>
          <w:b/>
        </w:rPr>
      </w:pPr>
    </w:p>
    <w:p w14:paraId="58A04B2E" w14:textId="77777777" w:rsidR="00F369DB" w:rsidRDefault="00F369DB" w:rsidP="006F4625">
      <w:pPr>
        <w:pStyle w:val="Heading3"/>
        <w:numPr>
          <w:ilvl w:val="2"/>
          <w:numId w:val="1"/>
        </w:numPr>
      </w:pPr>
      <w:r>
        <w:t xml:space="preserve">Make available to the Authority a </w:t>
      </w:r>
      <w:r w:rsidR="006F4625">
        <w:t>senior and experienced team of financial communications professionals with expertise in dealing with the financial media and business press and supporting transactions.</w:t>
      </w:r>
    </w:p>
    <w:p w14:paraId="3EC8985C" w14:textId="3C918485" w:rsidR="006F4625" w:rsidRDefault="00F369DB" w:rsidP="006F4625">
      <w:pPr>
        <w:pStyle w:val="Heading3"/>
        <w:numPr>
          <w:ilvl w:val="2"/>
          <w:numId w:val="1"/>
        </w:numPr>
      </w:pPr>
      <w:r>
        <w:t>Actively maintain the same, or greater, level of capability</w:t>
      </w:r>
      <w:r w:rsidR="000D1A83">
        <w:t xml:space="preserve"> displayed in their successful t</w:t>
      </w:r>
      <w:r>
        <w:t>ender for this Agreement</w:t>
      </w:r>
      <w:r w:rsidR="00864D6F">
        <w:t>.</w:t>
      </w:r>
      <w:r>
        <w:t xml:space="preserve"> </w:t>
      </w:r>
    </w:p>
    <w:p w14:paraId="143D90C7" w14:textId="13C92BFE" w:rsidR="006F4625" w:rsidRPr="006F4625" w:rsidRDefault="00F369DB" w:rsidP="006F4625">
      <w:pPr>
        <w:pStyle w:val="Heading3"/>
        <w:numPr>
          <w:ilvl w:val="2"/>
          <w:numId w:val="1"/>
        </w:numPr>
      </w:pPr>
      <w:r>
        <w:t>B</w:t>
      </w:r>
      <w:r w:rsidR="004C1A9C">
        <w:t xml:space="preserve">e flexible and have the capability </w:t>
      </w:r>
      <w:r w:rsidR="006F4625">
        <w:t>to draw on additional resource as and when required</w:t>
      </w:r>
      <w:r w:rsidR="004C1A9C">
        <w:t>. This resource must be fully briefed individuals that are up to speed on the work of the Authority</w:t>
      </w:r>
      <w:r w:rsidR="006F4625">
        <w:t xml:space="preserve"> and have the capability to </w:t>
      </w:r>
      <w:r w:rsidR="008D70A6">
        <w:t>understand the requirement</w:t>
      </w:r>
      <w:r w:rsidR="006F4625">
        <w:t xml:space="preserve"> and deliver at pace</w:t>
      </w:r>
      <w:r w:rsidR="00864D6F">
        <w:t>.</w:t>
      </w:r>
      <w:r w:rsidR="006F4625">
        <w:t xml:space="preserve"> </w:t>
      </w:r>
    </w:p>
    <w:p w14:paraId="1BF6CE61" w14:textId="27A9684C" w:rsidR="009B2A7D" w:rsidRDefault="00F369DB" w:rsidP="006F4625">
      <w:pPr>
        <w:pStyle w:val="Heading3"/>
        <w:numPr>
          <w:ilvl w:val="2"/>
          <w:numId w:val="1"/>
        </w:numPr>
      </w:pPr>
      <w:r>
        <w:t>Have a</w:t>
      </w:r>
      <w:r w:rsidR="006F4625">
        <w:t>n understanding of a PR Agency’s role and responsibilities in terms of the legal framework under which transactions take place and how t</w:t>
      </w:r>
      <w:r>
        <w:t xml:space="preserve">heir work can affect the market; </w:t>
      </w:r>
      <w:r w:rsidR="006F4625">
        <w:t>and how to mitigate this</w:t>
      </w:r>
      <w:r w:rsidR="00864D6F">
        <w:t>.</w:t>
      </w:r>
    </w:p>
    <w:p w14:paraId="18E7E68E" w14:textId="2912E7DA" w:rsidR="006F4625" w:rsidRDefault="009B2A7D" w:rsidP="006F4625">
      <w:pPr>
        <w:pStyle w:val="Heading3"/>
        <w:numPr>
          <w:ilvl w:val="2"/>
          <w:numId w:val="1"/>
        </w:numPr>
      </w:pPr>
      <w:r>
        <w:t xml:space="preserve">Ensure </w:t>
      </w:r>
      <w:r w:rsidR="008D70A6">
        <w:t>its</w:t>
      </w:r>
      <w:r>
        <w:t xml:space="preserve"> staff understand the Authority’s vision and its objectives throughout the duration of the Agreement</w:t>
      </w:r>
      <w:r w:rsidR="00864D6F">
        <w:t>.</w:t>
      </w:r>
      <w:r>
        <w:t xml:space="preserve"> </w:t>
      </w:r>
      <w:r w:rsidR="006F4625">
        <w:t xml:space="preserve"> </w:t>
      </w:r>
    </w:p>
    <w:p w14:paraId="666E93E0" w14:textId="4B98E53F" w:rsidR="00BF760F" w:rsidRDefault="009E6EA8" w:rsidP="004A24F7">
      <w:pPr>
        <w:pStyle w:val="Heading4"/>
        <w:numPr>
          <w:ilvl w:val="2"/>
          <w:numId w:val="1"/>
        </w:numPr>
      </w:pPr>
      <w:r>
        <w:t xml:space="preserve">Carry out the functions of a press office for </w:t>
      </w:r>
      <w:r w:rsidR="000D1A83">
        <w:t>the Authority</w:t>
      </w:r>
      <w:r>
        <w:t xml:space="preserve">, issue RNS’s, </w:t>
      </w:r>
      <w:r w:rsidR="00FD2794">
        <w:t>p</w:t>
      </w:r>
      <w:r w:rsidR="00330549">
        <w:t>roviding</w:t>
      </w:r>
      <w:r>
        <w:t xml:space="preserve"> media intelligence and public affairs advice and services</w:t>
      </w:r>
      <w:r w:rsidR="001D0E3A">
        <w:t>.</w:t>
      </w:r>
      <w:r w:rsidR="00BF760F">
        <w:t xml:space="preserve"> </w:t>
      </w:r>
    </w:p>
    <w:p w14:paraId="396C1D0E" w14:textId="36D50ADB" w:rsidR="004717AC" w:rsidRDefault="00BF760F" w:rsidP="00BF760F">
      <w:pPr>
        <w:pStyle w:val="Heading4"/>
        <w:numPr>
          <w:ilvl w:val="2"/>
          <w:numId w:val="1"/>
        </w:numPr>
      </w:pPr>
      <w:r>
        <w:t>A</w:t>
      </w:r>
      <w:r w:rsidRPr="00BF760F">
        <w:t>dhere to Market Abuse Regulations</w:t>
      </w:r>
      <w:r>
        <w:t>.</w:t>
      </w:r>
    </w:p>
    <w:p w14:paraId="2395208D" w14:textId="77777777" w:rsidR="00BF760F" w:rsidRPr="00BF760F" w:rsidRDefault="00BF760F" w:rsidP="00BF760F"/>
    <w:p w14:paraId="32466C6D" w14:textId="55557188" w:rsidR="00D750AB" w:rsidRPr="008F48C2" w:rsidRDefault="00864D6F" w:rsidP="005D11E7">
      <w:pPr>
        <w:pStyle w:val="Heading1"/>
        <w:numPr>
          <w:ilvl w:val="0"/>
          <w:numId w:val="1"/>
        </w:numPr>
        <w:spacing w:after="120"/>
        <w:rPr>
          <w:rFonts w:ascii="Arial Bold" w:hAnsi="Arial Bold"/>
          <w:smallCaps w:val="0"/>
        </w:rPr>
      </w:pPr>
      <w:r>
        <w:rPr>
          <w:rFonts w:ascii="Arial Bold" w:hAnsi="Arial Bold"/>
          <w:smallCaps w:val="0"/>
        </w:rPr>
        <w:t>REPORTING</w:t>
      </w:r>
    </w:p>
    <w:p w14:paraId="6389CCBA" w14:textId="1ECB650C" w:rsidR="008D70A6" w:rsidRDefault="008D70A6" w:rsidP="00B366A7">
      <w:pPr>
        <w:ind w:left="709"/>
      </w:pPr>
      <w:r>
        <w:t xml:space="preserve">The Supplier shall: </w:t>
      </w:r>
    </w:p>
    <w:p w14:paraId="387FED9D" w14:textId="77777777" w:rsidR="008D70A6" w:rsidRPr="008D70A6" w:rsidRDefault="008D70A6" w:rsidP="003330CD"/>
    <w:p w14:paraId="52BA60DF" w14:textId="439F77C1" w:rsidR="00D750AB" w:rsidRDefault="008D70A6" w:rsidP="00D750AB">
      <w:pPr>
        <w:pStyle w:val="Heading2"/>
        <w:numPr>
          <w:ilvl w:val="1"/>
          <w:numId w:val="1"/>
        </w:numPr>
        <w:shd w:val="clear" w:color="auto" w:fill="FFFFFF"/>
      </w:pPr>
      <w:r>
        <w:t>P</w:t>
      </w:r>
      <w:r w:rsidR="00AC58F4">
        <w:t xml:space="preserve">rovide </w:t>
      </w:r>
      <w:r w:rsidR="003330CD">
        <w:t xml:space="preserve">a </w:t>
      </w:r>
      <w:r>
        <w:t>quarterly</w:t>
      </w:r>
      <w:r w:rsidR="00AC58F4">
        <w:t xml:space="preserve"> dashboard of trends </w:t>
      </w:r>
      <w:r w:rsidR="00D750AB">
        <w:t xml:space="preserve">consistent with the Government Communication Service GCS framework. </w:t>
      </w:r>
      <w:hyperlink r:id="rId10">
        <w:r w:rsidR="00D750AB">
          <w:rPr>
            <w:color w:val="0000FF"/>
            <w:u w:val="single"/>
          </w:rPr>
          <w:t>https://gcs.civilservice.gov.uk/wp-content/uploads/2016/01/GCS-Evaluation-Framework.pdf</w:t>
        </w:r>
      </w:hyperlink>
    </w:p>
    <w:p w14:paraId="0FFB15DA" w14:textId="042AF11F" w:rsidR="00C80C21" w:rsidRDefault="00411F91" w:rsidP="00C80C21">
      <w:pPr>
        <w:pStyle w:val="Heading2"/>
        <w:numPr>
          <w:ilvl w:val="1"/>
          <w:numId w:val="1"/>
        </w:numPr>
        <w:shd w:val="clear" w:color="auto" w:fill="FFFFFF"/>
      </w:pPr>
      <w:r>
        <w:t>P</w:t>
      </w:r>
      <w:r w:rsidR="007043BD">
        <w:t>rovide ad hoc reports and data to the Authority, within 48 hours of the request</w:t>
      </w:r>
      <w:r w:rsidR="00C80C21">
        <w:t xml:space="preserve">, </w:t>
      </w:r>
      <w:r w:rsidR="00C80C21" w:rsidRPr="00A075EC">
        <w:t xml:space="preserve">which shall include but not be limited to the requirements listed </w:t>
      </w:r>
      <w:r w:rsidR="000D1A83">
        <w:t>at paragraph 7,</w:t>
      </w:r>
      <w:r w:rsidR="00C80C21" w:rsidRPr="00A075EC">
        <w:t xml:space="preserve"> key performance indicators.</w:t>
      </w:r>
      <w:r w:rsidR="00C80C21">
        <w:t xml:space="preserve"> </w:t>
      </w:r>
    </w:p>
    <w:p w14:paraId="09742C67" w14:textId="47917222" w:rsidR="00D750AB" w:rsidRDefault="00D750AB" w:rsidP="00C80C21">
      <w:pPr>
        <w:pStyle w:val="Heading2"/>
        <w:numPr>
          <w:ilvl w:val="1"/>
          <w:numId w:val="1"/>
        </w:numPr>
        <w:shd w:val="clear" w:color="auto" w:fill="FFFFFF"/>
      </w:pPr>
      <w:r>
        <w:t xml:space="preserve">The Authority reserves the right to amend the reporting requirement during the life of the </w:t>
      </w:r>
      <w:r w:rsidR="00A235BF">
        <w:t>Agreement</w:t>
      </w:r>
      <w:r>
        <w:t>.</w:t>
      </w:r>
    </w:p>
    <w:p w14:paraId="30AB174E" w14:textId="49F1585B" w:rsidR="00F57706" w:rsidRPr="008F48C2" w:rsidRDefault="00864D6F" w:rsidP="00F57706">
      <w:pPr>
        <w:pStyle w:val="Heading1"/>
        <w:numPr>
          <w:ilvl w:val="0"/>
          <w:numId w:val="1"/>
        </w:numPr>
        <w:spacing w:after="120"/>
        <w:rPr>
          <w:rFonts w:ascii="Arial Bold" w:hAnsi="Arial Bold"/>
          <w:smallCaps w:val="0"/>
        </w:rPr>
      </w:pPr>
      <w:r>
        <w:rPr>
          <w:rFonts w:ascii="Arial Bold" w:hAnsi="Arial Bold"/>
          <w:smallCaps w:val="0"/>
        </w:rPr>
        <w:t>LOCATION</w:t>
      </w:r>
    </w:p>
    <w:p w14:paraId="2EA9CE66" w14:textId="31D46F4C" w:rsidR="00F57706" w:rsidRDefault="00F57706" w:rsidP="00B366A7">
      <w:pPr>
        <w:pStyle w:val="Heading2"/>
        <w:numPr>
          <w:ilvl w:val="1"/>
          <w:numId w:val="1"/>
        </w:numPr>
        <w:spacing w:after="120"/>
        <w:ind w:left="993" w:hanging="709"/>
      </w:pPr>
      <w:r>
        <w:t xml:space="preserve">The Services will be carried out at the Supplier’s premises. </w:t>
      </w:r>
      <w:r w:rsidR="00CD7FAA">
        <w:t xml:space="preserve"> The Supplier shall</w:t>
      </w:r>
      <w:r>
        <w:t xml:space="preserve"> attend meetings</w:t>
      </w:r>
      <w:r w:rsidR="00CD7FAA">
        <w:t>, as set ou</w:t>
      </w:r>
      <w:r w:rsidR="00AC542A">
        <w:t>t in th</w:t>
      </w:r>
      <w:r w:rsidR="009F0909">
        <w:t>ese</w:t>
      </w:r>
      <w:r w:rsidR="00AC542A">
        <w:t xml:space="preserve"> </w:t>
      </w:r>
      <w:r w:rsidR="00CD7FAA">
        <w:t>Services Requirement</w:t>
      </w:r>
      <w:r w:rsidR="009F0909">
        <w:t>s</w:t>
      </w:r>
      <w:r w:rsidR="00CD7FAA">
        <w:t xml:space="preserve">, </w:t>
      </w:r>
      <w:r>
        <w:t>at the Authority premises at 1 Victoria Street</w:t>
      </w:r>
      <w:r w:rsidR="00AC542A">
        <w:t>,</w:t>
      </w:r>
      <w:r>
        <w:t xml:space="preserve"> London</w:t>
      </w:r>
      <w:r w:rsidR="00AC542A">
        <w:t>,</w:t>
      </w:r>
      <w:r>
        <w:t xml:space="preserve"> SW1H 0ET.</w:t>
      </w:r>
    </w:p>
    <w:p w14:paraId="4B9383D5" w14:textId="77777777" w:rsidR="00237E1D" w:rsidRPr="003A131E" w:rsidRDefault="00237E1D" w:rsidP="00237E1D"/>
    <w:p w14:paraId="4299DD68" w14:textId="4AD76EC1" w:rsidR="00F57706" w:rsidRPr="008F48C2" w:rsidRDefault="00864D6F" w:rsidP="00F57706">
      <w:pPr>
        <w:pStyle w:val="Heading1"/>
        <w:numPr>
          <w:ilvl w:val="0"/>
          <w:numId w:val="1"/>
        </w:numPr>
        <w:spacing w:after="120"/>
        <w:rPr>
          <w:rFonts w:ascii="Arial Bold" w:hAnsi="Arial Bold"/>
          <w:smallCaps w:val="0"/>
        </w:rPr>
      </w:pPr>
      <w:r>
        <w:rPr>
          <w:rFonts w:ascii="Arial Bold" w:hAnsi="Arial Bold"/>
          <w:smallCaps w:val="0"/>
        </w:rPr>
        <w:t>KEY MILESTONES</w:t>
      </w:r>
    </w:p>
    <w:p w14:paraId="270AE838" w14:textId="1A65CCCF" w:rsidR="009B007B" w:rsidRDefault="009B007B" w:rsidP="005D11E7">
      <w:pPr>
        <w:pStyle w:val="ListParagraph"/>
        <w:numPr>
          <w:ilvl w:val="1"/>
          <w:numId w:val="1"/>
        </w:numPr>
      </w:pPr>
      <w:r>
        <w:t>The Authority expects to see a phased approach:</w:t>
      </w:r>
    </w:p>
    <w:p w14:paraId="4E6EE635" w14:textId="15285EA3" w:rsidR="009B007B" w:rsidRDefault="009B007B" w:rsidP="005D11E7">
      <w:pPr>
        <w:pStyle w:val="ListParagraph"/>
        <w:numPr>
          <w:ilvl w:val="2"/>
          <w:numId w:val="1"/>
        </w:numPr>
      </w:pPr>
      <w:r w:rsidRPr="00C15693">
        <w:t>immersion -</w:t>
      </w:r>
      <w:r w:rsidRPr="00A30905">
        <w:t xml:space="preserve"> getting to know the </w:t>
      </w:r>
      <w:r w:rsidR="000D1A83">
        <w:t>Authority</w:t>
      </w:r>
      <w:r w:rsidRPr="00A30905">
        <w:t>; then</w:t>
      </w:r>
    </w:p>
    <w:p w14:paraId="399ACC65" w14:textId="283D26A9" w:rsidR="009B007B" w:rsidRDefault="009B007B" w:rsidP="005D11E7">
      <w:pPr>
        <w:pStyle w:val="ListParagraph"/>
        <w:numPr>
          <w:ilvl w:val="2"/>
          <w:numId w:val="1"/>
        </w:numPr>
      </w:pPr>
      <w:r w:rsidRPr="00A30905">
        <w:lastRenderedPageBreak/>
        <w:t>preparation</w:t>
      </w:r>
      <w:r>
        <w:t xml:space="preserve"> - developing appropriate communications strategies and products; then</w:t>
      </w:r>
    </w:p>
    <w:p w14:paraId="4D00F74D" w14:textId="076E37AE" w:rsidR="009B007B" w:rsidRDefault="000D1A83" w:rsidP="005D11E7">
      <w:pPr>
        <w:pStyle w:val="ListParagraph"/>
        <w:numPr>
          <w:ilvl w:val="2"/>
          <w:numId w:val="1"/>
        </w:numPr>
      </w:pPr>
      <w:proofErr w:type="gramStart"/>
      <w:r>
        <w:t>delivery</w:t>
      </w:r>
      <w:proofErr w:type="gramEnd"/>
      <w:r w:rsidR="009B007B">
        <w:t xml:space="preserve"> - using a full mix of proactive PR tactics and tools to support the Authority </w:t>
      </w:r>
      <w:r w:rsidR="00FE6FE3">
        <w:t>objectives.</w:t>
      </w:r>
      <w:r w:rsidR="009B007B">
        <w:br/>
      </w:r>
    </w:p>
    <w:p w14:paraId="7489ABC1" w14:textId="08224BF7" w:rsidR="009B007B" w:rsidRPr="009B007B" w:rsidRDefault="009B007B" w:rsidP="005D11E7">
      <w:pPr>
        <w:pStyle w:val="ListParagraph"/>
        <w:numPr>
          <w:ilvl w:val="1"/>
          <w:numId w:val="1"/>
        </w:numPr>
      </w:pPr>
      <w:r>
        <w:t>The following Milestones will be used to measure delivery:</w:t>
      </w:r>
    </w:p>
    <w:p w14:paraId="27E07E26" w14:textId="26C8E666" w:rsidR="00F57706" w:rsidRDefault="00F57706" w:rsidP="002E403A">
      <w:pPr>
        <w:pStyle w:val="Heading2"/>
        <w:spacing w:after="120"/>
        <w:ind w:left="709"/>
      </w:pPr>
      <w:r>
        <w:tab/>
      </w:r>
    </w:p>
    <w:tbl>
      <w:tblPr>
        <w:tblStyle w:val="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0"/>
        <w:gridCol w:w="1275"/>
        <w:gridCol w:w="4010"/>
        <w:gridCol w:w="2294"/>
      </w:tblGrid>
      <w:tr w:rsidR="00F57706" w14:paraId="45EF712B" w14:textId="77777777" w:rsidTr="005D11E7"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44461" w14:textId="77777777" w:rsidR="00F57706" w:rsidRPr="005D11E7" w:rsidRDefault="00F57706" w:rsidP="00F57EA3">
            <w:pPr>
              <w:widowControl w:val="0"/>
              <w:rPr>
                <w:b/>
              </w:rPr>
            </w:pPr>
            <w:r w:rsidRPr="005D11E7">
              <w:rPr>
                <w:b/>
              </w:rPr>
              <w:t>Phase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02F81" w14:textId="77777777" w:rsidR="00F57706" w:rsidRPr="005D11E7" w:rsidRDefault="00F57706" w:rsidP="00F57EA3">
            <w:pPr>
              <w:widowControl w:val="0"/>
              <w:rPr>
                <w:b/>
              </w:rPr>
            </w:pPr>
            <w:r w:rsidRPr="005D11E7">
              <w:rPr>
                <w:b/>
              </w:rPr>
              <w:t>Milestone</w:t>
            </w:r>
          </w:p>
        </w:tc>
        <w:tc>
          <w:tcPr>
            <w:tcW w:w="4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B41C6" w14:textId="77777777" w:rsidR="00F57706" w:rsidRPr="005D11E7" w:rsidRDefault="00F57706" w:rsidP="00F57EA3">
            <w:pPr>
              <w:widowControl w:val="0"/>
              <w:rPr>
                <w:b/>
              </w:rPr>
            </w:pPr>
            <w:r w:rsidRPr="005D11E7">
              <w:rPr>
                <w:b/>
              </w:rPr>
              <w:t>Description</w:t>
            </w:r>
          </w:p>
        </w:tc>
        <w:tc>
          <w:tcPr>
            <w:tcW w:w="2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747F0" w14:textId="77777777" w:rsidR="00F57706" w:rsidRPr="005D11E7" w:rsidRDefault="00F57706" w:rsidP="00F57EA3">
            <w:pPr>
              <w:widowControl w:val="0"/>
              <w:rPr>
                <w:b/>
              </w:rPr>
            </w:pPr>
            <w:r w:rsidRPr="005D11E7">
              <w:rPr>
                <w:b/>
              </w:rPr>
              <w:t>Timeframe</w:t>
            </w:r>
          </w:p>
        </w:tc>
      </w:tr>
      <w:tr w:rsidR="00F57706" w14:paraId="22090D14" w14:textId="77777777" w:rsidTr="005D11E7"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55431" w14:textId="77777777" w:rsidR="00F57706" w:rsidRDefault="00F57706" w:rsidP="00F57EA3">
            <w:pPr>
              <w:widowControl w:val="0"/>
            </w:pPr>
            <w:r>
              <w:t>Immersion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B9FE9" w14:textId="77777777" w:rsidR="00F57706" w:rsidRDefault="00F57706" w:rsidP="00F57EA3">
            <w:pPr>
              <w:widowControl w:val="0"/>
            </w:pPr>
            <w:r>
              <w:t>1</w:t>
            </w:r>
          </w:p>
        </w:tc>
        <w:tc>
          <w:tcPr>
            <w:tcW w:w="4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28BC0" w14:textId="791DA694" w:rsidR="00F57706" w:rsidRDefault="00F57706" w:rsidP="008F48C2">
            <w:pPr>
              <w:pStyle w:val="Heading3"/>
              <w:ind w:left="45" w:hanging="3"/>
              <w:jc w:val="left"/>
            </w:pPr>
            <w:r>
              <w:t xml:space="preserve">Set up meeting to discuss </w:t>
            </w:r>
            <w:r w:rsidR="00AB5CDD">
              <w:t xml:space="preserve">Service Requirements and discuss </w:t>
            </w:r>
            <w:r>
              <w:t xml:space="preserve">key work needed over the next 12 months </w:t>
            </w:r>
          </w:p>
        </w:tc>
        <w:tc>
          <w:tcPr>
            <w:tcW w:w="2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84A58" w14:textId="653F5EAD" w:rsidR="00F57706" w:rsidRDefault="00F57706" w:rsidP="00C15693">
            <w:pPr>
              <w:pStyle w:val="Heading3"/>
              <w:ind w:left="1" w:hanging="1"/>
              <w:jc w:val="left"/>
            </w:pPr>
            <w:r>
              <w:t xml:space="preserve">Within week 1 of </w:t>
            </w:r>
            <w:r w:rsidR="00AC542A">
              <w:t xml:space="preserve">Agreement </w:t>
            </w:r>
            <w:r>
              <w:t xml:space="preserve">Award </w:t>
            </w:r>
          </w:p>
        </w:tc>
      </w:tr>
      <w:tr w:rsidR="00F57706" w14:paraId="5A792978" w14:textId="77777777" w:rsidTr="005D11E7"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77C86" w14:textId="77777777" w:rsidR="00F57706" w:rsidRDefault="00F57706" w:rsidP="00F57EA3">
            <w:pPr>
              <w:widowControl w:val="0"/>
            </w:pPr>
            <w:r>
              <w:t>Preparation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10CB9" w14:textId="77777777" w:rsidR="00F57706" w:rsidRDefault="00F57706" w:rsidP="00F57EA3">
            <w:pPr>
              <w:widowControl w:val="0"/>
            </w:pPr>
            <w:r>
              <w:t>2</w:t>
            </w:r>
          </w:p>
        </w:tc>
        <w:tc>
          <w:tcPr>
            <w:tcW w:w="4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21290" w14:textId="043B9C38" w:rsidR="00F57706" w:rsidRDefault="00F57706" w:rsidP="008F48C2">
            <w:pPr>
              <w:pStyle w:val="Heading3"/>
              <w:ind w:left="45" w:hanging="3"/>
              <w:jc w:val="left"/>
            </w:pPr>
            <w:r>
              <w:t xml:space="preserve">Develop </w:t>
            </w:r>
            <w:r w:rsidR="00AB5CDD">
              <w:t xml:space="preserve">a </w:t>
            </w:r>
            <w:r>
              <w:t xml:space="preserve">media communications </w:t>
            </w:r>
            <w:r w:rsidR="00FE6FE3">
              <w:t>s</w:t>
            </w:r>
            <w:r>
              <w:t xml:space="preserve">trategy 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4C1EF3BB" w14:textId="28A7A8C5" w:rsidR="00F57706" w:rsidRDefault="00F57706" w:rsidP="00C15693">
            <w:pPr>
              <w:pStyle w:val="Heading3"/>
              <w:ind w:left="1" w:firstLine="54"/>
              <w:jc w:val="left"/>
            </w:pPr>
            <w:r>
              <w:t xml:space="preserve">Within 2 months of </w:t>
            </w:r>
            <w:r w:rsidR="00A235BF">
              <w:t>Agreement</w:t>
            </w:r>
            <w:r w:rsidR="00AB5CDD">
              <w:t xml:space="preserve"> </w:t>
            </w:r>
            <w:r>
              <w:t>Award</w:t>
            </w:r>
          </w:p>
        </w:tc>
      </w:tr>
      <w:tr w:rsidR="000A7272" w14:paraId="125D814B" w14:textId="77777777" w:rsidTr="005D11E7"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9626A" w14:textId="2835D55E" w:rsidR="000A7272" w:rsidRDefault="000A7272" w:rsidP="00F57EA3">
            <w:pPr>
              <w:widowControl w:val="0"/>
            </w:pPr>
            <w:r>
              <w:t xml:space="preserve">Preparation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1299E" w14:textId="344736B0" w:rsidR="000A7272" w:rsidRDefault="000A7272" w:rsidP="00F57EA3">
            <w:pPr>
              <w:widowControl w:val="0"/>
            </w:pPr>
            <w:r>
              <w:t>3</w:t>
            </w:r>
          </w:p>
        </w:tc>
        <w:tc>
          <w:tcPr>
            <w:tcW w:w="4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65336" w14:textId="0D59386E" w:rsidR="000A7272" w:rsidRDefault="000A7272" w:rsidP="008F48C2">
            <w:pPr>
              <w:pStyle w:val="Heading3"/>
              <w:ind w:left="45" w:hanging="3"/>
              <w:jc w:val="left"/>
            </w:pPr>
            <w:r>
              <w:t xml:space="preserve">Develop and agree an exit management plan. 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41631D08" w14:textId="0C65A232" w:rsidR="000A7272" w:rsidRDefault="000A7272" w:rsidP="00C15693">
            <w:pPr>
              <w:pStyle w:val="Heading3"/>
              <w:ind w:left="1" w:firstLine="54"/>
              <w:jc w:val="left"/>
            </w:pPr>
            <w:r>
              <w:t>Within 3 months of Agreement Award</w:t>
            </w:r>
          </w:p>
        </w:tc>
      </w:tr>
      <w:tr w:rsidR="000A7272" w14:paraId="3071F2D3" w14:textId="77777777" w:rsidTr="005D11E7"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D6CC1" w14:textId="13C4A264" w:rsidR="000A7272" w:rsidRDefault="000A7272" w:rsidP="000A7272">
            <w:pPr>
              <w:widowControl w:val="0"/>
            </w:pPr>
            <w:r>
              <w:t>Delivery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1EF5E" w14:textId="3DBE947F" w:rsidR="000A7272" w:rsidRDefault="000A7272" w:rsidP="000A7272">
            <w:pPr>
              <w:widowControl w:val="0"/>
            </w:pPr>
            <w:r>
              <w:t>4</w:t>
            </w:r>
          </w:p>
        </w:tc>
        <w:tc>
          <w:tcPr>
            <w:tcW w:w="4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8DF63" w14:textId="0B261749" w:rsidR="000A7272" w:rsidRDefault="000A7272" w:rsidP="008F48C2">
            <w:pPr>
              <w:pStyle w:val="Heading3"/>
              <w:ind w:left="45" w:hanging="3"/>
              <w:jc w:val="left"/>
            </w:pPr>
            <w:r>
              <w:t>Review media engagement programme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782EA4B7" w14:textId="7CA654AE" w:rsidR="000A7272" w:rsidRDefault="000A7272" w:rsidP="000A7272">
            <w:pPr>
              <w:pStyle w:val="Heading3"/>
              <w:ind w:left="1135"/>
              <w:jc w:val="left"/>
            </w:pPr>
            <w:r>
              <w:t xml:space="preserve">Monthly </w:t>
            </w:r>
          </w:p>
        </w:tc>
      </w:tr>
      <w:tr w:rsidR="000A7272" w14:paraId="553A14D5" w14:textId="77777777" w:rsidTr="005D11E7"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8C6F1" w14:textId="77777777" w:rsidR="000A7272" w:rsidRDefault="000A7272" w:rsidP="000A7272">
            <w:pPr>
              <w:widowControl w:val="0"/>
            </w:pPr>
            <w:r>
              <w:t>Delivery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51067" w14:textId="53539677" w:rsidR="000A7272" w:rsidRDefault="000A7272" w:rsidP="000A7272">
            <w:pPr>
              <w:widowControl w:val="0"/>
            </w:pPr>
            <w:r>
              <w:t>5</w:t>
            </w:r>
          </w:p>
        </w:tc>
        <w:tc>
          <w:tcPr>
            <w:tcW w:w="4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2F4D7" w14:textId="7DE4B68E" w:rsidR="000A7272" w:rsidRDefault="000A7272" w:rsidP="008F48C2">
            <w:pPr>
              <w:pStyle w:val="Heading3"/>
              <w:ind w:left="45" w:hanging="3"/>
              <w:jc w:val="left"/>
            </w:pPr>
            <w:r>
              <w:t xml:space="preserve">Refresh media communications strategy 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7637C97F" w14:textId="4F580763" w:rsidR="000A7272" w:rsidRDefault="000A7272" w:rsidP="000A7272">
            <w:pPr>
              <w:pStyle w:val="Heading3"/>
              <w:ind w:left="1135"/>
              <w:jc w:val="left"/>
            </w:pPr>
            <w:r>
              <w:t>Every 6 months</w:t>
            </w:r>
          </w:p>
        </w:tc>
      </w:tr>
      <w:tr w:rsidR="000A7272" w14:paraId="5C9B2C8F" w14:textId="77777777" w:rsidTr="005D11E7"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E076C" w14:textId="77777777" w:rsidR="000A7272" w:rsidRDefault="000A7272" w:rsidP="000A7272">
            <w:pPr>
              <w:widowControl w:val="0"/>
            </w:pPr>
            <w:r>
              <w:t>Delivery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F7E1E" w14:textId="48C03443" w:rsidR="000A7272" w:rsidRDefault="000A7272" w:rsidP="000A7272">
            <w:pPr>
              <w:widowControl w:val="0"/>
            </w:pPr>
            <w:r>
              <w:t>6</w:t>
            </w:r>
          </w:p>
        </w:tc>
        <w:tc>
          <w:tcPr>
            <w:tcW w:w="4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63478" w14:textId="77777777" w:rsidR="000A7272" w:rsidRDefault="000A7272" w:rsidP="008F48C2">
            <w:pPr>
              <w:pStyle w:val="Heading3"/>
              <w:ind w:left="45" w:hanging="3"/>
              <w:jc w:val="left"/>
            </w:pPr>
            <w:r>
              <w:t>Meeting recommendations set in the quarterly and annual reviews of performance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2897A4D4" w14:textId="77777777" w:rsidR="000A7272" w:rsidRDefault="000A7272" w:rsidP="000A7272">
            <w:pPr>
              <w:pStyle w:val="Heading3"/>
              <w:ind w:left="1" w:firstLine="54"/>
              <w:jc w:val="left"/>
            </w:pPr>
            <w:r>
              <w:t>To be determined in the annual and quarterly reviews</w:t>
            </w:r>
          </w:p>
        </w:tc>
      </w:tr>
      <w:tr w:rsidR="000A7272" w14:paraId="540EA4CF" w14:textId="77777777" w:rsidTr="005D11E7">
        <w:tc>
          <w:tcPr>
            <w:tcW w:w="1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D9E99" w14:textId="0B8C534F" w:rsidR="000A7272" w:rsidRDefault="000A7272" w:rsidP="000A7272">
            <w:pPr>
              <w:widowControl w:val="0"/>
            </w:pPr>
            <w:r>
              <w:t>Delivery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A3598" w14:textId="10A1D0CD" w:rsidR="000A7272" w:rsidRDefault="000A7272" w:rsidP="000A7272">
            <w:pPr>
              <w:widowControl w:val="0"/>
            </w:pPr>
            <w:r>
              <w:t>7</w:t>
            </w:r>
          </w:p>
        </w:tc>
        <w:tc>
          <w:tcPr>
            <w:tcW w:w="4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6ABCF" w14:textId="29C97CA6" w:rsidR="000A7272" w:rsidRDefault="000A7272" w:rsidP="008F48C2">
            <w:pPr>
              <w:pStyle w:val="Heading3"/>
              <w:ind w:left="42" w:hanging="3"/>
              <w:jc w:val="left"/>
            </w:pPr>
            <w:r>
              <w:t>Potential Additional Services – Bespoke project milestones for Potential Additional Services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775A08C0" w14:textId="31BFC7DE" w:rsidR="000A7272" w:rsidRDefault="000A7272" w:rsidP="000A7272">
            <w:pPr>
              <w:pStyle w:val="Heading3"/>
              <w:ind w:left="1" w:firstLine="54"/>
              <w:jc w:val="left"/>
            </w:pPr>
            <w:r>
              <w:t>To be determined by Potential Additional Services</w:t>
            </w:r>
          </w:p>
        </w:tc>
      </w:tr>
    </w:tbl>
    <w:p w14:paraId="4DEAC524" w14:textId="77777777" w:rsidR="00F57706" w:rsidRPr="00D750AB" w:rsidRDefault="00F57706" w:rsidP="00111B5E"/>
    <w:p w14:paraId="002C4A4B" w14:textId="77777777" w:rsidR="004717AC" w:rsidRDefault="009E6EA8" w:rsidP="00111B5E">
      <w:pPr>
        <w:pStyle w:val="Heading1"/>
        <w:numPr>
          <w:ilvl w:val="0"/>
          <w:numId w:val="1"/>
        </w:numPr>
        <w:spacing w:after="120"/>
      </w:pPr>
      <w:r>
        <w:t>KEY PERFORMANCE INDICATORS</w:t>
      </w:r>
    </w:p>
    <w:p w14:paraId="6411B124" w14:textId="409E7891" w:rsidR="00D029CC" w:rsidRDefault="009E6EA8" w:rsidP="001D0E3A">
      <w:pPr>
        <w:pStyle w:val="Heading3"/>
        <w:ind w:left="1004" w:firstLine="0"/>
      </w:pPr>
      <w:r>
        <w:t>Supplier</w:t>
      </w:r>
      <w:r w:rsidR="000F736C">
        <w:t xml:space="preserve"> performance</w:t>
      </w:r>
      <w:r>
        <w:t xml:space="preserve"> will be measured on the following KPI’s during the </w:t>
      </w:r>
      <w:r w:rsidR="00A235BF">
        <w:t>Agreement</w:t>
      </w:r>
      <w:r w:rsidR="0064324F">
        <w:t xml:space="preserve">. </w:t>
      </w:r>
      <w:r w:rsidR="000A7272">
        <w:t>A</w:t>
      </w:r>
      <w:r w:rsidR="0064324F" w:rsidRPr="0064324F">
        <w:t>ll KPIs will be reviewed during quarterl</w:t>
      </w:r>
      <w:r w:rsidR="004420C4">
        <w:t>y and annual performance reviews</w:t>
      </w:r>
      <w:r w:rsidR="0064324F">
        <w:t>:</w:t>
      </w:r>
    </w:p>
    <w:p w14:paraId="15C59F54" w14:textId="77777777" w:rsidR="00D029CC" w:rsidRPr="00D029CC" w:rsidRDefault="00D029CC" w:rsidP="00612CED"/>
    <w:p w14:paraId="55C39F13" w14:textId="3755DEC7" w:rsidR="004321FC" w:rsidRDefault="009E6EA8" w:rsidP="00266B2B">
      <w:pPr>
        <w:pStyle w:val="Heading4"/>
        <w:numPr>
          <w:ilvl w:val="1"/>
          <w:numId w:val="1"/>
        </w:numPr>
      </w:pPr>
      <w:r>
        <w:t>MEDIA IMPRESSIONS</w:t>
      </w:r>
      <w:r w:rsidR="007871BC">
        <w:t>:</w:t>
      </w:r>
      <w:r w:rsidR="004321FC">
        <w:t xml:space="preserve"> </w:t>
      </w:r>
    </w:p>
    <w:p w14:paraId="128D7E89" w14:textId="0E440A74" w:rsidR="004321FC" w:rsidRDefault="004321FC" w:rsidP="00266B2B">
      <w:pPr>
        <w:pStyle w:val="Heading4"/>
        <w:numPr>
          <w:ilvl w:val="2"/>
          <w:numId w:val="1"/>
        </w:numPr>
      </w:pPr>
      <w:r>
        <w:t>T</w:t>
      </w:r>
      <w:r w:rsidR="009E6EA8">
        <w:t xml:space="preserve">he number of mentions of the Authority in national, regional and specialist media – an increase of 20% over the first year </w:t>
      </w:r>
      <w:r w:rsidR="00411F91">
        <w:t xml:space="preserve">from the figure provided by the Authority at the commencement of the Agreement. </w:t>
      </w:r>
    </w:p>
    <w:p w14:paraId="220C8C43" w14:textId="006E17F4" w:rsidR="004717AC" w:rsidRDefault="004321FC" w:rsidP="00266B2B">
      <w:pPr>
        <w:pStyle w:val="Heading4"/>
        <w:numPr>
          <w:ilvl w:val="2"/>
          <w:numId w:val="1"/>
        </w:numPr>
      </w:pPr>
      <w:r>
        <w:lastRenderedPageBreak/>
        <w:t xml:space="preserve">The potential </w:t>
      </w:r>
      <w:r w:rsidR="009E6EA8">
        <w:t>number of negative articles about the Authority or its assets kept out of the media by the Supplier – a simple running number is sufficient</w:t>
      </w:r>
      <w:r w:rsidR="0066267C">
        <w:t>.</w:t>
      </w:r>
      <w:r w:rsidR="009E6EA8">
        <w:t xml:space="preserve"> </w:t>
      </w:r>
    </w:p>
    <w:p w14:paraId="566DB829" w14:textId="74503D86" w:rsidR="004717AC" w:rsidRDefault="009E6EA8" w:rsidP="00266B2B">
      <w:pPr>
        <w:pStyle w:val="Heading4"/>
        <w:numPr>
          <w:ilvl w:val="1"/>
          <w:numId w:val="1"/>
        </w:numPr>
      </w:pPr>
      <w:r>
        <w:t>SENTIMENT SCORE</w:t>
      </w:r>
      <w:r w:rsidR="007871BC">
        <w:t>:</w:t>
      </w:r>
      <w:r>
        <w:t xml:space="preserve"> 60% of all articles which </w:t>
      </w:r>
      <w:r w:rsidR="00950E2E">
        <w:t>focus on</w:t>
      </w:r>
      <w:r>
        <w:t xml:space="preserve"> the Authority should be positive</w:t>
      </w:r>
      <w:r w:rsidR="00081646">
        <w:t xml:space="preserve"> or neutral</w:t>
      </w:r>
      <w:r>
        <w:t xml:space="preserve">. </w:t>
      </w:r>
    </w:p>
    <w:p w14:paraId="4A3EE438" w14:textId="45553797" w:rsidR="004717AC" w:rsidRDefault="009E6EA8" w:rsidP="00266B2B">
      <w:pPr>
        <w:pStyle w:val="Heading4"/>
        <w:numPr>
          <w:ilvl w:val="1"/>
          <w:numId w:val="1"/>
        </w:numPr>
      </w:pPr>
      <w:r>
        <w:t>WEBSITE TRAFFIC</w:t>
      </w:r>
      <w:r w:rsidR="007871BC">
        <w:t>:</w:t>
      </w:r>
      <w:r>
        <w:t xml:space="preserve"> the number of visits to new Authority website – page impressions and dwell time (this should be linked to on-going proactive work the Supplier will develop and deliver to support the Authority’s operating model).</w:t>
      </w:r>
    </w:p>
    <w:p w14:paraId="365F3B7A" w14:textId="714263B6" w:rsidR="001B63D3" w:rsidRPr="00C15693" w:rsidRDefault="009E6EA8" w:rsidP="00266B2B">
      <w:pPr>
        <w:pStyle w:val="Heading4"/>
        <w:numPr>
          <w:ilvl w:val="1"/>
          <w:numId w:val="1"/>
        </w:numPr>
      </w:pPr>
      <w:r w:rsidRPr="005D11E7">
        <w:t>AWARENESS</w:t>
      </w:r>
      <w:r w:rsidR="007871BC">
        <w:t>:</w:t>
      </w:r>
      <w:r w:rsidRPr="005D11E7">
        <w:t xml:space="preserve"> an increase in the recognition of the Authority among key audiences</w:t>
      </w:r>
      <w:r w:rsidR="002A645A" w:rsidRPr="005D11E7">
        <w:t xml:space="preserve"> at paragraph </w:t>
      </w:r>
      <w:r w:rsidR="005B5967">
        <w:t>2.4</w:t>
      </w:r>
      <w:r w:rsidR="0064324F">
        <w:t xml:space="preserve"> as</w:t>
      </w:r>
      <w:r w:rsidR="0064324F" w:rsidRPr="0064324F">
        <w:rPr>
          <w:rFonts w:eastAsia="Times New Roman"/>
          <w:color w:val="222222"/>
          <w:sz w:val="19"/>
          <w:szCs w:val="19"/>
        </w:rPr>
        <w:t xml:space="preserve"> </w:t>
      </w:r>
      <w:r w:rsidR="0064324F" w:rsidRPr="0064324F">
        <w:t>evidenced by the Supplier via methods to be agreed with the Authority during the Immersion and/or Preparation phase.</w:t>
      </w:r>
      <w:r w:rsidR="0064324F" w:rsidRPr="00831745">
        <w:rPr>
          <w:rFonts w:eastAsia="Times New Roman"/>
          <w:color w:val="222222"/>
          <w:sz w:val="19"/>
          <w:szCs w:val="19"/>
        </w:rPr>
        <w:t> </w:t>
      </w:r>
    </w:p>
    <w:p w14:paraId="717A66CD" w14:textId="1AF81E60" w:rsidR="004717AC" w:rsidRDefault="001B63D3" w:rsidP="00266B2B">
      <w:pPr>
        <w:pStyle w:val="Heading4"/>
        <w:numPr>
          <w:ilvl w:val="1"/>
          <w:numId w:val="1"/>
        </w:numPr>
      </w:pPr>
      <w:r>
        <w:t>MI</w:t>
      </w:r>
      <w:r w:rsidR="007871BC">
        <w:t>:</w:t>
      </w:r>
      <w:r>
        <w:t xml:space="preserve"> to include the above and any data a</w:t>
      </w:r>
      <w:bookmarkStart w:id="9" w:name="_GoBack"/>
      <w:bookmarkEnd w:id="9"/>
      <w:r>
        <w:t xml:space="preserve">greed during </w:t>
      </w:r>
      <w:r w:rsidR="00646F69">
        <w:t xml:space="preserve">the life of this Agreement and/or as part of any </w:t>
      </w:r>
      <w:r w:rsidR="00CB56C3">
        <w:t>Potential</w:t>
      </w:r>
      <w:r w:rsidR="00646F69">
        <w:t xml:space="preserve"> </w:t>
      </w:r>
      <w:r w:rsidR="00FE6FE3">
        <w:t xml:space="preserve">Additional </w:t>
      </w:r>
      <w:r w:rsidR="00646F69">
        <w:t xml:space="preserve">Services. </w:t>
      </w:r>
    </w:p>
    <w:p w14:paraId="299039FB" w14:textId="77777777" w:rsidR="004717AC" w:rsidRDefault="004717AC">
      <w:pPr>
        <w:tabs>
          <w:tab w:val="left" w:pos="709"/>
        </w:tabs>
        <w:ind w:left="709" w:hanging="709"/>
      </w:pPr>
      <w:bookmarkStart w:id="10" w:name="_2s8eyo1" w:colFirst="0" w:colLast="0"/>
      <w:bookmarkStart w:id="11" w:name="_17dp8vu" w:colFirst="0" w:colLast="0"/>
      <w:bookmarkStart w:id="12" w:name="_3rdcrjn" w:colFirst="0" w:colLast="0"/>
      <w:bookmarkStart w:id="13" w:name="_26in1rg" w:colFirst="0" w:colLast="0"/>
      <w:bookmarkStart w:id="14" w:name="_lnxbz9" w:colFirst="0" w:colLast="0"/>
      <w:bookmarkStart w:id="15" w:name="_35nkun2" w:colFirst="0" w:colLast="0"/>
      <w:bookmarkStart w:id="16" w:name="_1ksv4uv" w:colFirst="0" w:colLast="0"/>
      <w:bookmarkStart w:id="17" w:name="_44sinio" w:colFirst="0" w:colLast="0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28CF261A" w14:textId="05723E19" w:rsidR="004717AC" w:rsidRPr="00F4246B" w:rsidRDefault="005B5967" w:rsidP="00C15693">
      <w:pPr>
        <w:pStyle w:val="Heading1"/>
        <w:numPr>
          <w:ilvl w:val="0"/>
          <w:numId w:val="1"/>
        </w:numPr>
        <w:spacing w:after="120"/>
        <w:ind w:left="709" w:hanging="709"/>
        <w:rPr>
          <w:rFonts w:ascii="Arial Bold" w:hAnsi="Arial Bold"/>
          <w:caps/>
          <w:smallCaps w:val="0"/>
        </w:rPr>
      </w:pPr>
      <w:bookmarkStart w:id="18" w:name="_2jxsxqh" w:colFirst="0" w:colLast="0"/>
      <w:bookmarkStart w:id="19" w:name="_z337ya" w:colFirst="0" w:colLast="0"/>
      <w:bookmarkStart w:id="20" w:name="_3j2qqm3" w:colFirst="0" w:colLast="0"/>
      <w:bookmarkEnd w:id="18"/>
      <w:bookmarkEnd w:id="19"/>
      <w:bookmarkEnd w:id="20"/>
      <w:r w:rsidRPr="00F4246B">
        <w:rPr>
          <w:rFonts w:ascii="Arial Bold" w:hAnsi="Arial Bold"/>
          <w:caps/>
          <w:smallCaps w:val="0"/>
        </w:rPr>
        <w:t xml:space="preserve">Business as usual </w:t>
      </w:r>
      <w:r w:rsidR="009E6EA8" w:rsidRPr="00F4246B">
        <w:rPr>
          <w:rFonts w:ascii="Arial Bold" w:hAnsi="Arial Bold"/>
          <w:caps/>
          <w:smallCaps w:val="0"/>
        </w:rPr>
        <w:t>service levels and performance</w:t>
      </w:r>
    </w:p>
    <w:tbl>
      <w:tblPr>
        <w:tblStyle w:val="1"/>
        <w:tblW w:w="8363" w:type="dxa"/>
        <w:tblInd w:w="805" w:type="dxa"/>
        <w:tblLayout w:type="fixed"/>
        <w:tblLook w:val="0400" w:firstRow="0" w:lastRow="0" w:firstColumn="0" w:lastColumn="0" w:noHBand="0" w:noVBand="1"/>
      </w:tblPr>
      <w:tblGrid>
        <w:gridCol w:w="2745"/>
        <w:gridCol w:w="3860"/>
        <w:gridCol w:w="1758"/>
      </w:tblGrid>
      <w:tr w:rsidR="004717AC" w14:paraId="2B2D3A9E" w14:textId="77777777">
        <w:tc>
          <w:tcPr>
            <w:tcW w:w="2745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5F497A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2DF57755" w14:textId="77777777" w:rsidR="004717AC" w:rsidRDefault="009E6EA8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Service</w:t>
            </w:r>
          </w:p>
        </w:tc>
        <w:tc>
          <w:tcPr>
            <w:tcW w:w="386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5F497A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3CEFC116" w14:textId="3BB21A06" w:rsidR="004717AC" w:rsidRDefault="009E6EA8" w:rsidP="002377BB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</w:t>
            </w:r>
            <w:r w:rsidR="002377BB">
              <w:rPr>
                <w:b/>
                <w:color w:val="FFFFFF"/>
              </w:rPr>
              <w:t xml:space="preserve">ervice </w:t>
            </w:r>
            <w:r>
              <w:rPr>
                <w:b/>
                <w:color w:val="FFFFFF"/>
              </w:rPr>
              <w:t>L</w:t>
            </w:r>
            <w:r w:rsidR="002377BB">
              <w:rPr>
                <w:b/>
                <w:color w:val="FFFFFF"/>
              </w:rPr>
              <w:t>evel</w:t>
            </w:r>
            <w:r>
              <w:rPr>
                <w:b/>
                <w:color w:val="FFFFFF"/>
              </w:rPr>
              <w:t xml:space="preserve"> Description</w:t>
            </w:r>
          </w:p>
        </w:tc>
        <w:tc>
          <w:tcPr>
            <w:tcW w:w="1758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5F497A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54CF2E3A" w14:textId="77777777" w:rsidR="004717AC" w:rsidRDefault="009E6EA8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Target</w:t>
            </w:r>
          </w:p>
        </w:tc>
      </w:tr>
      <w:tr w:rsidR="008A36B1" w14:paraId="53B13D06" w14:textId="77777777">
        <w:tc>
          <w:tcPr>
            <w:tcW w:w="2745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70654F34" w14:textId="50039747" w:rsidR="008A36B1" w:rsidRDefault="008A36B1">
            <w:r w:rsidRPr="008A36B1">
              <w:t>Quality of work and content</w:t>
            </w:r>
          </w:p>
        </w:tc>
        <w:tc>
          <w:tcPr>
            <w:tcW w:w="386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799C631E" w14:textId="5B7CE925" w:rsidR="008A36B1" w:rsidRDefault="00954F65" w:rsidP="002E403A">
            <w:r>
              <w:t>All</w:t>
            </w:r>
            <w:r w:rsidR="008A36B1" w:rsidRPr="008A36B1">
              <w:t xml:space="preserve"> communications products (including, but not limited to, RNS’s, press notices, briefing materials) must</w:t>
            </w:r>
            <w:r>
              <w:t xml:space="preserve"> be</w:t>
            </w:r>
            <w:r w:rsidR="008A36B1" w:rsidRPr="008A36B1">
              <w:t xml:space="preserve"> </w:t>
            </w:r>
            <w:r>
              <w:t>technically accurate</w:t>
            </w:r>
            <w:r w:rsidR="008A36B1" w:rsidRPr="008A36B1">
              <w:t xml:space="preserve"> and meet the</w:t>
            </w:r>
            <w:r w:rsidR="0066267C">
              <w:t xml:space="preserve"> communications needs </w:t>
            </w:r>
            <w:r>
              <w:t>of the Authority.</w:t>
            </w:r>
            <w:r w:rsidRPr="008A36B1">
              <w:t xml:space="preserve"> Technical accuracy</w:t>
            </w:r>
            <w:r w:rsidR="0066267C">
              <w:t>, consistency with the broader communications strategy and</w:t>
            </w:r>
            <w:r w:rsidRPr="008A36B1">
              <w:t xml:space="preserve"> </w:t>
            </w:r>
            <w:r w:rsidR="0066267C">
              <w:t>programme, and polished presentation (</w:t>
            </w:r>
            <w:r w:rsidRPr="008A36B1">
              <w:t>including accurate Grammar and spelling</w:t>
            </w:r>
            <w:r w:rsidR="0066267C">
              <w:t>)</w:t>
            </w:r>
            <w:r w:rsidRPr="008A36B1">
              <w:t xml:space="preserve"> </w:t>
            </w:r>
            <w:r w:rsidR="0066267C">
              <w:t xml:space="preserve">are </w:t>
            </w:r>
            <w:r w:rsidRPr="008A36B1">
              <w:t>required</w:t>
            </w:r>
            <w:r w:rsidR="0066267C">
              <w:t>.</w:t>
            </w:r>
            <w:r w:rsidRPr="008A36B1">
              <w:t xml:space="preserve"> </w:t>
            </w:r>
          </w:p>
        </w:tc>
        <w:tc>
          <w:tcPr>
            <w:tcW w:w="1758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7F935F05" w14:textId="44E74683" w:rsidR="008A36B1" w:rsidRDefault="00954F65">
            <w:r>
              <w:t>100%</w:t>
            </w:r>
          </w:p>
        </w:tc>
      </w:tr>
      <w:tr w:rsidR="003962EF" w14:paraId="5B8E49F4" w14:textId="77777777">
        <w:tc>
          <w:tcPr>
            <w:tcW w:w="2745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0D41B7FA" w14:textId="65069710" w:rsidR="003962EF" w:rsidRDefault="003962EF">
            <w:r>
              <w:t xml:space="preserve">Coverage reports </w:t>
            </w:r>
          </w:p>
        </w:tc>
        <w:tc>
          <w:tcPr>
            <w:tcW w:w="386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2D3BAD3D" w14:textId="3D570213" w:rsidR="003962EF" w:rsidRDefault="005B5967" w:rsidP="005B5967">
            <w:r>
              <w:t xml:space="preserve">Three </w:t>
            </w:r>
            <w:r w:rsidR="003962EF" w:rsidRPr="003962EF">
              <w:t>intra-day coverage reports on days of announcements</w:t>
            </w:r>
          </w:p>
        </w:tc>
        <w:tc>
          <w:tcPr>
            <w:tcW w:w="1758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6571D892" w14:textId="133D59D9" w:rsidR="003962EF" w:rsidRDefault="0090656C" w:rsidP="00720741">
            <w:r>
              <w:t xml:space="preserve"> 98%</w:t>
            </w:r>
          </w:p>
        </w:tc>
      </w:tr>
      <w:tr w:rsidR="004717AC" w14:paraId="523D6C77" w14:textId="77777777">
        <w:tc>
          <w:tcPr>
            <w:tcW w:w="2745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012E872F" w14:textId="3A9D2728" w:rsidR="004717AC" w:rsidRDefault="009E6EA8" w:rsidP="007871BC">
            <w:r>
              <w:t>On call</w:t>
            </w:r>
            <w:r w:rsidR="007871BC">
              <w:t>:</w:t>
            </w:r>
            <w:r>
              <w:t xml:space="preserve"> 24 hours Service </w:t>
            </w:r>
          </w:p>
        </w:tc>
        <w:tc>
          <w:tcPr>
            <w:tcW w:w="386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7104C9FF" w14:textId="13B4CED1" w:rsidR="004717AC" w:rsidRDefault="009E6EA8">
            <w:r>
              <w:t>The Supplier shall respond</w:t>
            </w:r>
            <w:r w:rsidR="005B5967">
              <w:t>, within 2 hours,</w:t>
            </w:r>
            <w:r>
              <w:t xml:space="preserve"> to all requests for reputation management support</w:t>
            </w:r>
            <w:r w:rsidR="005B5967">
              <w:t xml:space="preserve"> by the Authority</w:t>
            </w:r>
            <w:r>
              <w:t xml:space="preserve">, 24 hours a day, </w:t>
            </w:r>
            <w:proofErr w:type="gramStart"/>
            <w:r>
              <w:t>365</w:t>
            </w:r>
            <w:proofErr w:type="gramEnd"/>
            <w:r>
              <w:t xml:space="preserve"> days a year.</w:t>
            </w:r>
          </w:p>
        </w:tc>
        <w:tc>
          <w:tcPr>
            <w:tcW w:w="1758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5FC6371E" w14:textId="042A9DD9" w:rsidR="004717AC" w:rsidRDefault="00612CED">
            <w:r>
              <w:t>98%</w:t>
            </w:r>
          </w:p>
        </w:tc>
      </w:tr>
      <w:tr w:rsidR="004717AC" w14:paraId="0A8C56C6" w14:textId="77777777">
        <w:tc>
          <w:tcPr>
            <w:tcW w:w="2745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1976E0A8" w14:textId="77777777" w:rsidR="004717AC" w:rsidRDefault="009E6EA8">
            <w:r>
              <w:t>Provision of media/PR training to all identified key figures</w:t>
            </w:r>
          </w:p>
        </w:tc>
        <w:tc>
          <w:tcPr>
            <w:tcW w:w="386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00955531" w14:textId="5DD5A14C" w:rsidR="004717AC" w:rsidRDefault="009E6EA8">
            <w:r>
              <w:t>The Supplier is to provide media/PR training session to prepare each identified Authority individual with skills and confidence to fulfil this requirement</w:t>
            </w:r>
            <w:r w:rsidR="0066267C">
              <w:t>, and when a requested, a plan for the individual’s further development</w:t>
            </w:r>
            <w:r>
              <w:t>.</w:t>
            </w:r>
          </w:p>
        </w:tc>
        <w:tc>
          <w:tcPr>
            <w:tcW w:w="1758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7BF1E933" w14:textId="22B88801" w:rsidR="004717AC" w:rsidRDefault="005B5967">
            <w:r>
              <w:t>100%</w:t>
            </w:r>
          </w:p>
        </w:tc>
      </w:tr>
      <w:tr w:rsidR="004717AC" w14:paraId="4BEDAF00" w14:textId="77777777">
        <w:tc>
          <w:tcPr>
            <w:tcW w:w="2745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44E991B7" w14:textId="77777777" w:rsidR="004717AC" w:rsidRDefault="009E6EA8">
            <w:r>
              <w:lastRenderedPageBreak/>
              <w:t>Regular attendance at ‘keep in touch’ meetings (face to face or via telephone)</w:t>
            </w:r>
          </w:p>
        </w:tc>
        <w:tc>
          <w:tcPr>
            <w:tcW w:w="386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4F8804A1" w14:textId="7C5A1ED4" w:rsidR="004717AC" w:rsidRDefault="009E6EA8" w:rsidP="003C75D4">
            <w:r>
              <w:t xml:space="preserve">The Supplier will meet with the Authority </w:t>
            </w:r>
            <w:r w:rsidR="003C75D4">
              <w:t xml:space="preserve">within the first week of the Agreement and agree </w:t>
            </w:r>
            <w:r>
              <w:t>how the relationship between both parties will work</w:t>
            </w:r>
            <w:r w:rsidR="005B5967">
              <w:t xml:space="preserve">. </w:t>
            </w:r>
            <w:r w:rsidR="00615DE9">
              <w:t>Regular m</w:t>
            </w:r>
            <w:r w:rsidR="005B5967">
              <w:t>eetings to be held</w:t>
            </w:r>
            <w:r w:rsidR="00615DE9">
              <w:t xml:space="preserve"> monthly</w:t>
            </w:r>
            <w:r>
              <w:t xml:space="preserve">, </w:t>
            </w:r>
            <w:r w:rsidR="00615DE9">
              <w:t xml:space="preserve">with daily meetings if required. </w:t>
            </w:r>
          </w:p>
        </w:tc>
        <w:tc>
          <w:tcPr>
            <w:tcW w:w="1758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30266497" w14:textId="743D0FE6" w:rsidR="004717AC" w:rsidRDefault="00615DE9">
            <w:r>
              <w:t>98%</w:t>
            </w:r>
          </w:p>
        </w:tc>
      </w:tr>
      <w:tr w:rsidR="004717AC" w14:paraId="37258EC0" w14:textId="77777777">
        <w:tc>
          <w:tcPr>
            <w:tcW w:w="2745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785F6B0A" w14:textId="62A62758" w:rsidR="004717AC" w:rsidRDefault="009E6EA8">
            <w:r>
              <w:t xml:space="preserve">Media intelligence </w:t>
            </w:r>
            <w:r w:rsidR="002058D8">
              <w:t>Digest</w:t>
            </w:r>
          </w:p>
        </w:tc>
        <w:tc>
          <w:tcPr>
            <w:tcW w:w="386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7F9A48E1" w14:textId="73DAE7A9" w:rsidR="004717AC" w:rsidRDefault="009E6EA8" w:rsidP="005B5967">
            <w:r>
              <w:t xml:space="preserve">Daily email </w:t>
            </w:r>
            <w:r w:rsidR="002058D8">
              <w:t xml:space="preserve">intelligence digest to all current staff </w:t>
            </w:r>
            <w:r w:rsidR="005B5967">
              <w:t xml:space="preserve">by 9.30am </w:t>
            </w:r>
            <w:r>
              <w:t xml:space="preserve">each </w:t>
            </w:r>
            <w:r w:rsidR="005B5967">
              <w:t xml:space="preserve">working </w:t>
            </w:r>
            <w:r>
              <w:t xml:space="preserve">day. This should cover media intelligence with a summary covering all assets </w:t>
            </w:r>
            <w:r w:rsidR="002058D8">
              <w:t>which the</w:t>
            </w:r>
            <w:r>
              <w:t xml:space="preserve"> Authority</w:t>
            </w:r>
            <w:r w:rsidR="002058D8">
              <w:t xml:space="preserve"> manages.</w:t>
            </w:r>
          </w:p>
        </w:tc>
        <w:tc>
          <w:tcPr>
            <w:tcW w:w="1758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5CEACF74" w14:textId="5B07969F" w:rsidR="004717AC" w:rsidRDefault="005B5967">
            <w:r>
              <w:t>98%</w:t>
            </w:r>
          </w:p>
        </w:tc>
      </w:tr>
      <w:tr w:rsidR="004717AC" w14:paraId="6FB82477" w14:textId="77777777">
        <w:tc>
          <w:tcPr>
            <w:tcW w:w="2745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36E22E06" w14:textId="77777777" w:rsidR="004717AC" w:rsidRDefault="009E6EA8">
            <w:r>
              <w:t xml:space="preserve">Evaluation </w:t>
            </w:r>
          </w:p>
        </w:tc>
        <w:tc>
          <w:tcPr>
            <w:tcW w:w="386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1E0C6097" w14:textId="51E99300" w:rsidR="004717AC" w:rsidRDefault="009E6EA8">
            <w:r>
              <w:t xml:space="preserve">The Supplier shall evaluate the work carried out for Authority at least twice a year. This evaluation shall be carried out in line with the Government Communication Service guidelines – </w:t>
            </w:r>
          </w:p>
          <w:p w14:paraId="5BE25479" w14:textId="77777777" w:rsidR="004717AC" w:rsidRDefault="004717AC"/>
          <w:p w14:paraId="14CF9B13" w14:textId="77777777" w:rsidR="004717AC" w:rsidRDefault="00AB41A0">
            <w:hyperlink r:id="rId11">
              <w:r w:rsidR="009E6EA8">
                <w:rPr>
                  <w:color w:val="0000FF"/>
                  <w:u w:val="single"/>
                </w:rPr>
                <w:t>https://gcs.civilservice.gov.uk/wp-content/uploads/2016/01/GCS-Evaluation-Framework.pdf</w:t>
              </w:r>
            </w:hyperlink>
          </w:p>
          <w:p w14:paraId="7B7CD7B4" w14:textId="77777777" w:rsidR="004717AC" w:rsidRDefault="009E6EA8">
            <w:r>
              <w:t xml:space="preserve"> </w:t>
            </w:r>
          </w:p>
        </w:tc>
        <w:tc>
          <w:tcPr>
            <w:tcW w:w="1758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7F6C103E" w14:textId="06D181CE" w:rsidR="004717AC" w:rsidRDefault="005B5967">
            <w:r>
              <w:t>100%</w:t>
            </w:r>
            <w:r w:rsidR="009E6EA8">
              <w:t xml:space="preserve"> </w:t>
            </w:r>
          </w:p>
        </w:tc>
      </w:tr>
      <w:tr w:rsidR="004717AC" w14:paraId="14B772C4" w14:textId="77777777">
        <w:tc>
          <w:tcPr>
            <w:tcW w:w="2745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065BD282" w14:textId="1C6BFA7E" w:rsidR="004717AC" w:rsidRDefault="00720741">
            <w:r>
              <w:t xml:space="preserve">Media engagement programme </w:t>
            </w:r>
          </w:p>
          <w:p w14:paraId="0BA780A6" w14:textId="77777777" w:rsidR="004717AC" w:rsidRDefault="004717AC"/>
          <w:p w14:paraId="33FF155B" w14:textId="77777777" w:rsidR="004717AC" w:rsidRDefault="004717AC"/>
        </w:tc>
        <w:tc>
          <w:tcPr>
            <w:tcW w:w="386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6C75EAB7" w14:textId="77777777" w:rsidR="004717AC" w:rsidRDefault="009E6EA8">
            <w:r>
              <w:t>The Supplier shall design and deliver a programme of external communications to inform key audiences of the role and objectives of the Authority</w:t>
            </w:r>
            <w:r w:rsidR="00612CED">
              <w:t>.</w:t>
            </w:r>
          </w:p>
          <w:p w14:paraId="5BE30E9C" w14:textId="1A086864" w:rsidR="00612CED" w:rsidRDefault="00612CED">
            <w:r>
              <w:t>This is a rolling requirement which should continue over the lifetime of the Agreement.</w:t>
            </w:r>
          </w:p>
        </w:tc>
        <w:tc>
          <w:tcPr>
            <w:tcW w:w="1758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30B46C9C" w14:textId="71D588DC" w:rsidR="004717AC" w:rsidRDefault="00612CED" w:rsidP="00A30905">
            <w:r>
              <w:t xml:space="preserve">100% </w:t>
            </w:r>
          </w:p>
        </w:tc>
      </w:tr>
      <w:tr w:rsidR="00422096" w14:paraId="7F89BEAC" w14:textId="77777777">
        <w:tc>
          <w:tcPr>
            <w:tcW w:w="2745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42240F5B" w14:textId="7BE7F124" w:rsidR="00422096" w:rsidRDefault="00422096">
            <w:r>
              <w:t xml:space="preserve">Reporting Requirements </w:t>
            </w:r>
          </w:p>
        </w:tc>
        <w:tc>
          <w:tcPr>
            <w:tcW w:w="386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7C6DF12B" w14:textId="30530CEB" w:rsidR="00422096" w:rsidRDefault="0026522E" w:rsidP="0026522E">
            <w:r>
              <w:t>A</w:t>
            </w:r>
            <w:r w:rsidR="00422096" w:rsidRPr="00422096">
              <w:t>d hoc reports and data from</w:t>
            </w:r>
            <w:r>
              <w:t xml:space="preserve"> the Supplier as requested by the Authority.</w:t>
            </w:r>
            <w:r w:rsidR="00422096" w:rsidRPr="00422096">
              <w:t xml:space="preserve"> </w:t>
            </w:r>
          </w:p>
        </w:tc>
        <w:tc>
          <w:tcPr>
            <w:tcW w:w="1758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20C9FA08" w14:textId="389E0D70" w:rsidR="00422096" w:rsidRDefault="00422096">
            <w:r>
              <w:t xml:space="preserve">Requests completed within 48 hours. </w:t>
            </w:r>
          </w:p>
        </w:tc>
      </w:tr>
    </w:tbl>
    <w:p w14:paraId="3A814436" w14:textId="474523C3" w:rsidR="001A59F9" w:rsidRDefault="001A59F9" w:rsidP="005D11E7">
      <w:pPr>
        <w:pStyle w:val="Heading1"/>
        <w:spacing w:after="120"/>
        <w:ind w:left="709" w:firstLine="0"/>
      </w:pPr>
      <w:bookmarkStart w:id="21" w:name="_1y810tw" w:colFirst="0" w:colLast="0"/>
      <w:bookmarkStart w:id="22" w:name="_4i7ojhp" w:colFirst="0" w:colLast="0"/>
      <w:bookmarkStart w:id="23" w:name="_2xcytpi" w:colFirst="0" w:colLast="0"/>
      <w:bookmarkStart w:id="24" w:name="_1ci93xb" w:colFirst="0" w:colLast="0"/>
      <w:bookmarkEnd w:id="21"/>
      <w:bookmarkEnd w:id="22"/>
      <w:bookmarkEnd w:id="23"/>
      <w:bookmarkEnd w:id="24"/>
    </w:p>
    <w:p w14:paraId="1E99E49B" w14:textId="35A9DBCD" w:rsidR="005B5967" w:rsidRPr="004247A8" w:rsidRDefault="005B5967" w:rsidP="005B5967">
      <w:pPr>
        <w:pStyle w:val="Heading1"/>
        <w:numPr>
          <w:ilvl w:val="0"/>
          <w:numId w:val="1"/>
        </w:numPr>
        <w:spacing w:after="120"/>
        <w:ind w:left="709" w:hanging="709"/>
        <w:rPr>
          <w:rFonts w:ascii="Arial Bold" w:hAnsi="Arial Bold"/>
          <w:caps/>
          <w:smallCaps w:val="0"/>
        </w:rPr>
      </w:pPr>
      <w:r w:rsidRPr="004247A8">
        <w:rPr>
          <w:rFonts w:ascii="Arial Bold" w:hAnsi="Arial Bold"/>
          <w:caps/>
          <w:smallCaps w:val="0"/>
        </w:rPr>
        <w:t>Potential Additional service levels and performance</w:t>
      </w:r>
    </w:p>
    <w:p w14:paraId="597C4D3F" w14:textId="04201225" w:rsidR="00615DE9" w:rsidRPr="00615DE9" w:rsidRDefault="00615DE9" w:rsidP="00F70D48">
      <w:pPr>
        <w:ind w:left="709"/>
      </w:pPr>
      <w:r>
        <w:t xml:space="preserve">Service </w:t>
      </w:r>
      <w:r w:rsidR="00763D97">
        <w:t>l</w:t>
      </w:r>
      <w:r>
        <w:t xml:space="preserve">evels for </w:t>
      </w:r>
      <w:r w:rsidR="009E0819">
        <w:t>P</w:t>
      </w:r>
      <w:r>
        <w:t xml:space="preserve">otential </w:t>
      </w:r>
      <w:r w:rsidR="009E0819">
        <w:t>A</w:t>
      </w:r>
      <w:r>
        <w:t xml:space="preserve">dditional </w:t>
      </w:r>
      <w:r w:rsidR="009E0819">
        <w:t>S</w:t>
      </w:r>
      <w:r>
        <w:t xml:space="preserve">ervices will be agreed with the Supplier at </w:t>
      </w:r>
      <w:r w:rsidR="006A7484">
        <w:t>c</w:t>
      </w:r>
      <w:r>
        <w:t xml:space="preserve">all </w:t>
      </w:r>
      <w:r w:rsidR="006A7484">
        <w:t>o</w:t>
      </w:r>
      <w:r>
        <w:t xml:space="preserve">ff, however they will be based on the Service </w:t>
      </w:r>
      <w:r w:rsidR="00763D97">
        <w:t>l</w:t>
      </w:r>
      <w:r>
        <w:t xml:space="preserve">evels below with supplementary Service </w:t>
      </w:r>
      <w:r w:rsidR="00763D97">
        <w:t>l</w:t>
      </w:r>
      <w:r>
        <w:t xml:space="preserve">evels </w:t>
      </w:r>
      <w:r w:rsidR="007871BC">
        <w:t xml:space="preserve">as </w:t>
      </w:r>
      <w:r w:rsidR="006A7484">
        <w:t>agreed at the point of call off</w:t>
      </w:r>
      <w:r>
        <w:t xml:space="preserve">. </w:t>
      </w:r>
    </w:p>
    <w:p w14:paraId="587A13F8" w14:textId="3388E56C" w:rsidR="005B5967" w:rsidRDefault="001A59F9" w:rsidP="002E403A">
      <w:pPr>
        <w:pBdr>
          <w:bottom w:val="single" w:sz="4" w:space="1" w:color="auto"/>
        </w:pBdr>
      </w:pPr>
      <w:r>
        <w:br w:type="page"/>
      </w:r>
    </w:p>
    <w:p w14:paraId="4DA669DB" w14:textId="77777777" w:rsidR="00831745" w:rsidRDefault="00831745" w:rsidP="002E403A">
      <w:pPr>
        <w:pBdr>
          <w:bottom w:val="single" w:sz="4" w:space="1" w:color="auto"/>
        </w:pBdr>
      </w:pPr>
    </w:p>
    <w:p w14:paraId="6A5CE095" w14:textId="77777777" w:rsidR="00831745" w:rsidRDefault="00831745" w:rsidP="002E403A">
      <w:pPr>
        <w:pBdr>
          <w:bottom w:val="single" w:sz="4" w:space="1" w:color="auto"/>
        </w:pBdr>
      </w:pPr>
    </w:p>
    <w:p w14:paraId="08209371" w14:textId="77777777" w:rsidR="00831745" w:rsidRDefault="00831745" w:rsidP="002E403A">
      <w:pPr>
        <w:pBdr>
          <w:bottom w:val="single" w:sz="4" w:space="1" w:color="auto"/>
        </w:pBdr>
        <w:rPr>
          <w:b/>
          <w:smallCaps/>
        </w:rPr>
      </w:pPr>
    </w:p>
    <w:tbl>
      <w:tblPr>
        <w:tblStyle w:val="1"/>
        <w:tblW w:w="8363" w:type="dxa"/>
        <w:tblInd w:w="805" w:type="dxa"/>
        <w:tblLayout w:type="fixed"/>
        <w:tblLook w:val="0400" w:firstRow="0" w:lastRow="0" w:firstColumn="0" w:lastColumn="0" w:noHBand="0" w:noVBand="1"/>
      </w:tblPr>
      <w:tblGrid>
        <w:gridCol w:w="2745"/>
        <w:gridCol w:w="3860"/>
        <w:gridCol w:w="1758"/>
      </w:tblGrid>
      <w:tr w:rsidR="005B5967" w14:paraId="5AD90CCB" w14:textId="77777777" w:rsidTr="005B5967">
        <w:tc>
          <w:tcPr>
            <w:tcW w:w="2745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5F497A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5E5D096D" w14:textId="77777777" w:rsidR="005B5967" w:rsidRDefault="005B5967" w:rsidP="005B5967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Service</w:t>
            </w:r>
          </w:p>
        </w:tc>
        <w:tc>
          <w:tcPr>
            <w:tcW w:w="386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5F497A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323F8FDD" w14:textId="77777777" w:rsidR="005B5967" w:rsidRDefault="005B5967" w:rsidP="005B5967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SLA Description</w:t>
            </w:r>
          </w:p>
        </w:tc>
        <w:tc>
          <w:tcPr>
            <w:tcW w:w="1758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5F497A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</w:tcPr>
          <w:p w14:paraId="4B7ECF07" w14:textId="77777777" w:rsidR="005B5967" w:rsidRDefault="005B5967" w:rsidP="005B5967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Target</w:t>
            </w:r>
          </w:p>
        </w:tc>
      </w:tr>
      <w:tr w:rsidR="005B5967" w14:paraId="587B1FB7" w14:textId="77777777" w:rsidTr="005B5967">
        <w:tc>
          <w:tcPr>
            <w:tcW w:w="2745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53CCAC00" w14:textId="77777777" w:rsidR="005B5967" w:rsidRDefault="005B5967" w:rsidP="005B5967">
            <w:r w:rsidRPr="008A36B1">
              <w:t>Quality of work and content</w:t>
            </w:r>
          </w:p>
        </w:tc>
        <w:tc>
          <w:tcPr>
            <w:tcW w:w="386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6DEF572F" w14:textId="048840C7" w:rsidR="005B5967" w:rsidRDefault="00270E50" w:rsidP="005B5967">
            <w:r>
              <w:t>All</w:t>
            </w:r>
            <w:r w:rsidRPr="008A36B1">
              <w:t xml:space="preserve"> communications products (including, but not limited to, RNS’s, press notices, briefing materials) must</w:t>
            </w:r>
            <w:r>
              <w:t xml:space="preserve"> be</w:t>
            </w:r>
            <w:r w:rsidRPr="008A36B1">
              <w:t xml:space="preserve"> </w:t>
            </w:r>
            <w:r>
              <w:t>technically accurate</w:t>
            </w:r>
            <w:r w:rsidRPr="008A36B1">
              <w:t xml:space="preserve"> and meet the</w:t>
            </w:r>
            <w:r>
              <w:t xml:space="preserve"> communications needs of the Authority.</w:t>
            </w:r>
            <w:r w:rsidRPr="008A36B1">
              <w:t xml:space="preserve"> Technical accuracy</w:t>
            </w:r>
            <w:r>
              <w:t>, consistency with the broader communications strategy and</w:t>
            </w:r>
            <w:r w:rsidRPr="008A36B1">
              <w:t xml:space="preserve"> </w:t>
            </w:r>
            <w:r>
              <w:t>programme, and polished presentation (</w:t>
            </w:r>
            <w:r w:rsidRPr="008A36B1">
              <w:t>including accurate Grammar and spelling</w:t>
            </w:r>
            <w:r>
              <w:t>)</w:t>
            </w:r>
            <w:r w:rsidRPr="008A36B1">
              <w:t xml:space="preserve"> </w:t>
            </w:r>
            <w:r>
              <w:t xml:space="preserve">are </w:t>
            </w:r>
            <w:r w:rsidRPr="008A36B1">
              <w:t>required</w:t>
            </w:r>
            <w:r>
              <w:t>.</w:t>
            </w:r>
          </w:p>
        </w:tc>
        <w:tc>
          <w:tcPr>
            <w:tcW w:w="1758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11F0A874" w14:textId="77777777" w:rsidR="005B5967" w:rsidRDefault="005B5967" w:rsidP="005B5967">
            <w:r>
              <w:t>100%</w:t>
            </w:r>
          </w:p>
        </w:tc>
      </w:tr>
      <w:tr w:rsidR="005B5967" w14:paraId="72199D05" w14:textId="77777777" w:rsidTr="005B5967">
        <w:tc>
          <w:tcPr>
            <w:tcW w:w="2745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067C8474" w14:textId="77777777" w:rsidR="005B5967" w:rsidRDefault="005B5967" w:rsidP="005B5967">
            <w:r>
              <w:t xml:space="preserve">Coverage reports </w:t>
            </w:r>
          </w:p>
        </w:tc>
        <w:tc>
          <w:tcPr>
            <w:tcW w:w="386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71F208DD" w14:textId="77777777" w:rsidR="005B5967" w:rsidRDefault="005B5967" w:rsidP="005B5967">
            <w:r>
              <w:t xml:space="preserve">Three </w:t>
            </w:r>
            <w:r w:rsidRPr="003962EF">
              <w:t>intra-day coverage reports on days of announcements</w:t>
            </w:r>
          </w:p>
        </w:tc>
        <w:tc>
          <w:tcPr>
            <w:tcW w:w="1758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6D4B055C" w14:textId="77777777" w:rsidR="005B5967" w:rsidRDefault="005B5967" w:rsidP="005B5967">
            <w:r>
              <w:t>100%</w:t>
            </w:r>
          </w:p>
        </w:tc>
      </w:tr>
      <w:tr w:rsidR="005B5967" w14:paraId="7E1F9138" w14:textId="77777777" w:rsidTr="005B5967">
        <w:tc>
          <w:tcPr>
            <w:tcW w:w="2745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5BA9B9BB" w14:textId="5D64D6DA" w:rsidR="005B5967" w:rsidRDefault="005B5967" w:rsidP="005B5967">
            <w:r>
              <w:t>On call</w:t>
            </w:r>
            <w:r w:rsidR="007871BC">
              <w:t>:</w:t>
            </w:r>
            <w:r>
              <w:t xml:space="preserve"> 24 hours Service </w:t>
            </w:r>
          </w:p>
        </w:tc>
        <w:tc>
          <w:tcPr>
            <w:tcW w:w="386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194730F3" w14:textId="77777777" w:rsidR="005B5967" w:rsidRDefault="005B5967" w:rsidP="005B5967">
            <w:r>
              <w:t xml:space="preserve">The Supplier shall respond, within 2 hours, to all requests for reputation management support by the Authority, 24 hours a day, </w:t>
            </w:r>
            <w:proofErr w:type="gramStart"/>
            <w:r>
              <w:t>365</w:t>
            </w:r>
            <w:proofErr w:type="gramEnd"/>
            <w:r>
              <w:t xml:space="preserve"> days a year.</w:t>
            </w:r>
          </w:p>
        </w:tc>
        <w:tc>
          <w:tcPr>
            <w:tcW w:w="1758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5B2D90F9" w14:textId="77777777" w:rsidR="005B5967" w:rsidRDefault="005B5967" w:rsidP="005B5967"/>
        </w:tc>
      </w:tr>
      <w:tr w:rsidR="005B5967" w14:paraId="267D7C5C" w14:textId="77777777" w:rsidTr="005B5967">
        <w:tc>
          <w:tcPr>
            <w:tcW w:w="2745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3433F6BC" w14:textId="77777777" w:rsidR="005B5967" w:rsidRDefault="005B5967" w:rsidP="005B5967">
            <w:r>
              <w:t>Regular attendance at ‘keep in touch’ meetings (face to face or via telephone)</w:t>
            </w:r>
          </w:p>
        </w:tc>
        <w:tc>
          <w:tcPr>
            <w:tcW w:w="386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488D68EE" w14:textId="541B2896" w:rsidR="005B5967" w:rsidRDefault="005B5967" w:rsidP="003C75D4">
            <w:r>
              <w:t xml:space="preserve">The Supplier will meet with the Authority </w:t>
            </w:r>
            <w:r w:rsidR="003C75D4">
              <w:t xml:space="preserve">within the first week of being awarded any Potential Additional Services to agree </w:t>
            </w:r>
            <w:r>
              <w:t>how the relationship between both parties will work, and how</w:t>
            </w:r>
            <w:r w:rsidR="003C75D4">
              <w:t xml:space="preserve"> often</w:t>
            </w:r>
            <w:r>
              <w:t xml:space="preserve"> regular ‘keep in touch’ meetings will happen.</w:t>
            </w:r>
            <w:r w:rsidR="003C75D4">
              <w:t xml:space="preserve"> </w:t>
            </w:r>
          </w:p>
        </w:tc>
        <w:tc>
          <w:tcPr>
            <w:tcW w:w="1758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73FF5C1B" w14:textId="773C7FCC" w:rsidR="005B5967" w:rsidRDefault="003C75D4" w:rsidP="005B5967">
            <w:r>
              <w:t>98%</w:t>
            </w:r>
          </w:p>
        </w:tc>
      </w:tr>
      <w:tr w:rsidR="005B5967" w14:paraId="5D817A31" w14:textId="77777777" w:rsidTr="005B5967">
        <w:tc>
          <w:tcPr>
            <w:tcW w:w="2745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667C43B9" w14:textId="77777777" w:rsidR="005B5967" w:rsidRDefault="005B5967" w:rsidP="005B5967">
            <w:r>
              <w:t xml:space="preserve">Evaluation </w:t>
            </w:r>
          </w:p>
        </w:tc>
        <w:tc>
          <w:tcPr>
            <w:tcW w:w="386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483EFC67" w14:textId="77777777" w:rsidR="005B5967" w:rsidRDefault="005B5967" w:rsidP="005B5967">
            <w:r>
              <w:t xml:space="preserve">The Supplier shall evaluate the work carried out for Authority at least twice a year. This evaluation shall be carried out in line with the Government Communication Service guidelines – </w:t>
            </w:r>
          </w:p>
          <w:p w14:paraId="3365E059" w14:textId="77777777" w:rsidR="005B5967" w:rsidRDefault="005B5967" w:rsidP="005B5967"/>
          <w:p w14:paraId="665C8382" w14:textId="77777777" w:rsidR="005B5967" w:rsidRDefault="00AB41A0" w:rsidP="005B5967">
            <w:hyperlink r:id="rId12">
              <w:r w:rsidR="005B5967">
                <w:rPr>
                  <w:color w:val="0000FF"/>
                  <w:u w:val="single"/>
                </w:rPr>
                <w:t>https://gcs.civilservice.gov.uk/wp-content/uploads/2016/01/GCS-Evaluation-Framework.pdf</w:t>
              </w:r>
            </w:hyperlink>
          </w:p>
          <w:p w14:paraId="062DEF84" w14:textId="77777777" w:rsidR="005B5967" w:rsidRDefault="005B5967" w:rsidP="005B5967">
            <w:r>
              <w:t xml:space="preserve"> </w:t>
            </w:r>
          </w:p>
        </w:tc>
        <w:tc>
          <w:tcPr>
            <w:tcW w:w="1758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2B4A53E6" w14:textId="77777777" w:rsidR="005B5967" w:rsidRDefault="005B5967" w:rsidP="005B5967">
            <w:r>
              <w:t xml:space="preserve">100% </w:t>
            </w:r>
          </w:p>
        </w:tc>
      </w:tr>
      <w:tr w:rsidR="005B5967" w14:paraId="77CDE368" w14:textId="77777777" w:rsidTr="005B5967">
        <w:tc>
          <w:tcPr>
            <w:tcW w:w="2745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62AE6ED8" w14:textId="00C4EBE3" w:rsidR="005B5967" w:rsidRDefault="005B5967" w:rsidP="003C75D4">
            <w:r>
              <w:t xml:space="preserve">Future transactions and/or asset disposals – </w:t>
            </w:r>
            <w:r w:rsidR="00CB56C3">
              <w:t xml:space="preserve"> Potential</w:t>
            </w:r>
            <w:r w:rsidR="003C75D4">
              <w:t xml:space="preserve"> Additional </w:t>
            </w:r>
            <w:r>
              <w:t xml:space="preserve"> Services </w:t>
            </w:r>
          </w:p>
        </w:tc>
        <w:tc>
          <w:tcPr>
            <w:tcW w:w="386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58DF3F17" w14:textId="2DA39E9D" w:rsidR="005B5967" w:rsidRDefault="005B5967">
            <w:r>
              <w:t xml:space="preserve">The Supplier shall provide </w:t>
            </w:r>
            <w:r w:rsidR="00CB56C3">
              <w:t>Potential</w:t>
            </w:r>
            <w:r>
              <w:t xml:space="preserve"> </w:t>
            </w:r>
            <w:r w:rsidR="003C75D4">
              <w:t xml:space="preserve">Additional </w:t>
            </w:r>
            <w:r>
              <w:t>Services as described in th</w:t>
            </w:r>
            <w:r w:rsidR="009F0909">
              <w:t>ese</w:t>
            </w:r>
            <w:r>
              <w:t xml:space="preserve"> Services Requirement</w:t>
            </w:r>
            <w:r w:rsidR="009F0909">
              <w:t>s</w:t>
            </w:r>
            <w:r>
              <w:t xml:space="preserve">.  </w:t>
            </w:r>
          </w:p>
        </w:tc>
        <w:tc>
          <w:tcPr>
            <w:tcW w:w="1758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07844168" w14:textId="4DBF7FC7" w:rsidR="005B5967" w:rsidRDefault="005B5967" w:rsidP="003C75D4">
            <w:r>
              <w:t xml:space="preserve">To be determined by </w:t>
            </w:r>
            <w:r w:rsidR="00CB56C3">
              <w:t>Potential</w:t>
            </w:r>
            <w:r>
              <w:t xml:space="preserve"> </w:t>
            </w:r>
            <w:r w:rsidR="003C75D4">
              <w:t xml:space="preserve">Additional </w:t>
            </w:r>
            <w:r>
              <w:t xml:space="preserve">Services as and </w:t>
            </w:r>
            <w:r>
              <w:lastRenderedPageBreak/>
              <w:t xml:space="preserve">when they arise. </w:t>
            </w:r>
          </w:p>
        </w:tc>
      </w:tr>
      <w:tr w:rsidR="005B5967" w14:paraId="6471E08F" w14:textId="77777777" w:rsidTr="005B5967">
        <w:tc>
          <w:tcPr>
            <w:tcW w:w="2745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309A0890" w14:textId="77777777" w:rsidR="005B5967" w:rsidRDefault="005B5967" w:rsidP="005B5967">
            <w:r>
              <w:t xml:space="preserve">Reporting Requirements </w:t>
            </w:r>
          </w:p>
        </w:tc>
        <w:tc>
          <w:tcPr>
            <w:tcW w:w="386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204758DA" w14:textId="77777777" w:rsidR="005B5967" w:rsidRDefault="005B5967" w:rsidP="005B5967">
            <w:r>
              <w:t>A</w:t>
            </w:r>
            <w:r w:rsidRPr="00422096">
              <w:t>d hoc reports and data from</w:t>
            </w:r>
            <w:r>
              <w:t xml:space="preserve"> the Supplier as requested by the Authority.</w:t>
            </w:r>
            <w:r w:rsidRPr="00422096">
              <w:t xml:space="preserve"> </w:t>
            </w:r>
          </w:p>
        </w:tc>
        <w:tc>
          <w:tcPr>
            <w:tcW w:w="1758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6C28632F" w14:textId="77777777" w:rsidR="005B5967" w:rsidRDefault="005B5967" w:rsidP="005B5967">
            <w:r>
              <w:t xml:space="preserve">Requests completed within 48 hours. </w:t>
            </w:r>
          </w:p>
        </w:tc>
      </w:tr>
    </w:tbl>
    <w:p w14:paraId="25DC6614" w14:textId="3F41C046" w:rsidR="001A59F9" w:rsidRDefault="001A59F9">
      <w:pPr>
        <w:rPr>
          <w:b/>
          <w:smallCaps/>
        </w:rPr>
      </w:pPr>
    </w:p>
    <w:p w14:paraId="37D65348" w14:textId="77777777" w:rsidR="004F05B9" w:rsidRPr="004247A8" w:rsidRDefault="00D81219" w:rsidP="002E403A">
      <w:pPr>
        <w:pStyle w:val="Heading1"/>
        <w:numPr>
          <w:ilvl w:val="0"/>
          <w:numId w:val="1"/>
        </w:numPr>
        <w:spacing w:after="120"/>
        <w:ind w:left="709" w:hanging="709"/>
        <w:rPr>
          <w:rFonts w:ascii="Arial Bold" w:hAnsi="Arial Bold"/>
          <w:caps/>
          <w:smallCaps w:val="0"/>
        </w:rPr>
      </w:pPr>
      <w:r w:rsidRPr="004247A8">
        <w:rPr>
          <w:rFonts w:ascii="Arial Bold" w:hAnsi="Arial Bold"/>
          <w:caps/>
          <w:smallCaps w:val="0"/>
        </w:rPr>
        <w:t xml:space="preserve">Exit Management </w:t>
      </w:r>
    </w:p>
    <w:p w14:paraId="33356776" w14:textId="77777777" w:rsidR="004F05B9" w:rsidRPr="002E403A" w:rsidRDefault="004F05B9" w:rsidP="002E403A">
      <w:pPr>
        <w:pStyle w:val="Heading4"/>
        <w:numPr>
          <w:ilvl w:val="1"/>
          <w:numId w:val="1"/>
        </w:numPr>
        <w:rPr>
          <w:smallCaps/>
        </w:rPr>
      </w:pPr>
      <w:r w:rsidRPr="004F05B9">
        <w:t>T</w:t>
      </w:r>
      <w:r w:rsidRPr="002E403A">
        <w:t>he S</w:t>
      </w:r>
      <w:r>
        <w:t xml:space="preserve">upplier shall; </w:t>
      </w:r>
    </w:p>
    <w:p w14:paraId="79AAE1C4" w14:textId="5D094FDC" w:rsidR="004F05B9" w:rsidRPr="002E403A" w:rsidRDefault="004F05B9" w:rsidP="002E403A">
      <w:pPr>
        <w:pStyle w:val="Heading4"/>
        <w:numPr>
          <w:ilvl w:val="2"/>
          <w:numId w:val="1"/>
        </w:numPr>
        <w:rPr>
          <w:smallCaps/>
        </w:rPr>
      </w:pPr>
      <w:r>
        <w:t>Ensure the smooth transition of the availability of the Services from the Supplier to the Authority and / or a</w:t>
      </w:r>
      <w:r w:rsidR="0099710B">
        <w:t>n incoming</w:t>
      </w:r>
      <w:r>
        <w:t xml:space="preserve"> Supplier at the expiry of the Agreement. </w:t>
      </w:r>
    </w:p>
    <w:p w14:paraId="5387213E" w14:textId="6DCCB419" w:rsidR="004F05B9" w:rsidRDefault="004F05B9" w:rsidP="002E403A">
      <w:pPr>
        <w:pStyle w:val="Heading4"/>
        <w:numPr>
          <w:ilvl w:val="2"/>
          <w:numId w:val="1"/>
        </w:numPr>
      </w:pPr>
      <w:r>
        <w:t xml:space="preserve">Within 3 months start of the </w:t>
      </w:r>
      <w:r w:rsidR="0099710B">
        <w:t>Agreement</w:t>
      </w:r>
      <w:r>
        <w:t xml:space="preserve"> the Supplier shall create and agree an exit plan with the Authority. This exit plan will be reviewed and maintained </w:t>
      </w:r>
      <w:r w:rsidRPr="004F05B9">
        <w:t xml:space="preserve">during quarterly and annual performance review </w:t>
      </w:r>
      <w:r>
        <w:t>meetings.</w:t>
      </w:r>
    </w:p>
    <w:p w14:paraId="415B2E27" w14:textId="3A504A74" w:rsidR="00BE3325" w:rsidRDefault="00BE3325" w:rsidP="002E403A">
      <w:pPr>
        <w:pStyle w:val="Heading4"/>
        <w:numPr>
          <w:ilvl w:val="2"/>
          <w:numId w:val="1"/>
        </w:numPr>
      </w:pPr>
      <w:r>
        <w:t>Provide an exit plan which set</w:t>
      </w:r>
      <w:r w:rsidR="00D059D4">
        <w:t>s</w:t>
      </w:r>
      <w:r>
        <w:t xml:space="preserve"> out the </w:t>
      </w:r>
      <w:r w:rsidRPr="00BE3325">
        <w:t xml:space="preserve">proposed methodology for achieving an orderly transition of the Services from the Supplier to the Authority and/or its </w:t>
      </w:r>
      <w:r w:rsidR="0099710B">
        <w:t>incoming</w:t>
      </w:r>
      <w:r w:rsidRPr="00BE3325">
        <w:t xml:space="preserve"> Supplier on the expiry or termination of this </w:t>
      </w:r>
      <w:r w:rsidR="0099710B">
        <w:t>Agreement</w:t>
      </w:r>
      <w:r w:rsidRPr="00BE3325">
        <w:t>;</w:t>
      </w:r>
    </w:p>
    <w:p w14:paraId="0CCF8E47" w14:textId="009358FE" w:rsidR="00BE3325" w:rsidRDefault="00BE3325" w:rsidP="002E403A">
      <w:pPr>
        <w:pStyle w:val="Heading4"/>
        <w:numPr>
          <w:ilvl w:val="2"/>
          <w:numId w:val="1"/>
        </w:numPr>
      </w:pPr>
      <w:r>
        <w:t>As a minimum</w:t>
      </w:r>
      <w:r w:rsidR="00D059D4">
        <w:t>,</w:t>
      </w:r>
      <w:r>
        <w:t xml:space="preserve"> </w:t>
      </w:r>
      <w:r w:rsidR="00D059D4">
        <w:t>provide an exit plan which sets out</w:t>
      </w:r>
      <w:r w:rsidR="00BD090D">
        <w:t>:</w:t>
      </w:r>
      <w:r w:rsidR="00D059D4">
        <w:t xml:space="preserve"> </w:t>
      </w:r>
    </w:p>
    <w:p w14:paraId="41BCD77C" w14:textId="174D0254" w:rsidR="00D059D4" w:rsidRDefault="00D059D4" w:rsidP="002E403A">
      <w:pPr>
        <w:pStyle w:val="ListParagraph"/>
        <w:numPr>
          <w:ilvl w:val="4"/>
          <w:numId w:val="1"/>
        </w:numPr>
        <w:spacing w:after="240"/>
        <w:ind w:left="2268"/>
      </w:pPr>
      <w:r>
        <w:t xml:space="preserve">how </w:t>
      </w:r>
      <w:r w:rsidR="003E1B1D">
        <w:t>e</w:t>
      </w:r>
      <w:r>
        <w:t xml:space="preserve">xit </w:t>
      </w:r>
      <w:r w:rsidR="0099710B">
        <w:t>i</w:t>
      </w:r>
      <w:r>
        <w:t xml:space="preserve">nformation </w:t>
      </w:r>
      <w:r w:rsidR="003E1B1D">
        <w:t>will be</w:t>
      </w:r>
      <w:r>
        <w:t xml:space="preserve"> obtained;</w:t>
      </w:r>
      <w:r w:rsidR="00BD090D">
        <w:t xml:space="preserve"> and</w:t>
      </w:r>
      <w:r>
        <w:t xml:space="preserve">  </w:t>
      </w:r>
    </w:p>
    <w:p w14:paraId="04A375CF" w14:textId="005F04E5" w:rsidR="00D059D4" w:rsidRDefault="00D059D4" w:rsidP="002E403A">
      <w:pPr>
        <w:pStyle w:val="ListParagraph"/>
        <w:numPr>
          <w:ilvl w:val="4"/>
          <w:numId w:val="1"/>
        </w:numPr>
        <w:spacing w:after="240"/>
        <w:ind w:left="2268"/>
      </w:pPr>
      <w:r>
        <w:t xml:space="preserve">the management structure to be employed during both transfer and cessation of the Services; </w:t>
      </w:r>
      <w:r w:rsidR="00BD090D">
        <w:t>and</w:t>
      </w:r>
    </w:p>
    <w:p w14:paraId="349A4376" w14:textId="584B7764" w:rsidR="00D059D4" w:rsidRDefault="00D059D4" w:rsidP="002E403A">
      <w:pPr>
        <w:pStyle w:val="ListParagraph"/>
        <w:numPr>
          <w:ilvl w:val="4"/>
          <w:numId w:val="1"/>
        </w:numPr>
        <w:spacing w:after="240"/>
        <w:ind w:left="2268"/>
      </w:pPr>
      <w:r>
        <w:t xml:space="preserve">a detailed description of both the transfer and cessation processes, including a timetable; </w:t>
      </w:r>
      <w:r w:rsidR="00BD090D">
        <w:t>and</w:t>
      </w:r>
    </w:p>
    <w:p w14:paraId="5FEB37E4" w14:textId="62302BFE" w:rsidR="00D059D4" w:rsidRDefault="00D059D4" w:rsidP="002E403A">
      <w:pPr>
        <w:pStyle w:val="ListParagraph"/>
        <w:numPr>
          <w:ilvl w:val="4"/>
          <w:numId w:val="1"/>
        </w:numPr>
        <w:spacing w:after="240"/>
        <w:ind w:left="2268"/>
      </w:pPr>
      <w:r w:rsidRPr="00D059D4">
        <w:t xml:space="preserve">how the Services will transfer to </w:t>
      </w:r>
      <w:r w:rsidR="0099710B">
        <w:t>an incoming</w:t>
      </w:r>
      <w:r w:rsidRPr="00D059D4">
        <w:t xml:space="preserve"> Supplier and/or the Authority</w:t>
      </w:r>
      <w:r w:rsidR="00BD090D">
        <w:t>; and</w:t>
      </w:r>
    </w:p>
    <w:p w14:paraId="26B53C97" w14:textId="527A379D" w:rsidR="00D059D4" w:rsidRDefault="00D059D4" w:rsidP="00D059D4">
      <w:pPr>
        <w:pStyle w:val="ListParagraph"/>
        <w:numPr>
          <w:ilvl w:val="4"/>
          <w:numId w:val="1"/>
        </w:numPr>
        <w:spacing w:after="240"/>
        <w:ind w:left="2268"/>
      </w:pPr>
      <w:r>
        <w:t>proposals f</w:t>
      </w:r>
      <w:r w:rsidR="0099710B">
        <w:t xml:space="preserve">or providing the Authority or an incoming </w:t>
      </w:r>
      <w:r>
        <w:t xml:space="preserve">Supplier copies of all documentation: </w:t>
      </w:r>
    </w:p>
    <w:p w14:paraId="11E22461" w14:textId="45A48B41" w:rsidR="00D059D4" w:rsidRDefault="00D059D4" w:rsidP="002E403A">
      <w:pPr>
        <w:pStyle w:val="ListParagraph"/>
        <w:numPr>
          <w:ilvl w:val="5"/>
          <w:numId w:val="1"/>
        </w:numPr>
        <w:spacing w:after="240"/>
      </w:pPr>
      <w:r>
        <w:t>used in the provision of the Services and necessarily required for the continued use thereof, in which the Intellectual Property Rights are owned by the Supplier; and</w:t>
      </w:r>
    </w:p>
    <w:p w14:paraId="2EECDB64" w14:textId="7DDD50B1" w:rsidR="00D059D4" w:rsidRDefault="00D059D4" w:rsidP="002E403A">
      <w:pPr>
        <w:pStyle w:val="ListParagraph"/>
        <w:numPr>
          <w:ilvl w:val="5"/>
          <w:numId w:val="1"/>
        </w:numPr>
        <w:spacing w:after="240"/>
      </w:pPr>
      <w:r>
        <w:t>relating to the use and operation of the Services;</w:t>
      </w:r>
    </w:p>
    <w:p w14:paraId="7095A8A1" w14:textId="0B267291" w:rsidR="00D059D4" w:rsidRDefault="00D059D4" w:rsidP="002E403A">
      <w:pPr>
        <w:pStyle w:val="ListParagraph"/>
        <w:numPr>
          <w:ilvl w:val="4"/>
          <w:numId w:val="1"/>
        </w:numPr>
        <w:spacing w:after="240"/>
        <w:ind w:left="2268"/>
      </w:pPr>
      <w:proofErr w:type="gramStart"/>
      <w:r w:rsidRPr="00D059D4">
        <w:t>proposals</w:t>
      </w:r>
      <w:proofErr w:type="gramEnd"/>
      <w:r w:rsidRPr="00D059D4">
        <w:t xml:space="preserve"> for the supply of any other information or assistance reasonably required by the Authority or a</w:t>
      </w:r>
      <w:r w:rsidR="009160BC">
        <w:t>n incoming</w:t>
      </w:r>
      <w:r w:rsidRPr="00D059D4">
        <w:t xml:space="preserve"> Supplier in order to effect an orderly handover of the provision of the Services.</w:t>
      </w:r>
    </w:p>
    <w:p w14:paraId="75BE5BEF" w14:textId="2FC9BC0D" w:rsidR="00A5196F" w:rsidRDefault="00A5196F" w:rsidP="00A5196F">
      <w:pPr>
        <w:pStyle w:val="Heading4"/>
        <w:numPr>
          <w:ilvl w:val="2"/>
          <w:numId w:val="1"/>
        </w:numPr>
      </w:pPr>
      <w:r>
        <w:t>On reasonable notice</w:t>
      </w:r>
      <w:r w:rsidR="003E1B1D">
        <w:t>,</w:t>
      </w:r>
      <w:r>
        <w:t xml:space="preserve"> at any point during the Agreement</w:t>
      </w:r>
      <w:r w:rsidR="003E1B1D">
        <w:t>,</w:t>
      </w:r>
      <w:r>
        <w:t xml:space="preserve"> the Supplier shall provide to the Authority </w:t>
      </w:r>
      <w:r w:rsidR="003E1B1D">
        <w:t>any exit</w:t>
      </w:r>
      <w:r>
        <w:t xml:space="preserve"> information</w:t>
      </w:r>
      <w:r w:rsidR="00BE3325">
        <w:t xml:space="preserve"> </w:t>
      </w:r>
      <w:r w:rsidR="003E1B1D">
        <w:t>i</w:t>
      </w:r>
      <w:r>
        <w:t xml:space="preserve">n order to facilitate the preparation by the Authority of any invitation to tender and/or to facilitate any potential </w:t>
      </w:r>
      <w:r w:rsidR="003E1B1D">
        <w:t>incoming</w:t>
      </w:r>
      <w:r>
        <w:t xml:space="preserve"> Suppliers undertaking due diligence</w:t>
      </w:r>
      <w:r w:rsidR="00BD090D">
        <w:t>.</w:t>
      </w:r>
    </w:p>
    <w:p w14:paraId="50C5A23C" w14:textId="57BF2E75" w:rsidR="00A5196F" w:rsidRPr="002E403A" w:rsidRDefault="003E1B1D" w:rsidP="002E403A">
      <w:pPr>
        <w:pStyle w:val="Heading4"/>
        <w:numPr>
          <w:ilvl w:val="2"/>
          <w:numId w:val="1"/>
        </w:numPr>
        <w:rPr>
          <w:smallCaps/>
        </w:rPr>
      </w:pPr>
      <w:r>
        <w:t>A</w:t>
      </w:r>
      <w:r w:rsidR="00A5196F">
        <w:t xml:space="preserve">cknowledge that the Authority may disclose the Supplier's Confidential Information to an actual or prospective </w:t>
      </w:r>
      <w:r>
        <w:t>incoming</w:t>
      </w:r>
      <w:r w:rsidR="00A5196F">
        <w:t xml:space="preserve"> Supplier or any third party whom the Authority is considering engaging to the extent that such </w:t>
      </w:r>
      <w:r w:rsidR="00A5196F">
        <w:lastRenderedPageBreak/>
        <w:t>disclosure is necessary in connection with such engagement (except that the Authority may not disclose any Supplier’s Confidential Information which is information relating to the Supplier’s or its Sub-Contractors’ prices or costs).</w:t>
      </w:r>
    </w:p>
    <w:p w14:paraId="12EC4B4C" w14:textId="4FB683BD" w:rsidR="00310CB1" w:rsidRPr="002E403A" w:rsidRDefault="00310CB1" w:rsidP="002E403A">
      <w:pPr>
        <w:pStyle w:val="ListParagraph"/>
        <w:numPr>
          <w:ilvl w:val="4"/>
          <w:numId w:val="1"/>
        </w:numPr>
        <w:spacing w:after="240"/>
        <w:ind w:left="2268"/>
        <w:rPr>
          <w:smallCaps/>
        </w:rPr>
      </w:pPr>
      <w:r w:rsidRPr="004F05B9">
        <w:br w:type="page"/>
      </w:r>
    </w:p>
    <w:p w14:paraId="4DD2111E" w14:textId="77777777" w:rsidR="00310CB1" w:rsidRDefault="00310CB1" w:rsidP="005D11E7">
      <w:pPr>
        <w:pStyle w:val="Heading1"/>
        <w:spacing w:after="120"/>
        <w:ind w:left="709" w:firstLine="0"/>
      </w:pPr>
    </w:p>
    <w:p w14:paraId="08A3C822" w14:textId="6D8DF946" w:rsidR="001A59F9" w:rsidRDefault="001A59F9" w:rsidP="005D11E7">
      <w:pPr>
        <w:pStyle w:val="Heading1"/>
        <w:spacing w:after="120"/>
        <w:ind w:left="709" w:firstLine="0"/>
      </w:pPr>
      <w:r>
        <w:t xml:space="preserve">Appendix 1 </w:t>
      </w:r>
    </w:p>
    <w:p w14:paraId="100890F1" w14:textId="2DF66359" w:rsidR="004717AC" w:rsidRPr="004247A8" w:rsidRDefault="009E6EA8" w:rsidP="005D11E7">
      <w:pPr>
        <w:pStyle w:val="Heading1"/>
        <w:spacing w:after="120"/>
        <w:ind w:left="709" w:firstLine="0"/>
        <w:rPr>
          <w:b w:val="0"/>
          <w:smallCaps w:val="0"/>
        </w:rPr>
      </w:pPr>
      <w:r w:rsidRPr="004247A8">
        <w:rPr>
          <w:b w:val="0"/>
          <w:smallCaps w:val="0"/>
        </w:rPr>
        <w:t xml:space="preserve">PORTFOLIO COMPANIES </w:t>
      </w:r>
      <w:r w:rsidR="00C15693" w:rsidRPr="004247A8">
        <w:rPr>
          <w:b w:val="0"/>
          <w:smallCaps w:val="0"/>
        </w:rPr>
        <w:t>THE AUTHORITY</w:t>
      </w:r>
      <w:r w:rsidRPr="004247A8">
        <w:rPr>
          <w:b w:val="0"/>
          <w:smallCaps w:val="0"/>
        </w:rPr>
        <w:t xml:space="preserve"> ARE RESPONSIBLE FOR</w:t>
      </w:r>
      <w:r w:rsidR="002D3915" w:rsidRPr="004247A8">
        <w:rPr>
          <w:b w:val="0"/>
          <w:smallCaps w:val="0"/>
        </w:rPr>
        <w:t>.</w:t>
      </w:r>
      <w:r w:rsidR="00330EE8" w:rsidRPr="004247A8">
        <w:rPr>
          <w:b w:val="0"/>
          <w:smallCaps w:val="0"/>
        </w:rPr>
        <w:t xml:space="preserve"> </w:t>
      </w:r>
      <w:r w:rsidR="002D3915" w:rsidRPr="004247A8">
        <w:rPr>
          <w:b w:val="0"/>
          <w:smallCaps w:val="0"/>
        </w:rPr>
        <w:t>T</w:t>
      </w:r>
      <w:r w:rsidR="00330EE8" w:rsidRPr="004247A8">
        <w:rPr>
          <w:b w:val="0"/>
          <w:smallCaps w:val="0"/>
        </w:rPr>
        <w:t>his list may be updated from time to time</w:t>
      </w:r>
      <w:r w:rsidR="002D3915" w:rsidRPr="004247A8">
        <w:rPr>
          <w:b w:val="0"/>
          <w:smallCaps w:val="0"/>
        </w:rPr>
        <w:t>:</w:t>
      </w:r>
      <w:r w:rsidR="00330EE8" w:rsidRPr="004247A8">
        <w:rPr>
          <w:b w:val="0"/>
          <w:smallCaps w:val="0"/>
        </w:rPr>
        <w:t xml:space="preserve"> </w:t>
      </w:r>
    </w:p>
    <w:p w14:paraId="33AD1557" w14:textId="77777777" w:rsidR="004717AC" w:rsidRDefault="009E6EA8">
      <w:pPr>
        <w:pStyle w:val="Heading2"/>
        <w:numPr>
          <w:ilvl w:val="0"/>
          <w:numId w:val="2"/>
        </w:numPr>
        <w:spacing w:after="120"/>
      </w:pPr>
      <w:r>
        <w:t>British Business Bank;</w:t>
      </w:r>
    </w:p>
    <w:p w14:paraId="12186F65" w14:textId="1326E4C8" w:rsidR="004717AC" w:rsidRDefault="009E6EA8">
      <w:pPr>
        <w:pStyle w:val="Heading2"/>
        <w:numPr>
          <w:ilvl w:val="0"/>
          <w:numId w:val="2"/>
        </w:numPr>
        <w:spacing w:after="120"/>
      </w:pPr>
      <w:r>
        <w:t>CDC</w:t>
      </w:r>
      <w:r w:rsidR="007F351C">
        <w:t xml:space="preserve"> - Development Finance Institution;</w:t>
      </w:r>
    </w:p>
    <w:p w14:paraId="4E761F6D" w14:textId="77777777" w:rsidR="004717AC" w:rsidRDefault="009E6EA8">
      <w:pPr>
        <w:pStyle w:val="Heading2"/>
        <w:numPr>
          <w:ilvl w:val="0"/>
          <w:numId w:val="2"/>
        </w:numPr>
        <w:spacing w:after="120"/>
      </w:pPr>
      <w:r>
        <w:t>Channel 4;</w:t>
      </w:r>
    </w:p>
    <w:p w14:paraId="24A0791B" w14:textId="77777777" w:rsidR="004717AC" w:rsidRDefault="009E6EA8">
      <w:pPr>
        <w:pStyle w:val="Heading2"/>
        <w:numPr>
          <w:ilvl w:val="0"/>
          <w:numId w:val="2"/>
        </w:numPr>
        <w:spacing w:after="120"/>
      </w:pPr>
      <w:r>
        <w:t>Companies House;</w:t>
      </w:r>
    </w:p>
    <w:p w14:paraId="3B52D8DA" w14:textId="77777777" w:rsidR="004717AC" w:rsidRDefault="009E6EA8">
      <w:pPr>
        <w:pStyle w:val="Heading2"/>
        <w:numPr>
          <w:ilvl w:val="0"/>
          <w:numId w:val="2"/>
        </w:numPr>
        <w:spacing w:after="120"/>
      </w:pPr>
      <w:r>
        <w:t>Electrical Settlements Company;</w:t>
      </w:r>
    </w:p>
    <w:p w14:paraId="1E8ED9D6" w14:textId="77777777" w:rsidR="004717AC" w:rsidRDefault="009E6EA8">
      <w:pPr>
        <w:pStyle w:val="Heading2"/>
        <w:numPr>
          <w:ilvl w:val="0"/>
          <w:numId w:val="2"/>
        </w:numPr>
        <w:spacing w:after="120"/>
      </w:pPr>
      <w:r>
        <w:t>Highways England;</w:t>
      </w:r>
    </w:p>
    <w:p w14:paraId="6947AC0C" w14:textId="77777777" w:rsidR="004717AC" w:rsidRDefault="009E6EA8">
      <w:pPr>
        <w:pStyle w:val="Heading2"/>
        <w:numPr>
          <w:ilvl w:val="0"/>
          <w:numId w:val="2"/>
        </w:numPr>
        <w:spacing w:after="120"/>
      </w:pPr>
      <w:r>
        <w:t>Insolvency Service;</w:t>
      </w:r>
    </w:p>
    <w:p w14:paraId="7DA0493C" w14:textId="77777777" w:rsidR="004717AC" w:rsidRDefault="009E6EA8">
      <w:pPr>
        <w:pStyle w:val="Heading2"/>
        <w:numPr>
          <w:ilvl w:val="0"/>
          <w:numId w:val="2"/>
        </w:numPr>
        <w:spacing w:after="120"/>
      </w:pPr>
      <w:r>
        <w:t>Land Registry;</w:t>
      </w:r>
    </w:p>
    <w:p w14:paraId="09266CD3" w14:textId="77777777" w:rsidR="004717AC" w:rsidRDefault="009E6EA8">
      <w:pPr>
        <w:pStyle w:val="Heading2"/>
        <w:numPr>
          <w:ilvl w:val="0"/>
          <w:numId w:val="2"/>
        </w:numPr>
        <w:spacing w:after="120"/>
      </w:pPr>
      <w:r>
        <w:t>London &amp; Continental Railway;</w:t>
      </w:r>
    </w:p>
    <w:p w14:paraId="22298F08" w14:textId="56237FD5" w:rsidR="004717AC" w:rsidRDefault="009E6EA8">
      <w:pPr>
        <w:pStyle w:val="Heading2"/>
        <w:numPr>
          <w:ilvl w:val="0"/>
          <w:numId w:val="2"/>
        </w:numPr>
        <w:spacing w:after="120"/>
      </w:pPr>
      <w:r>
        <w:t xml:space="preserve">Low Carbon </w:t>
      </w:r>
      <w:r w:rsidR="00A235BF">
        <w:t>Agreement</w:t>
      </w:r>
      <w:r>
        <w:t>s Company;</w:t>
      </w:r>
    </w:p>
    <w:p w14:paraId="2F60D81C" w14:textId="1F10D59D" w:rsidR="004717AC" w:rsidRDefault="0064490D">
      <w:pPr>
        <w:pStyle w:val="Heading2"/>
        <w:numPr>
          <w:ilvl w:val="0"/>
          <w:numId w:val="2"/>
        </w:numPr>
        <w:spacing w:after="120"/>
      </w:pPr>
      <w:r>
        <w:t>National Air Traffic Services (</w:t>
      </w:r>
      <w:r w:rsidR="009E6EA8">
        <w:t>NATS</w:t>
      </w:r>
      <w:r>
        <w:t>)</w:t>
      </w:r>
      <w:r w:rsidR="009E6EA8">
        <w:t>;</w:t>
      </w:r>
    </w:p>
    <w:p w14:paraId="314F7879" w14:textId="77777777" w:rsidR="004717AC" w:rsidRDefault="009E6EA8">
      <w:pPr>
        <w:pStyle w:val="Heading2"/>
        <w:numPr>
          <w:ilvl w:val="0"/>
          <w:numId w:val="2"/>
        </w:numPr>
        <w:spacing w:after="120"/>
      </w:pPr>
      <w:r>
        <w:t>National Nuclear Laboratory;</w:t>
      </w:r>
    </w:p>
    <w:p w14:paraId="50CD8CAD" w14:textId="77777777" w:rsidR="004717AC" w:rsidRDefault="009E6EA8">
      <w:pPr>
        <w:pStyle w:val="Heading2"/>
        <w:numPr>
          <w:ilvl w:val="0"/>
          <w:numId w:val="2"/>
        </w:numPr>
        <w:spacing w:after="120"/>
      </w:pPr>
      <w:r>
        <w:t>Network Rail;</w:t>
      </w:r>
    </w:p>
    <w:p w14:paraId="789AB710" w14:textId="77777777" w:rsidR="004717AC" w:rsidRDefault="009E6EA8">
      <w:pPr>
        <w:pStyle w:val="Heading2"/>
        <w:numPr>
          <w:ilvl w:val="0"/>
          <w:numId w:val="2"/>
        </w:numPr>
        <w:spacing w:after="120"/>
      </w:pPr>
      <w:r>
        <w:t>Nuclear Decommissioning Authority;</w:t>
      </w:r>
    </w:p>
    <w:p w14:paraId="626DE86E" w14:textId="77777777" w:rsidR="004717AC" w:rsidRDefault="009E6EA8">
      <w:pPr>
        <w:pStyle w:val="Heading2"/>
        <w:numPr>
          <w:ilvl w:val="0"/>
          <w:numId w:val="2"/>
        </w:numPr>
        <w:spacing w:after="120"/>
      </w:pPr>
      <w:r>
        <w:t>Nuclear Liabilities Fund;</w:t>
      </w:r>
    </w:p>
    <w:p w14:paraId="2D7ABB79" w14:textId="77777777" w:rsidR="004717AC" w:rsidRDefault="009E6EA8">
      <w:pPr>
        <w:pStyle w:val="Heading2"/>
        <w:numPr>
          <w:ilvl w:val="0"/>
          <w:numId w:val="2"/>
        </w:numPr>
        <w:spacing w:after="120"/>
      </w:pPr>
      <w:r>
        <w:t>Oil &amp; Gas Authority;</w:t>
      </w:r>
    </w:p>
    <w:p w14:paraId="5876DFEE" w14:textId="77777777" w:rsidR="004717AC" w:rsidRDefault="009E6EA8">
      <w:pPr>
        <w:pStyle w:val="Heading2"/>
        <w:numPr>
          <w:ilvl w:val="0"/>
          <w:numId w:val="2"/>
        </w:numPr>
        <w:spacing w:after="120"/>
      </w:pPr>
      <w:r>
        <w:t>Ordnance Survey;</w:t>
      </w:r>
    </w:p>
    <w:p w14:paraId="63799888" w14:textId="77777777" w:rsidR="004717AC" w:rsidRDefault="009E6EA8">
      <w:pPr>
        <w:pStyle w:val="Heading2"/>
        <w:numPr>
          <w:ilvl w:val="0"/>
          <w:numId w:val="2"/>
        </w:numPr>
        <w:spacing w:after="120"/>
      </w:pPr>
      <w:r>
        <w:t>Post Office Limited;</w:t>
      </w:r>
    </w:p>
    <w:p w14:paraId="4ADD88E6" w14:textId="77777777" w:rsidR="004717AC" w:rsidRDefault="009E6EA8">
      <w:pPr>
        <w:pStyle w:val="Heading2"/>
        <w:numPr>
          <w:ilvl w:val="0"/>
          <w:numId w:val="2"/>
        </w:numPr>
        <w:spacing w:after="120"/>
      </w:pPr>
      <w:r>
        <w:t>Royal Mint:</w:t>
      </w:r>
    </w:p>
    <w:p w14:paraId="2FD9C42F" w14:textId="77777777" w:rsidR="004717AC" w:rsidRDefault="009E6EA8">
      <w:pPr>
        <w:pStyle w:val="Heading2"/>
        <w:numPr>
          <w:ilvl w:val="0"/>
          <w:numId w:val="2"/>
        </w:numPr>
        <w:spacing w:after="120"/>
      </w:pPr>
      <w:r>
        <w:t>UK Export Finance;</w:t>
      </w:r>
    </w:p>
    <w:p w14:paraId="504816BD" w14:textId="77777777" w:rsidR="004717AC" w:rsidRDefault="009E6EA8">
      <w:pPr>
        <w:pStyle w:val="Heading2"/>
        <w:numPr>
          <w:ilvl w:val="0"/>
          <w:numId w:val="2"/>
        </w:numPr>
        <w:spacing w:after="120"/>
      </w:pPr>
      <w:proofErr w:type="spellStart"/>
      <w:r>
        <w:t>Urenco</w:t>
      </w:r>
      <w:proofErr w:type="spellEnd"/>
    </w:p>
    <w:p w14:paraId="5C45724A" w14:textId="56E7BC6D" w:rsidR="004717AC" w:rsidRDefault="004717AC">
      <w:pPr>
        <w:pStyle w:val="Heading1"/>
        <w:jc w:val="center"/>
      </w:pPr>
      <w:bookmarkStart w:id="25" w:name="_3whwml4" w:colFirst="0" w:colLast="0"/>
      <w:bookmarkEnd w:id="25"/>
    </w:p>
    <w:p w14:paraId="45C4B7E5" w14:textId="05356C72" w:rsidR="007F351C" w:rsidRDefault="007F351C" w:rsidP="007F351C">
      <w:pPr>
        <w:pStyle w:val="Heading1"/>
        <w:spacing w:after="120"/>
        <w:ind w:left="709" w:firstLine="0"/>
      </w:pPr>
      <w:bookmarkStart w:id="26" w:name="_2bn6wsx" w:colFirst="0" w:colLast="0"/>
      <w:bookmarkEnd w:id="26"/>
      <w:r>
        <w:t xml:space="preserve">Appendix 2 </w:t>
      </w:r>
    </w:p>
    <w:p w14:paraId="47DD495A" w14:textId="77777777" w:rsidR="004717AC" w:rsidRDefault="004717AC">
      <w:pPr>
        <w:tabs>
          <w:tab w:val="left" w:pos="1392"/>
        </w:tabs>
      </w:pPr>
    </w:p>
    <w:p w14:paraId="4B2E32B9" w14:textId="1E90F2E4" w:rsidR="007F351C" w:rsidRDefault="00720741">
      <w:pPr>
        <w:tabs>
          <w:tab w:val="left" w:pos="1392"/>
        </w:tabs>
      </w:pPr>
      <w:r>
        <w:t>Trade associations in this finance and public relations sector and business representative groups including but not limited to</w:t>
      </w:r>
      <w:r w:rsidR="007F351C">
        <w:t>:</w:t>
      </w:r>
    </w:p>
    <w:p w14:paraId="1C32AF5E" w14:textId="77777777" w:rsidR="007F351C" w:rsidRDefault="007F351C">
      <w:pPr>
        <w:tabs>
          <w:tab w:val="left" w:pos="1392"/>
        </w:tabs>
      </w:pPr>
    </w:p>
    <w:p w14:paraId="54AA88CD" w14:textId="71A6C3B8" w:rsidR="007F351C" w:rsidRPr="007F351C" w:rsidRDefault="007F351C" w:rsidP="007F351C">
      <w:pPr>
        <w:pStyle w:val="Heading2"/>
        <w:numPr>
          <w:ilvl w:val="0"/>
          <w:numId w:val="2"/>
        </w:numPr>
        <w:spacing w:after="120"/>
      </w:pPr>
      <w:r w:rsidRPr="007F351C">
        <w:t>UK Finance</w:t>
      </w:r>
      <w:r w:rsidR="005C2D21">
        <w:t>;</w:t>
      </w:r>
      <w:r w:rsidRPr="007F351C">
        <w:t xml:space="preserve"> </w:t>
      </w:r>
    </w:p>
    <w:p w14:paraId="4D6C3820" w14:textId="4F682286" w:rsidR="007F351C" w:rsidRPr="007F351C" w:rsidRDefault="005C2D21" w:rsidP="007F351C">
      <w:pPr>
        <w:pStyle w:val="Heading2"/>
        <w:numPr>
          <w:ilvl w:val="0"/>
          <w:numId w:val="2"/>
        </w:numPr>
        <w:spacing w:after="120"/>
      </w:pPr>
      <w:r>
        <w:t>Confederation of British Industry (</w:t>
      </w:r>
      <w:r w:rsidR="007F351C" w:rsidRPr="007F351C">
        <w:t>CBI</w:t>
      </w:r>
      <w:r>
        <w:t>);</w:t>
      </w:r>
      <w:r w:rsidR="007F351C" w:rsidRPr="007F351C">
        <w:t xml:space="preserve"> </w:t>
      </w:r>
    </w:p>
    <w:p w14:paraId="07D0FED6" w14:textId="25AF54B2" w:rsidR="007F351C" w:rsidRPr="005C2D21" w:rsidRDefault="007F351C" w:rsidP="007F351C">
      <w:pPr>
        <w:pStyle w:val="Heading2"/>
        <w:numPr>
          <w:ilvl w:val="0"/>
          <w:numId w:val="2"/>
        </w:numPr>
        <w:spacing w:after="120"/>
      </w:pPr>
      <w:r>
        <w:t>Institute of Directors (</w:t>
      </w:r>
      <w:r w:rsidRPr="007F351C">
        <w:t>IOD)</w:t>
      </w:r>
      <w:r w:rsidR="005C2D21">
        <w:t>;</w:t>
      </w:r>
      <w:r w:rsidRPr="005C2D21">
        <w:t xml:space="preserve"> </w:t>
      </w:r>
    </w:p>
    <w:p w14:paraId="0F1A81B1" w14:textId="053D92BE" w:rsidR="007F351C" w:rsidRPr="005C2D21" w:rsidRDefault="005C2D21" w:rsidP="007F351C">
      <w:pPr>
        <w:pStyle w:val="Heading2"/>
        <w:numPr>
          <w:ilvl w:val="0"/>
          <w:numId w:val="2"/>
        </w:numPr>
        <w:spacing w:after="120"/>
      </w:pPr>
      <w:r>
        <w:t>Financial Conduct Authority (</w:t>
      </w:r>
      <w:r w:rsidR="007F351C" w:rsidRPr="005C2D21">
        <w:t>FCA</w:t>
      </w:r>
      <w:r>
        <w:t>);</w:t>
      </w:r>
      <w:r w:rsidR="007F351C" w:rsidRPr="005C2D21">
        <w:t xml:space="preserve"> </w:t>
      </w:r>
    </w:p>
    <w:p w14:paraId="465CCCEE" w14:textId="766F6914" w:rsidR="007F351C" w:rsidRDefault="005C2D21" w:rsidP="004A7EBB">
      <w:pPr>
        <w:pStyle w:val="Heading2"/>
        <w:numPr>
          <w:ilvl w:val="0"/>
          <w:numId w:val="2"/>
        </w:numPr>
        <w:tabs>
          <w:tab w:val="left" w:pos="1392"/>
        </w:tabs>
        <w:spacing w:after="120"/>
      </w:pPr>
      <w:r>
        <w:t>Prudential Regulation Authority (</w:t>
      </w:r>
      <w:r w:rsidR="007F351C" w:rsidRPr="005C2D21">
        <w:t>PRA</w:t>
      </w:r>
      <w:r>
        <w:t>)</w:t>
      </w:r>
    </w:p>
    <w:sectPr w:rsidR="007F351C" w:rsidSect="00441A7D">
      <w:headerReference w:type="default" r:id="rId13"/>
      <w:footerReference w:type="default" r:id="rId14"/>
      <w:pgSz w:w="11909" w:h="16834"/>
      <w:pgMar w:top="1560" w:right="1440" w:bottom="1559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39550" w14:textId="77777777" w:rsidR="00AB41A0" w:rsidRDefault="00AB41A0">
      <w:r>
        <w:separator/>
      </w:r>
    </w:p>
  </w:endnote>
  <w:endnote w:type="continuationSeparator" w:id="0">
    <w:p w14:paraId="49A54293" w14:textId="77777777" w:rsidR="00AB41A0" w:rsidRDefault="00AB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3EA7B" w14:textId="77777777" w:rsidR="00EA0FB3" w:rsidRDefault="00EA0FB3" w:rsidP="00256CCB">
    <w:pPr>
      <w:tabs>
        <w:tab w:val="center" w:pos="4153"/>
        <w:tab w:val="right" w:pos="830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2A59F44" wp14:editId="46DBC3A7">
              <wp:simplePos x="0" y="0"/>
              <wp:positionH relativeFrom="margin">
                <wp:posOffset>-25399</wp:posOffset>
              </wp:positionH>
              <wp:positionV relativeFrom="paragraph">
                <wp:posOffset>38100</wp:posOffset>
              </wp:positionV>
              <wp:extent cx="57404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74213" y="3775238"/>
                        <a:ext cx="5743575" cy="95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shapetype w14:anchorId="18F81B5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-2pt;margin-top:3pt;width:452pt;height: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">
              <w10:wrap anchorx="margin"/>
            </v:shape>
          </w:pict>
        </mc:Fallback>
      </mc:AlternateContent>
    </w:r>
  </w:p>
  <w:p w14:paraId="03B07FD6" w14:textId="07B2D048" w:rsidR="00EA0FB3" w:rsidRDefault="00EA0FB3" w:rsidP="00256CCB">
    <w:pPr>
      <w:tabs>
        <w:tab w:val="center" w:pos="4153"/>
        <w:tab w:val="right" w:pos="8306"/>
      </w:tabs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F4246B"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  <w:p w14:paraId="37DFC2CE" w14:textId="77777777" w:rsidR="00EA0FB3" w:rsidRPr="00330FE4" w:rsidRDefault="00EA0FB3" w:rsidP="00256CCB">
    <w:pPr>
      <w:pStyle w:val="Footer"/>
      <w:rPr>
        <w:sz w:val="16"/>
        <w:szCs w:val="16"/>
      </w:rPr>
    </w:pPr>
    <w:r w:rsidRPr="00330FE4">
      <w:rPr>
        <w:sz w:val="16"/>
        <w:szCs w:val="16"/>
      </w:rPr>
      <w:t>RM6015</w:t>
    </w:r>
    <w:r>
      <w:rPr>
        <w:sz w:val="16"/>
        <w:szCs w:val="16"/>
      </w:rPr>
      <w:t xml:space="preserve"> </w:t>
    </w:r>
    <w:r w:rsidRPr="00330FE4">
      <w:rPr>
        <w:sz w:val="16"/>
        <w:szCs w:val="16"/>
      </w:rPr>
      <w:t xml:space="preserve">Public Relations Agency for UK Government Investments Ltd                                                                             </w:t>
    </w:r>
  </w:p>
  <w:p w14:paraId="1E41274A" w14:textId="17814F06" w:rsidR="00EA0FB3" w:rsidRPr="00330FE4" w:rsidRDefault="00EA0FB3" w:rsidP="00256CCB">
    <w:pPr>
      <w:pStyle w:val="Footer"/>
      <w:rPr>
        <w:sz w:val="16"/>
        <w:szCs w:val="16"/>
      </w:rPr>
    </w:pPr>
    <w:r>
      <w:rPr>
        <w:sz w:val="16"/>
        <w:szCs w:val="16"/>
      </w:rPr>
      <w:t>Service Requirements</w:t>
    </w:r>
    <w:r w:rsidRPr="00330FE4">
      <w:rPr>
        <w:sz w:val="16"/>
        <w:szCs w:val="16"/>
      </w:rPr>
      <w:t xml:space="preserve"> </w:t>
    </w:r>
  </w:p>
  <w:p w14:paraId="448CFC2D" w14:textId="34EC73AA" w:rsidR="00EA0FB3" w:rsidRPr="00330FE4" w:rsidRDefault="00EA0FB3" w:rsidP="00256CCB">
    <w:pPr>
      <w:pStyle w:val="Footer"/>
      <w:rPr>
        <w:sz w:val="16"/>
        <w:szCs w:val="16"/>
      </w:rPr>
    </w:pPr>
    <w:r w:rsidRPr="00330FE4">
      <w:rPr>
        <w:sz w:val="16"/>
        <w:szCs w:val="16"/>
      </w:rPr>
      <w:t xml:space="preserve">Attachment </w:t>
    </w:r>
    <w:r>
      <w:rPr>
        <w:sz w:val="16"/>
        <w:szCs w:val="16"/>
      </w:rPr>
      <w:t>3</w:t>
    </w:r>
  </w:p>
  <w:p w14:paraId="6FB33053" w14:textId="31EA52D8" w:rsidR="00EA0FB3" w:rsidRDefault="00EA0FB3" w:rsidP="00256CCB">
    <w:pPr>
      <w:pStyle w:val="Footer"/>
      <w:rPr>
        <w:sz w:val="16"/>
        <w:szCs w:val="16"/>
      </w:rPr>
    </w:pPr>
    <w:r w:rsidRPr="00330FE4">
      <w:rPr>
        <w:sz w:val="16"/>
        <w:szCs w:val="16"/>
      </w:rPr>
      <w:t>Version</w:t>
    </w:r>
    <w:r>
      <w:rPr>
        <w:sz w:val="16"/>
        <w:szCs w:val="16"/>
      </w:rPr>
      <w:t xml:space="preserve"> </w:t>
    </w:r>
    <w:r w:rsidR="0074380F">
      <w:rPr>
        <w:sz w:val="16"/>
        <w:szCs w:val="16"/>
      </w:rPr>
      <w:t>1.0</w:t>
    </w:r>
  </w:p>
  <w:p w14:paraId="2524D783" w14:textId="57879374" w:rsidR="00EA0FB3" w:rsidRDefault="00EA0FB3" w:rsidP="00256CCB">
    <w:pPr>
      <w:pStyle w:val="Footer"/>
    </w:pPr>
    <w:r w:rsidRPr="0099730C">
      <w:rPr>
        <w:sz w:val="16"/>
        <w:szCs w:val="16"/>
      </w:rPr>
      <w:t>© Crown copyright 201</w:t>
    </w:r>
    <w:r>
      <w:rPr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5E60B" w14:textId="77777777" w:rsidR="00AB41A0" w:rsidRDefault="00AB41A0">
      <w:r>
        <w:separator/>
      </w:r>
    </w:p>
  </w:footnote>
  <w:footnote w:type="continuationSeparator" w:id="0">
    <w:p w14:paraId="469630B4" w14:textId="77777777" w:rsidR="00AB41A0" w:rsidRDefault="00AB4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01C20" w14:textId="2036CA5A" w:rsidR="00EA0FB3" w:rsidRDefault="00EA0FB3">
    <w:pPr>
      <w:tabs>
        <w:tab w:val="center" w:pos="4153"/>
        <w:tab w:val="right" w:pos="8306"/>
      </w:tabs>
      <w:spacing w:before="425"/>
      <w:ind w:left="720"/>
      <w:jc w:val="center"/>
      <w:rPr>
        <w:sz w:val="20"/>
        <w:szCs w:val="20"/>
      </w:rPr>
    </w:pPr>
  </w:p>
  <w:p w14:paraId="25EF5889" w14:textId="10B4457D" w:rsidR="00EA0FB3" w:rsidRDefault="00EA0FB3" w:rsidP="00256CCB">
    <w:pPr>
      <w:tabs>
        <w:tab w:val="center" w:pos="4153"/>
        <w:tab w:val="right" w:pos="8306"/>
      </w:tabs>
      <w:ind w:left="720"/>
      <w:jc w:val="center"/>
    </w:pPr>
  </w:p>
  <w:p w14:paraId="6A245569" w14:textId="77777777" w:rsidR="00EA0FB3" w:rsidRDefault="00EA0FB3" w:rsidP="00256CCB">
    <w:pPr>
      <w:tabs>
        <w:tab w:val="center" w:pos="4153"/>
        <w:tab w:val="right" w:pos="8306"/>
      </w:tabs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 wp14:anchorId="68748F5A" wp14:editId="4014F830">
              <wp:simplePos x="0" y="0"/>
              <wp:positionH relativeFrom="margin">
                <wp:posOffset>-291465</wp:posOffset>
              </wp:positionH>
              <wp:positionV relativeFrom="paragraph">
                <wp:posOffset>370840</wp:posOffset>
              </wp:positionV>
              <wp:extent cx="6045200" cy="127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5200" cy="127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shapetype w14:anchorId="2343092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22.95pt;margin-top:29.2pt;width:476pt;height:1pt;z-index:251659264;visibility:visible;mso-wrap-style:square;mso-wrap-distance-left:9pt;mso-wrap-distance-top:-3e-5mm;mso-wrap-distance-right:9pt;mso-wrap-distance-bottom:-3e-5mm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F6838"/>
    <w:multiLevelType w:val="multilevel"/>
    <w:tmpl w:val="D24C3842"/>
    <w:lvl w:ilvl="0">
      <w:start w:val="1"/>
      <w:numFmt w:val="decimal"/>
      <w:lvlText w:val="%1."/>
      <w:lvlJc w:val="left"/>
      <w:pPr>
        <w:ind w:left="720" w:hanging="720"/>
      </w:pPr>
      <w:rPr>
        <w:smallCaps w:val="0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b w:val="0"/>
        <w:smallCaps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b w:val="0"/>
        <w:smallCaps w:val="0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smallCaps w:val="0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smallCaps w:val="0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smallCaps w:val="0"/>
      </w:rPr>
    </w:lvl>
    <w:lvl w:ilvl="6">
      <w:start w:val="1"/>
      <w:numFmt w:val="decimal"/>
      <w:lvlText w:val="(%7)"/>
      <w:lvlJc w:val="left"/>
      <w:pPr>
        <w:ind w:left="5040" w:hanging="720"/>
      </w:pPr>
      <w:rPr>
        <w:smallCaps w:val="0"/>
      </w:rPr>
    </w:lvl>
    <w:lvl w:ilvl="7">
      <w:start w:val="1"/>
      <w:numFmt w:val="decimal"/>
      <w:lvlText w:val=""/>
      <w:lvlJc w:val="left"/>
      <w:pPr>
        <w:ind w:left="5040" w:hanging="720"/>
      </w:pPr>
      <w:rPr>
        <w:smallCaps w:val="0"/>
      </w:rPr>
    </w:lvl>
    <w:lvl w:ilvl="8">
      <w:start w:val="1"/>
      <w:numFmt w:val="decimal"/>
      <w:lvlText w:val=""/>
      <w:lvlJc w:val="left"/>
      <w:pPr>
        <w:ind w:left="5040" w:hanging="720"/>
      </w:pPr>
      <w:rPr>
        <w:smallCaps w:val="0"/>
      </w:rPr>
    </w:lvl>
  </w:abstractNum>
  <w:abstractNum w:abstractNumId="1" w15:restartNumberingAfterBreak="0">
    <w:nsid w:val="1DB606BD"/>
    <w:multiLevelType w:val="multilevel"/>
    <w:tmpl w:val="5198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405008"/>
    <w:multiLevelType w:val="hybridMultilevel"/>
    <w:tmpl w:val="2A72B42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D7AC9"/>
    <w:multiLevelType w:val="hybridMultilevel"/>
    <w:tmpl w:val="9192FE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95DE5"/>
    <w:multiLevelType w:val="multilevel"/>
    <w:tmpl w:val="B50888F4"/>
    <w:lvl w:ilvl="0">
      <w:start w:val="1"/>
      <w:numFmt w:val="bullet"/>
      <w:lvlText w:val="●"/>
      <w:lvlJc w:val="left"/>
      <w:pPr>
        <w:ind w:left="106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Arial" w:eastAsia="Arial" w:hAnsi="Arial" w:cs="Arial"/>
      </w:rPr>
    </w:lvl>
  </w:abstractNum>
  <w:abstractNum w:abstractNumId="5" w15:restartNumberingAfterBreak="0">
    <w:nsid w:val="55A01425"/>
    <w:multiLevelType w:val="hybridMultilevel"/>
    <w:tmpl w:val="19063E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AC"/>
    <w:rsid w:val="000019F6"/>
    <w:rsid w:val="000043D9"/>
    <w:rsid w:val="0000722B"/>
    <w:rsid w:val="0001040F"/>
    <w:rsid w:val="000413FC"/>
    <w:rsid w:val="00047DEA"/>
    <w:rsid w:val="000524C9"/>
    <w:rsid w:val="00062958"/>
    <w:rsid w:val="00081646"/>
    <w:rsid w:val="000843F6"/>
    <w:rsid w:val="0009597D"/>
    <w:rsid w:val="000A183E"/>
    <w:rsid w:val="000A67DC"/>
    <w:rsid w:val="000A7272"/>
    <w:rsid w:val="000B03EE"/>
    <w:rsid w:val="000B5CAD"/>
    <w:rsid w:val="000D1A83"/>
    <w:rsid w:val="000D75F5"/>
    <w:rsid w:val="000E62DA"/>
    <w:rsid w:val="000F3C76"/>
    <w:rsid w:val="000F736C"/>
    <w:rsid w:val="00102E48"/>
    <w:rsid w:val="00111B5E"/>
    <w:rsid w:val="00112FF3"/>
    <w:rsid w:val="001260DD"/>
    <w:rsid w:val="00140F9E"/>
    <w:rsid w:val="001500D2"/>
    <w:rsid w:val="00150AE8"/>
    <w:rsid w:val="001515F1"/>
    <w:rsid w:val="001700FF"/>
    <w:rsid w:val="001715FD"/>
    <w:rsid w:val="00175ECB"/>
    <w:rsid w:val="00176519"/>
    <w:rsid w:val="00181215"/>
    <w:rsid w:val="00183308"/>
    <w:rsid w:val="001A0EF0"/>
    <w:rsid w:val="001A59F9"/>
    <w:rsid w:val="001B516B"/>
    <w:rsid w:val="001B63D3"/>
    <w:rsid w:val="001D0E3A"/>
    <w:rsid w:val="001E1C1D"/>
    <w:rsid w:val="001F5DB7"/>
    <w:rsid w:val="001F73C0"/>
    <w:rsid w:val="002026F7"/>
    <w:rsid w:val="00204E5D"/>
    <w:rsid w:val="002058D8"/>
    <w:rsid w:val="00212C1E"/>
    <w:rsid w:val="00213EE1"/>
    <w:rsid w:val="00214F31"/>
    <w:rsid w:val="00222344"/>
    <w:rsid w:val="00226CFA"/>
    <w:rsid w:val="002377BB"/>
    <w:rsid w:val="00237E1D"/>
    <w:rsid w:val="00237FFA"/>
    <w:rsid w:val="00251714"/>
    <w:rsid w:val="00253C14"/>
    <w:rsid w:val="00256CCB"/>
    <w:rsid w:val="0026522E"/>
    <w:rsid w:val="00266B2B"/>
    <w:rsid w:val="00270E50"/>
    <w:rsid w:val="00285AD6"/>
    <w:rsid w:val="00294EBE"/>
    <w:rsid w:val="00296EED"/>
    <w:rsid w:val="002A60A8"/>
    <w:rsid w:val="002A645A"/>
    <w:rsid w:val="002A66DD"/>
    <w:rsid w:val="002B0DDB"/>
    <w:rsid w:val="002B30ED"/>
    <w:rsid w:val="002D3915"/>
    <w:rsid w:val="002E0266"/>
    <w:rsid w:val="002E403A"/>
    <w:rsid w:val="002E6E9D"/>
    <w:rsid w:val="002F6DF8"/>
    <w:rsid w:val="003100A0"/>
    <w:rsid w:val="00310CB1"/>
    <w:rsid w:val="00312892"/>
    <w:rsid w:val="00330549"/>
    <w:rsid w:val="00330EE8"/>
    <w:rsid w:val="003330CD"/>
    <w:rsid w:val="003576DC"/>
    <w:rsid w:val="0036131A"/>
    <w:rsid w:val="00364E8A"/>
    <w:rsid w:val="00372028"/>
    <w:rsid w:val="003807B6"/>
    <w:rsid w:val="00382EA2"/>
    <w:rsid w:val="003962EF"/>
    <w:rsid w:val="0039689E"/>
    <w:rsid w:val="003A0ED4"/>
    <w:rsid w:val="003A131E"/>
    <w:rsid w:val="003A7B93"/>
    <w:rsid w:val="003B5BF0"/>
    <w:rsid w:val="003C3AB7"/>
    <w:rsid w:val="003C75D4"/>
    <w:rsid w:val="003D4EDE"/>
    <w:rsid w:val="003E1B1D"/>
    <w:rsid w:val="003E5EA7"/>
    <w:rsid w:val="003F3AC5"/>
    <w:rsid w:val="003F5E3D"/>
    <w:rsid w:val="00407C5F"/>
    <w:rsid w:val="00411F91"/>
    <w:rsid w:val="00412048"/>
    <w:rsid w:val="00412841"/>
    <w:rsid w:val="0041714A"/>
    <w:rsid w:val="00422096"/>
    <w:rsid w:val="00423C10"/>
    <w:rsid w:val="004247A8"/>
    <w:rsid w:val="004321FC"/>
    <w:rsid w:val="00432EF5"/>
    <w:rsid w:val="00441A7D"/>
    <w:rsid w:val="004420C4"/>
    <w:rsid w:val="00444286"/>
    <w:rsid w:val="00446502"/>
    <w:rsid w:val="00466108"/>
    <w:rsid w:val="004674A5"/>
    <w:rsid w:val="004717AC"/>
    <w:rsid w:val="004836CD"/>
    <w:rsid w:val="00483A1F"/>
    <w:rsid w:val="00486927"/>
    <w:rsid w:val="0049114A"/>
    <w:rsid w:val="004A24F7"/>
    <w:rsid w:val="004A7EBB"/>
    <w:rsid w:val="004C18E4"/>
    <w:rsid w:val="004C1A9C"/>
    <w:rsid w:val="004C2DFC"/>
    <w:rsid w:val="004D6FE0"/>
    <w:rsid w:val="004E13E4"/>
    <w:rsid w:val="004E4F7B"/>
    <w:rsid w:val="004F05B9"/>
    <w:rsid w:val="00517C98"/>
    <w:rsid w:val="00524FE0"/>
    <w:rsid w:val="00531C57"/>
    <w:rsid w:val="00540E6C"/>
    <w:rsid w:val="00550D55"/>
    <w:rsid w:val="0057380B"/>
    <w:rsid w:val="005822CA"/>
    <w:rsid w:val="00585C7E"/>
    <w:rsid w:val="00596B1E"/>
    <w:rsid w:val="005A4554"/>
    <w:rsid w:val="005A5732"/>
    <w:rsid w:val="005B5967"/>
    <w:rsid w:val="005C2D21"/>
    <w:rsid w:val="005C7CE5"/>
    <w:rsid w:val="005D11E7"/>
    <w:rsid w:val="005D3F74"/>
    <w:rsid w:val="005E6E37"/>
    <w:rsid w:val="005F4A92"/>
    <w:rsid w:val="006016F2"/>
    <w:rsid w:val="00605F1B"/>
    <w:rsid w:val="00606899"/>
    <w:rsid w:val="00612CED"/>
    <w:rsid w:val="00615DE9"/>
    <w:rsid w:val="00621472"/>
    <w:rsid w:val="0062344E"/>
    <w:rsid w:val="00634446"/>
    <w:rsid w:val="0064324F"/>
    <w:rsid w:val="0064490D"/>
    <w:rsid w:val="0064499A"/>
    <w:rsid w:val="00646F69"/>
    <w:rsid w:val="006579DB"/>
    <w:rsid w:val="0066267C"/>
    <w:rsid w:val="006707C3"/>
    <w:rsid w:val="00676381"/>
    <w:rsid w:val="00676B71"/>
    <w:rsid w:val="006913C1"/>
    <w:rsid w:val="00692F2E"/>
    <w:rsid w:val="0069783D"/>
    <w:rsid w:val="00697EA3"/>
    <w:rsid w:val="006A6A8D"/>
    <w:rsid w:val="006A7484"/>
    <w:rsid w:val="006C3B4E"/>
    <w:rsid w:val="006C5026"/>
    <w:rsid w:val="006E12A6"/>
    <w:rsid w:val="006F4625"/>
    <w:rsid w:val="007043BD"/>
    <w:rsid w:val="00720741"/>
    <w:rsid w:val="0074231B"/>
    <w:rsid w:val="0074380F"/>
    <w:rsid w:val="00744F50"/>
    <w:rsid w:val="00745DED"/>
    <w:rsid w:val="00753C57"/>
    <w:rsid w:val="00763D97"/>
    <w:rsid w:val="00770436"/>
    <w:rsid w:val="007871BC"/>
    <w:rsid w:val="007A288B"/>
    <w:rsid w:val="007B667F"/>
    <w:rsid w:val="007F351C"/>
    <w:rsid w:val="007F4E0F"/>
    <w:rsid w:val="008157CC"/>
    <w:rsid w:val="00823440"/>
    <w:rsid w:val="00831745"/>
    <w:rsid w:val="00833432"/>
    <w:rsid w:val="00851126"/>
    <w:rsid w:val="00864D6F"/>
    <w:rsid w:val="008659A3"/>
    <w:rsid w:val="0087385B"/>
    <w:rsid w:val="00891D8B"/>
    <w:rsid w:val="0089508C"/>
    <w:rsid w:val="00895D59"/>
    <w:rsid w:val="008A36B1"/>
    <w:rsid w:val="008A476B"/>
    <w:rsid w:val="008B1014"/>
    <w:rsid w:val="008B14D2"/>
    <w:rsid w:val="008B21D4"/>
    <w:rsid w:val="008B65BA"/>
    <w:rsid w:val="008C2EE7"/>
    <w:rsid w:val="008C4E71"/>
    <w:rsid w:val="008D657F"/>
    <w:rsid w:val="008D70A6"/>
    <w:rsid w:val="008F423F"/>
    <w:rsid w:val="008F48C2"/>
    <w:rsid w:val="009047ED"/>
    <w:rsid w:val="0090656C"/>
    <w:rsid w:val="00912162"/>
    <w:rsid w:val="009160BC"/>
    <w:rsid w:val="00920C67"/>
    <w:rsid w:val="009240FF"/>
    <w:rsid w:val="0093372C"/>
    <w:rsid w:val="00947676"/>
    <w:rsid w:val="00950E2E"/>
    <w:rsid w:val="0095173E"/>
    <w:rsid w:val="00954F65"/>
    <w:rsid w:val="00987E03"/>
    <w:rsid w:val="009956AE"/>
    <w:rsid w:val="0099655C"/>
    <w:rsid w:val="0099710B"/>
    <w:rsid w:val="009A6740"/>
    <w:rsid w:val="009B007B"/>
    <w:rsid w:val="009B2A7D"/>
    <w:rsid w:val="009D5342"/>
    <w:rsid w:val="009D6D76"/>
    <w:rsid w:val="009E0819"/>
    <w:rsid w:val="009E6EA8"/>
    <w:rsid w:val="009F0909"/>
    <w:rsid w:val="009F6E76"/>
    <w:rsid w:val="00A064F7"/>
    <w:rsid w:val="00A075EC"/>
    <w:rsid w:val="00A10925"/>
    <w:rsid w:val="00A215EF"/>
    <w:rsid w:val="00A235BF"/>
    <w:rsid w:val="00A30905"/>
    <w:rsid w:val="00A354B7"/>
    <w:rsid w:val="00A35B0D"/>
    <w:rsid w:val="00A47965"/>
    <w:rsid w:val="00A5196F"/>
    <w:rsid w:val="00A84554"/>
    <w:rsid w:val="00A938F3"/>
    <w:rsid w:val="00AB41A0"/>
    <w:rsid w:val="00AB5CDD"/>
    <w:rsid w:val="00AB7B37"/>
    <w:rsid w:val="00AC349A"/>
    <w:rsid w:val="00AC542A"/>
    <w:rsid w:val="00AC58F4"/>
    <w:rsid w:val="00B05C0B"/>
    <w:rsid w:val="00B20120"/>
    <w:rsid w:val="00B2605D"/>
    <w:rsid w:val="00B32679"/>
    <w:rsid w:val="00B366A7"/>
    <w:rsid w:val="00B42074"/>
    <w:rsid w:val="00B50A74"/>
    <w:rsid w:val="00B57727"/>
    <w:rsid w:val="00B603DE"/>
    <w:rsid w:val="00B85D7A"/>
    <w:rsid w:val="00B963BA"/>
    <w:rsid w:val="00B979C0"/>
    <w:rsid w:val="00BA3891"/>
    <w:rsid w:val="00BA5D4F"/>
    <w:rsid w:val="00BA62F1"/>
    <w:rsid w:val="00BB1FCE"/>
    <w:rsid w:val="00BB31A3"/>
    <w:rsid w:val="00BB5994"/>
    <w:rsid w:val="00BD090D"/>
    <w:rsid w:val="00BE2899"/>
    <w:rsid w:val="00BE3325"/>
    <w:rsid w:val="00BE6DD0"/>
    <w:rsid w:val="00BF1BF5"/>
    <w:rsid w:val="00BF760F"/>
    <w:rsid w:val="00C124C8"/>
    <w:rsid w:val="00C1474F"/>
    <w:rsid w:val="00C15693"/>
    <w:rsid w:val="00C537A4"/>
    <w:rsid w:val="00C652FD"/>
    <w:rsid w:val="00C670E5"/>
    <w:rsid w:val="00C7172D"/>
    <w:rsid w:val="00C80C21"/>
    <w:rsid w:val="00C8640D"/>
    <w:rsid w:val="00CA721F"/>
    <w:rsid w:val="00CB05E1"/>
    <w:rsid w:val="00CB56C3"/>
    <w:rsid w:val="00CB5FAA"/>
    <w:rsid w:val="00CD7FAA"/>
    <w:rsid w:val="00CE110B"/>
    <w:rsid w:val="00CE6F08"/>
    <w:rsid w:val="00CF31C2"/>
    <w:rsid w:val="00CF3FBA"/>
    <w:rsid w:val="00D0042F"/>
    <w:rsid w:val="00D029CC"/>
    <w:rsid w:val="00D059D4"/>
    <w:rsid w:val="00D108E4"/>
    <w:rsid w:val="00D13551"/>
    <w:rsid w:val="00D23051"/>
    <w:rsid w:val="00D3084C"/>
    <w:rsid w:val="00D359B9"/>
    <w:rsid w:val="00D36F26"/>
    <w:rsid w:val="00D45832"/>
    <w:rsid w:val="00D5078A"/>
    <w:rsid w:val="00D63165"/>
    <w:rsid w:val="00D750AB"/>
    <w:rsid w:val="00D81219"/>
    <w:rsid w:val="00DB2077"/>
    <w:rsid w:val="00DB57FA"/>
    <w:rsid w:val="00DB6F92"/>
    <w:rsid w:val="00DC22B1"/>
    <w:rsid w:val="00DC30D8"/>
    <w:rsid w:val="00DC6819"/>
    <w:rsid w:val="00DE4893"/>
    <w:rsid w:val="00DE746B"/>
    <w:rsid w:val="00E10E35"/>
    <w:rsid w:val="00E119E6"/>
    <w:rsid w:val="00E17809"/>
    <w:rsid w:val="00E232A7"/>
    <w:rsid w:val="00E3065C"/>
    <w:rsid w:val="00E40FB6"/>
    <w:rsid w:val="00E4414E"/>
    <w:rsid w:val="00E5056D"/>
    <w:rsid w:val="00E53794"/>
    <w:rsid w:val="00E60643"/>
    <w:rsid w:val="00E60DE8"/>
    <w:rsid w:val="00E66430"/>
    <w:rsid w:val="00E67C18"/>
    <w:rsid w:val="00E705BB"/>
    <w:rsid w:val="00E85D28"/>
    <w:rsid w:val="00E97BC4"/>
    <w:rsid w:val="00EA0FB3"/>
    <w:rsid w:val="00EA4AE0"/>
    <w:rsid w:val="00EB564A"/>
    <w:rsid w:val="00EB7F0D"/>
    <w:rsid w:val="00EC1886"/>
    <w:rsid w:val="00ED1462"/>
    <w:rsid w:val="00ED6535"/>
    <w:rsid w:val="00EE40BF"/>
    <w:rsid w:val="00EE73A7"/>
    <w:rsid w:val="00F037F0"/>
    <w:rsid w:val="00F062EE"/>
    <w:rsid w:val="00F11446"/>
    <w:rsid w:val="00F12691"/>
    <w:rsid w:val="00F317E5"/>
    <w:rsid w:val="00F369DB"/>
    <w:rsid w:val="00F4246B"/>
    <w:rsid w:val="00F5383D"/>
    <w:rsid w:val="00F57706"/>
    <w:rsid w:val="00F57EA3"/>
    <w:rsid w:val="00F61853"/>
    <w:rsid w:val="00F70D48"/>
    <w:rsid w:val="00F77CAB"/>
    <w:rsid w:val="00F92D41"/>
    <w:rsid w:val="00FA3D68"/>
    <w:rsid w:val="00FB5E59"/>
    <w:rsid w:val="00FD1108"/>
    <w:rsid w:val="00FD2794"/>
    <w:rsid w:val="00FD2E79"/>
    <w:rsid w:val="00FE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9004A"/>
  <w15:docId w15:val="{2E2B1759-57B6-4A7E-A177-AC562B6A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240"/>
      <w:ind w:left="720" w:hanging="720"/>
      <w:jc w:val="both"/>
      <w:outlineLvl w:val="0"/>
    </w:pPr>
    <w:rPr>
      <w:b/>
      <w:smallCaps/>
    </w:rPr>
  </w:style>
  <w:style w:type="paragraph" w:styleId="Heading2">
    <w:name w:val="heading 2"/>
    <w:basedOn w:val="Normal"/>
    <w:next w:val="Normal"/>
    <w:pPr>
      <w:spacing w:after="240"/>
      <w:ind w:left="1004" w:hanging="720"/>
      <w:jc w:val="both"/>
      <w:outlineLvl w:val="1"/>
    </w:pPr>
  </w:style>
  <w:style w:type="paragraph" w:styleId="Heading3">
    <w:name w:val="heading 3"/>
    <w:basedOn w:val="Normal"/>
    <w:next w:val="Normal"/>
    <w:pPr>
      <w:spacing w:after="240"/>
      <w:ind w:left="1800" w:hanging="1080"/>
      <w:jc w:val="both"/>
      <w:outlineLvl w:val="2"/>
    </w:pPr>
  </w:style>
  <w:style w:type="paragraph" w:styleId="Heading4">
    <w:name w:val="heading 4"/>
    <w:basedOn w:val="Normal"/>
    <w:next w:val="Normal"/>
    <w:pPr>
      <w:spacing w:after="240"/>
      <w:ind w:left="2880" w:hanging="1080"/>
      <w:jc w:val="both"/>
      <w:outlineLvl w:val="3"/>
    </w:pPr>
  </w:style>
  <w:style w:type="paragraph" w:styleId="Heading5">
    <w:name w:val="heading 5"/>
    <w:basedOn w:val="Normal"/>
    <w:next w:val="Normal"/>
    <w:pPr>
      <w:spacing w:after="240"/>
      <w:ind w:left="3600" w:hanging="720"/>
      <w:jc w:val="both"/>
      <w:outlineLvl w:val="4"/>
    </w:pPr>
  </w:style>
  <w:style w:type="paragraph" w:styleId="Heading6">
    <w:name w:val="heading 6"/>
    <w:basedOn w:val="Normal"/>
    <w:next w:val="Normal"/>
    <w:pPr>
      <w:spacing w:after="240"/>
      <w:ind w:left="4320" w:hanging="720"/>
      <w:jc w:val="both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sz w:val="24"/>
      <w:szCs w:val="24"/>
    </w:r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E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EA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EA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37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0"/>
  </w:style>
  <w:style w:type="paragraph" w:styleId="Footer">
    <w:name w:val="footer"/>
    <w:basedOn w:val="Normal"/>
    <w:link w:val="FooterChar"/>
    <w:unhideWhenUsed/>
    <w:rsid w:val="00F037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037F0"/>
  </w:style>
  <w:style w:type="paragraph" w:styleId="ListParagraph">
    <w:name w:val="List Paragraph"/>
    <w:basedOn w:val="Normal"/>
    <w:uiPriority w:val="34"/>
    <w:qFormat/>
    <w:rsid w:val="009047ED"/>
    <w:pPr>
      <w:ind w:left="720"/>
      <w:contextualSpacing/>
    </w:pPr>
  </w:style>
  <w:style w:type="paragraph" w:styleId="Revision">
    <w:name w:val="Revision"/>
    <w:hidden/>
    <w:uiPriority w:val="99"/>
    <w:semiHidden/>
    <w:rsid w:val="002517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TOC1">
    <w:name w:val="toc 1"/>
    <w:basedOn w:val="Normal"/>
    <w:next w:val="Normal"/>
    <w:autoRedefine/>
    <w:uiPriority w:val="39"/>
    <w:unhideWhenUsed/>
    <w:rsid w:val="00A4796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4796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4796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A4796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A479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  <w:ind w:left="880"/>
    </w:pPr>
    <w:rPr>
      <w:rFonts w:asciiTheme="minorHAnsi" w:eastAsiaTheme="minorEastAsia" w:hAnsiTheme="minorHAnsi" w:cstheme="minorBidi"/>
      <w:color w:val="auto"/>
    </w:rPr>
  </w:style>
  <w:style w:type="paragraph" w:styleId="TOC6">
    <w:name w:val="toc 6"/>
    <w:basedOn w:val="Normal"/>
    <w:next w:val="Normal"/>
    <w:autoRedefine/>
    <w:uiPriority w:val="39"/>
    <w:unhideWhenUsed/>
    <w:rsid w:val="00A479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  <w:ind w:left="1100"/>
    </w:pPr>
    <w:rPr>
      <w:rFonts w:asciiTheme="minorHAnsi" w:eastAsiaTheme="minorEastAsia" w:hAnsiTheme="minorHAnsi" w:cstheme="minorBidi"/>
      <w:color w:val="auto"/>
    </w:rPr>
  </w:style>
  <w:style w:type="paragraph" w:styleId="TOC7">
    <w:name w:val="toc 7"/>
    <w:basedOn w:val="Normal"/>
    <w:next w:val="Normal"/>
    <w:autoRedefine/>
    <w:uiPriority w:val="39"/>
    <w:unhideWhenUsed/>
    <w:rsid w:val="00A479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  <w:ind w:left="1320"/>
    </w:pPr>
    <w:rPr>
      <w:rFonts w:asciiTheme="minorHAnsi" w:eastAsiaTheme="minorEastAsia" w:hAnsiTheme="minorHAnsi" w:cstheme="minorBidi"/>
      <w:color w:val="auto"/>
    </w:rPr>
  </w:style>
  <w:style w:type="paragraph" w:styleId="TOC8">
    <w:name w:val="toc 8"/>
    <w:basedOn w:val="Normal"/>
    <w:next w:val="Normal"/>
    <w:autoRedefine/>
    <w:uiPriority w:val="39"/>
    <w:unhideWhenUsed/>
    <w:rsid w:val="00A479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  <w:ind w:left="1540"/>
    </w:pPr>
    <w:rPr>
      <w:rFonts w:asciiTheme="minorHAnsi" w:eastAsiaTheme="minorEastAsia" w:hAnsiTheme="minorHAnsi" w:cstheme="minorBidi"/>
      <w:color w:val="auto"/>
    </w:rPr>
  </w:style>
  <w:style w:type="paragraph" w:styleId="TOC9">
    <w:name w:val="toc 9"/>
    <w:basedOn w:val="Normal"/>
    <w:next w:val="Normal"/>
    <w:autoRedefine/>
    <w:uiPriority w:val="39"/>
    <w:unhideWhenUsed/>
    <w:rsid w:val="00A479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  <w:ind w:left="1760"/>
    </w:pPr>
    <w:rPr>
      <w:rFonts w:asciiTheme="minorHAnsi" w:eastAsiaTheme="minorEastAsia" w:hAnsiTheme="minorHAnsi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A47965"/>
    <w:rPr>
      <w:color w:val="0563C1" w:themeColor="hyperlink"/>
      <w:u w:val="single"/>
    </w:rPr>
  </w:style>
  <w:style w:type="paragraph" w:customStyle="1" w:styleId="MarginText">
    <w:name w:val="Margin Text"/>
    <w:basedOn w:val="BodyText"/>
    <w:link w:val="MarginTextChar"/>
    <w:uiPriority w:val="99"/>
    <w:rsid w:val="00256C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eastAsia="Times New Roman" w:cs="Times New Roman"/>
      <w:color w:val="auto"/>
      <w:sz w:val="24"/>
      <w:szCs w:val="20"/>
      <w:lang w:eastAsia="en-US"/>
    </w:rPr>
  </w:style>
  <w:style w:type="character" w:customStyle="1" w:styleId="MarginTextChar">
    <w:name w:val="Margin Text Char"/>
    <w:basedOn w:val="BodyTextChar"/>
    <w:link w:val="MarginText"/>
    <w:uiPriority w:val="99"/>
    <w:locked/>
    <w:rsid w:val="00256CCB"/>
    <w:rPr>
      <w:rFonts w:eastAsia="Times New Roman" w:cs="Times New Roman"/>
      <w:color w:val="auto"/>
      <w:sz w:val="24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56C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6CCB"/>
  </w:style>
  <w:style w:type="table" w:styleId="TableGrid">
    <w:name w:val="Table Grid"/>
    <w:basedOn w:val="TableNormal"/>
    <w:uiPriority w:val="39"/>
    <w:rsid w:val="000B5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cs.civilservice.gov.uk/wp-content/uploads/2016/01/GCS-Evaluation-Framework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cs.civilservice.gov.uk/wp-content/uploads/2016/01/GCS-Evaluation-Framework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cs.civilservice.gov.uk/wp-content/uploads/2016/01/GCS-Evaluation-Framework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9D244-1B33-4828-B958-9C0E68AA7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13</Pages>
  <Words>3266</Words>
  <Characters>18619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Jo Molyneux</cp:lastModifiedBy>
  <cp:revision>12</cp:revision>
  <cp:lastPrinted>2017-12-06T14:08:00Z</cp:lastPrinted>
  <dcterms:created xsi:type="dcterms:W3CDTF">2017-12-28T15:34:00Z</dcterms:created>
  <dcterms:modified xsi:type="dcterms:W3CDTF">2017-12-29T10:36:00Z</dcterms:modified>
</cp:coreProperties>
</file>