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F081" w14:textId="0A13FB6F" w:rsidR="009F6866" w:rsidRDefault="001C07F1" w:rsidP="00D91E8F">
      <w:pPr>
        <w:spacing w:after="0" w:line="240" w:lineRule="auto"/>
        <w:rPr>
          <w:rFonts w:ascii="Arial" w:hAnsi="Arial" w:cs="Arial"/>
          <w:b/>
          <w:bCs/>
          <w:sz w:val="28"/>
          <w:szCs w:val="28"/>
        </w:rPr>
      </w:pPr>
      <w:r>
        <w:rPr>
          <w:rFonts w:ascii="Arial" w:hAnsi="Arial" w:cs="Arial"/>
          <w:b/>
          <w:bCs/>
          <w:sz w:val="28"/>
          <w:szCs w:val="28"/>
        </w:rPr>
        <w:t xml:space="preserve">EOI </w:t>
      </w:r>
      <w:r w:rsidR="00211BB9">
        <w:rPr>
          <w:rFonts w:ascii="Arial" w:hAnsi="Arial" w:cs="Arial"/>
          <w:b/>
          <w:bCs/>
          <w:sz w:val="28"/>
          <w:szCs w:val="28"/>
        </w:rPr>
        <w:t>Title: P</w:t>
      </w:r>
      <w:r w:rsidR="009F6866" w:rsidRPr="009F6866">
        <w:rPr>
          <w:rFonts w:ascii="Arial" w:hAnsi="Arial" w:cs="Arial"/>
          <w:b/>
          <w:bCs/>
          <w:sz w:val="28"/>
          <w:szCs w:val="28"/>
        </w:rPr>
        <w:t xml:space="preserve">rovision of independent investment </w:t>
      </w:r>
      <w:r>
        <w:rPr>
          <w:rFonts w:ascii="Arial" w:hAnsi="Arial" w:cs="Arial"/>
          <w:b/>
          <w:bCs/>
          <w:sz w:val="28"/>
          <w:szCs w:val="28"/>
        </w:rPr>
        <w:t>advice on the</w:t>
      </w:r>
      <w:r w:rsidR="009F6866" w:rsidRPr="009F6866">
        <w:rPr>
          <w:rFonts w:ascii="Arial" w:hAnsi="Arial" w:cs="Arial"/>
          <w:b/>
          <w:bCs/>
          <w:sz w:val="28"/>
          <w:szCs w:val="28"/>
        </w:rPr>
        <w:t xml:space="preserve"> </w:t>
      </w:r>
      <w:r w:rsidR="00211BB9">
        <w:rPr>
          <w:rFonts w:ascii="Arial" w:hAnsi="Arial" w:cs="Arial"/>
          <w:b/>
          <w:bCs/>
          <w:sz w:val="28"/>
          <w:szCs w:val="28"/>
        </w:rPr>
        <w:t>3</w:t>
      </w:r>
      <w:r w:rsidR="00211BB9" w:rsidRPr="00211BB9">
        <w:rPr>
          <w:rFonts w:ascii="Arial" w:hAnsi="Arial" w:cs="Arial"/>
          <w:b/>
          <w:bCs/>
          <w:sz w:val="28"/>
          <w:szCs w:val="28"/>
          <w:vertAlign w:val="superscript"/>
        </w:rPr>
        <w:t>rd</w:t>
      </w:r>
      <w:r w:rsidR="00211BB9">
        <w:rPr>
          <w:rFonts w:ascii="Arial" w:hAnsi="Arial" w:cs="Arial"/>
          <w:b/>
          <w:bCs/>
          <w:sz w:val="28"/>
          <w:szCs w:val="28"/>
        </w:rPr>
        <w:t xml:space="preserve"> </w:t>
      </w:r>
      <w:r w:rsidR="009F6866" w:rsidRPr="009F6866">
        <w:rPr>
          <w:rFonts w:ascii="Arial" w:hAnsi="Arial" w:cs="Arial"/>
          <w:b/>
          <w:bCs/>
          <w:sz w:val="28"/>
          <w:szCs w:val="28"/>
        </w:rPr>
        <w:t>National Lottery Trust Fund Investments</w:t>
      </w:r>
    </w:p>
    <w:p w14:paraId="4C979DC8" w14:textId="77777777" w:rsidR="00211BB9" w:rsidRDefault="00211BB9" w:rsidP="00D91E8F">
      <w:pPr>
        <w:spacing w:after="0" w:line="240" w:lineRule="auto"/>
        <w:rPr>
          <w:rFonts w:ascii="Arial" w:hAnsi="Arial" w:cs="Arial"/>
          <w:b/>
          <w:bCs/>
          <w:sz w:val="28"/>
          <w:szCs w:val="28"/>
        </w:rPr>
      </w:pPr>
    </w:p>
    <w:p w14:paraId="780AADC7" w14:textId="06D9ACF8" w:rsidR="00D91E8F" w:rsidRDefault="001C07F1">
      <w:pPr>
        <w:rPr>
          <w:rFonts w:ascii="Arial" w:hAnsi="Arial" w:cs="Arial"/>
          <w:b/>
          <w:bCs/>
          <w:sz w:val="28"/>
          <w:szCs w:val="28"/>
        </w:rPr>
      </w:pPr>
      <w:r>
        <w:rPr>
          <w:rFonts w:ascii="Arial" w:hAnsi="Arial" w:cs="Arial"/>
          <w:b/>
          <w:bCs/>
          <w:sz w:val="28"/>
          <w:szCs w:val="28"/>
        </w:rPr>
        <w:t xml:space="preserve">EOI </w:t>
      </w:r>
      <w:r w:rsidR="00211BB9">
        <w:rPr>
          <w:rFonts w:ascii="Arial" w:hAnsi="Arial" w:cs="Arial"/>
          <w:b/>
          <w:bCs/>
          <w:sz w:val="28"/>
          <w:szCs w:val="28"/>
        </w:rPr>
        <w:t>Ref: 21-001</w:t>
      </w:r>
    </w:p>
    <w:p w14:paraId="0C850984" w14:textId="77777777" w:rsidR="00211BB9" w:rsidRDefault="00211BB9">
      <w:pPr>
        <w:rPr>
          <w:rFonts w:ascii="Arial" w:hAnsi="Arial" w:cs="Arial"/>
          <w:b/>
          <w:bCs/>
          <w:sz w:val="24"/>
          <w:szCs w:val="24"/>
        </w:rPr>
      </w:pPr>
    </w:p>
    <w:p w14:paraId="1E0CF2D0" w14:textId="6F8CEDA0" w:rsidR="00C815F3" w:rsidRPr="00D91E8F" w:rsidRDefault="00323F84">
      <w:pPr>
        <w:rPr>
          <w:rFonts w:ascii="Arial" w:hAnsi="Arial" w:cs="Arial"/>
          <w:b/>
          <w:bCs/>
          <w:sz w:val="24"/>
          <w:szCs w:val="24"/>
        </w:rPr>
      </w:pPr>
      <w:r w:rsidRPr="00D91E8F">
        <w:rPr>
          <w:rFonts w:ascii="Arial" w:hAnsi="Arial" w:cs="Arial"/>
          <w:b/>
          <w:bCs/>
          <w:sz w:val="24"/>
          <w:szCs w:val="24"/>
        </w:rPr>
        <w:t>Service Overview</w:t>
      </w:r>
    </w:p>
    <w:p w14:paraId="79845A16" w14:textId="7A6A8508" w:rsidR="00D91E8F" w:rsidRDefault="00211BB9" w:rsidP="00D91E8F">
      <w:pPr>
        <w:spacing w:after="0" w:line="240" w:lineRule="auto"/>
        <w:rPr>
          <w:rFonts w:ascii="Arial" w:hAnsi="Arial" w:cs="Arial"/>
          <w:sz w:val="24"/>
          <w:szCs w:val="24"/>
        </w:rPr>
      </w:pPr>
      <w:r>
        <w:rPr>
          <w:rFonts w:ascii="Arial" w:hAnsi="Arial" w:cs="Arial"/>
          <w:sz w:val="24"/>
          <w:szCs w:val="24"/>
        </w:rPr>
        <w:t>Appointment of</w:t>
      </w:r>
      <w:r w:rsidR="00323F84" w:rsidRPr="00D91E8F">
        <w:rPr>
          <w:rFonts w:ascii="Arial" w:hAnsi="Arial" w:cs="Arial"/>
          <w:sz w:val="24"/>
          <w:szCs w:val="24"/>
        </w:rPr>
        <w:t xml:space="preserve"> </w:t>
      </w:r>
      <w:r>
        <w:rPr>
          <w:rFonts w:ascii="Arial" w:hAnsi="Arial" w:cs="Arial"/>
          <w:sz w:val="24"/>
          <w:szCs w:val="24"/>
        </w:rPr>
        <w:t>a</w:t>
      </w:r>
      <w:r w:rsidR="00323F84" w:rsidRPr="00D91E8F">
        <w:rPr>
          <w:rFonts w:ascii="Arial" w:hAnsi="Arial" w:cs="Arial"/>
          <w:sz w:val="24"/>
          <w:szCs w:val="24"/>
        </w:rPr>
        <w:t xml:space="preserve"> </w:t>
      </w:r>
      <w:r w:rsidR="00F84601">
        <w:rPr>
          <w:rFonts w:ascii="Arial" w:hAnsi="Arial" w:cs="Arial"/>
          <w:sz w:val="24"/>
          <w:szCs w:val="24"/>
        </w:rPr>
        <w:t xml:space="preserve">Financial </w:t>
      </w:r>
      <w:r w:rsidR="002C0667">
        <w:rPr>
          <w:rFonts w:ascii="Arial" w:hAnsi="Arial" w:cs="Arial"/>
          <w:sz w:val="24"/>
          <w:szCs w:val="24"/>
        </w:rPr>
        <w:t xml:space="preserve">Advisor </w:t>
      </w:r>
      <w:r w:rsidR="001C07F1">
        <w:rPr>
          <w:rFonts w:ascii="Arial" w:hAnsi="Arial" w:cs="Arial"/>
          <w:sz w:val="24"/>
          <w:szCs w:val="24"/>
        </w:rPr>
        <w:t xml:space="preserve">to provide </w:t>
      </w:r>
      <w:r w:rsidR="00C431B2">
        <w:rPr>
          <w:rFonts w:ascii="Arial" w:hAnsi="Arial" w:cs="Arial"/>
          <w:sz w:val="24"/>
          <w:szCs w:val="24"/>
        </w:rPr>
        <w:t xml:space="preserve">independent </w:t>
      </w:r>
      <w:r w:rsidR="001C07F1">
        <w:rPr>
          <w:rFonts w:ascii="Arial" w:hAnsi="Arial" w:cs="Arial"/>
          <w:sz w:val="24"/>
          <w:szCs w:val="24"/>
        </w:rPr>
        <w:t>advice</w:t>
      </w:r>
      <w:r w:rsidR="00C431B2">
        <w:rPr>
          <w:rFonts w:ascii="Arial" w:hAnsi="Arial" w:cs="Arial"/>
          <w:sz w:val="24"/>
          <w:szCs w:val="24"/>
        </w:rPr>
        <w:t xml:space="preserve"> on</w:t>
      </w:r>
      <w:r w:rsidR="00323F84" w:rsidRPr="00D91E8F">
        <w:rPr>
          <w:rFonts w:ascii="Arial" w:hAnsi="Arial" w:cs="Arial"/>
          <w:sz w:val="24"/>
          <w:szCs w:val="24"/>
        </w:rPr>
        <w:t xml:space="preserve"> </w:t>
      </w:r>
      <w:r w:rsidR="00C431B2">
        <w:rPr>
          <w:rFonts w:ascii="Arial" w:hAnsi="Arial" w:cs="Arial"/>
          <w:sz w:val="24"/>
          <w:szCs w:val="24"/>
        </w:rPr>
        <w:t>the operation of</w:t>
      </w:r>
      <w:r w:rsidR="00323F84" w:rsidRPr="00D91E8F">
        <w:rPr>
          <w:rFonts w:ascii="Arial" w:hAnsi="Arial" w:cs="Arial"/>
          <w:sz w:val="24"/>
          <w:szCs w:val="24"/>
        </w:rPr>
        <w:t xml:space="preserve"> the 3</w:t>
      </w:r>
      <w:r w:rsidR="00323F84" w:rsidRPr="00D91E8F">
        <w:rPr>
          <w:rFonts w:ascii="Arial" w:hAnsi="Arial" w:cs="Arial"/>
          <w:sz w:val="24"/>
          <w:szCs w:val="24"/>
          <w:vertAlign w:val="superscript"/>
        </w:rPr>
        <w:t>rd</w:t>
      </w:r>
      <w:r w:rsidR="00323F84" w:rsidRPr="00D91E8F">
        <w:rPr>
          <w:rFonts w:ascii="Arial" w:hAnsi="Arial" w:cs="Arial"/>
          <w:sz w:val="24"/>
          <w:szCs w:val="24"/>
        </w:rPr>
        <w:t xml:space="preserve"> National Lottery Preferred and Alternative trust funds in accordance with</w:t>
      </w:r>
      <w:r w:rsidR="00C431B2">
        <w:rPr>
          <w:rFonts w:ascii="Arial" w:hAnsi="Arial" w:cs="Arial"/>
          <w:sz w:val="24"/>
          <w:szCs w:val="24"/>
        </w:rPr>
        <w:t xml:space="preserve"> the latest</w:t>
      </w:r>
      <w:r w:rsidR="00323F84" w:rsidRPr="00D91E8F">
        <w:rPr>
          <w:rFonts w:ascii="Arial" w:hAnsi="Arial" w:cs="Arial"/>
          <w:sz w:val="24"/>
          <w:szCs w:val="24"/>
        </w:rPr>
        <w:t xml:space="preserve"> Investment Guidelines.</w:t>
      </w:r>
    </w:p>
    <w:p w14:paraId="3EFDB971" w14:textId="1406DB16" w:rsidR="00323F84" w:rsidRDefault="00323F84" w:rsidP="00D91E8F">
      <w:pPr>
        <w:spacing w:after="0" w:line="240" w:lineRule="auto"/>
        <w:rPr>
          <w:rFonts w:ascii="Arial" w:hAnsi="Arial" w:cs="Arial"/>
          <w:sz w:val="24"/>
          <w:szCs w:val="24"/>
        </w:rPr>
      </w:pPr>
      <w:r w:rsidRPr="00D91E8F">
        <w:rPr>
          <w:rFonts w:ascii="Arial" w:hAnsi="Arial" w:cs="Arial"/>
          <w:sz w:val="24"/>
          <w:szCs w:val="24"/>
        </w:rPr>
        <w:t xml:space="preserve"> </w:t>
      </w:r>
    </w:p>
    <w:p w14:paraId="660F8493" w14:textId="77777777" w:rsidR="00D91E8F" w:rsidRPr="00D91E8F" w:rsidRDefault="00D91E8F" w:rsidP="00D91E8F">
      <w:pPr>
        <w:spacing w:after="0" w:line="240" w:lineRule="auto"/>
        <w:rPr>
          <w:rFonts w:ascii="Arial" w:hAnsi="Arial" w:cs="Arial"/>
          <w:sz w:val="24"/>
          <w:szCs w:val="24"/>
        </w:rPr>
      </w:pPr>
    </w:p>
    <w:p w14:paraId="346FE8AA" w14:textId="2158B8AA" w:rsidR="00323F84" w:rsidRDefault="00F97312" w:rsidP="00D91E8F">
      <w:pPr>
        <w:spacing w:after="0" w:line="240" w:lineRule="auto"/>
        <w:rPr>
          <w:rFonts w:ascii="Arial" w:hAnsi="Arial" w:cs="Arial"/>
          <w:b/>
          <w:bCs/>
          <w:sz w:val="24"/>
          <w:szCs w:val="24"/>
        </w:rPr>
      </w:pPr>
      <w:r w:rsidRPr="00D91E8F">
        <w:rPr>
          <w:rFonts w:ascii="Arial" w:hAnsi="Arial" w:cs="Arial"/>
          <w:b/>
          <w:bCs/>
          <w:sz w:val="24"/>
          <w:szCs w:val="24"/>
        </w:rPr>
        <w:t>Contract</w:t>
      </w:r>
      <w:r w:rsidR="00B9031A" w:rsidRPr="00D91E8F">
        <w:rPr>
          <w:rFonts w:ascii="Arial" w:hAnsi="Arial" w:cs="Arial"/>
          <w:b/>
          <w:bCs/>
          <w:sz w:val="24"/>
          <w:szCs w:val="24"/>
        </w:rPr>
        <w:t xml:space="preserve"> Duration</w:t>
      </w:r>
    </w:p>
    <w:p w14:paraId="63B11305" w14:textId="77777777" w:rsidR="00D91E8F" w:rsidRPr="00D91E8F" w:rsidRDefault="00D91E8F" w:rsidP="00D91E8F">
      <w:pPr>
        <w:spacing w:after="0" w:line="240" w:lineRule="auto"/>
        <w:rPr>
          <w:rFonts w:ascii="Arial" w:hAnsi="Arial" w:cs="Arial"/>
          <w:b/>
          <w:bCs/>
          <w:sz w:val="24"/>
          <w:szCs w:val="24"/>
        </w:rPr>
      </w:pPr>
    </w:p>
    <w:p w14:paraId="02C89823" w14:textId="12F29400" w:rsidR="00B9031A" w:rsidRDefault="00B9031A" w:rsidP="00D91E8F">
      <w:pPr>
        <w:spacing w:after="0" w:line="240" w:lineRule="auto"/>
        <w:rPr>
          <w:rFonts w:ascii="Arial" w:hAnsi="Arial" w:cs="Arial"/>
          <w:sz w:val="24"/>
          <w:szCs w:val="24"/>
        </w:rPr>
      </w:pPr>
      <w:r w:rsidRPr="00D91E8F">
        <w:rPr>
          <w:rFonts w:ascii="Arial" w:hAnsi="Arial" w:cs="Arial"/>
          <w:sz w:val="24"/>
          <w:szCs w:val="24"/>
        </w:rPr>
        <w:t>July 2021 – July 2023 (2 years)</w:t>
      </w:r>
      <w:r w:rsidR="00900EF6">
        <w:rPr>
          <w:rFonts w:ascii="Arial" w:hAnsi="Arial" w:cs="Arial"/>
          <w:sz w:val="24"/>
          <w:szCs w:val="24"/>
        </w:rPr>
        <w:t xml:space="preserve"> with </w:t>
      </w:r>
      <w:r w:rsidR="00400D42">
        <w:rPr>
          <w:rFonts w:ascii="Arial" w:hAnsi="Arial" w:cs="Arial"/>
          <w:sz w:val="24"/>
          <w:szCs w:val="24"/>
        </w:rPr>
        <w:t>a</w:t>
      </w:r>
      <w:r w:rsidR="001C07F1">
        <w:rPr>
          <w:rFonts w:ascii="Arial" w:hAnsi="Arial" w:cs="Arial"/>
          <w:sz w:val="24"/>
          <w:szCs w:val="24"/>
        </w:rPr>
        <w:t xml:space="preserve">n option to extend by a further </w:t>
      </w:r>
      <w:r w:rsidR="00900EF6">
        <w:rPr>
          <w:rFonts w:ascii="Arial" w:hAnsi="Arial" w:cs="Arial"/>
          <w:sz w:val="24"/>
          <w:szCs w:val="24"/>
        </w:rPr>
        <w:t>6 month</w:t>
      </w:r>
      <w:r w:rsidR="001C07F1">
        <w:rPr>
          <w:rFonts w:ascii="Arial" w:hAnsi="Arial" w:cs="Arial"/>
          <w:sz w:val="24"/>
          <w:szCs w:val="24"/>
        </w:rPr>
        <w:t>s.</w:t>
      </w:r>
    </w:p>
    <w:p w14:paraId="7C635A30" w14:textId="7C5DF455" w:rsidR="00D91E8F" w:rsidRDefault="00D91E8F" w:rsidP="00D91E8F">
      <w:pPr>
        <w:spacing w:after="0" w:line="240" w:lineRule="auto"/>
        <w:rPr>
          <w:rFonts w:ascii="Arial" w:hAnsi="Arial" w:cs="Arial"/>
          <w:sz w:val="24"/>
          <w:szCs w:val="24"/>
        </w:rPr>
      </w:pPr>
    </w:p>
    <w:p w14:paraId="3B736787" w14:textId="77777777" w:rsidR="00D91E8F" w:rsidRPr="00D91E8F" w:rsidRDefault="00D91E8F" w:rsidP="00D91E8F">
      <w:pPr>
        <w:spacing w:after="0" w:line="240" w:lineRule="auto"/>
        <w:rPr>
          <w:rFonts w:ascii="Arial" w:hAnsi="Arial" w:cs="Arial"/>
          <w:sz w:val="24"/>
          <w:szCs w:val="24"/>
        </w:rPr>
      </w:pPr>
    </w:p>
    <w:p w14:paraId="088CC83D" w14:textId="1B3388AD" w:rsidR="00323F84" w:rsidRDefault="00B9031A" w:rsidP="00D91E8F">
      <w:pPr>
        <w:spacing w:after="0" w:line="240" w:lineRule="auto"/>
        <w:rPr>
          <w:rFonts w:ascii="Arial" w:hAnsi="Arial" w:cs="Arial"/>
          <w:b/>
          <w:bCs/>
          <w:sz w:val="24"/>
          <w:szCs w:val="24"/>
        </w:rPr>
      </w:pPr>
      <w:r w:rsidRPr="00D91E8F">
        <w:rPr>
          <w:rFonts w:ascii="Arial" w:hAnsi="Arial" w:cs="Arial"/>
          <w:b/>
          <w:bCs/>
          <w:sz w:val="24"/>
          <w:szCs w:val="24"/>
        </w:rPr>
        <w:t>Budget</w:t>
      </w:r>
    </w:p>
    <w:p w14:paraId="230F10DE" w14:textId="77777777" w:rsidR="00D91E8F" w:rsidRPr="00D91E8F" w:rsidRDefault="00D91E8F" w:rsidP="00D91E8F">
      <w:pPr>
        <w:spacing w:after="0" w:line="240" w:lineRule="auto"/>
        <w:rPr>
          <w:rFonts w:ascii="Arial" w:hAnsi="Arial" w:cs="Arial"/>
          <w:b/>
          <w:bCs/>
          <w:sz w:val="24"/>
          <w:szCs w:val="24"/>
        </w:rPr>
      </w:pPr>
    </w:p>
    <w:p w14:paraId="76DE7254" w14:textId="07145194" w:rsidR="00B9031A" w:rsidRDefault="00B9031A" w:rsidP="00D91E8F">
      <w:pPr>
        <w:spacing w:after="0" w:line="240" w:lineRule="auto"/>
        <w:rPr>
          <w:rFonts w:ascii="Arial" w:hAnsi="Arial" w:cs="Arial"/>
          <w:sz w:val="24"/>
          <w:szCs w:val="24"/>
        </w:rPr>
      </w:pPr>
      <w:r w:rsidRPr="00D91E8F">
        <w:rPr>
          <w:rFonts w:ascii="Arial" w:hAnsi="Arial" w:cs="Arial"/>
          <w:sz w:val="24"/>
          <w:szCs w:val="24"/>
        </w:rPr>
        <w:t>c. £22k</w:t>
      </w:r>
      <w:r w:rsidR="00323F84" w:rsidRPr="00D91E8F">
        <w:rPr>
          <w:rFonts w:ascii="Arial" w:hAnsi="Arial" w:cs="Arial"/>
          <w:sz w:val="24"/>
          <w:szCs w:val="24"/>
        </w:rPr>
        <w:t xml:space="preserve"> p.a.</w:t>
      </w:r>
      <w:r w:rsidRPr="00D91E8F">
        <w:rPr>
          <w:rFonts w:ascii="Arial" w:hAnsi="Arial" w:cs="Arial"/>
          <w:sz w:val="24"/>
          <w:szCs w:val="24"/>
        </w:rPr>
        <w:t xml:space="preserve"> inc</w:t>
      </w:r>
      <w:r w:rsidR="00D91E8F">
        <w:rPr>
          <w:rFonts w:ascii="Arial" w:hAnsi="Arial" w:cs="Arial"/>
          <w:sz w:val="24"/>
          <w:szCs w:val="24"/>
        </w:rPr>
        <w:t>.</w:t>
      </w:r>
      <w:r w:rsidRPr="00D91E8F">
        <w:rPr>
          <w:rFonts w:ascii="Arial" w:hAnsi="Arial" w:cs="Arial"/>
          <w:sz w:val="24"/>
          <w:szCs w:val="24"/>
        </w:rPr>
        <w:t xml:space="preserve"> VAT</w:t>
      </w:r>
      <w:r w:rsidR="00D91E8F">
        <w:rPr>
          <w:rFonts w:ascii="Arial" w:hAnsi="Arial" w:cs="Arial"/>
          <w:sz w:val="24"/>
          <w:szCs w:val="24"/>
        </w:rPr>
        <w:t>.</w:t>
      </w:r>
    </w:p>
    <w:p w14:paraId="5B78621F" w14:textId="510D14CA" w:rsidR="00323F84" w:rsidRDefault="00323F84" w:rsidP="00D91E8F">
      <w:pPr>
        <w:spacing w:after="0" w:line="240" w:lineRule="auto"/>
        <w:rPr>
          <w:rFonts w:ascii="Arial" w:hAnsi="Arial" w:cs="Arial"/>
        </w:rPr>
      </w:pPr>
    </w:p>
    <w:p w14:paraId="7DE3744D" w14:textId="77777777" w:rsidR="00DA269B" w:rsidRDefault="00DA269B" w:rsidP="00D91E8F">
      <w:pPr>
        <w:spacing w:after="0" w:line="240" w:lineRule="auto"/>
        <w:rPr>
          <w:rFonts w:ascii="Arial" w:hAnsi="Arial" w:cs="Arial"/>
        </w:rPr>
      </w:pPr>
    </w:p>
    <w:p w14:paraId="1DF0AB02" w14:textId="47CA333A" w:rsidR="00330E27" w:rsidRPr="001C07F1" w:rsidRDefault="003B434B">
      <w:pPr>
        <w:rPr>
          <w:rFonts w:ascii="Arial" w:hAnsi="Arial" w:cs="Arial"/>
          <w:b/>
          <w:bCs/>
          <w:sz w:val="24"/>
          <w:szCs w:val="24"/>
        </w:rPr>
      </w:pPr>
      <w:r w:rsidRPr="001C07F1">
        <w:rPr>
          <w:rFonts w:ascii="Arial" w:hAnsi="Arial" w:cs="Arial"/>
          <w:b/>
          <w:bCs/>
          <w:sz w:val="24"/>
          <w:szCs w:val="24"/>
        </w:rPr>
        <w:t>Background</w:t>
      </w:r>
    </w:p>
    <w:p w14:paraId="085DC255" w14:textId="637E7439" w:rsidR="00047770" w:rsidRPr="001C07F1" w:rsidRDefault="007A356F" w:rsidP="002C6BB7">
      <w:pPr>
        <w:rPr>
          <w:rFonts w:ascii="Arial" w:hAnsi="Arial" w:cs="Arial"/>
          <w:sz w:val="24"/>
          <w:szCs w:val="24"/>
        </w:rPr>
      </w:pPr>
      <w:r w:rsidRPr="001C07F1">
        <w:rPr>
          <w:rFonts w:ascii="Arial" w:hAnsi="Arial" w:cs="Arial"/>
          <w:sz w:val="24"/>
          <w:szCs w:val="24"/>
        </w:rPr>
        <w:t xml:space="preserve">The work involved is specialist in nature, requiring </w:t>
      </w:r>
      <w:r w:rsidR="0088599D" w:rsidRPr="001C07F1">
        <w:rPr>
          <w:rFonts w:ascii="Arial" w:hAnsi="Arial" w:cs="Arial"/>
          <w:sz w:val="24"/>
          <w:szCs w:val="24"/>
        </w:rPr>
        <w:t xml:space="preserve">expert financial expertise and an understanding of the historical background to the Trust Deed </w:t>
      </w:r>
      <w:r w:rsidR="006A42A1" w:rsidRPr="001C07F1">
        <w:rPr>
          <w:rFonts w:ascii="Arial" w:hAnsi="Arial" w:cs="Arial"/>
          <w:sz w:val="24"/>
          <w:szCs w:val="24"/>
        </w:rPr>
        <w:t>arrangements</w:t>
      </w:r>
      <w:r w:rsidR="004260BD">
        <w:rPr>
          <w:rFonts w:ascii="Arial" w:hAnsi="Arial" w:cs="Arial"/>
          <w:sz w:val="24"/>
          <w:szCs w:val="24"/>
        </w:rPr>
        <w:t xml:space="preserve"> associated with the National Lottery</w:t>
      </w:r>
      <w:r w:rsidR="00917C5D" w:rsidRPr="001C07F1">
        <w:rPr>
          <w:rFonts w:ascii="Arial" w:hAnsi="Arial" w:cs="Arial"/>
          <w:sz w:val="24"/>
          <w:szCs w:val="24"/>
        </w:rPr>
        <w:t>,</w:t>
      </w:r>
      <w:r w:rsidR="006A42A1" w:rsidRPr="001C07F1">
        <w:rPr>
          <w:rFonts w:ascii="Arial" w:hAnsi="Arial" w:cs="Arial"/>
          <w:sz w:val="24"/>
          <w:szCs w:val="24"/>
        </w:rPr>
        <w:t xml:space="preserve"> </w:t>
      </w:r>
      <w:r w:rsidR="00917C5D" w:rsidRPr="001C07F1">
        <w:rPr>
          <w:rFonts w:ascii="Arial" w:hAnsi="Arial" w:cs="Arial"/>
          <w:sz w:val="24"/>
          <w:szCs w:val="24"/>
        </w:rPr>
        <w:t>together with</w:t>
      </w:r>
      <w:r w:rsidR="00D30C43" w:rsidRPr="001C07F1">
        <w:rPr>
          <w:rFonts w:ascii="Arial" w:hAnsi="Arial" w:cs="Arial"/>
          <w:sz w:val="24"/>
          <w:szCs w:val="24"/>
        </w:rPr>
        <w:t xml:space="preserve"> the</w:t>
      </w:r>
      <w:r w:rsidR="006A42A1" w:rsidRPr="001C07F1">
        <w:rPr>
          <w:rFonts w:ascii="Arial" w:hAnsi="Arial" w:cs="Arial"/>
          <w:sz w:val="24"/>
          <w:szCs w:val="24"/>
        </w:rPr>
        <w:t xml:space="preserve"> rationale for the current construct and how it has evolved</w:t>
      </w:r>
      <w:r w:rsidR="00EA6E8C" w:rsidRPr="001C07F1">
        <w:rPr>
          <w:rFonts w:ascii="Arial" w:hAnsi="Arial" w:cs="Arial"/>
          <w:sz w:val="24"/>
          <w:szCs w:val="24"/>
        </w:rPr>
        <w:t xml:space="preserve"> over time</w:t>
      </w:r>
      <w:r w:rsidR="006A42A1" w:rsidRPr="001C07F1">
        <w:rPr>
          <w:rFonts w:ascii="Arial" w:hAnsi="Arial" w:cs="Arial"/>
          <w:sz w:val="24"/>
          <w:szCs w:val="24"/>
        </w:rPr>
        <w:t>.</w:t>
      </w:r>
    </w:p>
    <w:p w14:paraId="1A6661F7" w14:textId="1977D5F0" w:rsidR="002C6BB7" w:rsidRPr="001C07F1" w:rsidRDefault="002C6BB7" w:rsidP="002C6BB7">
      <w:pPr>
        <w:rPr>
          <w:rFonts w:ascii="Arial" w:eastAsiaTheme="minorEastAsia" w:hAnsi="Arial" w:cs="Arial"/>
          <w:color w:val="000000" w:themeColor="text1"/>
          <w:kern w:val="24"/>
          <w:sz w:val="24"/>
          <w:szCs w:val="24"/>
          <w:lang w:eastAsia="en-GB"/>
        </w:rPr>
      </w:pPr>
      <w:r w:rsidRPr="001C07F1">
        <w:rPr>
          <w:rFonts w:ascii="Arial" w:eastAsiaTheme="minorEastAsia" w:hAnsi="Arial" w:cs="Arial"/>
          <w:color w:val="000000" w:themeColor="text1"/>
          <w:kern w:val="24"/>
          <w:sz w:val="24"/>
          <w:szCs w:val="24"/>
          <w:lang w:eastAsia="en-GB"/>
        </w:rPr>
        <w:t>The arrangements (</w:t>
      </w:r>
      <w:r w:rsidRPr="001C07F1">
        <w:rPr>
          <w:rFonts w:ascii="Arial" w:eastAsiaTheme="minorEastAsia" w:hAnsi="Arial" w:cs="Arial"/>
          <w:i/>
          <w:iCs/>
          <w:color w:val="000000" w:themeColor="text1"/>
          <w:kern w:val="24"/>
          <w:sz w:val="24"/>
          <w:szCs w:val="24"/>
          <w:lang w:eastAsia="en-GB"/>
        </w:rPr>
        <w:t>both the form and substance of the Trust arrangements</w:t>
      </w:r>
      <w:r w:rsidRPr="001C07F1">
        <w:rPr>
          <w:rFonts w:ascii="Arial" w:eastAsiaTheme="minorEastAsia" w:hAnsi="Arial" w:cs="Arial"/>
          <w:color w:val="000000" w:themeColor="text1"/>
          <w:kern w:val="24"/>
          <w:sz w:val="24"/>
          <w:szCs w:val="24"/>
          <w:lang w:eastAsia="en-GB"/>
        </w:rPr>
        <w:t>) are approved by the Commission under powers acquired under the Third Licence</w:t>
      </w:r>
      <w:r w:rsidRPr="001C07F1">
        <w:rPr>
          <w:rFonts w:ascii="Arial" w:eastAsiaTheme="minorEastAsia" w:hAnsi="Arial" w:cs="Arial"/>
          <w:i/>
          <w:iCs/>
          <w:color w:val="000000" w:themeColor="text1"/>
          <w:kern w:val="24"/>
          <w:sz w:val="24"/>
          <w:szCs w:val="24"/>
          <w:lang w:eastAsia="en-GB"/>
        </w:rPr>
        <w:t>.</w:t>
      </w:r>
      <w:r w:rsidRPr="001C07F1">
        <w:rPr>
          <w:rFonts w:ascii="Times New Roman" w:eastAsia="Times New Roman" w:hAnsi="Times New Roman" w:cs="Times New Roman"/>
          <w:color w:val="1A97B5"/>
          <w:sz w:val="24"/>
          <w:szCs w:val="24"/>
          <w:lang w:eastAsia="en-GB"/>
        </w:rPr>
        <w:t xml:space="preserve"> </w:t>
      </w:r>
      <w:r w:rsidRPr="001C07F1">
        <w:rPr>
          <w:rFonts w:ascii="Arial" w:eastAsiaTheme="minorEastAsia" w:hAnsi="Arial" w:cs="Arial"/>
          <w:color w:val="000000" w:themeColor="text1"/>
          <w:kern w:val="24"/>
          <w:sz w:val="24"/>
          <w:szCs w:val="24"/>
          <w:lang w:eastAsia="en-GB"/>
        </w:rPr>
        <w:t>Any changes to the Trust arrangements cannot be made by the operator without the consent of the Commission (including arrangements related to the Euromillions Framework a</w:t>
      </w:r>
      <w:r w:rsidR="00FD34CF" w:rsidRPr="001C07F1">
        <w:rPr>
          <w:rFonts w:ascii="Arial" w:eastAsiaTheme="minorEastAsia" w:hAnsi="Arial" w:cs="Arial"/>
          <w:color w:val="000000" w:themeColor="text1"/>
          <w:kern w:val="24"/>
          <w:sz w:val="24"/>
          <w:szCs w:val="24"/>
          <w:lang w:eastAsia="en-GB"/>
        </w:rPr>
        <w:t>n</w:t>
      </w:r>
      <w:r w:rsidRPr="001C07F1">
        <w:rPr>
          <w:rFonts w:ascii="Arial" w:eastAsiaTheme="minorEastAsia" w:hAnsi="Arial" w:cs="Arial"/>
          <w:color w:val="000000" w:themeColor="text1"/>
          <w:kern w:val="24"/>
          <w:sz w:val="24"/>
          <w:szCs w:val="24"/>
          <w:lang w:eastAsia="en-GB"/>
        </w:rPr>
        <w:t xml:space="preserve">d Lottery Operators Agreement). </w:t>
      </w:r>
    </w:p>
    <w:p w14:paraId="64C91087" w14:textId="20575E49" w:rsidR="002C6BB7" w:rsidRDefault="00724D88" w:rsidP="00045FFC">
      <w:pPr>
        <w:spacing w:after="0" w:line="240" w:lineRule="auto"/>
        <w:rPr>
          <w:rFonts w:ascii="Arial" w:eastAsiaTheme="minorEastAsia" w:hAnsi="Arial" w:cs="Arial"/>
          <w:color w:val="000000" w:themeColor="text1"/>
          <w:kern w:val="24"/>
          <w:sz w:val="24"/>
          <w:szCs w:val="24"/>
          <w:lang w:eastAsia="en-GB"/>
        </w:rPr>
      </w:pPr>
      <w:r w:rsidRPr="001C07F1">
        <w:rPr>
          <w:rFonts w:ascii="Arial" w:eastAsiaTheme="minorEastAsia" w:hAnsi="Arial" w:cs="Arial"/>
          <w:color w:val="000000" w:themeColor="text1"/>
          <w:kern w:val="24"/>
          <w:sz w:val="24"/>
          <w:szCs w:val="24"/>
          <w:lang w:eastAsia="en-GB"/>
        </w:rPr>
        <w:t>Specifically, t</w:t>
      </w:r>
      <w:r w:rsidR="002C6BB7" w:rsidRPr="001C07F1">
        <w:rPr>
          <w:rFonts w:ascii="Arial" w:eastAsiaTheme="minorEastAsia" w:hAnsi="Arial" w:cs="Arial"/>
          <w:color w:val="000000" w:themeColor="text1"/>
          <w:kern w:val="24"/>
          <w:sz w:val="24"/>
          <w:szCs w:val="24"/>
          <w:lang w:eastAsia="en-GB"/>
        </w:rPr>
        <w:t>he Commission approves and agrees procedures regarding the transfer and use of monies taken from the Prize Reserve Trust Accounts. It also approves Trust Investment Guidelines (safeguards and restrictions) and associated financial vehicles for Trust Interest monies to be invested. At present, Law Debenture has an authorised investment vehicle agreement in place with two separate Government Liquidity Fund providers (</w:t>
      </w:r>
      <w:r w:rsidR="002C6BB7" w:rsidRPr="001C07F1">
        <w:rPr>
          <w:rFonts w:ascii="Arial" w:eastAsiaTheme="minorEastAsia" w:hAnsi="Arial" w:cs="Arial"/>
          <w:i/>
          <w:iCs/>
          <w:color w:val="000000" w:themeColor="text1"/>
          <w:kern w:val="24"/>
          <w:sz w:val="24"/>
          <w:szCs w:val="24"/>
          <w:lang w:eastAsia="en-GB"/>
        </w:rPr>
        <w:t>Blackrock and Insight)</w:t>
      </w:r>
      <w:r w:rsidR="002C6BB7" w:rsidRPr="001C07F1">
        <w:rPr>
          <w:rFonts w:ascii="Arial" w:eastAsiaTheme="minorEastAsia" w:hAnsi="Arial" w:cs="Arial"/>
          <w:color w:val="000000" w:themeColor="text1"/>
          <w:kern w:val="24"/>
          <w:sz w:val="24"/>
          <w:szCs w:val="24"/>
          <w:lang w:eastAsia="en-GB"/>
        </w:rPr>
        <w:t xml:space="preserve">. </w:t>
      </w:r>
    </w:p>
    <w:p w14:paraId="70E2D627" w14:textId="493E7C98" w:rsidR="00E37D00" w:rsidRDefault="00E37D00" w:rsidP="00045FFC">
      <w:pPr>
        <w:spacing w:after="0" w:line="240" w:lineRule="auto"/>
        <w:rPr>
          <w:rFonts w:ascii="Arial" w:eastAsiaTheme="minorEastAsia" w:hAnsi="Arial" w:cs="Arial"/>
          <w:color w:val="000000" w:themeColor="text1"/>
          <w:kern w:val="24"/>
          <w:sz w:val="24"/>
          <w:szCs w:val="24"/>
          <w:lang w:eastAsia="en-GB"/>
        </w:rPr>
      </w:pPr>
    </w:p>
    <w:p w14:paraId="7757527E" w14:textId="77777777" w:rsidR="002C0667" w:rsidRDefault="00E37D00" w:rsidP="002C6BB7">
      <w:pPr>
        <w:rPr>
          <w:rFonts w:ascii="Arial" w:hAnsi="Arial" w:cs="Arial"/>
          <w:sz w:val="24"/>
          <w:szCs w:val="24"/>
        </w:rPr>
      </w:pPr>
      <w:r w:rsidRPr="001C07F1">
        <w:rPr>
          <w:rFonts w:ascii="Arial" w:hAnsi="Arial" w:cs="Arial"/>
          <w:sz w:val="24"/>
          <w:szCs w:val="24"/>
        </w:rPr>
        <w:t>As we near the end of the Third Licence period, it is likely the Commission will need to approve material amendments related to the Trust arrangements in order protect player funds and to safeguard assets</w:t>
      </w:r>
      <w:r w:rsidRPr="002C0667">
        <w:rPr>
          <w:rFonts w:ascii="Arial" w:hAnsi="Arial" w:cs="Arial"/>
          <w:sz w:val="24"/>
          <w:szCs w:val="24"/>
        </w:rPr>
        <w:t>.</w:t>
      </w:r>
    </w:p>
    <w:p w14:paraId="33BC446B" w14:textId="6C04A861" w:rsidR="00724D88" w:rsidRPr="002C0667" w:rsidRDefault="002C0667" w:rsidP="002C6BB7">
      <w:pPr>
        <w:rPr>
          <w:rFonts w:ascii="Arial" w:hAnsi="Arial" w:cs="Arial"/>
          <w:sz w:val="24"/>
          <w:szCs w:val="24"/>
        </w:rPr>
      </w:pPr>
      <w:r w:rsidRPr="002C0667">
        <w:rPr>
          <w:rFonts w:ascii="Arial" w:hAnsi="Arial" w:cs="Arial"/>
          <w:sz w:val="24"/>
          <w:szCs w:val="24"/>
        </w:rPr>
        <w:t>We will also need Advice on the closure and/or transfer of funds from the Prize Reserve Trusts under the current Trust Deed</w:t>
      </w:r>
      <w:r>
        <w:rPr>
          <w:rFonts w:ascii="Arial" w:hAnsi="Arial" w:cs="Arial"/>
          <w:sz w:val="24"/>
          <w:szCs w:val="24"/>
        </w:rPr>
        <w:t>.</w:t>
      </w:r>
    </w:p>
    <w:p w14:paraId="7C47D137" w14:textId="77777777" w:rsidR="002C0667" w:rsidRDefault="002C0667" w:rsidP="002C6BB7">
      <w:pPr>
        <w:rPr>
          <w:rFonts w:ascii="Arial" w:hAnsi="Arial" w:cs="Arial"/>
          <w:sz w:val="24"/>
          <w:szCs w:val="24"/>
        </w:rPr>
      </w:pPr>
    </w:p>
    <w:p w14:paraId="277A8DB3" w14:textId="77777777" w:rsidR="00800C1C" w:rsidRPr="001C07F1" w:rsidRDefault="00800C1C" w:rsidP="00800C1C">
      <w:pPr>
        <w:rPr>
          <w:rFonts w:ascii="Arial" w:hAnsi="Arial" w:cs="Arial"/>
          <w:b/>
          <w:bCs/>
          <w:sz w:val="24"/>
          <w:szCs w:val="24"/>
        </w:rPr>
      </w:pPr>
      <w:r w:rsidRPr="001C07F1">
        <w:rPr>
          <w:rFonts w:ascii="Arial" w:hAnsi="Arial" w:cs="Arial"/>
          <w:b/>
          <w:bCs/>
          <w:sz w:val="24"/>
          <w:szCs w:val="24"/>
        </w:rPr>
        <w:lastRenderedPageBreak/>
        <w:t>Contract Management</w:t>
      </w:r>
    </w:p>
    <w:p w14:paraId="5970D096" w14:textId="6A321407" w:rsidR="00800C1C" w:rsidRDefault="00800C1C" w:rsidP="00800C1C">
      <w:pPr>
        <w:rPr>
          <w:rFonts w:ascii="Arial" w:hAnsi="Arial" w:cs="Arial"/>
          <w:sz w:val="24"/>
          <w:szCs w:val="24"/>
        </w:rPr>
      </w:pPr>
      <w:r w:rsidRPr="001C07F1">
        <w:rPr>
          <w:rFonts w:ascii="Arial" w:hAnsi="Arial" w:cs="Arial"/>
          <w:sz w:val="24"/>
          <w:szCs w:val="24"/>
        </w:rPr>
        <w:t>The 3NL Licencing Team are responsibility for this contract.</w:t>
      </w:r>
    </w:p>
    <w:p w14:paraId="1E3743DC" w14:textId="3497E5D6" w:rsidR="002C0667" w:rsidRDefault="002C0667" w:rsidP="00800C1C">
      <w:pPr>
        <w:rPr>
          <w:rFonts w:ascii="Arial" w:hAnsi="Arial" w:cs="Arial"/>
          <w:sz w:val="24"/>
          <w:szCs w:val="24"/>
        </w:rPr>
      </w:pPr>
      <w:r>
        <w:rPr>
          <w:rFonts w:ascii="Arial" w:hAnsi="Arial" w:cs="Arial"/>
          <w:sz w:val="24"/>
          <w:szCs w:val="24"/>
        </w:rPr>
        <w:t>For the purposes of this requirement, the Consultant should regard us as a Retail Client.</w:t>
      </w:r>
    </w:p>
    <w:p w14:paraId="4811D0A5" w14:textId="77777777" w:rsidR="002C0667" w:rsidRDefault="002C0667" w:rsidP="00800C1C">
      <w:pPr>
        <w:rPr>
          <w:rFonts w:ascii="Arial" w:hAnsi="Arial" w:cs="Arial"/>
          <w:sz w:val="24"/>
          <w:szCs w:val="24"/>
        </w:rPr>
      </w:pPr>
    </w:p>
    <w:p w14:paraId="1C68D0B0" w14:textId="440D9DF0" w:rsidR="007270FA" w:rsidRPr="00800C1C" w:rsidRDefault="007270FA" w:rsidP="00800C1C">
      <w:pPr>
        <w:rPr>
          <w:rFonts w:ascii="Arial" w:hAnsi="Arial" w:cs="Arial"/>
          <w:sz w:val="24"/>
          <w:szCs w:val="24"/>
        </w:rPr>
      </w:pPr>
      <w:r w:rsidRPr="00D91E8F">
        <w:rPr>
          <w:rFonts w:ascii="Arial" w:hAnsi="Arial" w:cs="Arial"/>
          <w:b/>
          <w:bCs/>
          <w:sz w:val="24"/>
          <w:szCs w:val="24"/>
        </w:rPr>
        <w:t>Scope:</w:t>
      </w:r>
    </w:p>
    <w:p w14:paraId="7C1ABA6A" w14:textId="77777777" w:rsidR="007270FA" w:rsidRDefault="007270FA" w:rsidP="007270FA">
      <w:pPr>
        <w:rPr>
          <w:rFonts w:ascii="Arial" w:hAnsi="Arial" w:cs="Arial"/>
        </w:rPr>
      </w:pPr>
    </w:p>
    <w:p w14:paraId="286E637A" w14:textId="4259170A" w:rsidR="007270FA" w:rsidRPr="001C07F1" w:rsidRDefault="007270FA" w:rsidP="007270FA">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 xml:space="preserve">The </w:t>
      </w:r>
      <w:r w:rsidR="002C0667">
        <w:rPr>
          <w:rFonts w:ascii="Arial" w:eastAsiaTheme="minorEastAsia" w:hAnsi="Arial" w:cs="Arial"/>
          <w:color w:val="000000" w:themeColor="text1"/>
          <w:kern w:val="24"/>
          <w:sz w:val="24"/>
          <w:szCs w:val="24"/>
          <w:lang w:eastAsia="en-GB"/>
        </w:rPr>
        <w:t xml:space="preserve">Advisor </w:t>
      </w:r>
      <w:r>
        <w:rPr>
          <w:rFonts w:ascii="Arial" w:eastAsiaTheme="minorEastAsia" w:hAnsi="Arial" w:cs="Arial"/>
          <w:color w:val="000000" w:themeColor="text1"/>
          <w:kern w:val="24"/>
          <w:sz w:val="24"/>
          <w:szCs w:val="24"/>
          <w:lang w:eastAsia="en-GB"/>
        </w:rPr>
        <w:t xml:space="preserve">shall be required to provide </w:t>
      </w:r>
      <w:r w:rsidRPr="001C07F1">
        <w:rPr>
          <w:rFonts w:ascii="Arial" w:eastAsiaTheme="minorEastAsia" w:hAnsi="Arial" w:cs="Arial"/>
          <w:color w:val="000000" w:themeColor="text1"/>
          <w:kern w:val="24"/>
          <w:sz w:val="24"/>
          <w:szCs w:val="24"/>
          <w:lang w:eastAsia="en-GB"/>
        </w:rPr>
        <w:t>Professional advice and monitoring as follows:</w:t>
      </w:r>
    </w:p>
    <w:p w14:paraId="2DEB199C" w14:textId="77777777" w:rsidR="007270FA" w:rsidRPr="001C07F1" w:rsidRDefault="007270FA" w:rsidP="007270FA">
      <w:pPr>
        <w:pStyle w:val="ListParagraph"/>
        <w:numPr>
          <w:ilvl w:val="0"/>
          <w:numId w:val="7"/>
        </w:numPr>
        <w:rPr>
          <w:rFonts w:ascii="Arial" w:hAnsi="Arial" w:cs="Arial"/>
        </w:rPr>
      </w:pPr>
      <w:r w:rsidRPr="001C07F1">
        <w:rPr>
          <w:rFonts w:ascii="Arial" w:hAnsi="Arial" w:cs="Arial"/>
        </w:rPr>
        <w:t xml:space="preserve">on-going monitoring of the suitability of </w:t>
      </w:r>
      <w:r>
        <w:rPr>
          <w:rFonts w:ascii="Arial" w:hAnsi="Arial" w:cs="Arial"/>
        </w:rPr>
        <w:t xml:space="preserve">(1) </w:t>
      </w:r>
      <w:r w:rsidRPr="001C07F1">
        <w:rPr>
          <w:rFonts w:ascii="Arial" w:hAnsi="Arial" w:cs="Arial"/>
        </w:rPr>
        <w:t>the</w:t>
      </w:r>
      <w:r>
        <w:rPr>
          <w:rFonts w:ascii="Arial" w:hAnsi="Arial" w:cs="Arial"/>
        </w:rPr>
        <w:t xml:space="preserve"> </w:t>
      </w:r>
      <w:r w:rsidRPr="001C07F1">
        <w:rPr>
          <w:rFonts w:ascii="Arial" w:hAnsi="Arial" w:cs="Arial"/>
        </w:rPr>
        <w:t xml:space="preserve">‘Preferred Sterling Government Liquidity Fund’ and </w:t>
      </w:r>
      <w:r>
        <w:rPr>
          <w:rFonts w:ascii="Arial" w:hAnsi="Arial" w:cs="Arial"/>
        </w:rPr>
        <w:t xml:space="preserve">(2) </w:t>
      </w:r>
      <w:r w:rsidRPr="001C07F1">
        <w:rPr>
          <w:rFonts w:ascii="Arial" w:hAnsi="Arial" w:cs="Arial"/>
        </w:rPr>
        <w:t>the ‘Alternative Sterling Government Liquidity Fund as an NL investment in the form of twice yearly reports, with the report being followed up with a discussion/conversation to explain the implications within a 14 day period of being in receipt of that report;</w:t>
      </w:r>
    </w:p>
    <w:p w14:paraId="2F424ACB" w14:textId="77777777" w:rsidR="007270FA" w:rsidRPr="001C07F1" w:rsidRDefault="007270FA" w:rsidP="007270FA">
      <w:pPr>
        <w:pStyle w:val="ListParagraph"/>
        <w:numPr>
          <w:ilvl w:val="0"/>
          <w:numId w:val="7"/>
        </w:numPr>
        <w:rPr>
          <w:rFonts w:ascii="Arial" w:hAnsi="Arial" w:cs="Arial"/>
        </w:rPr>
      </w:pPr>
      <w:r w:rsidRPr="001C07F1">
        <w:rPr>
          <w:rFonts w:ascii="Arial" w:hAnsi="Arial" w:cs="Arial"/>
        </w:rPr>
        <w:t xml:space="preserve">any ad hoc advice in respect of the Trust and associated arrangements, for example </w:t>
      </w:r>
    </w:p>
    <w:p w14:paraId="1D3C0E69" w14:textId="77777777" w:rsidR="007270FA" w:rsidRPr="001C07F1" w:rsidRDefault="007270FA" w:rsidP="007270FA">
      <w:pPr>
        <w:pStyle w:val="ListParagraph"/>
        <w:numPr>
          <w:ilvl w:val="1"/>
          <w:numId w:val="7"/>
        </w:numPr>
        <w:rPr>
          <w:rFonts w:ascii="Arial" w:hAnsi="Arial" w:cs="Arial"/>
        </w:rPr>
      </w:pPr>
      <w:r w:rsidRPr="001C07F1">
        <w:rPr>
          <w:rFonts w:ascii="Arial" w:eastAsiaTheme="minorEastAsia" w:hAnsi="Arial" w:cs="Arial"/>
          <w:color w:val="000000" w:themeColor="text1"/>
          <w:kern w:val="24"/>
        </w:rPr>
        <w:t>on the Trust Investment Guidelines (safeguards and restrictions)</w:t>
      </w:r>
    </w:p>
    <w:p w14:paraId="2401A29F" w14:textId="77777777" w:rsidR="007270FA" w:rsidRPr="001C07F1" w:rsidRDefault="007270FA" w:rsidP="007270FA">
      <w:pPr>
        <w:pStyle w:val="ListParagraph"/>
        <w:numPr>
          <w:ilvl w:val="1"/>
          <w:numId w:val="7"/>
        </w:numPr>
        <w:rPr>
          <w:rFonts w:ascii="Arial" w:hAnsi="Arial" w:cs="Arial"/>
        </w:rPr>
      </w:pPr>
      <w:r w:rsidRPr="001C07F1">
        <w:rPr>
          <w:rFonts w:ascii="Arial" w:eastAsiaTheme="minorEastAsia" w:hAnsi="Arial" w:cs="Arial"/>
          <w:color w:val="000000" w:themeColor="text1"/>
          <w:kern w:val="24"/>
        </w:rPr>
        <w:t>on any amendments to the form and substance of the Trust arrangements, including the EuroMillions Trust Deed and associated Framework</w:t>
      </w:r>
    </w:p>
    <w:p w14:paraId="6DC86462" w14:textId="77777777" w:rsidR="007270FA" w:rsidRPr="001C07F1" w:rsidRDefault="007270FA" w:rsidP="007270FA">
      <w:pPr>
        <w:pStyle w:val="ListParagraph"/>
        <w:numPr>
          <w:ilvl w:val="1"/>
          <w:numId w:val="7"/>
        </w:numPr>
        <w:rPr>
          <w:rFonts w:ascii="Arial" w:hAnsi="Arial" w:cs="Arial"/>
        </w:rPr>
      </w:pPr>
      <w:r w:rsidRPr="001C07F1">
        <w:rPr>
          <w:rFonts w:ascii="Arial" w:hAnsi="Arial" w:cs="Arial"/>
        </w:rPr>
        <w:t>on end of Third Licence and the associated Trust management (transfer etc)</w:t>
      </w:r>
    </w:p>
    <w:p w14:paraId="321963B2" w14:textId="1B636252" w:rsidR="00045FFC" w:rsidRPr="001C07F1" w:rsidRDefault="00045FFC" w:rsidP="00045FFC">
      <w:pPr>
        <w:rPr>
          <w:rFonts w:ascii="Arial" w:hAnsi="Arial" w:cs="Arial"/>
          <w:sz w:val="24"/>
          <w:szCs w:val="24"/>
        </w:rPr>
      </w:pPr>
    </w:p>
    <w:p w14:paraId="131278B6" w14:textId="2A9BBB88" w:rsidR="00045FFC" w:rsidRPr="001C07F1" w:rsidRDefault="00800C1C" w:rsidP="007270FA">
      <w:pPr>
        <w:rPr>
          <w:rFonts w:ascii="Arial" w:hAnsi="Arial" w:cs="Arial"/>
          <w:sz w:val="24"/>
          <w:szCs w:val="24"/>
        </w:rPr>
      </w:pPr>
      <w:r>
        <w:rPr>
          <w:rFonts w:ascii="Arial" w:hAnsi="Arial" w:cs="Arial"/>
          <w:sz w:val="24"/>
          <w:szCs w:val="24"/>
        </w:rPr>
        <w:t>The objective of the Consultants activity is</w:t>
      </w:r>
      <w:r w:rsidR="001733B0">
        <w:rPr>
          <w:rFonts w:ascii="Arial" w:hAnsi="Arial" w:cs="Arial"/>
          <w:sz w:val="24"/>
          <w:szCs w:val="24"/>
        </w:rPr>
        <w:t xml:space="preserve"> to support the Commission to meet</w:t>
      </w:r>
      <w:r w:rsidR="001733B0" w:rsidRPr="001C07F1">
        <w:rPr>
          <w:rFonts w:ascii="Arial" w:hAnsi="Arial" w:cs="Arial"/>
          <w:sz w:val="24"/>
          <w:szCs w:val="24"/>
        </w:rPr>
        <w:t xml:space="preserve"> </w:t>
      </w:r>
      <w:r w:rsidR="001733B0">
        <w:rPr>
          <w:rFonts w:ascii="Arial" w:hAnsi="Arial" w:cs="Arial"/>
          <w:sz w:val="24"/>
          <w:szCs w:val="24"/>
        </w:rPr>
        <w:t xml:space="preserve">its duties </w:t>
      </w:r>
      <w:r w:rsidRPr="001C07F1">
        <w:rPr>
          <w:rFonts w:ascii="Arial" w:hAnsi="Arial" w:cs="Arial"/>
          <w:sz w:val="24"/>
          <w:szCs w:val="24"/>
        </w:rPr>
        <w:t>under the National Lottery Act</w:t>
      </w:r>
      <w:r>
        <w:rPr>
          <w:rFonts w:ascii="Arial" w:hAnsi="Arial" w:cs="Arial"/>
          <w:sz w:val="24"/>
          <w:szCs w:val="24"/>
        </w:rPr>
        <w:t xml:space="preserve"> </w:t>
      </w:r>
      <w:r w:rsidR="007270FA">
        <w:rPr>
          <w:rFonts w:ascii="Arial" w:hAnsi="Arial" w:cs="Arial"/>
          <w:sz w:val="24"/>
          <w:szCs w:val="24"/>
        </w:rPr>
        <w:t>to the highest standard</w:t>
      </w:r>
      <w:r>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w:t>
      </w:r>
    </w:p>
    <w:p w14:paraId="46AD97D0" w14:textId="77777777" w:rsidR="00045FFC" w:rsidRPr="001C07F1" w:rsidRDefault="00045FFC" w:rsidP="007270FA">
      <w:pPr>
        <w:pStyle w:val="ListParagraph"/>
        <w:numPr>
          <w:ilvl w:val="0"/>
          <w:numId w:val="4"/>
        </w:numPr>
        <w:spacing w:after="240"/>
        <w:ind w:left="360"/>
        <w:rPr>
          <w:rFonts w:ascii="Arial" w:hAnsi="Arial" w:cs="Arial"/>
        </w:rPr>
      </w:pPr>
      <w:r w:rsidRPr="001C07F1">
        <w:rPr>
          <w:rFonts w:ascii="Arial" w:hAnsi="Arial" w:cs="Arial"/>
        </w:rPr>
        <w:t>protect (from the Commission’s perspective) reputational damage to the NL brand and to the Commission, as seeking professional financial advice on Trust Investment vehicles and/or material changes to the Trust Deed and the associated arrangements including the EuroMillions Framework would be in line with our Duties under the NL etc Act</w:t>
      </w:r>
    </w:p>
    <w:p w14:paraId="0CA5DB29" w14:textId="77777777" w:rsidR="00045FFC" w:rsidRPr="001C07F1" w:rsidRDefault="00045FFC" w:rsidP="007270FA">
      <w:pPr>
        <w:pStyle w:val="ListParagraph"/>
        <w:numPr>
          <w:ilvl w:val="0"/>
          <w:numId w:val="4"/>
        </w:numPr>
        <w:spacing w:after="240"/>
        <w:ind w:left="360"/>
        <w:rPr>
          <w:rFonts w:ascii="Arial" w:hAnsi="Arial" w:cs="Arial"/>
        </w:rPr>
      </w:pPr>
      <w:r w:rsidRPr="001C07F1">
        <w:rPr>
          <w:rFonts w:ascii="Arial" w:hAnsi="Arial" w:cs="Arial"/>
        </w:rPr>
        <w:t>protect the interest of players, noting that such funds have originally been generated through NL players</w:t>
      </w:r>
    </w:p>
    <w:p w14:paraId="21249134" w14:textId="2332E4DB" w:rsidR="006E7969" w:rsidRPr="00800C1C" w:rsidRDefault="00045FFC" w:rsidP="00800C1C">
      <w:pPr>
        <w:pStyle w:val="ListParagraph"/>
        <w:numPr>
          <w:ilvl w:val="0"/>
          <w:numId w:val="4"/>
        </w:numPr>
        <w:spacing w:after="240"/>
        <w:ind w:left="360"/>
        <w:rPr>
          <w:rFonts w:ascii="Arial" w:hAnsi="Arial" w:cs="Arial"/>
        </w:rPr>
      </w:pPr>
      <w:r w:rsidRPr="001C07F1">
        <w:rPr>
          <w:rFonts w:ascii="Arial" w:hAnsi="Arial" w:cs="Arial"/>
        </w:rPr>
        <w:t>continue to maximise returns to good causes (noting that money held, if not used in line with priority of payments, is moved to NLDF – i.e. good causes).</w:t>
      </w:r>
    </w:p>
    <w:p w14:paraId="5E6A6F77" w14:textId="4EE19BF1" w:rsidR="00EC3664" w:rsidRDefault="00F60BEE" w:rsidP="00F60BEE">
      <w:pPr>
        <w:rPr>
          <w:rFonts w:ascii="Arial" w:eastAsiaTheme="minorEastAsia" w:hAnsi="Arial" w:cs="Arial"/>
          <w:color w:val="000000" w:themeColor="text1"/>
          <w:kern w:val="24"/>
          <w:sz w:val="24"/>
          <w:szCs w:val="24"/>
          <w:lang w:eastAsia="en-GB"/>
        </w:rPr>
      </w:pPr>
      <w:r w:rsidRPr="00F60BEE">
        <w:rPr>
          <w:rFonts w:ascii="Arial" w:hAnsi="Arial" w:cs="Arial"/>
          <w:sz w:val="24"/>
          <w:szCs w:val="24"/>
        </w:rPr>
        <w:t>Note:</w:t>
      </w:r>
      <w:r w:rsidRPr="00F60BEE">
        <w:rPr>
          <w:rFonts w:ascii="Arial" w:eastAsiaTheme="minorEastAsia" w:hAnsi="Arial" w:cs="Arial"/>
          <w:color w:val="000000" w:themeColor="text1"/>
          <w:kern w:val="24"/>
          <w:sz w:val="24"/>
          <w:szCs w:val="24"/>
          <w:lang w:eastAsia="en-GB"/>
        </w:rPr>
        <w:t xml:space="preserve"> the current economic global downturn has resulted in negative interest rates which fundamentally means Investments are not performing.</w:t>
      </w:r>
    </w:p>
    <w:p w14:paraId="40284D6F" w14:textId="51D6D81C" w:rsidR="00FB1B02" w:rsidRDefault="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br w:type="page"/>
      </w:r>
    </w:p>
    <w:p w14:paraId="58B7D743" w14:textId="77777777" w:rsidR="00FB1B02" w:rsidRDefault="00FB1B02" w:rsidP="00FB1B02">
      <w:pPr>
        <w:spacing w:after="0" w:line="240" w:lineRule="auto"/>
        <w:rPr>
          <w:rFonts w:ascii="Arial" w:hAnsi="Arial" w:cs="Arial"/>
          <w:b/>
          <w:bCs/>
          <w:sz w:val="28"/>
          <w:szCs w:val="28"/>
        </w:rPr>
      </w:pPr>
      <w:r>
        <w:rPr>
          <w:rFonts w:ascii="Arial" w:hAnsi="Arial" w:cs="Arial"/>
          <w:b/>
          <w:bCs/>
          <w:sz w:val="28"/>
          <w:szCs w:val="28"/>
        </w:rPr>
        <w:lastRenderedPageBreak/>
        <w:t>EOI Title: P</w:t>
      </w:r>
      <w:r w:rsidRPr="009F6866">
        <w:rPr>
          <w:rFonts w:ascii="Arial" w:hAnsi="Arial" w:cs="Arial"/>
          <w:b/>
          <w:bCs/>
          <w:sz w:val="28"/>
          <w:szCs w:val="28"/>
        </w:rPr>
        <w:t xml:space="preserve">rovision of independent investment </w:t>
      </w:r>
      <w:r>
        <w:rPr>
          <w:rFonts w:ascii="Arial" w:hAnsi="Arial" w:cs="Arial"/>
          <w:b/>
          <w:bCs/>
          <w:sz w:val="28"/>
          <w:szCs w:val="28"/>
        </w:rPr>
        <w:t>advice on the</w:t>
      </w:r>
      <w:r w:rsidRPr="009F6866">
        <w:rPr>
          <w:rFonts w:ascii="Arial" w:hAnsi="Arial" w:cs="Arial"/>
          <w:b/>
          <w:bCs/>
          <w:sz w:val="28"/>
          <w:szCs w:val="28"/>
        </w:rPr>
        <w:t xml:space="preserve"> </w:t>
      </w:r>
      <w:r>
        <w:rPr>
          <w:rFonts w:ascii="Arial" w:hAnsi="Arial" w:cs="Arial"/>
          <w:b/>
          <w:bCs/>
          <w:sz w:val="28"/>
          <w:szCs w:val="28"/>
        </w:rPr>
        <w:t>3</w:t>
      </w:r>
      <w:r w:rsidRPr="00211BB9">
        <w:rPr>
          <w:rFonts w:ascii="Arial" w:hAnsi="Arial" w:cs="Arial"/>
          <w:b/>
          <w:bCs/>
          <w:sz w:val="28"/>
          <w:szCs w:val="28"/>
          <w:vertAlign w:val="superscript"/>
        </w:rPr>
        <w:t>rd</w:t>
      </w:r>
      <w:r>
        <w:rPr>
          <w:rFonts w:ascii="Arial" w:hAnsi="Arial" w:cs="Arial"/>
          <w:b/>
          <w:bCs/>
          <w:sz w:val="28"/>
          <w:szCs w:val="28"/>
        </w:rPr>
        <w:t xml:space="preserve"> </w:t>
      </w:r>
      <w:r w:rsidRPr="009F6866">
        <w:rPr>
          <w:rFonts w:ascii="Arial" w:hAnsi="Arial" w:cs="Arial"/>
          <w:b/>
          <w:bCs/>
          <w:sz w:val="28"/>
          <w:szCs w:val="28"/>
        </w:rPr>
        <w:t>National Lottery Trust Fund Investments</w:t>
      </w:r>
    </w:p>
    <w:p w14:paraId="1FC9FC8F" w14:textId="77777777" w:rsidR="00FB1B02" w:rsidRDefault="00FB1B02" w:rsidP="00FB1B02">
      <w:pPr>
        <w:spacing w:after="0" w:line="240" w:lineRule="auto"/>
        <w:rPr>
          <w:rFonts w:ascii="Arial" w:hAnsi="Arial" w:cs="Arial"/>
          <w:b/>
          <w:bCs/>
          <w:sz w:val="28"/>
          <w:szCs w:val="28"/>
        </w:rPr>
      </w:pPr>
    </w:p>
    <w:p w14:paraId="22EABDE9" w14:textId="77777777" w:rsidR="00FB1B02" w:rsidRDefault="00FB1B02" w:rsidP="00FB1B02">
      <w:pPr>
        <w:rPr>
          <w:rFonts w:ascii="Arial" w:hAnsi="Arial" w:cs="Arial"/>
          <w:b/>
          <w:bCs/>
          <w:sz w:val="28"/>
          <w:szCs w:val="28"/>
        </w:rPr>
      </w:pPr>
      <w:r>
        <w:rPr>
          <w:rFonts w:ascii="Arial" w:hAnsi="Arial" w:cs="Arial"/>
          <w:b/>
          <w:bCs/>
          <w:sz w:val="28"/>
          <w:szCs w:val="28"/>
        </w:rPr>
        <w:t>EOI Ref: 21-001</w:t>
      </w:r>
    </w:p>
    <w:p w14:paraId="0B766971" w14:textId="77777777" w:rsidR="00FB1B02" w:rsidRDefault="00FB1B02" w:rsidP="00FB1B02">
      <w:pPr>
        <w:rPr>
          <w:rFonts w:ascii="Arial" w:hAnsi="Arial" w:cs="Arial"/>
          <w:b/>
          <w:bCs/>
          <w:sz w:val="24"/>
          <w:szCs w:val="24"/>
        </w:rPr>
      </w:pPr>
    </w:p>
    <w:p w14:paraId="2F6F89AE" w14:textId="0D99C548" w:rsidR="00FB1B02" w:rsidRPr="00D139CC" w:rsidRDefault="00FB1B02" w:rsidP="00FB1B02">
      <w:pPr>
        <w:rPr>
          <w:rFonts w:ascii="Arial" w:hAnsi="Arial" w:cs="Arial"/>
          <w:sz w:val="24"/>
          <w:szCs w:val="24"/>
        </w:rPr>
      </w:pPr>
      <w:r>
        <w:rPr>
          <w:rFonts w:ascii="Arial" w:hAnsi="Arial" w:cs="Arial"/>
          <w:b/>
          <w:bCs/>
          <w:sz w:val="24"/>
          <w:szCs w:val="24"/>
        </w:rPr>
        <w:t>EOI Instructions</w:t>
      </w:r>
      <w:r w:rsidRPr="00D91E8F">
        <w:rPr>
          <w:rFonts w:ascii="Arial" w:hAnsi="Arial" w:cs="Arial"/>
          <w:b/>
          <w:bCs/>
          <w:sz w:val="24"/>
          <w:szCs w:val="24"/>
        </w:rPr>
        <w:t>:</w:t>
      </w:r>
    </w:p>
    <w:p w14:paraId="79ED1A45" w14:textId="1DB316AC" w:rsidR="00FB1B02" w:rsidRDefault="00FB1B0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 xml:space="preserve">If you wish to express and interest in this </w:t>
      </w:r>
      <w:proofErr w:type="gramStart"/>
      <w:r>
        <w:rPr>
          <w:rFonts w:ascii="Arial" w:eastAsiaTheme="minorEastAsia" w:hAnsi="Arial" w:cs="Arial"/>
          <w:color w:val="000000" w:themeColor="text1"/>
          <w:kern w:val="24"/>
          <w:sz w:val="24"/>
          <w:szCs w:val="24"/>
          <w:lang w:eastAsia="en-GB"/>
        </w:rPr>
        <w:t>opportunity</w:t>
      </w:r>
      <w:proofErr w:type="gramEnd"/>
      <w:r>
        <w:rPr>
          <w:rFonts w:ascii="Arial" w:eastAsiaTheme="minorEastAsia" w:hAnsi="Arial" w:cs="Arial"/>
          <w:color w:val="000000" w:themeColor="text1"/>
          <w:kern w:val="24"/>
          <w:sz w:val="24"/>
          <w:szCs w:val="24"/>
          <w:lang w:eastAsia="en-GB"/>
        </w:rPr>
        <w:t xml:space="preserve"> please could you respond to the following questions, completing the table below and return it by e-mail to:</w:t>
      </w:r>
    </w:p>
    <w:p w14:paraId="03AAA976" w14:textId="5F3209E9" w:rsidR="00FB1B02" w:rsidRDefault="00FB1B02" w:rsidP="00FB1B02">
      <w:pPr>
        <w:rPr>
          <w:rFonts w:ascii="Arial" w:eastAsiaTheme="minorEastAsia" w:hAnsi="Arial" w:cs="Arial"/>
          <w:color w:val="000000" w:themeColor="text1"/>
          <w:kern w:val="24"/>
          <w:sz w:val="24"/>
          <w:szCs w:val="24"/>
          <w:lang w:eastAsia="en-GB"/>
        </w:rPr>
      </w:pPr>
      <w:hyperlink r:id="rId8" w:history="1">
        <w:r w:rsidRPr="00336C95">
          <w:rPr>
            <w:rStyle w:val="Hyperlink"/>
            <w:rFonts w:ascii="Arial" w:eastAsiaTheme="minorEastAsia" w:hAnsi="Arial" w:cs="Arial"/>
            <w:kern w:val="24"/>
            <w:sz w:val="24"/>
            <w:szCs w:val="24"/>
            <w:lang w:eastAsia="en-GB"/>
          </w:rPr>
          <w:t>Procurement@gamblingcommission.gov.uk</w:t>
        </w:r>
      </w:hyperlink>
    </w:p>
    <w:p w14:paraId="024A1EF6" w14:textId="3DD003A7" w:rsidR="00FB1B02" w:rsidRDefault="00FB1B0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The closing date for EOI’s is 16:00 hrs on Thursday 8</w:t>
      </w:r>
      <w:r w:rsidRPr="00FB1B02">
        <w:rPr>
          <w:rFonts w:ascii="Arial" w:eastAsiaTheme="minorEastAsia" w:hAnsi="Arial" w:cs="Arial"/>
          <w:color w:val="000000" w:themeColor="text1"/>
          <w:kern w:val="24"/>
          <w:sz w:val="24"/>
          <w:szCs w:val="24"/>
          <w:vertAlign w:val="superscript"/>
          <w:lang w:eastAsia="en-GB"/>
        </w:rPr>
        <w:t>th</w:t>
      </w:r>
      <w:r>
        <w:rPr>
          <w:rFonts w:ascii="Arial" w:eastAsiaTheme="minorEastAsia" w:hAnsi="Arial" w:cs="Arial"/>
          <w:color w:val="000000" w:themeColor="text1"/>
          <w:kern w:val="24"/>
          <w:sz w:val="24"/>
          <w:szCs w:val="24"/>
          <w:lang w:eastAsia="en-GB"/>
        </w:rPr>
        <w:t xml:space="preserve"> July 2021.</w:t>
      </w:r>
    </w:p>
    <w:p w14:paraId="7028E85E" w14:textId="6C676205" w:rsidR="00492972" w:rsidRDefault="00492972" w:rsidP="00FB1B02">
      <w:pPr>
        <w:rPr>
          <w:rFonts w:ascii="Arial" w:eastAsiaTheme="minorEastAsia" w:hAnsi="Arial" w:cs="Arial"/>
          <w:color w:val="000000" w:themeColor="text1"/>
          <w:kern w:val="24"/>
          <w:sz w:val="24"/>
          <w:szCs w:val="24"/>
          <w:lang w:eastAsia="en-GB"/>
        </w:rPr>
      </w:pPr>
    </w:p>
    <w:tbl>
      <w:tblPr>
        <w:tblStyle w:val="TableGrid"/>
        <w:tblW w:w="0" w:type="auto"/>
        <w:tblLook w:val="04A0" w:firstRow="1" w:lastRow="0" w:firstColumn="1" w:lastColumn="0" w:noHBand="0" w:noVBand="1"/>
      </w:tblPr>
      <w:tblGrid>
        <w:gridCol w:w="704"/>
        <w:gridCol w:w="5245"/>
        <w:gridCol w:w="3067"/>
      </w:tblGrid>
      <w:tr w:rsidR="00492972" w14:paraId="280F7929" w14:textId="77777777" w:rsidTr="00D139CC">
        <w:tc>
          <w:tcPr>
            <w:tcW w:w="704" w:type="dxa"/>
            <w:shd w:val="clear" w:color="auto" w:fill="8EAADB" w:themeFill="accent1" w:themeFillTint="99"/>
          </w:tcPr>
          <w:p w14:paraId="62A66C54" w14:textId="08BE4E12" w:rsidR="00492972" w:rsidRPr="00492972" w:rsidRDefault="00492972" w:rsidP="00FB1B02">
            <w:pPr>
              <w:rPr>
                <w:rFonts w:ascii="Arial" w:eastAsiaTheme="minorEastAsia" w:hAnsi="Arial" w:cs="Arial"/>
                <w:b/>
                <w:bCs/>
                <w:color w:val="000000" w:themeColor="text1"/>
                <w:kern w:val="24"/>
                <w:sz w:val="24"/>
                <w:szCs w:val="24"/>
                <w:lang w:eastAsia="en-GB"/>
              </w:rPr>
            </w:pPr>
            <w:r w:rsidRPr="00492972">
              <w:rPr>
                <w:rFonts w:ascii="Arial" w:eastAsiaTheme="minorEastAsia" w:hAnsi="Arial" w:cs="Arial"/>
                <w:b/>
                <w:bCs/>
                <w:color w:val="000000" w:themeColor="text1"/>
                <w:kern w:val="24"/>
                <w:sz w:val="24"/>
                <w:szCs w:val="24"/>
                <w:lang w:eastAsia="en-GB"/>
              </w:rPr>
              <w:t>No.</w:t>
            </w:r>
          </w:p>
        </w:tc>
        <w:tc>
          <w:tcPr>
            <w:tcW w:w="5245" w:type="dxa"/>
            <w:shd w:val="clear" w:color="auto" w:fill="8EAADB" w:themeFill="accent1" w:themeFillTint="99"/>
          </w:tcPr>
          <w:p w14:paraId="2596BCEA" w14:textId="7FE4A658" w:rsidR="00492972" w:rsidRPr="00492972" w:rsidRDefault="00492972" w:rsidP="00FB1B02">
            <w:pPr>
              <w:rPr>
                <w:rFonts w:ascii="Arial" w:eastAsiaTheme="minorEastAsia" w:hAnsi="Arial" w:cs="Arial"/>
                <w:b/>
                <w:bCs/>
                <w:color w:val="000000" w:themeColor="text1"/>
                <w:kern w:val="24"/>
                <w:sz w:val="24"/>
                <w:szCs w:val="24"/>
                <w:lang w:eastAsia="en-GB"/>
              </w:rPr>
            </w:pPr>
            <w:r w:rsidRPr="00492972">
              <w:rPr>
                <w:rFonts w:ascii="Arial" w:eastAsiaTheme="minorEastAsia" w:hAnsi="Arial" w:cs="Arial"/>
                <w:b/>
                <w:bCs/>
                <w:color w:val="000000" w:themeColor="text1"/>
                <w:kern w:val="24"/>
                <w:sz w:val="24"/>
                <w:szCs w:val="24"/>
                <w:lang w:eastAsia="en-GB"/>
              </w:rPr>
              <w:t>Question</w:t>
            </w:r>
          </w:p>
        </w:tc>
        <w:tc>
          <w:tcPr>
            <w:tcW w:w="3067" w:type="dxa"/>
            <w:shd w:val="clear" w:color="auto" w:fill="8EAADB" w:themeFill="accent1" w:themeFillTint="99"/>
          </w:tcPr>
          <w:p w14:paraId="22DA3427" w14:textId="320B6C89" w:rsidR="00492972" w:rsidRPr="00492972" w:rsidRDefault="00492972" w:rsidP="00FB1B02">
            <w:pPr>
              <w:rPr>
                <w:rFonts w:ascii="Arial" w:eastAsiaTheme="minorEastAsia" w:hAnsi="Arial" w:cs="Arial"/>
                <w:b/>
                <w:bCs/>
                <w:color w:val="000000" w:themeColor="text1"/>
                <w:kern w:val="24"/>
                <w:sz w:val="24"/>
                <w:szCs w:val="24"/>
                <w:lang w:eastAsia="en-GB"/>
              </w:rPr>
            </w:pPr>
            <w:r w:rsidRPr="00492972">
              <w:rPr>
                <w:rFonts w:ascii="Arial" w:eastAsiaTheme="minorEastAsia" w:hAnsi="Arial" w:cs="Arial"/>
                <w:b/>
                <w:bCs/>
                <w:color w:val="000000" w:themeColor="text1"/>
                <w:kern w:val="24"/>
                <w:sz w:val="24"/>
                <w:szCs w:val="24"/>
                <w:lang w:eastAsia="en-GB"/>
              </w:rPr>
              <w:t>Response (Yes/No)</w:t>
            </w:r>
          </w:p>
        </w:tc>
      </w:tr>
      <w:tr w:rsidR="00492972" w14:paraId="13C4AF45" w14:textId="77777777" w:rsidTr="00D139CC">
        <w:tc>
          <w:tcPr>
            <w:tcW w:w="704" w:type="dxa"/>
          </w:tcPr>
          <w:p w14:paraId="74A7EE30" w14:textId="50AA8913" w:rsidR="00492972" w:rsidRDefault="0049297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1</w:t>
            </w:r>
          </w:p>
        </w:tc>
        <w:tc>
          <w:tcPr>
            <w:tcW w:w="5245" w:type="dxa"/>
          </w:tcPr>
          <w:p w14:paraId="69698E89" w14:textId="0A7D7402" w:rsidR="00492972" w:rsidRPr="00492972" w:rsidRDefault="00492972" w:rsidP="00FB1B02">
            <w:r>
              <w:t>Are you registered with the FSA</w:t>
            </w:r>
          </w:p>
        </w:tc>
        <w:tc>
          <w:tcPr>
            <w:tcW w:w="3067" w:type="dxa"/>
          </w:tcPr>
          <w:p w14:paraId="118E1B94" w14:textId="77777777" w:rsidR="00492972" w:rsidRDefault="00492972" w:rsidP="00FB1B02">
            <w:pPr>
              <w:rPr>
                <w:rFonts w:ascii="Arial" w:eastAsiaTheme="minorEastAsia" w:hAnsi="Arial" w:cs="Arial"/>
                <w:color w:val="000000" w:themeColor="text1"/>
                <w:kern w:val="24"/>
                <w:sz w:val="24"/>
                <w:szCs w:val="24"/>
                <w:lang w:eastAsia="en-GB"/>
              </w:rPr>
            </w:pPr>
          </w:p>
        </w:tc>
      </w:tr>
      <w:tr w:rsidR="00492972" w14:paraId="07663386" w14:textId="77777777" w:rsidTr="00D139CC">
        <w:tc>
          <w:tcPr>
            <w:tcW w:w="704" w:type="dxa"/>
          </w:tcPr>
          <w:p w14:paraId="7B84ADE0" w14:textId="39598049" w:rsidR="00492972" w:rsidRDefault="0049297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2</w:t>
            </w:r>
          </w:p>
        </w:tc>
        <w:tc>
          <w:tcPr>
            <w:tcW w:w="5245" w:type="dxa"/>
          </w:tcPr>
          <w:p w14:paraId="2C0F52FA" w14:textId="34915F57" w:rsidR="00492972" w:rsidRPr="00492972" w:rsidRDefault="00492972" w:rsidP="00FB1B02">
            <w:r>
              <w:t>A</w:t>
            </w:r>
            <w:r>
              <w:t>re you interested in this work</w:t>
            </w:r>
          </w:p>
        </w:tc>
        <w:tc>
          <w:tcPr>
            <w:tcW w:w="3067" w:type="dxa"/>
          </w:tcPr>
          <w:p w14:paraId="62EF0A2C" w14:textId="77777777" w:rsidR="00492972" w:rsidRDefault="00492972" w:rsidP="00FB1B02">
            <w:pPr>
              <w:rPr>
                <w:rFonts w:ascii="Arial" w:eastAsiaTheme="minorEastAsia" w:hAnsi="Arial" w:cs="Arial"/>
                <w:color w:val="000000" w:themeColor="text1"/>
                <w:kern w:val="24"/>
                <w:sz w:val="24"/>
                <w:szCs w:val="24"/>
                <w:lang w:eastAsia="en-GB"/>
              </w:rPr>
            </w:pPr>
          </w:p>
        </w:tc>
      </w:tr>
      <w:tr w:rsidR="00492972" w14:paraId="5C48400B" w14:textId="77777777" w:rsidTr="00D139CC">
        <w:tc>
          <w:tcPr>
            <w:tcW w:w="704" w:type="dxa"/>
          </w:tcPr>
          <w:p w14:paraId="76D3409E" w14:textId="399B36F4" w:rsidR="00492972" w:rsidRDefault="0049297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3</w:t>
            </w:r>
          </w:p>
        </w:tc>
        <w:tc>
          <w:tcPr>
            <w:tcW w:w="5245" w:type="dxa"/>
          </w:tcPr>
          <w:p w14:paraId="2162DC4B" w14:textId="07D4E220" w:rsidR="00492972" w:rsidRPr="00492972" w:rsidRDefault="00492972" w:rsidP="00FB1B02">
            <w:r>
              <w:t>Do you have experience of this work?</w:t>
            </w:r>
          </w:p>
        </w:tc>
        <w:tc>
          <w:tcPr>
            <w:tcW w:w="3067" w:type="dxa"/>
          </w:tcPr>
          <w:p w14:paraId="68A9FC7D" w14:textId="77777777" w:rsidR="00492972" w:rsidRDefault="00492972" w:rsidP="00FB1B02">
            <w:pPr>
              <w:rPr>
                <w:rFonts w:ascii="Arial" w:eastAsiaTheme="minorEastAsia" w:hAnsi="Arial" w:cs="Arial"/>
                <w:color w:val="000000" w:themeColor="text1"/>
                <w:kern w:val="24"/>
                <w:sz w:val="24"/>
                <w:szCs w:val="24"/>
                <w:lang w:eastAsia="en-GB"/>
              </w:rPr>
            </w:pPr>
          </w:p>
        </w:tc>
      </w:tr>
      <w:tr w:rsidR="00492972" w14:paraId="68D1F89A" w14:textId="77777777" w:rsidTr="00D139CC">
        <w:tc>
          <w:tcPr>
            <w:tcW w:w="704" w:type="dxa"/>
          </w:tcPr>
          <w:p w14:paraId="5ACDD0C5" w14:textId="1297FE98" w:rsidR="00492972" w:rsidRDefault="0049297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4</w:t>
            </w:r>
          </w:p>
        </w:tc>
        <w:tc>
          <w:tcPr>
            <w:tcW w:w="5245" w:type="dxa"/>
          </w:tcPr>
          <w:p w14:paraId="24CEE930" w14:textId="4188D741" w:rsidR="00492972" w:rsidRDefault="00492972" w:rsidP="00FB1B02">
            <w:pPr>
              <w:rPr>
                <w:rFonts w:ascii="Arial" w:eastAsiaTheme="minorEastAsia" w:hAnsi="Arial" w:cs="Arial"/>
                <w:color w:val="000000" w:themeColor="text1"/>
                <w:kern w:val="24"/>
                <w:sz w:val="24"/>
                <w:szCs w:val="24"/>
                <w:lang w:eastAsia="en-GB"/>
              </w:rPr>
            </w:pPr>
            <w:r>
              <w:rPr>
                <w:rFonts w:eastAsia="Times New Roman"/>
              </w:rPr>
              <w:t>Are you able to advise us as a retail client?</w:t>
            </w:r>
          </w:p>
        </w:tc>
        <w:tc>
          <w:tcPr>
            <w:tcW w:w="3067" w:type="dxa"/>
          </w:tcPr>
          <w:p w14:paraId="30D4A530" w14:textId="77777777" w:rsidR="00492972" w:rsidRDefault="00492972" w:rsidP="00FB1B02">
            <w:pPr>
              <w:rPr>
                <w:rFonts w:ascii="Arial" w:eastAsiaTheme="minorEastAsia" w:hAnsi="Arial" w:cs="Arial"/>
                <w:color w:val="000000" w:themeColor="text1"/>
                <w:kern w:val="24"/>
                <w:sz w:val="24"/>
                <w:szCs w:val="24"/>
                <w:lang w:eastAsia="en-GB"/>
              </w:rPr>
            </w:pPr>
          </w:p>
        </w:tc>
      </w:tr>
      <w:tr w:rsidR="00492972" w14:paraId="3FDA9C95" w14:textId="77777777" w:rsidTr="00D139CC">
        <w:tc>
          <w:tcPr>
            <w:tcW w:w="704" w:type="dxa"/>
          </w:tcPr>
          <w:p w14:paraId="5A3B27CD" w14:textId="6C0EB96D" w:rsidR="00492972" w:rsidRDefault="00492972" w:rsidP="00FB1B02">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5</w:t>
            </w:r>
          </w:p>
        </w:tc>
        <w:tc>
          <w:tcPr>
            <w:tcW w:w="5245" w:type="dxa"/>
          </w:tcPr>
          <w:p w14:paraId="2A72C6FB" w14:textId="7B4F90DE" w:rsidR="00492972" w:rsidRPr="00492972" w:rsidRDefault="00492972" w:rsidP="00FB1B02">
            <w:r>
              <w:t>Can you work within our existing budget £22k p.a.</w:t>
            </w:r>
          </w:p>
        </w:tc>
        <w:tc>
          <w:tcPr>
            <w:tcW w:w="3067" w:type="dxa"/>
          </w:tcPr>
          <w:p w14:paraId="1048470E" w14:textId="77777777" w:rsidR="00492972" w:rsidRDefault="00492972" w:rsidP="00FB1B02">
            <w:pPr>
              <w:rPr>
                <w:rFonts w:ascii="Arial" w:eastAsiaTheme="minorEastAsia" w:hAnsi="Arial" w:cs="Arial"/>
                <w:color w:val="000000" w:themeColor="text1"/>
                <w:kern w:val="24"/>
                <w:sz w:val="24"/>
                <w:szCs w:val="24"/>
                <w:lang w:eastAsia="en-GB"/>
              </w:rPr>
            </w:pPr>
          </w:p>
        </w:tc>
      </w:tr>
      <w:tr w:rsidR="00492972" w14:paraId="2ADD58FC" w14:textId="77777777" w:rsidTr="00D139CC">
        <w:tc>
          <w:tcPr>
            <w:tcW w:w="704" w:type="dxa"/>
          </w:tcPr>
          <w:p w14:paraId="40B5D852" w14:textId="77777777" w:rsidR="00492972" w:rsidRDefault="00492972" w:rsidP="00FB1B02">
            <w:pPr>
              <w:rPr>
                <w:rFonts w:ascii="Arial" w:eastAsiaTheme="minorEastAsia" w:hAnsi="Arial" w:cs="Arial"/>
                <w:color w:val="000000" w:themeColor="text1"/>
                <w:kern w:val="24"/>
                <w:sz w:val="24"/>
                <w:szCs w:val="24"/>
                <w:lang w:eastAsia="en-GB"/>
              </w:rPr>
            </w:pPr>
          </w:p>
        </w:tc>
        <w:tc>
          <w:tcPr>
            <w:tcW w:w="5245" w:type="dxa"/>
          </w:tcPr>
          <w:p w14:paraId="1B38939D" w14:textId="77777777" w:rsidR="00492972" w:rsidRDefault="00492972" w:rsidP="00FB1B02">
            <w:pPr>
              <w:rPr>
                <w:rFonts w:ascii="Arial" w:eastAsiaTheme="minorEastAsia" w:hAnsi="Arial" w:cs="Arial"/>
                <w:color w:val="000000" w:themeColor="text1"/>
                <w:kern w:val="24"/>
                <w:sz w:val="24"/>
                <w:szCs w:val="24"/>
                <w:lang w:eastAsia="en-GB"/>
              </w:rPr>
            </w:pPr>
          </w:p>
        </w:tc>
        <w:tc>
          <w:tcPr>
            <w:tcW w:w="3067" w:type="dxa"/>
          </w:tcPr>
          <w:p w14:paraId="6483AEFF" w14:textId="77777777" w:rsidR="00492972" w:rsidRDefault="00492972" w:rsidP="00FB1B02">
            <w:pPr>
              <w:rPr>
                <w:rFonts w:ascii="Arial" w:eastAsiaTheme="minorEastAsia" w:hAnsi="Arial" w:cs="Arial"/>
                <w:color w:val="000000" w:themeColor="text1"/>
                <w:kern w:val="24"/>
                <w:sz w:val="24"/>
                <w:szCs w:val="24"/>
                <w:lang w:eastAsia="en-GB"/>
              </w:rPr>
            </w:pPr>
          </w:p>
        </w:tc>
      </w:tr>
    </w:tbl>
    <w:p w14:paraId="55284E07" w14:textId="2616ED1B" w:rsidR="00492972" w:rsidRDefault="00492972" w:rsidP="00FB1B02">
      <w:pPr>
        <w:rPr>
          <w:rFonts w:ascii="Arial" w:eastAsiaTheme="minorEastAsia" w:hAnsi="Arial" w:cs="Arial"/>
          <w:color w:val="000000" w:themeColor="text1"/>
          <w:kern w:val="24"/>
          <w:sz w:val="24"/>
          <w:szCs w:val="24"/>
          <w:lang w:eastAsia="en-GB"/>
        </w:rPr>
      </w:pPr>
    </w:p>
    <w:p w14:paraId="5230FC4A" w14:textId="2BC76206" w:rsidR="00492972" w:rsidRDefault="00492972" w:rsidP="00492972">
      <w:r>
        <w:t>In respect of Question 3, please could you supply two references:</w:t>
      </w:r>
    </w:p>
    <w:tbl>
      <w:tblPr>
        <w:tblStyle w:val="TableGrid"/>
        <w:tblW w:w="0" w:type="auto"/>
        <w:tblLook w:val="04A0" w:firstRow="1" w:lastRow="0" w:firstColumn="1" w:lastColumn="0" w:noHBand="0" w:noVBand="1"/>
      </w:tblPr>
      <w:tblGrid>
        <w:gridCol w:w="1141"/>
        <w:gridCol w:w="4241"/>
        <w:gridCol w:w="3634"/>
      </w:tblGrid>
      <w:tr w:rsidR="00C1119F" w14:paraId="1CCB08B3" w14:textId="77777777" w:rsidTr="00734AC1">
        <w:tc>
          <w:tcPr>
            <w:tcW w:w="1141" w:type="dxa"/>
            <w:shd w:val="clear" w:color="auto" w:fill="8EAADB" w:themeFill="accent1" w:themeFillTint="99"/>
          </w:tcPr>
          <w:p w14:paraId="1410F038" w14:textId="534A865B" w:rsidR="00C1119F" w:rsidRPr="00C1119F" w:rsidRDefault="00C1119F" w:rsidP="00492972">
            <w:pPr>
              <w:rPr>
                <w:b/>
                <w:bCs/>
              </w:rPr>
            </w:pPr>
            <w:r w:rsidRPr="00C1119F">
              <w:rPr>
                <w:b/>
                <w:bCs/>
              </w:rPr>
              <w:t>Reference</w:t>
            </w:r>
          </w:p>
        </w:tc>
        <w:tc>
          <w:tcPr>
            <w:tcW w:w="4241" w:type="dxa"/>
            <w:shd w:val="clear" w:color="auto" w:fill="8EAADB" w:themeFill="accent1" w:themeFillTint="99"/>
          </w:tcPr>
          <w:p w14:paraId="68DC4EB6" w14:textId="794284F4" w:rsidR="00C1119F" w:rsidRPr="00C1119F" w:rsidRDefault="00C1119F" w:rsidP="00492972">
            <w:pPr>
              <w:rPr>
                <w:b/>
                <w:bCs/>
              </w:rPr>
            </w:pPr>
            <w:r w:rsidRPr="00C1119F">
              <w:rPr>
                <w:b/>
                <w:bCs/>
              </w:rPr>
              <w:t>Brief Description of Service Provided</w:t>
            </w:r>
          </w:p>
        </w:tc>
        <w:tc>
          <w:tcPr>
            <w:tcW w:w="3634" w:type="dxa"/>
            <w:shd w:val="clear" w:color="auto" w:fill="8EAADB" w:themeFill="accent1" w:themeFillTint="99"/>
          </w:tcPr>
          <w:p w14:paraId="66C48910" w14:textId="1B97C573" w:rsidR="00C1119F" w:rsidRPr="00C1119F" w:rsidRDefault="00C1119F" w:rsidP="00492972">
            <w:pPr>
              <w:rPr>
                <w:b/>
                <w:bCs/>
              </w:rPr>
            </w:pPr>
            <w:r w:rsidRPr="00C1119F">
              <w:rPr>
                <w:b/>
                <w:bCs/>
              </w:rPr>
              <w:t>Contact Details for Reference (Name, Position, Company, Contact e-mail)</w:t>
            </w:r>
          </w:p>
        </w:tc>
      </w:tr>
      <w:tr w:rsidR="00C1119F" w14:paraId="473FB9F7" w14:textId="77777777" w:rsidTr="00734AC1">
        <w:tc>
          <w:tcPr>
            <w:tcW w:w="1141" w:type="dxa"/>
          </w:tcPr>
          <w:p w14:paraId="3419855B" w14:textId="7F999BC9" w:rsidR="00C1119F" w:rsidRDefault="00C1119F" w:rsidP="00492972">
            <w:r>
              <w:t>1</w:t>
            </w:r>
          </w:p>
        </w:tc>
        <w:tc>
          <w:tcPr>
            <w:tcW w:w="4241" w:type="dxa"/>
          </w:tcPr>
          <w:p w14:paraId="0B9CD669" w14:textId="77777777" w:rsidR="00C1119F" w:rsidRDefault="00C1119F" w:rsidP="00492972"/>
          <w:p w14:paraId="3EA7C359" w14:textId="77777777" w:rsidR="00C1119F" w:rsidRDefault="00C1119F" w:rsidP="00492972"/>
          <w:p w14:paraId="60CD7000" w14:textId="79EF3639" w:rsidR="00C1119F" w:rsidRDefault="00C1119F" w:rsidP="00492972"/>
          <w:p w14:paraId="690020BD" w14:textId="1C3DBDD5" w:rsidR="00D139CC" w:rsidRDefault="00D139CC" w:rsidP="00492972"/>
          <w:p w14:paraId="07A8611C" w14:textId="77777777" w:rsidR="00D139CC" w:rsidRDefault="00D139CC" w:rsidP="00492972"/>
          <w:p w14:paraId="255457FE" w14:textId="77777777" w:rsidR="00D139CC" w:rsidRDefault="00D139CC" w:rsidP="00492972"/>
          <w:p w14:paraId="521DD517" w14:textId="4FD23374" w:rsidR="00734AC1" w:rsidRDefault="00734AC1" w:rsidP="00492972"/>
        </w:tc>
        <w:tc>
          <w:tcPr>
            <w:tcW w:w="3634" w:type="dxa"/>
          </w:tcPr>
          <w:p w14:paraId="5D84B5CF" w14:textId="77777777" w:rsidR="00C1119F" w:rsidRDefault="00C1119F" w:rsidP="00492972"/>
        </w:tc>
      </w:tr>
      <w:tr w:rsidR="00C1119F" w14:paraId="5F071EF6" w14:textId="77777777" w:rsidTr="00734AC1">
        <w:tc>
          <w:tcPr>
            <w:tcW w:w="1141" w:type="dxa"/>
          </w:tcPr>
          <w:p w14:paraId="046438A0" w14:textId="64C3C851" w:rsidR="00C1119F" w:rsidRDefault="00C1119F" w:rsidP="00492972">
            <w:r>
              <w:t>2</w:t>
            </w:r>
          </w:p>
        </w:tc>
        <w:tc>
          <w:tcPr>
            <w:tcW w:w="4241" w:type="dxa"/>
          </w:tcPr>
          <w:p w14:paraId="33EDEC7A" w14:textId="77777777" w:rsidR="00C1119F" w:rsidRDefault="00C1119F" w:rsidP="00492972"/>
          <w:p w14:paraId="137EB355" w14:textId="2FC06EC9" w:rsidR="00C1119F" w:rsidRDefault="00C1119F" w:rsidP="00492972"/>
          <w:p w14:paraId="0466E1C0" w14:textId="61A222A5" w:rsidR="00D139CC" w:rsidRDefault="00D139CC" w:rsidP="00492972"/>
          <w:p w14:paraId="24180BFB" w14:textId="77777777" w:rsidR="00D139CC" w:rsidRDefault="00D139CC" w:rsidP="00492972"/>
          <w:p w14:paraId="040A5A7A" w14:textId="77777777" w:rsidR="00D139CC" w:rsidRDefault="00D139CC" w:rsidP="00492972"/>
          <w:p w14:paraId="1EFE76B7" w14:textId="77777777" w:rsidR="00C1119F" w:rsidRDefault="00C1119F" w:rsidP="00492972"/>
          <w:p w14:paraId="13DD083A" w14:textId="6E347929" w:rsidR="00734AC1" w:rsidRDefault="00734AC1" w:rsidP="00492972"/>
        </w:tc>
        <w:tc>
          <w:tcPr>
            <w:tcW w:w="3634" w:type="dxa"/>
          </w:tcPr>
          <w:p w14:paraId="21915218" w14:textId="77777777" w:rsidR="00C1119F" w:rsidRDefault="00C1119F" w:rsidP="00492972"/>
        </w:tc>
      </w:tr>
    </w:tbl>
    <w:p w14:paraId="3A2D7ACC" w14:textId="46F08169" w:rsidR="00FB1B02" w:rsidRDefault="00FB1B02" w:rsidP="00F60BEE">
      <w:pPr>
        <w:rPr>
          <w:rFonts w:ascii="Arial" w:eastAsiaTheme="minorEastAsia" w:hAnsi="Arial" w:cs="Arial"/>
          <w:color w:val="000000" w:themeColor="text1"/>
          <w:kern w:val="24"/>
          <w:sz w:val="24"/>
          <w:szCs w:val="24"/>
          <w:lang w:eastAsia="en-GB"/>
        </w:rPr>
      </w:pPr>
    </w:p>
    <w:p w14:paraId="13A18498" w14:textId="4D0226E5" w:rsidR="00492972" w:rsidRDefault="00492972" w:rsidP="00F60BEE">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Name:</w:t>
      </w:r>
    </w:p>
    <w:p w14:paraId="669AF0C9" w14:textId="1BC01904" w:rsidR="00492972" w:rsidRDefault="00492972" w:rsidP="00F60BEE">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Position:</w:t>
      </w:r>
    </w:p>
    <w:p w14:paraId="338C6DEB" w14:textId="6714DAB3" w:rsidR="00492972" w:rsidRPr="00F60BEE" w:rsidRDefault="00492972" w:rsidP="00F60BEE">
      <w:pPr>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Company:</w:t>
      </w:r>
    </w:p>
    <w:sectPr w:rsidR="00492972" w:rsidRPr="00F60B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89C3" w14:textId="77777777" w:rsidR="002469C3" w:rsidRDefault="002469C3" w:rsidP="002469C3">
      <w:pPr>
        <w:spacing w:after="0" w:line="240" w:lineRule="auto"/>
      </w:pPr>
      <w:r>
        <w:separator/>
      </w:r>
    </w:p>
  </w:endnote>
  <w:endnote w:type="continuationSeparator" w:id="0">
    <w:p w14:paraId="6F871BC2" w14:textId="77777777" w:rsidR="002469C3" w:rsidRDefault="002469C3" w:rsidP="002469C3">
      <w:pPr>
        <w:spacing w:after="0" w:line="240" w:lineRule="auto"/>
      </w:pPr>
      <w:r>
        <w:continuationSeparator/>
      </w:r>
    </w:p>
  </w:endnote>
  <w:endnote w:type="continuationNotice" w:id="1">
    <w:p w14:paraId="1E2FFC31" w14:textId="77777777" w:rsidR="00414149" w:rsidRDefault="00414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F8357" w14:textId="77777777" w:rsidR="002469C3" w:rsidRDefault="002469C3" w:rsidP="002469C3">
      <w:pPr>
        <w:spacing w:after="0" w:line="240" w:lineRule="auto"/>
      </w:pPr>
      <w:r>
        <w:separator/>
      </w:r>
    </w:p>
  </w:footnote>
  <w:footnote w:type="continuationSeparator" w:id="0">
    <w:p w14:paraId="58E1990A" w14:textId="77777777" w:rsidR="002469C3" w:rsidRDefault="002469C3" w:rsidP="002469C3">
      <w:pPr>
        <w:spacing w:after="0" w:line="240" w:lineRule="auto"/>
      </w:pPr>
      <w:r>
        <w:continuationSeparator/>
      </w:r>
    </w:p>
  </w:footnote>
  <w:footnote w:type="continuationNotice" w:id="1">
    <w:p w14:paraId="1049EDFA" w14:textId="77777777" w:rsidR="00414149" w:rsidRDefault="004141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89F"/>
    <w:multiLevelType w:val="hybridMultilevel"/>
    <w:tmpl w:val="F3E8A83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0AA34E02"/>
    <w:multiLevelType w:val="hybridMultilevel"/>
    <w:tmpl w:val="DC74105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 w15:restartNumberingAfterBreak="0">
    <w:nsid w:val="0F0902D4"/>
    <w:multiLevelType w:val="hybridMultilevel"/>
    <w:tmpl w:val="CF3A6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66CE4"/>
    <w:multiLevelType w:val="hybridMultilevel"/>
    <w:tmpl w:val="6C78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51236"/>
    <w:multiLevelType w:val="hybridMultilevel"/>
    <w:tmpl w:val="AE48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73897"/>
    <w:multiLevelType w:val="hybridMultilevel"/>
    <w:tmpl w:val="6FD0F9A4"/>
    <w:lvl w:ilvl="0" w:tplc="D49C0F6E">
      <w:start w:val="1"/>
      <w:numFmt w:val="bullet"/>
      <w:lvlText w:val=""/>
      <w:lvlJc w:val="left"/>
      <w:pPr>
        <w:tabs>
          <w:tab w:val="num" w:pos="720"/>
        </w:tabs>
        <w:ind w:left="720" w:hanging="360"/>
      </w:pPr>
      <w:rPr>
        <w:rFonts w:ascii="Symbol" w:hAnsi="Symbol" w:hint="default"/>
        <w:sz w:val="20"/>
      </w:rPr>
    </w:lvl>
    <w:lvl w:ilvl="1" w:tplc="3632A212" w:tentative="1">
      <w:start w:val="1"/>
      <w:numFmt w:val="bullet"/>
      <w:lvlText w:val=""/>
      <w:lvlJc w:val="left"/>
      <w:pPr>
        <w:tabs>
          <w:tab w:val="num" w:pos="1440"/>
        </w:tabs>
        <w:ind w:left="1440" w:hanging="360"/>
      </w:pPr>
      <w:rPr>
        <w:rFonts w:ascii="Symbol" w:hAnsi="Symbol" w:hint="default"/>
        <w:sz w:val="20"/>
      </w:rPr>
    </w:lvl>
    <w:lvl w:ilvl="2" w:tplc="1F7409DE" w:tentative="1">
      <w:start w:val="1"/>
      <w:numFmt w:val="bullet"/>
      <w:lvlText w:val=""/>
      <w:lvlJc w:val="left"/>
      <w:pPr>
        <w:tabs>
          <w:tab w:val="num" w:pos="2160"/>
        </w:tabs>
        <w:ind w:left="2160" w:hanging="360"/>
      </w:pPr>
      <w:rPr>
        <w:rFonts w:ascii="Symbol" w:hAnsi="Symbol" w:hint="default"/>
        <w:sz w:val="20"/>
      </w:rPr>
    </w:lvl>
    <w:lvl w:ilvl="3" w:tplc="0BAAFEA4" w:tentative="1">
      <w:start w:val="1"/>
      <w:numFmt w:val="bullet"/>
      <w:lvlText w:val=""/>
      <w:lvlJc w:val="left"/>
      <w:pPr>
        <w:tabs>
          <w:tab w:val="num" w:pos="2880"/>
        </w:tabs>
        <w:ind w:left="2880" w:hanging="360"/>
      </w:pPr>
      <w:rPr>
        <w:rFonts w:ascii="Symbol" w:hAnsi="Symbol" w:hint="default"/>
        <w:sz w:val="20"/>
      </w:rPr>
    </w:lvl>
    <w:lvl w:ilvl="4" w:tplc="751070C2" w:tentative="1">
      <w:start w:val="1"/>
      <w:numFmt w:val="bullet"/>
      <w:lvlText w:val=""/>
      <w:lvlJc w:val="left"/>
      <w:pPr>
        <w:tabs>
          <w:tab w:val="num" w:pos="3600"/>
        </w:tabs>
        <w:ind w:left="3600" w:hanging="360"/>
      </w:pPr>
      <w:rPr>
        <w:rFonts w:ascii="Symbol" w:hAnsi="Symbol" w:hint="default"/>
        <w:sz w:val="20"/>
      </w:rPr>
    </w:lvl>
    <w:lvl w:ilvl="5" w:tplc="57629B6E" w:tentative="1">
      <w:start w:val="1"/>
      <w:numFmt w:val="bullet"/>
      <w:lvlText w:val=""/>
      <w:lvlJc w:val="left"/>
      <w:pPr>
        <w:tabs>
          <w:tab w:val="num" w:pos="4320"/>
        </w:tabs>
        <w:ind w:left="4320" w:hanging="360"/>
      </w:pPr>
      <w:rPr>
        <w:rFonts w:ascii="Symbol" w:hAnsi="Symbol" w:hint="default"/>
        <w:sz w:val="20"/>
      </w:rPr>
    </w:lvl>
    <w:lvl w:ilvl="6" w:tplc="48AC411E" w:tentative="1">
      <w:start w:val="1"/>
      <w:numFmt w:val="bullet"/>
      <w:lvlText w:val=""/>
      <w:lvlJc w:val="left"/>
      <w:pPr>
        <w:tabs>
          <w:tab w:val="num" w:pos="5040"/>
        </w:tabs>
        <w:ind w:left="5040" w:hanging="360"/>
      </w:pPr>
      <w:rPr>
        <w:rFonts w:ascii="Symbol" w:hAnsi="Symbol" w:hint="default"/>
        <w:sz w:val="20"/>
      </w:rPr>
    </w:lvl>
    <w:lvl w:ilvl="7" w:tplc="A824F6CE" w:tentative="1">
      <w:start w:val="1"/>
      <w:numFmt w:val="bullet"/>
      <w:lvlText w:val=""/>
      <w:lvlJc w:val="left"/>
      <w:pPr>
        <w:tabs>
          <w:tab w:val="num" w:pos="5760"/>
        </w:tabs>
        <w:ind w:left="5760" w:hanging="360"/>
      </w:pPr>
      <w:rPr>
        <w:rFonts w:ascii="Symbol" w:hAnsi="Symbol" w:hint="default"/>
        <w:sz w:val="20"/>
      </w:rPr>
    </w:lvl>
    <w:lvl w:ilvl="8" w:tplc="D54E885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13113"/>
    <w:multiLevelType w:val="hybridMultilevel"/>
    <w:tmpl w:val="B810E0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1D544E4"/>
    <w:multiLevelType w:val="hybridMultilevel"/>
    <w:tmpl w:val="240AE87A"/>
    <w:lvl w:ilvl="0" w:tplc="44A255F0">
      <w:start w:val="1"/>
      <w:numFmt w:val="bullet"/>
      <w:lvlText w:val="•"/>
      <w:lvlJc w:val="left"/>
      <w:pPr>
        <w:tabs>
          <w:tab w:val="num" w:pos="720"/>
        </w:tabs>
        <w:ind w:left="720" w:hanging="360"/>
      </w:pPr>
      <w:rPr>
        <w:rFonts w:ascii="Arial" w:hAnsi="Arial" w:hint="default"/>
      </w:rPr>
    </w:lvl>
    <w:lvl w:ilvl="1" w:tplc="30F81AAC" w:tentative="1">
      <w:start w:val="1"/>
      <w:numFmt w:val="bullet"/>
      <w:lvlText w:val="•"/>
      <w:lvlJc w:val="left"/>
      <w:pPr>
        <w:tabs>
          <w:tab w:val="num" w:pos="1440"/>
        </w:tabs>
        <w:ind w:left="1440" w:hanging="360"/>
      </w:pPr>
      <w:rPr>
        <w:rFonts w:ascii="Arial" w:hAnsi="Arial" w:hint="default"/>
      </w:rPr>
    </w:lvl>
    <w:lvl w:ilvl="2" w:tplc="B144FCA2" w:tentative="1">
      <w:start w:val="1"/>
      <w:numFmt w:val="bullet"/>
      <w:lvlText w:val="•"/>
      <w:lvlJc w:val="left"/>
      <w:pPr>
        <w:tabs>
          <w:tab w:val="num" w:pos="2160"/>
        </w:tabs>
        <w:ind w:left="2160" w:hanging="360"/>
      </w:pPr>
      <w:rPr>
        <w:rFonts w:ascii="Arial" w:hAnsi="Arial" w:hint="default"/>
      </w:rPr>
    </w:lvl>
    <w:lvl w:ilvl="3" w:tplc="A0CE7F3C" w:tentative="1">
      <w:start w:val="1"/>
      <w:numFmt w:val="bullet"/>
      <w:lvlText w:val="•"/>
      <w:lvlJc w:val="left"/>
      <w:pPr>
        <w:tabs>
          <w:tab w:val="num" w:pos="2880"/>
        </w:tabs>
        <w:ind w:left="2880" w:hanging="360"/>
      </w:pPr>
      <w:rPr>
        <w:rFonts w:ascii="Arial" w:hAnsi="Arial" w:hint="default"/>
      </w:rPr>
    </w:lvl>
    <w:lvl w:ilvl="4" w:tplc="9BA459F6" w:tentative="1">
      <w:start w:val="1"/>
      <w:numFmt w:val="bullet"/>
      <w:lvlText w:val="•"/>
      <w:lvlJc w:val="left"/>
      <w:pPr>
        <w:tabs>
          <w:tab w:val="num" w:pos="3600"/>
        </w:tabs>
        <w:ind w:left="3600" w:hanging="360"/>
      </w:pPr>
      <w:rPr>
        <w:rFonts w:ascii="Arial" w:hAnsi="Arial" w:hint="default"/>
      </w:rPr>
    </w:lvl>
    <w:lvl w:ilvl="5" w:tplc="A0F8B3F8" w:tentative="1">
      <w:start w:val="1"/>
      <w:numFmt w:val="bullet"/>
      <w:lvlText w:val="•"/>
      <w:lvlJc w:val="left"/>
      <w:pPr>
        <w:tabs>
          <w:tab w:val="num" w:pos="4320"/>
        </w:tabs>
        <w:ind w:left="4320" w:hanging="360"/>
      </w:pPr>
      <w:rPr>
        <w:rFonts w:ascii="Arial" w:hAnsi="Arial" w:hint="default"/>
      </w:rPr>
    </w:lvl>
    <w:lvl w:ilvl="6" w:tplc="D4822714" w:tentative="1">
      <w:start w:val="1"/>
      <w:numFmt w:val="bullet"/>
      <w:lvlText w:val="•"/>
      <w:lvlJc w:val="left"/>
      <w:pPr>
        <w:tabs>
          <w:tab w:val="num" w:pos="5040"/>
        </w:tabs>
        <w:ind w:left="5040" w:hanging="360"/>
      </w:pPr>
      <w:rPr>
        <w:rFonts w:ascii="Arial" w:hAnsi="Arial" w:hint="default"/>
      </w:rPr>
    </w:lvl>
    <w:lvl w:ilvl="7" w:tplc="B11ADFD2" w:tentative="1">
      <w:start w:val="1"/>
      <w:numFmt w:val="bullet"/>
      <w:lvlText w:val="•"/>
      <w:lvlJc w:val="left"/>
      <w:pPr>
        <w:tabs>
          <w:tab w:val="num" w:pos="5760"/>
        </w:tabs>
        <w:ind w:left="5760" w:hanging="360"/>
      </w:pPr>
      <w:rPr>
        <w:rFonts w:ascii="Arial" w:hAnsi="Arial" w:hint="default"/>
      </w:rPr>
    </w:lvl>
    <w:lvl w:ilvl="8" w:tplc="1A6CFC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F57B07"/>
    <w:multiLevelType w:val="hybridMultilevel"/>
    <w:tmpl w:val="C9CE71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E07F5B"/>
    <w:multiLevelType w:val="hybridMultilevel"/>
    <w:tmpl w:val="50E6D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9C7E51"/>
    <w:multiLevelType w:val="hybridMultilevel"/>
    <w:tmpl w:val="4D8C8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50E27"/>
    <w:multiLevelType w:val="hybridMultilevel"/>
    <w:tmpl w:val="49DA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6B4424"/>
    <w:multiLevelType w:val="hybridMultilevel"/>
    <w:tmpl w:val="B21A0D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2627A7"/>
    <w:multiLevelType w:val="hybridMultilevel"/>
    <w:tmpl w:val="BF84A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B6A67"/>
    <w:multiLevelType w:val="hybridMultilevel"/>
    <w:tmpl w:val="79923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CD0BC7"/>
    <w:multiLevelType w:val="hybridMultilevel"/>
    <w:tmpl w:val="16620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C2E6917"/>
    <w:multiLevelType w:val="hybridMultilevel"/>
    <w:tmpl w:val="764849B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44165D"/>
    <w:multiLevelType w:val="hybridMultilevel"/>
    <w:tmpl w:val="CB425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7"/>
  </w:num>
  <w:num w:numId="4">
    <w:abstractNumId w:val="0"/>
  </w:num>
  <w:num w:numId="5">
    <w:abstractNumId w:val="5"/>
  </w:num>
  <w:num w:numId="6">
    <w:abstractNumId w:val="9"/>
  </w:num>
  <w:num w:numId="7">
    <w:abstractNumId w:val="14"/>
  </w:num>
  <w:num w:numId="8">
    <w:abstractNumId w:val="11"/>
  </w:num>
  <w:num w:numId="9">
    <w:abstractNumId w:val="8"/>
  </w:num>
  <w:num w:numId="10">
    <w:abstractNumId w:val="4"/>
  </w:num>
  <w:num w:numId="11">
    <w:abstractNumId w:val="13"/>
  </w:num>
  <w:num w:numId="12">
    <w:abstractNumId w:val="3"/>
  </w:num>
  <w:num w:numId="13">
    <w:abstractNumId w:val="15"/>
  </w:num>
  <w:num w:numId="14">
    <w:abstractNumId w:val="10"/>
  </w:num>
  <w:num w:numId="15">
    <w:abstractNumId w:val="16"/>
  </w:num>
  <w:num w:numId="16">
    <w:abstractNumId w:val="2"/>
  </w:num>
  <w:num w:numId="17">
    <w:abstractNumId w:val="12"/>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7D"/>
    <w:rsid w:val="000047F3"/>
    <w:rsid w:val="0002085C"/>
    <w:rsid w:val="0003072F"/>
    <w:rsid w:val="00045FFC"/>
    <w:rsid w:val="00047770"/>
    <w:rsid w:val="0005115C"/>
    <w:rsid w:val="00056577"/>
    <w:rsid w:val="000570F7"/>
    <w:rsid w:val="00061065"/>
    <w:rsid w:val="00073FB0"/>
    <w:rsid w:val="00087405"/>
    <w:rsid w:val="00087525"/>
    <w:rsid w:val="00096E76"/>
    <w:rsid w:val="000A2D33"/>
    <w:rsid w:val="000A4C9A"/>
    <w:rsid w:val="000B10B5"/>
    <w:rsid w:val="000C19BE"/>
    <w:rsid w:val="000E0872"/>
    <w:rsid w:val="000E5577"/>
    <w:rsid w:val="0010455E"/>
    <w:rsid w:val="00104624"/>
    <w:rsid w:val="00104ED1"/>
    <w:rsid w:val="00107151"/>
    <w:rsid w:val="00132273"/>
    <w:rsid w:val="001331CC"/>
    <w:rsid w:val="00141555"/>
    <w:rsid w:val="00142909"/>
    <w:rsid w:val="001521DB"/>
    <w:rsid w:val="0015304E"/>
    <w:rsid w:val="001658D7"/>
    <w:rsid w:val="00172021"/>
    <w:rsid w:val="001733B0"/>
    <w:rsid w:val="00186544"/>
    <w:rsid w:val="00193FFC"/>
    <w:rsid w:val="0019671A"/>
    <w:rsid w:val="001B2C39"/>
    <w:rsid w:val="001B5E55"/>
    <w:rsid w:val="001C07F1"/>
    <w:rsid w:val="001C125F"/>
    <w:rsid w:val="001E0DB7"/>
    <w:rsid w:val="001F137F"/>
    <w:rsid w:val="00200270"/>
    <w:rsid w:val="0020474F"/>
    <w:rsid w:val="00211BB9"/>
    <w:rsid w:val="002169E5"/>
    <w:rsid w:val="00230C98"/>
    <w:rsid w:val="00235B7F"/>
    <w:rsid w:val="00242744"/>
    <w:rsid w:val="002469C3"/>
    <w:rsid w:val="002574AD"/>
    <w:rsid w:val="002626EF"/>
    <w:rsid w:val="00265836"/>
    <w:rsid w:val="0026585F"/>
    <w:rsid w:val="0026749F"/>
    <w:rsid w:val="00267EF7"/>
    <w:rsid w:val="0027058F"/>
    <w:rsid w:val="00271F92"/>
    <w:rsid w:val="002915A2"/>
    <w:rsid w:val="00294329"/>
    <w:rsid w:val="002A41CE"/>
    <w:rsid w:val="002A497D"/>
    <w:rsid w:val="002C0667"/>
    <w:rsid w:val="002C3A34"/>
    <w:rsid w:val="002C5396"/>
    <w:rsid w:val="002C6BB7"/>
    <w:rsid w:val="002D45A9"/>
    <w:rsid w:val="002F2BB7"/>
    <w:rsid w:val="002F314E"/>
    <w:rsid w:val="003013B3"/>
    <w:rsid w:val="00311002"/>
    <w:rsid w:val="00323F84"/>
    <w:rsid w:val="00330E27"/>
    <w:rsid w:val="00353A29"/>
    <w:rsid w:val="00356F6C"/>
    <w:rsid w:val="00361708"/>
    <w:rsid w:val="00361A81"/>
    <w:rsid w:val="0036292A"/>
    <w:rsid w:val="00365521"/>
    <w:rsid w:val="003745C2"/>
    <w:rsid w:val="003826EC"/>
    <w:rsid w:val="00397768"/>
    <w:rsid w:val="003B434B"/>
    <w:rsid w:val="003C45B6"/>
    <w:rsid w:val="003C7021"/>
    <w:rsid w:val="003C7984"/>
    <w:rsid w:val="003C7D59"/>
    <w:rsid w:val="003D2EBE"/>
    <w:rsid w:val="003D644F"/>
    <w:rsid w:val="003D732F"/>
    <w:rsid w:val="00400D42"/>
    <w:rsid w:val="00404977"/>
    <w:rsid w:val="00414149"/>
    <w:rsid w:val="00416BE2"/>
    <w:rsid w:val="00422332"/>
    <w:rsid w:val="00425076"/>
    <w:rsid w:val="004260BD"/>
    <w:rsid w:val="00430D60"/>
    <w:rsid w:val="004347DC"/>
    <w:rsid w:val="00446405"/>
    <w:rsid w:val="00446E0D"/>
    <w:rsid w:val="004538AA"/>
    <w:rsid w:val="00455D70"/>
    <w:rsid w:val="00480F0D"/>
    <w:rsid w:val="00487076"/>
    <w:rsid w:val="00487ACF"/>
    <w:rsid w:val="00492972"/>
    <w:rsid w:val="00493A88"/>
    <w:rsid w:val="004D15DE"/>
    <w:rsid w:val="004D1921"/>
    <w:rsid w:val="004E61CF"/>
    <w:rsid w:val="00502A1E"/>
    <w:rsid w:val="00505102"/>
    <w:rsid w:val="005126CE"/>
    <w:rsid w:val="005164D2"/>
    <w:rsid w:val="00517D6C"/>
    <w:rsid w:val="00522746"/>
    <w:rsid w:val="005413C4"/>
    <w:rsid w:val="00547F0E"/>
    <w:rsid w:val="00553C5E"/>
    <w:rsid w:val="00566E51"/>
    <w:rsid w:val="00576F08"/>
    <w:rsid w:val="005865A0"/>
    <w:rsid w:val="005940B8"/>
    <w:rsid w:val="0059659A"/>
    <w:rsid w:val="00597018"/>
    <w:rsid w:val="005A038B"/>
    <w:rsid w:val="005A2A27"/>
    <w:rsid w:val="005A73D4"/>
    <w:rsid w:val="005B6BDB"/>
    <w:rsid w:val="005E311F"/>
    <w:rsid w:val="005E668D"/>
    <w:rsid w:val="005E6D04"/>
    <w:rsid w:val="005F1A11"/>
    <w:rsid w:val="005F3F4E"/>
    <w:rsid w:val="005F6C43"/>
    <w:rsid w:val="005F7D9F"/>
    <w:rsid w:val="00611004"/>
    <w:rsid w:val="00620FB5"/>
    <w:rsid w:val="00636695"/>
    <w:rsid w:val="00652EB7"/>
    <w:rsid w:val="00664D71"/>
    <w:rsid w:val="00666136"/>
    <w:rsid w:val="00676DAA"/>
    <w:rsid w:val="0068285D"/>
    <w:rsid w:val="006830E5"/>
    <w:rsid w:val="00683430"/>
    <w:rsid w:val="00684C46"/>
    <w:rsid w:val="006A42A1"/>
    <w:rsid w:val="006B04EF"/>
    <w:rsid w:val="006B1623"/>
    <w:rsid w:val="006B2ADF"/>
    <w:rsid w:val="006D2229"/>
    <w:rsid w:val="006E5954"/>
    <w:rsid w:val="006E7969"/>
    <w:rsid w:val="006F24C3"/>
    <w:rsid w:val="00704056"/>
    <w:rsid w:val="007206A1"/>
    <w:rsid w:val="00724D88"/>
    <w:rsid w:val="00725235"/>
    <w:rsid w:val="007270FA"/>
    <w:rsid w:val="00734AC1"/>
    <w:rsid w:val="00737609"/>
    <w:rsid w:val="00760069"/>
    <w:rsid w:val="00775405"/>
    <w:rsid w:val="00776285"/>
    <w:rsid w:val="007820E0"/>
    <w:rsid w:val="007854AE"/>
    <w:rsid w:val="00791E96"/>
    <w:rsid w:val="00797C0C"/>
    <w:rsid w:val="007A356F"/>
    <w:rsid w:val="007B5AD5"/>
    <w:rsid w:val="007D5F96"/>
    <w:rsid w:val="007E30E1"/>
    <w:rsid w:val="007F2F24"/>
    <w:rsid w:val="007F75E6"/>
    <w:rsid w:val="00800C1C"/>
    <w:rsid w:val="00802337"/>
    <w:rsid w:val="00821187"/>
    <w:rsid w:val="008276A4"/>
    <w:rsid w:val="00831C2A"/>
    <w:rsid w:val="00840E6E"/>
    <w:rsid w:val="0084502A"/>
    <w:rsid w:val="00847FF5"/>
    <w:rsid w:val="008506E9"/>
    <w:rsid w:val="00860726"/>
    <w:rsid w:val="00883772"/>
    <w:rsid w:val="0088599D"/>
    <w:rsid w:val="00885B78"/>
    <w:rsid w:val="008865A4"/>
    <w:rsid w:val="00891F76"/>
    <w:rsid w:val="0089342F"/>
    <w:rsid w:val="008A0161"/>
    <w:rsid w:val="008B009E"/>
    <w:rsid w:val="008B741E"/>
    <w:rsid w:val="008D5BCB"/>
    <w:rsid w:val="008F6E3F"/>
    <w:rsid w:val="00900EF6"/>
    <w:rsid w:val="00906AB0"/>
    <w:rsid w:val="00910D37"/>
    <w:rsid w:val="0091106B"/>
    <w:rsid w:val="009125F7"/>
    <w:rsid w:val="00914F31"/>
    <w:rsid w:val="00917C5D"/>
    <w:rsid w:val="009248B6"/>
    <w:rsid w:val="0092687F"/>
    <w:rsid w:val="0093163C"/>
    <w:rsid w:val="00942630"/>
    <w:rsid w:val="00942AE2"/>
    <w:rsid w:val="009434B8"/>
    <w:rsid w:val="00944F22"/>
    <w:rsid w:val="009650A0"/>
    <w:rsid w:val="00973B32"/>
    <w:rsid w:val="00975F92"/>
    <w:rsid w:val="00976861"/>
    <w:rsid w:val="0098452F"/>
    <w:rsid w:val="00997098"/>
    <w:rsid w:val="009A0005"/>
    <w:rsid w:val="009A6243"/>
    <w:rsid w:val="009D249C"/>
    <w:rsid w:val="009F3BE3"/>
    <w:rsid w:val="009F4286"/>
    <w:rsid w:val="009F5AA4"/>
    <w:rsid w:val="009F6866"/>
    <w:rsid w:val="00A14EC0"/>
    <w:rsid w:val="00A157F0"/>
    <w:rsid w:val="00A17926"/>
    <w:rsid w:val="00A26282"/>
    <w:rsid w:val="00A30851"/>
    <w:rsid w:val="00A31209"/>
    <w:rsid w:val="00A33089"/>
    <w:rsid w:val="00A37B47"/>
    <w:rsid w:val="00A56E62"/>
    <w:rsid w:val="00A573C4"/>
    <w:rsid w:val="00A57831"/>
    <w:rsid w:val="00A70B36"/>
    <w:rsid w:val="00A73DF7"/>
    <w:rsid w:val="00A74738"/>
    <w:rsid w:val="00A839C9"/>
    <w:rsid w:val="00AC4DF6"/>
    <w:rsid w:val="00AC6CAD"/>
    <w:rsid w:val="00AD2FEB"/>
    <w:rsid w:val="00AF5953"/>
    <w:rsid w:val="00AF733D"/>
    <w:rsid w:val="00AF7394"/>
    <w:rsid w:val="00B02209"/>
    <w:rsid w:val="00B07273"/>
    <w:rsid w:val="00B107AC"/>
    <w:rsid w:val="00B117DD"/>
    <w:rsid w:val="00B23878"/>
    <w:rsid w:val="00B25522"/>
    <w:rsid w:val="00B34689"/>
    <w:rsid w:val="00B40785"/>
    <w:rsid w:val="00B427A8"/>
    <w:rsid w:val="00B44121"/>
    <w:rsid w:val="00B4504C"/>
    <w:rsid w:val="00B52D7F"/>
    <w:rsid w:val="00B52F2B"/>
    <w:rsid w:val="00B548B7"/>
    <w:rsid w:val="00B8433D"/>
    <w:rsid w:val="00B9031A"/>
    <w:rsid w:val="00BA06FD"/>
    <w:rsid w:val="00BA24CD"/>
    <w:rsid w:val="00BA2F2E"/>
    <w:rsid w:val="00BB0395"/>
    <w:rsid w:val="00BB3814"/>
    <w:rsid w:val="00BD07C0"/>
    <w:rsid w:val="00BE30A7"/>
    <w:rsid w:val="00BF383A"/>
    <w:rsid w:val="00BF5BC9"/>
    <w:rsid w:val="00C06E7B"/>
    <w:rsid w:val="00C0788F"/>
    <w:rsid w:val="00C1119F"/>
    <w:rsid w:val="00C16A52"/>
    <w:rsid w:val="00C23DA7"/>
    <w:rsid w:val="00C431B2"/>
    <w:rsid w:val="00C46B62"/>
    <w:rsid w:val="00C649D0"/>
    <w:rsid w:val="00C67645"/>
    <w:rsid w:val="00C815F3"/>
    <w:rsid w:val="00C92A11"/>
    <w:rsid w:val="00C945F8"/>
    <w:rsid w:val="00C97085"/>
    <w:rsid w:val="00CA52B3"/>
    <w:rsid w:val="00CC0268"/>
    <w:rsid w:val="00CD5C1A"/>
    <w:rsid w:val="00CF3950"/>
    <w:rsid w:val="00D0133B"/>
    <w:rsid w:val="00D02C75"/>
    <w:rsid w:val="00D139CC"/>
    <w:rsid w:val="00D14715"/>
    <w:rsid w:val="00D2773C"/>
    <w:rsid w:val="00D30C43"/>
    <w:rsid w:val="00D36027"/>
    <w:rsid w:val="00D6144A"/>
    <w:rsid w:val="00D62396"/>
    <w:rsid w:val="00D7214A"/>
    <w:rsid w:val="00D74A46"/>
    <w:rsid w:val="00D914E3"/>
    <w:rsid w:val="00D91E8F"/>
    <w:rsid w:val="00D941AC"/>
    <w:rsid w:val="00DA269B"/>
    <w:rsid w:val="00DB6AE0"/>
    <w:rsid w:val="00DC21A7"/>
    <w:rsid w:val="00DD770D"/>
    <w:rsid w:val="00DE62F9"/>
    <w:rsid w:val="00DF0298"/>
    <w:rsid w:val="00DF09B9"/>
    <w:rsid w:val="00E02957"/>
    <w:rsid w:val="00E07DB5"/>
    <w:rsid w:val="00E10434"/>
    <w:rsid w:val="00E213D7"/>
    <w:rsid w:val="00E27A78"/>
    <w:rsid w:val="00E37D00"/>
    <w:rsid w:val="00E51C71"/>
    <w:rsid w:val="00E54B0C"/>
    <w:rsid w:val="00E61136"/>
    <w:rsid w:val="00E7207B"/>
    <w:rsid w:val="00E86F5C"/>
    <w:rsid w:val="00EA6E8C"/>
    <w:rsid w:val="00EB038F"/>
    <w:rsid w:val="00EB1402"/>
    <w:rsid w:val="00EB4A3B"/>
    <w:rsid w:val="00EC3664"/>
    <w:rsid w:val="00F06A9A"/>
    <w:rsid w:val="00F21F1A"/>
    <w:rsid w:val="00F360AE"/>
    <w:rsid w:val="00F37FB8"/>
    <w:rsid w:val="00F403E1"/>
    <w:rsid w:val="00F437CE"/>
    <w:rsid w:val="00F5454E"/>
    <w:rsid w:val="00F60BEE"/>
    <w:rsid w:val="00F63C0D"/>
    <w:rsid w:val="00F71006"/>
    <w:rsid w:val="00F8278E"/>
    <w:rsid w:val="00F84601"/>
    <w:rsid w:val="00F943C5"/>
    <w:rsid w:val="00F95BD6"/>
    <w:rsid w:val="00F97312"/>
    <w:rsid w:val="00F97480"/>
    <w:rsid w:val="00FA147E"/>
    <w:rsid w:val="00FB0126"/>
    <w:rsid w:val="00FB1B02"/>
    <w:rsid w:val="00FB1B89"/>
    <w:rsid w:val="00FC1753"/>
    <w:rsid w:val="00FD34CF"/>
    <w:rsid w:val="00FD4372"/>
    <w:rsid w:val="00FE7F7D"/>
    <w:rsid w:val="03C102F4"/>
    <w:rsid w:val="53F6A88C"/>
    <w:rsid w:val="70DA14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0848"/>
  <w15:chartTrackingRefBased/>
  <w15:docId w15:val="{223A2F95-0F92-4C2F-B23B-0BF8A6CF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DA7"/>
    <w:pPr>
      <w:spacing w:after="0" w:line="240" w:lineRule="auto"/>
      <w:ind w:left="720"/>
      <w:contextualSpacing/>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F95BD6"/>
    <w:pPr>
      <w:spacing w:line="240" w:lineRule="auto"/>
    </w:pPr>
    <w:rPr>
      <w:sz w:val="20"/>
      <w:szCs w:val="20"/>
    </w:rPr>
  </w:style>
  <w:style w:type="character" w:customStyle="1" w:styleId="CommentTextChar">
    <w:name w:val="Comment Text Char"/>
    <w:basedOn w:val="DefaultParagraphFont"/>
    <w:link w:val="CommentText"/>
    <w:uiPriority w:val="99"/>
    <w:semiHidden/>
    <w:rsid w:val="00F95BD6"/>
    <w:rPr>
      <w:sz w:val="20"/>
      <w:szCs w:val="20"/>
    </w:rPr>
  </w:style>
  <w:style w:type="character" w:styleId="CommentReference">
    <w:name w:val="annotation reference"/>
    <w:basedOn w:val="DefaultParagraphFont"/>
    <w:uiPriority w:val="99"/>
    <w:semiHidden/>
    <w:unhideWhenUsed/>
    <w:rsid w:val="00F95BD6"/>
    <w:rPr>
      <w:sz w:val="16"/>
      <w:szCs w:val="16"/>
    </w:rPr>
  </w:style>
  <w:style w:type="paragraph" w:styleId="BalloonText">
    <w:name w:val="Balloon Text"/>
    <w:basedOn w:val="Normal"/>
    <w:link w:val="BalloonTextChar"/>
    <w:uiPriority w:val="99"/>
    <w:semiHidden/>
    <w:unhideWhenUsed/>
    <w:rsid w:val="00B11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7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770D"/>
    <w:rPr>
      <w:b/>
      <w:bCs/>
    </w:rPr>
  </w:style>
  <w:style w:type="character" w:customStyle="1" w:styleId="CommentSubjectChar">
    <w:name w:val="Comment Subject Char"/>
    <w:basedOn w:val="CommentTextChar"/>
    <w:link w:val="CommentSubject"/>
    <w:uiPriority w:val="99"/>
    <w:semiHidden/>
    <w:rsid w:val="00DD770D"/>
    <w:rPr>
      <w:b/>
      <w:bCs/>
      <w:sz w:val="20"/>
      <w:szCs w:val="20"/>
    </w:rPr>
  </w:style>
  <w:style w:type="paragraph" w:styleId="FootnoteText">
    <w:name w:val="footnote text"/>
    <w:basedOn w:val="Normal"/>
    <w:link w:val="FootnoteTextChar"/>
    <w:uiPriority w:val="99"/>
    <w:semiHidden/>
    <w:unhideWhenUsed/>
    <w:rsid w:val="002469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9C3"/>
    <w:rPr>
      <w:sz w:val="20"/>
      <w:szCs w:val="20"/>
    </w:rPr>
  </w:style>
  <w:style w:type="character" w:styleId="FootnoteReference">
    <w:name w:val="footnote reference"/>
    <w:basedOn w:val="DefaultParagraphFont"/>
    <w:uiPriority w:val="99"/>
    <w:semiHidden/>
    <w:unhideWhenUsed/>
    <w:rsid w:val="002469C3"/>
    <w:rPr>
      <w:vertAlign w:val="superscript"/>
    </w:rPr>
  </w:style>
  <w:style w:type="paragraph" w:styleId="Header">
    <w:name w:val="header"/>
    <w:basedOn w:val="Normal"/>
    <w:link w:val="HeaderChar"/>
    <w:uiPriority w:val="99"/>
    <w:semiHidden/>
    <w:unhideWhenUsed/>
    <w:rsid w:val="004141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14149"/>
  </w:style>
  <w:style w:type="paragraph" w:styleId="Footer">
    <w:name w:val="footer"/>
    <w:basedOn w:val="Normal"/>
    <w:link w:val="FooterChar"/>
    <w:uiPriority w:val="99"/>
    <w:semiHidden/>
    <w:unhideWhenUsed/>
    <w:rsid w:val="004141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4149"/>
  </w:style>
  <w:style w:type="character" w:styleId="Hyperlink">
    <w:name w:val="Hyperlink"/>
    <w:basedOn w:val="DefaultParagraphFont"/>
    <w:uiPriority w:val="99"/>
    <w:unhideWhenUsed/>
    <w:rsid w:val="00FB1B02"/>
    <w:rPr>
      <w:color w:val="0563C1" w:themeColor="hyperlink"/>
      <w:u w:val="single"/>
    </w:rPr>
  </w:style>
  <w:style w:type="character" w:styleId="UnresolvedMention">
    <w:name w:val="Unresolved Mention"/>
    <w:basedOn w:val="DefaultParagraphFont"/>
    <w:uiPriority w:val="99"/>
    <w:semiHidden/>
    <w:unhideWhenUsed/>
    <w:rsid w:val="00FB1B02"/>
    <w:rPr>
      <w:color w:val="605E5C"/>
      <w:shd w:val="clear" w:color="auto" w:fill="E1DFDD"/>
    </w:rPr>
  </w:style>
  <w:style w:type="table" w:styleId="TableGrid">
    <w:name w:val="Table Grid"/>
    <w:basedOn w:val="TableNormal"/>
    <w:uiPriority w:val="39"/>
    <w:rsid w:val="00492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6636">
      <w:bodyDiv w:val="1"/>
      <w:marLeft w:val="0"/>
      <w:marRight w:val="0"/>
      <w:marTop w:val="0"/>
      <w:marBottom w:val="0"/>
      <w:divBdr>
        <w:top w:val="none" w:sz="0" w:space="0" w:color="auto"/>
        <w:left w:val="none" w:sz="0" w:space="0" w:color="auto"/>
        <w:bottom w:val="none" w:sz="0" w:space="0" w:color="auto"/>
        <w:right w:val="none" w:sz="0" w:space="0" w:color="auto"/>
      </w:divBdr>
    </w:div>
    <w:div w:id="279411922">
      <w:bodyDiv w:val="1"/>
      <w:marLeft w:val="0"/>
      <w:marRight w:val="0"/>
      <w:marTop w:val="0"/>
      <w:marBottom w:val="0"/>
      <w:divBdr>
        <w:top w:val="none" w:sz="0" w:space="0" w:color="auto"/>
        <w:left w:val="none" w:sz="0" w:space="0" w:color="auto"/>
        <w:bottom w:val="none" w:sz="0" w:space="0" w:color="auto"/>
        <w:right w:val="none" w:sz="0" w:space="0" w:color="auto"/>
      </w:divBdr>
      <w:divsChild>
        <w:div w:id="156072180">
          <w:marLeft w:val="360"/>
          <w:marRight w:val="0"/>
          <w:marTop w:val="200"/>
          <w:marBottom w:val="0"/>
          <w:divBdr>
            <w:top w:val="none" w:sz="0" w:space="0" w:color="auto"/>
            <w:left w:val="none" w:sz="0" w:space="0" w:color="auto"/>
            <w:bottom w:val="none" w:sz="0" w:space="0" w:color="auto"/>
            <w:right w:val="none" w:sz="0" w:space="0" w:color="auto"/>
          </w:divBdr>
        </w:div>
        <w:div w:id="284390879">
          <w:marLeft w:val="360"/>
          <w:marRight w:val="0"/>
          <w:marTop w:val="200"/>
          <w:marBottom w:val="0"/>
          <w:divBdr>
            <w:top w:val="none" w:sz="0" w:space="0" w:color="auto"/>
            <w:left w:val="none" w:sz="0" w:space="0" w:color="auto"/>
            <w:bottom w:val="none" w:sz="0" w:space="0" w:color="auto"/>
            <w:right w:val="none" w:sz="0" w:space="0" w:color="auto"/>
          </w:divBdr>
        </w:div>
        <w:div w:id="1649162918">
          <w:marLeft w:val="360"/>
          <w:marRight w:val="0"/>
          <w:marTop w:val="200"/>
          <w:marBottom w:val="0"/>
          <w:divBdr>
            <w:top w:val="none" w:sz="0" w:space="0" w:color="auto"/>
            <w:left w:val="none" w:sz="0" w:space="0" w:color="auto"/>
            <w:bottom w:val="none" w:sz="0" w:space="0" w:color="auto"/>
            <w:right w:val="none" w:sz="0" w:space="0" w:color="auto"/>
          </w:divBdr>
        </w:div>
      </w:divsChild>
    </w:div>
    <w:div w:id="485628989">
      <w:bodyDiv w:val="1"/>
      <w:marLeft w:val="0"/>
      <w:marRight w:val="0"/>
      <w:marTop w:val="0"/>
      <w:marBottom w:val="0"/>
      <w:divBdr>
        <w:top w:val="none" w:sz="0" w:space="0" w:color="auto"/>
        <w:left w:val="none" w:sz="0" w:space="0" w:color="auto"/>
        <w:bottom w:val="none" w:sz="0" w:space="0" w:color="auto"/>
        <w:right w:val="none" w:sz="0" w:space="0" w:color="auto"/>
      </w:divBdr>
    </w:div>
    <w:div w:id="816191419">
      <w:bodyDiv w:val="1"/>
      <w:marLeft w:val="0"/>
      <w:marRight w:val="0"/>
      <w:marTop w:val="0"/>
      <w:marBottom w:val="0"/>
      <w:divBdr>
        <w:top w:val="none" w:sz="0" w:space="0" w:color="auto"/>
        <w:left w:val="none" w:sz="0" w:space="0" w:color="auto"/>
        <w:bottom w:val="none" w:sz="0" w:space="0" w:color="auto"/>
        <w:right w:val="none" w:sz="0" w:space="0" w:color="auto"/>
      </w:divBdr>
    </w:div>
    <w:div w:id="1178696333">
      <w:bodyDiv w:val="1"/>
      <w:marLeft w:val="0"/>
      <w:marRight w:val="0"/>
      <w:marTop w:val="0"/>
      <w:marBottom w:val="0"/>
      <w:divBdr>
        <w:top w:val="none" w:sz="0" w:space="0" w:color="auto"/>
        <w:left w:val="none" w:sz="0" w:space="0" w:color="auto"/>
        <w:bottom w:val="none" w:sz="0" w:space="0" w:color="auto"/>
        <w:right w:val="none" w:sz="0" w:space="0" w:color="auto"/>
      </w:divBdr>
    </w:div>
    <w:div w:id="1193961056">
      <w:bodyDiv w:val="1"/>
      <w:marLeft w:val="0"/>
      <w:marRight w:val="0"/>
      <w:marTop w:val="0"/>
      <w:marBottom w:val="0"/>
      <w:divBdr>
        <w:top w:val="none" w:sz="0" w:space="0" w:color="auto"/>
        <w:left w:val="none" w:sz="0" w:space="0" w:color="auto"/>
        <w:bottom w:val="none" w:sz="0" w:space="0" w:color="auto"/>
        <w:right w:val="none" w:sz="0" w:space="0" w:color="auto"/>
      </w:divBdr>
    </w:div>
    <w:div w:id="1782676757">
      <w:bodyDiv w:val="1"/>
      <w:marLeft w:val="0"/>
      <w:marRight w:val="0"/>
      <w:marTop w:val="0"/>
      <w:marBottom w:val="0"/>
      <w:divBdr>
        <w:top w:val="none" w:sz="0" w:space="0" w:color="auto"/>
        <w:left w:val="none" w:sz="0" w:space="0" w:color="auto"/>
        <w:bottom w:val="none" w:sz="0" w:space="0" w:color="auto"/>
        <w:right w:val="none" w:sz="0" w:space="0" w:color="auto"/>
      </w:divBdr>
    </w:div>
    <w:div w:id="20634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gamblingcommission.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C79B-9046-498A-9FAC-E73821FE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Bimaljit Kaur</dc:creator>
  <cp:keywords/>
  <dc:description/>
  <cp:lastModifiedBy>David Battersby</cp:lastModifiedBy>
  <cp:revision>5</cp:revision>
  <dcterms:created xsi:type="dcterms:W3CDTF">2021-06-16T14:24:00Z</dcterms:created>
  <dcterms:modified xsi:type="dcterms:W3CDTF">2021-06-24T09:19:00Z</dcterms:modified>
</cp:coreProperties>
</file>