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BB" w:rsidRDefault="00AA3B7C" w:rsidP="00785CBB">
      <w:pPr>
        <w:pStyle w:val="Heading1"/>
        <w:rPr>
          <w:b/>
          <w:noProof/>
          <w:color w:val="auto"/>
        </w:rPr>
      </w:pPr>
      <w:r>
        <w:rPr>
          <w:b/>
          <w:noProof/>
          <w:color w:val="auto"/>
        </w:rPr>
        <w:t>Appendix 12 to ITPD part 1</w:t>
      </w:r>
      <w:r w:rsidR="00DA67F6">
        <w:rPr>
          <w:b/>
          <w:noProof/>
          <w:color w:val="auto"/>
        </w:rPr>
        <w:t xml:space="preserve"> </w:t>
      </w:r>
      <w:r>
        <w:rPr>
          <w:b/>
          <w:noProof/>
          <w:color w:val="auto"/>
        </w:rPr>
        <w:t>v</w:t>
      </w:r>
      <w:r w:rsidR="001C6D09">
        <w:rPr>
          <w:b/>
          <w:noProof/>
          <w:color w:val="auto"/>
        </w:rPr>
        <w:t xml:space="preserve"> final </w:t>
      </w:r>
      <w:bookmarkStart w:id="0" w:name="_GoBack"/>
      <w:bookmarkEnd w:id="0"/>
      <w:r w:rsidR="001C6D09">
        <w:rPr>
          <w:b/>
          <w:noProof/>
          <w:color w:val="auto"/>
        </w:rPr>
        <w:t>13th</w:t>
      </w:r>
      <w:r w:rsidR="00816895">
        <w:rPr>
          <w:b/>
          <w:noProof/>
          <w:color w:val="auto"/>
        </w:rPr>
        <w:t xml:space="preserve"> January 2017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7975"/>
        <w:gridCol w:w="6871"/>
      </w:tblGrid>
      <w:tr w:rsidR="00BB6A6B" w:rsidRPr="00BB6A6B" w:rsidTr="00C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  <w:shd w:val="clear" w:color="auto" w:fill="FFC000"/>
          </w:tcPr>
          <w:p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Document</w:t>
            </w:r>
          </w:p>
        </w:tc>
        <w:tc>
          <w:tcPr>
            <w:tcW w:w="6871" w:type="dxa"/>
            <w:shd w:val="clear" w:color="auto" w:fill="FFC000"/>
          </w:tcPr>
          <w:p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Universal reference quoted throughout document set</w:t>
            </w:r>
          </w:p>
        </w:tc>
      </w:tr>
      <w:tr w:rsidR="00BB6A6B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BB6A6B" w:rsidRPr="00BB6A6B" w:rsidRDefault="00BB6A6B" w:rsidP="00CA376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ITPD Part 1</w:t>
            </w:r>
          </w:p>
        </w:tc>
        <w:tc>
          <w:tcPr>
            <w:tcW w:w="6871" w:type="dxa"/>
          </w:tcPr>
          <w:p w:rsidR="00BB6A6B" w:rsidRPr="00D83435" w:rsidRDefault="00BB6A6B" w:rsidP="00CA376F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</w:rPr>
            </w:pPr>
            <w:r w:rsidRPr="00D83435">
              <w:rPr>
                <w:b/>
                <w:noProof/>
                <w:color w:val="auto"/>
              </w:rPr>
              <w:t>Master document- no additional reference required</w:t>
            </w:r>
          </w:p>
        </w:tc>
      </w:tr>
      <w:tr w:rsidR="00BB6A6B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BB6A6B" w:rsidRPr="00BB6A6B" w:rsidRDefault="00BB6A6B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ITPD Part 2</w:t>
            </w:r>
          </w:p>
        </w:tc>
        <w:tc>
          <w:tcPr>
            <w:tcW w:w="6871" w:type="dxa"/>
          </w:tcPr>
          <w:p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BB6A6B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BB6A6B" w:rsidRPr="00BB6A6B" w:rsidRDefault="000D13F7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Contract</w:t>
            </w:r>
          </w:p>
        </w:tc>
        <w:tc>
          <w:tcPr>
            <w:tcW w:w="6871" w:type="dxa"/>
          </w:tcPr>
          <w:p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BB6A6B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BB6A6B" w:rsidRPr="00BB6A6B" w:rsidRDefault="00BB6A6B" w:rsidP="00BB6A6B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Specification</w:t>
            </w:r>
          </w:p>
        </w:tc>
        <w:tc>
          <w:tcPr>
            <w:tcW w:w="6871" w:type="dxa"/>
          </w:tcPr>
          <w:p w:rsidR="00BB6A6B" w:rsidRPr="00D83435" w:rsidRDefault="00BB6A6B" w:rsidP="00BB6A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CD7BF7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Bid Back Financial Table</w:t>
            </w:r>
          </w:p>
        </w:tc>
        <w:tc>
          <w:tcPr>
            <w:tcW w:w="6871" w:type="dxa"/>
          </w:tcPr>
          <w:p w:rsidR="001B7470" w:rsidRPr="00D83435" w:rsidRDefault="001B7470" w:rsidP="001B747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CD7BF7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CD7BF7" w:rsidRDefault="00CD7BF7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Guidance on completing the Bid Back Financial Table</w:t>
            </w:r>
          </w:p>
        </w:tc>
        <w:tc>
          <w:tcPr>
            <w:tcW w:w="6871" w:type="dxa"/>
          </w:tcPr>
          <w:p w:rsidR="00CD7BF7" w:rsidRPr="00D83435" w:rsidRDefault="00CD7BF7" w:rsidP="001B74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83435">
              <w:rPr>
                <w:rFonts w:ascii="Arial" w:hAnsi="Arial" w:cs="Arial"/>
                <w:b/>
                <w:noProof/>
                <w:sz w:val="24"/>
                <w:szCs w:val="24"/>
              </w:rPr>
              <w:t>Master document- no additional reference required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CA2129" w:rsidP="00DF2A18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TUPE List – Current provider (</w:t>
            </w:r>
            <w:r w:rsidR="00DF2A18">
              <w:rPr>
                <w:noProof/>
              </w:rPr>
              <w:t>GDIT</w:t>
            </w:r>
            <w:r>
              <w:rPr>
                <w:noProof/>
              </w:rPr>
              <w:t>)</w:t>
            </w:r>
          </w:p>
        </w:tc>
        <w:tc>
          <w:tcPr>
            <w:tcW w:w="6871" w:type="dxa"/>
          </w:tcPr>
          <w:p w:rsidR="001B7470" w:rsidRPr="00BB6A6B" w:rsidRDefault="00C33CBE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D83435">
              <w:rPr>
                <w:b/>
                <w:noProof/>
              </w:rPr>
              <w:t>Master document- no additional reference required</w:t>
            </w:r>
          </w:p>
        </w:tc>
      </w:tr>
      <w:tr w:rsidR="001B7470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List of Dialogue Topics and Timetable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 to ITPD Part 1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Submission Check List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2 to ITPD Part 1</w:t>
            </w:r>
          </w:p>
        </w:tc>
      </w:tr>
      <w:tr w:rsidR="001B7470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Anti- Collusion Certificate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3 to ITPD Part 1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List of documents which will comprise a compliant tender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4 to ITPD Part 1</w:t>
            </w:r>
          </w:p>
        </w:tc>
      </w:tr>
      <w:tr w:rsidR="001B7470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Certificate of No Change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5 to ITPD Part 1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FOI Proforma</w:t>
            </w:r>
            <w:r w:rsidR="00BB283A">
              <w:rPr>
                <w:noProof/>
                <w:color w:val="FF0000"/>
              </w:rPr>
              <w:t xml:space="preserve"> (reasons for non-</w:t>
            </w:r>
            <w:r w:rsidRPr="00BB6A6B">
              <w:rPr>
                <w:noProof/>
                <w:color w:val="FF0000"/>
              </w:rPr>
              <w:t>disclosure)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6 to ITPD Part 1</w:t>
            </w:r>
          </w:p>
        </w:tc>
      </w:tr>
      <w:tr w:rsidR="001B7470" w:rsidRPr="00BB6A6B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1B7470" w:rsidP="00F477C5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 xml:space="preserve">Detailed Method Statements for completion </w:t>
            </w:r>
          </w:p>
        </w:tc>
        <w:tc>
          <w:tcPr>
            <w:tcW w:w="6871" w:type="dxa"/>
          </w:tcPr>
          <w:p w:rsidR="001B7470" w:rsidRPr="00BB6A6B" w:rsidRDefault="00F477C5" w:rsidP="001B7470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7 to ITPD Part 1</w:t>
            </w:r>
          </w:p>
        </w:tc>
      </w:tr>
      <w:tr w:rsidR="001B7470" w:rsidRPr="00BB6A6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Pr="00BB6A6B" w:rsidRDefault="00EA5FF6" w:rsidP="000D13F7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TUPE Confidentiality Agreement </w:t>
            </w:r>
            <w:r>
              <w:rPr>
                <w:noProof/>
                <w:color w:val="FF0000"/>
              </w:rPr>
              <w:t>(must be signed before TUPE information is released)</w:t>
            </w:r>
          </w:p>
        </w:tc>
        <w:tc>
          <w:tcPr>
            <w:tcW w:w="6871" w:type="dxa"/>
          </w:tcPr>
          <w:p w:rsidR="001B7470" w:rsidRPr="00BB6A6B" w:rsidRDefault="00F477C5" w:rsidP="00CB0CAD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8 to ITPD Part 1.</w:t>
            </w:r>
          </w:p>
        </w:tc>
      </w:tr>
      <w:tr w:rsidR="001B7470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B7470" w:rsidRDefault="001B7470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>Vision for expansion of the service</w:t>
            </w:r>
          </w:p>
        </w:tc>
        <w:tc>
          <w:tcPr>
            <w:tcW w:w="6871" w:type="dxa"/>
          </w:tcPr>
          <w:p w:rsidR="001B7470" w:rsidRPr="00BB6A6B" w:rsidRDefault="00F477C5" w:rsidP="00CB0CAD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9 to ITPD Part 1.</w:t>
            </w:r>
          </w:p>
        </w:tc>
      </w:tr>
      <w:tr w:rsidR="007B1EFB" w:rsidTr="00C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7B1EFB" w:rsidRPr="00BB6A6B" w:rsidRDefault="007B1EF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Derogations as bid back by a bidder</w:t>
            </w:r>
          </w:p>
        </w:tc>
        <w:tc>
          <w:tcPr>
            <w:tcW w:w="6871" w:type="dxa"/>
          </w:tcPr>
          <w:p w:rsidR="007B1EFB" w:rsidRDefault="007B1EFB" w:rsidP="007C1E8C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Appendix 10 to </w:t>
            </w:r>
            <w:r w:rsidR="00CB0CAD">
              <w:rPr>
                <w:noProof/>
              </w:rPr>
              <w:t>I</w:t>
            </w:r>
            <w:r>
              <w:rPr>
                <w:noProof/>
              </w:rPr>
              <w:t>TPD Part 1.</w:t>
            </w:r>
            <w:r w:rsidR="00CA2129">
              <w:rPr>
                <w:noProof/>
              </w:rPr>
              <w:t xml:space="preserve"> </w:t>
            </w:r>
          </w:p>
        </w:tc>
      </w:tr>
      <w:tr w:rsidR="00CB0CAD" w:rsidTr="00CB0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CB0CAD" w:rsidRDefault="009C57A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Conflict of Interest Declaration</w:t>
            </w:r>
          </w:p>
        </w:tc>
        <w:tc>
          <w:tcPr>
            <w:tcW w:w="6871" w:type="dxa"/>
          </w:tcPr>
          <w:p w:rsidR="005F4412" w:rsidRDefault="00CB0CAD" w:rsidP="000D13F7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11 to ITPD Part 1.</w:t>
            </w:r>
          </w:p>
        </w:tc>
      </w:tr>
      <w:tr w:rsidR="000959BB" w:rsidTr="00137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0959BB" w:rsidRDefault="000959BB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Document List (this document)</w:t>
            </w:r>
          </w:p>
        </w:tc>
        <w:tc>
          <w:tcPr>
            <w:tcW w:w="6871" w:type="dxa"/>
          </w:tcPr>
          <w:p w:rsidR="000959BB" w:rsidRDefault="000959BB" w:rsidP="000D13F7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12 to ITPD Part 1</w:t>
            </w:r>
          </w:p>
        </w:tc>
      </w:tr>
      <w:tr w:rsidR="00137EE4" w:rsidTr="00137EE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5" w:type="dxa"/>
          </w:tcPr>
          <w:p w:rsidR="00137EE4" w:rsidRDefault="0093030D" w:rsidP="001B7470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color w:val="auto"/>
              </w:rPr>
              <w:t>Form of Tender</w:t>
            </w:r>
          </w:p>
        </w:tc>
        <w:tc>
          <w:tcPr>
            <w:tcW w:w="6871" w:type="dxa"/>
          </w:tcPr>
          <w:p w:rsidR="00137EE4" w:rsidRDefault="00A971D7" w:rsidP="000D13F7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Appendix 13 to ITPD Part 1</w:t>
            </w:r>
          </w:p>
        </w:tc>
      </w:tr>
    </w:tbl>
    <w:p w:rsidR="00AE58B6" w:rsidRDefault="00AE58B6" w:rsidP="0093030D">
      <w:pPr>
        <w:pStyle w:val="Default"/>
        <w:ind w:left="360"/>
        <w:rPr>
          <w:noProof/>
        </w:rPr>
      </w:pPr>
    </w:p>
    <w:sectPr w:rsidR="00AE58B6" w:rsidSect="00E67FDE">
      <w:headerReference w:type="default" r:id="rId7"/>
      <w:pgSz w:w="16839" w:h="11907" w:orient="landscape" w:code="9"/>
      <w:pgMar w:top="851" w:right="769" w:bottom="655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6B" w:rsidRDefault="00A1266B" w:rsidP="000D13F7">
      <w:pPr>
        <w:spacing w:before="0" w:after="0" w:line="240" w:lineRule="auto"/>
      </w:pPr>
      <w:r>
        <w:separator/>
      </w:r>
    </w:p>
  </w:endnote>
  <w:endnote w:type="continuationSeparator" w:id="0">
    <w:p w:rsidR="00A1266B" w:rsidRDefault="00A1266B" w:rsidP="000D13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6B" w:rsidRDefault="00A1266B" w:rsidP="000D13F7">
      <w:pPr>
        <w:spacing w:before="0" w:after="0" w:line="240" w:lineRule="auto"/>
      </w:pPr>
      <w:r>
        <w:separator/>
      </w:r>
    </w:p>
  </w:footnote>
  <w:footnote w:type="continuationSeparator" w:id="0">
    <w:p w:rsidR="00A1266B" w:rsidRDefault="00A1266B" w:rsidP="000D13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F7" w:rsidRDefault="000D13F7">
    <w:pPr>
      <w:pStyle w:val="Header"/>
    </w:pPr>
    <w:r>
      <w:rPr>
        <w:noProof/>
      </w:rPr>
      <w:drawing>
        <wp:inline distT="0" distB="0" distL="0" distR="0" wp14:anchorId="4F7B2134" wp14:editId="727FD848">
          <wp:extent cx="992505" cy="471170"/>
          <wp:effectExtent l="0" t="0" r="0" b="5080"/>
          <wp:docPr id="1" name="Picture 1" descr="logocol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colp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4711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DD3FA2" wp14:editId="51A814E8">
          <wp:extent cx="1000760" cy="235585"/>
          <wp:effectExtent l="0" t="0" r="8890" b="0"/>
          <wp:docPr id="8" name="Picture 8" descr="Organisation'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rganisation'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7E0511" wp14:editId="34C3A74E">
          <wp:extent cx="563880" cy="535305"/>
          <wp:effectExtent l="0" t="0" r="7620" b="0"/>
          <wp:docPr id="9" name="Picture 9" descr="http://www.thameschase.org.uk/uploads/havering_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thameschase.org.uk/uploads/havering_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4B1ADD" wp14:editId="5C4B7B7D">
          <wp:extent cx="812165" cy="219075"/>
          <wp:effectExtent l="0" t="0" r="6985" b="9525"/>
          <wp:docPr id="17" name="Picture 17" descr="https://www.barnet.gov.uk/docroot/img/barnet-logo-gre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https://www.barnet.gov.uk/docroot/img/barnet-logo-gree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42BB06" wp14:editId="1F0DC3B4">
          <wp:extent cx="571500" cy="539750"/>
          <wp:effectExtent l="0" t="0" r="0" b="0"/>
          <wp:docPr id="18" name="Picture 18" descr="https://www.rbkc.gov.uk/img/rbkc_direct/footer_logo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https://www.rbkc.gov.uk/img/rbkc_direct/footer_logo2.gi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76467D" wp14:editId="607B34B3">
          <wp:extent cx="723900" cy="438150"/>
          <wp:effectExtent l="0" t="0" r="0" b="0"/>
          <wp:docPr id="19" name="Picture 19" descr="http://www.propertyads.co.uk/bilder2/gb/flaggen/council_tower_hamle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http://www.propertyads.co.uk/bilder2/gb/flaggen/council_tower_hamlet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0E056F" wp14:editId="5B3E627D">
          <wp:extent cx="787400" cy="508000"/>
          <wp:effectExtent l="0" t="0" r="0" b="6350"/>
          <wp:docPr id="21" name="Picture 21" descr="http://professionaloutsourcingmagazine.net/webassets/assets/haringey-council-logo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http://professionaloutsourcingmagazine.net/webassets/assets/haringey-council-logo(1)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569B47" wp14:editId="618FCE34">
          <wp:extent cx="763905" cy="514350"/>
          <wp:effectExtent l="0" t="0" r="0" b="0"/>
          <wp:docPr id="24" name="Picture 24" descr="http://ruthcatlow.net/wp-content/uploads/2014/06/Peabody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http://ruthcatlow.net/wp-content/uploads/2014/06/Peabody-logo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8137C8" wp14:editId="7245BBE2">
          <wp:extent cx="819150" cy="400050"/>
          <wp:effectExtent l="0" t="0" r="0" b="0"/>
          <wp:docPr id="22" name="Picture 22" descr="https://www.walthamforest.gov.uk/PublishingImages/WalthamForest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https://www.walthamforest.gov.uk/PublishingImages/WalthamForest/Logo.pn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02C26E" wp14:editId="51E9C6A8">
          <wp:extent cx="1295400" cy="331470"/>
          <wp:effectExtent l="0" t="0" r="0" b="0"/>
          <wp:docPr id="23" name="Picture 23" descr="https://new.enfield.gov.uk/enfield-council-logo_3600x1100px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https://new.enfield.gov.uk/enfield-council-logo_3600x1100px-2.jp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1814E0E"/>
    <w:multiLevelType w:val="hybridMultilevel"/>
    <w:tmpl w:val="7FD80CD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40"/>
    <w:rsid w:val="00026FEE"/>
    <w:rsid w:val="000959BB"/>
    <w:rsid w:val="000B55BF"/>
    <w:rsid w:val="000D13F7"/>
    <w:rsid w:val="0011388D"/>
    <w:rsid w:val="00126D8A"/>
    <w:rsid w:val="00137EE4"/>
    <w:rsid w:val="00171922"/>
    <w:rsid w:val="001A7E4E"/>
    <w:rsid w:val="001B4C7D"/>
    <w:rsid w:val="001B7470"/>
    <w:rsid w:val="001C6D09"/>
    <w:rsid w:val="001D3E7C"/>
    <w:rsid w:val="001D7CE0"/>
    <w:rsid w:val="001F77D8"/>
    <w:rsid w:val="00201B12"/>
    <w:rsid w:val="00214FAF"/>
    <w:rsid w:val="0026409D"/>
    <w:rsid w:val="002657DE"/>
    <w:rsid w:val="00274B05"/>
    <w:rsid w:val="00333F1B"/>
    <w:rsid w:val="003C006D"/>
    <w:rsid w:val="00423962"/>
    <w:rsid w:val="004729AD"/>
    <w:rsid w:val="004A58E2"/>
    <w:rsid w:val="004B4C56"/>
    <w:rsid w:val="004B7C79"/>
    <w:rsid w:val="005572BB"/>
    <w:rsid w:val="005756F3"/>
    <w:rsid w:val="00581585"/>
    <w:rsid w:val="00591709"/>
    <w:rsid w:val="005A0E32"/>
    <w:rsid w:val="005F4412"/>
    <w:rsid w:val="00606F4C"/>
    <w:rsid w:val="00661CBF"/>
    <w:rsid w:val="00670AA4"/>
    <w:rsid w:val="00671326"/>
    <w:rsid w:val="006D22D1"/>
    <w:rsid w:val="00702C44"/>
    <w:rsid w:val="00710E89"/>
    <w:rsid w:val="00776A9B"/>
    <w:rsid w:val="00781010"/>
    <w:rsid w:val="00785CBB"/>
    <w:rsid w:val="007B1EFB"/>
    <w:rsid w:val="007C1E8C"/>
    <w:rsid w:val="007E4441"/>
    <w:rsid w:val="00816895"/>
    <w:rsid w:val="008276FB"/>
    <w:rsid w:val="00866CF5"/>
    <w:rsid w:val="008B5020"/>
    <w:rsid w:val="0093030D"/>
    <w:rsid w:val="009A1D40"/>
    <w:rsid w:val="009B5012"/>
    <w:rsid w:val="009C2620"/>
    <w:rsid w:val="009C57AB"/>
    <w:rsid w:val="00A1266B"/>
    <w:rsid w:val="00A133C8"/>
    <w:rsid w:val="00A15C44"/>
    <w:rsid w:val="00A634E4"/>
    <w:rsid w:val="00A70CDC"/>
    <w:rsid w:val="00A942E9"/>
    <w:rsid w:val="00A971D7"/>
    <w:rsid w:val="00AA3B7C"/>
    <w:rsid w:val="00AE58B6"/>
    <w:rsid w:val="00B134CB"/>
    <w:rsid w:val="00B16051"/>
    <w:rsid w:val="00B21FE5"/>
    <w:rsid w:val="00B33E98"/>
    <w:rsid w:val="00B64AC0"/>
    <w:rsid w:val="00B80924"/>
    <w:rsid w:val="00BB283A"/>
    <w:rsid w:val="00BB6A6B"/>
    <w:rsid w:val="00C33CBE"/>
    <w:rsid w:val="00CA2129"/>
    <w:rsid w:val="00CB0CAD"/>
    <w:rsid w:val="00CD7BF7"/>
    <w:rsid w:val="00D83435"/>
    <w:rsid w:val="00D97F10"/>
    <w:rsid w:val="00DA67F6"/>
    <w:rsid w:val="00DF2A18"/>
    <w:rsid w:val="00E67FDE"/>
    <w:rsid w:val="00EA5FF6"/>
    <w:rsid w:val="00F127B3"/>
    <w:rsid w:val="00F4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D69859E-C6BA-4257-89B4-9D5BED65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BB"/>
  </w:style>
  <w:style w:type="paragraph" w:styleId="Heading1">
    <w:name w:val="heading 1"/>
    <w:basedOn w:val="Normal"/>
    <w:next w:val="Normal"/>
    <w:link w:val="Heading1Char"/>
    <w:uiPriority w:val="9"/>
    <w:qFormat/>
    <w:rsid w:val="00785CB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B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B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B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B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B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BB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CBB"/>
    <w:rPr>
      <w:caps/>
      <w:color w:val="FFFFFF"/>
      <w:spacing w:val="15"/>
      <w:sz w:val="22"/>
      <w:shd w:val="clear" w:color="auto" w:fill="5B9BD5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85CBB"/>
    <w:rPr>
      <w:caps/>
      <w:spacing w:val="15"/>
      <w:shd w:val="clear" w:color="auto" w:fill="DEEAF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85CBB"/>
    <w:rPr>
      <w:caps/>
      <w:color w:val="1F4D78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85CBB"/>
    <w:rPr>
      <w:caps/>
      <w:color w:val="2E74B5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85CBB"/>
    <w:rPr>
      <w:caps/>
      <w:spacing w:val="10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785CBB"/>
    <w:rPr>
      <w:i/>
      <w:caps/>
      <w:spacing w:val="10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18" w:lineRule="atLeast"/>
    </w:pPr>
    <w:rPr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CBB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5CB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CBB"/>
    <w:rPr>
      <w:rFonts w:ascii="Calibri Light" w:eastAsia="SimSun" w:hAnsi="Calibri Light"/>
      <w:caps/>
      <w:color w:val="5B9BD5"/>
      <w:spacing w:val="10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B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85CBB"/>
    <w:rPr>
      <w:caps/>
      <w:color w:val="595959"/>
      <w:spacing w:val="10"/>
      <w:sz w:val="21"/>
    </w:rPr>
  </w:style>
  <w:style w:type="character" w:styleId="Strong">
    <w:name w:val="Strong"/>
    <w:basedOn w:val="DefaultParagraphFont"/>
    <w:uiPriority w:val="22"/>
    <w:qFormat/>
    <w:rsid w:val="00785CBB"/>
    <w:rPr>
      <w:b/>
    </w:rPr>
  </w:style>
  <w:style w:type="character" w:styleId="Emphasis">
    <w:name w:val="Emphasis"/>
    <w:basedOn w:val="DefaultParagraphFont"/>
    <w:uiPriority w:val="20"/>
    <w:qFormat/>
    <w:rsid w:val="00785CBB"/>
    <w:rPr>
      <w:caps/>
      <w:color w:val="1F4D78"/>
      <w:spacing w:val="5"/>
    </w:rPr>
  </w:style>
  <w:style w:type="paragraph" w:styleId="NoSpacing">
    <w:name w:val="No Spacing"/>
    <w:uiPriority w:val="1"/>
    <w:qFormat/>
    <w:rsid w:val="00785C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5CB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785CBB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B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85CBB"/>
    <w:rPr>
      <w:color w:val="5B9BD5"/>
      <w:sz w:val="24"/>
    </w:rPr>
  </w:style>
  <w:style w:type="character" w:styleId="SubtleEmphasis">
    <w:name w:val="Subtle Emphasis"/>
    <w:basedOn w:val="DefaultParagraphFont"/>
    <w:uiPriority w:val="19"/>
    <w:qFormat/>
    <w:rsid w:val="00785CBB"/>
    <w:rPr>
      <w:i/>
      <w:color w:val="1F4D78"/>
    </w:rPr>
  </w:style>
  <w:style w:type="character" w:styleId="IntenseEmphasis">
    <w:name w:val="Intense Emphasis"/>
    <w:basedOn w:val="DefaultParagraphFont"/>
    <w:uiPriority w:val="21"/>
    <w:qFormat/>
    <w:rsid w:val="00785CBB"/>
    <w:rPr>
      <w:b/>
      <w:caps/>
      <w:color w:val="1F4D78"/>
      <w:spacing w:val="10"/>
    </w:rPr>
  </w:style>
  <w:style w:type="character" w:styleId="SubtleReference">
    <w:name w:val="Subtle Reference"/>
    <w:basedOn w:val="DefaultParagraphFont"/>
    <w:uiPriority w:val="31"/>
    <w:qFormat/>
    <w:rsid w:val="00785CBB"/>
    <w:rPr>
      <w:b/>
      <w:color w:val="5B9BD5"/>
    </w:rPr>
  </w:style>
  <w:style w:type="character" w:styleId="IntenseReference">
    <w:name w:val="Intense Reference"/>
    <w:basedOn w:val="DefaultParagraphFont"/>
    <w:uiPriority w:val="32"/>
    <w:qFormat/>
    <w:rsid w:val="00785CBB"/>
    <w:rPr>
      <w:b/>
      <w:i/>
      <w:caps/>
      <w:color w:val="5B9BD5"/>
    </w:rPr>
  </w:style>
  <w:style w:type="character" w:styleId="BookTitle">
    <w:name w:val="Book Title"/>
    <w:basedOn w:val="DefaultParagraphFont"/>
    <w:uiPriority w:val="33"/>
    <w:qFormat/>
    <w:rsid w:val="00785CBB"/>
    <w:rPr>
      <w:b/>
      <w:i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CBB"/>
    <w:pPr>
      <w:outlineLvl w:val="9"/>
    </w:pPr>
  </w:style>
  <w:style w:type="table" w:styleId="TableGrid">
    <w:name w:val="Table Grid"/>
    <w:basedOn w:val="TableNormal"/>
    <w:uiPriority w:val="39"/>
    <w:rsid w:val="00BB6A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B6A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BB6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3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3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F7"/>
  </w:style>
  <w:style w:type="paragraph" w:styleId="Footer">
    <w:name w:val="footer"/>
    <w:basedOn w:val="Normal"/>
    <w:link w:val="FooterChar"/>
    <w:uiPriority w:val="99"/>
    <w:unhideWhenUsed/>
    <w:rsid w:val="000D13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gif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gif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Contents Revised.doc</vt:lpstr>
    </vt:vector>
  </TitlesOfParts>
  <Company>South Norfolk Council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Contents Revised.doc</dc:title>
  <dc:creator>rharding</dc:creator>
  <cp:lastModifiedBy>vincent hunt</cp:lastModifiedBy>
  <cp:revision>2</cp:revision>
  <cp:lastPrinted>2014-05-09T09:40:00Z</cp:lastPrinted>
  <dcterms:created xsi:type="dcterms:W3CDTF">2017-01-17T13:41:00Z</dcterms:created>
  <dcterms:modified xsi:type="dcterms:W3CDTF">2017-01-17T13:41:00Z</dcterms:modified>
</cp:coreProperties>
</file>