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3A5B7" w14:textId="77777777" w:rsidR="00FE18AC" w:rsidRPr="00953127" w:rsidRDefault="00FE18AC" w:rsidP="00FE18AC">
      <w:pPr>
        <w:pStyle w:val="bodystrongcentred"/>
      </w:pPr>
      <w:r w:rsidRPr="00953127">
        <w:t>CONTENTS</w:t>
      </w:r>
    </w:p>
    <w:p w14:paraId="067950B9" w14:textId="77777777" w:rsidR="00FE18AC" w:rsidRPr="00953127" w:rsidRDefault="00FE18AC" w:rsidP="00FE18AC"/>
    <w:p w14:paraId="3FEF8E99" w14:textId="11C75591" w:rsidR="00846AED" w:rsidRDefault="00E10E97">
      <w:pPr>
        <w:pStyle w:val="TOC1"/>
        <w:rPr>
          <w:rFonts w:asciiTheme="minorHAnsi" w:eastAsiaTheme="minorEastAsia" w:hAnsiTheme="minorHAnsi" w:cstheme="minorBidi"/>
          <w:caps w:val="0"/>
          <w:noProof/>
          <w:szCs w:val="22"/>
          <w:lang w:eastAsia="en-GB"/>
        </w:rPr>
      </w:pPr>
      <w:r w:rsidRPr="00953127">
        <w:rPr>
          <w:rFonts w:cs="Arial"/>
          <w:caps w:val="0"/>
        </w:rPr>
        <w:fldChar w:fldCharType="begin"/>
      </w:r>
      <w:r w:rsidR="00FE18AC" w:rsidRPr="00953127">
        <w:rPr>
          <w:rFonts w:cs="Arial"/>
          <w:caps w:val="0"/>
        </w:rPr>
        <w:instrText xml:space="preserve"> TOC \o "1-1" \h \z \u </w:instrText>
      </w:r>
      <w:r w:rsidRPr="00953127">
        <w:rPr>
          <w:rFonts w:cs="Arial"/>
          <w:caps w:val="0"/>
        </w:rPr>
        <w:fldChar w:fldCharType="separate"/>
      </w:r>
      <w:hyperlink w:anchor="_Toc479696414" w:history="1">
        <w:r w:rsidR="00846AED" w:rsidRPr="009751E1">
          <w:rPr>
            <w:rStyle w:val="Hyperlink"/>
            <w:noProof/>
          </w:rPr>
          <w:t>1.</w:t>
        </w:r>
        <w:r w:rsidR="00846AED">
          <w:rPr>
            <w:rFonts w:asciiTheme="minorHAnsi" w:eastAsiaTheme="minorEastAsia" w:hAnsiTheme="minorHAnsi" w:cstheme="minorBidi"/>
            <w:caps w:val="0"/>
            <w:noProof/>
            <w:szCs w:val="22"/>
            <w:lang w:eastAsia="en-GB"/>
          </w:rPr>
          <w:tab/>
        </w:r>
        <w:r w:rsidR="00846AED" w:rsidRPr="009751E1">
          <w:rPr>
            <w:rStyle w:val="Hyperlink"/>
            <w:noProof/>
          </w:rPr>
          <w:t>PURPOSE</w:t>
        </w:r>
        <w:r w:rsidR="00846AED">
          <w:rPr>
            <w:noProof/>
            <w:webHidden/>
          </w:rPr>
          <w:tab/>
        </w:r>
        <w:r w:rsidR="00846AED">
          <w:rPr>
            <w:noProof/>
            <w:webHidden/>
          </w:rPr>
          <w:fldChar w:fldCharType="begin"/>
        </w:r>
        <w:r w:rsidR="00846AED">
          <w:rPr>
            <w:noProof/>
            <w:webHidden/>
          </w:rPr>
          <w:instrText xml:space="preserve"> PAGEREF _Toc479696414 \h </w:instrText>
        </w:r>
        <w:r w:rsidR="00846AED">
          <w:rPr>
            <w:noProof/>
            <w:webHidden/>
          </w:rPr>
        </w:r>
        <w:r w:rsidR="00846AED">
          <w:rPr>
            <w:noProof/>
            <w:webHidden/>
          </w:rPr>
          <w:fldChar w:fldCharType="separate"/>
        </w:r>
        <w:r w:rsidR="00846AED">
          <w:rPr>
            <w:noProof/>
            <w:webHidden/>
          </w:rPr>
          <w:t>2</w:t>
        </w:r>
        <w:r w:rsidR="00846AED">
          <w:rPr>
            <w:noProof/>
            <w:webHidden/>
          </w:rPr>
          <w:fldChar w:fldCharType="end"/>
        </w:r>
      </w:hyperlink>
    </w:p>
    <w:p w14:paraId="643E4AC3" w14:textId="272A61A9" w:rsidR="00846AED" w:rsidRDefault="0036474F">
      <w:pPr>
        <w:pStyle w:val="TOC1"/>
        <w:rPr>
          <w:rFonts w:asciiTheme="minorHAnsi" w:eastAsiaTheme="minorEastAsia" w:hAnsiTheme="minorHAnsi" w:cstheme="minorBidi"/>
          <w:caps w:val="0"/>
          <w:noProof/>
          <w:szCs w:val="22"/>
          <w:lang w:eastAsia="en-GB"/>
        </w:rPr>
      </w:pPr>
      <w:hyperlink w:anchor="_Toc479696415" w:history="1">
        <w:r w:rsidR="00846AED" w:rsidRPr="009751E1">
          <w:rPr>
            <w:rStyle w:val="Hyperlink"/>
            <w:noProof/>
          </w:rPr>
          <w:t>2.</w:t>
        </w:r>
        <w:r w:rsidR="00846AED">
          <w:rPr>
            <w:rFonts w:asciiTheme="minorHAnsi" w:eastAsiaTheme="minorEastAsia" w:hAnsiTheme="minorHAnsi" w:cstheme="minorBidi"/>
            <w:caps w:val="0"/>
            <w:noProof/>
            <w:szCs w:val="22"/>
            <w:lang w:eastAsia="en-GB"/>
          </w:rPr>
          <w:tab/>
        </w:r>
        <w:r w:rsidR="00846AED" w:rsidRPr="009751E1">
          <w:rPr>
            <w:rStyle w:val="Hyperlink"/>
            <w:noProof/>
          </w:rPr>
          <w:t>BACKGROUND TO THE CONTRACTING aUTHORITY</w:t>
        </w:r>
        <w:r w:rsidR="00846AED">
          <w:rPr>
            <w:noProof/>
            <w:webHidden/>
          </w:rPr>
          <w:tab/>
        </w:r>
        <w:r w:rsidR="00846AED">
          <w:rPr>
            <w:noProof/>
            <w:webHidden/>
          </w:rPr>
          <w:fldChar w:fldCharType="begin"/>
        </w:r>
        <w:r w:rsidR="00846AED">
          <w:rPr>
            <w:noProof/>
            <w:webHidden/>
          </w:rPr>
          <w:instrText xml:space="preserve"> PAGEREF _Toc479696415 \h </w:instrText>
        </w:r>
        <w:r w:rsidR="00846AED">
          <w:rPr>
            <w:noProof/>
            <w:webHidden/>
          </w:rPr>
        </w:r>
        <w:r w:rsidR="00846AED">
          <w:rPr>
            <w:noProof/>
            <w:webHidden/>
          </w:rPr>
          <w:fldChar w:fldCharType="separate"/>
        </w:r>
        <w:r w:rsidR="00846AED">
          <w:rPr>
            <w:noProof/>
            <w:webHidden/>
          </w:rPr>
          <w:t>2</w:t>
        </w:r>
        <w:r w:rsidR="00846AED">
          <w:rPr>
            <w:noProof/>
            <w:webHidden/>
          </w:rPr>
          <w:fldChar w:fldCharType="end"/>
        </w:r>
      </w:hyperlink>
    </w:p>
    <w:p w14:paraId="44C70A1C" w14:textId="1FF15CE6" w:rsidR="00846AED" w:rsidRDefault="0036474F">
      <w:pPr>
        <w:pStyle w:val="TOC1"/>
        <w:rPr>
          <w:rFonts w:asciiTheme="minorHAnsi" w:eastAsiaTheme="minorEastAsia" w:hAnsiTheme="minorHAnsi" w:cstheme="minorBidi"/>
          <w:caps w:val="0"/>
          <w:noProof/>
          <w:szCs w:val="22"/>
          <w:lang w:eastAsia="en-GB"/>
        </w:rPr>
      </w:pPr>
      <w:hyperlink w:anchor="_Toc479696416" w:history="1">
        <w:r w:rsidR="00846AED" w:rsidRPr="009751E1">
          <w:rPr>
            <w:rStyle w:val="Hyperlink"/>
            <w:noProof/>
          </w:rPr>
          <w:t>3.</w:t>
        </w:r>
        <w:r w:rsidR="00846AED">
          <w:rPr>
            <w:rFonts w:asciiTheme="minorHAnsi" w:eastAsiaTheme="minorEastAsia" w:hAnsiTheme="minorHAnsi" w:cstheme="minorBidi"/>
            <w:caps w:val="0"/>
            <w:noProof/>
            <w:szCs w:val="22"/>
            <w:lang w:eastAsia="en-GB"/>
          </w:rPr>
          <w:tab/>
        </w:r>
        <w:r w:rsidR="00846AED" w:rsidRPr="009751E1">
          <w:rPr>
            <w:rStyle w:val="Hyperlink"/>
            <w:noProof/>
          </w:rPr>
          <w:t>Background to requirement/OVERVIEW of requirement</w:t>
        </w:r>
        <w:r w:rsidR="00846AED">
          <w:rPr>
            <w:noProof/>
            <w:webHidden/>
          </w:rPr>
          <w:tab/>
        </w:r>
        <w:r w:rsidR="00846AED">
          <w:rPr>
            <w:noProof/>
            <w:webHidden/>
          </w:rPr>
          <w:fldChar w:fldCharType="begin"/>
        </w:r>
        <w:r w:rsidR="00846AED">
          <w:rPr>
            <w:noProof/>
            <w:webHidden/>
          </w:rPr>
          <w:instrText xml:space="preserve"> PAGEREF _Toc479696416 \h </w:instrText>
        </w:r>
        <w:r w:rsidR="00846AED">
          <w:rPr>
            <w:noProof/>
            <w:webHidden/>
          </w:rPr>
        </w:r>
        <w:r w:rsidR="00846AED">
          <w:rPr>
            <w:noProof/>
            <w:webHidden/>
          </w:rPr>
          <w:fldChar w:fldCharType="separate"/>
        </w:r>
        <w:r w:rsidR="00846AED">
          <w:rPr>
            <w:noProof/>
            <w:webHidden/>
          </w:rPr>
          <w:t>2</w:t>
        </w:r>
        <w:r w:rsidR="00846AED">
          <w:rPr>
            <w:noProof/>
            <w:webHidden/>
          </w:rPr>
          <w:fldChar w:fldCharType="end"/>
        </w:r>
      </w:hyperlink>
    </w:p>
    <w:p w14:paraId="22DBA3E6" w14:textId="0985A87E" w:rsidR="00846AED" w:rsidRDefault="0036474F">
      <w:pPr>
        <w:pStyle w:val="TOC1"/>
        <w:rPr>
          <w:rFonts w:asciiTheme="minorHAnsi" w:eastAsiaTheme="minorEastAsia" w:hAnsiTheme="minorHAnsi" w:cstheme="minorBidi"/>
          <w:caps w:val="0"/>
          <w:noProof/>
          <w:szCs w:val="22"/>
          <w:lang w:eastAsia="en-GB"/>
        </w:rPr>
      </w:pPr>
      <w:hyperlink w:anchor="_Toc479696417" w:history="1">
        <w:r w:rsidR="00846AED" w:rsidRPr="009751E1">
          <w:rPr>
            <w:rStyle w:val="Hyperlink"/>
            <w:noProof/>
          </w:rPr>
          <w:t>4.</w:t>
        </w:r>
        <w:r w:rsidR="00846AED">
          <w:rPr>
            <w:rFonts w:asciiTheme="minorHAnsi" w:eastAsiaTheme="minorEastAsia" w:hAnsiTheme="minorHAnsi" w:cstheme="minorBidi"/>
            <w:caps w:val="0"/>
            <w:noProof/>
            <w:szCs w:val="22"/>
            <w:lang w:eastAsia="en-GB"/>
          </w:rPr>
          <w:tab/>
        </w:r>
        <w:r w:rsidR="00846AED" w:rsidRPr="009751E1">
          <w:rPr>
            <w:rStyle w:val="Hyperlink"/>
            <w:noProof/>
          </w:rPr>
          <w:t>DEFINITIONS</w:t>
        </w:r>
        <w:r w:rsidR="00846AED">
          <w:rPr>
            <w:noProof/>
            <w:webHidden/>
          </w:rPr>
          <w:tab/>
        </w:r>
        <w:r w:rsidR="00846AED">
          <w:rPr>
            <w:noProof/>
            <w:webHidden/>
          </w:rPr>
          <w:fldChar w:fldCharType="begin"/>
        </w:r>
        <w:r w:rsidR="00846AED">
          <w:rPr>
            <w:noProof/>
            <w:webHidden/>
          </w:rPr>
          <w:instrText xml:space="preserve"> PAGEREF _Toc479696417 \h </w:instrText>
        </w:r>
        <w:r w:rsidR="00846AED">
          <w:rPr>
            <w:noProof/>
            <w:webHidden/>
          </w:rPr>
        </w:r>
        <w:r w:rsidR="00846AED">
          <w:rPr>
            <w:noProof/>
            <w:webHidden/>
          </w:rPr>
          <w:fldChar w:fldCharType="separate"/>
        </w:r>
        <w:r w:rsidR="00846AED">
          <w:rPr>
            <w:noProof/>
            <w:webHidden/>
          </w:rPr>
          <w:t>3</w:t>
        </w:r>
        <w:r w:rsidR="00846AED">
          <w:rPr>
            <w:noProof/>
            <w:webHidden/>
          </w:rPr>
          <w:fldChar w:fldCharType="end"/>
        </w:r>
      </w:hyperlink>
    </w:p>
    <w:p w14:paraId="5F2B6C38" w14:textId="679DA171" w:rsidR="00846AED" w:rsidRDefault="0036474F">
      <w:pPr>
        <w:pStyle w:val="TOC1"/>
        <w:rPr>
          <w:rFonts w:asciiTheme="minorHAnsi" w:eastAsiaTheme="minorEastAsia" w:hAnsiTheme="minorHAnsi" w:cstheme="minorBidi"/>
          <w:caps w:val="0"/>
          <w:noProof/>
          <w:szCs w:val="22"/>
          <w:lang w:eastAsia="en-GB"/>
        </w:rPr>
      </w:pPr>
      <w:hyperlink w:anchor="_Toc479696418" w:history="1">
        <w:r w:rsidR="00846AED" w:rsidRPr="009751E1">
          <w:rPr>
            <w:rStyle w:val="Hyperlink"/>
            <w:noProof/>
          </w:rPr>
          <w:t>5.</w:t>
        </w:r>
        <w:r w:rsidR="00846AED">
          <w:rPr>
            <w:rFonts w:asciiTheme="minorHAnsi" w:eastAsiaTheme="minorEastAsia" w:hAnsiTheme="minorHAnsi" w:cstheme="minorBidi"/>
            <w:caps w:val="0"/>
            <w:noProof/>
            <w:szCs w:val="22"/>
            <w:lang w:eastAsia="en-GB"/>
          </w:rPr>
          <w:tab/>
        </w:r>
        <w:r w:rsidR="00846AED" w:rsidRPr="009751E1">
          <w:rPr>
            <w:rStyle w:val="Hyperlink"/>
            <w:noProof/>
          </w:rPr>
          <w:t>scope of requirement</w:t>
        </w:r>
        <w:r w:rsidR="00846AED">
          <w:rPr>
            <w:noProof/>
            <w:webHidden/>
          </w:rPr>
          <w:tab/>
        </w:r>
        <w:r w:rsidR="00846AED">
          <w:rPr>
            <w:noProof/>
            <w:webHidden/>
          </w:rPr>
          <w:fldChar w:fldCharType="begin"/>
        </w:r>
        <w:r w:rsidR="00846AED">
          <w:rPr>
            <w:noProof/>
            <w:webHidden/>
          </w:rPr>
          <w:instrText xml:space="preserve"> PAGEREF _Toc479696418 \h </w:instrText>
        </w:r>
        <w:r w:rsidR="00846AED">
          <w:rPr>
            <w:noProof/>
            <w:webHidden/>
          </w:rPr>
        </w:r>
        <w:r w:rsidR="00846AED">
          <w:rPr>
            <w:noProof/>
            <w:webHidden/>
          </w:rPr>
          <w:fldChar w:fldCharType="separate"/>
        </w:r>
        <w:r w:rsidR="00846AED">
          <w:rPr>
            <w:noProof/>
            <w:webHidden/>
          </w:rPr>
          <w:t>4</w:t>
        </w:r>
        <w:r w:rsidR="00846AED">
          <w:rPr>
            <w:noProof/>
            <w:webHidden/>
          </w:rPr>
          <w:fldChar w:fldCharType="end"/>
        </w:r>
      </w:hyperlink>
    </w:p>
    <w:p w14:paraId="1FE38CFE" w14:textId="25476AAE" w:rsidR="00846AED" w:rsidRDefault="0036474F">
      <w:pPr>
        <w:pStyle w:val="TOC1"/>
        <w:rPr>
          <w:rFonts w:asciiTheme="minorHAnsi" w:eastAsiaTheme="minorEastAsia" w:hAnsiTheme="minorHAnsi" w:cstheme="minorBidi"/>
          <w:caps w:val="0"/>
          <w:noProof/>
          <w:szCs w:val="22"/>
          <w:lang w:eastAsia="en-GB"/>
        </w:rPr>
      </w:pPr>
      <w:hyperlink w:anchor="_Toc479696419" w:history="1">
        <w:r w:rsidR="00846AED" w:rsidRPr="009751E1">
          <w:rPr>
            <w:rStyle w:val="Hyperlink"/>
            <w:noProof/>
          </w:rPr>
          <w:t>6.</w:t>
        </w:r>
        <w:r w:rsidR="00846AED">
          <w:rPr>
            <w:rFonts w:asciiTheme="minorHAnsi" w:eastAsiaTheme="minorEastAsia" w:hAnsiTheme="minorHAnsi" w:cstheme="minorBidi"/>
            <w:caps w:val="0"/>
            <w:noProof/>
            <w:szCs w:val="22"/>
            <w:lang w:eastAsia="en-GB"/>
          </w:rPr>
          <w:tab/>
        </w:r>
        <w:r w:rsidR="00846AED" w:rsidRPr="009751E1">
          <w:rPr>
            <w:rStyle w:val="Hyperlink"/>
            <w:noProof/>
          </w:rPr>
          <w:t>The requirement</w:t>
        </w:r>
        <w:r w:rsidR="00846AED">
          <w:rPr>
            <w:noProof/>
            <w:webHidden/>
          </w:rPr>
          <w:tab/>
        </w:r>
        <w:r w:rsidR="00846AED">
          <w:rPr>
            <w:noProof/>
            <w:webHidden/>
          </w:rPr>
          <w:fldChar w:fldCharType="begin"/>
        </w:r>
        <w:r w:rsidR="00846AED">
          <w:rPr>
            <w:noProof/>
            <w:webHidden/>
          </w:rPr>
          <w:instrText xml:space="preserve"> PAGEREF _Toc479696419 \h </w:instrText>
        </w:r>
        <w:r w:rsidR="00846AED">
          <w:rPr>
            <w:noProof/>
            <w:webHidden/>
          </w:rPr>
        </w:r>
        <w:r w:rsidR="00846AED">
          <w:rPr>
            <w:noProof/>
            <w:webHidden/>
          </w:rPr>
          <w:fldChar w:fldCharType="separate"/>
        </w:r>
        <w:r w:rsidR="00846AED">
          <w:rPr>
            <w:noProof/>
            <w:webHidden/>
          </w:rPr>
          <w:t>5</w:t>
        </w:r>
        <w:r w:rsidR="00846AED">
          <w:rPr>
            <w:noProof/>
            <w:webHidden/>
          </w:rPr>
          <w:fldChar w:fldCharType="end"/>
        </w:r>
      </w:hyperlink>
    </w:p>
    <w:p w14:paraId="77A4AE48" w14:textId="3FD46E00" w:rsidR="00846AED" w:rsidRDefault="0036474F">
      <w:pPr>
        <w:pStyle w:val="TOC1"/>
        <w:rPr>
          <w:rFonts w:asciiTheme="minorHAnsi" w:eastAsiaTheme="minorEastAsia" w:hAnsiTheme="minorHAnsi" w:cstheme="minorBidi"/>
          <w:caps w:val="0"/>
          <w:noProof/>
          <w:szCs w:val="22"/>
          <w:lang w:eastAsia="en-GB"/>
        </w:rPr>
      </w:pPr>
      <w:hyperlink w:anchor="_Toc479696420" w:history="1">
        <w:r w:rsidR="00846AED" w:rsidRPr="009751E1">
          <w:rPr>
            <w:rStyle w:val="Hyperlink"/>
            <w:noProof/>
          </w:rPr>
          <w:t>7.</w:t>
        </w:r>
        <w:r w:rsidR="00846AED">
          <w:rPr>
            <w:rFonts w:asciiTheme="minorHAnsi" w:eastAsiaTheme="minorEastAsia" w:hAnsiTheme="minorHAnsi" w:cstheme="minorBidi"/>
            <w:caps w:val="0"/>
            <w:noProof/>
            <w:szCs w:val="22"/>
            <w:lang w:eastAsia="en-GB"/>
          </w:rPr>
          <w:tab/>
        </w:r>
        <w:r w:rsidR="00846AED" w:rsidRPr="009751E1">
          <w:rPr>
            <w:rStyle w:val="Hyperlink"/>
            <w:noProof/>
          </w:rPr>
          <w:t>key milestones</w:t>
        </w:r>
        <w:r w:rsidR="00846AED">
          <w:rPr>
            <w:noProof/>
            <w:webHidden/>
          </w:rPr>
          <w:tab/>
        </w:r>
        <w:r w:rsidR="00846AED">
          <w:rPr>
            <w:noProof/>
            <w:webHidden/>
          </w:rPr>
          <w:fldChar w:fldCharType="begin"/>
        </w:r>
        <w:r w:rsidR="00846AED">
          <w:rPr>
            <w:noProof/>
            <w:webHidden/>
          </w:rPr>
          <w:instrText xml:space="preserve"> PAGEREF _Toc479696420 \h </w:instrText>
        </w:r>
        <w:r w:rsidR="00846AED">
          <w:rPr>
            <w:noProof/>
            <w:webHidden/>
          </w:rPr>
        </w:r>
        <w:r w:rsidR="00846AED">
          <w:rPr>
            <w:noProof/>
            <w:webHidden/>
          </w:rPr>
          <w:fldChar w:fldCharType="separate"/>
        </w:r>
        <w:r w:rsidR="00846AED">
          <w:rPr>
            <w:noProof/>
            <w:webHidden/>
          </w:rPr>
          <w:t>6</w:t>
        </w:r>
        <w:r w:rsidR="00846AED">
          <w:rPr>
            <w:noProof/>
            <w:webHidden/>
          </w:rPr>
          <w:fldChar w:fldCharType="end"/>
        </w:r>
      </w:hyperlink>
    </w:p>
    <w:p w14:paraId="03BF0156" w14:textId="538CD934" w:rsidR="00846AED" w:rsidRDefault="0036474F">
      <w:pPr>
        <w:pStyle w:val="TOC1"/>
        <w:rPr>
          <w:rFonts w:asciiTheme="minorHAnsi" w:eastAsiaTheme="minorEastAsia" w:hAnsiTheme="minorHAnsi" w:cstheme="minorBidi"/>
          <w:caps w:val="0"/>
          <w:noProof/>
          <w:szCs w:val="22"/>
          <w:lang w:eastAsia="en-GB"/>
        </w:rPr>
      </w:pPr>
      <w:hyperlink w:anchor="_Toc479696421" w:history="1">
        <w:r w:rsidR="00846AED" w:rsidRPr="009751E1">
          <w:rPr>
            <w:rStyle w:val="Hyperlink"/>
            <w:rFonts w:cs="Arial"/>
            <w:noProof/>
          </w:rPr>
          <w:t>8.</w:t>
        </w:r>
        <w:r w:rsidR="00846AED">
          <w:rPr>
            <w:rFonts w:asciiTheme="minorHAnsi" w:eastAsiaTheme="minorEastAsia" w:hAnsiTheme="minorHAnsi" w:cstheme="minorBidi"/>
            <w:caps w:val="0"/>
            <w:noProof/>
            <w:szCs w:val="22"/>
            <w:lang w:eastAsia="en-GB"/>
          </w:rPr>
          <w:tab/>
        </w:r>
        <w:r w:rsidR="00846AED" w:rsidRPr="009751E1">
          <w:rPr>
            <w:rStyle w:val="Hyperlink"/>
            <w:rFonts w:cs="Arial"/>
            <w:noProof/>
          </w:rPr>
          <w:t>authority’s responsibilities</w:t>
        </w:r>
        <w:r w:rsidR="00846AED">
          <w:rPr>
            <w:noProof/>
            <w:webHidden/>
          </w:rPr>
          <w:tab/>
        </w:r>
        <w:r w:rsidR="00846AED">
          <w:rPr>
            <w:noProof/>
            <w:webHidden/>
          </w:rPr>
          <w:fldChar w:fldCharType="begin"/>
        </w:r>
        <w:r w:rsidR="00846AED">
          <w:rPr>
            <w:noProof/>
            <w:webHidden/>
          </w:rPr>
          <w:instrText xml:space="preserve"> PAGEREF _Toc479696421 \h </w:instrText>
        </w:r>
        <w:r w:rsidR="00846AED">
          <w:rPr>
            <w:noProof/>
            <w:webHidden/>
          </w:rPr>
        </w:r>
        <w:r w:rsidR="00846AED">
          <w:rPr>
            <w:noProof/>
            <w:webHidden/>
          </w:rPr>
          <w:fldChar w:fldCharType="separate"/>
        </w:r>
        <w:r w:rsidR="00846AED">
          <w:rPr>
            <w:noProof/>
            <w:webHidden/>
          </w:rPr>
          <w:t>6</w:t>
        </w:r>
        <w:r w:rsidR="00846AED">
          <w:rPr>
            <w:noProof/>
            <w:webHidden/>
          </w:rPr>
          <w:fldChar w:fldCharType="end"/>
        </w:r>
      </w:hyperlink>
    </w:p>
    <w:p w14:paraId="51A2F969" w14:textId="5D758C9C" w:rsidR="00846AED" w:rsidRDefault="0036474F">
      <w:pPr>
        <w:pStyle w:val="TOC1"/>
        <w:rPr>
          <w:rFonts w:asciiTheme="minorHAnsi" w:eastAsiaTheme="minorEastAsia" w:hAnsiTheme="minorHAnsi" w:cstheme="minorBidi"/>
          <w:caps w:val="0"/>
          <w:noProof/>
          <w:szCs w:val="22"/>
          <w:lang w:eastAsia="en-GB"/>
        </w:rPr>
      </w:pPr>
      <w:hyperlink w:anchor="_Toc479696422" w:history="1">
        <w:r w:rsidR="00846AED" w:rsidRPr="009751E1">
          <w:rPr>
            <w:rStyle w:val="Hyperlink"/>
            <w:rFonts w:cs="Arial"/>
            <w:noProof/>
          </w:rPr>
          <w:t>9.</w:t>
        </w:r>
        <w:r w:rsidR="00846AED">
          <w:rPr>
            <w:rFonts w:asciiTheme="minorHAnsi" w:eastAsiaTheme="minorEastAsia" w:hAnsiTheme="minorHAnsi" w:cstheme="minorBidi"/>
            <w:caps w:val="0"/>
            <w:noProof/>
            <w:szCs w:val="22"/>
            <w:lang w:eastAsia="en-GB"/>
          </w:rPr>
          <w:tab/>
        </w:r>
        <w:r w:rsidR="00846AED" w:rsidRPr="009751E1">
          <w:rPr>
            <w:rStyle w:val="Hyperlink"/>
            <w:rFonts w:cs="Arial"/>
            <w:noProof/>
          </w:rPr>
          <w:t>reporting</w:t>
        </w:r>
        <w:r w:rsidR="00846AED">
          <w:rPr>
            <w:noProof/>
            <w:webHidden/>
          </w:rPr>
          <w:tab/>
        </w:r>
        <w:r w:rsidR="00846AED">
          <w:rPr>
            <w:noProof/>
            <w:webHidden/>
          </w:rPr>
          <w:fldChar w:fldCharType="begin"/>
        </w:r>
        <w:r w:rsidR="00846AED">
          <w:rPr>
            <w:noProof/>
            <w:webHidden/>
          </w:rPr>
          <w:instrText xml:space="preserve"> PAGEREF _Toc479696422 \h </w:instrText>
        </w:r>
        <w:r w:rsidR="00846AED">
          <w:rPr>
            <w:noProof/>
            <w:webHidden/>
          </w:rPr>
        </w:r>
        <w:r w:rsidR="00846AED">
          <w:rPr>
            <w:noProof/>
            <w:webHidden/>
          </w:rPr>
          <w:fldChar w:fldCharType="separate"/>
        </w:r>
        <w:r w:rsidR="00846AED">
          <w:rPr>
            <w:noProof/>
            <w:webHidden/>
          </w:rPr>
          <w:t>6</w:t>
        </w:r>
        <w:r w:rsidR="00846AED">
          <w:rPr>
            <w:noProof/>
            <w:webHidden/>
          </w:rPr>
          <w:fldChar w:fldCharType="end"/>
        </w:r>
      </w:hyperlink>
    </w:p>
    <w:p w14:paraId="744721AF" w14:textId="01A02C05" w:rsidR="00846AED" w:rsidRDefault="0036474F">
      <w:pPr>
        <w:pStyle w:val="TOC1"/>
        <w:rPr>
          <w:rFonts w:asciiTheme="minorHAnsi" w:eastAsiaTheme="minorEastAsia" w:hAnsiTheme="minorHAnsi" w:cstheme="minorBidi"/>
          <w:caps w:val="0"/>
          <w:noProof/>
          <w:szCs w:val="22"/>
          <w:lang w:eastAsia="en-GB"/>
        </w:rPr>
      </w:pPr>
      <w:hyperlink w:anchor="_Toc479696423" w:history="1">
        <w:r w:rsidR="00846AED" w:rsidRPr="009751E1">
          <w:rPr>
            <w:rStyle w:val="Hyperlink"/>
            <w:rFonts w:cs="Arial"/>
            <w:noProof/>
          </w:rPr>
          <w:t>10.</w:t>
        </w:r>
        <w:r w:rsidR="00846AED">
          <w:rPr>
            <w:rFonts w:asciiTheme="minorHAnsi" w:eastAsiaTheme="minorEastAsia" w:hAnsiTheme="minorHAnsi" w:cstheme="minorBidi"/>
            <w:caps w:val="0"/>
            <w:noProof/>
            <w:szCs w:val="22"/>
            <w:lang w:eastAsia="en-GB"/>
          </w:rPr>
          <w:tab/>
        </w:r>
        <w:r w:rsidR="00846AED" w:rsidRPr="009751E1">
          <w:rPr>
            <w:rStyle w:val="Hyperlink"/>
            <w:rFonts w:cs="Arial"/>
            <w:noProof/>
          </w:rPr>
          <w:t>volumes</w:t>
        </w:r>
        <w:r w:rsidR="00846AED">
          <w:rPr>
            <w:noProof/>
            <w:webHidden/>
          </w:rPr>
          <w:tab/>
        </w:r>
        <w:r w:rsidR="00846AED">
          <w:rPr>
            <w:noProof/>
            <w:webHidden/>
          </w:rPr>
          <w:fldChar w:fldCharType="begin"/>
        </w:r>
        <w:r w:rsidR="00846AED">
          <w:rPr>
            <w:noProof/>
            <w:webHidden/>
          </w:rPr>
          <w:instrText xml:space="preserve"> PAGEREF _Toc479696423 \h </w:instrText>
        </w:r>
        <w:r w:rsidR="00846AED">
          <w:rPr>
            <w:noProof/>
            <w:webHidden/>
          </w:rPr>
        </w:r>
        <w:r w:rsidR="00846AED">
          <w:rPr>
            <w:noProof/>
            <w:webHidden/>
          </w:rPr>
          <w:fldChar w:fldCharType="separate"/>
        </w:r>
        <w:r w:rsidR="00846AED">
          <w:rPr>
            <w:noProof/>
            <w:webHidden/>
          </w:rPr>
          <w:t>7</w:t>
        </w:r>
        <w:r w:rsidR="00846AED">
          <w:rPr>
            <w:noProof/>
            <w:webHidden/>
          </w:rPr>
          <w:fldChar w:fldCharType="end"/>
        </w:r>
      </w:hyperlink>
    </w:p>
    <w:p w14:paraId="67E43008" w14:textId="78C56C24" w:rsidR="00846AED" w:rsidRDefault="0036474F">
      <w:pPr>
        <w:pStyle w:val="TOC1"/>
        <w:rPr>
          <w:rFonts w:asciiTheme="minorHAnsi" w:eastAsiaTheme="minorEastAsia" w:hAnsiTheme="minorHAnsi" w:cstheme="minorBidi"/>
          <w:caps w:val="0"/>
          <w:noProof/>
          <w:szCs w:val="22"/>
          <w:lang w:eastAsia="en-GB"/>
        </w:rPr>
      </w:pPr>
      <w:hyperlink w:anchor="_Toc479696424" w:history="1">
        <w:r w:rsidR="00846AED" w:rsidRPr="009751E1">
          <w:rPr>
            <w:rStyle w:val="Hyperlink"/>
            <w:rFonts w:cs="Arial"/>
            <w:noProof/>
          </w:rPr>
          <w:t>11.</w:t>
        </w:r>
        <w:r w:rsidR="00846AED">
          <w:rPr>
            <w:rFonts w:asciiTheme="minorHAnsi" w:eastAsiaTheme="minorEastAsia" w:hAnsiTheme="minorHAnsi" w:cstheme="minorBidi"/>
            <w:caps w:val="0"/>
            <w:noProof/>
            <w:szCs w:val="22"/>
            <w:lang w:eastAsia="en-GB"/>
          </w:rPr>
          <w:tab/>
        </w:r>
        <w:r w:rsidR="00846AED" w:rsidRPr="009751E1">
          <w:rPr>
            <w:rStyle w:val="Hyperlink"/>
            <w:rFonts w:cs="Arial"/>
            <w:noProof/>
          </w:rPr>
          <w:t>continuous improvement</w:t>
        </w:r>
        <w:r w:rsidR="00846AED">
          <w:rPr>
            <w:noProof/>
            <w:webHidden/>
          </w:rPr>
          <w:tab/>
        </w:r>
        <w:r w:rsidR="00846AED">
          <w:rPr>
            <w:noProof/>
            <w:webHidden/>
          </w:rPr>
          <w:fldChar w:fldCharType="begin"/>
        </w:r>
        <w:r w:rsidR="00846AED">
          <w:rPr>
            <w:noProof/>
            <w:webHidden/>
          </w:rPr>
          <w:instrText xml:space="preserve"> PAGEREF _Toc479696424 \h </w:instrText>
        </w:r>
        <w:r w:rsidR="00846AED">
          <w:rPr>
            <w:noProof/>
            <w:webHidden/>
          </w:rPr>
        </w:r>
        <w:r w:rsidR="00846AED">
          <w:rPr>
            <w:noProof/>
            <w:webHidden/>
          </w:rPr>
          <w:fldChar w:fldCharType="separate"/>
        </w:r>
        <w:r w:rsidR="00846AED">
          <w:rPr>
            <w:noProof/>
            <w:webHidden/>
          </w:rPr>
          <w:t>7</w:t>
        </w:r>
        <w:r w:rsidR="00846AED">
          <w:rPr>
            <w:noProof/>
            <w:webHidden/>
          </w:rPr>
          <w:fldChar w:fldCharType="end"/>
        </w:r>
      </w:hyperlink>
    </w:p>
    <w:p w14:paraId="38138DAE" w14:textId="48D2A75A" w:rsidR="00846AED" w:rsidRDefault="0036474F">
      <w:pPr>
        <w:pStyle w:val="TOC1"/>
        <w:rPr>
          <w:rFonts w:asciiTheme="minorHAnsi" w:eastAsiaTheme="minorEastAsia" w:hAnsiTheme="minorHAnsi" w:cstheme="minorBidi"/>
          <w:caps w:val="0"/>
          <w:noProof/>
          <w:szCs w:val="22"/>
          <w:lang w:eastAsia="en-GB"/>
        </w:rPr>
      </w:pPr>
      <w:hyperlink w:anchor="_Toc479696425" w:history="1">
        <w:r w:rsidR="00846AED" w:rsidRPr="009751E1">
          <w:rPr>
            <w:rStyle w:val="Hyperlink"/>
            <w:noProof/>
          </w:rPr>
          <w:t>12.</w:t>
        </w:r>
        <w:r w:rsidR="00846AED">
          <w:rPr>
            <w:rFonts w:asciiTheme="minorHAnsi" w:eastAsiaTheme="minorEastAsia" w:hAnsiTheme="minorHAnsi" w:cstheme="minorBidi"/>
            <w:caps w:val="0"/>
            <w:noProof/>
            <w:szCs w:val="22"/>
            <w:lang w:eastAsia="en-GB"/>
          </w:rPr>
          <w:tab/>
        </w:r>
        <w:r w:rsidR="00846AED" w:rsidRPr="009751E1">
          <w:rPr>
            <w:rStyle w:val="Hyperlink"/>
            <w:noProof/>
          </w:rPr>
          <w:t>Sustainability</w:t>
        </w:r>
        <w:r w:rsidR="00846AED">
          <w:rPr>
            <w:noProof/>
            <w:webHidden/>
          </w:rPr>
          <w:tab/>
        </w:r>
        <w:r w:rsidR="00846AED">
          <w:rPr>
            <w:noProof/>
            <w:webHidden/>
          </w:rPr>
          <w:fldChar w:fldCharType="begin"/>
        </w:r>
        <w:r w:rsidR="00846AED">
          <w:rPr>
            <w:noProof/>
            <w:webHidden/>
          </w:rPr>
          <w:instrText xml:space="preserve"> PAGEREF _Toc479696425 \h </w:instrText>
        </w:r>
        <w:r w:rsidR="00846AED">
          <w:rPr>
            <w:noProof/>
            <w:webHidden/>
          </w:rPr>
        </w:r>
        <w:r w:rsidR="00846AED">
          <w:rPr>
            <w:noProof/>
            <w:webHidden/>
          </w:rPr>
          <w:fldChar w:fldCharType="separate"/>
        </w:r>
        <w:r w:rsidR="00846AED">
          <w:rPr>
            <w:noProof/>
            <w:webHidden/>
          </w:rPr>
          <w:t>7</w:t>
        </w:r>
        <w:r w:rsidR="00846AED">
          <w:rPr>
            <w:noProof/>
            <w:webHidden/>
          </w:rPr>
          <w:fldChar w:fldCharType="end"/>
        </w:r>
      </w:hyperlink>
    </w:p>
    <w:p w14:paraId="612F1FD4" w14:textId="546AF9E4" w:rsidR="00846AED" w:rsidRDefault="0036474F">
      <w:pPr>
        <w:pStyle w:val="TOC1"/>
        <w:rPr>
          <w:rFonts w:asciiTheme="minorHAnsi" w:eastAsiaTheme="minorEastAsia" w:hAnsiTheme="minorHAnsi" w:cstheme="minorBidi"/>
          <w:caps w:val="0"/>
          <w:noProof/>
          <w:szCs w:val="22"/>
          <w:lang w:eastAsia="en-GB"/>
        </w:rPr>
      </w:pPr>
      <w:hyperlink w:anchor="_Toc479696426" w:history="1">
        <w:r w:rsidR="00846AED" w:rsidRPr="009751E1">
          <w:rPr>
            <w:rStyle w:val="Hyperlink"/>
            <w:rFonts w:cs="Arial"/>
            <w:noProof/>
          </w:rPr>
          <w:t>13.</w:t>
        </w:r>
        <w:r w:rsidR="00846AED">
          <w:rPr>
            <w:rFonts w:asciiTheme="minorHAnsi" w:eastAsiaTheme="minorEastAsia" w:hAnsiTheme="minorHAnsi" w:cstheme="minorBidi"/>
            <w:caps w:val="0"/>
            <w:noProof/>
            <w:szCs w:val="22"/>
            <w:lang w:eastAsia="en-GB"/>
          </w:rPr>
          <w:tab/>
        </w:r>
        <w:r w:rsidR="00846AED" w:rsidRPr="009751E1">
          <w:rPr>
            <w:rStyle w:val="Hyperlink"/>
            <w:rFonts w:cs="Arial"/>
            <w:noProof/>
          </w:rPr>
          <w:t>quality</w:t>
        </w:r>
        <w:r w:rsidR="00846AED">
          <w:rPr>
            <w:noProof/>
            <w:webHidden/>
          </w:rPr>
          <w:tab/>
        </w:r>
        <w:r w:rsidR="00846AED">
          <w:rPr>
            <w:noProof/>
            <w:webHidden/>
          </w:rPr>
          <w:fldChar w:fldCharType="begin"/>
        </w:r>
        <w:r w:rsidR="00846AED">
          <w:rPr>
            <w:noProof/>
            <w:webHidden/>
          </w:rPr>
          <w:instrText xml:space="preserve"> PAGEREF _Toc479696426 \h </w:instrText>
        </w:r>
        <w:r w:rsidR="00846AED">
          <w:rPr>
            <w:noProof/>
            <w:webHidden/>
          </w:rPr>
        </w:r>
        <w:r w:rsidR="00846AED">
          <w:rPr>
            <w:noProof/>
            <w:webHidden/>
          </w:rPr>
          <w:fldChar w:fldCharType="separate"/>
        </w:r>
        <w:r w:rsidR="00846AED">
          <w:rPr>
            <w:noProof/>
            <w:webHidden/>
          </w:rPr>
          <w:t>7</w:t>
        </w:r>
        <w:r w:rsidR="00846AED">
          <w:rPr>
            <w:noProof/>
            <w:webHidden/>
          </w:rPr>
          <w:fldChar w:fldCharType="end"/>
        </w:r>
      </w:hyperlink>
    </w:p>
    <w:p w14:paraId="67E4FD20" w14:textId="270183A2" w:rsidR="00846AED" w:rsidRDefault="0036474F">
      <w:pPr>
        <w:pStyle w:val="TOC1"/>
        <w:rPr>
          <w:rFonts w:asciiTheme="minorHAnsi" w:eastAsiaTheme="minorEastAsia" w:hAnsiTheme="minorHAnsi" w:cstheme="minorBidi"/>
          <w:caps w:val="0"/>
          <w:noProof/>
          <w:szCs w:val="22"/>
          <w:lang w:eastAsia="en-GB"/>
        </w:rPr>
      </w:pPr>
      <w:hyperlink w:anchor="_Toc479696427" w:history="1">
        <w:r w:rsidR="00846AED" w:rsidRPr="009751E1">
          <w:rPr>
            <w:rStyle w:val="Hyperlink"/>
            <w:rFonts w:cs="Arial"/>
            <w:noProof/>
          </w:rPr>
          <w:t>14.</w:t>
        </w:r>
        <w:r w:rsidR="00846AED">
          <w:rPr>
            <w:rFonts w:asciiTheme="minorHAnsi" w:eastAsiaTheme="minorEastAsia" w:hAnsiTheme="minorHAnsi" w:cstheme="minorBidi"/>
            <w:caps w:val="0"/>
            <w:noProof/>
            <w:szCs w:val="22"/>
            <w:lang w:eastAsia="en-GB"/>
          </w:rPr>
          <w:tab/>
        </w:r>
        <w:r w:rsidR="00846AED" w:rsidRPr="009751E1">
          <w:rPr>
            <w:rStyle w:val="Hyperlink"/>
            <w:rFonts w:cs="Arial"/>
            <w:noProof/>
          </w:rPr>
          <w:t>PRICE</w:t>
        </w:r>
        <w:r w:rsidR="00846AED">
          <w:rPr>
            <w:noProof/>
            <w:webHidden/>
          </w:rPr>
          <w:tab/>
        </w:r>
        <w:r w:rsidR="00846AED">
          <w:rPr>
            <w:noProof/>
            <w:webHidden/>
          </w:rPr>
          <w:fldChar w:fldCharType="begin"/>
        </w:r>
        <w:r w:rsidR="00846AED">
          <w:rPr>
            <w:noProof/>
            <w:webHidden/>
          </w:rPr>
          <w:instrText xml:space="preserve"> PAGEREF _Toc479696427 \h </w:instrText>
        </w:r>
        <w:r w:rsidR="00846AED">
          <w:rPr>
            <w:noProof/>
            <w:webHidden/>
          </w:rPr>
        </w:r>
        <w:r w:rsidR="00846AED">
          <w:rPr>
            <w:noProof/>
            <w:webHidden/>
          </w:rPr>
          <w:fldChar w:fldCharType="separate"/>
        </w:r>
        <w:r w:rsidR="00846AED">
          <w:rPr>
            <w:noProof/>
            <w:webHidden/>
          </w:rPr>
          <w:t>7</w:t>
        </w:r>
        <w:r w:rsidR="00846AED">
          <w:rPr>
            <w:noProof/>
            <w:webHidden/>
          </w:rPr>
          <w:fldChar w:fldCharType="end"/>
        </w:r>
      </w:hyperlink>
    </w:p>
    <w:p w14:paraId="56CFB128" w14:textId="0023B599" w:rsidR="00846AED" w:rsidRDefault="0036474F">
      <w:pPr>
        <w:pStyle w:val="TOC1"/>
        <w:rPr>
          <w:rFonts w:asciiTheme="minorHAnsi" w:eastAsiaTheme="minorEastAsia" w:hAnsiTheme="minorHAnsi" w:cstheme="minorBidi"/>
          <w:caps w:val="0"/>
          <w:noProof/>
          <w:szCs w:val="22"/>
          <w:lang w:eastAsia="en-GB"/>
        </w:rPr>
      </w:pPr>
      <w:hyperlink w:anchor="_Toc479696428" w:history="1">
        <w:r w:rsidR="00846AED" w:rsidRPr="009751E1">
          <w:rPr>
            <w:rStyle w:val="Hyperlink"/>
            <w:rFonts w:cs="Arial"/>
            <w:noProof/>
          </w:rPr>
          <w:t>15.</w:t>
        </w:r>
        <w:r w:rsidR="00846AED">
          <w:rPr>
            <w:rFonts w:asciiTheme="minorHAnsi" w:eastAsiaTheme="minorEastAsia" w:hAnsiTheme="minorHAnsi" w:cstheme="minorBidi"/>
            <w:caps w:val="0"/>
            <w:noProof/>
            <w:szCs w:val="22"/>
            <w:lang w:eastAsia="en-GB"/>
          </w:rPr>
          <w:tab/>
        </w:r>
        <w:r w:rsidR="00846AED" w:rsidRPr="009751E1">
          <w:rPr>
            <w:rStyle w:val="Hyperlink"/>
            <w:rFonts w:cs="Arial"/>
            <w:noProof/>
          </w:rPr>
          <w:t>STAFF AND CUSTOMER SERVICE</w:t>
        </w:r>
        <w:r w:rsidR="00846AED">
          <w:rPr>
            <w:noProof/>
            <w:webHidden/>
          </w:rPr>
          <w:tab/>
        </w:r>
        <w:r w:rsidR="00846AED">
          <w:rPr>
            <w:noProof/>
            <w:webHidden/>
          </w:rPr>
          <w:fldChar w:fldCharType="begin"/>
        </w:r>
        <w:r w:rsidR="00846AED">
          <w:rPr>
            <w:noProof/>
            <w:webHidden/>
          </w:rPr>
          <w:instrText xml:space="preserve"> PAGEREF _Toc479696428 \h </w:instrText>
        </w:r>
        <w:r w:rsidR="00846AED">
          <w:rPr>
            <w:noProof/>
            <w:webHidden/>
          </w:rPr>
        </w:r>
        <w:r w:rsidR="00846AED">
          <w:rPr>
            <w:noProof/>
            <w:webHidden/>
          </w:rPr>
          <w:fldChar w:fldCharType="separate"/>
        </w:r>
        <w:r w:rsidR="00846AED">
          <w:rPr>
            <w:noProof/>
            <w:webHidden/>
          </w:rPr>
          <w:t>7</w:t>
        </w:r>
        <w:r w:rsidR="00846AED">
          <w:rPr>
            <w:noProof/>
            <w:webHidden/>
          </w:rPr>
          <w:fldChar w:fldCharType="end"/>
        </w:r>
      </w:hyperlink>
    </w:p>
    <w:p w14:paraId="78CC2105" w14:textId="74FA5697" w:rsidR="00846AED" w:rsidRDefault="0036474F">
      <w:pPr>
        <w:pStyle w:val="TOC1"/>
        <w:rPr>
          <w:rFonts w:asciiTheme="minorHAnsi" w:eastAsiaTheme="minorEastAsia" w:hAnsiTheme="minorHAnsi" w:cstheme="minorBidi"/>
          <w:caps w:val="0"/>
          <w:noProof/>
          <w:szCs w:val="22"/>
          <w:lang w:eastAsia="en-GB"/>
        </w:rPr>
      </w:pPr>
      <w:hyperlink w:anchor="_Toc479696429" w:history="1">
        <w:r w:rsidR="00846AED" w:rsidRPr="009751E1">
          <w:rPr>
            <w:rStyle w:val="Hyperlink"/>
            <w:rFonts w:cs="Arial"/>
            <w:noProof/>
          </w:rPr>
          <w:t>16.</w:t>
        </w:r>
        <w:r w:rsidR="00846AED">
          <w:rPr>
            <w:rFonts w:asciiTheme="minorHAnsi" w:eastAsiaTheme="minorEastAsia" w:hAnsiTheme="minorHAnsi" w:cstheme="minorBidi"/>
            <w:caps w:val="0"/>
            <w:noProof/>
            <w:szCs w:val="22"/>
            <w:lang w:eastAsia="en-GB"/>
          </w:rPr>
          <w:tab/>
        </w:r>
        <w:r w:rsidR="00846AED" w:rsidRPr="009751E1">
          <w:rPr>
            <w:rStyle w:val="Hyperlink"/>
            <w:rFonts w:cs="Arial"/>
            <w:noProof/>
          </w:rPr>
          <w:t>service levels and performance</w:t>
        </w:r>
        <w:r w:rsidR="00846AED">
          <w:rPr>
            <w:noProof/>
            <w:webHidden/>
          </w:rPr>
          <w:tab/>
        </w:r>
        <w:r w:rsidR="00846AED">
          <w:rPr>
            <w:noProof/>
            <w:webHidden/>
          </w:rPr>
          <w:fldChar w:fldCharType="begin"/>
        </w:r>
        <w:r w:rsidR="00846AED">
          <w:rPr>
            <w:noProof/>
            <w:webHidden/>
          </w:rPr>
          <w:instrText xml:space="preserve"> PAGEREF _Toc479696429 \h </w:instrText>
        </w:r>
        <w:r w:rsidR="00846AED">
          <w:rPr>
            <w:noProof/>
            <w:webHidden/>
          </w:rPr>
        </w:r>
        <w:r w:rsidR="00846AED">
          <w:rPr>
            <w:noProof/>
            <w:webHidden/>
          </w:rPr>
          <w:fldChar w:fldCharType="separate"/>
        </w:r>
        <w:r w:rsidR="00846AED">
          <w:rPr>
            <w:noProof/>
            <w:webHidden/>
          </w:rPr>
          <w:t>7</w:t>
        </w:r>
        <w:r w:rsidR="00846AED">
          <w:rPr>
            <w:noProof/>
            <w:webHidden/>
          </w:rPr>
          <w:fldChar w:fldCharType="end"/>
        </w:r>
      </w:hyperlink>
    </w:p>
    <w:p w14:paraId="4A1BC6AF" w14:textId="42D8DEE9" w:rsidR="00846AED" w:rsidRDefault="0036474F">
      <w:pPr>
        <w:pStyle w:val="TOC1"/>
        <w:rPr>
          <w:rFonts w:asciiTheme="minorHAnsi" w:eastAsiaTheme="minorEastAsia" w:hAnsiTheme="minorHAnsi" w:cstheme="minorBidi"/>
          <w:caps w:val="0"/>
          <w:noProof/>
          <w:szCs w:val="22"/>
          <w:lang w:eastAsia="en-GB"/>
        </w:rPr>
      </w:pPr>
      <w:hyperlink w:anchor="_Toc479696430" w:history="1">
        <w:r w:rsidR="00846AED" w:rsidRPr="009751E1">
          <w:rPr>
            <w:rStyle w:val="Hyperlink"/>
            <w:noProof/>
          </w:rPr>
          <w:t>17.</w:t>
        </w:r>
        <w:r w:rsidR="00846AED">
          <w:rPr>
            <w:rFonts w:asciiTheme="minorHAnsi" w:eastAsiaTheme="minorEastAsia" w:hAnsiTheme="minorHAnsi" w:cstheme="minorBidi"/>
            <w:caps w:val="0"/>
            <w:noProof/>
            <w:szCs w:val="22"/>
            <w:lang w:eastAsia="en-GB"/>
          </w:rPr>
          <w:tab/>
        </w:r>
        <w:r w:rsidR="00846AED" w:rsidRPr="009751E1">
          <w:rPr>
            <w:rStyle w:val="Hyperlink"/>
            <w:noProof/>
          </w:rPr>
          <w:t>Security requirements</w:t>
        </w:r>
        <w:r w:rsidR="00846AED">
          <w:rPr>
            <w:noProof/>
            <w:webHidden/>
          </w:rPr>
          <w:tab/>
        </w:r>
        <w:r w:rsidR="00846AED">
          <w:rPr>
            <w:noProof/>
            <w:webHidden/>
          </w:rPr>
          <w:fldChar w:fldCharType="begin"/>
        </w:r>
        <w:r w:rsidR="00846AED">
          <w:rPr>
            <w:noProof/>
            <w:webHidden/>
          </w:rPr>
          <w:instrText xml:space="preserve"> PAGEREF _Toc479696430 \h </w:instrText>
        </w:r>
        <w:r w:rsidR="00846AED">
          <w:rPr>
            <w:noProof/>
            <w:webHidden/>
          </w:rPr>
        </w:r>
        <w:r w:rsidR="00846AED">
          <w:rPr>
            <w:noProof/>
            <w:webHidden/>
          </w:rPr>
          <w:fldChar w:fldCharType="separate"/>
        </w:r>
        <w:r w:rsidR="00846AED">
          <w:rPr>
            <w:noProof/>
            <w:webHidden/>
          </w:rPr>
          <w:t>8</w:t>
        </w:r>
        <w:r w:rsidR="00846AED">
          <w:rPr>
            <w:noProof/>
            <w:webHidden/>
          </w:rPr>
          <w:fldChar w:fldCharType="end"/>
        </w:r>
      </w:hyperlink>
    </w:p>
    <w:p w14:paraId="26A209CF" w14:textId="14EC62D8" w:rsidR="00846AED" w:rsidRDefault="0036474F">
      <w:pPr>
        <w:pStyle w:val="TOC1"/>
        <w:rPr>
          <w:rFonts w:asciiTheme="minorHAnsi" w:eastAsiaTheme="minorEastAsia" w:hAnsiTheme="minorHAnsi" w:cstheme="minorBidi"/>
          <w:caps w:val="0"/>
          <w:noProof/>
          <w:szCs w:val="22"/>
          <w:lang w:eastAsia="en-GB"/>
        </w:rPr>
      </w:pPr>
      <w:hyperlink w:anchor="_Toc479696431" w:history="1">
        <w:r w:rsidR="00846AED" w:rsidRPr="009751E1">
          <w:rPr>
            <w:rStyle w:val="Hyperlink"/>
            <w:rFonts w:cs="Arial"/>
            <w:noProof/>
          </w:rPr>
          <w:t>18.</w:t>
        </w:r>
        <w:r w:rsidR="00846AED">
          <w:rPr>
            <w:rFonts w:asciiTheme="minorHAnsi" w:eastAsiaTheme="minorEastAsia" w:hAnsiTheme="minorHAnsi" w:cstheme="minorBidi"/>
            <w:caps w:val="0"/>
            <w:noProof/>
            <w:szCs w:val="22"/>
            <w:lang w:eastAsia="en-GB"/>
          </w:rPr>
          <w:tab/>
        </w:r>
        <w:r w:rsidR="00846AED" w:rsidRPr="009751E1">
          <w:rPr>
            <w:rStyle w:val="Hyperlink"/>
            <w:rFonts w:cs="Arial"/>
            <w:noProof/>
          </w:rPr>
          <w:t>intellectual property rights (ipr)</w:t>
        </w:r>
        <w:r w:rsidR="00846AED">
          <w:rPr>
            <w:noProof/>
            <w:webHidden/>
          </w:rPr>
          <w:tab/>
        </w:r>
        <w:r w:rsidR="00846AED">
          <w:rPr>
            <w:noProof/>
            <w:webHidden/>
          </w:rPr>
          <w:fldChar w:fldCharType="begin"/>
        </w:r>
        <w:r w:rsidR="00846AED">
          <w:rPr>
            <w:noProof/>
            <w:webHidden/>
          </w:rPr>
          <w:instrText xml:space="preserve"> PAGEREF _Toc479696431 \h </w:instrText>
        </w:r>
        <w:r w:rsidR="00846AED">
          <w:rPr>
            <w:noProof/>
            <w:webHidden/>
          </w:rPr>
        </w:r>
        <w:r w:rsidR="00846AED">
          <w:rPr>
            <w:noProof/>
            <w:webHidden/>
          </w:rPr>
          <w:fldChar w:fldCharType="separate"/>
        </w:r>
        <w:r w:rsidR="00846AED">
          <w:rPr>
            <w:noProof/>
            <w:webHidden/>
          </w:rPr>
          <w:t>8</w:t>
        </w:r>
        <w:r w:rsidR="00846AED">
          <w:rPr>
            <w:noProof/>
            <w:webHidden/>
          </w:rPr>
          <w:fldChar w:fldCharType="end"/>
        </w:r>
      </w:hyperlink>
    </w:p>
    <w:p w14:paraId="315F02B2" w14:textId="4B98B5E9" w:rsidR="00846AED" w:rsidRDefault="0036474F">
      <w:pPr>
        <w:pStyle w:val="TOC1"/>
        <w:rPr>
          <w:rFonts w:asciiTheme="minorHAnsi" w:eastAsiaTheme="minorEastAsia" w:hAnsiTheme="minorHAnsi" w:cstheme="minorBidi"/>
          <w:caps w:val="0"/>
          <w:noProof/>
          <w:szCs w:val="22"/>
          <w:lang w:eastAsia="en-GB"/>
        </w:rPr>
      </w:pPr>
      <w:hyperlink w:anchor="_Toc479696432" w:history="1">
        <w:r w:rsidR="00846AED" w:rsidRPr="009751E1">
          <w:rPr>
            <w:rStyle w:val="Hyperlink"/>
            <w:rFonts w:cs="Arial"/>
            <w:noProof/>
          </w:rPr>
          <w:t>19.</w:t>
        </w:r>
        <w:r w:rsidR="00846AED">
          <w:rPr>
            <w:rFonts w:asciiTheme="minorHAnsi" w:eastAsiaTheme="minorEastAsia" w:hAnsiTheme="minorHAnsi" w:cstheme="minorBidi"/>
            <w:caps w:val="0"/>
            <w:noProof/>
            <w:szCs w:val="22"/>
            <w:lang w:eastAsia="en-GB"/>
          </w:rPr>
          <w:tab/>
        </w:r>
        <w:r w:rsidR="00846AED" w:rsidRPr="009751E1">
          <w:rPr>
            <w:rStyle w:val="Hyperlink"/>
            <w:rFonts w:cs="Arial"/>
            <w:noProof/>
          </w:rPr>
          <w:t>payment</w:t>
        </w:r>
        <w:r w:rsidR="00846AED">
          <w:rPr>
            <w:noProof/>
            <w:webHidden/>
          </w:rPr>
          <w:tab/>
        </w:r>
        <w:r w:rsidR="00846AED">
          <w:rPr>
            <w:noProof/>
            <w:webHidden/>
          </w:rPr>
          <w:fldChar w:fldCharType="begin"/>
        </w:r>
        <w:r w:rsidR="00846AED">
          <w:rPr>
            <w:noProof/>
            <w:webHidden/>
          </w:rPr>
          <w:instrText xml:space="preserve"> PAGEREF _Toc479696432 \h </w:instrText>
        </w:r>
        <w:r w:rsidR="00846AED">
          <w:rPr>
            <w:noProof/>
            <w:webHidden/>
          </w:rPr>
        </w:r>
        <w:r w:rsidR="00846AED">
          <w:rPr>
            <w:noProof/>
            <w:webHidden/>
          </w:rPr>
          <w:fldChar w:fldCharType="separate"/>
        </w:r>
        <w:r w:rsidR="00846AED">
          <w:rPr>
            <w:noProof/>
            <w:webHidden/>
          </w:rPr>
          <w:t>8</w:t>
        </w:r>
        <w:r w:rsidR="00846AED">
          <w:rPr>
            <w:noProof/>
            <w:webHidden/>
          </w:rPr>
          <w:fldChar w:fldCharType="end"/>
        </w:r>
      </w:hyperlink>
    </w:p>
    <w:p w14:paraId="24F73EDB" w14:textId="3C878363" w:rsidR="00846AED" w:rsidRDefault="0036474F">
      <w:pPr>
        <w:pStyle w:val="TOC1"/>
        <w:rPr>
          <w:rFonts w:asciiTheme="minorHAnsi" w:eastAsiaTheme="minorEastAsia" w:hAnsiTheme="minorHAnsi" w:cstheme="minorBidi"/>
          <w:caps w:val="0"/>
          <w:noProof/>
          <w:szCs w:val="22"/>
          <w:lang w:eastAsia="en-GB"/>
        </w:rPr>
      </w:pPr>
      <w:hyperlink w:anchor="_Toc479696433" w:history="1">
        <w:r w:rsidR="00846AED" w:rsidRPr="009751E1">
          <w:rPr>
            <w:rStyle w:val="Hyperlink"/>
            <w:rFonts w:cs="Arial"/>
            <w:noProof/>
          </w:rPr>
          <w:t>20.</w:t>
        </w:r>
        <w:r w:rsidR="00846AED">
          <w:rPr>
            <w:rFonts w:asciiTheme="minorHAnsi" w:eastAsiaTheme="minorEastAsia" w:hAnsiTheme="minorHAnsi" w:cstheme="minorBidi"/>
            <w:caps w:val="0"/>
            <w:noProof/>
            <w:szCs w:val="22"/>
            <w:lang w:eastAsia="en-GB"/>
          </w:rPr>
          <w:tab/>
        </w:r>
        <w:r w:rsidR="00846AED" w:rsidRPr="009751E1">
          <w:rPr>
            <w:rStyle w:val="Hyperlink"/>
            <w:rFonts w:cs="Arial"/>
            <w:noProof/>
          </w:rPr>
          <w:t>additional information</w:t>
        </w:r>
        <w:r w:rsidR="00846AED">
          <w:rPr>
            <w:noProof/>
            <w:webHidden/>
          </w:rPr>
          <w:tab/>
        </w:r>
        <w:r w:rsidR="00846AED">
          <w:rPr>
            <w:noProof/>
            <w:webHidden/>
          </w:rPr>
          <w:fldChar w:fldCharType="begin"/>
        </w:r>
        <w:r w:rsidR="00846AED">
          <w:rPr>
            <w:noProof/>
            <w:webHidden/>
          </w:rPr>
          <w:instrText xml:space="preserve"> PAGEREF _Toc479696433 \h </w:instrText>
        </w:r>
        <w:r w:rsidR="00846AED">
          <w:rPr>
            <w:noProof/>
            <w:webHidden/>
          </w:rPr>
        </w:r>
        <w:r w:rsidR="00846AED">
          <w:rPr>
            <w:noProof/>
            <w:webHidden/>
          </w:rPr>
          <w:fldChar w:fldCharType="separate"/>
        </w:r>
        <w:r w:rsidR="00846AED">
          <w:rPr>
            <w:noProof/>
            <w:webHidden/>
          </w:rPr>
          <w:t>8</w:t>
        </w:r>
        <w:r w:rsidR="00846AED">
          <w:rPr>
            <w:noProof/>
            <w:webHidden/>
          </w:rPr>
          <w:fldChar w:fldCharType="end"/>
        </w:r>
      </w:hyperlink>
    </w:p>
    <w:p w14:paraId="3C332961" w14:textId="35C83B57" w:rsidR="00846AED" w:rsidRDefault="0036474F">
      <w:pPr>
        <w:pStyle w:val="TOC1"/>
        <w:rPr>
          <w:rFonts w:asciiTheme="minorHAnsi" w:eastAsiaTheme="minorEastAsia" w:hAnsiTheme="minorHAnsi" w:cstheme="minorBidi"/>
          <w:caps w:val="0"/>
          <w:noProof/>
          <w:szCs w:val="22"/>
          <w:lang w:eastAsia="en-GB"/>
        </w:rPr>
      </w:pPr>
      <w:hyperlink w:anchor="_Toc479696434" w:history="1">
        <w:r w:rsidR="00846AED" w:rsidRPr="009751E1">
          <w:rPr>
            <w:rStyle w:val="Hyperlink"/>
            <w:noProof/>
          </w:rPr>
          <w:t>21.</w:t>
        </w:r>
        <w:r w:rsidR="00846AED">
          <w:rPr>
            <w:rFonts w:asciiTheme="minorHAnsi" w:eastAsiaTheme="minorEastAsia" w:hAnsiTheme="minorHAnsi" w:cstheme="minorBidi"/>
            <w:caps w:val="0"/>
            <w:noProof/>
            <w:szCs w:val="22"/>
            <w:lang w:eastAsia="en-GB"/>
          </w:rPr>
          <w:tab/>
        </w:r>
        <w:r w:rsidR="00846AED" w:rsidRPr="009751E1">
          <w:rPr>
            <w:rStyle w:val="Hyperlink"/>
            <w:noProof/>
          </w:rPr>
          <w:t>Location</w:t>
        </w:r>
        <w:r w:rsidR="00846AED">
          <w:rPr>
            <w:noProof/>
            <w:webHidden/>
          </w:rPr>
          <w:tab/>
        </w:r>
        <w:r w:rsidR="00846AED">
          <w:rPr>
            <w:noProof/>
            <w:webHidden/>
          </w:rPr>
          <w:fldChar w:fldCharType="begin"/>
        </w:r>
        <w:r w:rsidR="00846AED">
          <w:rPr>
            <w:noProof/>
            <w:webHidden/>
          </w:rPr>
          <w:instrText xml:space="preserve"> PAGEREF _Toc479696434 \h </w:instrText>
        </w:r>
        <w:r w:rsidR="00846AED">
          <w:rPr>
            <w:noProof/>
            <w:webHidden/>
          </w:rPr>
        </w:r>
        <w:r w:rsidR="00846AED">
          <w:rPr>
            <w:noProof/>
            <w:webHidden/>
          </w:rPr>
          <w:fldChar w:fldCharType="separate"/>
        </w:r>
        <w:r w:rsidR="00846AED">
          <w:rPr>
            <w:noProof/>
            <w:webHidden/>
          </w:rPr>
          <w:t>8</w:t>
        </w:r>
        <w:r w:rsidR="00846AED">
          <w:rPr>
            <w:noProof/>
            <w:webHidden/>
          </w:rPr>
          <w:fldChar w:fldCharType="end"/>
        </w:r>
      </w:hyperlink>
    </w:p>
    <w:p w14:paraId="61AD19FF" w14:textId="77777777" w:rsidR="00FE18AC" w:rsidRPr="00953127" w:rsidRDefault="00E10E97" w:rsidP="00FE18AC">
      <w:pPr>
        <w:spacing w:after="120"/>
        <w:jc w:val="center"/>
        <w:rPr>
          <w:b/>
        </w:rPr>
      </w:pPr>
      <w:r w:rsidRPr="00953127">
        <w:rPr>
          <w:rFonts w:cs="Arial"/>
          <w:caps/>
        </w:rPr>
        <w:fldChar w:fldCharType="end"/>
      </w:r>
    </w:p>
    <w:p w14:paraId="48CB3DFA" w14:textId="77777777" w:rsidR="00FE18AC" w:rsidRPr="00953127" w:rsidRDefault="00FE18AC" w:rsidP="00F44D62">
      <w:pPr>
        <w:pStyle w:val="Heading1"/>
        <w:numPr>
          <w:ilvl w:val="0"/>
          <w:numId w:val="0"/>
        </w:numPr>
        <w:overflowPunct w:val="0"/>
        <w:autoSpaceDE w:val="0"/>
        <w:autoSpaceDN w:val="0"/>
        <w:spacing w:after="120"/>
        <w:ind w:left="720"/>
        <w:textAlignment w:val="baseline"/>
        <w:rPr>
          <w:szCs w:val="22"/>
        </w:rPr>
      </w:pPr>
      <w:bookmarkStart w:id="0" w:name="_Toc297554772"/>
      <w:r w:rsidRPr="00953127">
        <w:rPr>
          <w:caps w:val="0"/>
          <w:szCs w:val="22"/>
        </w:rPr>
        <w:br w:type="page"/>
      </w:r>
    </w:p>
    <w:p w14:paraId="381580B4" w14:textId="77777777" w:rsidR="00FE18AC" w:rsidRPr="00953127" w:rsidRDefault="00FE18AC" w:rsidP="00A03561">
      <w:pPr>
        <w:pStyle w:val="Heading1"/>
        <w:numPr>
          <w:ilvl w:val="0"/>
          <w:numId w:val="21"/>
        </w:numPr>
        <w:tabs>
          <w:tab w:val="clear" w:pos="720"/>
        </w:tabs>
        <w:overflowPunct w:val="0"/>
        <w:autoSpaceDE w:val="0"/>
        <w:autoSpaceDN w:val="0"/>
        <w:spacing w:after="120"/>
        <w:textAlignment w:val="baseline"/>
        <w:rPr>
          <w:szCs w:val="22"/>
        </w:rPr>
      </w:pPr>
      <w:bookmarkStart w:id="1" w:name="_Toc368573027"/>
      <w:bookmarkStart w:id="2" w:name="_Toc479696414"/>
      <w:r w:rsidRPr="00953127">
        <w:rPr>
          <w:caps w:val="0"/>
          <w:szCs w:val="22"/>
        </w:rPr>
        <w:lastRenderedPageBreak/>
        <w:t>PURPOSE</w:t>
      </w:r>
      <w:bookmarkEnd w:id="0"/>
      <w:bookmarkEnd w:id="1"/>
      <w:bookmarkEnd w:id="2"/>
    </w:p>
    <w:p w14:paraId="2BF74DE9" w14:textId="764C8597" w:rsidR="006C4350" w:rsidRPr="00953127" w:rsidRDefault="0096785E" w:rsidP="003E25C9">
      <w:pPr>
        <w:pStyle w:val="Heading2"/>
        <w:tabs>
          <w:tab w:val="clear" w:pos="1287"/>
          <w:tab w:val="num" w:pos="1560"/>
        </w:tabs>
        <w:ind w:left="709"/>
        <w:rPr>
          <w:rFonts w:cs="Arial"/>
          <w:noProof/>
          <w:szCs w:val="22"/>
        </w:rPr>
      </w:pPr>
      <w:bookmarkStart w:id="3" w:name="_Toc296415791"/>
      <w:r w:rsidRPr="00953127">
        <w:rPr>
          <w:szCs w:val="22"/>
        </w:rPr>
        <w:t>The purpose of this requirement is to</w:t>
      </w:r>
      <w:r w:rsidR="006C4350" w:rsidRPr="00953127">
        <w:rPr>
          <w:szCs w:val="22"/>
        </w:rPr>
        <w:t xml:space="preserve"> </w:t>
      </w:r>
      <w:bookmarkStart w:id="4" w:name="_Toc368573028"/>
      <w:bookmarkStart w:id="5" w:name="_Toc297554773"/>
      <w:bookmarkStart w:id="6" w:name="_Toc296415805"/>
      <w:bookmarkStart w:id="7" w:name="_Toc296415793"/>
      <w:bookmarkEnd w:id="3"/>
      <w:r w:rsidR="00B77019" w:rsidRPr="00953127">
        <w:rPr>
          <w:rFonts w:cs="Arial"/>
          <w:noProof/>
          <w:szCs w:val="22"/>
        </w:rPr>
        <w:t xml:space="preserve">provide the National Infrastructure Commission </w:t>
      </w:r>
      <w:r w:rsidR="00066CB6">
        <w:rPr>
          <w:rFonts w:cs="Arial"/>
          <w:noProof/>
          <w:szCs w:val="22"/>
        </w:rPr>
        <w:t xml:space="preserve">(NIC) </w:t>
      </w:r>
      <w:r w:rsidR="00B77019" w:rsidRPr="00953127">
        <w:rPr>
          <w:rFonts w:cs="Arial"/>
          <w:noProof/>
          <w:szCs w:val="22"/>
        </w:rPr>
        <w:t>with advice and analysis</w:t>
      </w:r>
      <w:r w:rsidR="00710375" w:rsidRPr="00953127">
        <w:rPr>
          <w:rFonts w:cs="Arial"/>
          <w:noProof/>
          <w:szCs w:val="22"/>
        </w:rPr>
        <w:t xml:space="preserve"> on</w:t>
      </w:r>
      <w:r w:rsidR="006C4350" w:rsidRPr="00953127">
        <w:rPr>
          <w:rFonts w:cs="Arial"/>
          <w:noProof/>
          <w:szCs w:val="22"/>
        </w:rPr>
        <w:t>:</w:t>
      </w:r>
    </w:p>
    <w:p w14:paraId="4974B94A" w14:textId="612F7649" w:rsidR="006C4350" w:rsidRPr="00953127" w:rsidRDefault="006C4350" w:rsidP="003E25C9">
      <w:pPr>
        <w:pStyle w:val="Heading3"/>
        <w:tabs>
          <w:tab w:val="clear" w:pos="1800"/>
          <w:tab w:val="num" w:pos="1560"/>
        </w:tabs>
        <w:ind w:left="709" w:hanging="283"/>
        <w:jc w:val="left"/>
        <w:rPr>
          <w:noProof/>
        </w:rPr>
      </w:pPr>
      <w:r w:rsidRPr="00953127">
        <w:rPr>
          <w:noProof/>
        </w:rPr>
        <w:t>the extent to which infrastructure issues present barrier</w:t>
      </w:r>
      <w:r w:rsidR="00302B20">
        <w:rPr>
          <w:noProof/>
        </w:rPr>
        <w:t>s</w:t>
      </w:r>
      <w:r w:rsidRPr="00953127">
        <w:rPr>
          <w:noProof/>
        </w:rPr>
        <w:t xml:space="preserve"> to the delivery of </w:t>
      </w:r>
      <w:r w:rsidR="00C146EE" w:rsidRPr="00953127">
        <w:rPr>
          <w:noProof/>
        </w:rPr>
        <w:t xml:space="preserve">major new </w:t>
      </w:r>
      <w:r w:rsidR="00B77019" w:rsidRPr="00953127">
        <w:rPr>
          <w:noProof/>
        </w:rPr>
        <w:t>housing and commercial development</w:t>
      </w:r>
      <w:r w:rsidR="00302B20">
        <w:rPr>
          <w:noProof/>
        </w:rPr>
        <w:t xml:space="preserve">s </w:t>
      </w:r>
      <w:r w:rsidR="00B77019" w:rsidRPr="00953127">
        <w:rPr>
          <w:noProof/>
        </w:rPr>
        <w:t xml:space="preserve">within the Cambridge – Milton Keynes – Oxford </w:t>
      </w:r>
      <w:r w:rsidR="0036474F">
        <w:rPr>
          <w:noProof/>
        </w:rPr>
        <w:t xml:space="preserve">and Northampton Growth </w:t>
      </w:r>
      <w:r w:rsidRPr="00953127">
        <w:rPr>
          <w:noProof/>
        </w:rPr>
        <w:t>c</w:t>
      </w:r>
      <w:r w:rsidR="00B77019" w:rsidRPr="00953127">
        <w:rPr>
          <w:noProof/>
        </w:rPr>
        <w:t>orrid</w:t>
      </w:r>
      <w:r w:rsidRPr="00953127">
        <w:rPr>
          <w:noProof/>
        </w:rPr>
        <w:t xml:space="preserve">or; </w:t>
      </w:r>
      <w:r w:rsidR="00C146EE" w:rsidRPr="00953127">
        <w:rPr>
          <w:noProof/>
        </w:rPr>
        <w:t>and</w:t>
      </w:r>
    </w:p>
    <w:p w14:paraId="4B26A3FD" w14:textId="0C6E5D5E" w:rsidR="00302B20" w:rsidRDefault="006C4350" w:rsidP="003E25C9">
      <w:pPr>
        <w:pStyle w:val="Heading3"/>
        <w:tabs>
          <w:tab w:val="clear" w:pos="1800"/>
          <w:tab w:val="num" w:pos="1560"/>
        </w:tabs>
        <w:ind w:left="709" w:hanging="283"/>
        <w:jc w:val="left"/>
        <w:rPr>
          <w:noProof/>
        </w:rPr>
      </w:pPr>
      <w:r w:rsidRPr="00953127">
        <w:rPr>
          <w:noProof/>
        </w:rPr>
        <w:t xml:space="preserve">the extent to which identified barriers to delivery might be </w:t>
      </w:r>
      <w:r w:rsidR="00C146EE" w:rsidRPr="00953127">
        <w:rPr>
          <w:noProof/>
        </w:rPr>
        <w:t xml:space="preserve">removed or </w:t>
      </w:r>
      <w:r w:rsidR="00166057" w:rsidRPr="00953127">
        <w:rPr>
          <w:noProof/>
        </w:rPr>
        <w:t>reduced</w:t>
      </w:r>
      <w:r w:rsidRPr="00953127">
        <w:rPr>
          <w:noProof/>
        </w:rPr>
        <w:t xml:space="preserve"> </w:t>
      </w:r>
      <w:r w:rsidR="00302B20">
        <w:rPr>
          <w:noProof/>
        </w:rPr>
        <w:t>:-</w:t>
      </w:r>
    </w:p>
    <w:p w14:paraId="3C558CDA" w14:textId="08F6C6DD" w:rsidR="00302B20" w:rsidRDefault="006C4350" w:rsidP="004F07FC">
      <w:pPr>
        <w:pStyle w:val="Heading4"/>
        <w:rPr>
          <w:noProof/>
        </w:rPr>
      </w:pPr>
      <w:r w:rsidRPr="00953127">
        <w:rPr>
          <w:noProof/>
        </w:rPr>
        <w:t xml:space="preserve">by improving </w:t>
      </w:r>
      <w:r w:rsidR="00C146EE" w:rsidRPr="00953127">
        <w:rPr>
          <w:noProof/>
        </w:rPr>
        <w:t xml:space="preserve">local </w:t>
      </w:r>
      <w:r w:rsidRPr="00953127">
        <w:rPr>
          <w:noProof/>
        </w:rPr>
        <w:t xml:space="preserve">practices within </w:t>
      </w:r>
      <w:r w:rsidR="00C146EE" w:rsidRPr="00953127">
        <w:rPr>
          <w:noProof/>
        </w:rPr>
        <w:t>the constraints of existing</w:t>
      </w:r>
      <w:r w:rsidR="004F07FC">
        <w:rPr>
          <w:noProof/>
        </w:rPr>
        <w:t xml:space="preserve"> </w:t>
      </w:r>
      <w:r w:rsidR="00C146EE" w:rsidRPr="00953127">
        <w:rPr>
          <w:noProof/>
        </w:rPr>
        <w:t xml:space="preserve"> </w:t>
      </w:r>
      <w:r w:rsidR="004F07FC">
        <w:rPr>
          <w:noProof/>
        </w:rPr>
        <w:t xml:space="preserve">                </w:t>
      </w:r>
      <w:r w:rsidR="00C146EE" w:rsidRPr="00953127">
        <w:rPr>
          <w:noProof/>
        </w:rPr>
        <w:t>policy fra</w:t>
      </w:r>
      <w:r w:rsidR="00302B20">
        <w:rPr>
          <w:noProof/>
        </w:rPr>
        <w:t>m</w:t>
      </w:r>
      <w:r w:rsidR="00C146EE" w:rsidRPr="00953127">
        <w:rPr>
          <w:noProof/>
        </w:rPr>
        <w:t>eworks; and</w:t>
      </w:r>
    </w:p>
    <w:p w14:paraId="5CAE2611" w14:textId="3CA38742" w:rsidR="00302B20" w:rsidRDefault="00C146EE" w:rsidP="00302B20">
      <w:pPr>
        <w:pStyle w:val="Heading4"/>
        <w:rPr>
          <w:noProof/>
        </w:rPr>
      </w:pPr>
      <w:r w:rsidRPr="00953127">
        <w:rPr>
          <w:noProof/>
        </w:rPr>
        <w:t>through changes to local/national policy</w:t>
      </w:r>
      <w:r w:rsidR="00166057" w:rsidRPr="00953127">
        <w:rPr>
          <w:noProof/>
        </w:rPr>
        <w:t>; and</w:t>
      </w:r>
      <w:r w:rsidR="00302B20">
        <w:rPr>
          <w:noProof/>
        </w:rPr>
        <w:t xml:space="preserve"> </w:t>
      </w:r>
    </w:p>
    <w:p w14:paraId="5E7EB55B" w14:textId="683D20C3" w:rsidR="00166057" w:rsidRPr="00953127" w:rsidRDefault="00166057" w:rsidP="004F07FC">
      <w:pPr>
        <w:pStyle w:val="Heading4"/>
        <w:rPr>
          <w:noProof/>
        </w:rPr>
      </w:pPr>
      <w:r w:rsidRPr="00953127">
        <w:rPr>
          <w:noProof/>
        </w:rPr>
        <w:t>the most effective options for accelerating different types of</w:t>
      </w:r>
      <w:r w:rsidR="004F07FC">
        <w:rPr>
          <w:noProof/>
        </w:rPr>
        <w:t xml:space="preserve">                                </w:t>
      </w:r>
      <w:r w:rsidRPr="00953127">
        <w:rPr>
          <w:noProof/>
        </w:rPr>
        <w:t xml:space="preserve"> </w:t>
      </w:r>
      <w:r w:rsidR="004F07FC">
        <w:rPr>
          <w:noProof/>
        </w:rPr>
        <w:t xml:space="preserve">          </w:t>
      </w:r>
      <w:r w:rsidRPr="00953127">
        <w:rPr>
          <w:noProof/>
        </w:rPr>
        <w:t xml:space="preserve">development in different places. </w:t>
      </w:r>
    </w:p>
    <w:p w14:paraId="3E0043AB" w14:textId="77777777" w:rsidR="00A87253" w:rsidRPr="00953127" w:rsidRDefault="00A87253" w:rsidP="00A87253">
      <w:pPr>
        <w:pStyle w:val="ListParagraph"/>
        <w:ind w:left="1080"/>
        <w:rPr>
          <w:rFonts w:cs="Arial"/>
          <w:noProof/>
          <w:szCs w:val="22"/>
        </w:rPr>
      </w:pPr>
    </w:p>
    <w:p w14:paraId="2B30C845" w14:textId="77777777" w:rsidR="00671798" w:rsidRPr="00953127" w:rsidRDefault="00FE18AC">
      <w:pPr>
        <w:pStyle w:val="Heading1"/>
        <w:tabs>
          <w:tab w:val="clear" w:pos="720"/>
        </w:tabs>
        <w:overflowPunct w:val="0"/>
        <w:autoSpaceDE w:val="0"/>
        <w:autoSpaceDN w:val="0"/>
        <w:spacing w:after="120"/>
        <w:textAlignment w:val="baseline"/>
        <w:rPr>
          <w:szCs w:val="22"/>
        </w:rPr>
      </w:pPr>
      <w:bookmarkStart w:id="8" w:name="_Toc479696415"/>
      <w:r w:rsidRPr="00953127">
        <w:rPr>
          <w:szCs w:val="22"/>
        </w:rPr>
        <w:t>BACKGROUND TO THE CONTRACTING aUTHORITY</w:t>
      </w:r>
      <w:bookmarkEnd w:id="4"/>
      <w:bookmarkEnd w:id="8"/>
    </w:p>
    <w:p w14:paraId="21737F6C" w14:textId="2FC017BF" w:rsidR="00C8073A" w:rsidRPr="00066CB6" w:rsidRDefault="00066CB6" w:rsidP="009C7A14">
      <w:pPr>
        <w:pStyle w:val="Heading2"/>
        <w:tabs>
          <w:tab w:val="clear" w:pos="1287"/>
          <w:tab w:val="num" w:pos="709"/>
        </w:tabs>
        <w:ind w:left="709" w:hanging="709"/>
      </w:pPr>
      <w:bookmarkStart w:id="9" w:name="_Toc368573029"/>
      <w:r w:rsidRPr="00066CB6">
        <w:t xml:space="preserve">The NIC is an independent body which was set up on 5 October 2015, with the aim to strategically review the UK’s future needs for national significant civil infrastructure. It helps to maintain UK’s competitiveness amongst the G20 nations and provide greater certainty for investors by taking a long term approach to the major investment decisions facing the country. </w:t>
      </w:r>
    </w:p>
    <w:p w14:paraId="30204ABB" w14:textId="77777777" w:rsidR="00FE18AC" w:rsidRPr="00953127" w:rsidRDefault="00FE18AC" w:rsidP="008F3470">
      <w:pPr>
        <w:pStyle w:val="Heading1"/>
        <w:tabs>
          <w:tab w:val="clear" w:pos="720"/>
        </w:tabs>
        <w:overflowPunct w:val="0"/>
        <w:autoSpaceDE w:val="0"/>
        <w:autoSpaceDN w:val="0"/>
        <w:spacing w:after="120"/>
        <w:textAlignment w:val="baseline"/>
        <w:rPr>
          <w:szCs w:val="22"/>
        </w:rPr>
      </w:pPr>
      <w:bookmarkStart w:id="10" w:name="_Toc479696416"/>
      <w:r w:rsidRPr="00953127">
        <w:rPr>
          <w:szCs w:val="22"/>
        </w:rPr>
        <w:t>Background to requirement/OVERVIEW</w:t>
      </w:r>
      <w:bookmarkEnd w:id="5"/>
      <w:r w:rsidRPr="00953127">
        <w:rPr>
          <w:szCs w:val="22"/>
        </w:rPr>
        <w:t xml:space="preserve"> of requirement</w:t>
      </w:r>
      <w:bookmarkEnd w:id="9"/>
      <w:bookmarkEnd w:id="10"/>
    </w:p>
    <w:p w14:paraId="510E33B2" w14:textId="77777777" w:rsidR="00C8073A" w:rsidRPr="00953127" w:rsidRDefault="00C8073A" w:rsidP="00C8073A">
      <w:pPr>
        <w:pStyle w:val="Heading2"/>
        <w:tabs>
          <w:tab w:val="clear" w:pos="1287"/>
          <w:tab w:val="num" w:pos="709"/>
        </w:tabs>
        <w:ind w:left="709" w:hanging="709"/>
      </w:pPr>
      <w:bookmarkStart w:id="11" w:name="_Toc297554774"/>
      <w:bookmarkStart w:id="12" w:name="_Toc368573030"/>
      <w:bookmarkEnd w:id="6"/>
      <w:r w:rsidRPr="00953127">
        <w:t>The NIC will deliver a long-term plan and assessment of national infrastructure needs early in each parliament, setting out what a government is expected to do over the next five years. It will be overseen by a small board, appointed by the Chancellor, and able to commission research and call for evidence from public sector bodies and private sector experts.</w:t>
      </w:r>
    </w:p>
    <w:p w14:paraId="61DFBF99" w14:textId="098DA73D" w:rsidR="008658DA" w:rsidRPr="00953127" w:rsidRDefault="008658DA" w:rsidP="003E25C9">
      <w:pPr>
        <w:pStyle w:val="Heading2"/>
        <w:tabs>
          <w:tab w:val="clear" w:pos="1287"/>
          <w:tab w:val="num" w:pos="709"/>
        </w:tabs>
        <w:ind w:left="709" w:hanging="709"/>
      </w:pPr>
      <w:r w:rsidRPr="00953127">
        <w:t>The Commission has begun work on a national infrastructure assessment, looking ahead to</w:t>
      </w:r>
      <w:r w:rsidR="00066CB6">
        <w:t xml:space="preserve"> the </w:t>
      </w:r>
      <w:r w:rsidRPr="00953127">
        <w:t>requirements for the next 30 years. Alongside that, the Commission will carry out specific studies on pressing national infrastructure challenges in order to support the long term competitiveness of the UK economy.</w:t>
      </w:r>
    </w:p>
    <w:p w14:paraId="5FC63E5A" w14:textId="77777777" w:rsidR="00861AE9" w:rsidRPr="00953127" w:rsidRDefault="008149A8" w:rsidP="003E25C9">
      <w:pPr>
        <w:pStyle w:val="Heading2"/>
        <w:tabs>
          <w:tab w:val="clear" w:pos="1287"/>
          <w:tab w:val="num" w:pos="709"/>
        </w:tabs>
        <w:spacing w:after="120"/>
        <w:ind w:left="709" w:hanging="709"/>
      </w:pPr>
      <w:r w:rsidRPr="00953127">
        <w:t>In March</w:t>
      </w:r>
      <w:r w:rsidR="00C35DED" w:rsidRPr="00953127">
        <w:t xml:space="preserve"> 2016</w:t>
      </w:r>
      <w:r w:rsidR="00D82BD6" w:rsidRPr="00953127">
        <w:t>,</w:t>
      </w:r>
      <w:r w:rsidRPr="00953127">
        <w:t xml:space="preserve"> the Chancellor of the Exchequer asked the Commission to</w:t>
      </w:r>
      <w:r w:rsidR="00861AE9" w:rsidRPr="00953127">
        <w:t>:</w:t>
      </w:r>
    </w:p>
    <w:p w14:paraId="5352E081" w14:textId="77777777" w:rsidR="0096785E" w:rsidRPr="00953127" w:rsidRDefault="008149A8" w:rsidP="003E25C9">
      <w:pPr>
        <w:pStyle w:val="Heading2"/>
        <w:numPr>
          <w:ilvl w:val="0"/>
          <w:numId w:val="0"/>
        </w:numPr>
        <w:tabs>
          <w:tab w:val="num" w:pos="709"/>
        </w:tabs>
        <w:ind w:left="709" w:right="98" w:hanging="142"/>
      </w:pPr>
      <w:r w:rsidRPr="00953127">
        <w:t xml:space="preserve"> “</w:t>
      </w:r>
      <w:proofErr w:type="gramStart"/>
      <w:r w:rsidRPr="00953127">
        <w:rPr>
          <w:i/>
        </w:rPr>
        <w:t>make</w:t>
      </w:r>
      <w:proofErr w:type="gramEnd"/>
      <w:r w:rsidRPr="00953127">
        <w:rPr>
          <w:i/>
        </w:rPr>
        <w:t xml:space="preserve"> recommendations to maximize the potential of the Cambridge – Milton Keynes – Oxford corridor as a single, knowledge intensive cluster that competes on the global stage, whilst protecting the area’s high quality environment and securing the homes and jobs the area needs. The commission will look at the priority infrastructure improvements needed and assess the economic case for which investments would generate the most growth.”</w:t>
      </w:r>
    </w:p>
    <w:p w14:paraId="2D7B9E97" w14:textId="77777777" w:rsidR="00693F15" w:rsidRPr="00953127" w:rsidRDefault="00693F15" w:rsidP="003E25C9">
      <w:pPr>
        <w:pStyle w:val="Heading2"/>
        <w:tabs>
          <w:tab w:val="clear" w:pos="1287"/>
          <w:tab w:val="num" w:pos="709"/>
        </w:tabs>
        <w:ind w:left="709" w:hanging="709"/>
      </w:pPr>
      <w:r w:rsidRPr="00953127">
        <w:t>In November 2016, the NIC published its interim report on the Cambridge – Milton Keynes – Oxford Corridor.  This</w:t>
      </w:r>
      <w:r w:rsidR="00C35DED" w:rsidRPr="00953127">
        <w:t xml:space="preserve"> report concluded</w:t>
      </w:r>
      <w:r w:rsidRPr="00953127">
        <w:t xml:space="preserve"> that: </w:t>
      </w:r>
    </w:p>
    <w:p w14:paraId="7A7FC5A4" w14:textId="77777777" w:rsidR="00693F15" w:rsidRPr="00953127" w:rsidRDefault="00693F15" w:rsidP="003E25C9">
      <w:pPr>
        <w:pStyle w:val="ListParagraph"/>
        <w:tabs>
          <w:tab w:val="num" w:pos="709"/>
        </w:tabs>
        <w:autoSpaceDE w:val="0"/>
        <w:autoSpaceDN w:val="0"/>
        <w:adjustRightInd w:val="0"/>
        <w:ind w:left="709"/>
        <w:jc w:val="both"/>
        <w:rPr>
          <w:rFonts w:eastAsia="Times New Roman" w:cs="Arial"/>
          <w:i/>
          <w:color w:val="0B0C0C"/>
          <w:szCs w:val="22"/>
          <w:lang w:eastAsia="en-GB"/>
        </w:rPr>
      </w:pPr>
      <w:r w:rsidRPr="00953127">
        <w:rPr>
          <w:rFonts w:eastAsia="Times New Roman" w:cs="Arial"/>
          <w:i/>
          <w:color w:val="0B0C0C"/>
          <w:szCs w:val="22"/>
          <w:lang w:eastAsia="en-GB"/>
        </w:rPr>
        <w:lastRenderedPageBreak/>
        <w:t>“The corridor connecting Cambridge, Milton Keynes and Oxford could be the UK’s Silicon Valley – a world renowned centre for science, technology and innovation. But its future success is not guaranteed...</w:t>
      </w:r>
    </w:p>
    <w:p w14:paraId="12CE2D07" w14:textId="77777777" w:rsidR="00693F15" w:rsidRPr="00953127" w:rsidRDefault="00693F15" w:rsidP="003E25C9">
      <w:pPr>
        <w:tabs>
          <w:tab w:val="num" w:pos="709"/>
        </w:tabs>
        <w:autoSpaceDE w:val="0"/>
        <w:autoSpaceDN w:val="0"/>
        <w:adjustRightInd w:val="0"/>
        <w:ind w:left="709"/>
        <w:jc w:val="both"/>
        <w:rPr>
          <w:rFonts w:eastAsia="Times New Roman" w:cs="Arial"/>
          <w:i/>
          <w:color w:val="0B0C0C"/>
          <w:szCs w:val="22"/>
          <w:lang w:eastAsia="en-GB"/>
        </w:rPr>
      </w:pPr>
    </w:p>
    <w:p w14:paraId="0AA2102E" w14:textId="77777777" w:rsidR="00693F15" w:rsidRPr="00953127" w:rsidRDefault="00693F15" w:rsidP="003E25C9">
      <w:pPr>
        <w:tabs>
          <w:tab w:val="num" w:pos="709"/>
        </w:tabs>
        <w:autoSpaceDE w:val="0"/>
        <w:autoSpaceDN w:val="0"/>
        <w:adjustRightInd w:val="0"/>
        <w:ind w:left="709"/>
        <w:jc w:val="both"/>
        <w:rPr>
          <w:rFonts w:eastAsia="Times New Roman" w:cs="Arial"/>
          <w:i/>
          <w:color w:val="0B0C0C"/>
          <w:szCs w:val="22"/>
          <w:lang w:eastAsia="en-GB"/>
        </w:rPr>
      </w:pPr>
      <w:r w:rsidRPr="00953127">
        <w:rPr>
          <w:rFonts w:eastAsia="Times New Roman" w:cs="Arial"/>
          <w:i/>
          <w:color w:val="0B0C0C"/>
          <w:szCs w:val="22"/>
          <w:lang w:eastAsia="en-GB"/>
        </w:rPr>
        <w:t>The corridor faces a chronic undersupply of homes made worse by poor east-west transport connectivity. Two of the least affordable cities in the UK lie within the corridor, and the area as a whole has consistently failed to build the number of homes it needs.  That shortage puts sustained growth at risk. It is already increasing costs for businesses and diminishing their ability to attract employees at all levels…</w:t>
      </w:r>
    </w:p>
    <w:p w14:paraId="065375C1" w14:textId="77777777" w:rsidR="00693F15" w:rsidRPr="00953127" w:rsidRDefault="00693F15" w:rsidP="003E25C9">
      <w:pPr>
        <w:tabs>
          <w:tab w:val="num" w:pos="709"/>
        </w:tabs>
        <w:autoSpaceDE w:val="0"/>
        <w:autoSpaceDN w:val="0"/>
        <w:adjustRightInd w:val="0"/>
        <w:ind w:left="709"/>
        <w:jc w:val="both"/>
        <w:rPr>
          <w:rFonts w:eastAsia="Times New Roman" w:cs="Arial"/>
          <w:i/>
          <w:color w:val="0B0C0C"/>
          <w:szCs w:val="22"/>
          <w:lang w:eastAsia="en-GB"/>
        </w:rPr>
      </w:pPr>
    </w:p>
    <w:p w14:paraId="4AD913B3" w14:textId="77777777" w:rsidR="00693F15" w:rsidRDefault="00693F15" w:rsidP="003000F4">
      <w:pPr>
        <w:tabs>
          <w:tab w:val="num" w:pos="709"/>
        </w:tabs>
        <w:autoSpaceDE w:val="0"/>
        <w:autoSpaceDN w:val="0"/>
        <w:adjustRightInd w:val="0"/>
        <w:ind w:left="709"/>
        <w:jc w:val="both"/>
        <w:rPr>
          <w:rFonts w:eastAsia="Times New Roman" w:cs="Arial"/>
          <w:i/>
          <w:color w:val="0B0C0C"/>
          <w:szCs w:val="22"/>
          <w:lang w:eastAsia="en-GB"/>
        </w:rPr>
      </w:pPr>
      <w:r w:rsidRPr="00953127">
        <w:rPr>
          <w:rFonts w:eastAsia="Times New Roman" w:cs="Arial"/>
          <w:i/>
          <w:color w:val="0B0C0C"/>
          <w:szCs w:val="22"/>
          <w:lang w:eastAsia="en-GB"/>
        </w:rPr>
        <w:t>Investment in infrastructure, including enhanced east-west transport links, can help to address these challenges, but it must be properly aligned with a strategy for new jobs, homes and communities, not developed in isolation. This means local authorities working in partnership, and with government, to plan places, homes and transport together. Current governance mechanisms are not sufficient to deliver the step-change in strategic leadership and collaboration needed.”</w:t>
      </w:r>
    </w:p>
    <w:p w14:paraId="04D5A8C6" w14:textId="77777777" w:rsidR="003000F4" w:rsidRPr="00953127" w:rsidRDefault="003000F4" w:rsidP="003000F4">
      <w:pPr>
        <w:tabs>
          <w:tab w:val="num" w:pos="709"/>
        </w:tabs>
        <w:autoSpaceDE w:val="0"/>
        <w:autoSpaceDN w:val="0"/>
        <w:adjustRightInd w:val="0"/>
        <w:ind w:left="709"/>
        <w:jc w:val="both"/>
        <w:rPr>
          <w:rFonts w:eastAsia="Times New Roman" w:cs="Arial"/>
          <w:i/>
          <w:color w:val="0B0C0C"/>
          <w:szCs w:val="22"/>
          <w:lang w:eastAsia="en-GB"/>
        </w:rPr>
      </w:pPr>
    </w:p>
    <w:p w14:paraId="13B8793E" w14:textId="77777777" w:rsidR="00F269A6" w:rsidRPr="00953127" w:rsidRDefault="00F269A6" w:rsidP="003E25C9">
      <w:pPr>
        <w:pStyle w:val="Heading2"/>
        <w:tabs>
          <w:tab w:val="clear" w:pos="1287"/>
          <w:tab w:val="num" w:pos="709"/>
        </w:tabs>
        <w:ind w:left="709" w:hanging="709"/>
      </w:pPr>
      <w:r w:rsidRPr="00953127">
        <w:t xml:space="preserve">Bidders should read the NIC’s </w:t>
      </w:r>
      <w:hyperlink r:id="rId12" w:history="1">
        <w:r w:rsidRPr="00953127">
          <w:rPr>
            <w:rStyle w:val="Hyperlink"/>
          </w:rPr>
          <w:t>full interim report and recommendations</w:t>
        </w:r>
      </w:hyperlink>
      <w:r w:rsidRPr="00953127">
        <w:t xml:space="preserve"> and detailed </w:t>
      </w:r>
      <w:hyperlink r:id="rId13" w:history="1">
        <w:r w:rsidRPr="00953127">
          <w:rPr>
            <w:rStyle w:val="Hyperlink"/>
          </w:rPr>
          <w:t>Terms of Reference</w:t>
        </w:r>
      </w:hyperlink>
      <w:r w:rsidRPr="00953127">
        <w:t xml:space="preserve"> for the study in order to understand the broader context for this requirement and inform their response.</w:t>
      </w:r>
    </w:p>
    <w:p w14:paraId="270FF3AD" w14:textId="0942BF9D" w:rsidR="0096785E" w:rsidRPr="00953127" w:rsidRDefault="00861AE9" w:rsidP="003E25C9">
      <w:pPr>
        <w:pStyle w:val="Heading2"/>
        <w:tabs>
          <w:tab w:val="clear" w:pos="1287"/>
          <w:tab w:val="num" w:pos="709"/>
        </w:tabs>
        <w:ind w:left="709" w:hanging="709"/>
      </w:pPr>
      <w:r w:rsidRPr="00953127">
        <w:t>The Commission will publish</w:t>
      </w:r>
      <w:r w:rsidR="00D97F57" w:rsidRPr="00953127">
        <w:t xml:space="preserve"> </w:t>
      </w:r>
      <w:r w:rsidR="00C35DED" w:rsidRPr="00953127">
        <w:rPr>
          <w:b/>
        </w:rPr>
        <w:t>a final report in October</w:t>
      </w:r>
      <w:r w:rsidR="00D97F57" w:rsidRPr="00953127">
        <w:rPr>
          <w:b/>
        </w:rPr>
        <w:t xml:space="preserve"> 2017 </w:t>
      </w:r>
      <w:r w:rsidR="00D97F57" w:rsidRPr="00953127">
        <w:t xml:space="preserve">that </w:t>
      </w:r>
      <w:r w:rsidR="00347B54">
        <w:t xml:space="preserve">will </w:t>
      </w:r>
      <w:r w:rsidR="00D97F57" w:rsidRPr="00953127">
        <w:t>provide recommendations to boost connectivity, growth, jobs, housing, sustainability, local governance and a framework to m</w:t>
      </w:r>
      <w:r w:rsidR="00F269A6" w:rsidRPr="00953127">
        <w:t xml:space="preserve">easure the impact of investment. Design is critical </w:t>
      </w:r>
      <w:r w:rsidR="00347B54">
        <w:t>in</w:t>
      </w:r>
      <w:r w:rsidR="00F269A6" w:rsidRPr="00953127">
        <w:t xml:space="preserve"> ensuring that the impacts of new infrastructure are maximised</w:t>
      </w:r>
      <w:r w:rsidR="00347B54">
        <w:t>,</w:t>
      </w:r>
      <w:r w:rsidR="00F269A6" w:rsidRPr="00953127">
        <w:t xml:space="preserve"> while ensuring that interventions are of a high quality </w:t>
      </w:r>
      <w:r w:rsidR="00347B54">
        <w:t xml:space="preserve">standard </w:t>
      </w:r>
      <w:r w:rsidR="00F269A6" w:rsidRPr="00953127">
        <w:t xml:space="preserve">which complements the character of the corridor, maintaining and/or protecting the </w:t>
      </w:r>
      <w:proofErr w:type="gramStart"/>
      <w:r w:rsidR="00F269A6" w:rsidRPr="00953127">
        <w:t>area’s</w:t>
      </w:r>
      <w:proofErr w:type="gramEnd"/>
      <w:r w:rsidR="00F269A6" w:rsidRPr="00953127">
        <w:t xml:space="preserve"> environmental and cultural assets (including the Green Belt).</w:t>
      </w:r>
    </w:p>
    <w:p w14:paraId="2A03F782" w14:textId="608BD3E7" w:rsidR="0043003F" w:rsidRPr="00953127" w:rsidRDefault="00AC01BA" w:rsidP="009C7A14">
      <w:pPr>
        <w:pStyle w:val="Heading2"/>
        <w:tabs>
          <w:tab w:val="clear" w:pos="1287"/>
          <w:tab w:val="num" w:pos="709"/>
        </w:tabs>
        <w:ind w:left="720"/>
      </w:pPr>
      <w:r w:rsidRPr="00953127">
        <w:t xml:space="preserve">In addition to this work and to support its objectives the NIC has recently tendered for consultancy advice on </w:t>
      </w:r>
      <w:r w:rsidR="00C35DED" w:rsidRPr="00953127">
        <w:t>the built environment</w:t>
      </w:r>
      <w:r w:rsidR="00F269A6" w:rsidRPr="00953127">
        <w:t xml:space="preserve">, securing the support of </w:t>
      </w:r>
      <w:r w:rsidR="001E70A7">
        <w:t>a specialist architect firm</w:t>
      </w:r>
      <w:r w:rsidR="00C35DED" w:rsidRPr="00953127">
        <w:t xml:space="preserve">. </w:t>
      </w:r>
      <w:r w:rsidR="001E70A7">
        <w:t>They are</w:t>
      </w:r>
      <w:r w:rsidR="00F269A6" w:rsidRPr="00953127">
        <w:t xml:space="preserve"> </w:t>
      </w:r>
      <w:r w:rsidR="002911D2" w:rsidRPr="00953127">
        <w:t>examining, the potential development typologies which could meet the future needs of the corridor and how to maximise the benefits from the delivery of new infrastructure to create high quality places in which people want to live and work.</w:t>
      </w:r>
    </w:p>
    <w:p w14:paraId="753B10E3" w14:textId="77777777" w:rsidR="00861AE9" w:rsidRPr="00953127" w:rsidRDefault="004E4FA3" w:rsidP="00516014">
      <w:pPr>
        <w:pStyle w:val="Heading1"/>
      </w:pPr>
      <w:bookmarkStart w:id="13" w:name="_Toc479696417"/>
      <w:r w:rsidRPr="00953127">
        <w:t>DEFINITIONS</w:t>
      </w:r>
      <w:bookmarkEnd w:id="13"/>
    </w:p>
    <w:p w14:paraId="7603CC6C" w14:textId="77777777" w:rsidR="00C4233A" w:rsidRPr="00953127" w:rsidRDefault="0096785E" w:rsidP="0096785E">
      <w:pPr>
        <w:pStyle w:val="Heading2"/>
        <w:spacing w:after="120"/>
        <w:ind w:left="709" w:hanging="709"/>
        <w:rPr>
          <w:szCs w:val="22"/>
        </w:rPr>
      </w:pPr>
      <w:r w:rsidRPr="00953127">
        <w:rPr>
          <w:b/>
          <w:szCs w:val="22"/>
        </w:rPr>
        <w:t>D</w:t>
      </w:r>
      <w:r w:rsidR="00106F24" w:rsidRPr="00953127">
        <w:rPr>
          <w:b/>
          <w:szCs w:val="22"/>
        </w:rPr>
        <w:t>efinitions</w:t>
      </w:r>
      <w:r w:rsidRPr="00953127">
        <w:rPr>
          <w:szCs w:val="22"/>
        </w:rPr>
        <w:t>:</w:t>
      </w:r>
    </w:p>
    <w:tbl>
      <w:tblPr>
        <w:tblStyle w:val="TableGrid"/>
        <w:tblW w:w="0" w:type="auto"/>
        <w:tblInd w:w="720" w:type="dxa"/>
        <w:tblLook w:val="04A0" w:firstRow="1" w:lastRow="0" w:firstColumn="1" w:lastColumn="0" w:noHBand="0" w:noVBand="1"/>
      </w:tblPr>
      <w:tblGrid>
        <w:gridCol w:w="1841"/>
        <w:gridCol w:w="6458"/>
      </w:tblGrid>
      <w:tr w:rsidR="00106F24" w:rsidRPr="00953127" w14:paraId="72D5CE65" w14:textId="77777777" w:rsidTr="0096785E">
        <w:tc>
          <w:tcPr>
            <w:tcW w:w="1841" w:type="dxa"/>
            <w:shd w:val="clear" w:color="auto" w:fill="C6D9F1" w:themeFill="text2" w:themeFillTint="33"/>
          </w:tcPr>
          <w:p w14:paraId="0AC64419" w14:textId="77777777" w:rsidR="00106F24" w:rsidRPr="00953127" w:rsidRDefault="00106F24" w:rsidP="0081061A">
            <w:pPr>
              <w:pStyle w:val="Heading2"/>
              <w:numPr>
                <w:ilvl w:val="0"/>
                <w:numId w:val="0"/>
              </w:numPr>
              <w:spacing w:after="120"/>
              <w:ind w:left="18" w:hanging="18"/>
              <w:jc w:val="left"/>
              <w:outlineLvl w:val="1"/>
            </w:pPr>
            <w:r w:rsidRPr="00953127">
              <w:t>Expression</w:t>
            </w:r>
            <w:r w:rsidR="0081061A" w:rsidRPr="00953127">
              <w:t xml:space="preserve"> or </w:t>
            </w:r>
            <w:r w:rsidRPr="00953127">
              <w:t>Acronym</w:t>
            </w:r>
          </w:p>
        </w:tc>
        <w:tc>
          <w:tcPr>
            <w:tcW w:w="6458" w:type="dxa"/>
            <w:shd w:val="clear" w:color="auto" w:fill="C6D9F1" w:themeFill="text2" w:themeFillTint="33"/>
          </w:tcPr>
          <w:p w14:paraId="732F261B" w14:textId="77777777" w:rsidR="00106F24" w:rsidRPr="00953127" w:rsidRDefault="00106F24" w:rsidP="0081061A">
            <w:pPr>
              <w:pStyle w:val="Heading2"/>
              <w:numPr>
                <w:ilvl w:val="0"/>
                <w:numId w:val="0"/>
              </w:numPr>
              <w:spacing w:after="120"/>
              <w:ind w:left="720" w:hanging="720"/>
              <w:outlineLvl w:val="1"/>
            </w:pPr>
            <w:r w:rsidRPr="00953127">
              <w:t>Definition</w:t>
            </w:r>
          </w:p>
        </w:tc>
      </w:tr>
      <w:tr w:rsidR="00106F24" w:rsidRPr="00953127" w14:paraId="7BF42619" w14:textId="77777777" w:rsidTr="0096785E">
        <w:tc>
          <w:tcPr>
            <w:tcW w:w="1841" w:type="dxa"/>
          </w:tcPr>
          <w:p w14:paraId="0F5BEACF" w14:textId="77777777" w:rsidR="00106F24" w:rsidRPr="00953127" w:rsidRDefault="00EB5BA4" w:rsidP="0081061A">
            <w:pPr>
              <w:pStyle w:val="Heading2"/>
              <w:numPr>
                <w:ilvl w:val="0"/>
                <w:numId w:val="0"/>
              </w:numPr>
              <w:spacing w:after="120"/>
              <w:ind w:left="720" w:hanging="720"/>
              <w:outlineLvl w:val="1"/>
            </w:pPr>
            <w:r w:rsidRPr="00953127">
              <w:t>Corridor</w:t>
            </w:r>
          </w:p>
        </w:tc>
        <w:tc>
          <w:tcPr>
            <w:tcW w:w="6458" w:type="dxa"/>
          </w:tcPr>
          <w:p w14:paraId="544BD340" w14:textId="77777777" w:rsidR="00106F24" w:rsidRPr="00953127" w:rsidRDefault="00005DF9" w:rsidP="00634283">
            <w:pPr>
              <w:pStyle w:val="Heading2"/>
              <w:numPr>
                <w:ilvl w:val="0"/>
                <w:numId w:val="0"/>
              </w:numPr>
              <w:spacing w:after="120"/>
              <w:outlineLvl w:val="1"/>
            </w:pPr>
            <w:r w:rsidRPr="00953127">
              <w:t>Towns</w:t>
            </w:r>
            <w:r w:rsidR="009E20E1" w:rsidRPr="00953127">
              <w:t>,</w:t>
            </w:r>
            <w:r w:rsidR="00861AE9" w:rsidRPr="00953127">
              <w:t xml:space="preserve"> cities </w:t>
            </w:r>
            <w:r w:rsidR="009E169B" w:rsidRPr="00953127">
              <w:t xml:space="preserve">and their hinterlands </w:t>
            </w:r>
            <w:r w:rsidR="009E20E1" w:rsidRPr="00953127">
              <w:t>referred to in the terms of reference</w:t>
            </w:r>
            <w:r w:rsidR="00F14FA8" w:rsidRPr="00953127">
              <w:t>, including</w:t>
            </w:r>
            <w:r w:rsidR="009E169B" w:rsidRPr="00953127">
              <w:t xml:space="preserve"> key </w:t>
            </w:r>
            <w:r w:rsidR="009E20E1" w:rsidRPr="00953127">
              <w:t xml:space="preserve">economic </w:t>
            </w:r>
            <w:r w:rsidR="00F14FA8" w:rsidRPr="00953127">
              <w:t>relationships with</w:t>
            </w:r>
            <w:r w:rsidR="009E20E1" w:rsidRPr="00953127">
              <w:t xml:space="preserve"> </w:t>
            </w:r>
            <w:r w:rsidR="00861AE9" w:rsidRPr="00953127">
              <w:t xml:space="preserve">surrounding </w:t>
            </w:r>
            <w:r w:rsidR="00634283" w:rsidRPr="00953127">
              <w:t>places</w:t>
            </w:r>
            <w:r w:rsidRPr="00953127">
              <w:t>.</w:t>
            </w:r>
          </w:p>
        </w:tc>
      </w:tr>
      <w:tr w:rsidR="00657AFA" w:rsidRPr="00953127" w14:paraId="4C7A21D6" w14:textId="77777777" w:rsidTr="0096785E">
        <w:tc>
          <w:tcPr>
            <w:tcW w:w="1841" w:type="dxa"/>
          </w:tcPr>
          <w:p w14:paraId="606683D7" w14:textId="77777777" w:rsidR="00657AFA" w:rsidRPr="00953127" w:rsidRDefault="00657AFA" w:rsidP="0081061A">
            <w:pPr>
              <w:pStyle w:val="Heading2"/>
              <w:numPr>
                <w:ilvl w:val="0"/>
                <w:numId w:val="0"/>
              </w:numPr>
              <w:spacing w:after="120"/>
              <w:ind w:left="720" w:hanging="720"/>
              <w:outlineLvl w:val="1"/>
            </w:pPr>
            <w:r w:rsidRPr="00953127">
              <w:t>Commission</w:t>
            </w:r>
          </w:p>
        </w:tc>
        <w:tc>
          <w:tcPr>
            <w:tcW w:w="6458" w:type="dxa"/>
          </w:tcPr>
          <w:p w14:paraId="57DCCB8F" w14:textId="77777777" w:rsidR="00657AFA" w:rsidRPr="00953127" w:rsidRDefault="009C1517" w:rsidP="00634283">
            <w:pPr>
              <w:pStyle w:val="Heading2"/>
              <w:numPr>
                <w:ilvl w:val="0"/>
                <w:numId w:val="0"/>
              </w:numPr>
              <w:spacing w:after="120"/>
              <w:outlineLvl w:val="1"/>
            </w:pPr>
            <w:r w:rsidRPr="00953127">
              <w:t>Refers</w:t>
            </w:r>
            <w:r w:rsidR="00657AFA" w:rsidRPr="00953127">
              <w:t xml:space="preserve"> to the National Infrastructure Commission </w:t>
            </w:r>
            <w:r w:rsidRPr="00953127">
              <w:t>(</w:t>
            </w:r>
            <w:r w:rsidR="00657AFA" w:rsidRPr="00953127">
              <w:t>NIC</w:t>
            </w:r>
            <w:r w:rsidRPr="00953127">
              <w:t>)</w:t>
            </w:r>
            <w:r w:rsidR="00657AFA" w:rsidRPr="00953127">
              <w:t>.</w:t>
            </w:r>
          </w:p>
        </w:tc>
      </w:tr>
    </w:tbl>
    <w:p w14:paraId="0470F65F" w14:textId="77777777" w:rsidR="00671798" w:rsidRPr="00953127" w:rsidRDefault="00FE18AC" w:rsidP="00106F24">
      <w:pPr>
        <w:pStyle w:val="Heading1"/>
        <w:tabs>
          <w:tab w:val="clear" w:pos="720"/>
        </w:tabs>
        <w:overflowPunct w:val="0"/>
        <w:autoSpaceDE w:val="0"/>
        <w:autoSpaceDN w:val="0"/>
        <w:spacing w:before="240" w:after="120"/>
        <w:textAlignment w:val="baseline"/>
        <w:rPr>
          <w:szCs w:val="22"/>
        </w:rPr>
      </w:pPr>
      <w:bookmarkStart w:id="14" w:name="_Toc479696418"/>
      <w:r w:rsidRPr="00953127">
        <w:rPr>
          <w:szCs w:val="22"/>
        </w:rPr>
        <w:lastRenderedPageBreak/>
        <w:t>scope of requirement</w:t>
      </w:r>
      <w:bookmarkEnd w:id="11"/>
      <w:bookmarkEnd w:id="12"/>
      <w:bookmarkEnd w:id="14"/>
    </w:p>
    <w:p w14:paraId="7CA85600" w14:textId="0C1EC7F6" w:rsidR="00AE54CA" w:rsidRPr="00953127" w:rsidRDefault="00AA7378" w:rsidP="00BF595E">
      <w:pPr>
        <w:pStyle w:val="Heading2"/>
        <w:tabs>
          <w:tab w:val="clear" w:pos="1287"/>
          <w:tab w:val="num" w:pos="709"/>
        </w:tabs>
        <w:ind w:left="709" w:hanging="709"/>
      </w:pPr>
      <w:bookmarkStart w:id="15" w:name="_Toc368573031"/>
      <w:bookmarkEnd w:id="7"/>
      <w:r w:rsidRPr="00953127">
        <w:t xml:space="preserve">The scope of the requirement is to appoint a suitably experienced supplier to undertake </w:t>
      </w:r>
      <w:r w:rsidR="000E0400" w:rsidRPr="00953127">
        <w:t xml:space="preserve">a piece of research examining </w:t>
      </w:r>
      <w:r w:rsidR="00C146EE" w:rsidRPr="00953127">
        <w:t>how infrastructure issues affect</w:t>
      </w:r>
      <w:r w:rsidR="000E0400" w:rsidRPr="00953127">
        <w:t xml:space="preserve"> the planning and delivery of housing and commercial development</w:t>
      </w:r>
      <w:r w:rsidR="004F07FC">
        <w:t>s</w:t>
      </w:r>
      <w:r w:rsidR="000E0400" w:rsidRPr="00953127">
        <w:t xml:space="preserve"> within the Camb</w:t>
      </w:r>
      <w:r w:rsidR="00795048" w:rsidRPr="00953127">
        <w:t>ridge – Milton Keynes – Oxford c</w:t>
      </w:r>
      <w:r w:rsidR="000E0400" w:rsidRPr="00953127">
        <w:t>orridor.</w:t>
      </w:r>
    </w:p>
    <w:p w14:paraId="60F846BE" w14:textId="77777777" w:rsidR="00AE54CA" w:rsidRPr="00953127" w:rsidRDefault="000E0400" w:rsidP="00BF595E">
      <w:pPr>
        <w:pStyle w:val="Heading2"/>
        <w:tabs>
          <w:tab w:val="clear" w:pos="1287"/>
          <w:tab w:val="num" w:pos="709"/>
        </w:tabs>
        <w:ind w:left="709" w:hanging="709"/>
      </w:pPr>
      <w:r w:rsidRPr="00953127">
        <w:t>There remains a substantial gap between planned and delivered levels of development</w:t>
      </w:r>
      <w:r w:rsidR="00795048" w:rsidRPr="00953127">
        <w:t xml:space="preserve"> in this corridor</w:t>
      </w:r>
      <w:r w:rsidRPr="00953127">
        <w:t xml:space="preserve">. </w:t>
      </w:r>
      <w:r w:rsidR="00AE54CA" w:rsidRPr="00953127">
        <w:t xml:space="preserve">This is a significant issue for the corridor’s future success – the </w:t>
      </w:r>
      <w:r w:rsidR="00795048" w:rsidRPr="00953127">
        <w:t>NIC’s interim report identified the need to address the corridor’s lack of sufficient and suitable housing</w:t>
      </w:r>
      <w:r w:rsidR="00AE54CA" w:rsidRPr="00953127">
        <w:t xml:space="preserve"> and the need for radical thinking to enable new and expand current settlements at the scale needed.  But plans for accelerated development will be of limited value if these cannot be delivered. </w:t>
      </w:r>
    </w:p>
    <w:p w14:paraId="2FBED3E5" w14:textId="77777777" w:rsidR="005B3533" w:rsidRPr="00953127" w:rsidRDefault="00AE54CA" w:rsidP="00BF595E">
      <w:pPr>
        <w:pStyle w:val="Heading2"/>
        <w:tabs>
          <w:tab w:val="clear" w:pos="1287"/>
          <w:tab w:val="num" w:pos="709"/>
        </w:tabs>
        <w:ind w:left="709" w:hanging="709"/>
      </w:pPr>
      <w:r w:rsidRPr="00953127">
        <w:t>The commission has, therefore, identified the need for research – impartial and evidence-based – to:</w:t>
      </w:r>
    </w:p>
    <w:p w14:paraId="46D3CF1C" w14:textId="3E964E8A" w:rsidR="005B3533" w:rsidRPr="00953127" w:rsidRDefault="00AE54CA" w:rsidP="00BF595E">
      <w:pPr>
        <w:pStyle w:val="Heading3"/>
        <w:tabs>
          <w:tab w:val="num" w:pos="1276"/>
        </w:tabs>
        <w:ind w:left="1276" w:hanging="425"/>
      </w:pPr>
      <w:proofErr w:type="gramStart"/>
      <w:r w:rsidRPr="00953127">
        <w:t>identify</w:t>
      </w:r>
      <w:proofErr w:type="gramEnd"/>
      <w:r w:rsidRPr="00953127">
        <w:t xml:space="preserve"> and examine barriers </w:t>
      </w:r>
      <w:r w:rsidR="00347B54">
        <w:t xml:space="preserve">that can effect </w:t>
      </w:r>
      <w:r w:rsidRPr="00953127">
        <w:t>delivery</w:t>
      </w:r>
      <w:r w:rsidR="00347B54">
        <w:t xml:space="preserve"> of developments </w:t>
      </w:r>
      <w:r w:rsidRPr="00953127">
        <w:t>within this corridor, exploring the extent to which the</w:t>
      </w:r>
      <w:r w:rsidR="004C6B6A">
        <w:t xml:space="preserve">y reflect the </w:t>
      </w:r>
      <w:r w:rsidRPr="00953127">
        <w:t>current approaches to infrastructure funding</w:t>
      </w:r>
      <w:r w:rsidR="003D3109" w:rsidRPr="00953127">
        <w:t>, planning</w:t>
      </w:r>
      <w:r w:rsidRPr="00953127">
        <w:t xml:space="preserve"> and development</w:t>
      </w:r>
      <w:r w:rsidR="004C6B6A">
        <w:t>.</w:t>
      </w:r>
    </w:p>
    <w:p w14:paraId="46BD339F" w14:textId="77777777" w:rsidR="000E0400" w:rsidRPr="00953127" w:rsidRDefault="005B3533" w:rsidP="00BF595E">
      <w:pPr>
        <w:pStyle w:val="Heading3"/>
        <w:tabs>
          <w:tab w:val="num" w:pos="1276"/>
        </w:tabs>
        <w:ind w:left="1276" w:hanging="425"/>
      </w:pPr>
      <w:proofErr w:type="gramStart"/>
      <w:r w:rsidRPr="00953127">
        <w:t>explore</w:t>
      </w:r>
      <w:proofErr w:type="gramEnd"/>
      <w:r w:rsidRPr="00953127">
        <w:t xml:space="preserve"> </w:t>
      </w:r>
      <w:r w:rsidR="00AE54CA" w:rsidRPr="00953127">
        <w:t xml:space="preserve">the extent to which these </w:t>
      </w:r>
      <w:r w:rsidRPr="00953127">
        <w:t xml:space="preserve">barriers </w:t>
      </w:r>
      <w:r w:rsidR="00AE54CA" w:rsidRPr="00953127">
        <w:t xml:space="preserve">can be </w:t>
      </w:r>
      <w:r w:rsidR="00C146EE" w:rsidRPr="00953127">
        <w:t>removed/</w:t>
      </w:r>
      <w:r w:rsidR="00166057" w:rsidRPr="00953127">
        <w:t xml:space="preserve">reduced </w:t>
      </w:r>
      <w:r w:rsidR="00C146EE" w:rsidRPr="00953127">
        <w:t xml:space="preserve">– whether through improvements in practice, or substantive changes in local and national policy </w:t>
      </w:r>
      <w:r w:rsidR="009E068D" w:rsidRPr="00953127">
        <w:t>frameworks; and</w:t>
      </w:r>
    </w:p>
    <w:p w14:paraId="63723B6B" w14:textId="77777777" w:rsidR="009E068D" w:rsidRPr="00953127" w:rsidRDefault="009E068D" w:rsidP="00BF595E">
      <w:pPr>
        <w:pStyle w:val="Heading3"/>
        <w:tabs>
          <w:tab w:val="num" w:pos="1276"/>
        </w:tabs>
        <w:ind w:left="1276" w:hanging="425"/>
      </w:pPr>
      <w:proofErr w:type="gramStart"/>
      <w:r w:rsidRPr="00953127">
        <w:t>identify</w:t>
      </w:r>
      <w:proofErr w:type="gramEnd"/>
      <w:r w:rsidRPr="00953127">
        <w:t xml:space="preserve"> and evaluate the most effective options for accelerating different types of development in different places. </w:t>
      </w:r>
    </w:p>
    <w:p w14:paraId="305E5DDA" w14:textId="77777777" w:rsidR="00080989" w:rsidRPr="00953127" w:rsidRDefault="00080989" w:rsidP="00BF595E">
      <w:pPr>
        <w:pStyle w:val="Heading2"/>
        <w:tabs>
          <w:tab w:val="clear" w:pos="1287"/>
          <w:tab w:val="num" w:pos="709"/>
        </w:tabs>
        <w:ind w:left="709" w:hanging="709"/>
      </w:pPr>
      <w:r w:rsidRPr="00953127">
        <w:t>The expected deliverables of this piece of research are</w:t>
      </w:r>
      <w:r w:rsidR="00A87253" w:rsidRPr="00953127">
        <w:t xml:space="preserve"> therefore</w:t>
      </w:r>
      <w:r w:rsidRPr="00953127">
        <w:t>:</w:t>
      </w:r>
    </w:p>
    <w:p w14:paraId="2F432FD7" w14:textId="77777777" w:rsidR="00080989" w:rsidRPr="00953127" w:rsidRDefault="00693924" w:rsidP="00BF595E">
      <w:pPr>
        <w:pStyle w:val="Heading3"/>
        <w:tabs>
          <w:tab w:val="num" w:pos="1276"/>
        </w:tabs>
        <w:ind w:left="1276" w:hanging="425"/>
      </w:pPr>
      <w:r w:rsidRPr="00953127">
        <w:t>A</w:t>
      </w:r>
      <w:r w:rsidR="00080989" w:rsidRPr="00953127">
        <w:t xml:space="preserve"> clear, concise, evidence-based, research report which </w:t>
      </w:r>
      <w:r w:rsidR="005B3533" w:rsidRPr="00953127">
        <w:t xml:space="preserve">quantifies the delivery challenge facing the corridor and </w:t>
      </w:r>
      <w:r w:rsidR="00080989" w:rsidRPr="00953127">
        <w:t>provides an assessment of the factors that stall or delay housing and commercial development</w:t>
      </w:r>
      <w:r w:rsidR="005B3533" w:rsidRPr="00953127">
        <w:t>.  This should include – but should not be limited to – analysis of infrastructure issues.  The report should present a clear narrative, but should draw on quantitative data wherever possible</w:t>
      </w:r>
      <w:r w:rsidR="00080989" w:rsidRPr="00953127">
        <w:t>;</w:t>
      </w:r>
    </w:p>
    <w:p w14:paraId="3F8F150F" w14:textId="7F7110D5" w:rsidR="00080989" w:rsidRPr="00953127" w:rsidRDefault="00080989" w:rsidP="00BF595E">
      <w:pPr>
        <w:pStyle w:val="Heading3"/>
        <w:tabs>
          <w:tab w:val="num" w:pos="1276"/>
        </w:tabs>
        <w:ind w:left="1276" w:hanging="425"/>
      </w:pPr>
      <w:r w:rsidRPr="00953127">
        <w:t xml:space="preserve">A full understanding of the policy levers available to </w:t>
      </w:r>
      <w:r w:rsidR="004C6B6A">
        <w:t xml:space="preserve">key stakeholders </w:t>
      </w:r>
      <w:r w:rsidRPr="00953127">
        <w:t>within the Cambridge – Milton Keynes – Oxford corridor seeking to ensure/accelerate delivery</w:t>
      </w:r>
      <w:r w:rsidR="00D754E9" w:rsidRPr="00953127">
        <w:t xml:space="preserve"> of housing and commercial developments</w:t>
      </w:r>
      <w:r w:rsidRPr="00953127">
        <w:t xml:space="preserve"> – what they are and when they might be deployed;</w:t>
      </w:r>
    </w:p>
    <w:p w14:paraId="6F27C500" w14:textId="2F9FA64E" w:rsidR="00080989" w:rsidRPr="00953127" w:rsidRDefault="00080989" w:rsidP="00BF595E">
      <w:pPr>
        <w:pStyle w:val="Heading3"/>
        <w:tabs>
          <w:tab w:val="num" w:pos="1276"/>
        </w:tabs>
        <w:ind w:left="1276" w:hanging="425"/>
      </w:pPr>
      <w:r w:rsidRPr="00953127">
        <w:t xml:space="preserve">An assessment of whether/how effectively these mechanisms are being used </w:t>
      </w:r>
      <w:r w:rsidR="004C6B6A">
        <w:t>with</w:t>
      </w:r>
      <w:r w:rsidRPr="00953127">
        <w:t>in the corridor;</w:t>
      </w:r>
    </w:p>
    <w:p w14:paraId="63BD880F" w14:textId="6A1E759F" w:rsidR="00080989" w:rsidRPr="00953127" w:rsidRDefault="00080989" w:rsidP="00BF595E">
      <w:pPr>
        <w:pStyle w:val="Heading3"/>
        <w:tabs>
          <w:tab w:val="num" w:pos="1276"/>
        </w:tabs>
        <w:ind w:left="1276" w:hanging="425"/>
      </w:pPr>
      <w:r w:rsidRPr="00953127">
        <w:t xml:space="preserve">An understanding of the policy options for strengthening the delivery of housing and commercial development </w:t>
      </w:r>
      <w:r w:rsidR="004C6B6A">
        <w:t>within</w:t>
      </w:r>
      <w:r w:rsidRPr="00953127">
        <w:t xml:space="preserve"> the corridor;</w:t>
      </w:r>
    </w:p>
    <w:p w14:paraId="79199969" w14:textId="77777777" w:rsidR="00080989" w:rsidRPr="00953127" w:rsidRDefault="00080989" w:rsidP="00BF595E">
      <w:pPr>
        <w:pStyle w:val="Heading3"/>
        <w:tabs>
          <w:tab w:val="num" w:pos="1276"/>
        </w:tabs>
        <w:ind w:left="1276" w:hanging="425"/>
      </w:pPr>
      <w:r w:rsidRPr="00953127">
        <w:t>A clear understanding of the potential impact of each of these measures, individually and cumulatively, if deployed within the corridor.</w:t>
      </w:r>
    </w:p>
    <w:p w14:paraId="661F5BE9" w14:textId="77777777" w:rsidR="00AC01BA" w:rsidRPr="00953127" w:rsidRDefault="00AC01BA" w:rsidP="00080989">
      <w:pPr>
        <w:pStyle w:val="Heading3"/>
        <w:numPr>
          <w:ilvl w:val="0"/>
          <w:numId w:val="0"/>
        </w:numPr>
        <w:spacing w:after="0"/>
        <w:ind w:left="1800" w:hanging="1080"/>
      </w:pPr>
    </w:p>
    <w:p w14:paraId="5C15E2C4" w14:textId="77777777" w:rsidR="00671798" w:rsidRPr="00953127" w:rsidRDefault="00FE18AC">
      <w:pPr>
        <w:pStyle w:val="Heading1"/>
        <w:spacing w:after="120"/>
      </w:pPr>
      <w:bookmarkStart w:id="16" w:name="_Toc479696419"/>
      <w:r w:rsidRPr="00953127">
        <w:t>The requirement</w:t>
      </w:r>
      <w:bookmarkEnd w:id="15"/>
      <w:bookmarkEnd w:id="16"/>
    </w:p>
    <w:p w14:paraId="4EA97356" w14:textId="77777777" w:rsidR="00FA296D" w:rsidRPr="00953127" w:rsidRDefault="00AC01BA" w:rsidP="00BF595E">
      <w:pPr>
        <w:pStyle w:val="Heading2"/>
        <w:tabs>
          <w:tab w:val="clear" w:pos="1287"/>
          <w:tab w:val="left" w:pos="709"/>
          <w:tab w:val="num" w:pos="851"/>
        </w:tabs>
        <w:ind w:left="709" w:hanging="709"/>
      </w:pPr>
      <w:r w:rsidRPr="00953127">
        <w:t>The</w:t>
      </w:r>
      <w:r w:rsidR="007F6E2C" w:rsidRPr="00953127">
        <w:t xml:space="preserve"> objectives of this piece of research are to provide the NIC with:</w:t>
      </w:r>
    </w:p>
    <w:p w14:paraId="55BA86ED" w14:textId="77777777" w:rsidR="008D30A3" w:rsidRPr="00953127" w:rsidRDefault="008D30A3" w:rsidP="00BF595E">
      <w:pPr>
        <w:pStyle w:val="Heading3"/>
        <w:numPr>
          <w:ilvl w:val="2"/>
          <w:numId w:val="23"/>
        </w:numPr>
        <w:tabs>
          <w:tab w:val="left" w:pos="1134"/>
        </w:tabs>
        <w:spacing w:after="0"/>
        <w:ind w:left="1134" w:hanging="425"/>
      </w:pPr>
      <w:r w:rsidRPr="00953127">
        <w:t>A short and focused assessment of the factors that stall</w:t>
      </w:r>
      <w:r w:rsidR="00A87253" w:rsidRPr="00953127">
        <w:t xml:space="preserve"> the delivery</w:t>
      </w:r>
      <w:r w:rsidRPr="00953127">
        <w:t xml:space="preserve"> of housing/commercial developments</w:t>
      </w:r>
      <w:r w:rsidR="00A87253" w:rsidRPr="00953127">
        <w:t xml:space="preserve"> within the Cambridge – Milton Keynes – Oxford Corridor.</w:t>
      </w:r>
    </w:p>
    <w:p w14:paraId="6FD72662" w14:textId="129C7EB1" w:rsidR="008D30A3" w:rsidRPr="00953127" w:rsidRDefault="008D30A3" w:rsidP="00BF595E">
      <w:pPr>
        <w:pStyle w:val="Heading3"/>
        <w:tabs>
          <w:tab w:val="left" w:pos="1134"/>
        </w:tabs>
        <w:spacing w:after="0"/>
        <w:ind w:left="1134" w:hanging="425"/>
      </w:pPr>
      <w:r w:rsidRPr="00953127">
        <w:t xml:space="preserve">A review of the policy levers available to corridor </w:t>
      </w:r>
      <w:r w:rsidR="004C6B6A">
        <w:t xml:space="preserve">key stakeholders </w:t>
      </w:r>
      <w:r w:rsidR="00C8073A">
        <w:t>(including Local Authorities)</w:t>
      </w:r>
      <w:r w:rsidRPr="00953127">
        <w:t xml:space="preserve"> seeking to ensure/accelerate delivery - what they are and when they might be deployed.</w:t>
      </w:r>
    </w:p>
    <w:p w14:paraId="2BE87A35" w14:textId="18B50CAB" w:rsidR="008D30A3" w:rsidRPr="00953127" w:rsidRDefault="008D30A3" w:rsidP="00BF595E">
      <w:pPr>
        <w:pStyle w:val="Heading3"/>
        <w:tabs>
          <w:tab w:val="left" w:pos="1134"/>
        </w:tabs>
        <w:spacing w:after="0"/>
        <w:ind w:left="1134" w:hanging="425"/>
      </w:pPr>
      <w:r w:rsidRPr="00953127">
        <w:t>An assessment of whether</w:t>
      </w:r>
      <w:r w:rsidR="00B721E9">
        <w:t xml:space="preserve"> and how</w:t>
      </w:r>
      <w:r w:rsidRPr="00953127">
        <w:t xml:space="preserve"> these mechanisms are being used </w:t>
      </w:r>
      <w:r w:rsidR="004C6B6A">
        <w:t>with</w:t>
      </w:r>
      <w:r w:rsidRPr="00953127">
        <w:t>in the corridor</w:t>
      </w:r>
      <w:r w:rsidR="00B721E9">
        <w:t xml:space="preserve"> and an assessment of how effectively they are being deployed</w:t>
      </w:r>
      <w:r w:rsidRPr="00953127">
        <w:t>.</w:t>
      </w:r>
    </w:p>
    <w:p w14:paraId="10A51FCB" w14:textId="77777777" w:rsidR="00A81C2E" w:rsidRPr="00953127" w:rsidRDefault="00A81C2E" w:rsidP="00BF595E">
      <w:pPr>
        <w:pStyle w:val="Heading3"/>
        <w:tabs>
          <w:tab w:val="left" w:pos="1134"/>
          <w:tab w:val="left" w:pos="1276"/>
        </w:tabs>
        <w:spacing w:after="0"/>
        <w:ind w:left="1134" w:hanging="425"/>
      </w:pPr>
      <w:r w:rsidRPr="00953127">
        <w:t>An assessment of policy options for strengthening delivery</w:t>
      </w:r>
      <w:r w:rsidR="008448BB" w:rsidRPr="00953127">
        <w:t xml:space="preserve"> of housing and commercial development.</w:t>
      </w:r>
    </w:p>
    <w:p w14:paraId="29C16EBD" w14:textId="77777777" w:rsidR="00A81C2E" w:rsidRPr="00953127" w:rsidRDefault="00A81C2E" w:rsidP="00BF595E">
      <w:pPr>
        <w:pStyle w:val="Heading3"/>
        <w:tabs>
          <w:tab w:val="left" w:pos="1134"/>
        </w:tabs>
        <w:spacing w:after="0"/>
        <w:ind w:left="1134" w:hanging="425"/>
      </w:pPr>
      <w:r w:rsidRPr="00953127">
        <w:t>An assessment of the potential impact of these measures if deployed within the corridor</w:t>
      </w:r>
      <w:r w:rsidR="00A87253" w:rsidRPr="00953127">
        <w:t>.</w:t>
      </w:r>
    </w:p>
    <w:p w14:paraId="7CC200C7" w14:textId="77777777" w:rsidR="007D55D7" w:rsidRPr="00953127" w:rsidRDefault="007D55D7" w:rsidP="00BF595E">
      <w:pPr>
        <w:pStyle w:val="Heading3"/>
        <w:numPr>
          <w:ilvl w:val="0"/>
          <w:numId w:val="0"/>
        </w:numPr>
        <w:tabs>
          <w:tab w:val="left" w:pos="709"/>
          <w:tab w:val="num" w:pos="851"/>
        </w:tabs>
        <w:spacing w:after="0"/>
        <w:ind w:left="709" w:hanging="709"/>
      </w:pPr>
    </w:p>
    <w:p w14:paraId="39A4D45F" w14:textId="77777777" w:rsidR="000F0FD4" w:rsidRPr="00953127" w:rsidRDefault="000F0FD4" w:rsidP="00BF595E">
      <w:pPr>
        <w:pStyle w:val="Heading2"/>
        <w:tabs>
          <w:tab w:val="clear" w:pos="1287"/>
          <w:tab w:val="left" w:pos="709"/>
          <w:tab w:val="num" w:pos="851"/>
        </w:tabs>
        <w:ind w:left="709" w:hanging="709"/>
      </w:pPr>
      <w:r w:rsidRPr="00953127">
        <w:t>The NIC therefore requires the provider to undertake:</w:t>
      </w:r>
    </w:p>
    <w:p w14:paraId="03740094" w14:textId="77777777" w:rsidR="000F0FD4" w:rsidRPr="00953127" w:rsidRDefault="000F0FD4" w:rsidP="00BF595E">
      <w:pPr>
        <w:pStyle w:val="Heading3"/>
        <w:tabs>
          <w:tab w:val="clear" w:pos="1800"/>
          <w:tab w:val="num" w:pos="1134"/>
        </w:tabs>
        <w:ind w:left="1134" w:hanging="567"/>
      </w:pPr>
      <w:r w:rsidRPr="00953127">
        <w:t>A short and focused assessment of the factors that stall delivery of housing/commercial developments;</w:t>
      </w:r>
    </w:p>
    <w:p w14:paraId="1446ECDC" w14:textId="77777777" w:rsidR="000F0FD4" w:rsidRPr="00953127" w:rsidRDefault="000F0FD4" w:rsidP="00BF595E">
      <w:pPr>
        <w:pStyle w:val="Heading3"/>
        <w:tabs>
          <w:tab w:val="clear" w:pos="1800"/>
          <w:tab w:val="num" w:pos="1134"/>
        </w:tabs>
        <w:ind w:left="1134" w:hanging="567"/>
      </w:pPr>
      <w:r w:rsidRPr="00953127">
        <w:t>A review of the policy levers available to partners</w:t>
      </w:r>
      <w:r w:rsidR="003D3109" w:rsidRPr="00953127">
        <w:t xml:space="preserve"> (at all levels of governance)</w:t>
      </w:r>
      <w:r w:rsidRPr="00953127">
        <w:t xml:space="preserve"> within the Cambridge – Milton Keynes – Oxford corridor seeking to ensure/accelerate delivery - what they are and w</w:t>
      </w:r>
      <w:r w:rsidR="008B7644" w:rsidRPr="00953127">
        <w:t xml:space="preserve">hen they might be deployed. </w:t>
      </w:r>
    </w:p>
    <w:p w14:paraId="7FF96525" w14:textId="77777777" w:rsidR="000F0FD4" w:rsidRPr="00953127" w:rsidRDefault="000F0FD4" w:rsidP="00BF595E">
      <w:pPr>
        <w:pStyle w:val="Heading3"/>
        <w:tabs>
          <w:tab w:val="clear" w:pos="1800"/>
          <w:tab w:val="num" w:pos="1134"/>
        </w:tabs>
        <w:ind w:left="1134" w:hanging="567"/>
      </w:pPr>
      <w:r w:rsidRPr="00953127">
        <w:t xml:space="preserve">An assessment </w:t>
      </w:r>
      <w:r w:rsidR="00A57293" w:rsidRPr="00953127">
        <w:t xml:space="preserve">of the extent to which these mechanisms are being used across the corridor and an assessment of how effectively they are being employed. </w:t>
      </w:r>
      <w:r w:rsidRPr="00953127">
        <w:t xml:space="preserve"> </w:t>
      </w:r>
    </w:p>
    <w:p w14:paraId="1DAA499C" w14:textId="77777777" w:rsidR="00A57293" w:rsidRPr="00953127" w:rsidRDefault="00A57293" w:rsidP="00BF595E">
      <w:pPr>
        <w:pStyle w:val="Heading3"/>
        <w:tabs>
          <w:tab w:val="clear" w:pos="1800"/>
          <w:tab w:val="num" w:pos="1134"/>
        </w:tabs>
        <w:ind w:left="1134" w:hanging="567"/>
      </w:pPr>
      <w:r w:rsidRPr="00953127">
        <w:t>This review should, where possible, identify key geographies in which different mechanisms are being or have been used</w:t>
      </w:r>
      <w:r w:rsidR="00586208" w:rsidRPr="00953127">
        <w:t>, the outcomes they did/did not achieve</w:t>
      </w:r>
      <w:r w:rsidRPr="00953127">
        <w:t xml:space="preserve"> and the factors underpinning these outcomes.</w:t>
      </w:r>
    </w:p>
    <w:p w14:paraId="28D6A13E" w14:textId="77777777" w:rsidR="00166057" w:rsidRPr="00953127" w:rsidRDefault="000F0FD4" w:rsidP="00BF595E">
      <w:pPr>
        <w:pStyle w:val="Heading3"/>
        <w:tabs>
          <w:tab w:val="clear" w:pos="1800"/>
          <w:tab w:val="num" w:pos="1134"/>
        </w:tabs>
        <w:ind w:left="1134" w:hanging="567"/>
      </w:pPr>
      <w:r w:rsidRPr="00953127">
        <w:t>An assessment of policy options</w:t>
      </w:r>
      <w:r w:rsidR="007A2DF8" w:rsidRPr="00953127">
        <w:t xml:space="preserve"> (within existing </w:t>
      </w:r>
      <w:r w:rsidR="00E71B54" w:rsidRPr="00953127">
        <w:t>legislative constraints)</w:t>
      </w:r>
      <w:r w:rsidRPr="00953127">
        <w:t xml:space="preserve"> for strengthening delivery</w:t>
      </w:r>
      <w:r w:rsidR="007A2DF8" w:rsidRPr="00953127">
        <w:t xml:space="preserve"> of housing and commercial developments</w:t>
      </w:r>
      <w:r w:rsidR="00166057" w:rsidRPr="00953127">
        <w:t xml:space="preserve">, and an assessment of the options for accelerating different types of development in different places. </w:t>
      </w:r>
    </w:p>
    <w:p w14:paraId="4CF48A82" w14:textId="77777777" w:rsidR="00696C12" w:rsidRPr="00953127" w:rsidRDefault="007A2DF8" w:rsidP="00BF595E">
      <w:pPr>
        <w:pStyle w:val="Heading3"/>
        <w:tabs>
          <w:tab w:val="clear" w:pos="1800"/>
          <w:tab w:val="num" w:pos="1134"/>
        </w:tabs>
        <w:ind w:left="1134" w:hanging="567"/>
      </w:pPr>
      <w:r w:rsidRPr="00953127">
        <w:t>Finally, the research should produce a</w:t>
      </w:r>
      <w:r w:rsidR="00FD7C50" w:rsidRPr="00953127">
        <w:t>n assessment of the potential impact of each of these measures, individually and cumulatively, if deployed within the corridor.</w:t>
      </w:r>
    </w:p>
    <w:p w14:paraId="5C7285E6" w14:textId="05E993F3" w:rsidR="000D67EA" w:rsidRPr="00953127" w:rsidRDefault="00D228BF" w:rsidP="00BF595E">
      <w:pPr>
        <w:pStyle w:val="Heading2"/>
        <w:tabs>
          <w:tab w:val="clear" w:pos="1287"/>
          <w:tab w:val="left" w:pos="709"/>
          <w:tab w:val="num" w:pos="851"/>
        </w:tabs>
        <w:ind w:left="709" w:hanging="709"/>
      </w:pPr>
      <w:r w:rsidRPr="00953127">
        <w:t>We anticipate that this req</w:t>
      </w:r>
      <w:r w:rsidR="007A2DF8" w:rsidRPr="00953127">
        <w:t xml:space="preserve">uirement can largely be achieved through secondary research methods, though we </w:t>
      </w:r>
      <w:r w:rsidR="003577BF" w:rsidRPr="00E65501">
        <w:t>recognise</w:t>
      </w:r>
      <w:r w:rsidR="007A2DF8" w:rsidRPr="00E65501">
        <w:t xml:space="preserve"> that there may be </w:t>
      </w:r>
      <w:r w:rsidR="00621E34">
        <w:t xml:space="preserve">a requirement </w:t>
      </w:r>
      <w:r w:rsidR="007A2DF8" w:rsidRPr="00E65501">
        <w:t>for primary research</w:t>
      </w:r>
      <w:r w:rsidR="00621E34">
        <w:t xml:space="preserve"> to be conducted </w:t>
      </w:r>
      <w:r w:rsidR="007A2DF8" w:rsidRPr="00E65501">
        <w:t>in the form of interviews, roundtables or questionnaires.</w:t>
      </w:r>
      <w:r w:rsidR="003577BF" w:rsidRPr="00E65501">
        <w:t xml:space="preserve"> Suppliers should explicitly state their methodologies for each stage of the research process and demonstrate the suitability of this methodology to the task.</w:t>
      </w:r>
    </w:p>
    <w:p w14:paraId="3087BF3E" w14:textId="77777777" w:rsidR="002911D2" w:rsidRPr="00A57E5C" w:rsidRDefault="00B51511" w:rsidP="00BF595E">
      <w:pPr>
        <w:pStyle w:val="Heading2"/>
        <w:tabs>
          <w:tab w:val="clear" w:pos="1287"/>
          <w:tab w:val="left" w:pos="709"/>
          <w:tab w:val="num" w:pos="851"/>
        </w:tabs>
        <w:ind w:left="709" w:hanging="709"/>
      </w:pPr>
      <w:r w:rsidRPr="00E65501">
        <w:t>The supplier will be responsible for the d</w:t>
      </w:r>
      <w:r w:rsidR="005D3A7A" w:rsidRPr="00E65501">
        <w:t>evelopment of a project</w:t>
      </w:r>
      <w:r w:rsidR="00133D49" w:rsidRPr="00E65501">
        <w:t xml:space="preserve"> plan and</w:t>
      </w:r>
      <w:r w:rsidR="005D3A7A" w:rsidRPr="00E65501">
        <w:t xml:space="preserve"> timetable, to suit the needs of the NIC (indicative timescales are set out in </w:t>
      </w:r>
      <w:r w:rsidR="005D3A7A" w:rsidRPr="00E65501">
        <w:rPr>
          <w:b/>
        </w:rPr>
        <w:t>Section 7</w:t>
      </w:r>
      <w:r w:rsidR="005D3A7A" w:rsidRPr="00E65501">
        <w:t xml:space="preserve"> below</w:t>
      </w:r>
      <w:r w:rsidR="0072571A" w:rsidRPr="00A57E5C">
        <w:t>)</w:t>
      </w:r>
      <w:r w:rsidR="005D3A7A" w:rsidRPr="00A57E5C">
        <w:t>.</w:t>
      </w:r>
    </w:p>
    <w:p w14:paraId="62C07C92" w14:textId="77777777" w:rsidR="00E40C26" w:rsidRPr="00953127" w:rsidRDefault="00E40C26" w:rsidP="00BF595E">
      <w:pPr>
        <w:pStyle w:val="Heading2"/>
        <w:tabs>
          <w:tab w:val="clear" w:pos="1287"/>
          <w:tab w:val="left" w:pos="709"/>
          <w:tab w:val="num" w:pos="851"/>
        </w:tabs>
        <w:ind w:left="709" w:hanging="709"/>
      </w:pPr>
      <w:r w:rsidRPr="00953127">
        <w:t xml:space="preserve">At the start of the project we would expect to hold an inception/scoping meeting with the successful supplier, and for a short inception report to then be provided which clarifies the approach to be taken, along with a plan setting out key milestones and dates for deliverables, risks and how these will be managed etc. – for agreement, before proceeding to carry out the analysis. </w:t>
      </w:r>
      <w:r w:rsidRPr="00E65501">
        <w:t xml:space="preserve">During the evidence gathering and subsequent phases we expect the bidder to work closely with the Commission, including through regular meetings and other communication.  </w:t>
      </w:r>
    </w:p>
    <w:p w14:paraId="4AB5EDA3" w14:textId="52B87EA9" w:rsidR="00BA2360" w:rsidRPr="00953127" w:rsidRDefault="000631DE" w:rsidP="00BF595E">
      <w:pPr>
        <w:pStyle w:val="Heading2"/>
        <w:tabs>
          <w:tab w:val="clear" w:pos="1287"/>
          <w:tab w:val="left" w:pos="709"/>
          <w:tab w:val="num" w:pos="851"/>
        </w:tabs>
        <w:ind w:left="709" w:hanging="709"/>
      </w:pPr>
      <w:r>
        <w:t>The Provider</w:t>
      </w:r>
      <w:r w:rsidR="00BA2360" w:rsidRPr="00953127">
        <w:t xml:space="preserve"> should also be prepared to present to technical and non-technical members of the Commission </w:t>
      </w:r>
      <w:r w:rsidR="00621E34">
        <w:t xml:space="preserve">their key findings; </w:t>
      </w:r>
      <w:r w:rsidR="00BA2360" w:rsidRPr="00953127">
        <w:t>key assumptions</w:t>
      </w:r>
      <w:r w:rsidR="00621E34">
        <w:t>;</w:t>
      </w:r>
      <w:r w:rsidR="00BA2360" w:rsidRPr="00953127">
        <w:t xml:space="preserve"> results</w:t>
      </w:r>
      <w:r w:rsidR="00621E34">
        <w:t>;</w:t>
      </w:r>
      <w:r w:rsidR="00BA2360" w:rsidRPr="00953127">
        <w:t xml:space="preserve"> and caveats in a clear and concise fashion, to ensure these are fully understood.</w:t>
      </w:r>
    </w:p>
    <w:p w14:paraId="406A6B38" w14:textId="77777777" w:rsidR="00BA2360" w:rsidRPr="00953127" w:rsidRDefault="00BA2360" w:rsidP="00BF595E">
      <w:pPr>
        <w:pStyle w:val="Heading2"/>
        <w:tabs>
          <w:tab w:val="clear" w:pos="1287"/>
          <w:tab w:val="left" w:pos="709"/>
          <w:tab w:val="num" w:pos="851"/>
        </w:tabs>
        <w:ind w:left="709" w:hanging="709"/>
      </w:pPr>
      <w:r w:rsidRPr="00953127">
        <w:t>Analysis should be derived from a broad range of credible sources, in particular drawing on information and analysis that is al</w:t>
      </w:r>
      <w:r w:rsidR="00696C12" w:rsidRPr="00953127">
        <w:t>ready in the public domain and</w:t>
      </w:r>
      <w:r w:rsidRPr="00953127">
        <w:t xml:space="preserve"> analysis of locally held data and intelligence. </w:t>
      </w:r>
    </w:p>
    <w:p w14:paraId="4DA0177D" w14:textId="77777777" w:rsidR="00671798" w:rsidRPr="00953127" w:rsidRDefault="00FE18AC">
      <w:pPr>
        <w:pStyle w:val="Heading1"/>
        <w:spacing w:after="120"/>
      </w:pPr>
      <w:bookmarkStart w:id="17" w:name="_Toc368573032"/>
      <w:bookmarkStart w:id="18" w:name="_Toc479696420"/>
      <w:r w:rsidRPr="00953127">
        <w:t>key milestones</w:t>
      </w:r>
      <w:bookmarkEnd w:id="17"/>
      <w:bookmarkEnd w:id="18"/>
    </w:p>
    <w:p w14:paraId="11B1EF94" w14:textId="77777777" w:rsidR="00FE18AC" w:rsidRPr="00953127" w:rsidRDefault="003438D3" w:rsidP="008F3470">
      <w:pPr>
        <w:pStyle w:val="Heading2"/>
        <w:tabs>
          <w:tab w:val="num" w:pos="132"/>
          <w:tab w:val="num" w:pos="862"/>
        </w:tabs>
        <w:overflowPunct w:val="0"/>
        <w:autoSpaceDE w:val="0"/>
        <w:autoSpaceDN w:val="0"/>
        <w:spacing w:after="120"/>
        <w:ind w:left="709" w:hanging="709"/>
        <w:textAlignment w:val="baseline"/>
        <w:rPr>
          <w:rFonts w:cs="Arial"/>
          <w:szCs w:val="22"/>
        </w:rPr>
      </w:pPr>
      <w:r w:rsidRPr="00953127">
        <w:rPr>
          <w:rFonts w:cs="Arial"/>
          <w:szCs w:val="22"/>
        </w:rPr>
        <w:t>The Potential Provider should note the following pr</w:t>
      </w:r>
      <w:r w:rsidR="00A57B4E" w:rsidRPr="00953127">
        <w:rPr>
          <w:rFonts w:cs="Arial"/>
          <w:szCs w:val="22"/>
        </w:rPr>
        <w:t>oject milestones that the Authority</w:t>
      </w:r>
      <w:r w:rsidRPr="00953127">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755"/>
        <w:gridCol w:w="2644"/>
      </w:tblGrid>
      <w:tr w:rsidR="00FE18AC" w:rsidRPr="00953127" w14:paraId="169BA0A1" w14:textId="77777777" w:rsidTr="007410A7">
        <w:tc>
          <w:tcPr>
            <w:tcW w:w="898" w:type="pct"/>
            <w:shd w:val="clear" w:color="auto" w:fill="C6D9F1" w:themeFill="text2" w:themeFillTint="33"/>
            <w:vAlign w:val="center"/>
          </w:tcPr>
          <w:p w14:paraId="7240BA15" w14:textId="77777777" w:rsidR="00671798" w:rsidRPr="00953127" w:rsidRDefault="00FE18AC">
            <w:pPr>
              <w:pStyle w:val="Heading3"/>
              <w:numPr>
                <w:ilvl w:val="0"/>
                <w:numId w:val="0"/>
              </w:numPr>
              <w:spacing w:after="120"/>
              <w:jc w:val="center"/>
              <w:outlineLvl w:val="2"/>
              <w:rPr>
                <w:b/>
                <w:szCs w:val="24"/>
              </w:rPr>
            </w:pPr>
            <w:r w:rsidRPr="00953127">
              <w:rPr>
                <w:b/>
              </w:rPr>
              <w:t>Milestone</w:t>
            </w:r>
          </w:p>
        </w:tc>
        <w:tc>
          <w:tcPr>
            <w:tcW w:w="2636" w:type="pct"/>
            <w:shd w:val="clear" w:color="auto" w:fill="C6D9F1" w:themeFill="text2" w:themeFillTint="33"/>
            <w:vAlign w:val="center"/>
          </w:tcPr>
          <w:p w14:paraId="382FB61C" w14:textId="77777777" w:rsidR="00671798" w:rsidRPr="00953127" w:rsidRDefault="00FE18AC">
            <w:pPr>
              <w:pStyle w:val="Heading3"/>
              <w:numPr>
                <w:ilvl w:val="0"/>
                <w:numId w:val="0"/>
              </w:numPr>
              <w:spacing w:after="120"/>
              <w:jc w:val="center"/>
              <w:outlineLvl w:val="2"/>
              <w:rPr>
                <w:b/>
                <w:szCs w:val="24"/>
              </w:rPr>
            </w:pPr>
            <w:r w:rsidRPr="00953127">
              <w:rPr>
                <w:b/>
              </w:rPr>
              <w:t>Description</w:t>
            </w:r>
          </w:p>
        </w:tc>
        <w:tc>
          <w:tcPr>
            <w:tcW w:w="1466" w:type="pct"/>
            <w:shd w:val="clear" w:color="auto" w:fill="C6D9F1" w:themeFill="text2" w:themeFillTint="33"/>
            <w:vAlign w:val="center"/>
          </w:tcPr>
          <w:p w14:paraId="196A1B07" w14:textId="77777777" w:rsidR="00671798" w:rsidRPr="00953127" w:rsidRDefault="00FE18AC">
            <w:pPr>
              <w:pStyle w:val="Heading3"/>
              <w:numPr>
                <w:ilvl w:val="0"/>
                <w:numId w:val="0"/>
              </w:numPr>
              <w:spacing w:after="120"/>
              <w:jc w:val="center"/>
              <w:outlineLvl w:val="2"/>
              <w:rPr>
                <w:b/>
                <w:szCs w:val="24"/>
              </w:rPr>
            </w:pPr>
            <w:r w:rsidRPr="00953127">
              <w:rPr>
                <w:b/>
              </w:rPr>
              <w:t>Timeframe</w:t>
            </w:r>
          </w:p>
        </w:tc>
      </w:tr>
      <w:tr w:rsidR="00255AF3" w:rsidRPr="00953127" w14:paraId="1CA4C892" w14:textId="77777777" w:rsidTr="007410A7">
        <w:tc>
          <w:tcPr>
            <w:tcW w:w="898" w:type="pct"/>
            <w:vAlign w:val="center"/>
          </w:tcPr>
          <w:p w14:paraId="6B6E0618" w14:textId="77777777" w:rsidR="00255AF3" w:rsidRPr="00953127" w:rsidRDefault="00D84A40">
            <w:pPr>
              <w:pStyle w:val="Heading3"/>
              <w:numPr>
                <w:ilvl w:val="0"/>
                <w:numId w:val="0"/>
              </w:numPr>
              <w:spacing w:after="120"/>
              <w:jc w:val="center"/>
              <w:outlineLvl w:val="2"/>
            </w:pPr>
            <w:r w:rsidRPr="00953127">
              <w:t>1</w:t>
            </w:r>
          </w:p>
        </w:tc>
        <w:tc>
          <w:tcPr>
            <w:tcW w:w="2636" w:type="pct"/>
            <w:vAlign w:val="center"/>
          </w:tcPr>
          <w:p w14:paraId="76ECBD1A" w14:textId="77777777" w:rsidR="00255AF3" w:rsidRPr="00953127" w:rsidRDefault="00D84A40" w:rsidP="00AC01BA">
            <w:pPr>
              <w:pStyle w:val="Heading3"/>
              <w:numPr>
                <w:ilvl w:val="0"/>
                <w:numId w:val="0"/>
              </w:numPr>
              <w:spacing w:after="120"/>
              <w:jc w:val="left"/>
              <w:outlineLvl w:val="2"/>
            </w:pPr>
            <w:r w:rsidRPr="00953127">
              <w:t>Project inception meeting with NIC to include draft inception report to be provided, and agreed by NIC, clarifying the approach to be taken, along with a plan setting out key milestones and dates for deliverables, risks and how these will be managed, etc.</w:t>
            </w:r>
          </w:p>
        </w:tc>
        <w:tc>
          <w:tcPr>
            <w:tcW w:w="1466" w:type="pct"/>
            <w:vAlign w:val="center"/>
          </w:tcPr>
          <w:p w14:paraId="731F8E58" w14:textId="77777777" w:rsidR="00255AF3" w:rsidRPr="00953127" w:rsidRDefault="00C401C6">
            <w:pPr>
              <w:pStyle w:val="Heading3"/>
              <w:numPr>
                <w:ilvl w:val="0"/>
                <w:numId w:val="0"/>
              </w:numPr>
              <w:spacing w:after="120"/>
              <w:jc w:val="center"/>
              <w:outlineLvl w:val="2"/>
            </w:pPr>
            <w:r w:rsidRPr="00953127">
              <w:t>Within 2 weeks of contract award</w:t>
            </w:r>
          </w:p>
        </w:tc>
      </w:tr>
      <w:tr w:rsidR="00C401C6" w:rsidRPr="00953127" w14:paraId="2182C873" w14:textId="77777777" w:rsidTr="0020431B">
        <w:tc>
          <w:tcPr>
            <w:tcW w:w="898" w:type="pct"/>
            <w:vAlign w:val="center"/>
          </w:tcPr>
          <w:p w14:paraId="78AF5397" w14:textId="77777777" w:rsidR="00C401C6" w:rsidRPr="00953127" w:rsidRDefault="00D84A40" w:rsidP="00D7176D">
            <w:pPr>
              <w:pStyle w:val="Heading3"/>
              <w:numPr>
                <w:ilvl w:val="0"/>
                <w:numId w:val="0"/>
              </w:numPr>
              <w:spacing w:after="120"/>
              <w:jc w:val="center"/>
              <w:outlineLvl w:val="2"/>
            </w:pPr>
            <w:r w:rsidRPr="00953127">
              <w:t>2</w:t>
            </w:r>
          </w:p>
        </w:tc>
        <w:tc>
          <w:tcPr>
            <w:tcW w:w="2636" w:type="pct"/>
            <w:vAlign w:val="center"/>
          </w:tcPr>
          <w:p w14:paraId="7926BDCA" w14:textId="77777777" w:rsidR="00C401C6" w:rsidRPr="00953127" w:rsidRDefault="005E128F" w:rsidP="00D7176D">
            <w:pPr>
              <w:pStyle w:val="Heading3"/>
              <w:numPr>
                <w:ilvl w:val="0"/>
                <w:numId w:val="0"/>
              </w:numPr>
              <w:spacing w:after="120"/>
              <w:jc w:val="left"/>
              <w:outlineLvl w:val="2"/>
            </w:pPr>
            <w:r w:rsidRPr="00953127">
              <w:t>Draft outputs provided to the NIC</w:t>
            </w:r>
          </w:p>
        </w:tc>
        <w:tc>
          <w:tcPr>
            <w:tcW w:w="1466" w:type="pct"/>
            <w:vAlign w:val="center"/>
          </w:tcPr>
          <w:p w14:paraId="5E4BEAFD" w14:textId="6C3F6DF3" w:rsidR="00C401C6" w:rsidRPr="00953127" w:rsidRDefault="00A638F1" w:rsidP="00A638F1">
            <w:pPr>
              <w:pStyle w:val="Heading3"/>
              <w:numPr>
                <w:ilvl w:val="0"/>
                <w:numId w:val="0"/>
              </w:numPr>
              <w:spacing w:after="120"/>
              <w:jc w:val="center"/>
              <w:outlineLvl w:val="2"/>
            </w:pPr>
            <w:r>
              <w:t>W/c 3</w:t>
            </w:r>
            <w:r w:rsidRPr="00A638F1">
              <w:rPr>
                <w:vertAlign w:val="superscript"/>
              </w:rPr>
              <w:t>rd</w:t>
            </w:r>
            <w:r>
              <w:t xml:space="preserve"> July </w:t>
            </w:r>
            <w:r w:rsidR="007C501C" w:rsidRPr="00953127">
              <w:t>2017</w:t>
            </w:r>
          </w:p>
        </w:tc>
      </w:tr>
      <w:tr w:rsidR="00D7176D" w:rsidRPr="00953127" w14:paraId="204649BC" w14:textId="77777777" w:rsidTr="007410A7">
        <w:tc>
          <w:tcPr>
            <w:tcW w:w="898" w:type="pct"/>
            <w:vAlign w:val="center"/>
          </w:tcPr>
          <w:p w14:paraId="3150A3C4" w14:textId="77777777" w:rsidR="00D7176D" w:rsidRPr="00953127" w:rsidRDefault="00D84A40" w:rsidP="00D7176D">
            <w:pPr>
              <w:pStyle w:val="Heading3"/>
              <w:numPr>
                <w:ilvl w:val="0"/>
                <w:numId w:val="0"/>
              </w:numPr>
              <w:spacing w:after="120"/>
              <w:jc w:val="center"/>
              <w:outlineLvl w:val="2"/>
            </w:pPr>
            <w:r w:rsidRPr="00953127">
              <w:t>3</w:t>
            </w:r>
          </w:p>
        </w:tc>
        <w:tc>
          <w:tcPr>
            <w:tcW w:w="2636" w:type="pct"/>
            <w:vAlign w:val="center"/>
          </w:tcPr>
          <w:p w14:paraId="7DA774AF" w14:textId="77777777" w:rsidR="00D7176D" w:rsidRPr="00953127" w:rsidRDefault="005E128F" w:rsidP="00D7176D">
            <w:pPr>
              <w:pStyle w:val="Heading3"/>
              <w:numPr>
                <w:ilvl w:val="0"/>
                <w:numId w:val="0"/>
              </w:numPr>
              <w:spacing w:after="120"/>
              <w:jc w:val="left"/>
              <w:outlineLvl w:val="2"/>
            </w:pPr>
            <w:r w:rsidRPr="00953127">
              <w:t>Final outputs provided to the NIC</w:t>
            </w:r>
          </w:p>
        </w:tc>
        <w:tc>
          <w:tcPr>
            <w:tcW w:w="1466" w:type="pct"/>
            <w:vAlign w:val="center"/>
          </w:tcPr>
          <w:p w14:paraId="1C345FA7" w14:textId="5869EC2D" w:rsidR="00D7176D" w:rsidRPr="00953127" w:rsidRDefault="00A638F1" w:rsidP="00A638F1">
            <w:pPr>
              <w:pStyle w:val="Heading3"/>
              <w:numPr>
                <w:ilvl w:val="0"/>
                <w:numId w:val="0"/>
              </w:numPr>
              <w:spacing w:after="120"/>
              <w:jc w:val="center"/>
              <w:outlineLvl w:val="2"/>
            </w:pPr>
            <w:r>
              <w:t>W/c 21</w:t>
            </w:r>
            <w:r w:rsidRPr="00A638F1">
              <w:rPr>
                <w:vertAlign w:val="superscript"/>
              </w:rPr>
              <w:t xml:space="preserve">st </w:t>
            </w:r>
            <w:r>
              <w:t>August</w:t>
            </w:r>
            <w:r w:rsidR="009F16A6" w:rsidRPr="00953127">
              <w:t xml:space="preserve"> 2017</w:t>
            </w:r>
          </w:p>
        </w:tc>
      </w:tr>
    </w:tbl>
    <w:p w14:paraId="43877063" w14:textId="77777777" w:rsidR="00FE18AC" w:rsidRPr="00953127" w:rsidRDefault="00FE18AC" w:rsidP="00F44D62">
      <w:pPr>
        <w:pStyle w:val="Heading1"/>
        <w:numPr>
          <w:ilvl w:val="0"/>
          <w:numId w:val="0"/>
        </w:numPr>
        <w:overflowPunct w:val="0"/>
        <w:autoSpaceDE w:val="0"/>
        <w:autoSpaceDN w:val="0"/>
        <w:spacing w:after="120"/>
        <w:textAlignment w:val="baseline"/>
        <w:rPr>
          <w:rFonts w:cs="Arial"/>
          <w:szCs w:val="22"/>
        </w:rPr>
      </w:pPr>
      <w:bookmarkStart w:id="19" w:name="_Toc302637211"/>
    </w:p>
    <w:p w14:paraId="3DEF5D8E" w14:textId="77777777" w:rsidR="00106F24" w:rsidRPr="00953127"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0" w:name="_Toc479696421"/>
      <w:bookmarkStart w:id="21" w:name="_Toc368573033"/>
      <w:r w:rsidRPr="00953127">
        <w:rPr>
          <w:rFonts w:cs="Arial"/>
          <w:szCs w:val="22"/>
        </w:rPr>
        <w:t>authority’s responsibilities</w:t>
      </w:r>
      <w:bookmarkEnd w:id="20"/>
    </w:p>
    <w:p w14:paraId="44F372E5" w14:textId="4DA4468E" w:rsidR="00106F24" w:rsidRPr="00953127" w:rsidRDefault="000631DE" w:rsidP="009C7A14">
      <w:pPr>
        <w:pStyle w:val="Heading2"/>
        <w:tabs>
          <w:tab w:val="clear" w:pos="1287"/>
          <w:tab w:val="left" w:pos="709"/>
          <w:tab w:val="num" w:pos="851"/>
        </w:tabs>
        <w:ind w:left="709" w:hanging="709"/>
      </w:pPr>
      <w:r w:rsidRPr="00953127">
        <w:rPr>
          <w:lang w:eastAsia="en-US"/>
        </w:rPr>
        <w:t xml:space="preserve">The </w:t>
      </w:r>
      <w:r w:rsidR="00B721E9">
        <w:rPr>
          <w:lang w:eastAsia="en-US"/>
        </w:rPr>
        <w:t>C</w:t>
      </w:r>
      <w:r w:rsidRPr="00953127">
        <w:rPr>
          <w:lang w:eastAsia="en-US"/>
        </w:rPr>
        <w:t>ommission will provide relevant evidence gathered through previous stages of its work. The NIC has already undertaken a significant amount of engagement with key stakeholders and where appropriate will be able to provide analysis, background information and views from those engagements</w:t>
      </w:r>
      <w:r w:rsidR="00B56171">
        <w:rPr>
          <w:lang w:eastAsia="en-US"/>
        </w:rPr>
        <w:t xml:space="preserve"> to ensure that the contract runs smoothly</w:t>
      </w:r>
      <w:r w:rsidRPr="00953127">
        <w:rPr>
          <w:lang w:eastAsia="en-US"/>
        </w:rPr>
        <w:t>.</w:t>
      </w:r>
    </w:p>
    <w:p w14:paraId="4A8BA48A" w14:textId="77777777" w:rsidR="00671798" w:rsidRPr="00953127"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479696422"/>
      <w:r w:rsidRPr="00953127">
        <w:rPr>
          <w:rFonts w:cs="Arial"/>
          <w:szCs w:val="22"/>
        </w:rPr>
        <w:t>reporting</w:t>
      </w:r>
      <w:bookmarkEnd w:id="21"/>
      <w:bookmarkEnd w:id="22"/>
    </w:p>
    <w:p w14:paraId="64471505" w14:textId="77777777" w:rsidR="00B56171" w:rsidRPr="003365EC" w:rsidRDefault="00B56171" w:rsidP="009C7A14">
      <w:pPr>
        <w:pStyle w:val="Heading2"/>
        <w:tabs>
          <w:tab w:val="clear" w:pos="1287"/>
        </w:tabs>
        <w:ind w:left="709" w:hanging="709"/>
      </w:pPr>
      <w:r w:rsidRPr="003365EC">
        <w:t>The Department will work with the adviser to put in place a weekly and monthly emailed reporting regime in order to track progress, resource needs, and budget.</w:t>
      </w:r>
    </w:p>
    <w:p w14:paraId="6E5B1785"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368573034"/>
      <w:bookmarkStart w:id="24" w:name="_Toc479696423"/>
      <w:r w:rsidRPr="00953127">
        <w:rPr>
          <w:rFonts w:cs="Arial"/>
          <w:szCs w:val="22"/>
        </w:rPr>
        <w:t>volumes</w:t>
      </w:r>
      <w:bookmarkEnd w:id="23"/>
      <w:bookmarkEnd w:id="24"/>
    </w:p>
    <w:p w14:paraId="695B4820" w14:textId="05D3B71C" w:rsidR="004F07FC" w:rsidRPr="007804D5" w:rsidRDefault="004F07FC" w:rsidP="004F07FC">
      <w:pPr>
        <w:pStyle w:val="Heading2"/>
        <w:tabs>
          <w:tab w:val="clear" w:pos="1287"/>
          <w:tab w:val="num" w:pos="720"/>
        </w:tabs>
        <w:ind w:left="720"/>
      </w:pPr>
      <w:bookmarkStart w:id="25" w:name="_Toc368573035"/>
      <w:bookmarkStart w:id="26" w:name="_Toc479696424"/>
      <w:r w:rsidRPr="007804D5">
        <w:t xml:space="preserve">Throughout the contract phase the Authority and </w:t>
      </w:r>
      <w:r>
        <w:t>Supplier</w:t>
      </w:r>
      <w:r w:rsidRPr="007804D5">
        <w:t xml:space="preserve"> will agree priority activities for detailed analysis and diagnostic work.</w:t>
      </w:r>
    </w:p>
    <w:p w14:paraId="664D57AF" w14:textId="77777777" w:rsidR="00FE18AC" w:rsidRPr="00953127"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r w:rsidRPr="00953127">
        <w:rPr>
          <w:rFonts w:cs="Arial"/>
          <w:szCs w:val="22"/>
        </w:rPr>
        <w:t>continuous improvement</w:t>
      </w:r>
      <w:bookmarkEnd w:id="25"/>
      <w:bookmarkEnd w:id="26"/>
    </w:p>
    <w:p w14:paraId="4029C6EA" w14:textId="1DCACEE1" w:rsidR="00671798" w:rsidRPr="00953127" w:rsidRDefault="00FE18AC">
      <w:pPr>
        <w:pStyle w:val="Heading2"/>
        <w:tabs>
          <w:tab w:val="num" w:pos="709"/>
        </w:tabs>
        <w:spacing w:after="120"/>
        <w:ind w:left="709" w:hanging="709"/>
      </w:pPr>
      <w:r w:rsidRPr="00953127">
        <w:t xml:space="preserve">The </w:t>
      </w:r>
      <w:r w:rsidR="006F1F98" w:rsidRPr="00953127">
        <w:t>successful Provider</w:t>
      </w:r>
      <w:r w:rsidRPr="00953127">
        <w:t xml:space="preserve"> will be expected to </w:t>
      </w:r>
      <w:r w:rsidR="00A63B7E" w:rsidRPr="00953127">
        <w:t xml:space="preserve">give due consideration </w:t>
      </w:r>
      <w:r w:rsidR="007533F6">
        <w:t xml:space="preserve">as </w:t>
      </w:r>
      <w:r w:rsidR="00A63B7E" w:rsidRPr="00953127">
        <w:t xml:space="preserve">to how </w:t>
      </w:r>
      <w:r w:rsidRPr="00953127">
        <w:t>the required Services are to be delivered</w:t>
      </w:r>
      <w:r w:rsidR="007533F6">
        <w:t xml:space="preserve"> and improved throughout the duration of the Contract.</w:t>
      </w:r>
    </w:p>
    <w:p w14:paraId="1DC0DFE4" w14:textId="77777777" w:rsidR="00671798" w:rsidRPr="00953127" w:rsidRDefault="00FE18AC">
      <w:pPr>
        <w:pStyle w:val="Heading2"/>
        <w:tabs>
          <w:tab w:val="num" w:pos="709"/>
        </w:tabs>
        <w:spacing w:after="120"/>
        <w:ind w:left="709" w:hanging="709"/>
      </w:pPr>
      <w:r w:rsidRPr="00953127">
        <w:t>Changes to the way in which the Services are to be delivered must be brought to the Authority’s attention and agreed prior to any changes being implemented.</w:t>
      </w:r>
    </w:p>
    <w:p w14:paraId="0B5A025A" w14:textId="77777777" w:rsidR="004E78BC" w:rsidRPr="00953127" w:rsidRDefault="004E78BC" w:rsidP="004E78BC">
      <w:pPr>
        <w:pStyle w:val="Heading1"/>
      </w:pPr>
      <w:bookmarkStart w:id="27" w:name="_Toc479696425"/>
      <w:r w:rsidRPr="00953127">
        <w:t>Sustainability</w:t>
      </w:r>
      <w:bookmarkEnd w:id="27"/>
    </w:p>
    <w:p w14:paraId="1718E5FA" w14:textId="77777777" w:rsidR="004E78BC" w:rsidRPr="00953127" w:rsidRDefault="00027F66" w:rsidP="006F1F98">
      <w:pPr>
        <w:pStyle w:val="Heading2"/>
        <w:tabs>
          <w:tab w:val="num" w:pos="709"/>
        </w:tabs>
        <w:spacing w:after="120"/>
        <w:ind w:left="709" w:hanging="709"/>
      </w:pPr>
      <w:r w:rsidRPr="00953127">
        <w:t>N/A</w:t>
      </w:r>
    </w:p>
    <w:p w14:paraId="313B72E6" w14:textId="77777777" w:rsidR="00FE18AC" w:rsidRPr="00953127"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6"/>
      <w:bookmarkStart w:id="29" w:name="_Toc479696426"/>
      <w:r w:rsidRPr="00953127">
        <w:rPr>
          <w:rFonts w:cs="Arial"/>
          <w:szCs w:val="22"/>
        </w:rPr>
        <w:t>quality</w:t>
      </w:r>
      <w:bookmarkEnd w:id="28"/>
      <w:bookmarkEnd w:id="29"/>
    </w:p>
    <w:p w14:paraId="50B3BB8B" w14:textId="53C2A44F" w:rsidR="0007350B" w:rsidRDefault="0007350B" w:rsidP="006F1F98">
      <w:pPr>
        <w:pStyle w:val="Heading2"/>
        <w:tabs>
          <w:tab w:val="num" w:pos="709"/>
        </w:tabs>
        <w:spacing w:after="120"/>
        <w:ind w:left="709" w:hanging="709"/>
      </w:pPr>
      <w:r w:rsidRPr="00953127">
        <w:t>The Co</w:t>
      </w:r>
      <w:r w:rsidR="002A6A42" w:rsidRPr="00953127">
        <w:t>mmission will be looking to use the outputs</w:t>
      </w:r>
      <w:r w:rsidR="00696C12" w:rsidRPr="00953127">
        <w:t xml:space="preserve"> of this research</w:t>
      </w:r>
      <w:r w:rsidR="002A6A42" w:rsidRPr="00953127">
        <w:t xml:space="preserve"> to inform its final recommendations to Government in October 2017</w:t>
      </w:r>
      <w:r w:rsidR="00A03561" w:rsidRPr="00953127">
        <w:t>.</w:t>
      </w:r>
      <w:r w:rsidR="00803237">
        <w:t xml:space="preserve"> The final report will be published on the NIC’s website.</w:t>
      </w:r>
      <w:r w:rsidR="00A03561" w:rsidRPr="00953127">
        <w:t xml:space="preserve"> </w:t>
      </w:r>
      <w:r w:rsidR="002A6A42" w:rsidRPr="00953127">
        <w:t>Therefore it is critical that the project runs to time and that</w:t>
      </w:r>
      <w:r w:rsidRPr="00953127">
        <w:t xml:space="preserve"> outputs </w:t>
      </w:r>
      <w:r w:rsidR="002A6A42" w:rsidRPr="00953127">
        <w:t xml:space="preserve">are of </w:t>
      </w:r>
      <w:r w:rsidRPr="00953127">
        <w:t>a publishable standard, with all assumptions and caveats clearly highlighted.</w:t>
      </w:r>
    </w:p>
    <w:p w14:paraId="7ADA0236" w14:textId="133627B4" w:rsidR="00B721E9" w:rsidRPr="00953127" w:rsidRDefault="00B721E9" w:rsidP="006F1F98">
      <w:pPr>
        <w:pStyle w:val="Heading2"/>
        <w:tabs>
          <w:tab w:val="num" w:pos="709"/>
        </w:tabs>
        <w:spacing w:after="120"/>
        <w:ind w:left="709" w:hanging="709"/>
      </w:pPr>
      <w:r>
        <w:t xml:space="preserve">This is </w:t>
      </w:r>
      <w:r w:rsidRPr="00953127">
        <w:t>a substantial piece of work – the expectation is that the research, key outputs and related materials will be of a high quality and publishable standard</w:t>
      </w:r>
      <w:r>
        <w:t>.</w:t>
      </w:r>
    </w:p>
    <w:p w14:paraId="1A2EA31B" w14:textId="77777777" w:rsidR="00FE18AC" w:rsidRPr="00953127"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368573037"/>
      <w:bookmarkStart w:id="31" w:name="_Toc479696427"/>
      <w:r w:rsidRPr="00953127">
        <w:rPr>
          <w:rFonts w:cs="Arial"/>
          <w:szCs w:val="22"/>
        </w:rPr>
        <w:t>PRICE</w:t>
      </w:r>
      <w:bookmarkEnd w:id="30"/>
      <w:bookmarkEnd w:id="31"/>
    </w:p>
    <w:p w14:paraId="0A3413F6" w14:textId="38811136" w:rsidR="00671798" w:rsidRPr="00953127" w:rsidRDefault="00FE18AC">
      <w:pPr>
        <w:pStyle w:val="Heading2"/>
        <w:tabs>
          <w:tab w:val="num" w:pos="709"/>
        </w:tabs>
        <w:spacing w:after="120"/>
        <w:ind w:left="709" w:hanging="709"/>
      </w:pPr>
      <w:r w:rsidRPr="00953127">
        <w:t>Prices are to be submitted via the e</w:t>
      </w:r>
      <w:r w:rsidR="00F44D62" w:rsidRPr="00953127">
        <w:t>-</w:t>
      </w:r>
      <w:r w:rsidRPr="00953127">
        <w:t>Sourcing Suite</w:t>
      </w:r>
      <w:r w:rsidR="00BD7505" w:rsidRPr="00953127">
        <w:t xml:space="preserve"> using Appendix E pricing table </w:t>
      </w:r>
      <w:r w:rsidRPr="00953127">
        <w:t>excluding VAT</w:t>
      </w:r>
      <w:r w:rsidR="00AE3C65" w:rsidRPr="00953127">
        <w:t>.</w:t>
      </w:r>
      <w:r w:rsidR="009E6474" w:rsidRPr="00953127">
        <w:t xml:space="preserve"> This E</w:t>
      </w:r>
      <w:r w:rsidR="00BD7505" w:rsidRPr="00953127">
        <w:t xml:space="preserve">xcel spreadsheet is to be submitted at question level on the </w:t>
      </w:r>
      <w:r w:rsidR="007533F6">
        <w:t xml:space="preserve">e-Sourcing </w:t>
      </w:r>
      <w:r w:rsidR="00BD7505" w:rsidRPr="00953127">
        <w:t>system</w:t>
      </w:r>
      <w:r w:rsidR="000B6BE1" w:rsidRPr="00953127">
        <w:t>.</w:t>
      </w:r>
    </w:p>
    <w:p w14:paraId="0AEE6CFB" w14:textId="340A1F4F" w:rsidR="00BD7505" w:rsidRPr="00953127" w:rsidRDefault="00BD7505">
      <w:pPr>
        <w:pStyle w:val="Heading2"/>
        <w:tabs>
          <w:tab w:val="num" w:pos="709"/>
        </w:tabs>
        <w:spacing w:after="120"/>
        <w:ind w:left="709" w:hanging="709"/>
      </w:pPr>
      <w:r w:rsidRPr="00953127">
        <w:t xml:space="preserve">The </w:t>
      </w:r>
      <w:r w:rsidR="004F07FC">
        <w:t>b</w:t>
      </w:r>
      <w:r w:rsidRPr="00953127">
        <w:t>udget for th</w:t>
      </w:r>
      <w:r w:rsidR="004F07FC">
        <w:t>is</w:t>
      </w:r>
      <w:r w:rsidRPr="00953127">
        <w:t xml:space="preserve"> requirement is</w:t>
      </w:r>
      <w:r w:rsidR="004F07FC">
        <w:t xml:space="preserve"> capped at </w:t>
      </w:r>
      <w:r w:rsidRPr="00953127">
        <w:t>£</w:t>
      </w:r>
      <w:r w:rsidR="006E6C16" w:rsidRPr="00953127">
        <w:t>75</w:t>
      </w:r>
      <w:r w:rsidR="001D61C7" w:rsidRPr="00953127">
        <w:t>,000</w:t>
      </w:r>
      <w:r w:rsidR="009A011A" w:rsidRPr="00953127">
        <w:t xml:space="preserve"> (exc. VAT)</w:t>
      </w:r>
      <w:r w:rsidRPr="00953127">
        <w:t>, and bids received over this budget will be deemed non-compliant.</w:t>
      </w:r>
    </w:p>
    <w:p w14:paraId="77D79DE4" w14:textId="77777777" w:rsidR="003B004C" w:rsidRPr="00953127" w:rsidRDefault="003B004C" w:rsidP="001D6C0B">
      <w:pPr>
        <w:pStyle w:val="Heading2"/>
        <w:tabs>
          <w:tab w:val="num" w:pos="709"/>
        </w:tabs>
        <w:ind w:left="709" w:hanging="709"/>
      </w:pPr>
      <w:r w:rsidRPr="00953127">
        <w:t>Prices should be inclusive of all expenses and exclusive of VAT.</w:t>
      </w:r>
    </w:p>
    <w:p w14:paraId="25D12353" w14:textId="77777777" w:rsidR="00FE18AC" w:rsidRPr="00953127"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368573038"/>
      <w:bookmarkStart w:id="33" w:name="_Toc479696428"/>
      <w:r w:rsidRPr="00953127">
        <w:rPr>
          <w:rFonts w:cs="Arial"/>
          <w:szCs w:val="22"/>
        </w:rPr>
        <w:t>STAFF AND CUSTOMER SERVICE</w:t>
      </w:r>
      <w:bookmarkEnd w:id="32"/>
      <w:bookmarkEnd w:id="33"/>
    </w:p>
    <w:p w14:paraId="6344E56A" w14:textId="77777777" w:rsidR="00671798" w:rsidRPr="00953127" w:rsidRDefault="00FE18AC">
      <w:pPr>
        <w:pStyle w:val="Heading2"/>
        <w:tabs>
          <w:tab w:val="num" w:pos="709"/>
        </w:tabs>
        <w:spacing w:after="120"/>
        <w:ind w:left="709" w:hanging="709"/>
      </w:pPr>
      <w:r w:rsidRPr="00953127">
        <w:t>The Authority requires the Potential Provider to provide a sufficient level of resource throughout the duration of the</w:t>
      </w:r>
      <w:r w:rsidR="00027F66" w:rsidRPr="00953127">
        <w:t xml:space="preserve"> </w:t>
      </w:r>
      <w:r w:rsidRPr="00953127">
        <w:t>Contract in order to consistently deliver a quality service to all Parties.</w:t>
      </w:r>
    </w:p>
    <w:p w14:paraId="65221189" w14:textId="77777777" w:rsidR="00671798" w:rsidRPr="00C91C12" w:rsidRDefault="00FE18AC">
      <w:pPr>
        <w:pStyle w:val="Heading2"/>
        <w:tabs>
          <w:tab w:val="num" w:pos="709"/>
        </w:tabs>
        <w:spacing w:after="120"/>
        <w:ind w:left="709" w:hanging="709"/>
      </w:pPr>
      <w:bookmarkStart w:id="34" w:name="_GoBack"/>
      <w:bookmarkEnd w:id="34"/>
      <w:r w:rsidRPr="00C91C12">
        <w:t xml:space="preserve">Potential Provider’s staff assigned to the Contract shall have </w:t>
      </w:r>
      <w:r w:rsidR="00E63412" w:rsidRPr="00C91C12">
        <w:t xml:space="preserve">the </w:t>
      </w:r>
      <w:r w:rsidRPr="00C91C12">
        <w:t>relevant qualifications and experience to deliver</w:t>
      </w:r>
      <w:r w:rsidR="00E63412" w:rsidRPr="00C91C12">
        <w:t xml:space="preserve"> the</w:t>
      </w:r>
      <w:r w:rsidR="005D0F47" w:rsidRPr="00C91C12">
        <w:t xml:space="preserve"> Contract.</w:t>
      </w:r>
    </w:p>
    <w:p w14:paraId="6707A28A" w14:textId="77777777" w:rsidR="00671798" w:rsidRPr="00953127" w:rsidRDefault="00FE18AC" w:rsidP="001D6C0B">
      <w:pPr>
        <w:pStyle w:val="Heading2"/>
        <w:tabs>
          <w:tab w:val="num" w:pos="709"/>
        </w:tabs>
        <w:ind w:left="709" w:hanging="709"/>
      </w:pPr>
      <w:r w:rsidRPr="00953127">
        <w:t xml:space="preserve">The Potential Provider shall ensure that staff understand the Authority’s vision and objectives and </w:t>
      </w:r>
      <w:r w:rsidR="00E63412" w:rsidRPr="00953127">
        <w:t xml:space="preserve">will </w:t>
      </w:r>
      <w:r w:rsidRPr="00953127">
        <w:t>provide excellent customer service to the Authority throughout the duration of the Contract.</w:t>
      </w:r>
    </w:p>
    <w:p w14:paraId="2AF365F2" w14:textId="77777777" w:rsidR="00FE18AC" w:rsidRPr="00953127"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5" w:name="_Toc368573039"/>
      <w:bookmarkStart w:id="36" w:name="_Toc479696429"/>
      <w:r w:rsidRPr="00953127">
        <w:rPr>
          <w:rFonts w:cs="Arial"/>
          <w:szCs w:val="22"/>
        </w:rPr>
        <w:t>service levels and performance</w:t>
      </w:r>
      <w:bookmarkEnd w:id="35"/>
      <w:bookmarkEnd w:id="36"/>
    </w:p>
    <w:p w14:paraId="569AB846" w14:textId="177C381E" w:rsidR="003F626A" w:rsidRPr="00953127" w:rsidRDefault="00FE18AC" w:rsidP="00A03561">
      <w:pPr>
        <w:pStyle w:val="Heading2"/>
        <w:tabs>
          <w:tab w:val="num" w:pos="132"/>
          <w:tab w:val="num" w:pos="862"/>
        </w:tabs>
        <w:overflowPunct w:val="0"/>
        <w:autoSpaceDE w:val="0"/>
        <w:autoSpaceDN w:val="0"/>
        <w:spacing w:after="120"/>
        <w:ind w:left="709" w:hanging="709"/>
        <w:textAlignment w:val="baseline"/>
      </w:pPr>
      <w:r w:rsidRPr="00953127">
        <w:t>The Authority will measure the quali</w:t>
      </w:r>
      <w:r w:rsidR="00AC01BA" w:rsidRPr="00953127">
        <w:t xml:space="preserve">ty of the Supplier’s delivery with reference to the key milestones set out in paragraph </w:t>
      </w:r>
      <w:r w:rsidR="007F361E">
        <w:t>7</w:t>
      </w:r>
      <w:r w:rsidR="00AC01BA" w:rsidRPr="00953127">
        <w:t>.</w:t>
      </w:r>
    </w:p>
    <w:p w14:paraId="6C804835" w14:textId="77777777" w:rsidR="00671798" w:rsidRPr="00953127" w:rsidRDefault="00FE18AC">
      <w:pPr>
        <w:pStyle w:val="Heading1"/>
        <w:spacing w:after="120"/>
      </w:pPr>
      <w:bookmarkStart w:id="37" w:name="_Toc368573040"/>
      <w:bookmarkStart w:id="38" w:name="_Toc479696430"/>
      <w:r w:rsidRPr="00953127">
        <w:t>Security requirements</w:t>
      </w:r>
      <w:bookmarkEnd w:id="37"/>
      <w:bookmarkEnd w:id="38"/>
    </w:p>
    <w:p w14:paraId="2C52C615" w14:textId="77777777" w:rsidR="007F361E" w:rsidRPr="007927F4" w:rsidRDefault="007F361E" w:rsidP="009C7A14">
      <w:pPr>
        <w:pStyle w:val="Heading2"/>
        <w:tabs>
          <w:tab w:val="clear" w:pos="1287"/>
        </w:tabs>
        <w:ind w:left="709" w:hanging="709"/>
      </w:pPr>
      <w:r w:rsidRPr="007927F4">
        <w:t>The Supplier will acknowledge and protect all sensitive and confidential information its employees have access to during the contract period.  The Supplier will also ensure their IT security systems are sufficiently robust to prevent confidential and sensitive material being made available in the public domain.</w:t>
      </w:r>
    </w:p>
    <w:p w14:paraId="2A0A5E91" w14:textId="77777777" w:rsidR="003B004C" w:rsidRPr="00953127"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9" w:name="_Toc368573041"/>
      <w:bookmarkStart w:id="40" w:name="_Toc479696431"/>
      <w:r w:rsidRPr="00953127">
        <w:rPr>
          <w:rFonts w:cs="Arial"/>
          <w:szCs w:val="22"/>
        </w:rPr>
        <w:t>intellectual property rights (ipr)</w:t>
      </w:r>
      <w:bookmarkEnd w:id="39"/>
      <w:bookmarkEnd w:id="40"/>
    </w:p>
    <w:p w14:paraId="17FE2E07" w14:textId="7D474763" w:rsidR="00B56171" w:rsidRPr="00FF2F74" w:rsidRDefault="00FF2F74" w:rsidP="00FF2F74">
      <w:pPr>
        <w:pStyle w:val="Heading2"/>
        <w:tabs>
          <w:tab w:val="num" w:pos="709"/>
        </w:tabs>
        <w:ind w:left="709" w:hanging="709"/>
        <w:rPr>
          <w:rFonts w:cs="Arial"/>
          <w:color w:val="000000"/>
          <w:szCs w:val="22"/>
          <w:shd w:val="clear" w:color="auto" w:fill="FFFFFF"/>
        </w:rPr>
      </w:pPr>
      <w:bookmarkStart w:id="41" w:name="_Toc368573042"/>
      <w:r w:rsidRPr="00FF2F74">
        <w:rPr>
          <w:rFonts w:cs="Arial"/>
          <w:color w:val="000000"/>
          <w:szCs w:val="22"/>
          <w:shd w:val="clear" w:color="auto" w:fill="FFFFFF"/>
        </w:rPr>
        <w:t>All competition materials and submissions should be provided to the Commission for credited future use.</w:t>
      </w:r>
    </w:p>
    <w:p w14:paraId="62E1DAC1" w14:textId="77777777" w:rsidR="0081061A" w:rsidRPr="00953127"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2" w:name="_Toc479696432"/>
      <w:r w:rsidRPr="00953127">
        <w:rPr>
          <w:rFonts w:cs="Arial"/>
          <w:szCs w:val="22"/>
        </w:rPr>
        <w:t>payment</w:t>
      </w:r>
      <w:bookmarkEnd w:id="42"/>
    </w:p>
    <w:p w14:paraId="0D920D63" w14:textId="77777777" w:rsidR="00331523" w:rsidRPr="00953127" w:rsidRDefault="0036555C" w:rsidP="006F1F98">
      <w:pPr>
        <w:pStyle w:val="Heading2"/>
        <w:tabs>
          <w:tab w:val="num" w:pos="709"/>
        </w:tabs>
        <w:ind w:left="709" w:hanging="709"/>
        <w:rPr>
          <w:szCs w:val="22"/>
        </w:rPr>
      </w:pPr>
      <w:r w:rsidRPr="00953127">
        <w:rPr>
          <w:rFonts w:cs="Arial"/>
          <w:color w:val="000000"/>
          <w:szCs w:val="22"/>
          <w:shd w:val="clear" w:color="auto" w:fill="FFFFFF"/>
        </w:rPr>
        <w:t>Payment can only be made following satisfactory delivery of pre-agreed certi</w:t>
      </w:r>
      <w:r w:rsidR="005D0F47" w:rsidRPr="00953127">
        <w:rPr>
          <w:rFonts w:cs="Arial"/>
          <w:color w:val="000000"/>
          <w:szCs w:val="22"/>
          <w:shd w:val="clear" w:color="auto" w:fill="FFFFFF"/>
        </w:rPr>
        <w:t>fied products and deliverables.</w:t>
      </w:r>
    </w:p>
    <w:p w14:paraId="37183853" w14:textId="77777777" w:rsidR="0036555C" w:rsidRPr="00953127" w:rsidRDefault="0036555C" w:rsidP="006F1F98">
      <w:pPr>
        <w:pStyle w:val="Heading2"/>
        <w:tabs>
          <w:tab w:val="num" w:pos="709"/>
        </w:tabs>
        <w:ind w:left="709" w:hanging="709"/>
        <w:rPr>
          <w:szCs w:val="22"/>
        </w:rPr>
      </w:pPr>
      <w:r w:rsidRPr="00953127">
        <w:rPr>
          <w:rFonts w:cs="Arial"/>
          <w:color w:val="000000"/>
          <w:szCs w:val="22"/>
          <w:shd w:val="clear" w:color="auto" w:fill="FFFFFF"/>
        </w:rPr>
        <w:t>Before payment can be considered, each invoice must include a detailed elemental breakdown of work comp</w:t>
      </w:r>
      <w:r w:rsidR="005D0F47" w:rsidRPr="00953127">
        <w:rPr>
          <w:rFonts w:cs="Arial"/>
          <w:color w:val="000000"/>
          <w:szCs w:val="22"/>
          <w:shd w:val="clear" w:color="auto" w:fill="FFFFFF"/>
        </w:rPr>
        <w:t>leted and the associated costs.</w:t>
      </w:r>
    </w:p>
    <w:p w14:paraId="3735AC2F" w14:textId="77777777" w:rsidR="00FE18AC" w:rsidRPr="00953127"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3" w:name="_Toc479696433"/>
      <w:r w:rsidRPr="00953127">
        <w:rPr>
          <w:rFonts w:cs="Arial"/>
          <w:szCs w:val="22"/>
        </w:rPr>
        <w:t>additional information</w:t>
      </w:r>
      <w:bookmarkEnd w:id="41"/>
      <w:bookmarkEnd w:id="43"/>
    </w:p>
    <w:p w14:paraId="211B4D5C" w14:textId="77777777" w:rsidR="00671798" w:rsidRPr="00953127" w:rsidRDefault="0007350B" w:rsidP="001D6C0B">
      <w:pPr>
        <w:pStyle w:val="Heading2"/>
        <w:tabs>
          <w:tab w:val="num" w:pos="709"/>
        </w:tabs>
        <w:ind w:left="709" w:hanging="709"/>
      </w:pPr>
      <w:r w:rsidRPr="00953127">
        <w:t>The supplier should demonstrate that they are open to working collaboratively with other suppliers, contracted by the Commission in order to deliver related pieces of analysis.</w:t>
      </w:r>
    </w:p>
    <w:p w14:paraId="2F73846F" w14:textId="77777777" w:rsidR="00671798" w:rsidRPr="00953127" w:rsidRDefault="00FE18AC">
      <w:pPr>
        <w:pStyle w:val="Heading1"/>
        <w:spacing w:after="120"/>
      </w:pPr>
      <w:bookmarkStart w:id="44" w:name="_Toc368573043"/>
      <w:bookmarkStart w:id="45" w:name="_Toc479696434"/>
      <w:bookmarkEnd w:id="19"/>
      <w:r w:rsidRPr="00953127">
        <w:t>Location</w:t>
      </w:r>
      <w:bookmarkEnd w:id="44"/>
      <w:bookmarkEnd w:id="45"/>
    </w:p>
    <w:p w14:paraId="09B8A126" w14:textId="3D0B15D8" w:rsidR="007F361E" w:rsidRDefault="00FE18AC" w:rsidP="006F1F98">
      <w:pPr>
        <w:pStyle w:val="Heading2"/>
        <w:tabs>
          <w:tab w:val="num" w:pos="709"/>
        </w:tabs>
        <w:ind w:left="709" w:hanging="709"/>
      </w:pPr>
      <w:r w:rsidRPr="00953127">
        <w:t xml:space="preserve">The location of the Services will be carried out at </w:t>
      </w:r>
      <w:r w:rsidR="002A72D9" w:rsidRPr="00953127">
        <w:t>the offices of the supplier</w:t>
      </w:r>
      <w:r w:rsidR="00DA4140" w:rsidRPr="00953127">
        <w:t>. H</w:t>
      </w:r>
      <w:r w:rsidR="002A72D9" w:rsidRPr="00953127">
        <w:t>owever frequent meeting</w:t>
      </w:r>
      <w:r w:rsidR="00DE1069" w:rsidRPr="00953127">
        <w:t>s</w:t>
      </w:r>
      <w:r w:rsidR="002A72D9" w:rsidRPr="00953127">
        <w:t xml:space="preserve"> will need to take place with the National Infrastructure Commission </w:t>
      </w:r>
      <w:r w:rsidR="00DA4140" w:rsidRPr="00953127">
        <w:t xml:space="preserve">at the supplier’s offices, or at the Commission’s offices </w:t>
      </w:r>
      <w:r w:rsidR="007F361E">
        <w:t>at</w:t>
      </w:r>
      <w:r w:rsidR="002A72D9" w:rsidRPr="00953127">
        <w:t xml:space="preserve"> </w:t>
      </w:r>
      <w:proofErr w:type="spellStart"/>
      <w:r w:rsidR="00E07C17" w:rsidRPr="00953127">
        <w:t>Eastcheap</w:t>
      </w:r>
      <w:proofErr w:type="spellEnd"/>
      <w:r w:rsidR="00E07C17" w:rsidRPr="00953127">
        <w:t xml:space="preserve"> Court 11 Philpot Lane, London EC3M 8UD</w:t>
      </w:r>
      <w:r w:rsidR="002B025F" w:rsidRPr="00953127">
        <w:t>.</w:t>
      </w:r>
    </w:p>
    <w:p w14:paraId="7DAC7122" w14:textId="2B609E67" w:rsidR="002A72D9" w:rsidRPr="00953127" w:rsidRDefault="007F361E" w:rsidP="006F1F98">
      <w:pPr>
        <w:pStyle w:val="Heading2"/>
        <w:tabs>
          <w:tab w:val="num" w:pos="709"/>
        </w:tabs>
        <w:ind w:left="709" w:hanging="709"/>
      </w:pPr>
      <w:r>
        <w:t>Suppliers should cover the costs of their travel through the original price rather than T&amp;S claims</w:t>
      </w:r>
      <w:r w:rsidR="00A638F1">
        <w:t>. Any expenses raised in relation to travel will be based on the T&amp;S rates as stated in the NIC travel policy.</w:t>
      </w:r>
    </w:p>
    <w:p w14:paraId="5B7D2B3F" w14:textId="77777777" w:rsidR="002F6303" w:rsidRDefault="002F6303" w:rsidP="002A72D9">
      <w:pPr>
        <w:pStyle w:val="Heading2"/>
        <w:numPr>
          <w:ilvl w:val="0"/>
          <w:numId w:val="0"/>
        </w:numPr>
        <w:spacing w:after="120"/>
        <w:ind w:left="709"/>
      </w:pPr>
    </w:p>
    <w:p w14:paraId="6BF10080" w14:textId="77777777" w:rsidR="00926958" w:rsidRPr="002F6303" w:rsidRDefault="002F6303" w:rsidP="007410A7">
      <w:pPr>
        <w:tabs>
          <w:tab w:val="left" w:pos="8205"/>
        </w:tabs>
      </w:pPr>
      <w:r>
        <w:tab/>
      </w:r>
    </w:p>
    <w:sectPr w:rsidR="00926958" w:rsidRPr="002F6303" w:rsidSect="00985B4D">
      <w:headerReference w:type="default" r:id="rId14"/>
      <w:footerReference w:type="default" r:id="rId15"/>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52D7C" w14:textId="77777777" w:rsidR="0036474F" w:rsidRDefault="0036474F">
      <w:pPr>
        <w:spacing w:line="20" w:lineRule="exact"/>
      </w:pPr>
    </w:p>
  </w:endnote>
  <w:endnote w:type="continuationSeparator" w:id="0">
    <w:p w14:paraId="4EBF18DC" w14:textId="77777777" w:rsidR="0036474F" w:rsidRDefault="0036474F">
      <w:pPr>
        <w:spacing w:line="20" w:lineRule="exact"/>
      </w:pPr>
      <w:r>
        <w:t xml:space="preserve"> </w:t>
      </w:r>
    </w:p>
  </w:endnote>
  <w:endnote w:type="continuationNotice" w:id="1">
    <w:p w14:paraId="193D8803" w14:textId="77777777" w:rsidR="0036474F" w:rsidRDefault="0036474F">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20C587F1" w14:textId="77777777" w:rsidR="0036474F" w:rsidRDefault="0036474F"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402F7E43" wp14:editId="790BAA67">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8213B"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54FCF6ED" w14:textId="77777777" w:rsidR="0036474F" w:rsidRPr="00985B4D" w:rsidRDefault="0036474F" w:rsidP="00985B4D">
        <w:pPr>
          <w:pStyle w:val="Footer"/>
          <w:jc w:val="center"/>
          <w:rPr>
            <w:sz w:val="20"/>
            <w:szCs w:val="20"/>
          </w:rPr>
        </w:pPr>
        <w:r w:rsidRPr="00985B4D">
          <w:rPr>
            <w:sz w:val="20"/>
            <w:szCs w:val="20"/>
          </w:rPr>
          <w:t>OFFICIAL</w:t>
        </w:r>
      </w:p>
      <w:p w14:paraId="0799BBCA" w14:textId="77777777" w:rsidR="0036474F" w:rsidRDefault="0036474F">
        <w:pPr>
          <w:pStyle w:val="Footer"/>
          <w:rPr>
            <w:sz w:val="20"/>
            <w:szCs w:val="20"/>
          </w:rPr>
        </w:pPr>
        <w:r w:rsidRPr="00985B4D">
          <w:rPr>
            <w:sz w:val="20"/>
            <w:szCs w:val="20"/>
          </w:rPr>
          <w:t>Appendix B – Statement of Requirements</w:t>
        </w:r>
      </w:p>
      <w:p w14:paraId="6DD0E55D" w14:textId="068B045D" w:rsidR="0036474F" w:rsidRDefault="0036474F">
        <w:pPr>
          <w:pStyle w:val="Footer"/>
          <w:rPr>
            <w:sz w:val="20"/>
            <w:szCs w:val="20"/>
          </w:rPr>
        </w:pPr>
        <w:r>
          <w:rPr>
            <w:sz w:val="20"/>
            <w:szCs w:val="20"/>
          </w:rPr>
          <w:t>Penny Haywood</w:t>
        </w:r>
      </w:p>
      <w:p w14:paraId="5643EA94" w14:textId="7439B314" w:rsidR="0036474F" w:rsidRPr="00985B4D" w:rsidRDefault="0036474F">
        <w:pPr>
          <w:pStyle w:val="Footer"/>
          <w:rPr>
            <w:sz w:val="20"/>
            <w:szCs w:val="20"/>
          </w:rPr>
        </w:pPr>
        <w:r>
          <w:rPr>
            <w:rFonts w:cs="Arial"/>
            <w:color w:val="222222"/>
            <w:sz w:val="19"/>
            <w:szCs w:val="19"/>
            <w:shd w:val="clear" w:color="auto" w:fill="FFFFFF"/>
          </w:rPr>
          <w:t>© Crown copyright 2016</w:t>
        </w:r>
      </w:p>
      <w:p w14:paraId="2FC5F81F" w14:textId="6DB14DF2" w:rsidR="0036474F" w:rsidRPr="00985B4D" w:rsidRDefault="0036474F" w:rsidP="00985B4D">
        <w:pPr>
          <w:pStyle w:val="Footer"/>
          <w:jc w:val="right"/>
          <w:rPr>
            <w:sz w:val="20"/>
            <w:szCs w:val="20"/>
          </w:rPr>
        </w:pPr>
        <w:r>
          <w:rPr>
            <w:sz w:val="20"/>
            <w:szCs w:val="20"/>
          </w:rPr>
          <w:t>V1.0 11</w:t>
        </w:r>
        <w:r w:rsidRPr="00C443CB">
          <w:rPr>
            <w:sz w:val="20"/>
            <w:szCs w:val="20"/>
            <w:vertAlign w:val="superscript"/>
          </w:rPr>
          <w:t>th</w:t>
        </w:r>
        <w:r>
          <w:rPr>
            <w:sz w:val="20"/>
            <w:szCs w:val="20"/>
          </w:rPr>
          <w:t xml:space="preserve"> April 2017</w:t>
        </w:r>
      </w:p>
      <w:p w14:paraId="58CC7887" w14:textId="77777777" w:rsidR="0036474F" w:rsidRDefault="0036474F"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C91C12">
          <w:rPr>
            <w:noProof/>
            <w:sz w:val="20"/>
            <w:szCs w:val="20"/>
          </w:rPr>
          <w:t>8</w:t>
        </w:r>
        <w:r w:rsidRPr="00985B4D">
          <w:rPr>
            <w:noProof/>
            <w:sz w:val="20"/>
            <w:szCs w:val="20"/>
          </w:rPr>
          <w:fldChar w:fldCharType="end"/>
        </w:r>
      </w:p>
    </w:sdtContent>
  </w:sdt>
  <w:p w14:paraId="3738C6E2" w14:textId="77777777" w:rsidR="0036474F" w:rsidRPr="002933F8" w:rsidRDefault="0036474F"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678F3" w14:textId="77777777" w:rsidR="0036474F" w:rsidRDefault="0036474F">
      <w:r>
        <w:separator/>
      </w:r>
    </w:p>
  </w:footnote>
  <w:footnote w:type="continuationSeparator" w:id="0">
    <w:p w14:paraId="1092B7EB" w14:textId="77777777" w:rsidR="0036474F" w:rsidRDefault="0036474F">
      <w:r>
        <w:continuationSeparator/>
      </w:r>
    </w:p>
  </w:footnote>
  <w:footnote w:type="continuationNotice" w:id="1">
    <w:p w14:paraId="76503F7C" w14:textId="77777777" w:rsidR="0036474F" w:rsidRDefault="003647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CB110" w14:textId="77777777" w:rsidR="0036474F" w:rsidRPr="00F44D62" w:rsidRDefault="0036474F"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400FE260" wp14:editId="3C6C4E3F">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29D16EC2" w14:textId="77777777" w:rsidR="0036474F" w:rsidRDefault="0036474F"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1B30065B" w14:textId="77777777" w:rsidR="0036474F" w:rsidRDefault="0036474F" w:rsidP="005334EA">
    <w:pPr>
      <w:tabs>
        <w:tab w:val="center" w:pos="4153"/>
        <w:tab w:val="right" w:pos="8306"/>
      </w:tabs>
      <w:ind w:left="720"/>
      <w:jc w:val="center"/>
      <w:rPr>
        <w:rFonts w:cs="Arial"/>
        <w:sz w:val="20"/>
        <w:szCs w:val="20"/>
      </w:rPr>
    </w:pPr>
    <w:r>
      <w:rPr>
        <w:rFonts w:cs="Arial"/>
        <w:sz w:val="20"/>
        <w:szCs w:val="20"/>
      </w:rPr>
      <w:t xml:space="preserve">Cambridge, Milton Keynes, Oxford and Northampton Growth Corridor: </w:t>
    </w:r>
  </w:p>
  <w:p w14:paraId="6292C7F0" w14:textId="1C708C41" w:rsidR="0036474F" w:rsidRDefault="0036474F" w:rsidP="005334EA">
    <w:pPr>
      <w:tabs>
        <w:tab w:val="center" w:pos="4153"/>
        <w:tab w:val="right" w:pos="8306"/>
      </w:tabs>
      <w:ind w:left="720"/>
      <w:jc w:val="center"/>
      <w:rPr>
        <w:rFonts w:cs="Arial"/>
        <w:sz w:val="20"/>
        <w:szCs w:val="20"/>
      </w:rPr>
    </w:pPr>
    <w:r>
      <w:rPr>
        <w:rFonts w:cs="Arial"/>
        <w:sz w:val="20"/>
        <w:szCs w:val="20"/>
      </w:rPr>
      <w:t>Planning and Delivery Research</w:t>
    </w:r>
  </w:p>
  <w:p w14:paraId="340D3C9F" w14:textId="77777777" w:rsidR="0036474F" w:rsidRPr="009D0EAE" w:rsidRDefault="0036474F" w:rsidP="00E65501">
    <w:pPr>
      <w:tabs>
        <w:tab w:val="center" w:pos="4153"/>
        <w:tab w:val="right" w:pos="8306"/>
      </w:tabs>
      <w:ind w:left="720"/>
      <w:jc w:val="center"/>
      <w:rPr>
        <w:rFonts w:cs="Arial"/>
        <w:sz w:val="20"/>
        <w:szCs w:val="20"/>
        <w:highlight w:val="yellow"/>
      </w:rPr>
    </w:pPr>
    <w:r>
      <w:rPr>
        <w:sz w:val="20"/>
        <w:szCs w:val="20"/>
      </w:rPr>
      <w:t>Contract Reference: CCCC17A42</w:t>
    </w:r>
  </w:p>
  <w:p w14:paraId="7ADB71F4" w14:textId="77777777" w:rsidR="0036474F" w:rsidRPr="00074357" w:rsidRDefault="0036474F" w:rsidP="00074357">
    <w:pPr>
      <w:pStyle w:val="Header"/>
    </w:pPr>
    <w:r>
      <w:rPr>
        <w:noProof/>
        <w:lang w:eastAsia="en-GB"/>
      </w:rPr>
      <mc:AlternateContent>
        <mc:Choice Requires="wps">
          <w:drawing>
            <wp:anchor distT="0" distB="0" distL="114300" distR="114300" simplePos="0" relativeHeight="251658242" behindDoc="0" locked="0" layoutInCell="1" allowOverlap="1" wp14:anchorId="2202AAC5" wp14:editId="5B5DFFE9">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538944"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4" w15:restartNumberingAfterBreak="0">
    <w:nsid w:val="2B20245C"/>
    <w:multiLevelType w:val="hybridMultilevel"/>
    <w:tmpl w:val="198A2D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B43525B"/>
    <w:multiLevelType w:val="hybridMultilevel"/>
    <w:tmpl w:val="49C8DADA"/>
    <w:lvl w:ilvl="0" w:tplc="0809000F">
      <w:start w:val="1"/>
      <w:numFmt w:val="decimal"/>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510B4"/>
    <w:multiLevelType w:val="multilevel"/>
    <w:tmpl w:val="3E6C0CAC"/>
    <w:lvl w:ilvl="0">
      <w:start w:val="6"/>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287"/>
        </w:tabs>
        <w:ind w:left="1287"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4E1C4F42"/>
    <w:multiLevelType w:val="multilevel"/>
    <w:tmpl w:val="B65A1342"/>
    <w:lvl w:ilvl="0">
      <w:start w:val="6"/>
      <w:numFmt w:val="decimal"/>
      <w:lvlRestart w:val="0"/>
      <w:lvlText w:val="%1."/>
      <w:lvlJc w:val="left"/>
      <w:pPr>
        <w:tabs>
          <w:tab w:val="num" w:pos="720"/>
        </w:tabs>
        <w:ind w:left="720" w:hanging="720"/>
      </w:pPr>
      <w:rPr>
        <w:rFonts w:hint="default"/>
        <w:caps w:val="0"/>
        <w:effect w:val="none"/>
      </w:rPr>
    </w:lvl>
    <w:lvl w:ilvl="1">
      <w:start w:val="1"/>
      <w:numFmt w:val="bullet"/>
      <w:lvlText w:val=""/>
      <w:lvlJc w:val="left"/>
      <w:pPr>
        <w:tabs>
          <w:tab w:val="num" w:pos="1287"/>
        </w:tabs>
        <w:ind w:left="1287" w:hanging="720"/>
      </w:pPr>
      <w:rPr>
        <w:rFonts w:ascii="Symbol" w:hAnsi="Symbol"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7026C2B8"/>
    <w:lvl w:ilvl="0">
      <w:start w:val="6"/>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287"/>
        </w:tabs>
        <w:ind w:left="1287" w:hanging="720"/>
      </w:pPr>
      <w:rPr>
        <w:rFonts w:hint="default"/>
        <w:caps w:val="0"/>
        <w:effect w:val="none"/>
      </w:rPr>
    </w:lvl>
    <w:lvl w:ilvl="2">
      <w:start w:val="1"/>
      <w:numFmt w:val="bullet"/>
      <w:pStyle w:val="Heading3"/>
      <w:lvlText w:val=""/>
      <w:lvlJc w:val="left"/>
      <w:pPr>
        <w:tabs>
          <w:tab w:val="num" w:pos="1800"/>
        </w:tabs>
        <w:ind w:left="1800" w:hanging="1080"/>
      </w:pPr>
      <w:rPr>
        <w:rFonts w:ascii="Symbol" w:hAnsi="Symbol" w:hint="default"/>
        <w:b w:val="0"/>
        <w:caps w:val="0"/>
        <w:effect w:val="none"/>
      </w:rPr>
    </w:lvl>
    <w:lvl w:ilvl="3">
      <w:start w:val="1"/>
      <w:numFmt w:val="lowerLetter"/>
      <w:pStyle w:val="Heading4"/>
      <w:lvlText w:val="%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BA31B57"/>
    <w:multiLevelType w:val="hybridMultilevel"/>
    <w:tmpl w:val="38CA19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2"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13"/>
  </w:num>
  <w:num w:numId="3">
    <w:abstractNumId w:val="16"/>
  </w:num>
  <w:num w:numId="4">
    <w:abstractNumId w:val="5"/>
  </w:num>
  <w:num w:numId="5">
    <w:abstractNumId w:val="21"/>
  </w:num>
  <w:num w:numId="6">
    <w:abstractNumId w:val="18"/>
  </w:num>
  <w:num w:numId="7">
    <w:abstractNumId w:val="12"/>
  </w:num>
  <w:num w:numId="8">
    <w:abstractNumId w:val="4"/>
  </w:num>
  <w:num w:numId="9">
    <w:abstractNumId w:val="3"/>
  </w:num>
  <w:num w:numId="10">
    <w:abstractNumId w:val="2"/>
  </w:num>
  <w:num w:numId="11">
    <w:abstractNumId w:val="1"/>
  </w:num>
  <w:num w:numId="12">
    <w:abstractNumId w:val="0"/>
  </w:num>
  <w:num w:numId="13">
    <w:abstractNumId w:val="31"/>
  </w:num>
  <w:num w:numId="14">
    <w:abstractNumId w:val="9"/>
  </w:num>
  <w:num w:numId="15">
    <w:abstractNumId w:val="28"/>
  </w:num>
  <w:num w:numId="16">
    <w:abstractNumId w:val="8"/>
  </w:num>
  <w:num w:numId="17">
    <w:abstractNumId w:val="19"/>
  </w:num>
  <w:num w:numId="18">
    <w:abstractNumId w:val="17"/>
  </w:num>
  <w:num w:numId="19">
    <w:abstractNumId w:val="26"/>
  </w:num>
  <w:num w:numId="20">
    <w:abstractNumId w:val="11"/>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0"/>
  </w:num>
  <w:num w:numId="24">
    <w:abstractNumId w:val="23"/>
  </w:num>
  <w:num w:numId="25">
    <w:abstractNumId w:val="7"/>
  </w:num>
  <w:num w:numId="26">
    <w:abstractNumId w:val="25"/>
  </w:num>
  <w:num w:numId="27">
    <w:abstractNumId w:val="29"/>
  </w:num>
  <w:num w:numId="28">
    <w:abstractNumId w:val="15"/>
  </w:num>
  <w:num w:numId="29">
    <w:abstractNumId w:val="25"/>
  </w:num>
  <w:num w:numId="30">
    <w:abstractNumId w:val="14"/>
  </w:num>
  <w:num w:numId="31">
    <w:abstractNumId w:val="25"/>
  </w:num>
  <w:num w:numId="32">
    <w:abstractNumId w:val="30"/>
  </w:num>
  <w:num w:numId="33">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385"/>
    <w:rsid w:val="00002A5E"/>
    <w:rsid w:val="000033CA"/>
    <w:rsid w:val="00004DDC"/>
    <w:rsid w:val="00005DF9"/>
    <w:rsid w:val="0000639C"/>
    <w:rsid w:val="000067FA"/>
    <w:rsid w:val="00007A30"/>
    <w:rsid w:val="000109A4"/>
    <w:rsid w:val="000110CC"/>
    <w:rsid w:val="00011988"/>
    <w:rsid w:val="00012987"/>
    <w:rsid w:val="0001386E"/>
    <w:rsid w:val="0001408F"/>
    <w:rsid w:val="00014A44"/>
    <w:rsid w:val="00020611"/>
    <w:rsid w:val="000209FA"/>
    <w:rsid w:val="000210E6"/>
    <w:rsid w:val="0002117B"/>
    <w:rsid w:val="000213ED"/>
    <w:rsid w:val="000222C6"/>
    <w:rsid w:val="00022304"/>
    <w:rsid w:val="0002302C"/>
    <w:rsid w:val="0002409B"/>
    <w:rsid w:val="000246B2"/>
    <w:rsid w:val="00024AE7"/>
    <w:rsid w:val="00024B2F"/>
    <w:rsid w:val="0002625E"/>
    <w:rsid w:val="00026CBD"/>
    <w:rsid w:val="00026E28"/>
    <w:rsid w:val="00026EA0"/>
    <w:rsid w:val="00027C05"/>
    <w:rsid w:val="00027F66"/>
    <w:rsid w:val="000318CA"/>
    <w:rsid w:val="0003289F"/>
    <w:rsid w:val="00035A45"/>
    <w:rsid w:val="00037CB6"/>
    <w:rsid w:val="00040A60"/>
    <w:rsid w:val="000459DD"/>
    <w:rsid w:val="00051303"/>
    <w:rsid w:val="00052A65"/>
    <w:rsid w:val="00053DF7"/>
    <w:rsid w:val="0005414E"/>
    <w:rsid w:val="00056F7F"/>
    <w:rsid w:val="00060D0E"/>
    <w:rsid w:val="000620F1"/>
    <w:rsid w:val="000631DE"/>
    <w:rsid w:val="000645CC"/>
    <w:rsid w:val="00065D74"/>
    <w:rsid w:val="00066CB6"/>
    <w:rsid w:val="00066D70"/>
    <w:rsid w:val="000675A1"/>
    <w:rsid w:val="0007040F"/>
    <w:rsid w:val="000717BE"/>
    <w:rsid w:val="0007280F"/>
    <w:rsid w:val="00072D38"/>
    <w:rsid w:val="0007350B"/>
    <w:rsid w:val="00073BCD"/>
    <w:rsid w:val="00074357"/>
    <w:rsid w:val="00074D97"/>
    <w:rsid w:val="00074DC0"/>
    <w:rsid w:val="00074DD6"/>
    <w:rsid w:val="000763EA"/>
    <w:rsid w:val="00076448"/>
    <w:rsid w:val="00080989"/>
    <w:rsid w:val="000812AE"/>
    <w:rsid w:val="0008330B"/>
    <w:rsid w:val="00090D6B"/>
    <w:rsid w:val="000910A7"/>
    <w:rsid w:val="00092145"/>
    <w:rsid w:val="00092C56"/>
    <w:rsid w:val="00094E2D"/>
    <w:rsid w:val="00095CF9"/>
    <w:rsid w:val="00096F76"/>
    <w:rsid w:val="00097EBA"/>
    <w:rsid w:val="000A0BB0"/>
    <w:rsid w:val="000A0C5F"/>
    <w:rsid w:val="000A0D22"/>
    <w:rsid w:val="000A1031"/>
    <w:rsid w:val="000A462F"/>
    <w:rsid w:val="000A5E95"/>
    <w:rsid w:val="000A65E5"/>
    <w:rsid w:val="000A72F8"/>
    <w:rsid w:val="000B12A9"/>
    <w:rsid w:val="000B1C66"/>
    <w:rsid w:val="000B29B2"/>
    <w:rsid w:val="000B34FA"/>
    <w:rsid w:val="000B4297"/>
    <w:rsid w:val="000B4955"/>
    <w:rsid w:val="000B5C9F"/>
    <w:rsid w:val="000B6BE1"/>
    <w:rsid w:val="000B7E75"/>
    <w:rsid w:val="000C1D0A"/>
    <w:rsid w:val="000C2484"/>
    <w:rsid w:val="000C2E05"/>
    <w:rsid w:val="000C68BF"/>
    <w:rsid w:val="000C6BD6"/>
    <w:rsid w:val="000C7C2B"/>
    <w:rsid w:val="000D3719"/>
    <w:rsid w:val="000D4605"/>
    <w:rsid w:val="000D67EA"/>
    <w:rsid w:val="000E031B"/>
    <w:rsid w:val="000E0400"/>
    <w:rsid w:val="000E2ACA"/>
    <w:rsid w:val="000E4C53"/>
    <w:rsid w:val="000E6052"/>
    <w:rsid w:val="000F0FD4"/>
    <w:rsid w:val="000F232D"/>
    <w:rsid w:val="000F28A7"/>
    <w:rsid w:val="000F3348"/>
    <w:rsid w:val="000F3500"/>
    <w:rsid w:val="000F3E1D"/>
    <w:rsid w:val="000F52E6"/>
    <w:rsid w:val="000F77F7"/>
    <w:rsid w:val="00100B77"/>
    <w:rsid w:val="0010318E"/>
    <w:rsid w:val="001040CE"/>
    <w:rsid w:val="0010453E"/>
    <w:rsid w:val="0010577C"/>
    <w:rsid w:val="00105FBC"/>
    <w:rsid w:val="00106F24"/>
    <w:rsid w:val="001070F5"/>
    <w:rsid w:val="00110F67"/>
    <w:rsid w:val="00113459"/>
    <w:rsid w:val="00113CF2"/>
    <w:rsid w:val="00115535"/>
    <w:rsid w:val="00116A68"/>
    <w:rsid w:val="001173D2"/>
    <w:rsid w:val="001223EC"/>
    <w:rsid w:val="00122891"/>
    <w:rsid w:val="00123FAD"/>
    <w:rsid w:val="001245F5"/>
    <w:rsid w:val="00124ABA"/>
    <w:rsid w:val="00125455"/>
    <w:rsid w:val="001256D9"/>
    <w:rsid w:val="0012683D"/>
    <w:rsid w:val="001313AB"/>
    <w:rsid w:val="00131AF8"/>
    <w:rsid w:val="001321F1"/>
    <w:rsid w:val="00133ADF"/>
    <w:rsid w:val="00133D49"/>
    <w:rsid w:val="00133FC1"/>
    <w:rsid w:val="001345B2"/>
    <w:rsid w:val="00134C60"/>
    <w:rsid w:val="00135690"/>
    <w:rsid w:val="001360AB"/>
    <w:rsid w:val="001368D7"/>
    <w:rsid w:val="00136BDD"/>
    <w:rsid w:val="00136D23"/>
    <w:rsid w:val="0013718C"/>
    <w:rsid w:val="0013771E"/>
    <w:rsid w:val="00141017"/>
    <w:rsid w:val="0014187A"/>
    <w:rsid w:val="00142F8E"/>
    <w:rsid w:val="00144867"/>
    <w:rsid w:val="00144F3B"/>
    <w:rsid w:val="00145725"/>
    <w:rsid w:val="00147DA6"/>
    <w:rsid w:val="001548AC"/>
    <w:rsid w:val="0015551D"/>
    <w:rsid w:val="00156231"/>
    <w:rsid w:val="00156571"/>
    <w:rsid w:val="0015696A"/>
    <w:rsid w:val="00156E2F"/>
    <w:rsid w:val="00157D99"/>
    <w:rsid w:val="00161A2F"/>
    <w:rsid w:val="0016322B"/>
    <w:rsid w:val="0016383C"/>
    <w:rsid w:val="00166057"/>
    <w:rsid w:val="00166299"/>
    <w:rsid w:val="0017017C"/>
    <w:rsid w:val="0017225B"/>
    <w:rsid w:val="00173352"/>
    <w:rsid w:val="00173415"/>
    <w:rsid w:val="0017368C"/>
    <w:rsid w:val="001742E4"/>
    <w:rsid w:val="00176CBE"/>
    <w:rsid w:val="00176DF8"/>
    <w:rsid w:val="001779D0"/>
    <w:rsid w:val="00177F1E"/>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09AF"/>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2D70"/>
    <w:rsid w:val="001D2D99"/>
    <w:rsid w:val="001D3018"/>
    <w:rsid w:val="001D54F2"/>
    <w:rsid w:val="001D5C65"/>
    <w:rsid w:val="001D5D6E"/>
    <w:rsid w:val="001D61C7"/>
    <w:rsid w:val="001D6212"/>
    <w:rsid w:val="001D6C0B"/>
    <w:rsid w:val="001E13B3"/>
    <w:rsid w:val="001E378F"/>
    <w:rsid w:val="001E3BC9"/>
    <w:rsid w:val="001E49D6"/>
    <w:rsid w:val="001E70A7"/>
    <w:rsid w:val="001F0B69"/>
    <w:rsid w:val="001F13E1"/>
    <w:rsid w:val="001F2926"/>
    <w:rsid w:val="001F2F1C"/>
    <w:rsid w:val="001F300D"/>
    <w:rsid w:val="001F3B05"/>
    <w:rsid w:val="001F4B65"/>
    <w:rsid w:val="002014DC"/>
    <w:rsid w:val="00201DF1"/>
    <w:rsid w:val="00202978"/>
    <w:rsid w:val="00202DAB"/>
    <w:rsid w:val="0020431B"/>
    <w:rsid w:val="00204498"/>
    <w:rsid w:val="00205CD6"/>
    <w:rsid w:val="00206015"/>
    <w:rsid w:val="00206207"/>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3BB"/>
    <w:rsid w:val="00241853"/>
    <w:rsid w:val="00243547"/>
    <w:rsid w:val="00245B30"/>
    <w:rsid w:val="00246795"/>
    <w:rsid w:val="00250446"/>
    <w:rsid w:val="002510F5"/>
    <w:rsid w:val="00251900"/>
    <w:rsid w:val="00253B72"/>
    <w:rsid w:val="00255418"/>
    <w:rsid w:val="00255AF3"/>
    <w:rsid w:val="00255F6A"/>
    <w:rsid w:val="00256FC8"/>
    <w:rsid w:val="00257039"/>
    <w:rsid w:val="00257F38"/>
    <w:rsid w:val="002600C6"/>
    <w:rsid w:val="002608F4"/>
    <w:rsid w:val="00260EF5"/>
    <w:rsid w:val="0026119D"/>
    <w:rsid w:val="002630FA"/>
    <w:rsid w:val="002634FE"/>
    <w:rsid w:val="002649FC"/>
    <w:rsid w:val="00266FA5"/>
    <w:rsid w:val="0027062E"/>
    <w:rsid w:val="002723EE"/>
    <w:rsid w:val="00273E03"/>
    <w:rsid w:val="00274391"/>
    <w:rsid w:val="00274416"/>
    <w:rsid w:val="0027486D"/>
    <w:rsid w:val="0027588D"/>
    <w:rsid w:val="00277524"/>
    <w:rsid w:val="00280B5B"/>
    <w:rsid w:val="002826D7"/>
    <w:rsid w:val="002848C1"/>
    <w:rsid w:val="0028697F"/>
    <w:rsid w:val="00286F62"/>
    <w:rsid w:val="002876FE"/>
    <w:rsid w:val="00287C83"/>
    <w:rsid w:val="002911D2"/>
    <w:rsid w:val="00291584"/>
    <w:rsid w:val="002933F8"/>
    <w:rsid w:val="00297D77"/>
    <w:rsid w:val="002A08BF"/>
    <w:rsid w:val="002A5258"/>
    <w:rsid w:val="002A6A42"/>
    <w:rsid w:val="002A6BE4"/>
    <w:rsid w:val="002A72D9"/>
    <w:rsid w:val="002A7D10"/>
    <w:rsid w:val="002A7DA6"/>
    <w:rsid w:val="002B025F"/>
    <w:rsid w:val="002B1E1B"/>
    <w:rsid w:val="002B407C"/>
    <w:rsid w:val="002B43BE"/>
    <w:rsid w:val="002B4FD0"/>
    <w:rsid w:val="002B55ED"/>
    <w:rsid w:val="002B5AEB"/>
    <w:rsid w:val="002B5C29"/>
    <w:rsid w:val="002B6278"/>
    <w:rsid w:val="002B6B18"/>
    <w:rsid w:val="002B6FD7"/>
    <w:rsid w:val="002B744B"/>
    <w:rsid w:val="002C0543"/>
    <w:rsid w:val="002C1AF6"/>
    <w:rsid w:val="002C1DE8"/>
    <w:rsid w:val="002C2D54"/>
    <w:rsid w:val="002C3316"/>
    <w:rsid w:val="002C4729"/>
    <w:rsid w:val="002C519F"/>
    <w:rsid w:val="002C538F"/>
    <w:rsid w:val="002C671C"/>
    <w:rsid w:val="002D268A"/>
    <w:rsid w:val="002D2841"/>
    <w:rsid w:val="002D3A27"/>
    <w:rsid w:val="002D615D"/>
    <w:rsid w:val="002D633A"/>
    <w:rsid w:val="002D7AC9"/>
    <w:rsid w:val="002E05A6"/>
    <w:rsid w:val="002E5436"/>
    <w:rsid w:val="002E6400"/>
    <w:rsid w:val="002F13FD"/>
    <w:rsid w:val="002F1F7F"/>
    <w:rsid w:val="002F3129"/>
    <w:rsid w:val="002F42F4"/>
    <w:rsid w:val="002F6303"/>
    <w:rsid w:val="002F7AA1"/>
    <w:rsid w:val="003000F4"/>
    <w:rsid w:val="0030038A"/>
    <w:rsid w:val="0030185A"/>
    <w:rsid w:val="0030285B"/>
    <w:rsid w:val="00302B20"/>
    <w:rsid w:val="0030439A"/>
    <w:rsid w:val="003047E0"/>
    <w:rsid w:val="0030606A"/>
    <w:rsid w:val="003066E9"/>
    <w:rsid w:val="00312A3D"/>
    <w:rsid w:val="00315091"/>
    <w:rsid w:val="00315C76"/>
    <w:rsid w:val="0032065B"/>
    <w:rsid w:val="00321801"/>
    <w:rsid w:val="00323541"/>
    <w:rsid w:val="00323EAA"/>
    <w:rsid w:val="00330C5C"/>
    <w:rsid w:val="00331523"/>
    <w:rsid w:val="003316AA"/>
    <w:rsid w:val="00331A4B"/>
    <w:rsid w:val="00333D28"/>
    <w:rsid w:val="003341DC"/>
    <w:rsid w:val="00336059"/>
    <w:rsid w:val="0034369B"/>
    <w:rsid w:val="003438D3"/>
    <w:rsid w:val="00343C78"/>
    <w:rsid w:val="00343E5F"/>
    <w:rsid w:val="00346A23"/>
    <w:rsid w:val="00347685"/>
    <w:rsid w:val="00347B54"/>
    <w:rsid w:val="00347DB3"/>
    <w:rsid w:val="00352261"/>
    <w:rsid w:val="00353191"/>
    <w:rsid w:val="00353EC0"/>
    <w:rsid w:val="00354A9C"/>
    <w:rsid w:val="003550DB"/>
    <w:rsid w:val="003577BF"/>
    <w:rsid w:val="00357E6F"/>
    <w:rsid w:val="00361F72"/>
    <w:rsid w:val="003627B1"/>
    <w:rsid w:val="00362E9E"/>
    <w:rsid w:val="003631FE"/>
    <w:rsid w:val="00363D74"/>
    <w:rsid w:val="0036474F"/>
    <w:rsid w:val="00364FCA"/>
    <w:rsid w:val="0036555C"/>
    <w:rsid w:val="0036574F"/>
    <w:rsid w:val="003660F6"/>
    <w:rsid w:val="00366F85"/>
    <w:rsid w:val="00367E6A"/>
    <w:rsid w:val="00370423"/>
    <w:rsid w:val="003729F0"/>
    <w:rsid w:val="00373767"/>
    <w:rsid w:val="0037496E"/>
    <w:rsid w:val="0037526E"/>
    <w:rsid w:val="00375AE9"/>
    <w:rsid w:val="00376922"/>
    <w:rsid w:val="00376FF7"/>
    <w:rsid w:val="003770F8"/>
    <w:rsid w:val="0038049D"/>
    <w:rsid w:val="00386338"/>
    <w:rsid w:val="00386706"/>
    <w:rsid w:val="003874EB"/>
    <w:rsid w:val="003908EB"/>
    <w:rsid w:val="00390BC3"/>
    <w:rsid w:val="0039193D"/>
    <w:rsid w:val="00396B62"/>
    <w:rsid w:val="003A0CDA"/>
    <w:rsid w:val="003A199A"/>
    <w:rsid w:val="003A21C8"/>
    <w:rsid w:val="003A2C48"/>
    <w:rsid w:val="003A4DD7"/>
    <w:rsid w:val="003B004C"/>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3109"/>
    <w:rsid w:val="003D387B"/>
    <w:rsid w:val="003D4366"/>
    <w:rsid w:val="003D4F07"/>
    <w:rsid w:val="003D52B7"/>
    <w:rsid w:val="003D6D0B"/>
    <w:rsid w:val="003E25C9"/>
    <w:rsid w:val="003E3E8C"/>
    <w:rsid w:val="003E4FA3"/>
    <w:rsid w:val="003E7509"/>
    <w:rsid w:val="003F06FF"/>
    <w:rsid w:val="003F1C5D"/>
    <w:rsid w:val="003F626A"/>
    <w:rsid w:val="00400F7C"/>
    <w:rsid w:val="00401C86"/>
    <w:rsid w:val="00402F0D"/>
    <w:rsid w:val="00404F9C"/>
    <w:rsid w:val="0040508D"/>
    <w:rsid w:val="00405A77"/>
    <w:rsid w:val="004107B5"/>
    <w:rsid w:val="004126C0"/>
    <w:rsid w:val="004128DA"/>
    <w:rsid w:val="00413A43"/>
    <w:rsid w:val="004147A7"/>
    <w:rsid w:val="00415016"/>
    <w:rsid w:val="0041576D"/>
    <w:rsid w:val="00416045"/>
    <w:rsid w:val="00422823"/>
    <w:rsid w:val="0042602C"/>
    <w:rsid w:val="00426AB4"/>
    <w:rsid w:val="00427A64"/>
    <w:rsid w:val="0043003F"/>
    <w:rsid w:val="00430054"/>
    <w:rsid w:val="004300D8"/>
    <w:rsid w:val="0043067F"/>
    <w:rsid w:val="004324B4"/>
    <w:rsid w:val="00433761"/>
    <w:rsid w:val="004401D5"/>
    <w:rsid w:val="00442EDE"/>
    <w:rsid w:val="0044557A"/>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82435"/>
    <w:rsid w:val="004848F6"/>
    <w:rsid w:val="004900A1"/>
    <w:rsid w:val="004909B0"/>
    <w:rsid w:val="0049625F"/>
    <w:rsid w:val="0049664B"/>
    <w:rsid w:val="004967E2"/>
    <w:rsid w:val="004968A8"/>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C6B6A"/>
    <w:rsid w:val="004D0392"/>
    <w:rsid w:val="004D0A59"/>
    <w:rsid w:val="004D1EED"/>
    <w:rsid w:val="004D22DF"/>
    <w:rsid w:val="004D267E"/>
    <w:rsid w:val="004D2D01"/>
    <w:rsid w:val="004D34B9"/>
    <w:rsid w:val="004D4D43"/>
    <w:rsid w:val="004D4E92"/>
    <w:rsid w:val="004D507C"/>
    <w:rsid w:val="004D5500"/>
    <w:rsid w:val="004E1F9F"/>
    <w:rsid w:val="004E445C"/>
    <w:rsid w:val="004E4FA3"/>
    <w:rsid w:val="004E507A"/>
    <w:rsid w:val="004E6FB0"/>
    <w:rsid w:val="004E70A8"/>
    <w:rsid w:val="004E78BC"/>
    <w:rsid w:val="004F0398"/>
    <w:rsid w:val="004F07FC"/>
    <w:rsid w:val="004F2229"/>
    <w:rsid w:val="004F2D68"/>
    <w:rsid w:val="004F4472"/>
    <w:rsid w:val="004F4E7F"/>
    <w:rsid w:val="004F6B43"/>
    <w:rsid w:val="004F6EE0"/>
    <w:rsid w:val="0050062B"/>
    <w:rsid w:val="005009A0"/>
    <w:rsid w:val="0050116C"/>
    <w:rsid w:val="00502279"/>
    <w:rsid w:val="00502DB6"/>
    <w:rsid w:val="00503C01"/>
    <w:rsid w:val="0050537E"/>
    <w:rsid w:val="00505473"/>
    <w:rsid w:val="005054EC"/>
    <w:rsid w:val="005147A1"/>
    <w:rsid w:val="005147FE"/>
    <w:rsid w:val="00515D51"/>
    <w:rsid w:val="00516014"/>
    <w:rsid w:val="00517904"/>
    <w:rsid w:val="0052086C"/>
    <w:rsid w:val="00522AAC"/>
    <w:rsid w:val="0052365A"/>
    <w:rsid w:val="0052487A"/>
    <w:rsid w:val="00527040"/>
    <w:rsid w:val="00527DC0"/>
    <w:rsid w:val="00531417"/>
    <w:rsid w:val="0053220D"/>
    <w:rsid w:val="005334EA"/>
    <w:rsid w:val="00533F76"/>
    <w:rsid w:val="005364E3"/>
    <w:rsid w:val="0055006C"/>
    <w:rsid w:val="00551203"/>
    <w:rsid w:val="00551397"/>
    <w:rsid w:val="00555DEF"/>
    <w:rsid w:val="005571B2"/>
    <w:rsid w:val="0056090F"/>
    <w:rsid w:val="00561997"/>
    <w:rsid w:val="00561AE0"/>
    <w:rsid w:val="00561BB6"/>
    <w:rsid w:val="00563F76"/>
    <w:rsid w:val="00564CCA"/>
    <w:rsid w:val="00565581"/>
    <w:rsid w:val="0056660C"/>
    <w:rsid w:val="00566E13"/>
    <w:rsid w:val="005750D7"/>
    <w:rsid w:val="005750F5"/>
    <w:rsid w:val="005759DD"/>
    <w:rsid w:val="00576C34"/>
    <w:rsid w:val="00581887"/>
    <w:rsid w:val="005821EF"/>
    <w:rsid w:val="0058297A"/>
    <w:rsid w:val="0058409F"/>
    <w:rsid w:val="00586208"/>
    <w:rsid w:val="00586640"/>
    <w:rsid w:val="00586CC2"/>
    <w:rsid w:val="00590EF1"/>
    <w:rsid w:val="00590FFC"/>
    <w:rsid w:val="0059218C"/>
    <w:rsid w:val="005924FF"/>
    <w:rsid w:val="00593CFF"/>
    <w:rsid w:val="00597B02"/>
    <w:rsid w:val="005A137B"/>
    <w:rsid w:val="005A1F60"/>
    <w:rsid w:val="005A302E"/>
    <w:rsid w:val="005A40FD"/>
    <w:rsid w:val="005A49EA"/>
    <w:rsid w:val="005A5678"/>
    <w:rsid w:val="005B228D"/>
    <w:rsid w:val="005B28B1"/>
    <w:rsid w:val="005B2BA5"/>
    <w:rsid w:val="005B3533"/>
    <w:rsid w:val="005B466A"/>
    <w:rsid w:val="005B4A89"/>
    <w:rsid w:val="005C0826"/>
    <w:rsid w:val="005C2951"/>
    <w:rsid w:val="005C3B95"/>
    <w:rsid w:val="005C6291"/>
    <w:rsid w:val="005C6503"/>
    <w:rsid w:val="005C7E38"/>
    <w:rsid w:val="005D0F47"/>
    <w:rsid w:val="005D1196"/>
    <w:rsid w:val="005D2362"/>
    <w:rsid w:val="005D2C93"/>
    <w:rsid w:val="005D30B0"/>
    <w:rsid w:val="005D37B3"/>
    <w:rsid w:val="005D3A7A"/>
    <w:rsid w:val="005E00DA"/>
    <w:rsid w:val="005E128F"/>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598"/>
    <w:rsid w:val="00613C61"/>
    <w:rsid w:val="0061609B"/>
    <w:rsid w:val="00616BD2"/>
    <w:rsid w:val="00617027"/>
    <w:rsid w:val="00621E34"/>
    <w:rsid w:val="006231D2"/>
    <w:rsid w:val="00627B4B"/>
    <w:rsid w:val="00627D1B"/>
    <w:rsid w:val="0063134B"/>
    <w:rsid w:val="00631AE2"/>
    <w:rsid w:val="00632838"/>
    <w:rsid w:val="00633262"/>
    <w:rsid w:val="00634283"/>
    <w:rsid w:val="00635B31"/>
    <w:rsid w:val="00636209"/>
    <w:rsid w:val="00636E2D"/>
    <w:rsid w:val="006373DB"/>
    <w:rsid w:val="00641ACD"/>
    <w:rsid w:val="00642935"/>
    <w:rsid w:val="0064354C"/>
    <w:rsid w:val="00644149"/>
    <w:rsid w:val="006455A0"/>
    <w:rsid w:val="006457AD"/>
    <w:rsid w:val="0064629E"/>
    <w:rsid w:val="00646588"/>
    <w:rsid w:val="00646B4C"/>
    <w:rsid w:val="006502CE"/>
    <w:rsid w:val="00650B3E"/>
    <w:rsid w:val="00651936"/>
    <w:rsid w:val="00651AAD"/>
    <w:rsid w:val="00653D40"/>
    <w:rsid w:val="00654173"/>
    <w:rsid w:val="006549BE"/>
    <w:rsid w:val="00655478"/>
    <w:rsid w:val="00657AFA"/>
    <w:rsid w:val="00657DE2"/>
    <w:rsid w:val="006600A8"/>
    <w:rsid w:val="00660E0B"/>
    <w:rsid w:val="006641E1"/>
    <w:rsid w:val="006645BF"/>
    <w:rsid w:val="006668EE"/>
    <w:rsid w:val="00667895"/>
    <w:rsid w:val="00670F96"/>
    <w:rsid w:val="00671798"/>
    <w:rsid w:val="00671C2E"/>
    <w:rsid w:val="0067435C"/>
    <w:rsid w:val="006754B9"/>
    <w:rsid w:val="006772C0"/>
    <w:rsid w:val="00680C72"/>
    <w:rsid w:val="00682677"/>
    <w:rsid w:val="00683380"/>
    <w:rsid w:val="006849F7"/>
    <w:rsid w:val="00684CF6"/>
    <w:rsid w:val="00684FF6"/>
    <w:rsid w:val="0068585D"/>
    <w:rsid w:val="00685E8D"/>
    <w:rsid w:val="0068678A"/>
    <w:rsid w:val="0069053C"/>
    <w:rsid w:val="006912BA"/>
    <w:rsid w:val="0069239F"/>
    <w:rsid w:val="00693308"/>
    <w:rsid w:val="00693924"/>
    <w:rsid w:val="00693F15"/>
    <w:rsid w:val="006940AD"/>
    <w:rsid w:val="0069520A"/>
    <w:rsid w:val="006968E6"/>
    <w:rsid w:val="00696C12"/>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350"/>
    <w:rsid w:val="006C466F"/>
    <w:rsid w:val="006C58DD"/>
    <w:rsid w:val="006C6A28"/>
    <w:rsid w:val="006C7377"/>
    <w:rsid w:val="006C7DED"/>
    <w:rsid w:val="006D0B91"/>
    <w:rsid w:val="006D0FFC"/>
    <w:rsid w:val="006D2324"/>
    <w:rsid w:val="006D25F8"/>
    <w:rsid w:val="006D3910"/>
    <w:rsid w:val="006D50D6"/>
    <w:rsid w:val="006D5BAD"/>
    <w:rsid w:val="006D6196"/>
    <w:rsid w:val="006D64A7"/>
    <w:rsid w:val="006D7362"/>
    <w:rsid w:val="006E13AE"/>
    <w:rsid w:val="006E28A2"/>
    <w:rsid w:val="006E2B5B"/>
    <w:rsid w:val="006E5B51"/>
    <w:rsid w:val="006E5FFB"/>
    <w:rsid w:val="006E6C16"/>
    <w:rsid w:val="006F098A"/>
    <w:rsid w:val="006F0C06"/>
    <w:rsid w:val="006F1F98"/>
    <w:rsid w:val="006F299C"/>
    <w:rsid w:val="006F29AA"/>
    <w:rsid w:val="006F3A15"/>
    <w:rsid w:val="006F406B"/>
    <w:rsid w:val="006F46DC"/>
    <w:rsid w:val="006F490F"/>
    <w:rsid w:val="006F5CE9"/>
    <w:rsid w:val="006F6878"/>
    <w:rsid w:val="006F6F85"/>
    <w:rsid w:val="006F731C"/>
    <w:rsid w:val="007003CC"/>
    <w:rsid w:val="00702C1F"/>
    <w:rsid w:val="00704A4D"/>
    <w:rsid w:val="00706FCC"/>
    <w:rsid w:val="0071007E"/>
    <w:rsid w:val="00710375"/>
    <w:rsid w:val="007104DC"/>
    <w:rsid w:val="007110A9"/>
    <w:rsid w:val="007145F1"/>
    <w:rsid w:val="0072081F"/>
    <w:rsid w:val="007217F8"/>
    <w:rsid w:val="007247EF"/>
    <w:rsid w:val="00724885"/>
    <w:rsid w:val="0072571A"/>
    <w:rsid w:val="00733ACF"/>
    <w:rsid w:val="0073405F"/>
    <w:rsid w:val="0073540C"/>
    <w:rsid w:val="00735596"/>
    <w:rsid w:val="00735D7F"/>
    <w:rsid w:val="00740B2E"/>
    <w:rsid w:val="007410A7"/>
    <w:rsid w:val="007411D4"/>
    <w:rsid w:val="007435B9"/>
    <w:rsid w:val="00743726"/>
    <w:rsid w:val="00745FE8"/>
    <w:rsid w:val="0074633E"/>
    <w:rsid w:val="0075002B"/>
    <w:rsid w:val="0075008F"/>
    <w:rsid w:val="007533F6"/>
    <w:rsid w:val="00753744"/>
    <w:rsid w:val="00753ABE"/>
    <w:rsid w:val="0075444C"/>
    <w:rsid w:val="007547D1"/>
    <w:rsid w:val="00755A73"/>
    <w:rsid w:val="00756064"/>
    <w:rsid w:val="007569B8"/>
    <w:rsid w:val="007603EE"/>
    <w:rsid w:val="00760E17"/>
    <w:rsid w:val="0076417D"/>
    <w:rsid w:val="007667BD"/>
    <w:rsid w:val="0077082E"/>
    <w:rsid w:val="00770F75"/>
    <w:rsid w:val="0077138F"/>
    <w:rsid w:val="00772062"/>
    <w:rsid w:val="007723BF"/>
    <w:rsid w:val="007734A2"/>
    <w:rsid w:val="007734F9"/>
    <w:rsid w:val="00773C5A"/>
    <w:rsid w:val="007742BD"/>
    <w:rsid w:val="0078132F"/>
    <w:rsid w:val="00781B53"/>
    <w:rsid w:val="00781F72"/>
    <w:rsid w:val="007824B9"/>
    <w:rsid w:val="007824FA"/>
    <w:rsid w:val="007838E0"/>
    <w:rsid w:val="0078409F"/>
    <w:rsid w:val="00784548"/>
    <w:rsid w:val="00786DB6"/>
    <w:rsid w:val="00787149"/>
    <w:rsid w:val="007908A1"/>
    <w:rsid w:val="00791568"/>
    <w:rsid w:val="00791D0C"/>
    <w:rsid w:val="00791F7F"/>
    <w:rsid w:val="00792660"/>
    <w:rsid w:val="00792A76"/>
    <w:rsid w:val="00792F41"/>
    <w:rsid w:val="00793CFE"/>
    <w:rsid w:val="00795048"/>
    <w:rsid w:val="007957E7"/>
    <w:rsid w:val="00797375"/>
    <w:rsid w:val="007A004A"/>
    <w:rsid w:val="007A1EDB"/>
    <w:rsid w:val="007A2DF8"/>
    <w:rsid w:val="007A3944"/>
    <w:rsid w:val="007A4212"/>
    <w:rsid w:val="007A5C92"/>
    <w:rsid w:val="007A60AE"/>
    <w:rsid w:val="007A6776"/>
    <w:rsid w:val="007A7E53"/>
    <w:rsid w:val="007B22E8"/>
    <w:rsid w:val="007B3FCD"/>
    <w:rsid w:val="007B5019"/>
    <w:rsid w:val="007B52CD"/>
    <w:rsid w:val="007B7B17"/>
    <w:rsid w:val="007C33F9"/>
    <w:rsid w:val="007C389F"/>
    <w:rsid w:val="007C501C"/>
    <w:rsid w:val="007C59BE"/>
    <w:rsid w:val="007C69BD"/>
    <w:rsid w:val="007C79FC"/>
    <w:rsid w:val="007D04CE"/>
    <w:rsid w:val="007D05CF"/>
    <w:rsid w:val="007D1C75"/>
    <w:rsid w:val="007D27F0"/>
    <w:rsid w:val="007D4124"/>
    <w:rsid w:val="007D431E"/>
    <w:rsid w:val="007D4AF7"/>
    <w:rsid w:val="007D5356"/>
    <w:rsid w:val="007D55D7"/>
    <w:rsid w:val="007D5C41"/>
    <w:rsid w:val="007D6207"/>
    <w:rsid w:val="007D7EEC"/>
    <w:rsid w:val="007E02FB"/>
    <w:rsid w:val="007E1C0F"/>
    <w:rsid w:val="007E37D6"/>
    <w:rsid w:val="007E3BEA"/>
    <w:rsid w:val="007E4D19"/>
    <w:rsid w:val="007E4FA5"/>
    <w:rsid w:val="007E52E2"/>
    <w:rsid w:val="007E581E"/>
    <w:rsid w:val="007E5ED3"/>
    <w:rsid w:val="007E69D2"/>
    <w:rsid w:val="007F04BC"/>
    <w:rsid w:val="007F062B"/>
    <w:rsid w:val="007F255C"/>
    <w:rsid w:val="007F361E"/>
    <w:rsid w:val="007F48F8"/>
    <w:rsid w:val="007F521C"/>
    <w:rsid w:val="007F6E2C"/>
    <w:rsid w:val="007F77DD"/>
    <w:rsid w:val="007F78F3"/>
    <w:rsid w:val="007F7976"/>
    <w:rsid w:val="00800097"/>
    <w:rsid w:val="0080204D"/>
    <w:rsid w:val="00802735"/>
    <w:rsid w:val="00803237"/>
    <w:rsid w:val="00803909"/>
    <w:rsid w:val="00804229"/>
    <w:rsid w:val="008042A5"/>
    <w:rsid w:val="0080626B"/>
    <w:rsid w:val="00806CB2"/>
    <w:rsid w:val="00806DC0"/>
    <w:rsid w:val="008073BC"/>
    <w:rsid w:val="00807FBC"/>
    <w:rsid w:val="0081061A"/>
    <w:rsid w:val="00811C30"/>
    <w:rsid w:val="00811E4B"/>
    <w:rsid w:val="0081457C"/>
    <w:rsid w:val="008149A8"/>
    <w:rsid w:val="008174FC"/>
    <w:rsid w:val="00821734"/>
    <w:rsid w:val="00822196"/>
    <w:rsid w:val="008227FE"/>
    <w:rsid w:val="0082305E"/>
    <w:rsid w:val="0082468F"/>
    <w:rsid w:val="00825DD7"/>
    <w:rsid w:val="00825F6F"/>
    <w:rsid w:val="0082702F"/>
    <w:rsid w:val="00827668"/>
    <w:rsid w:val="00827E8F"/>
    <w:rsid w:val="00830EA9"/>
    <w:rsid w:val="008311F8"/>
    <w:rsid w:val="00833BC8"/>
    <w:rsid w:val="0083566B"/>
    <w:rsid w:val="00835EAC"/>
    <w:rsid w:val="008367F3"/>
    <w:rsid w:val="00836F5B"/>
    <w:rsid w:val="00842735"/>
    <w:rsid w:val="00843256"/>
    <w:rsid w:val="008433A5"/>
    <w:rsid w:val="00843CA8"/>
    <w:rsid w:val="00843FCC"/>
    <w:rsid w:val="008448BB"/>
    <w:rsid w:val="00845DE9"/>
    <w:rsid w:val="00846256"/>
    <w:rsid w:val="008465F9"/>
    <w:rsid w:val="00846AED"/>
    <w:rsid w:val="008519A1"/>
    <w:rsid w:val="0085331D"/>
    <w:rsid w:val="00854513"/>
    <w:rsid w:val="008556F2"/>
    <w:rsid w:val="00861AE9"/>
    <w:rsid w:val="00861D08"/>
    <w:rsid w:val="00862C72"/>
    <w:rsid w:val="00862E1D"/>
    <w:rsid w:val="008633FF"/>
    <w:rsid w:val="008658DA"/>
    <w:rsid w:val="0086712B"/>
    <w:rsid w:val="00867F30"/>
    <w:rsid w:val="00871033"/>
    <w:rsid w:val="00873E83"/>
    <w:rsid w:val="00874062"/>
    <w:rsid w:val="0087463E"/>
    <w:rsid w:val="00874B74"/>
    <w:rsid w:val="00874ED6"/>
    <w:rsid w:val="008776B2"/>
    <w:rsid w:val="00877AA1"/>
    <w:rsid w:val="00880C0D"/>
    <w:rsid w:val="00881157"/>
    <w:rsid w:val="0088161D"/>
    <w:rsid w:val="00882465"/>
    <w:rsid w:val="00890886"/>
    <w:rsid w:val="008916A4"/>
    <w:rsid w:val="00892055"/>
    <w:rsid w:val="00895880"/>
    <w:rsid w:val="00897DB5"/>
    <w:rsid w:val="008A004A"/>
    <w:rsid w:val="008A17B5"/>
    <w:rsid w:val="008A20B1"/>
    <w:rsid w:val="008A3F1A"/>
    <w:rsid w:val="008A3FCF"/>
    <w:rsid w:val="008A41ED"/>
    <w:rsid w:val="008A5EAC"/>
    <w:rsid w:val="008A65D1"/>
    <w:rsid w:val="008A74AE"/>
    <w:rsid w:val="008A7C5C"/>
    <w:rsid w:val="008A7D30"/>
    <w:rsid w:val="008B08E2"/>
    <w:rsid w:val="008B2760"/>
    <w:rsid w:val="008B3DC8"/>
    <w:rsid w:val="008B4EC5"/>
    <w:rsid w:val="008B5210"/>
    <w:rsid w:val="008B7644"/>
    <w:rsid w:val="008B7859"/>
    <w:rsid w:val="008C05F1"/>
    <w:rsid w:val="008C218B"/>
    <w:rsid w:val="008C4FCA"/>
    <w:rsid w:val="008C59EE"/>
    <w:rsid w:val="008C6917"/>
    <w:rsid w:val="008C6DD8"/>
    <w:rsid w:val="008C764B"/>
    <w:rsid w:val="008D01FD"/>
    <w:rsid w:val="008D138A"/>
    <w:rsid w:val="008D17C0"/>
    <w:rsid w:val="008D1AFC"/>
    <w:rsid w:val="008D1F53"/>
    <w:rsid w:val="008D28A6"/>
    <w:rsid w:val="008D30A3"/>
    <w:rsid w:val="008D3C17"/>
    <w:rsid w:val="008D3CA1"/>
    <w:rsid w:val="008D66D4"/>
    <w:rsid w:val="008D752C"/>
    <w:rsid w:val="008D7794"/>
    <w:rsid w:val="008E0B8A"/>
    <w:rsid w:val="008E5B1C"/>
    <w:rsid w:val="008E5D54"/>
    <w:rsid w:val="008E6D8C"/>
    <w:rsid w:val="008E7734"/>
    <w:rsid w:val="008E7D6B"/>
    <w:rsid w:val="008F0B3A"/>
    <w:rsid w:val="008F0B5B"/>
    <w:rsid w:val="008F0F5B"/>
    <w:rsid w:val="008F1186"/>
    <w:rsid w:val="008F3470"/>
    <w:rsid w:val="008F48B8"/>
    <w:rsid w:val="008F4F1E"/>
    <w:rsid w:val="008F7730"/>
    <w:rsid w:val="0090035D"/>
    <w:rsid w:val="00900BFA"/>
    <w:rsid w:val="00900E71"/>
    <w:rsid w:val="009021F5"/>
    <w:rsid w:val="0090447A"/>
    <w:rsid w:val="009051C4"/>
    <w:rsid w:val="00905A47"/>
    <w:rsid w:val="00905BFB"/>
    <w:rsid w:val="00905FA2"/>
    <w:rsid w:val="009064EA"/>
    <w:rsid w:val="009066E0"/>
    <w:rsid w:val="00910C56"/>
    <w:rsid w:val="00911C93"/>
    <w:rsid w:val="00911EC1"/>
    <w:rsid w:val="009129B9"/>
    <w:rsid w:val="00912B1E"/>
    <w:rsid w:val="00912C42"/>
    <w:rsid w:val="009130EE"/>
    <w:rsid w:val="009141BA"/>
    <w:rsid w:val="00914E99"/>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1437"/>
    <w:rsid w:val="00951ED9"/>
    <w:rsid w:val="00951FEC"/>
    <w:rsid w:val="00953127"/>
    <w:rsid w:val="00953FE8"/>
    <w:rsid w:val="009545A5"/>
    <w:rsid w:val="00955533"/>
    <w:rsid w:val="009572E2"/>
    <w:rsid w:val="0096475A"/>
    <w:rsid w:val="00964906"/>
    <w:rsid w:val="00965F55"/>
    <w:rsid w:val="0096785E"/>
    <w:rsid w:val="00970943"/>
    <w:rsid w:val="00970C86"/>
    <w:rsid w:val="00971A11"/>
    <w:rsid w:val="009738CD"/>
    <w:rsid w:val="0097525F"/>
    <w:rsid w:val="0097689A"/>
    <w:rsid w:val="0097705B"/>
    <w:rsid w:val="0098237E"/>
    <w:rsid w:val="009831FD"/>
    <w:rsid w:val="00983AEF"/>
    <w:rsid w:val="00985750"/>
    <w:rsid w:val="00985B4D"/>
    <w:rsid w:val="00986DDB"/>
    <w:rsid w:val="00987C11"/>
    <w:rsid w:val="00990E3F"/>
    <w:rsid w:val="00993750"/>
    <w:rsid w:val="00995562"/>
    <w:rsid w:val="00995864"/>
    <w:rsid w:val="00996944"/>
    <w:rsid w:val="009979AD"/>
    <w:rsid w:val="00997A9A"/>
    <w:rsid w:val="009A011A"/>
    <w:rsid w:val="009A041A"/>
    <w:rsid w:val="009A0DA6"/>
    <w:rsid w:val="009A28B5"/>
    <w:rsid w:val="009A37CD"/>
    <w:rsid w:val="009B059A"/>
    <w:rsid w:val="009B060C"/>
    <w:rsid w:val="009B0A14"/>
    <w:rsid w:val="009B0A8A"/>
    <w:rsid w:val="009B0E63"/>
    <w:rsid w:val="009C1517"/>
    <w:rsid w:val="009C1684"/>
    <w:rsid w:val="009C2B62"/>
    <w:rsid w:val="009C3578"/>
    <w:rsid w:val="009C3DAF"/>
    <w:rsid w:val="009C3E01"/>
    <w:rsid w:val="009C426E"/>
    <w:rsid w:val="009C4C34"/>
    <w:rsid w:val="009C7A14"/>
    <w:rsid w:val="009D0711"/>
    <w:rsid w:val="009D08E6"/>
    <w:rsid w:val="009D12CD"/>
    <w:rsid w:val="009D4394"/>
    <w:rsid w:val="009D5319"/>
    <w:rsid w:val="009D737E"/>
    <w:rsid w:val="009D7801"/>
    <w:rsid w:val="009E068D"/>
    <w:rsid w:val="009E169B"/>
    <w:rsid w:val="009E1BA0"/>
    <w:rsid w:val="009E20E1"/>
    <w:rsid w:val="009E2289"/>
    <w:rsid w:val="009E22EF"/>
    <w:rsid w:val="009E2B2D"/>
    <w:rsid w:val="009E38B3"/>
    <w:rsid w:val="009E46E8"/>
    <w:rsid w:val="009E6474"/>
    <w:rsid w:val="009E7CA6"/>
    <w:rsid w:val="009F0B88"/>
    <w:rsid w:val="009F0C3F"/>
    <w:rsid w:val="009F0C62"/>
    <w:rsid w:val="009F0DAB"/>
    <w:rsid w:val="009F16A6"/>
    <w:rsid w:val="009F196E"/>
    <w:rsid w:val="009F44CA"/>
    <w:rsid w:val="00A03561"/>
    <w:rsid w:val="00A04242"/>
    <w:rsid w:val="00A05101"/>
    <w:rsid w:val="00A055F2"/>
    <w:rsid w:val="00A061A4"/>
    <w:rsid w:val="00A06EEA"/>
    <w:rsid w:val="00A07797"/>
    <w:rsid w:val="00A07BA2"/>
    <w:rsid w:val="00A11943"/>
    <w:rsid w:val="00A120C0"/>
    <w:rsid w:val="00A126CF"/>
    <w:rsid w:val="00A13177"/>
    <w:rsid w:val="00A13BFC"/>
    <w:rsid w:val="00A150ED"/>
    <w:rsid w:val="00A163C2"/>
    <w:rsid w:val="00A17469"/>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46BAD"/>
    <w:rsid w:val="00A5129A"/>
    <w:rsid w:val="00A520BB"/>
    <w:rsid w:val="00A53C90"/>
    <w:rsid w:val="00A544DF"/>
    <w:rsid w:val="00A54C8F"/>
    <w:rsid w:val="00A5594A"/>
    <w:rsid w:val="00A55D22"/>
    <w:rsid w:val="00A57293"/>
    <w:rsid w:val="00A57890"/>
    <w:rsid w:val="00A57B4E"/>
    <w:rsid w:val="00A57E5C"/>
    <w:rsid w:val="00A61283"/>
    <w:rsid w:val="00A6219D"/>
    <w:rsid w:val="00A63092"/>
    <w:rsid w:val="00A638F1"/>
    <w:rsid w:val="00A63B7E"/>
    <w:rsid w:val="00A63F3F"/>
    <w:rsid w:val="00A646DE"/>
    <w:rsid w:val="00A671C6"/>
    <w:rsid w:val="00A72352"/>
    <w:rsid w:val="00A73E58"/>
    <w:rsid w:val="00A74FE3"/>
    <w:rsid w:val="00A81243"/>
    <w:rsid w:val="00A81C2E"/>
    <w:rsid w:val="00A845EC"/>
    <w:rsid w:val="00A852B4"/>
    <w:rsid w:val="00A87253"/>
    <w:rsid w:val="00A90772"/>
    <w:rsid w:val="00A913D3"/>
    <w:rsid w:val="00A91BED"/>
    <w:rsid w:val="00A93E74"/>
    <w:rsid w:val="00A949A8"/>
    <w:rsid w:val="00A959B8"/>
    <w:rsid w:val="00A9628B"/>
    <w:rsid w:val="00A96390"/>
    <w:rsid w:val="00A97BB0"/>
    <w:rsid w:val="00AA036A"/>
    <w:rsid w:val="00AA03D7"/>
    <w:rsid w:val="00AA196D"/>
    <w:rsid w:val="00AA220C"/>
    <w:rsid w:val="00AA31FA"/>
    <w:rsid w:val="00AA341B"/>
    <w:rsid w:val="00AA4F8E"/>
    <w:rsid w:val="00AA5EE3"/>
    <w:rsid w:val="00AA7115"/>
    <w:rsid w:val="00AA7378"/>
    <w:rsid w:val="00AB0220"/>
    <w:rsid w:val="00AB1D5F"/>
    <w:rsid w:val="00AB262A"/>
    <w:rsid w:val="00AB2C25"/>
    <w:rsid w:val="00AB4B48"/>
    <w:rsid w:val="00AB4FFF"/>
    <w:rsid w:val="00AB55DE"/>
    <w:rsid w:val="00AB656C"/>
    <w:rsid w:val="00AB65D2"/>
    <w:rsid w:val="00AB66B3"/>
    <w:rsid w:val="00AB6CFB"/>
    <w:rsid w:val="00AC01BA"/>
    <w:rsid w:val="00AC05A9"/>
    <w:rsid w:val="00AC0CBA"/>
    <w:rsid w:val="00AC28DE"/>
    <w:rsid w:val="00AC4A36"/>
    <w:rsid w:val="00AC5219"/>
    <w:rsid w:val="00AC6A1B"/>
    <w:rsid w:val="00AC6CBD"/>
    <w:rsid w:val="00AD047E"/>
    <w:rsid w:val="00AD3355"/>
    <w:rsid w:val="00AD376A"/>
    <w:rsid w:val="00AD54FB"/>
    <w:rsid w:val="00AD5C1B"/>
    <w:rsid w:val="00AD5F2B"/>
    <w:rsid w:val="00AD6003"/>
    <w:rsid w:val="00AD6C7F"/>
    <w:rsid w:val="00AD6DA7"/>
    <w:rsid w:val="00AE0361"/>
    <w:rsid w:val="00AE1624"/>
    <w:rsid w:val="00AE169A"/>
    <w:rsid w:val="00AE1C64"/>
    <w:rsid w:val="00AE22B9"/>
    <w:rsid w:val="00AE2742"/>
    <w:rsid w:val="00AE2E10"/>
    <w:rsid w:val="00AE3547"/>
    <w:rsid w:val="00AE36E5"/>
    <w:rsid w:val="00AE3C65"/>
    <w:rsid w:val="00AE54CA"/>
    <w:rsid w:val="00AF0BC0"/>
    <w:rsid w:val="00AF21E6"/>
    <w:rsid w:val="00AF2BB0"/>
    <w:rsid w:val="00AF3167"/>
    <w:rsid w:val="00AF5288"/>
    <w:rsid w:val="00AF5D31"/>
    <w:rsid w:val="00AF655B"/>
    <w:rsid w:val="00AF75E2"/>
    <w:rsid w:val="00AF7B04"/>
    <w:rsid w:val="00B008C0"/>
    <w:rsid w:val="00B0302C"/>
    <w:rsid w:val="00B03627"/>
    <w:rsid w:val="00B06365"/>
    <w:rsid w:val="00B1155E"/>
    <w:rsid w:val="00B1289A"/>
    <w:rsid w:val="00B12987"/>
    <w:rsid w:val="00B13340"/>
    <w:rsid w:val="00B13763"/>
    <w:rsid w:val="00B13EAE"/>
    <w:rsid w:val="00B20148"/>
    <w:rsid w:val="00B238B0"/>
    <w:rsid w:val="00B23F13"/>
    <w:rsid w:val="00B240CE"/>
    <w:rsid w:val="00B25132"/>
    <w:rsid w:val="00B2520D"/>
    <w:rsid w:val="00B25BB6"/>
    <w:rsid w:val="00B262F8"/>
    <w:rsid w:val="00B27A67"/>
    <w:rsid w:val="00B316A1"/>
    <w:rsid w:val="00B319BF"/>
    <w:rsid w:val="00B35BFC"/>
    <w:rsid w:val="00B366A1"/>
    <w:rsid w:val="00B37052"/>
    <w:rsid w:val="00B3773D"/>
    <w:rsid w:val="00B4077A"/>
    <w:rsid w:val="00B40CCC"/>
    <w:rsid w:val="00B42707"/>
    <w:rsid w:val="00B432A0"/>
    <w:rsid w:val="00B443BC"/>
    <w:rsid w:val="00B46D5E"/>
    <w:rsid w:val="00B4720A"/>
    <w:rsid w:val="00B50716"/>
    <w:rsid w:val="00B50A9E"/>
    <w:rsid w:val="00B50FC5"/>
    <w:rsid w:val="00B51511"/>
    <w:rsid w:val="00B55F78"/>
    <w:rsid w:val="00B56171"/>
    <w:rsid w:val="00B561E8"/>
    <w:rsid w:val="00B57549"/>
    <w:rsid w:val="00B60A7D"/>
    <w:rsid w:val="00B61D66"/>
    <w:rsid w:val="00B64C19"/>
    <w:rsid w:val="00B67970"/>
    <w:rsid w:val="00B67996"/>
    <w:rsid w:val="00B720D3"/>
    <w:rsid w:val="00B721E9"/>
    <w:rsid w:val="00B7286F"/>
    <w:rsid w:val="00B72C7B"/>
    <w:rsid w:val="00B7431E"/>
    <w:rsid w:val="00B74E47"/>
    <w:rsid w:val="00B768E2"/>
    <w:rsid w:val="00B769AD"/>
    <w:rsid w:val="00B77019"/>
    <w:rsid w:val="00B81025"/>
    <w:rsid w:val="00B81D11"/>
    <w:rsid w:val="00B82F46"/>
    <w:rsid w:val="00B86F3A"/>
    <w:rsid w:val="00B905EC"/>
    <w:rsid w:val="00B90C10"/>
    <w:rsid w:val="00B90F24"/>
    <w:rsid w:val="00B919C4"/>
    <w:rsid w:val="00B9252C"/>
    <w:rsid w:val="00B92A35"/>
    <w:rsid w:val="00B9498B"/>
    <w:rsid w:val="00B951B1"/>
    <w:rsid w:val="00B96277"/>
    <w:rsid w:val="00B979BD"/>
    <w:rsid w:val="00B97A23"/>
    <w:rsid w:val="00BA2360"/>
    <w:rsid w:val="00BA46F9"/>
    <w:rsid w:val="00BA4A84"/>
    <w:rsid w:val="00BA4C9A"/>
    <w:rsid w:val="00BA53B5"/>
    <w:rsid w:val="00BA68DB"/>
    <w:rsid w:val="00BA7ABE"/>
    <w:rsid w:val="00BB0A71"/>
    <w:rsid w:val="00BB201E"/>
    <w:rsid w:val="00BB3E2D"/>
    <w:rsid w:val="00BB3E77"/>
    <w:rsid w:val="00BB416E"/>
    <w:rsid w:val="00BB5C1E"/>
    <w:rsid w:val="00BB6809"/>
    <w:rsid w:val="00BB6DF6"/>
    <w:rsid w:val="00BB7AA8"/>
    <w:rsid w:val="00BC0359"/>
    <w:rsid w:val="00BC1EBF"/>
    <w:rsid w:val="00BC2E68"/>
    <w:rsid w:val="00BC44B6"/>
    <w:rsid w:val="00BC5B00"/>
    <w:rsid w:val="00BC79C0"/>
    <w:rsid w:val="00BD1D37"/>
    <w:rsid w:val="00BD212B"/>
    <w:rsid w:val="00BD42DB"/>
    <w:rsid w:val="00BD6245"/>
    <w:rsid w:val="00BD7505"/>
    <w:rsid w:val="00BE0784"/>
    <w:rsid w:val="00BE1049"/>
    <w:rsid w:val="00BE17A9"/>
    <w:rsid w:val="00BE231E"/>
    <w:rsid w:val="00BE407A"/>
    <w:rsid w:val="00BE6366"/>
    <w:rsid w:val="00BF1413"/>
    <w:rsid w:val="00BF19C4"/>
    <w:rsid w:val="00BF3BAD"/>
    <w:rsid w:val="00BF3CBD"/>
    <w:rsid w:val="00BF411A"/>
    <w:rsid w:val="00BF423A"/>
    <w:rsid w:val="00BF4C2E"/>
    <w:rsid w:val="00BF595E"/>
    <w:rsid w:val="00C00B5F"/>
    <w:rsid w:val="00C00D58"/>
    <w:rsid w:val="00C02A15"/>
    <w:rsid w:val="00C02C4F"/>
    <w:rsid w:val="00C0327F"/>
    <w:rsid w:val="00C0387E"/>
    <w:rsid w:val="00C146EE"/>
    <w:rsid w:val="00C1747F"/>
    <w:rsid w:val="00C20E79"/>
    <w:rsid w:val="00C21AAD"/>
    <w:rsid w:val="00C226E8"/>
    <w:rsid w:val="00C233B8"/>
    <w:rsid w:val="00C248C7"/>
    <w:rsid w:val="00C25BEE"/>
    <w:rsid w:val="00C26F1C"/>
    <w:rsid w:val="00C3280C"/>
    <w:rsid w:val="00C356C1"/>
    <w:rsid w:val="00C35DED"/>
    <w:rsid w:val="00C35E26"/>
    <w:rsid w:val="00C36C28"/>
    <w:rsid w:val="00C3701E"/>
    <w:rsid w:val="00C401C6"/>
    <w:rsid w:val="00C413BD"/>
    <w:rsid w:val="00C42333"/>
    <w:rsid w:val="00C4233A"/>
    <w:rsid w:val="00C43CCB"/>
    <w:rsid w:val="00C443CB"/>
    <w:rsid w:val="00C44639"/>
    <w:rsid w:val="00C44DC2"/>
    <w:rsid w:val="00C461C5"/>
    <w:rsid w:val="00C50014"/>
    <w:rsid w:val="00C50E68"/>
    <w:rsid w:val="00C51937"/>
    <w:rsid w:val="00C5443A"/>
    <w:rsid w:val="00C55D78"/>
    <w:rsid w:val="00C569A3"/>
    <w:rsid w:val="00C57B39"/>
    <w:rsid w:val="00C60FF1"/>
    <w:rsid w:val="00C613B7"/>
    <w:rsid w:val="00C61512"/>
    <w:rsid w:val="00C61ED0"/>
    <w:rsid w:val="00C644A6"/>
    <w:rsid w:val="00C64CE8"/>
    <w:rsid w:val="00C65E9D"/>
    <w:rsid w:val="00C67D1A"/>
    <w:rsid w:val="00C704B7"/>
    <w:rsid w:val="00C70668"/>
    <w:rsid w:val="00C71773"/>
    <w:rsid w:val="00C71D94"/>
    <w:rsid w:val="00C72F9A"/>
    <w:rsid w:val="00C72FB5"/>
    <w:rsid w:val="00C73155"/>
    <w:rsid w:val="00C7447E"/>
    <w:rsid w:val="00C74C5F"/>
    <w:rsid w:val="00C74D9E"/>
    <w:rsid w:val="00C75B3B"/>
    <w:rsid w:val="00C76852"/>
    <w:rsid w:val="00C7767B"/>
    <w:rsid w:val="00C77BAC"/>
    <w:rsid w:val="00C77D9C"/>
    <w:rsid w:val="00C8007A"/>
    <w:rsid w:val="00C8073A"/>
    <w:rsid w:val="00C81EC7"/>
    <w:rsid w:val="00C847AF"/>
    <w:rsid w:val="00C860DD"/>
    <w:rsid w:val="00C8752E"/>
    <w:rsid w:val="00C901B4"/>
    <w:rsid w:val="00C91C12"/>
    <w:rsid w:val="00C92F49"/>
    <w:rsid w:val="00C93B28"/>
    <w:rsid w:val="00C93D7B"/>
    <w:rsid w:val="00C944BE"/>
    <w:rsid w:val="00C959C7"/>
    <w:rsid w:val="00CA2595"/>
    <w:rsid w:val="00CA3052"/>
    <w:rsid w:val="00CA3130"/>
    <w:rsid w:val="00CA3806"/>
    <w:rsid w:val="00CA48D9"/>
    <w:rsid w:val="00CA69F1"/>
    <w:rsid w:val="00CB0B3E"/>
    <w:rsid w:val="00CB14F9"/>
    <w:rsid w:val="00CB1680"/>
    <w:rsid w:val="00CB3318"/>
    <w:rsid w:val="00CB6C6D"/>
    <w:rsid w:val="00CC05D0"/>
    <w:rsid w:val="00CC2078"/>
    <w:rsid w:val="00CC34C3"/>
    <w:rsid w:val="00CC5CB2"/>
    <w:rsid w:val="00CD01DE"/>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6E4"/>
    <w:rsid w:val="00CE5D7B"/>
    <w:rsid w:val="00CF09E4"/>
    <w:rsid w:val="00CF0F7A"/>
    <w:rsid w:val="00CF199D"/>
    <w:rsid w:val="00CF2794"/>
    <w:rsid w:val="00CF53F5"/>
    <w:rsid w:val="00CF5885"/>
    <w:rsid w:val="00CF7A5C"/>
    <w:rsid w:val="00CF7B6A"/>
    <w:rsid w:val="00CF7DAD"/>
    <w:rsid w:val="00D01126"/>
    <w:rsid w:val="00D012D3"/>
    <w:rsid w:val="00D02587"/>
    <w:rsid w:val="00D03382"/>
    <w:rsid w:val="00D038AC"/>
    <w:rsid w:val="00D056A2"/>
    <w:rsid w:val="00D07735"/>
    <w:rsid w:val="00D10BD3"/>
    <w:rsid w:val="00D12A9F"/>
    <w:rsid w:val="00D16593"/>
    <w:rsid w:val="00D178E0"/>
    <w:rsid w:val="00D20C5C"/>
    <w:rsid w:val="00D21E06"/>
    <w:rsid w:val="00D22428"/>
    <w:rsid w:val="00D228BF"/>
    <w:rsid w:val="00D23214"/>
    <w:rsid w:val="00D25E4D"/>
    <w:rsid w:val="00D26A0C"/>
    <w:rsid w:val="00D2700C"/>
    <w:rsid w:val="00D272E2"/>
    <w:rsid w:val="00D32B32"/>
    <w:rsid w:val="00D336B8"/>
    <w:rsid w:val="00D353B7"/>
    <w:rsid w:val="00D37365"/>
    <w:rsid w:val="00D3778B"/>
    <w:rsid w:val="00D4133C"/>
    <w:rsid w:val="00D42A06"/>
    <w:rsid w:val="00D440C9"/>
    <w:rsid w:val="00D44A45"/>
    <w:rsid w:val="00D45F0D"/>
    <w:rsid w:val="00D47B67"/>
    <w:rsid w:val="00D5114F"/>
    <w:rsid w:val="00D51210"/>
    <w:rsid w:val="00D51C6D"/>
    <w:rsid w:val="00D53F84"/>
    <w:rsid w:val="00D56944"/>
    <w:rsid w:val="00D56954"/>
    <w:rsid w:val="00D62E47"/>
    <w:rsid w:val="00D67748"/>
    <w:rsid w:val="00D70A58"/>
    <w:rsid w:val="00D7176D"/>
    <w:rsid w:val="00D7211C"/>
    <w:rsid w:val="00D74BF3"/>
    <w:rsid w:val="00D74C4C"/>
    <w:rsid w:val="00D754E9"/>
    <w:rsid w:val="00D75C1C"/>
    <w:rsid w:val="00D80252"/>
    <w:rsid w:val="00D8251C"/>
    <w:rsid w:val="00D82A24"/>
    <w:rsid w:val="00D82BD6"/>
    <w:rsid w:val="00D82DB4"/>
    <w:rsid w:val="00D83B95"/>
    <w:rsid w:val="00D846CA"/>
    <w:rsid w:val="00D84A3C"/>
    <w:rsid w:val="00D84A40"/>
    <w:rsid w:val="00D92179"/>
    <w:rsid w:val="00D94567"/>
    <w:rsid w:val="00D9647E"/>
    <w:rsid w:val="00D97F57"/>
    <w:rsid w:val="00DA2185"/>
    <w:rsid w:val="00DA2FBD"/>
    <w:rsid w:val="00DA4140"/>
    <w:rsid w:val="00DA5C32"/>
    <w:rsid w:val="00DA67F9"/>
    <w:rsid w:val="00DA6D7B"/>
    <w:rsid w:val="00DA770E"/>
    <w:rsid w:val="00DB0BF5"/>
    <w:rsid w:val="00DB0CEC"/>
    <w:rsid w:val="00DB1185"/>
    <w:rsid w:val="00DB3C6E"/>
    <w:rsid w:val="00DB3D51"/>
    <w:rsid w:val="00DB4281"/>
    <w:rsid w:val="00DB7133"/>
    <w:rsid w:val="00DC0208"/>
    <w:rsid w:val="00DC465C"/>
    <w:rsid w:val="00DC4F6F"/>
    <w:rsid w:val="00DC6143"/>
    <w:rsid w:val="00DC624B"/>
    <w:rsid w:val="00DC6E1E"/>
    <w:rsid w:val="00DD414D"/>
    <w:rsid w:val="00DD4374"/>
    <w:rsid w:val="00DD6502"/>
    <w:rsid w:val="00DD6E07"/>
    <w:rsid w:val="00DD714C"/>
    <w:rsid w:val="00DD7C6E"/>
    <w:rsid w:val="00DE0CDD"/>
    <w:rsid w:val="00DE1069"/>
    <w:rsid w:val="00DE1254"/>
    <w:rsid w:val="00DE29D7"/>
    <w:rsid w:val="00DE3681"/>
    <w:rsid w:val="00DE4B4B"/>
    <w:rsid w:val="00DE4B85"/>
    <w:rsid w:val="00DF55DF"/>
    <w:rsid w:val="00DF5A32"/>
    <w:rsid w:val="00DF61D8"/>
    <w:rsid w:val="00E0083E"/>
    <w:rsid w:val="00E024D2"/>
    <w:rsid w:val="00E02C62"/>
    <w:rsid w:val="00E030C9"/>
    <w:rsid w:val="00E05439"/>
    <w:rsid w:val="00E05F1D"/>
    <w:rsid w:val="00E06B78"/>
    <w:rsid w:val="00E07C17"/>
    <w:rsid w:val="00E101EC"/>
    <w:rsid w:val="00E10534"/>
    <w:rsid w:val="00E10E97"/>
    <w:rsid w:val="00E13CFC"/>
    <w:rsid w:val="00E14310"/>
    <w:rsid w:val="00E208FE"/>
    <w:rsid w:val="00E20D35"/>
    <w:rsid w:val="00E22084"/>
    <w:rsid w:val="00E22767"/>
    <w:rsid w:val="00E22D41"/>
    <w:rsid w:val="00E245A6"/>
    <w:rsid w:val="00E25C2D"/>
    <w:rsid w:val="00E2791D"/>
    <w:rsid w:val="00E32A1D"/>
    <w:rsid w:val="00E33788"/>
    <w:rsid w:val="00E3410E"/>
    <w:rsid w:val="00E343B3"/>
    <w:rsid w:val="00E36CA1"/>
    <w:rsid w:val="00E37098"/>
    <w:rsid w:val="00E4045B"/>
    <w:rsid w:val="00E40C26"/>
    <w:rsid w:val="00E41D60"/>
    <w:rsid w:val="00E420B0"/>
    <w:rsid w:val="00E42A3E"/>
    <w:rsid w:val="00E43D8C"/>
    <w:rsid w:val="00E450B0"/>
    <w:rsid w:val="00E45A5D"/>
    <w:rsid w:val="00E50B0C"/>
    <w:rsid w:val="00E53E5F"/>
    <w:rsid w:val="00E55066"/>
    <w:rsid w:val="00E57A45"/>
    <w:rsid w:val="00E57FAE"/>
    <w:rsid w:val="00E613F6"/>
    <w:rsid w:val="00E6270E"/>
    <w:rsid w:val="00E63261"/>
    <w:rsid w:val="00E63383"/>
    <w:rsid w:val="00E63412"/>
    <w:rsid w:val="00E6347A"/>
    <w:rsid w:val="00E63E21"/>
    <w:rsid w:val="00E65501"/>
    <w:rsid w:val="00E66849"/>
    <w:rsid w:val="00E7010B"/>
    <w:rsid w:val="00E70BA3"/>
    <w:rsid w:val="00E7139A"/>
    <w:rsid w:val="00E7148B"/>
    <w:rsid w:val="00E71513"/>
    <w:rsid w:val="00E71B54"/>
    <w:rsid w:val="00E73E53"/>
    <w:rsid w:val="00E8003D"/>
    <w:rsid w:val="00E83567"/>
    <w:rsid w:val="00E843CB"/>
    <w:rsid w:val="00E84FBC"/>
    <w:rsid w:val="00E8578F"/>
    <w:rsid w:val="00E876BF"/>
    <w:rsid w:val="00E87A32"/>
    <w:rsid w:val="00E90397"/>
    <w:rsid w:val="00E90BDB"/>
    <w:rsid w:val="00E91421"/>
    <w:rsid w:val="00E9160D"/>
    <w:rsid w:val="00E91B23"/>
    <w:rsid w:val="00E92407"/>
    <w:rsid w:val="00E9262A"/>
    <w:rsid w:val="00E927E9"/>
    <w:rsid w:val="00E95534"/>
    <w:rsid w:val="00EA0A6E"/>
    <w:rsid w:val="00EA3CBF"/>
    <w:rsid w:val="00EA6A93"/>
    <w:rsid w:val="00EB1275"/>
    <w:rsid w:val="00EB39F9"/>
    <w:rsid w:val="00EB3DA4"/>
    <w:rsid w:val="00EB512C"/>
    <w:rsid w:val="00EB5590"/>
    <w:rsid w:val="00EB5BA4"/>
    <w:rsid w:val="00EB5CE0"/>
    <w:rsid w:val="00EB6DB1"/>
    <w:rsid w:val="00EC1B98"/>
    <w:rsid w:val="00EC212C"/>
    <w:rsid w:val="00EC3A14"/>
    <w:rsid w:val="00EC6507"/>
    <w:rsid w:val="00ED08E0"/>
    <w:rsid w:val="00ED0E52"/>
    <w:rsid w:val="00ED208B"/>
    <w:rsid w:val="00ED3242"/>
    <w:rsid w:val="00ED3533"/>
    <w:rsid w:val="00ED3ECF"/>
    <w:rsid w:val="00ED6D4F"/>
    <w:rsid w:val="00EE2602"/>
    <w:rsid w:val="00EE2DA4"/>
    <w:rsid w:val="00EE3490"/>
    <w:rsid w:val="00EE3CAE"/>
    <w:rsid w:val="00EE4132"/>
    <w:rsid w:val="00EE6DC8"/>
    <w:rsid w:val="00EE7827"/>
    <w:rsid w:val="00EF0368"/>
    <w:rsid w:val="00EF0561"/>
    <w:rsid w:val="00EF1231"/>
    <w:rsid w:val="00EF14C7"/>
    <w:rsid w:val="00EF4960"/>
    <w:rsid w:val="00EF5B11"/>
    <w:rsid w:val="00F00060"/>
    <w:rsid w:val="00F000D3"/>
    <w:rsid w:val="00F015C6"/>
    <w:rsid w:val="00F026BC"/>
    <w:rsid w:val="00F072DE"/>
    <w:rsid w:val="00F07323"/>
    <w:rsid w:val="00F0772F"/>
    <w:rsid w:val="00F1081E"/>
    <w:rsid w:val="00F10B2A"/>
    <w:rsid w:val="00F10E1E"/>
    <w:rsid w:val="00F1110B"/>
    <w:rsid w:val="00F1392B"/>
    <w:rsid w:val="00F14FA8"/>
    <w:rsid w:val="00F15160"/>
    <w:rsid w:val="00F16205"/>
    <w:rsid w:val="00F1633B"/>
    <w:rsid w:val="00F16B4F"/>
    <w:rsid w:val="00F172D8"/>
    <w:rsid w:val="00F17D6E"/>
    <w:rsid w:val="00F2043B"/>
    <w:rsid w:val="00F21DC2"/>
    <w:rsid w:val="00F242C1"/>
    <w:rsid w:val="00F26236"/>
    <w:rsid w:val="00F26367"/>
    <w:rsid w:val="00F267CA"/>
    <w:rsid w:val="00F269A6"/>
    <w:rsid w:val="00F2778E"/>
    <w:rsid w:val="00F30696"/>
    <w:rsid w:val="00F34D03"/>
    <w:rsid w:val="00F3576A"/>
    <w:rsid w:val="00F35938"/>
    <w:rsid w:val="00F35B2B"/>
    <w:rsid w:val="00F37B26"/>
    <w:rsid w:val="00F40B47"/>
    <w:rsid w:val="00F42E6E"/>
    <w:rsid w:val="00F43352"/>
    <w:rsid w:val="00F439AD"/>
    <w:rsid w:val="00F44D62"/>
    <w:rsid w:val="00F45A2A"/>
    <w:rsid w:val="00F4664B"/>
    <w:rsid w:val="00F468FE"/>
    <w:rsid w:val="00F476A1"/>
    <w:rsid w:val="00F533A3"/>
    <w:rsid w:val="00F53FD2"/>
    <w:rsid w:val="00F54E43"/>
    <w:rsid w:val="00F576F1"/>
    <w:rsid w:val="00F62DC9"/>
    <w:rsid w:val="00F6463B"/>
    <w:rsid w:val="00F654A4"/>
    <w:rsid w:val="00F656D5"/>
    <w:rsid w:val="00F65C1B"/>
    <w:rsid w:val="00F718BA"/>
    <w:rsid w:val="00F71D56"/>
    <w:rsid w:val="00F722CD"/>
    <w:rsid w:val="00F74587"/>
    <w:rsid w:val="00F7526B"/>
    <w:rsid w:val="00F80355"/>
    <w:rsid w:val="00F813AF"/>
    <w:rsid w:val="00F81737"/>
    <w:rsid w:val="00F8366A"/>
    <w:rsid w:val="00F8387B"/>
    <w:rsid w:val="00F85C06"/>
    <w:rsid w:val="00F87260"/>
    <w:rsid w:val="00F87597"/>
    <w:rsid w:val="00F875D4"/>
    <w:rsid w:val="00F935FF"/>
    <w:rsid w:val="00F946AC"/>
    <w:rsid w:val="00F950A3"/>
    <w:rsid w:val="00FA0C0A"/>
    <w:rsid w:val="00FA0E10"/>
    <w:rsid w:val="00FA11A4"/>
    <w:rsid w:val="00FA27DB"/>
    <w:rsid w:val="00FA27DF"/>
    <w:rsid w:val="00FA296D"/>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D7478"/>
    <w:rsid w:val="00FD7C50"/>
    <w:rsid w:val="00FE008E"/>
    <w:rsid w:val="00FE038C"/>
    <w:rsid w:val="00FE0D7E"/>
    <w:rsid w:val="00FE18AC"/>
    <w:rsid w:val="00FE2F95"/>
    <w:rsid w:val="00FE591B"/>
    <w:rsid w:val="00FE7127"/>
    <w:rsid w:val="00FE7B9A"/>
    <w:rsid w:val="00FE7D76"/>
    <w:rsid w:val="00FF2F74"/>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33BB040"/>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4"/>
      </w:numPr>
      <w:spacing w:after="240"/>
      <w:jc w:val="both"/>
    </w:pPr>
    <w:rPr>
      <w:rFonts w:eastAsia="Times New Roman"/>
      <w:szCs w:val="20"/>
      <w:lang w:eastAsia="en-US"/>
    </w:rPr>
  </w:style>
  <w:style w:type="paragraph" w:customStyle="1" w:styleId="Level2">
    <w:name w:val="Level 2"/>
    <w:basedOn w:val="Normal"/>
    <w:rsid w:val="00AA7115"/>
    <w:pPr>
      <w:numPr>
        <w:ilvl w:val="1"/>
        <w:numId w:val="14"/>
      </w:numPr>
      <w:spacing w:after="240"/>
      <w:jc w:val="both"/>
    </w:pPr>
    <w:rPr>
      <w:rFonts w:eastAsia="Times New Roman"/>
      <w:szCs w:val="22"/>
      <w:lang w:eastAsia="en-US"/>
    </w:rPr>
  </w:style>
  <w:style w:type="paragraph" w:customStyle="1" w:styleId="Level3">
    <w:name w:val="Level 3"/>
    <w:basedOn w:val="Normal"/>
    <w:rsid w:val="00AA7115"/>
    <w:pPr>
      <w:numPr>
        <w:ilvl w:val="2"/>
        <w:numId w:val="14"/>
      </w:numPr>
      <w:spacing w:after="240"/>
      <w:jc w:val="both"/>
    </w:pPr>
    <w:rPr>
      <w:rFonts w:eastAsia="Times New Roman"/>
      <w:szCs w:val="20"/>
      <w:lang w:eastAsia="en-US"/>
    </w:rPr>
  </w:style>
  <w:style w:type="paragraph" w:customStyle="1" w:styleId="Level4">
    <w:name w:val="Level 4"/>
    <w:basedOn w:val="Normal"/>
    <w:rsid w:val="00AA7115"/>
    <w:pPr>
      <w:numPr>
        <w:ilvl w:val="3"/>
        <w:numId w:val="14"/>
      </w:numPr>
      <w:spacing w:after="240"/>
      <w:jc w:val="both"/>
    </w:pPr>
    <w:rPr>
      <w:rFonts w:eastAsia="Times New Roman"/>
      <w:szCs w:val="20"/>
      <w:lang w:eastAsia="en-US"/>
    </w:rPr>
  </w:style>
  <w:style w:type="paragraph" w:customStyle="1" w:styleId="Level5">
    <w:name w:val="Level 5"/>
    <w:basedOn w:val="Normal"/>
    <w:rsid w:val="00AA7115"/>
    <w:pPr>
      <w:numPr>
        <w:ilvl w:val="4"/>
        <w:numId w:val="14"/>
      </w:numPr>
      <w:spacing w:after="240"/>
      <w:jc w:val="both"/>
    </w:pPr>
    <w:rPr>
      <w:rFonts w:eastAsia="Times New Roman"/>
      <w:szCs w:val="20"/>
      <w:lang w:eastAsia="en-US"/>
    </w:rPr>
  </w:style>
  <w:style w:type="paragraph" w:customStyle="1" w:styleId="Level6">
    <w:name w:val="Level 6"/>
    <w:basedOn w:val="Normal"/>
    <w:rsid w:val="00AA7115"/>
    <w:pPr>
      <w:numPr>
        <w:ilvl w:val="5"/>
        <w:numId w:val="14"/>
      </w:numPr>
      <w:spacing w:after="240"/>
      <w:jc w:val="both"/>
    </w:pPr>
    <w:rPr>
      <w:rFonts w:eastAsia="Times New Roman"/>
      <w:szCs w:val="20"/>
      <w:lang w:eastAsia="en-US"/>
    </w:rPr>
  </w:style>
  <w:style w:type="paragraph" w:customStyle="1" w:styleId="Level7">
    <w:name w:val="Level 7"/>
    <w:basedOn w:val="Normal"/>
    <w:rsid w:val="00AA7115"/>
    <w:pPr>
      <w:numPr>
        <w:ilvl w:val="6"/>
        <w:numId w:val="14"/>
      </w:numPr>
      <w:spacing w:after="240"/>
      <w:jc w:val="both"/>
    </w:pPr>
    <w:rPr>
      <w:rFonts w:eastAsia="Times New Roman"/>
      <w:szCs w:val="20"/>
      <w:lang w:eastAsia="en-US"/>
    </w:rPr>
  </w:style>
  <w:style w:type="paragraph" w:customStyle="1" w:styleId="Level8">
    <w:name w:val="Level 8"/>
    <w:basedOn w:val="Normal"/>
    <w:rsid w:val="00AA7115"/>
    <w:pPr>
      <w:numPr>
        <w:ilvl w:val="7"/>
        <w:numId w:val="14"/>
      </w:numPr>
      <w:spacing w:after="240"/>
      <w:jc w:val="both"/>
    </w:pPr>
    <w:rPr>
      <w:rFonts w:eastAsia="Times New Roman"/>
      <w:szCs w:val="20"/>
      <w:lang w:eastAsia="en-US"/>
    </w:rPr>
  </w:style>
  <w:style w:type="paragraph" w:customStyle="1" w:styleId="Level9">
    <w:name w:val="Level 9"/>
    <w:basedOn w:val="Normal"/>
    <w:rsid w:val="00AA7115"/>
    <w:pPr>
      <w:numPr>
        <w:ilvl w:val="8"/>
        <w:numId w:val="14"/>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6"/>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rsid w:val="00AA7115"/>
    <w:pPr>
      <w:numPr>
        <w:ilvl w:val="4"/>
        <w:numId w:val="16"/>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0"/>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19"/>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018205">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508110/160314_-_Annex_to_letter_from_CX_to_AA_-_Terms_of_Reference.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uploads/system/uploads/attachment_data/file/569867/Cambridge-Milton_Keynes-Oxford_interim_repor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e4aaef1-a7e7-4eac-bed7-f31ab1fb0f36">MTRJ3WRDUD3R-8-20</_dlc_DocId>
    <_dlc_DocIdUrl xmlns="2e4aaef1-a7e7-4eac-bed7-f31ab1fb0f36">
      <Url>http://sphmt/sites/nic/_layouts/DocIdRedir.aspx?ID=MTRJ3WRDUD3R-8-20</Url>
      <Description>MTRJ3WRDUD3R-8-20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F1CE022D3DE40BFDF9B2725DD318B" ma:contentTypeVersion="0" ma:contentTypeDescription="Create a new document." ma:contentTypeScope="" ma:versionID="2b37c7a714bdfdd59879f30760cf9e0d">
  <xsd:schema xmlns:xsd="http://www.w3.org/2001/XMLSchema" xmlns:xs="http://www.w3.org/2001/XMLSchema" xmlns:p="http://schemas.microsoft.com/office/2006/metadata/properties" xmlns:ns2="2e4aaef1-a7e7-4eac-bed7-f31ab1fb0f36" targetNamespace="http://schemas.microsoft.com/office/2006/metadata/properties" ma:root="true" ma:fieldsID="7f1ac7677753aa961bfa631f5aa13932" ns2:_="">
    <xsd:import namespace="2e4aaef1-a7e7-4eac-bed7-f31ab1fb0f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D80AB-1BC6-4BBB-A35B-923AC39A449D}">
  <ds:schemaRefs>
    <ds:schemaRef ds:uri="http://schemas.microsoft.com/sharepoint/v3/contenttype/forms"/>
  </ds:schemaRefs>
</ds:datastoreItem>
</file>

<file path=customXml/itemProps2.xml><?xml version="1.0" encoding="utf-8"?>
<ds:datastoreItem xmlns:ds="http://schemas.openxmlformats.org/officeDocument/2006/customXml" ds:itemID="{9B0A59F4-6938-4D28-A417-DBD29A5902A4}">
  <ds:schemaRefs>
    <ds:schemaRef ds:uri="http://schemas.microsoft.com/office/2006/metadata/properties"/>
    <ds:schemaRef ds:uri="http://schemas.microsoft.com/office/infopath/2007/PartnerControls"/>
    <ds:schemaRef ds:uri="2e4aaef1-a7e7-4eac-bed7-f31ab1fb0f36"/>
  </ds:schemaRefs>
</ds:datastoreItem>
</file>

<file path=customXml/itemProps3.xml><?xml version="1.0" encoding="utf-8"?>
<ds:datastoreItem xmlns:ds="http://schemas.openxmlformats.org/officeDocument/2006/customXml" ds:itemID="{BE23A8FD-604B-42F0-AA3F-20D40E93C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aaef1-a7e7-4eac-bed7-f31ab1fb0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6849EE-D8E2-4D52-AD68-C19C79A7DCB0}">
  <ds:schemaRefs>
    <ds:schemaRef ds:uri="http://schemas.microsoft.com/sharepoint/events"/>
  </ds:schemaRefs>
</ds:datastoreItem>
</file>

<file path=customXml/itemProps5.xml><?xml version="1.0" encoding="utf-8"?>
<ds:datastoreItem xmlns:ds="http://schemas.openxmlformats.org/officeDocument/2006/customXml" ds:itemID="{C17904C0-AE6F-434D-81EF-D708318D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2662</Words>
  <Characters>15179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17806</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Robert Card</cp:lastModifiedBy>
  <cp:revision>8</cp:revision>
  <cp:lastPrinted>2016-07-11T11:50:00Z</cp:lastPrinted>
  <dcterms:created xsi:type="dcterms:W3CDTF">2017-04-07T13:11:00Z</dcterms:created>
  <dcterms:modified xsi:type="dcterms:W3CDTF">2017-04-12T13:41:00Z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0x010100ED0F1CE022D3DE40BFDF9B2725DD318B</vt:lpwstr>
  </property>
  <property fmtid="{D5CDD505-2E9C-101B-9397-08002B2CF9AE}" pid="8" name="_dlc_DocIdItemGuid">
    <vt:lpwstr>5b7c6e07-002f-4fe9-990f-6c3ef7943102</vt:lpwstr>
  </property>
</Properties>
</file>