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7C01"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076A6A32" wp14:editId="1878C733">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B5116C4" w14:textId="77777777" w:rsidR="00D346F2" w:rsidRDefault="00D346F2"/>
    <w:p w14:paraId="50E34654" w14:textId="77777777"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3A0DD849" w14:textId="77777777" w:rsidR="00D346F2" w:rsidRPr="00D346F2" w:rsidRDefault="00D346F2" w:rsidP="007C3ECE">
      <w:pPr>
        <w:spacing w:after="0"/>
        <w:jc w:val="both"/>
        <w:rPr>
          <w:rFonts w:ascii="Arial" w:hAnsi="Arial" w:cs="Arial"/>
          <w:sz w:val="24"/>
          <w:szCs w:val="24"/>
        </w:rPr>
      </w:pPr>
    </w:p>
    <w:p w14:paraId="402F4535" w14:textId="77777777"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707ED02D" w14:textId="77777777"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1FFF57B4" w14:textId="77777777" w:rsidTr="00D346F2">
        <w:tc>
          <w:tcPr>
            <w:tcW w:w="5035" w:type="dxa"/>
          </w:tcPr>
          <w:p w14:paraId="4C054AF4" w14:textId="77777777"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14:paraId="02194F2E" w14:textId="77777777"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14:paraId="4BB1FDB2" w14:textId="77777777" w:rsidTr="00D346F2">
        <w:tc>
          <w:tcPr>
            <w:tcW w:w="5035" w:type="dxa"/>
          </w:tcPr>
          <w:p w14:paraId="21D44C84" w14:textId="77777777"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14:paraId="6888304E" w14:textId="77777777"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14:paraId="46340002" w14:textId="77777777" w:rsidTr="00D346F2">
        <w:tc>
          <w:tcPr>
            <w:tcW w:w="5035" w:type="dxa"/>
          </w:tcPr>
          <w:p w14:paraId="065E7BF2" w14:textId="77777777"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14:paraId="71C5A410" w14:textId="77777777"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14:paraId="07EFB7CB" w14:textId="77777777" w:rsidTr="00D346F2">
        <w:tc>
          <w:tcPr>
            <w:tcW w:w="5035" w:type="dxa"/>
          </w:tcPr>
          <w:p w14:paraId="53F132DA" w14:textId="77777777"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14:paraId="6738C523" w14:textId="77777777"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14:paraId="150001E7" w14:textId="77777777" w:rsidTr="00D346F2">
        <w:tc>
          <w:tcPr>
            <w:tcW w:w="5035" w:type="dxa"/>
          </w:tcPr>
          <w:p w14:paraId="126AA5B0" w14:textId="77777777"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14:paraId="20631A98" w14:textId="77777777"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14:paraId="442A9476" w14:textId="77777777" w:rsidTr="00D346F2">
        <w:tc>
          <w:tcPr>
            <w:tcW w:w="5035" w:type="dxa"/>
          </w:tcPr>
          <w:p w14:paraId="3C55B5BD" w14:textId="77777777"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14:paraId="3F29DDB1" w14:textId="77777777" w:rsidR="00D346F2" w:rsidRDefault="00D346F2" w:rsidP="00D346F2">
            <w:pPr>
              <w:jc w:val="both"/>
              <w:rPr>
                <w:rFonts w:ascii="Arial" w:hAnsi="Arial" w:cs="Arial"/>
                <w:sz w:val="24"/>
                <w:szCs w:val="24"/>
              </w:rPr>
            </w:pPr>
            <w:r>
              <w:rPr>
                <w:rFonts w:ascii="Arial" w:hAnsi="Arial" w:cs="Arial"/>
                <w:sz w:val="24"/>
                <w:szCs w:val="24"/>
              </w:rPr>
              <w:t>Regulatory Process</w:t>
            </w:r>
          </w:p>
        </w:tc>
      </w:tr>
    </w:tbl>
    <w:p w14:paraId="308E3F72" w14:textId="77777777" w:rsidR="00D346F2" w:rsidRDefault="00D346F2" w:rsidP="00D346F2">
      <w:pPr>
        <w:jc w:val="both"/>
        <w:rPr>
          <w:rFonts w:ascii="Arial" w:hAnsi="Arial" w:cs="Arial"/>
          <w:sz w:val="24"/>
          <w:szCs w:val="24"/>
        </w:rPr>
      </w:pPr>
    </w:p>
    <w:p w14:paraId="5C24C451" w14:textId="77777777"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14:paraId="098C3158" w14:textId="77777777" w:rsidR="006173BC" w:rsidRDefault="006173BC" w:rsidP="007C3ECE">
      <w:pPr>
        <w:spacing w:after="0"/>
        <w:jc w:val="both"/>
        <w:rPr>
          <w:rFonts w:ascii="Arial" w:hAnsi="Arial" w:cs="Arial"/>
          <w:sz w:val="24"/>
          <w:szCs w:val="24"/>
        </w:rPr>
      </w:pPr>
    </w:p>
    <w:p w14:paraId="624DAF3E" w14:textId="77777777"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14:paraId="5948D927" w14:textId="77777777" w:rsidR="006173BC" w:rsidRDefault="006173BC" w:rsidP="007C3ECE">
      <w:pPr>
        <w:spacing w:after="0"/>
        <w:jc w:val="both"/>
        <w:rPr>
          <w:rFonts w:ascii="Arial" w:hAnsi="Arial" w:cs="Arial"/>
          <w:sz w:val="24"/>
          <w:szCs w:val="24"/>
        </w:rPr>
      </w:pPr>
    </w:p>
    <w:p w14:paraId="5ABFA221" w14:textId="77777777"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14:paraId="04BBBA96" w14:textId="77777777" w:rsidR="006173BC" w:rsidRDefault="006173BC" w:rsidP="00D346F2">
      <w:pPr>
        <w:jc w:val="both"/>
        <w:rPr>
          <w:rFonts w:ascii="Arial" w:hAnsi="Arial" w:cs="Arial"/>
          <w:sz w:val="24"/>
          <w:szCs w:val="24"/>
        </w:rPr>
      </w:pPr>
    </w:p>
    <w:p w14:paraId="30F1C3DE" w14:textId="77777777" w:rsidR="007C3ECE" w:rsidRDefault="007C3ECE">
      <w:pPr>
        <w:rPr>
          <w:rFonts w:ascii="Arial" w:hAnsi="Arial" w:cs="Arial"/>
          <w:b/>
          <w:sz w:val="24"/>
          <w:szCs w:val="24"/>
        </w:rPr>
      </w:pPr>
      <w:r>
        <w:rPr>
          <w:rFonts w:ascii="Arial" w:hAnsi="Arial" w:cs="Arial"/>
          <w:b/>
          <w:sz w:val="24"/>
          <w:szCs w:val="24"/>
        </w:rPr>
        <w:br w:type="page"/>
      </w:r>
    </w:p>
    <w:p w14:paraId="45F3D80A" w14:textId="625FA474" w:rsidR="009F572B"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5D13B7">
        <w:rPr>
          <w:rFonts w:ascii="Arial" w:hAnsi="Arial" w:cs="Arial"/>
          <w:b/>
          <w:sz w:val="24"/>
          <w:szCs w:val="24"/>
        </w:rPr>
        <w:t>TCA 3/7/1003 Part III</w:t>
      </w:r>
    </w:p>
    <w:p w14:paraId="36B3E0E8" w14:textId="1DD30FD1" w:rsidR="00213AFD" w:rsidRDefault="0051042B" w:rsidP="009F572B">
      <w:pPr>
        <w:jc w:val="center"/>
        <w:rPr>
          <w:rFonts w:ascii="Arial" w:hAnsi="Arial" w:cs="Arial"/>
          <w:b/>
          <w:sz w:val="24"/>
          <w:szCs w:val="24"/>
        </w:rPr>
      </w:pPr>
      <w:r>
        <w:rPr>
          <w:rFonts w:ascii="Arial" w:hAnsi="Arial" w:cs="Arial"/>
          <w:b/>
          <w:sz w:val="24"/>
          <w:szCs w:val="24"/>
        </w:rPr>
        <w:t>4</w:t>
      </w:r>
      <w:r w:rsidR="00A65389">
        <w:rPr>
          <w:rFonts w:ascii="Arial" w:hAnsi="Arial" w:cs="Arial"/>
          <w:b/>
          <w:sz w:val="24"/>
          <w:szCs w:val="24"/>
        </w:rPr>
        <w:t>0 FREESTANDING, MOBILE DRYING SYSTEMS</w:t>
      </w:r>
    </w:p>
    <w:p w14:paraId="2DC805FD" w14:textId="77777777" w:rsidR="009F572B" w:rsidRDefault="009F572B" w:rsidP="00D826AC">
      <w:pPr>
        <w:spacing w:after="0"/>
        <w:jc w:val="both"/>
        <w:rPr>
          <w:rFonts w:ascii="Arial" w:hAnsi="Arial" w:cs="Arial"/>
          <w:sz w:val="24"/>
          <w:szCs w:val="24"/>
        </w:rPr>
      </w:pPr>
    </w:p>
    <w:p w14:paraId="6D9A8F5A" w14:textId="77777777"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14:paraId="5D7A64BB" w14:textId="77777777" w:rsidR="00B13BB5" w:rsidRDefault="00B13BB5" w:rsidP="00D826AC">
      <w:pPr>
        <w:spacing w:after="0"/>
        <w:jc w:val="both"/>
        <w:rPr>
          <w:rFonts w:ascii="Arial" w:hAnsi="Arial" w:cs="Arial"/>
          <w:sz w:val="24"/>
          <w:szCs w:val="24"/>
        </w:rPr>
      </w:pPr>
    </w:p>
    <w:p w14:paraId="3B774FA6" w14:textId="59F0E37D" w:rsidR="00E50F45" w:rsidRDefault="004F499F" w:rsidP="004F499F">
      <w:pPr>
        <w:spacing w:after="0"/>
        <w:ind w:left="720" w:hanging="720"/>
        <w:jc w:val="both"/>
        <w:rPr>
          <w:rFonts w:ascii="Arial" w:hAnsi="Arial" w:cs="Arial"/>
          <w:sz w:val="24"/>
          <w:szCs w:val="24"/>
        </w:rPr>
      </w:pPr>
      <w:r w:rsidRPr="004F499F">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F61559">
        <w:rPr>
          <w:rFonts w:ascii="Arial" w:hAnsi="Arial" w:cs="Arial"/>
          <w:sz w:val="24"/>
          <w:szCs w:val="24"/>
        </w:rPr>
        <w:t>The MCA wishes to purchase</w:t>
      </w:r>
      <w:r w:rsidR="0051042B">
        <w:rPr>
          <w:rFonts w:ascii="Arial" w:hAnsi="Arial" w:cs="Arial"/>
          <w:sz w:val="24"/>
          <w:szCs w:val="24"/>
        </w:rPr>
        <w:t xml:space="preserve"> up to forty</w:t>
      </w:r>
      <w:r w:rsidR="00F61559">
        <w:rPr>
          <w:rFonts w:ascii="Arial" w:hAnsi="Arial" w:cs="Arial"/>
          <w:sz w:val="24"/>
          <w:szCs w:val="24"/>
        </w:rPr>
        <w:t xml:space="preserve"> Freestanding, Mobile Drying Systems</w:t>
      </w:r>
      <w:r w:rsidR="0051042B">
        <w:rPr>
          <w:rFonts w:ascii="Arial" w:hAnsi="Arial" w:cs="Arial"/>
          <w:sz w:val="24"/>
          <w:szCs w:val="24"/>
        </w:rPr>
        <w:t xml:space="preserve"> over </w:t>
      </w:r>
      <w:r w:rsidR="005D13B7">
        <w:rPr>
          <w:rFonts w:ascii="Arial" w:hAnsi="Arial" w:cs="Arial"/>
          <w:sz w:val="24"/>
          <w:szCs w:val="24"/>
        </w:rPr>
        <w:t xml:space="preserve">a period of </w:t>
      </w:r>
      <w:r w:rsidR="0051042B">
        <w:rPr>
          <w:rFonts w:ascii="Arial" w:hAnsi="Arial" w:cs="Arial"/>
          <w:sz w:val="24"/>
          <w:szCs w:val="24"/>
        </w:rPr>
        <w:t xml:space="preserve">2 years. </w:t>
      </w:r>
      <w:r>
        <w:rPr>
          <w:rFonts w:ascii="Arial" w:hAnsi="Arial" w:cs="Arial"/>
          <w:sz w:val="24"/>
          <w:szCs w:val="24"/>
        </w:rPr>
        <w:t xml:space="preserve">These systems will be </w:t>
      </w:r>
      <w:r w:rsidR="00F61559">
        <w:rPr>
          <w:rFonts w:ascii="Arial" w:hAnsi="Arial" w:cs="Arial"/>
          <w:sz w:val="24"/>
          <w:szCs w:val="24"/>
        </w:rPr>
        <w:t xml:space="preserve">deployed around the UK at the MCA’s </w:t>
      </w:r>
      <w:r w:rsidR="00F4390A">
        <w:rPr>
          <w:rFonts w:ascii="Arial" w:hAnsi="Arial" w:cs="Arial"/>
          <w:sz w:val="24"/>
          <w:szCs w:val="24"/>
        </w:rPr>
        <w:t xml:space="preserve">HM </w:t>
      </w:r>
      <w:r w:rsidR="00F61559">
        <w:rPr>
          <w:rFonts w:ascii="Arial" w:hAnsi="Arial" w:cs="Arial"/>
          <w:sz w:val="24"/>
          <w:szCs w:val="24"/>
        </w:rPr>
        <w:t>Coastguard Rescue Centres to be used following rescue incidents at sea.</w:t>
      </w:r>
    </w:p>
    <w:p w14:paraId="6B37547D" w14:textId="77777777" w:rsidR="004F499F" w:rsidRPr="004F499F" w:rsidRDefault="004F499F" w:rsidP="00965ADA">
      <w:pPr>
        <w:spacing w:after="0"/>
        <w:ind w:left="720" w:hanging="720"/>
        <w:jc w:val="both"/>
        <w:rPr>
          <w:rFonts w:ascii="Arial" w:hAnsi="Arial" w:cs="Arial"/>
          <w:sz w:val="24"/>
          <w:szCs w:val="24"/>
        </w:rPr>
      </w:pPr>
    </w:p>
    <w:p w14:paraId="44B140A9" w14:textId="76D19717" w:rsidR="00F61559" w:rsidRDefault="004F499F" w:rsidP="00965ADA">
      <w:pPr>
        <w:spacing w:after="0"/>
        <w:ind w:left="720" w:hanging="720"/>
        <w:rPr>
          <w:rFonts w:ascii="Arial" w:hAnsi="Arial" w:cs="Arial"/>
          <w:sz w:val="24"/>
          <w:szCs w:val="24"/>
        </w:rPr>
      </w:pPr>
      <w:r w:rsidRPr="004F499F">
        <w:rPr>
          <w:rFonts w:ascii="Arial" w:hAnsi="Arial" w:cs="Arial"/>
          <w:sz w:val="24"/>
          <w:szCs w:val="24"/>
        </w:rPr>
        <w:t>2.</w:t>
      </w:r>
      <w:r w:rsidRPr="004F499F">
        <w:rPr>
          <w:rFonts w:ascii="Arial" w:hAnsi="Arial" w:cs="Arial"/>
          <w:sz w:val="24"/>
          <w:szCs w:val="24"/>
        </w:rPr>
        <w:tab/>
      </w:r>
      <w:r>
        <w:rPr>
          <w:rFonts w:ascii="Arial" w:hAnsi="Arial" w:cs="Arial"/>
          <w:sz w:val="24"/>
          <w:szCs w:val="24"/>
        </w:rPr>
        <w:t>The systems will need to</w:t>
      </w:r>
      <w:r w:rsidR="00253A44">
        <w:rPr>
          <w:rFonts w:ascii="Arial" w:hAnsi="Arial" w:cs="Arial"/>
          <w:sz w:val="24"/>
          <w:szCs w:val="24"/>
        </w:rPr>
        <w:t xml:space="preserve"> be capable of </w:t>
      </w:r>
      <w:r w:rsidR="00F61559">
        <w:rPr>
          <w:rFonts w:ascii="Arial" w:hAnsi="Arial" w:cs="Arial"/>
          <w:sz w:val="24"/>
          <w:szCs w:val="24"/>
        </w:rPr>
        <w:t xml:space="preserve">drying </w:t>
      </w:r>
      <w:r w:rsidR="00F61559" w:rsidRPr="00965ADA">
        <w:rPr>
          <w:rFonts w:ascii="Arial" w:hAnsi="Arial" w:cs="Arial"/>
          <w:b/>
          <w:sz w:val="24"/>
          <w:szCs w:val="24"/>
          <w:u w:val="single"/>
        </w:rPr>
        <w:t xml:space="preserve">at </w:t>
      </w:r>
      <w:r w:rsidR="005D13B7" w:rsidRPr="00965ADA">
        <w:rPr>
          <w:rFonts w:ascii="Arial" w:hAnsi="Arial" w:cs="Arial"/>
          <w:b/>
          <w:sz w:val="24"/>
          <w:szCs w:val="24"/>
          <w:u w:val="single"/>
        </w:rPr>
        <w:t>least</w:t>
      </w:r>
      <w:r w:rsidR="005D13B7">
        <w:rPr>
          <w:rFonts w:ascii="Arial" w:hAnsi="Arial" w:cs="Arial"/>
          <w:sz w:val="24"/>
          <w:szCs w:val="24"/>
        </w:rPr>
        <w:t>:</w:t>
      </w:r>
    </w:p>
    <w:p w14:paraId="5F0A79F8" w14:textId="77777777" w:rsidR="00F61559" w:rsidRPr="00C81231" w:rsidRDefault="00F61559" w:rsidP="00965ADA">
      <w:pPr>
        <w:pStyle w:val="ListParagraph"/>
        <w:numPr>
          <w:ilvl w:val="0"/>
          <w:numId w:val="36"/>
        </w:numPr>
        <w:spacing w:after="0"/>
        <w:rPr>
          <w:rFonts w:ascii="Arial" w:hAnsi="Arial" w:cs="Arial"/>
          <w:sz w:val="24"/>
          <w:szCs w:val="24"/>
        </w:rPr>
      </w:pPr>
      <w:r w:rsidRPr="00C81231">
        <w:rPr>
          <w:rFonts w:ascii="Arial" w:hAnsi="Arial" w:cs="Arial"/>
          <w:sz w:val="24"/>
          <w:szCs w:val="24"/>
        </w:rPr>
        <w:t>5 jackets</w:t>
      </w:r>
    </w:p>
    <w:p w14:paraId="2FF6127C" w14:textId="77777777" w:rsidR="00F61559" w:rsidRPr="00C81231" w:rsidRDefault="00F61559" w:rsidP="00965ADA">
      <w:pPr>
        <w:pStyle w:val="ListParagraph"/>
        <w:numPr>
          <w:ilvl w:val="0"/>
          <w:numId w:val="36"/>
        </w:numPr>
        <w:spacing w:after="0"/>
        <w:rPr>
          <w:rFonts w:ascii="Arial" w:hAnsi="Arial" w:cs="Arial"/>
          <w:sz w:val="24"/>
          <w:szCs w:val="24"/>
        </w:rPr>
      </w:pPr>
      <w:r w:rsidRPr="00C81231">
        <w:rPr>
          <w:rFonts w:ascii="Arial" w:hAnsi="Arial" w:cs="Arial"/>
          <w:sz w:val="24"/>
          <w:szCs w:val="24"/>
        </w:rPr>
        <w:t>5 pairs of trousers</w:t>
      </w:r>
    </w:p>
    <w:p w14:paraId="0E2FEE66" w14:textId="77777777" w:rsidR="00C81231" w:rsidRPr="00C81231" w:rsidRDefault="00C81231" w:rsidP="00965ADA">
      <w:pPr>
        <w:pStyle w:val="ListParagraph"/>
        <w:numPr>
          <w:ilvl w:val="0"/>
          <w:numId w:val="36"/>
        </w:numPr>
        <w:spacing w:after="0"/>
        <w:rPr>
          <w:rFonts w:ascii="Arial" w:hAnsi="Arial" w:cs="Arial"/>
          <w:sz w:val="24"/>
          <w:szCs w:val="24"/>
        </w:rPr>
      </w:pPr>
      <w:r w:rsidRPr="00C81231">
        <w:rPr>
          <w:rFonts w:ascii="Arial" w:hAnsi="Arial" w:cs="Arial"/>
          <w:sz w:val="24"/>
          <w:szCs w:val="24"/>
        </w:rPr>
        <w:t>5 pairs of boots</w:t>
      </w:r>
    </w:p>
    <w:p w14:paraId="5FD9803E" w14:textId="77777777" w:rsidR="00C81231" w:rsidRPr="00C81231" w:rsidRDefault="00C81231" w:rsidP="00965ADA">
      <w:pPr>
        <w:pStyle w:val="ListParagraph"/>
        <w:numPr>
          <w:ilvl w:val="0"/>
          <w:numId w:val="36"/>
        </w:numPr>
        <w:spacing w:after="0"/>
        <w:rPr>
          <w:rFonts w:ascii="Arial" w:hAnsi="Arial" w:cs="Arial"/>
          <w:sz w:val="24"/>
          <w:szCs w:val="24"/>
        </w:rPr>
      </w:pPr>
      <w:r w:rsidRPr="00C81231">
        <w:rPr>
          <w:rFonts w:ascii="Arial" w:hAnsi="Arial" w:cs="Arial"/>
          <w:sz w:val="24"/>
          <w:szCs w:val="24"/>
        </w:rPr>
        <w:t>6 pairs of gloves</w:t>
      </w:r>
    </w:p>
    <w:p w14:paraId="3619A56A" w14:textId="77777777" w:rsidR="00C81231" w:rsidRPr="00C81231" w:rsidRDefault="00C81231" w:rsidP="00965ADA">
      <w:pPr>
        <w:pStyle w:val="ListParagraph"/>
        <w:numPr>
          <w:ilvl w:val="0"/>
          <w:numId w:val="36"/>
        </w:numPr>
        <w:spacing w:after="0"/>
        <w:rPr>
          <w:rFonts w:ascii="Arial" w:hAnsi="Arial" w:cs="Arial"/>
          <w:sz w:val="24"/>
          <w:szCs w:val="24"/>
        </w:rPr>
      </w:pPr>
      <w:r w:rsidRPr="00C81231">
        <w:rPr>
          <w:rFonts w:ascii="Arial" w:hAnsi="Arial" w:cs="Arial"/>
          <w:sz w:val="24"/>
          <w:szCs w:val="24"/>
        </w:rPr>
        <w:t>6 hats / helmets</w:t>
      </w:r>
    </w:p>
    <w:p w14:paraId="10EB93A6" w14:textId="77777777" w:rsidR="00C81231" w:rsidRDefault="00C81231" w:rsidP="00965ADA">
      <w:pPr>
        <w:spacing w:after="0" w:line="240" w:lineRule="auto"/>
        <w:ind w:left="720" w:hanging="720"/>
        <w:jc w:val="both"/>
        <w:rPr>
          <w:rFonts w:ascii="Arial" w:hAnsi="Arial" w:cs="Arial"/>
          <w:sz w:val="24"/>
          <w:szCs w:val="24"/>
        </w:rPr>
      </w:pPr>
    </w:p>
    <w:p w14:paraId="388C0D5D" w14:textId="77777777" w:rsidR="00C81231" w:rsidRDefault="00C81231" w:rsidP="00965ADA">
      <w:pPr>
        <w:spacing w:after="0" w:line="24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If the system offered </w:t>
      </w:r>
      <w:proofErr w:type="gramStart"/>
      <w:r>
        <w:rPr>
          <w:rFonts w:ascii="Arial" w:hAnsi="Arial" w:cs="Arial"/>
          <w:sz w:val="24"/>
          <w:szCs w:val="24"/>
        </w:rPr>
        <w:t>is capable of drying</w:t>
      </w:r>
      <w:proofErr w:type="gramEnd"/>
      <w:r>
        <w:rPr>
          <w:rFonts w:ascii="Arial" w:hAnsi="Arial" w:cs="Arial"/>
          <w:sz w:val="24"/>
          <w:szCs w:val="24"/>
        </w:rPr>
        <w:t xml:space="preserve"> more sets of clothing than what is specified above please state quantities in your tender documentation</w:t>
      </w:r>
      <w:r w:rsidR="00965ADA">
        <w:rPr>
          <w:rFonts w:ascii="Arial" w:hAnsi="Arial" w:cs="Arial"/>
          <w:sz w:val="24"/>
          <w:szCs w:val="24"/>
        </w:rPr>
        <w:t>.</w:t>
      </w:r>
    </w:p>
    <w:p w14:paraId="6FE97C41" w14:textId="77777777" w:rsidR="00C81231" w:rsidRDefault="00C81231" w:rsidP="00965ADA">
      <w:pPr>
        <w:spacing w:after="0" w:line="240" w:lineRule="auto"/>
        <w:ind w:left="720" w:hanging="720"/>
        <w:jc w:val="both"/>
        <w:rPr>
          <w:rFonts w:ascii="Arial" w:hAnsi="Arial" w:cs="Arial"/>
          <w:sz w:val="24"/>
          <w:szCs w:val="24"/>
        </w:rPr>
      </w:pPr>
    </w:p>
    <w:p w14:paraId="6B50B0CA" w14:textId="77777777" w:rsidR="002775ED" w:rsidRDefault="00C81231" w:rsidP="00965ADA">
      <w:pPr>
        <w:spacing w:after="0" w:line="240" w:lineRule="auto"/>
        <w:ind w:left="720" w:hanging="720"/>
        <w:jc w:val="both"/>
        <w:rPr>
          <w:rFonts w:ascii="Arial" w:hAnsi="Arial" w:cs="Arial"/>
          <w:sz w:val="24"/>
          <w:szCs w:val="24"/>
        </w:rPr>
      </w:pPr>
      <w:r>
        <w:rPr>
          <w:rFonts w:ascii="Arial" w:hAnsi="Arial" w:cs="Arial"/>
          <w:sz w:val="24"/>
          <w:szCs w:val="24"/>
        </w:rPr>
        <w:t>4</w:t>
      </w:r>
      <w:r w:rsidR="002775ED">
        <w:rPr>
          <w:rFonts w:ascii="Arial" w:hAnsi="Arial" w:cs="Arial"/>
          <w:sz w:val="24"/>
          <w:szCs w:val="24"/>
        </w:rPr>
        <w:t>.</w:t>
      </w:r>
      <w:r w:rsidR="002775ED">
        <w:rPr>
          <w:rFonts w:ascii="Arial" w:hAnsi="Arial" w:cs="Arial"/>
          <w:sz w:val="24"/>
          <w:szCs w:val="24"/>
        </w:rPr>
        <w:tab/>
      </w:r>
      <w:r>
        <w:rPr>
          <w:rFonts w:ascii="Arial" w:hAnsi="Arial" w:cs="Arial"/>
          <w:sz w:val="24"/>
          <w:szCs w:val="24"/>
        </w:rPr>
        <w:t xml:space="preserve">Each system should be constructed of stainless steel and be on wheels/casters to ease movement, therefore each system </w:t>
      </w:r>
      <w:r w:rsidR="002775ED">
        <w:rPr>
          <w:rFonts w:ascii="Arial" w:hAnsi="Arial" w:cs="Arial"/>
          <w:sz w:val="24"/>
          <w:szCs w:val="24"/>
        </w:rPr>
        <w:t>must be highly portable</w:t>
      </w:r>
      <w:r>
        <w:rPr>
          <w:rFonts w:ascii="Arial" w:hAnsi="Arial" w:cs="Arial"/>
          <w:sz w:val="24"/>
          <w:szCs w:val="24"/>
        </w:rPr>
        <w:t>, but have cross beams for stability.  The wheels / castors should be lockable in position.</w:t>
      </w:r>
    </w:p>
    <w:p w14:paraId="119B13DF" w14:textId="77777777" w:rsidR="00C81231" w:rsidRDefault="00C81231" w:rsidP="00965ADA">
      <w:pPr>
        <w:spacing w:after="0" w:line="240" w:lineRule="auto"/>
        <w:ind w:left="720" w:hanging="720"/>
        <w:rPr>
          <w:rFonts w:ascii="Arial" w:hAnsi="Arial" w:cs="Arial"/>
          <w:sz w:val="24"/>
          <w:szCs w:val="24"/>
        </w:rPr>
      </w:pPr>
    </w:p>
    <w:p w14:paraId="05560771" w14:textId="0EF2F138" w:rsidR="00C81231" w:rsidRDefault="00C81231" w:rsidP="00965ADA">
      <w:pPr>
        <w:spacing w:after="0" w:line="240" w:lineRule="auto"/>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t>It is envisaged that the system could have a warm air blower, with timer, mounted on the framework.</w:t>
      </w:r>
      <w:r w:rsidR="00E7537E">
        <w:rPr>
          <w:rFonts w:ascii="Arial" w:hAnsi="Arial" w:cs="Arial"/>
          <w:sz w:val="24"/>
          <w:szCs w:val="24"/>
        </w:rPr>
        <w:t xml:space="preserve">  If a warm </w:t>
      </w:r>
      <w:r w:rsidR="0074344B">
        <w:rPr>
          <w:rFonts w:ascii="Arial" w:hAnsi="Arial" w:cs="Arial"/>
          <w:sz w:val="24"/>
          <w:szCs w:val="24"/>
        </w:rPr>
        <w:t xml:space="preserve">air </w:t>
      </w:r>
      <w:r w:rsidR="00E7537E">
        <w:rPr>
          <w:rFonts w:ascii="Arial" w:hAnsi="Arial" w:cs="Arial"/>
          <w:sz w:val="24"/>
          <w:szCs w:val="24"/>
        </w:rPr>
        <w:t xml:space="preserve">blower, </w:t>
      </w:r>
      <w:r>
        <w:rPr>
          <w:rFonts w:ascii="Arial" w:hAnsi="Arial" w:cs="Arial"/>
          <w:sz w:val="24"/>
          <w:szCs w:val="24"/>
        </w:rPr>
        <w:t>built into the system</w:t>
      </w:r>
      <w:r w:rsidR="00E7537E">
        <w:rPr>
          <w:rFonts w:ascii="Arial" w:hAnsi="Arial" w:cs="Arial"/>
          <w:sz w:val="24"/>
          <w:szCs w:val="24"/>
        </w:rPr>
        <w:t>,</w:t>
      </w:r>
      <w:r>
        <w:rPr>
          <w:rFonts w:ascii="Arial" w:hAnsi="Arial" w:cs="Arial"/>
          <w:sz w:val="24"/>
          <w:szCs w:val="24"/>
        </w:rPr>
        <w:t xml:space="preserve"> </w:t>
      </w:r>
      <w:r w:rsidR="00E7537E">
        <w:rPr>
          <w:rFonts w:ascii="Arial" w:hAnsi="Arial" w:cs="Arial"/>
          <w:sz w:val="24"/>
          <w:szCs w:val="24"/>
        </w:rPr>
        <w:t xml:space="preserve">is </w:t>
      </w:r>
      <w:r>
        <w:rPr>
          <w:rFonts w:ascii="Arial" w:hAnsi="Arial" w:cs="Arial"/>
          <w:sz w:val="24"/>
          <w:szCs w:val="24"/>
        </w:rPr>
        <w:t xml:space="preserve">being tendered, it is necessary to provide an approximate </w:t>
      </w:r>
      <w:r w:rsidR="00E7537E">
        <w:rPr>
          <w:rFonts w:ascii="Arial" w:hAnsi="Arial" w:cs="Arial"/>
          <w:sz w:val="24"/>
          <w:szCs w:val="24"/>
        </w:rPr>
        <w:t xml:space="preserve">running </w:t>
      </w:r>
      <w:r>
        <w:rPr>
          <w:rFonts w:ascii="Arial" w:hAnsi="Arial" w:cs="Arial"/>
          <w:sz w:val="24"/>
          <w:szCs w:val="24"/>
        </w:rPr>
        <w:t>temperature, and voltage.</w:t>
      </w:r>
      <w:r w:rsidR="00E7537E">
        <w:rPr>
          <w:rFonts w:ascii="Arial" w:hAnsi="Arial" w:cs="Arial"/>
          <w:sz w:val="24"/>
          <w:szCs w:val="24"/>
        </w:rPr>
        <w:t xml:space="preserve">  It is expected that the system will be pre-wired with a heavy duty </w:t>
      </w:r>
      <w:r w:rsidR="005D13B7">
        <w:rPr>
          <w:rFonts w:ascii="Arial" w:hAnsi="Arial" w:cs="Arial"/>
          <w:sz w:val="24"/>
          <w:szCs w:val="24"/>
        </w:rPr>
        <w:t>13-amp</w:t>
      </w:r>
      <w:r w:rsidR="00E7537E">
        <w:rPr>
          <w:rFonts w:ascii="Arial" w:hAnsi="Arial" w:cs="Arial"/>
          <w:sz w:val="24"/>
          <w:szCs w:val="24"/>
        </w:rPr>
        <w:t xml:space="preserve"> 3 pin plug.</w:t>
      </w:r>
    </w:p>
    <w:p w14:paraId="50681AB8" w14:textId="77777777" w:rsidR="00C81231" w:rsidRDefault="00C81231" w:rsidP="00965ADA">
      <w:pPr>
        <w:spacing w:after="0" w:line="240" w:lineRule="auto"/>
        <w:ind w:left="720" w:hanging="720"/>
        <w:rPr>
          <w:rFonts w:ascii="Arial" w:hAnsi="Arial" w:cs="Arial"/>
          <w:sz w:val="24"/>
          <w:szCs w:val="24"/>
        </w:rPr>
      </w:pPr>
    </w:p>
    <w:p w14:paraId="44D5E62D" w14:textId="77777777" w:rsidR="00C81231" w:rsidRDefault="00C81231" w:rsidP="00965ADA">
      <w:pPr>
        <w:spacing w:after="0" w:line="240" w:lineRule="auto"/>
        <w:ind w:left="720" w:hanging="720"/>
        <w:rPr>
          <w:rFonts w:ascii="Arial" w:hAnsi="Arial" w:cs="Arial"/>
          <w:sz w:val="24"/>
          <w:szCs w:val="24"/>
        </w:rPr>
      </w:pPr>
      <w:r>
        <w:rPr>
          <w:rFonts w:ascii="Arial" w:hAnsi="Arial" w:cs="Arial"/>
          <w:sz w:val="24"/>
          <w:szCs w:val="24"/>
        </w:rPr>
        <w:t>6.</w:t>
      </w:r>
      <w:r>
        <w:rPr>
          <w:rFonts w:ascii="Arial" w:hAnsi="Arial" w:cs="Arial"/>
          <w:sz w:val="24"/>
          <w:szCs w:val="24"/>
        </w:rPr>
        <w:tab/>
        <w:t>Full dimensions of the built framework should be provided.</w:t>
      </w:r>
    </w:p>
    <w:p w14:paraId="5CEC2450" w14:textId="77777777" w:rsidR="00B2345A" w:rsidRDefault="00B2345A" w:rsidP="00D826AC">
      <w:pPr>
        <w:spacing w:after="0"/>
        <w:jc w:val="both"/>
        <w:rPr>
          <w:rFonts w:ascii="Arial" w:hAnsi="Arial" w:cs="Arial"/>
          <w:sz w:val="24"/>
          <w:szCs w:val="24"/>
        </w:rPr>
      </w:pPr>
    </w:p>
    <w:p w14:paraId="6A39F457" w14:textId="77777777" w:rsidR="00E924F8" w:rsidRDefault="00E924F8" w:rsidP="00D826AC">
      <w:pPr>
        <w:spacing w:after="0"/>
        <w:jc w:val="both"/>
        <w:rPr>
          <w:rFonts w:ascii="Arial" w:hAnsi="Arial" w:cs="Arial"/>
          <w:b/>
          <w:sz w:val="24"/>
          <w:szCs w:val="24"/>
        </w:rPr>
      </w:pPr>
      <w:r>
        <w:rPr>
          <w:rFonts w:ascii="Arial" w:hAnsi="Arial" w:cs="Arial"/>
          <w:b/>
          <w:sz w:val="24"/>
          <w:szCs w:val="24"/>
        </w:rPr>
        <w:t>Guarantee</w:t>
      </w:r>
    </w:p>
    <w:p w14:paraId="4C5FA14B" w14:textId="77777777" w:rsidR="00D826AC" w:rsidRDefault="00D826AC" w:rsidP="00D826AC">
      <w:pPr>
        <w:spacing w:after="0"/>
        <w:jc w:val="both"/>
        <w:rPr>
          <w:rFonts w:ascii="Arial" w:hAnsi="Arial" w:cs="Arial"/>
          <w:sz w:val="24"/>
          <w:szCs w:val="24"/>
        </w:rPr>
      </w:pPr>
    </w:p>
    <w:p w14:paraId="0BBBA579" w14:textId="77777777" w:rsidR="00E924F8" w:rsidRPr="00B2345A" w:rsidRDefault="00C81231" w:rsidP="00A24156">
      <w:pPr>
        <w:spacing w:after="0"/>
        <w:ind w:left="720" w:hanging="720"/>
        <w:jc w:val="both"/>
        <w:rPr>
          <w:rFonts w:ascii="Arial" w:hAnsi="Arial" w:cs="Arial"/>
          <w:sz w:val="24"/>
          <w:szCs w:val="24"/>
        </w:rPr>
      </w:pPr>
      <w:r>
        <w:rPr>
          <w:rFonts w:ascii="Arial" w:hAnsi="Arial" w:cs="Arial"/>
          <w:sz w:val="24"/>
          <w:szCs w:val="24"/>
        </w:rPr>
        <w:t>7</w:t>
      </w:r>
      <w:r w:rsidR="00A24156">
        <w:rPr>
          <w:rFonts w:ascii="Arial" w:hAnsi="Arial" w:cs="Arial"/>
          <w:sz w:val="24"/>
          <w:szCs w:val="24"/>
        </w:rPr>
        <w:t>.</w:t>
      </w:r>
      <w:r w:rsidR="00A24156">
        <w:rPr>
          <w:rFonts w:ascii="Arial" w:hAnsi="Arial" w:cs="Arial"/>
          <w:sz w:val="24"/>
          <w:szCs w:val="24"/>
        </w:rPr>
        <w:tab/>
      </w:r>
      <w:r w:rsidR="00E924F8" w:rsidRPr="00B2345A">
        <w:rPr>
          <w:rFonts w:ascii="Arial" w:hAnsi="Arial" w:cs="Arial"/>
          <w:sz w:val="24"/>
          <w:szCs w:val="24"/>
        </w:rPr>
        <w:t xml:space="preserve">We regard warranties as an important component of achieving overall best value for money.  Full details of your warranty on the tendered equipment is required, including the period of cover.  </w:t>
      </w:r>
    </w:p>
    <w:p w14:paraId="38C7C3A9" w14:textId="77777777" w:rsidR="00B2345A" w:rsidRDefault="00B2345A" w:rsidP="00CC1BD8">
      <w:pPr>
        <w:spacing w:after="0"/>
        <w:jc w:val="both"/>
        <w:rPr>
          <w:rFonts w:ascii="Arial" w:hAnsi="Arial" w:cs="Arial"/>
          <w:b/>
          <w:sz w:val="24"/>
          <w:szCs w:val="24"/>
        </w:rPr>
      </w:pPr>
    </w:p>
    <w:p w14:paraId="62AA06C8" w14:textId="77777777"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14:paraId="2FD2FF13" w14:textId="77777777" w:rsidR="00CC1BD8" w:rsidRDefault="00CC1BD8" w:rsidP="00CC1BD8">
      <w:pPr>
        <w:spacing w:after="0"/>
        <w:jc w:val="both"/>
        <w:rPr>
          <w:rFonts w:ascii="Arial" w:hAnsi="Arial" w:cs="Arial"/>
          <w:sz w:val="24"/>
          <w:szCs w:val="24"/>
        </w:rPr>
      </w:pPr>
    </w:p>
    <w:p w14:paraId="4C903C44" w14:textId="517DE1AB" w:rsidR="00831107" w:rsidRDefault="00831107" w:rsidP="00C3564E">
      <w:pPr>
        <w:spacing w:after="0"/>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Tenderers should detail whether they would offer to assemble and fit out the system as required, as well as commission it on site – bearing in mind this could be on </w:t>
      </w:r>
      <w:r w:rsidR="0051042B">
        <w:rPr>
          <w:rFonts w:ascii="Arial" w:hAnsi="Arial" w:cs="Arial"/>
          <w:sz w:val="24"/>
          <w:szCs w:val="24"/>
        </w:rPr>
        <w:t xml:space="preserve">many </w:t>
      </w:r>
      <w:r>
        <w:rPr>
          <w:rFonts w:ascii="Arial" w:hAnsi="Arial" w:cs="Arial"/>
          <w:sz w:val="24"/>
          <w:szCs w:val="24"/>
        </w:rPr>
        <w:t xml:space="preserve">different sites throughout the UK.  </w:t>
      </w:r>
    </w:p>
    <w:p w14:paraId="5464D7AA" w14:textId="77777777" w:rsidR="00831107" w:rsidRDefault="00831107" w:rsidP="00C3564E">
      <w:pPr>
        <w:spacing w:after="0"/>
        <w:ind w:left="720" w:hanging="720"/>
        <w:jc w:val="both"/>
        <w:rPr>
          <w:rFonts w:ascii="Arial" w:hAnsi="Arial" w:cs="Arial"/>
          <w:sz w:val="24"/>
          <w:szCs w:val="24"/>
        </w:rPr>
      </w:pPr>
    </w:p>
    <w:p w14:paraId="3BB2823B" w14:textId="77777777" w:rsidR="00CC1BD8" w:rsidRPr="00CC1BD8" w:rsidRDefault="00831107" w:rsidP="00C3564E">
      <w:pPr>
        <w:spacing w:after="0"/>
        <w:ind w:left="720" w:hanging="720"/>
        <w:jc w:val="both"/>
        <w:rPr>
          <w:rFonts w:ascii="Arial" w:hAnsi="Arial" w:cs="Arial"/>
          <w:sz w:val="24"/>
          <w:szCs w:val="24"/>
        </w:rPr>
      </w:pPr>
      <w:r>
        <w:rPr>
          <w:rFonts w:ascii="Arial" w:hAnsi="Arial" w:cs="Arial"/>
          <w:sz w:val="24"/>
          <w:szCs w:val="24"/>
        </w:rPr>
        <w:lastRenderedPageBreak/>
        <w:t>9.</w:t>
      </w:r>
      <w:r>
        <w:rPr>
          <w:rFonts w:ascii="Arial" w:hAnsi="Arial" w:cs="Arial"/>
          <w:sz w:val="24"/>
          <w:szCs w:val="24"/>
        </w:rPr>
        <w:tab/>
        <w:t>We would e</w:t>
      </w:r>
      <w:r w:rsidR="0074344B">
        <w:rPr>
          <w:rFonts w:ascii="Arial" w:hAnsi="Arial" w:cs="Arial"/>
          <w:sz w:val="24"/>
          <w:szCs w:val="24"/>
        </w:rPr>
        <w:t>xpect the system to be fully PA</w:t>
      </w:r>
      <w:r>
        <w:rPr>
          <w:rFonts w:ascii="Arial" w:hAnsi="Arial" w:cs="Arial"/>
          <w:sz w:val="24"/>
          <w:szCs w:val="24"/>
        </w:rPr>
        <w:t>T tested in accordance with the Electricity at Work Regulations 1989 and the Institute of Electrical Engineers Code of Practice for the Inspection and Testing of Electrical Equipmen</w:t>
      </w:r>
      <w:r w:rsidR="00F8670A">
        <w:rPr>
          <w:rFonts w:ascii="Arial" w:hAnsi="Arial" w:cs="Arial"/>
          <w:sz w:val="24"/>
          <w:szCs w:val="24"/>
        </w:rPr>
        <w:t>t</w:t>
      </w:r>
      <w:r w:rsidR="00CC1BD8">
        <w:rPr>
          <w:rFonts w:ascii="Arial" w:hAnsi="Arial" w:cs="Arial"/>
          <w:sz w:val="24"/>
          <w:szCs w:val="24"/>
        </w:rPr>
        <w:t>.</w:t>
      </w:r>
    </w:p>
    <w:p w14:paraId="4A3AD35F" w14:textId="77777777" w:rsidR="00D826AC" w:rsidRDefault="00D826AC" w:rsidP="00D826AC">
      <w:pPr>
        <w:pStyle w:val="ListParagraph"/>
        <w:spacing w:after="0"/>
        <w:jc w:val="both"/>
        <w:rPr>
          <w:rFonts w:ascii="Arial" w:hAnsi="Arial" w:cs="Arial"/>
          <w:sz w:val="24"/>
          <w:szCs w:val="24"/>
        </w:rPr>
      </w:pPr>
    </w:p>
    <w:p w14:paraId="4DCBB75B" w14:textId="77777777" w:rsidR="00B92735" w:rsidRDefault="00B92735" w:rsidP="00D826AC">
      <w:pPr>
        <w:spacing w:after="0"/>
        <w:jc w:val="both"/>
        <w:rPr>
          <w:rFonts w:ascii="Arial" w:hAnsi="Arial" w:cs="Arial"/>
          <w:b/>
          <w:sz w:val="24"/>
          <w:szCs w:val="24"/>
        </w:rPr>
      </w:pPr>
      <w:r>
        <w:rPr>
          <w:rFonts w:ascii="Arial" w:hAnsi="Arial" w:cs="Arial"/>
          <w:b/>
          <w:sz w:val="24"/>
          <w:szCs w:val="24"/>
        </w:rPr>
        <w:t>Delivery</w:t>
      </w:r>
    </w:p>
    <w:p w14:paraId="1B4601B7" w14:textId="77777777" w:rsidR="00D826AC" w:rsidRDefault="00D826AC" w:rsidP="00D826AC">
      <w:pPr>
        <w:spacing w:after="0"/>
        <w:jc w:val="both"/>
        <w:rPr>
          <w:rFonts w:ascii="Arial" w:hAnsi="Arial" w:cs="Arial"/>
          <w:sz w:val="24"/>
          <w:szCs w:val="24"/>
        </w:rPr>
      </w:pPr>
    </w:p>
    <w:p w14:paraId="67BC9348" w14:textId="78655505" w:rsidR="00F8670A" w:rsidRDefault="00F8670A" w:rsidP="00922606">
      <w:pPr>
        <w:ind w:left="720" w:hanging="720"/>
        <w:jc w:val="both"/>
        <w:rPr>
          <w:rFonts w:ascii="Arial" w:hAnsi="Arial" w:cs="Arial"/>
          <w:sz w:val="24"/>
          <w:szCs w:val="24"/>
        </w:rPr>
      </w:pPr>
      <w:r>
        <w:rPr>
          <w:rFonts w:ascii="Arial" w:hAnsi="Arial" w:cs="Arial"/>
          <w:sz w:val="24"/>
          <w:szCs w:val="24"/>
        </w:rPr>
        <w:t>10</w:t>
      </w:r>
      <w:r w:rsidR="00A24156">
        <w:rPr>
          <w:rFonts w:ascii="Arial" w:hAnsi="Arial" w:cs="Arial"/>
          <w:sz w:val="24"/>
          <w:szCs w:val="24"/>
        </w:rPr>
        <w:t>.</w:t>
      </w:r>
      <w:r w:rsidR="00A24156">
        <w:rPr>
          <w:rFonts w:ascii="Arial" w:hAnsi="Arial" w:cs="Arial"/>
          <w:sz w:val="24"/>
          <w:szCs w:val="24"/>
        </w:rPr>
        <w:tab/>
      </w:r>
      <w:r w:rsidR="0051042B">
        <w:rPr>
          <w:rFonts w:ascii="Arial" w:hAnsi="Arial" w:cs="Arial"/>
          <w:sz w:val="24"/>
          <w:szCs w:val="24"/>
        </w:rPr>
        <w:t>T</w:t>
      </w:r>
      <w:r w:rsidR="00B92735" w:rsidRPr="00CC1BD8">
        <w:rPr>
          <w:rFonts w:ascii="Arial" w:hAnsi="Arial" w:cs="Arial"/>
          <w:sz w:val="24"/>
          <w:szCs w:val="24"/>
        </w:rPr>
        <w:t xml:space="preserve">he MCA has </w:t>
      </w:r>
      <w:r>
        <w:rPr>
          <w:rFonts w:ascii="Arial" w:hAnsi="Arial" w:cs="Arial"/>
          <w:sz w:val="24"/>
          <w:szCs w:val="24"/>
        </w:rPr>
        <w:t xml:space="preserve">approximately </w:t>
      </w:r>
      <w:r w:rsidR="0051042B">
        <w:rPr>
          <w:rFonts w:ascii="Arial" w:hAnsi="Arial" w:cs="Arial"/>
          <w:sz w:val="24"/>
          <w:szCs w:val="24"/>
        </w:rPr>
        <w:t>80</w:t>
      </w:r>
      <w:r>
        <w:rPr>
          <w:rFonts w:ascii="Arial" w:hAnsi="Arial" w:cs="Arial"/>
          <w:sz w:val="24"/>
          <w:szCs w:val="24"/>
        </w:rPr>
        <w:t xml:space="preserve"> possible locations </w:t>
      </w:r>
      <w:r w:rsidR="0074344B">
        <w:rPr>
          <w:rFonts w:ascii="Arial" w:hAnsi="Arial" w:cs="Arial"/>
          <w:sz w:val="24"/>
          <w:szCs w:val="24"/>
        </w:rPr>
        <w:t xml:space="preserve">around the UK </w:t>
      </w:r>
      <w:r>
        <w:rPr>
          <w:rFonts w:ascii="Arial" w:hAnsi="Arial" w:cs="Arial"/>
          <w:sz w:val="24"/>
          <w:szCs w:val="24"/>
        </w:rPr>
        <w:t xml:space="preserve">for this equipment and the exact </w:t>
      </w:r>
      <w:r w:rsidR="00965ADA">
        <w:rPr>
          <w:rFonts w:ascii="Arial" w:hAnsi="Arial" w:cs="Arial"/>
          <w:sz w:val="24"/>
          <w:szCs w:val="24"/>
        </w:rPr>
        <w:t xml:space="preserve">delivery </w:t>
      </w:r>
      <w:r>
        <w:rPr>
          <w:rFonts w:ascii="Arial" w:hAnsi="Arial" w:cs="Arial"/>
          <w:sz w:val="24"/>
          <w:szCs w:val="24"/>
        </w:rPr>
        <w:t>locations of each drying system will be provided to the successful tenderer.</w:t>
      </w:r>
      <w:r w:rsidR="00B92735" w:rsidRPr="00CC1BD8">
        <w:rPr>
          <w:rFonts w:ascii="Arial" w:hAnsi="Arial" w:cs="Arial"/>
          <w:sz w:val="24"/>
          <w:szCs w:val="24"/>
        </w:rPr>
        <w:t xml:space="preserve"> </w:t>
      </w:r>
      <w:r>
        <w:rPr>
          <w:rFonts w:ascii="Arial" w:hAnsi="Arial" w:cs="Arial"/>
          <w:sz w:val="24"/>
          <w:szCs w:val="24"/>
        </w:rPr>
        <w:t>We understand this uncertainty will make it difficult for the tenderer to provide a delivery cost</w:t>
      </w:r>
      <w:r w:rsidR="0015298B">
        <w:rPr>
          <w:rFonts w:ascii="Arial" w:hAnsi="Arial" w:cs="Arial"/>
          <w:sz w:val="24"/>
          <w:szCs w:val="24"/>
        </w:rPr>
        <w:t>, s</w:t>
      </w:r>
      <w:r>
        <w:rPr>
          <w:rFonts w:ascii="Arial" w:hAnsi="Arial" w:cs="Arial"/>
          <w:sz w:val="24"/>
          <w:szCs w:val="24"/>
        </w:rPr>
        <w:t>o for evaluation purposes could the tender</w:t>
      </w:r>
      <w:r w:rsidR="0015298B">
        <w:rPr>
          <w:rFonts w:ascii="Arial" w:hAnsi="Arial" w:cs="Arial"/>
          <w:sz w:val="24"/>
          <w:szCs w:val="24"/>
        </w:rPr>
        <w:t>er</w:t>
      </w:r>
      <w:r>
        <w:rPr>
          <w:rFonts w:ascii="Arial" w:hAnsi="Arial" w:cs="Arial"/>
          <w:sz w:val="24"/>
          <w:szCs w:val="24"/>
        </w:rPr>
        <w:t xml:space="preserve"> please provide a cost for delivery </w:t>
      </w:r>
      <w:r w:rsidR="005D13B7">
        <w:rPr>
          <w:rFonts w:ascii="Arial" w:hAnsi="Arial" w:cs="Arial"/>
          <w:sz w:val="24"/>
          <w:szCs w:val="24"/>
        </w:rPr>
        <w:t>to:</w:t>
      </w:r>
    </w:p>
    <w:p w14:paraId="486B2E23" w14:textId="627BA61D" w:rsidR="00F8670A" w:rsidRDefault="00F8670A" w:rsidP="00922606">
      <w:pPr>
        <w:ind w:left="720" w:hanging="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835"/>
        <w:gridCol w:w="4708"/>
        <w:gridCol w:w="2753"/>
      </w:tblGrid>
      <w:tr w:rsidR="005D13B7" w:rsidRPr="005D13B7" w14:paraId="42DAE3B6" w14:textId="77777777" w:rsidTr="005D13B7">
        <w:tc>
          <w:tcPr>
            <w:tcW w:w="835" w:type="dxa"/>
          </w:tcPr>
          <w:p w14:paraId="0AF1F999" w14:textId="1E564704" w:rsidR="005D13B7" w:rsidRPr="005D13B7" w:rsidRDefault="005D13B7" w:rsidP="00922606">
            <w:pPr>
              <w:jc w:val="both"/>
              <w:rPr>
                <w:rFonts w:ascii="Arial" w:hAnsi="Arial" w:cs="Arial"/>
                <w:b/>
                <w:bCs/>
                <w:sz w:val="24"/>
                <w:szCs w:val="24"/>
              </w:rPr>
            </w:pPr>
            <w:r w:rsidRPr="005D13B7">
              <w:rPr>
                <w:rFonts w:ascii="Arial" w:hAnsi="Arial" w:cs="Arial"/>
                <w:b/>
                <w:bCs/>
                <w:sz w:val="24"/>
                <w:szCs w:val="24"/>
              </w:rPr>
              <w:t>Ref:</w:t>
            </w:r>
          </w:p>
        </w:tc>
        <w:tc>
          <w:tcPr>
            <w:tcW w:w="4708" w:type="dxa"/>
          </w:tcPr>
          <w:p w14:paraId="00010F2B" w14:textId="263E0FC7" w:rsidR="005D13B7" w:rsidRPr="005D13B7" w:rsidRDefault="005D13B7" w:rsidP="00922606">
            <w:pPr>
              <w:jc w:val="both"/>
              <w:rPr>
                <w:rFonts w:ascii="Arial" w:hAnsi="Arial" w:cs="Arial"/>
                <w:b/>
                <w:bCs/>
                <w:sz w:val="24"/>
                <w:szCs w:val="24"/>
              </w:rPr>
            </w:pPr>
            <w:r w:rsidRPr="005D13B7">
              <w:rPr>
                <w:rFonts w:ascii="Arial" w:hAnsi="Arial" w:cs="Arial"/>
                <w:b/>
                <w:bCs/>
                <w:sz w:val="24"/>
                <w:szCs w:val="24"/>
              </w:rPr>
              <w:t>Location</w:t>
            </w:r>
          </w:p>
        </w:tc>
        <w:tc>
          <w:tcPr>
            <w:tcW w:w="2753" w:type="dxa"/>
          </w:tcPr>
          <w:p w14:paraId="43AF9B05" w14:textId="2A7378E4" w:rsidR="005D13B7" w:rsidRPr="005D13B7" w:rsidRDefault="005D13B7" w:rsidP="00922606">
            <w:pPr>
              <w:jc w:val="both"/>
              <w:rPr>
                <w:rFonts w:ascii="Arial" w:hAnsi="Arial" w:cs="Arial"/>
                <w:b/>
                <w:bCs/>
                <w:sz w:val="24"/>
                <w:szCs w:val="24"/>
              </w:rPr>
            </w:pPr>
            <w:r w:rsidRPr="005D13B7">
              <w:rPr>
                <w:rFonts w:ascii="Arial" w:hAnsi="Arial" w:cs="Arial"/>
                <w:b/>
                <w:bCs/>
                <w:sz w:val="24"/>
                <w:szCs w:val="24"/>
              </w:rPr>
              <w:t>Lead Time</w:t>
            </w:r>
          </w:p>
        </w:tc>
      </w:tr>
      <w:tr w:rsidR="005D13B7" w:rsidRPr="005D13B7" w14:paraId="6513C194" w14:textId="77777777" w:rsidTr="005D13B7">
        <w:tc>
          <w:tcPr>
            <w:tcW w:w="835" w:type="dxa"/>
          </w:tcPr>
          <w:p w14:paraId="4DE41787" w14:textId="7E181A74" w:rsidR="005D13B7" w:rsidRPr="005D13B7" w:rsidRDefault="005D13B7" w:rsidP="00922606">
            <w:pPr>
              <w:jc w:val="both"/>
              <w:rPr>
                <w:rFonts w:ascii="Arial" w:hAnsi="Arial" w:cs="Arial"/>
                <w:b/>
                <w:bCs/>
                <w:sz w:val="24"/>
                <w:szCs w:val="24"/>
              </w:rPr>
            </w:pPr>
            <w:r>
              <w:rPr>
                <w:rFonts w:ascii="Arial" w:hAnsi="Arial" w:cs="Arial"/>
                <w:sz w:val="24"/>
                <w:szCs w:val="24"/>
              </w:rPr>
              <w:t>10.1</w:t>
            </w:r>
          </w:p>
        </w:tc>
        <w:tc>
          <w:tcPr>
            <w:tcW w:w="4708" w:type="dxa"/>
          </w:tcPr>
          <w:p w14:paraId="42678443" w14:textId="09B526DF" w:rsidR="005D13B7" w:rsidRPr="005D13B7" w:rsidRDefault="0001773A" w:rsidP="00922606">
            <w:pPr>
              <w:jc w:val="both"/>
              <w:rPr>
                <w:rFonts w:ascii="Arial" w:hAnsi="Arial" w:cs="Arial"/>
                <w:b/>
                <w:bCs/>
                <w:sz w:val="24"/>
                <w:szCs w:val="24"/>
              </w:rPr>
            </w:pPr>
            <w:r>
              <w:rPr>
                <w:rFonts w:ascii="Arial" w:hAnsi="Arial" w:cs="Arial"/>
                <w:sz w:val="24"/>
                <w:szCs w:val="24"/>
              </w:rPr>
              <w:t>Poole</w:t>
            </w:r>
          </w:p>
        </w:tc>
        <w:tc>
          <w:tcPr>
            <w:tcW w:w="2753" w:type="dxa"/>
          </w:tcPr>
          <w:p w14:paraId="1849DF99" w14:textId="77777777" w:rsidR="005D13B7" w:rsidRPr="005D13B7" w:rsidRDefault="005D13B7" w:rsidP="00922606">
            <w:pPr>
              <w:jc w:val="both"/>
              <w:rPr>
                <w:rFonts w:ascii="Arial" w:hAnsi="Arial" w:cs="Arial"/>
                <w:b/>
                <w:bCs/>
                <w:sz w:val="24"/>
                <w:szCs w:val="24"/>
              </w:rPr>
            </w:pPr>
          </w:p>
        </w:tc>
      </w:tr>
      <w:tr w:rsidR="005D13B7" w:rsidRPr="005D13B7" w14:paraId="28CD6757" w14:textId="77777777" w:rsidTr="005D13B7">
        <w:tc>
          <w:tcPr>
            <w:tcW w:w="835" w:type="dxa"/>
          </w:tcPr>
          <w:p w14:paraId="314ABF54" w14:textId="3903A0B4" w:rsidR="005D13B7" w:rsidRPr="005D13B7" w:rsidRDefault="005D13B7" w:rsidP="00922606">
            <w:pPr>
              <w:jc w:val="both"/>
              <w:rPr>
                <w:rFonts w:ascii="Arial" w:hAnsi="Arial" w:cs="Arial"/>
                <w:sz w:val="24"/>
                <w:szCs w:val="24"/>
              </w:rPr>
            </w:pPr>
            <w:r w:rsidRPr="005D13B7">
              <w:rPr>
                <w:rFonts w:ascii="Arial" w:hAnsi="Arial" w:cs="Arial"/>
                <w:sz w:val="24"/>
                <w:szCs w:val="24"/>
              </w:rPr>
              <w:t>10.2</w:t>
            </w:r>
          </w:p>
        </w:tc>
        <w:tc>
          <w:tcPr>
            <w:tcW w:w="4708" w:type="dxa"/>
          </w:tcPr>
          <w:p w14:paraId="1B9AD408" w14:textId="0765FC51" w:rsidR="005D13B7" w:rsidRPr="005D13B7" w:rsidRDefault="0001773A" w:rsidP="00922606">
            <w:pPr>
              <w:jc w:val="both"/>
              <w:rPr>
                <w:rFonts w:ascii="Arial" w:hAnsi="Arial" w:cs="Arial"/>
                <w:b/>
                <w:bCs/>
                <w:sz w:val="24"/>
                <w:szCs w:val="24"/>
              </w:rPr>
            </w:pPr>
            <w:r>
              <w:rPr>
                <w:rFonts w:ascii="Arial" w:hAnsi="Arial" w:cs="Arial"/>
                <w:sz w:val="24"/>
                <w:szCs w:val="24"/>
              </w:rPr>
              <w:t>Folkestone</w:t>
            </w:r>
          </w:p>
        </w:tc>
        <w:tc>
          <w:tcPr>
            <w:tcW w:w="2753" w:type="dxa"/>
          </w:tcPr>
          <w:p w14:paraId="1DC4FA92" w14:textId="77777777" w:rsidR="005D13B7" w:rsidRPr="005D13B7" w:rsidRDefault="005D13B7" w:rsidP="00922606">
            <w:pPr>
              <w:jc w:val="both"/>
              <w:rPr>
                <w:rFonts w:ascii="Arial" w:hAnsi="Arial" w:cs="Arial"/>
                <w:b/>
                <w:bCs/>
                <w:sz w:val="24"/>
                <w:szCs w:val="24"/>
              </w:rPr>
            </w:pPr>
          </w:p>
        </w:tc>
      </w:tr>
      <w:tr w:rsidR="005D13B7" w:rsidRPr="005D13B7" w14:paraId="11A5942C" w14:textId="77777777" w:rsidTr="005D13B7">
        <w:tc>
          <w:tcPr>
            <w:tcW w:w="835" w:type="dxa"/>
          </w:tcPr>
          <w:p w14:paraId="4FAD5D86" w14:textId="5FBCD126" w:rsidR="005D13B7" w:rsidRPr="005D13B7" w:rsidRDefault="005D13B7" w:rsidP="00922606">
            <w:pPr>
              <w:jc w:val="both"/>
              <w:rPr>
                <w:rFonts w:ascii="Arial" w:hAnsi="Arial" w:cs="Arial"/>
                <w:sz w:val="24"/>
                <w:szCs w:val="24"/>
              </w:rPr>
            </w:pPr>
            <w:r w:rsidRPr="005D13B7">
              <w:rPr>
                <w:rFonts w:ascii="Arial" w:hAnsi="Arial" w:cs="Arial"/>
                <w:sz w:val="24"/>
                <w:szCs w:val="24"/>
              </w:rPr>
              <w:t>10.3</w:t>
            </w:r>
          </w:p>
        </w:tc>
        <w:tc>
          <w:tcPr>
            <w:tcW w:w="4708" w:type="dxa"/>
          </w:tcPr>
          <w:p w14:paraId="48E9AD54" w14:textId="3562AF24" w:rsidR="005D13B7" w:rsidRPr="005D13B7" w:rsidRDefault="0001773A" w:rsidP="00922606">
            <w:pPr>
              <w:jc w:val="both"/>
              <w:rPr>
                <w:rFonts w:ascii="Arial" w:hAnsi="Arial" w:cs="Arial"/>
                <w:b/>
                <w:bCs/>
                <w:sz w:val="24"/>
                <w:szCs w:val="24"/>
              </w:rPr>
            </w:pPr>
            <w:r>
              <w:rPr>
                <w:rFonts w:ascii="Arial" w:hAnsi="Arial" w:cs="Arial"/>
                <w:sz w:val="24"/>
                <w:szCs w:val="24"/>
              </w:rPr>
              <w:t>Aberystwyth</w:t>
            </w:r>
          </w:p>
        </w:tc>
        <w:tc>
          <w:tcPr>
            <w:tcW w:w="2753" w:type="dxa"/>
          </w:tcPr>
          <w:p w14:paraId="47AB4C94" w14:textId="77777777" w:rsidR="005D13B7" w:rsidRPr="005D13B7" w:rsidRDefault="005D13B7" w:rsidP="00922606">
            <w:pPr>
              <w:jc w:val="both"/>
              <w:rPr>
                <w:rFonts w:ascii="Arial" w:hAnsi="Arial" w:cs="Arial"/>
                <w:b/>
                <w:bCs/>
                <w:sz w:val="24"/>
                <w:szCs w:val="24"/>
              </w:rPr>
            </w:pPr>
          </w:p>
        </w:tc>
      </w:tr>
      <w:tr w:rsidR="005D13B7" w:rsidRPr="005D13B7" w14:paraId="2C79E97C" w14:textId="77777777" w:rsidTr="005D13B7">
        <w:tc>
          <w:tcPr>
            <w:tcW w:w="835" w:type="dxa"/>
          </w:tcPr>
          <w:p w14:paraId="0CD56F47" w14:textId="0CF76F82" w:rsidR="005D13B7" w:rsidRPr="005D13B7" w:rsidRDefault="005D13B7" w:rsidP="00922606">
            <w:pPr>
              <w:jc w:val="both"/>
              <w:rPr>
                <w:rFonts w:ascii="Arial" w:hAnsi="Arial" w:cs="Arial"/>
                <w:sz w:val="24"/>
                <w:szCs w:val="24"/>
              </w:rPr>
            </w:pPr>
            <w:r w:rsidRPr="005D13B7">
              <w:rPr>
                <w:rFonts w:ascii="Arial" w:hAnsi="Arial" w:cs="Arial"/>
                <w:sz w:val="24"/>
                <w:szCs w:val="24"/>
              </w:rPr>
              <w:t>10.4</w:t>
            </w:r>
          </w:p>
        </w:tc>
        <w:tc>
          <w:tcPr>
            <w:tcW w:w="4708" w:type="dxa"/>
          </w:tcPr>
          <w:p w14:paraId="731AA698" w14:textId="1EC68163" w:rsidR="005D13B7" w:rsidRPr="005D13B7" w:rsidRDefault="0001773A" w:rsidP="00922606">
            <w:pPr>
              <w:jc w:val="both"/>
              <w:rPr>
                <w:rFonts w:ascii="Arial" w:hAnsi="Arial" w:cs="Arial"/>
                <w:b/>
                <w:bCs/>
                <w:sz w:val="24"/>
                <w:szCs w:val="24"/>
              </w:rPr>
            </w:pPr>
            <w:r>
              <w:rPr>
                <w:rFonts w:ascii="Arial" w:hAnsi="Arial" w:cs="Arial"/>
                <w:sz w:val="24"/>
                <w:szCs w:val="24"/>
              </w:rPr>
              <w:t>Larne, Northern Ireland</w:t>
            </w:r>
          </w:p>
        </w:tc>
        <w:tc>
          <w:tcPr>
            <w:tcW w:w="2753" w:type="dxa"/>
          </w:tcPr>
          <w:p w14:paraId="60761113" w14:textId="77777777" w:rsidR="005D13B7" w:rsidRPr="005D13B7" w:rsidRDefault="005D13B7" w:rsidP="00922606">
            <w:pPr>
              <w:jc w:val="both"/>
              <w:rPr>
                <w:rFonts w:ascii="Arial" w:hAnsi="Arial" w:cs="Arial"/>
                <w:b/>
                <w:bCs/>
                <w:sz w:val="24"/>
                <w:szCs w:val="24"/>
              </w:rPr>
            </w:pPr>
          </w:p>
        </w:tc>
      </w:tr>
      <w:tr w:rsidR="005D13B7" w:rsidRPr="005D13B7" w14:paraId="06F0FA00" w14:textId="77777777" w:rsidTr="005D13B7">
        <w:tc>
          <w:tcPr>
            <w:tcW w:w="835" w:type="dxa"/>
          </w:tcPr>
          <w:p w14:paraId="7D46C8C8" w14:textId="42AD7869" w:rsidR="005D13B7" w:rsidRPr="005D13B7" w:rsidRDefault="005D13B7" w:rsidP="00922606">
            <w:pPr>
              <w:jc w:val="both"/>
              <w:rPr>
                <w:rFonts w:ascii="Arial" w:hAnsi="Arial" w:cs="Arial"/>
                <w:sz w:val="24"/>
                <w:szCs w:val="24"/>
              </w:rPr>
            </w:pPr>
            <w:r w:rsidRPr="005D13B7">
              <w:rPr>
                <w:rFonts w:ascii="Arial" w:hAnsi="Arial" w:cs="Arial"/>
                <w:sz w:val="24"/>
                <w:szCs w:val="24"/>
              </w:rPr>
              <w:t>10.5</w:t>
            </w:r>
          </w:p>
        </w:tc>
        <w:tc>
          <w:tcPr>
            <w:tcW w:w="4708" w:type="dxa"/>
          </w:tcPr>
          <w:p w14:paraId="1F9199BE" w14:textId="2ABBB47A" w:rsidR="005D13B7" w:rsidRPr="005D13B7" w:rsidRDefault="0001773A" w:rsidP="00922606">
            <w:pPr>
              <w:jc w:val="both"/>
              <w:rPr>
                <w:rFonts w:ascii="Arial" w:hAnsi="Arial" w:cs="Arial"/>
                <w:b/>
                <w:bCs/>
                <w:sz w:val="24"/>
                <w:szCs w:val="24"/>
              </w:rPr>
            </w:pPr>
            <w:r>
              <w:rPr>
                <w:rFonts w:ascii="Arial" w:hAnsi="Arial" w:cs="Arial"/>
                <w:sz w:val="24"/>
                <w:szCs w:val="24"/>
              </w:rPr>
              <w:t>Ullapool</w:t>
            </w:r>
          </w:p>
        </w:tc>
        <w:tc>
          <w:tcPr>
            <w:tcW w:w="2753" w:type="dxa"/>
          </w:tcPr>
          <w:p w14:paraId="2FC3D5E2" w14:textId="77777777" w:rsidR="005D13B7" w:rsidRPr="005D13B7" w:rsidRDefault="005D13B7" w:rsidP="00922606">
            <w:pPr>
              <w:jc w:val="both"/>
              <w:rPr>
                <w:rFonts w:ascii="Arial" w:hAnsi="Arial" w:cs="Arial"/>
                <w:b/>
                <w:bCs/>
                <w:sz w:val="24"/>
                <w:szCs w:val="24"/>
              </w:rPr>
            </w:pPr>
          </w:p>
        </w:tc>
      </w:tr>
      <w:tr w:rsidR="005D13B7" w:rsidRPr="005D13B7" w14:paraId="4B9F9EEF" w14:textId="77777777" w:rsidTr="005D13B7">
        <w:tc>
          <w:tcPr>
            <w:tcW w:w="835" w:type="dxa"/>
          </w:tcPr>
          <w:p w14:paraId="49572F0E" w14:textId="30384669" w:rsidR="005D13B7" w:rsidRPr="005D13B7" w:rsidRDefault="005D13B7" w:rsidP="00922606">
            <w:pPr>
              <w:jc w:val="both"/>
              <w:rPr>
                <w:rFonts w:ascii="Arial" w:hAnsi="Arial" w:cs="Arial"/>
                <w:sz w:val="24"/>
                <w:szCs w:val="24"/>
              </w:rPr>
            </w:pPr>
            <w:r w:rsidRPr="005D13B7">
              <w:rPr>
                <w:rFonts w:ascii="Arial" w:hAnsi="Arial" w:cs="Arial"/>
                <w:sz w:val="24"/>
                <w:szCs w:val="24"/>
              </w:rPr>
              <w:t>10.6</w:t>
            </w:r>
          </w:p>
        </w:tc>
        <w:tc>
          <w:tcPr>
            <w:tcW w:w="4708" w:type="dxa"/>
          </w:tcPr>
          <w:p w14:paraId="30B517C2" w14:textId="6FE91A51" w:rsidR="005D13B7" w:rsidRPr="005D13B7" w:rsidRDefault="0001773A" w:rsidP="00922606">
            <w:pPr>
              <w:jc w:val="both"/>
              <w:rPr>
                <w:rFonts w:ascii="Arial" w:hAnsi="Arial" w:cs="Arial"/>
                <w:b/>
                <w:bCs/>
                <w:sz w:val="24"/>
                <w:szCs w:val="24"/>
              </w:rPr>
            </w:pPr>
            <w:r>
              <w:rPr>
                <w:rFonts w:ascii="Arial" w:hAnsi="Arial" w:cs="Arial"/>
                <w:sz w:val="24"/>
                <w:szCs w:val="24"/>
              </w:rPr>
              <w:t>Shetland Islands</w:t>
            </w:r>
          </w:p>
        </w:tc>
        <w:tc>
          <w:tcPr>
            <w:tcW w:w="2753" w:type="dxa"/>
          </w:tcPr>
          <w:p w14:paraId="2E5D47FE" w14:textId="77777777" w:rsidR="005D13B7" w:rsidRPr="005D13B7" w:rsidRDefault="005D13B7" w:rsidP="00922606">
            <w:pPr>
              <w:jc w:val="both"/>
              <w:rPr>
                <w:rFonts w:ascii="Arial" w:hAnsi="Arial" w:cs="Arial"/>
                <w:b/>
                <w:bCs/>
                <w:sz w:val="24"/>
                <w:szCs w:val="24"/>
              </w:rPr>
            </w:pPr>
          </w:p>
        </w:tc>
      </w:tr>
    </w:tbl>
    <w:p w14:paraId="3CA085C5" w14:textId="77777777" w:rsidR="005D13B7" w:rsidRDefault="005D13B7" w:rsidP="00922606">
      <w:pPr>
        <w:ind w:left="720" w:hanging="720"/>
        <w:jc w:val="both"/>
        <w:rPr>
          <w:rFonts w:ascii="Arial" w:hAnsi="Arial" w:cs="Arial"/>
          <w:sz w:val="24"/>
          <w:szCs w:val="24"/>
        </w:rPr>
      </w:pPr>
    </w:p>
    <w:p w14:paraId="2A68FD8D" w14:textId="77777777" w:rsidR="00883D4E" w:rsidRPr="00922606" w:rsidRDefault="0015298B" w:rsidP="00922606">
      <w:pPr>
        <w:ind w:left="720" w:hanging="720"/>
        <w:jc w:val="both"/>
        <w:rPr>
          <w:rFonts w:ascii="Arial" w:hAnsi="Arial" w:cs="Arial"/>
          <w:sz w:val="24"/>
          <w:szCs w:val="24"/>
        </w:rPr>
      </w:pPr>
      <w:r>
        <w:rPr>
          <w:rFonts w:ascii="Arial" w:hAnsi="Arial" w:cs="Arial"/>
          <w:sz w:val="24"/>
          <w:szCs w:val="24"/>
        </w:rPr>
        <w:t>11</w:t>
      </w:r>
      <w:r w:rsidR="00A24156">
        <w:rPr>
          <w:rFonts w:ascii="Arial" w:hAnsi="Arial" w:cs="Arial"/>
          <w:sz w:val="24"/>
          <w:szCs w:val="24"/>
        </w:rPr>
        <w:t>.</w:t>
      </w:r>
      <w:r w:rsidR="00A24156">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B2345A">
        <w:rPr>
          <w:rFonts w:ascii="Arial" w:hAnsi="Arial" w:cs="Arial"/>
          <w:sz w:val="24"/>
          <w:szCs w:val="24"/>
        </w:rPr>
        <w:t xml:space="preserve">o </w:t>
      </w:r>
      <w:r>
        <w:rPr>
          <w:rFonts w:ascii="Arial" w:hAnsi="Arial" w:cs="Arial"/>
          <w:sz w:val="24"/>
          <w:szCs w:val="24"/>
        </w:rPr>
        <w:t>each of the areas mentioned in paragraph 10.</w:t>
      </w:r>
    </w:p>
    <w:p w14:paraId="18D3D06F" w14:textId="77777777" w:rsidR="00883D4E" w:rsidRDefault="00883D4E" w:rsidP="00883D4E">
      <w:pPr>
        <w:jc w:val="both"/>
        <w:rPr>
          <w:rFonts w:ascii="Arial" w:hAnsi="Arial" w:cs="Arial"/>
          <w:sz w:val="24"/>
          <w:szCs w:val="24"/>
        </w:rPr>
      </w:pPr>
      <w:r>
        <w:rPr>
          <w:rFonts w:ascii="Arial" w:hAnsi="Arial" w:cs="Arial"/>
          <w:b/>
          <w:sz w:val="24"/>
          <w:szCs w:val="24"/>
        </w:rPr>
        <w:t>Payment</w:t>
      </w:r>
    </w:p>
    <w:p w14:paraId="10EFED5F" w14:textId="77777777" w:rsidR="00D826AC" w:rsidRPr="00E50F45" w:rsidRDefault="0015298B" w:rsidP="00E50F45">
      <w:pPr>
        <w:ind w:left="720" w:hanging="720"/>
        <w:jc w:val="both"/>
        <w:rPr>
          <w:rFonts w:ascii="Arial" w:hAnsi="Arial" w:cs="Arial"/>
          <w:sz w:val="24"/>
          <w:szCs w:val="24"/>
        </w:rPr>
      </w:pPr>
      <w:r>
        <w:rPr>
          <w:rFonts w:ascii="Arial" w:hAnsi="Arial" w:cs="Arial"/>
          <w:sz w:val="24"/>
          <w:szCs w:val="24"/>
        </w:rPr>
        <w:t>12</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 xml:space="preserve">Payment shall be made upon delivery of the goods to </w:t>
      </w:r>
      <w:r>
        <w:rPr>
          <w:rFonts w:ascii="Arial" w:hAnsi="Arial" w:cs="Arial"/>
          <w:sz w:val="24"/>
          <w:szCs w:val="24"/>
        </w:rPr>
        <w:t>specified sites</w:t>
      </w:r>
      <w:r w:rsidR="00883D4E" w:rsidRPr="00CC1BD8">
        <w:rPr>
          <w:rFonts w:ascii="Arial" w:hAnsi="Arial" w:cs="Arial"/>
          <w:sz w:val="24"/>
          <w:szCs w:val="24"/>
        </w:rPr>
        <w:t xml:space="preserve">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14:paraId="5F720E15" w14:textId="77777777" w:rsidR="00883D4E" w:rsidRDefault="00883D4E" w:rsidP="00883D4E">
      <w:pPr>
        <w:jc w:val="both"/>
        <w:rPr>
          <w:rFonts w:ascii="Arial" w:hAnsi="Arial" w:cs="Arial"/>
          <w:sz w:val="24"/>
          <w:szCs w:val="24"/>
        </w:rPr>
      </w:pPr>
      <w:r>
        <w:rPr>
          <w:rFonts w:ascii="Arial" w:hAnsi="Arial" w:cs="Arial"/>
          <w:b/>
          <w:sz w:val="24"/>
          <w:szCs w:val="24"/>
        </w:rPr>
        <w:t>Submission of Tenders</w:t>
      </w:r>
    </w:p>
    <w:p w14:paraId="35931ACA" w14:textId="77777777" w:rsidR="00883D4E" w:rsidRPr="005250FF" w:rsidRDefault="0015298B" w:rsidP="00CC1BD8">
      <w:pPr>
        <w:pStyle w:val="ListParagraph"/>
        <w:spacing w:after="0"/>
        <w:ind w:hanging="630"/>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14:paraId="67778515" w14:textId="77777777" w:rsidR="00883D4E" w:rsidRPr="00883D4E" w:rsidRDefault="00883D4E" w:rsidP="00D826AC">
      <w:pPr>
        <w:spacing w:after="0"/>
        <w:ind w:left="735" w:hanging="735"/>
        <w:rPr>
          <w:rFonts w:ascii="Arial" w:hAnsi="Arial" w:cs="Arial"/>
          <w:sz w:val="24"/>
          <w:szCs w:val="24"/>
        </w:rPr>
      </w:pPr>
    </w:p>
    <w:p w14:paraId="6F395E54" w14:textId="77777777" w:rsidR="00883D4E" w:rsidRPr="005250FF" w:rsidRDefault="00883D4E" w:rsidP="0015298B">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14:paraId="06E4A558" w14:textId="77777777" w:rsidR="00883D4E" w:rsidRPr="00883D4E" w:rsidRDefault="00883D4E" w:rsidP="00D826AC">
      <w:pPr>
        <w:spacing w:after="0"/>
        <w:ind w:left="735" w:hanging="735"/>
        <w:rPr>
          <w:rFonts w:ascii="Arial" w:hAnsi="Arial" w:cs="Arial"/>
          <w:sz w:val="24"/>
          <w:szCs w:val="24"/>
        </w:rPr>
      </w:pPr>
    </w:p>
    <w:p w14:paraId="0CA7D8F2" w14:textId="77777777"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 xml:space="preserve">Lead time for delivery of the equipment to </w:t>
      </w:r>
      <w:r w:rsidR="0015298B">
        <w:rPr>
          <w:rFonts w:ascii="Arial" w:hAnsi="Arial" w:cs="Arial"/>
          <w:sz w:val="24"/>
          <w:szCs w:val="24"/>
        </w:rPr>
        <w:t>each area in Paragraph 10.</w:t>
      </w:r>
    </w:p>
    <w:p w14:paraId="1E3A6354" w14:textId="77777777" w:rsidR="00883D4E" w:rsidRPr="00883D4E" w:rsidRDefault="00883D4E" w:rsidP="00D826AC">
      <w:pPr>
        <w:spacing w:after="0" w:line="240" w:lineRule="auto"/>
        <w:ind w:left="720"/>
        <w:rPr>
          <w:rFonts w:ascii="Arial" w:eastAsia="Times New Roman" w:hAnsi="Arial" w:cs="Arial"/>
          <w:sz w:val="24"/>
          <w:szCs w:val="24"/>
          <w:lang w:val="en-US"/>
        </w:rPr>
      </w:pPr>
    </w:p>
    <w:p w14:paraId="410155D2" w14:textId="77777777" w:rsidR="00106423" w:rsidRPr="0015298B" w:rsidRDefault="00883D4E" w:rsidP="0015298B">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 xml:space="preserve">A full system specification </w:t>
      </w:r>
      <w:r w:rsidR="00EB7104">
        <w:rPr>
          <w:rFonts w:ascii="Arial" w:hAnsi="Arial" w:cs="Arial"/>
          <w:sz w:val="24"/>
          <w:szCs w:val="24"/>
        </w:rPr>
        <w:t xml:space="preserve">for the </w:t>
      </w:r>
      <w:r w:rsidR="0015298B" w:rsidRPr="0015298B">
        <w:rPr>
          <w:rFonts w:ascii="Arial" w:hAnsi="Arial" w:cs="Arial"/>
          <w:b/>
          <w:sz w:val="24"/>
          <w:szCs w:val="24"/>
        </w:rPr>
        <w:t>Mobile Drying System</w:t>
      </w:r>
      <w:r w:rsidRPr="005250FF">
        <w:rPr>
          <w:rFonts w:ascii="Arial" w:hAnsi="Arial" w:cs="Arial"/>
          <w:sz w:val="24"/>
          <w:szCs w:val="24"/>
        </w:rPr>
        <w:t>, including all major critical part</w:t>
      </w:r>
      <w:r w:rsidR="00E7537E">
        <w:rPr>
          <w:rFonts w:ascii="Arial" w:hAnsi="Arial" w:cs="Arial"/>
          <w:sz w:val="24"/>
          <w:szCs w:val="24"/>
        </w:rPr>
        <w:t xml:space="preserve">s and assemblies, and a </w:t>
      </w:r>
      <w:r w:rsidRPr="005250FF">
        <w:rPr>
          <w:rFonts w:ascii="Arial" w:hAnsi="Arial" w:cs="Arial"/>
          <w:sz w:val="24"/>
          <w:szCs w:val="24"/>
        </w:rPr>
        <w:t>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00EB7104">
        <w:rPr>
          <w:rFonts w:ascii="Arial" w:hAnsi="Arial" w:cs="Arial"/>
          <w:sz w:val="24"/>
          <w:szCs w:val="24"/>
        </w:rPr>
        <w:t xml:space="preserve"> system</w:t>
      </w:r>
      <w:r w:rsidRPr="005250FF">
        <w:rPr>
          <w:rFonts w:ascii="Arial" w:hAnsi="Arial" w:cs="Arial"/>
          <w:sz w:val="24"/>
          <w:szCs w:val="24"/>
        </w:rPr>
        <w:t xml:space="preserve"> operates.  It is our preference that Tenderers take the time to answer these questions in the same order as </w:t>
      </w:r>
      <w:r w:rsidRPr="005250FF">
        <w:rPr>
          <w:rFonts w:ascii="Arial" w:hAnsi="Arial" w:cs="Arial"/>
          <w:sz w:val="24"/>
          <w:szCs w:val="24"/>
        </w:rPr>
        <w:lastRenderedPageBreak/>
        <w:t xml:space="preserve">listed here, rather than simply submitting printed literature.  The Tenderer is requested to provide details on </w:t>
      </w:r>
      <w:r w:rsidR="002775ED">
        <w:rPr>
          <w:rFonts w:ascii="Arial" w:hAnsi="Arial" w:cs="Arial"/>
          <w:sz w:val="24"/>
          <w:szCs w:val="24"/>
        </w:rPr>
        <w:t>the following:</w:t>
      </w:r>
    </w:p>
    <w:p w14:paraId="6B463DFE" w14:textId="77777777" w:rsidR="00106423" w:rsidRPr="00106423" w:rsidRDefault="00106423" w:rsidP="00106423">
      <w:pPr>
        <w:pStyle w:val="ListParagraph"/>
        <w:ind w:left="1095"/>
        <w:rPr>
          <w:rFonts w:ascii="Arial" w:hAnsi="Arial" w:cs="Arial"/>
          <w:sz w:val="24"/>
          <w:szCs w:val="24"/>
        </w:rPr>
      </w:pPr>
    </w:p>
    <w:p w14:paraId="00C517E9" w14:textId="77777777" w:rsidR="002775ED" w:rsidRDefault="002775ED" w:rsidP="002775ED">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 xml:space="preserve">Nominal </w:t>
      </w:r>
      <w:r w:rsidR="0015298B">
        <w:rPr>
          <w:rFonts w:ascii="Arial" w:hAnsi="Arial" w:cs="Arial"/>
          <w:sz w:val="24"/>
          <w:szCs w:val="24"/>
        </w:rPr>
        <w:t>dimensions of a fully assembled system.</w:t>
      </w:r>
    </w:p>
    <w:p w14:paraId="24330902" w14:textId="77777777" w:rsidR="00106423" w:rsidRDefault="00106423" w:rsidP="002775ED">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Overall weight of the system.</w:t>
      </w:r>
    </w:p>
    <w:p w14:paraId="54ED5084" w14:textId="77777777" w:rsidR="00106423" w:rsidRDefault="00BD2DC4" w:rsidP="00106423">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The construction materials of all major components and their strength and durability</w:t>
      </w:r>
      <w:r w:rsidRPr="00BD2DC4">
        <w:rPr>
          <w:rFonts w:ascii="Arial" w:hAnsi="Arial" w:cs="Arial"/>
          <w:sz w:val="24"/>
          <w:szCs w:val="24"/>
        </w:rPr>
        <w:t>.</w:t>
      </w:r>
    </w:p>
    <w:p w14:paraId="2F36C589" w14:textId="77777777" w:rsidR="00106423" w:rsidRDefault="00106423" w:rsidP="00106423">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T</w:t>
      </w:r>
      <w:r w:rsidR="0015298B">
        <w:rPr>
          <w:rFonts w:ascii="Arial" w:hAnsi="Arial" w:cs="Arial"/>
          <w:sz w:val="24"/>
          <w:szCs w:val="24"/>
        </w:rPr>
        <w:t>he expected life of a system with general usage</w:t>
      </w:r>
      <w:r>
        <w:rPr>
          <w:rFonts w:ascii="Arial" w:hAnsi="Arial" w:cs="Arial"/>
          <w:sz w:val="24"/>
          <w:szCs w:val="24"/>
        </w:rPr>
        <w:t>.</w:t>
      </w:r>
    </w:p>
    <w:p w14:paraId="6344F860" w14:textId="77777777" w:rsidR="002D1A12" w:rsidRDefault="002D1A12" w:rsidP="00106423">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Length of guarantee</w:t>
      </w:r>
    </w:p>
    <w:p w14:paraId="67F97262" w14:textId="77777777" w:rsidR="002D1A12" w:rsidRDefault="002D1A12" w:rsidP="00106423">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Training and Commissioning</w:t>
      </w:r>
    </w:p>
    <w:p w14:paraId="67A60EF0" w14:textId="77777777" w:rsidR="002D1A12" w:rsidRDefault="002D1A12" w:rsidP="00106423">
      <w:pPr>
        <w:pStyle w:val="ListParagraph"/>
        <w:numPr>
          <w:ilvl w:val="0"/>
          <w:numId w:val="34"/>
        </w:numPr>
        <w:spacing w:after="0" w:line="240" w:lineRule="auto"/>
        <w:jc w:val="both"/>
        <w:rPr>
          <w:rFonts w:ascii="Arial" w:hAnsi="Arial" w:cs="Arial"/>
          <w:sz w:val="24"/>
          <w:szCs w:val="24"/>
        </w:rPr>
      </w:pPr>
      <w:r>
        <w:rPr>
          <w:rFonts w:ascii="Arial" w:hAnsi="Arial" w:cs="Arial"/>
          <w:sz w:val="24"/>
          <w:szCs w:val="24"/>
        </w:rPr>
        <w:t>Delivery timescale</w:t>
      </w:r>
    </w:p>
    <w:p w14:paraId="6897F842" w14:textId="77777777" w:rsidR="0015298B" w:rsidRDefault="0015298B" w:rsidP="0015298B">
      <w:pPr>
        <w:pStyle w:val="ListParagraph"/>
        <w:spacing w:after="0" w:line="240" w:lineRule="auto"/>
        <w:ind w:left="1815"/>
        <w:jc w:val="both"/>
        <w:rPr>
          <w:rFonts w:ascii="Arial" w:hAnsi="Arial" w:cs="Arial"/>
          <w:sz w:val="24"/>
          <w:szCs w:val="24"/>
        </w:rPr>
      </w:pPr>
    </w:p>
    <w:p w14:paraId="291BEB79" w14:textId="77777777" w:rsidR="00C713A5" w:rsidRPr="00750ACB" w:rsidRDefault="0015298B" w:rsidP="004E0B7D">
      <w:pPr>
        <w:ind w:left="720" w:hanging="720"/>
        <w:jc w:val="both"/>
        <w:rPr>
          <w:rFonts w:ascii="Arial" w:hAnsi="Arial" w:cs="Arial"/>
          <w:sz w:val="24"/>
          <w:szCs w:val="24"/>
        </w:rPr>
      </w:pPr>
      <w:r>
        <w:rPr>
          <w:rFonts w:ascii="Arial" w:hAnsi="Arial" w:cs="Arial"/>
          <w:sz w:val="24"/>
          <w:szCs w:val="24"/>
        </w:rPr>
        <w:t>14</w:t>
      </w:r>
      <w:r w:rsidR="00452166" w:rsidRPr="002775ED">
        <w:rPr>
          <w:rFonts w:ascii="Arial" w:hAnsi="Arial" w:cs="Arial"/>
          <w:sz w:val="24"/>
          <w:szCs w:val="24"/>
        </w:rPr>
        <w:t>.</w:t>
      </w:r>
      <w:r w:rsidR="00452166" w:rsidRPr="002775ED">
        <w:rPr>
          <w:rFonts w:ascii="Arial" w:hAnsi="Arial" w:cs="Arial"/>
          <w:sz w:val="24"/>
          <w:szCs w:val="24"/>
        </w:rPr>
        <w:tab/>
        <w:t>Despite these specific requirements, we would be open to alternatives or innovations which can be proven to achieve the same ends.</w:t>
      </w:r>
    </w:p>
    <w:p w14:paraId="2F253F39" w14:textId="77777777" w:rsidR="00883D4E" w:rsidRPr="00CC1BD8" w:rsidRDefault="00EC7790" w:rsidP="004E0B7D">
      <w:pPr>
        <w:pStyle w:val="ListParagraph"/>
        <w:spacing w:after="0"/>
        <w:ind w:hanging="720"/>
        <w:jc w:val="both"/>
        <w:rPr>
          <w:rFonts w:ascii="Arial" w:hAnsi="Arial" w:cs="Arial"/>
          <w:sz w:val="24"/>
          <w:szCs w:val="24"/>
        </w:rPr>
      </w:pPr>
      <w:r>
        <w:rPr>
          <w:rFonts w:ascii="Arial" w:hAnsi="Arial" w:cs="Arial"/>
          <w:sz w:val="24"/>
          <w:szCs w:val="24"/>
        </w:rPr>
        <w:t>1</w:t>
      </w:r>
      <w:r w:rsidR="0015298B">
        <w:rPr>
          <w:rFonts w:ascii="Arial" w:hAnsi="Arial" w:cs="Arial"/>
          <w:sz w:val="24"/>
          <w:szCs w:val="24"/>
        </w:rPr>
        <w:t>5</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w:t>
      </w:r>
      <w:r w:rsidR="002D1A12">
        <w:rPr>
          <w:rFonts w:ascii="Arial" w:hAnsi="Arial" w:cs="Arial"/>
          <w:sz w:val="24"/>
          <w:szCs w:val="24"/>
        </w:rPr>
        <w:t xml:space="preserve">es to the above questions </w:t>
      </w:r>
      <w:r w:rsidR="00883D4E" w:rsidRPr="00CC1BD8">
        <w:rPr>
          <w:rFonts w:ascii="Arial" w:hAnsi="Arial" w:cs="Arial"/>
          <w:sz w:val="24"/>
          <w:szCs w:val="24"/>
        </w:rPr>
        <w:t>be provided in the order set out above.</w:t>
      </w:r>
    </w:p>
    <w:p w14:paraId="42F74560" w14:textId="77777777" w:rsidR="00883D4E" w:rsidRPr="00883D4E" w:rsidRDefault="00883D4E" w:rsidP="00CC1BD8">
      <w:pPr>
        <w:spacing w:after="0"/>
        <w:ind w:hanging="720"/>
        <w:jc w:val="both"/>
        <w:rPr>
          <w:rFonts w:ascii="Arial" w:hAnsi="Arial" w:cs="Arial"/>
          <w:sz w:val="24"/>
          <w:szCs w:val="24"/>
        </w:rPr>
      </w:pPr>
    </w:p>
    <w:p w14:paraId="232D3B49" w14:textId="77777777" w:rsidR="0060439D" w:rsidRDefault="0015298B" w:rsidP="0060439D">
      <w:pPr>
        <w:pStyle w:val="ListParagraph"/>
        <w:spacing w:after="0" w:line="240" w:lineRule="auto"/>
        <w:ind w:hanging="720"/>
        <w:jc w:val="both"/>
        <w:rPr>
          <w:rFonts w:ascii="Arial" w:hAnsi="Arial" w:cs="Arial"/>
          <w:sz w:val="24"/>
          <w:szCs w:val="24"/>
        </w:rPr>
      </w:pPr>
      <w:r>
        <w:rPr>
          <w:rFonts w:ascii="Arial" w:hAnsi="Arial" w:cs="Arial"/>
          <w:sz w:val="24"/>
          <w:szCs w:val="24"/>
        </w:rPr>
        <w:t>16</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 xml:space="preserve">Recommendations from the Tenderer for any ancillaries, spare parts or consumables for </w:t>
      </w:r>
      <w:r>
        <w:rPr>
          <w:rFonts w:ascii="Arial" w:hAnsi="Arial" w:cs="Arial"/>
          <w:sz w:val="24"/>
          <w:szCs w:val="24"/>
        </w:rPr>
        <w:t>the proposed system</w:t>
      </w:r>
      <w:r w:rsidR="00A029FE">
        <w:rPr>
          <w:rFonts w:ascii="Arial" w:hAnsi="Arial" w:cs="Arial"/>
          <w:sz w:val="24"/>
          <w:szCs w:val="24"/>
        </w:rPr>
        <w:t>,</w:t>
      </w:r>
      <w:r w:rsidR="00883D4E" w:rsidRPr="0055472C">
        <w:rPr>
          <w:rFonts w:ascii="Arial" w:hAnsi="Arial" w:cs="Arial"/>
          <w:sz w:val="24"/>
          <w:szCs w:val="24"/>
        </w:rPr>
        <w:t xml:space="preserve"> not already included in the price, would be greatly appreciated, with separate quotes.</w:t>
      </w:r>
    </w:p>
    <w:p w14:paraId="194816F8" w14:textId="77777777" w:rsidR="0060439D" w:rsidRDefault="0060439D" w:rsidP="0060439D">
      <w:pPr>
        <w:pStyle w:val="ListParagraph"/>
        <w:spacing w:after="0" w:line="240" w:lineRule="auto"/>
        <w:ind w:hanging="720"/>
        <w:jc w:val="both"/>
        <w:rPr>
          <w:rFonts w:ascii="Arial" w:hAnsi="Arial" w:cs="Arial"/>
          <w:sz w:val="24"/>
          <w:szCs w:val="24"/>
        </w:rPr>
      </w:pPr>
    </w:p>
    <w:p w14:paraId="7DA5EB73" w14:textId="77777777" w:rsidR="00883D4E" w:rsidRPr="00883D4E" w:rsidRDefault="00883D4E" w:rsidP="00CC1BD8">
      <w:pPr>
        <w:spacing w:after="0"/>
        <w:ind w:hanging="720"/>
        <w:jc w:val="both"/>
        <w:rPr>
          <w:rFonts w:ascii="Arial" w:hAnsi="Arial" w:cs="Arial"/>
          <w:sz w:val="24"/>
          <w:szCs w:val="24"/>
        </w:rPr>
      </w:pPr>
    </w:p>
    <w:p w14:paraId="6146A64B" w14:textId="77777777" w:rsidR="00883D4E" w:rsidRDefault="0015298B" w:rsidP="00CC1BD8">
      <w:pPr>
        <w:pStyle w:val="ListParagraph"/>
        <w:spacing w:after="0"/>
        <w:ind w:hanging="720"/>
        <w:jc w:val="both"/>
        <w:rPr>
          <w:rFonts w:ascii="Arial" w:hAnsi="Arial" w:cs="Arial"/>
          <w:sz w:val="24"/>
          <w:szCs w:val="24"/>
        </w:rPr>
      </w:pPr>
      <w:r>
        <w:rPr>
          <w:rFonts w:ascii="Arial" w:hAnsi="Arial" w:cs="Arial"/>
          <w:sz w:val="24"/>
          <w:szCs w:val="24"/>
        </w:rPr>
        <w:t>17</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14:paraId="6E666D79" w14:textId="77777777" w:rsidR="0060439D" w:rsidRDefault="0060439D" w:rsidP="00CC1BD8">
      <w:pPr>
        <w:pStyle w:val="ListParagraph"/>
        <w:spacing w:after="0"/>
        <w:ind w:hanging="720"/>
        <w:jc w:val="both"/>
        <w:rPr>
          <w:rFonts w:ascii="Arial" w:hAnsi="Arial" w:cs="Arial"/>
          <w:sz w:val="24"/>
          <w:szCs w:val="24"/>
        </w:rPr>
      </w:pPr>
    </w:p>
    <w:p w14:paraId="6A82C02D" w14:textId="1558B64E" w:rsidR="00452166" w:rsidRPr="0015298B" w:rsidRDefault="00CC5B4A" w:rsidP="0015298B">
      <w:pPr>
        <w:pStyle w:val="ListParagraph"/>
        <w:numPr>
          <w:ilvl w:val="0"/>
          <w:numId w:val="32"/>
        </w:numPr>
        <w:spacing w:after="0"/>
        <w:jc w:val="both"/>
        <w:rPr>
          <w:rFonts w:ascii="Arial" w:hAnsi="Arial" w:cs="Arial"/>
          <w:sz w:val="24"/>
          <w:szCs w:val="24"/>
        </w:rPr>
      </w:pPr>
      <w:r>
        <w:rPr>
          <w:rFonts w:ascii="Arial" w:hAnsi="Arial" w:cs="Arial"/>
          <w:sz w:val="24"/>
          <w:szCs w:val="24"/>
        </w:rPr>
        <w:t>Forty</w:t>
      </w:r>
      <w:r w:rsidR="0015298B">
        <w:rPr>
          <w:rFonts w:ascii="Arial" w:hAnsi="Arial" w:cs="Arial"/>
          <w:sz w:val="24"/>
          <w:szCs w:val="24"/>
        </w:rPr>
        <w:t xml:space="preserve"> off Freestanding, Mobile Drying Systems</w:t>
      </w:r>
      <w:r>
        <w:rPr>
          <w:rFonts w:ascii="Arial" w:hAnsi="Arial" w:cs="Arial"/>
          <w:sz w:val="24"/>
          <w:szCs w:val="24"/>
        </w:rPr>
        <w:t xml:space="preserve"> (to be called off over a </w:t>
      </w:r>
      <w:proofErr w:type="gramStart"/>
      <w:r>
        <w:rPr>
          <w:rFonts w:ascii="Arial" w:hAnsi="Arial" w:cs="Arial"/>
          <w:sz w:val="24"/>
          <w:szCs w:val="24"/>
        </w:rPr>
        <w:t>2 year</w:t>
      </w:r>
      <w:proofErr w:type="gramEnd"/>
      <w:r>
        <w:rPr>
          <w:rFonts w:ascii="Arial" w:hAnsi="Arial" w:cs="Arial"/>
          <w:sz w:val="24"/>
          <w:szCs w:val="24"/>
        </w:rPr>
        <w:t xml:space="preserve"> period)</w:t>
      </w:r>
    </w:p>
    <w:p w14:paraId="35137D0D" w14:textId="77777777" w:rsidR="0060439D" w:rsidRDefault="0015298B" w:rsidP="0060439D">
      <w:pPr>
        <w:pStyle w:val="ListParagraph"/>
        <w:numPr>
          <w:ilvl w:val="0"/>
          <w:numId w:val="32"/>
        </w:numPr>
        <w:spacing w:after="0"/>
        <w:jc w:val="both"/>
        <w:rPr>
          <w:rFonts w:ascii="Arial" w:hAnsi="Arial" w:cs="Arial"/>
          <w:sz w:val="24"/>
          <w:szCs w:val="24"/>
        </w:rPr>
      </w:pPr>
      <w:r>
        <w:rPr>
          <w:rFonts w:ascii="Arial" w:hAnsi="Arial" w:cs="Arial"/>
          <w:sz w:val="24"/>
          <w:szCs w:val="24"/>
        </w:rPr>
        <w:t>Any a</w:t>
      </w:r>
      <w:r w:rsidR="0060439D">
        <w:rPr>
          <w:rFonts w:ascii="Arial" w:hAnsi="Arial" w:cs="Arial"/>
          <w:sz w:val="24"/>
          <w:szCs w:val="24"/>
        </w:rPr>
        <w:t>ncillaries, spare parts or consumables</w:t>
      </w:r>
    </w:p>
    <w:p w14:paraId="47B13B7B" w14:textId="77777777" w:rsidR="0060439D" w:rsidRDefault="0060439D" w:rsidP="0060439D">
      <w:pPr>
        <w:pStyle w:val="ListParagraph"/>
        <w:numPr>
          <w:ilvl w:val="0"/>
          <w:numId w:val="32"/>
        </w:numPr>
        <w:spacing w:after="0"/>
        <w:jc w:val="both"/>
        <w:rPr>
          <w:rFonts w:ascii="Arial" w:hAnsi="Arial" w:cs="Arial"/>
          <w:sz w:val="24"/>
          <w:szCs w:val="24"/>
        </w:rPr>
      </w:pPr>
      <w:r>
        <w:rPr>
          <w:rFonts w:ascii="Arial" w:hAnsi="Arial" w:cs="Arial"/>
          <w:sz w:val="24"/>
          <w:szCs w:val="24"/>
        </w:rPr>
        <w:t>Training and commissioning</w:t>
      </w:r>
    </w:p>
    <w:p w14:paraId="7543BCC4" w14:textId="77777777" w:rsidR="0060439D" w:rsidRDefault="00CE4FC1" w:rsidP="0060439D">
      <w:pPr>
        <w:pStyle w:val="ListParagraph"/>
        <w:numPr>
          <w:ilvl w:val="0"/>
          <w:numId w:val="32"/>
        </w:numPr>
        <w:spacing w:after="0"/>
        <w:jc w:val="both"/>
        <w:rPr>
          <w:rFonts w:ascii="Arial" w:hAnsi="Arial" w:cs="Arial"/>
          <w:sz w:val="24"/>
          <w:szCs w:val="24"/>
        </w:rPr>
      </w:pPr>
      <w:r>
        <w:rPr>
          <w:rFonts w:ascii="Arial" w:hAnsi="Arial" w:cs="Arial"/>
          <w:sz w:val="24"/>
          <w:szCs w:val="24"/>
        </w:rPr>
        <w:t xml:space="preserve">Delivery to </w:t>
      </w:r>
      <w:r w:rsidR="0015298B">
        <w:rPr>
          <w:rFonts w:ascii="Arial" w:hAnsi="Arial" w:cs="Arial"/>
          <w:sz w:val="24"/>
          <w:szCs w:val="24"/>
        </w:rPr>
        <w:t>each site in paragraph 10.</w:t>
      </w:r>
    </w:p>
    <w:p w14:paraId="42AD984D" w14:textId="77777777"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8B8876F" w14:textId="77777777"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14:paraId="7A306F68" w14:textId="77777777"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14:paraId="2F2EF0ED" w14:textId="77777777" w:rsidR="00883D4E" w:rsidRPr="00883D4E" w:rsidRDefault="00DD61CD"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18</w:t>
      </w:r>
      <w:r w:rsidR="00922606">
        <w:rPr>
          <w:rFonts w:ascii="Arial" w:hAnsi="Arial" w:cs="Arial"/>
          <w:sz w:val="24"/>
          <w:szCs w:val="24"/>
          <w:lang w:val="en"/>
        </w:rPr>
        <w:t>.</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36DD8F96"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CDA3F03" w14:textId="77777777" w:rsidR="00883D4E" w:rsidRPr="00883D4E" w:rsidRDefault="00DD61CD"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19</w:t>
      </w:r>
      <w:r w:rsidR="00922606">
        <w:rPr>
          <w:rFonts w:ascii="Arial" w:hAnsi="Arial" w:cs="Arial"/>
          <w:sz w:val="24"/>
          <w:szCs w:val="24"/>
        </w:rPr>
        <w:t>.</w:t>
      </w:r>
      <w:r w:rsidR="00883D4E" w:rsidRPr="00883D4E">
        <w:rPr>
          <w:rFonts w:ascii="Arial" w:hAnsi="Arial" w:cs="Arial"/>
          <w:sz w:val="24"/>
          <w:szCs w:val="24"/>
        </w:rPr>
        <w:tab/>
        <w:t>Consideration should be taken to account for the following areas;</w:t>
      </w:r>
    </w:p>
    <w:p w14:paraId="0BB047E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4C365D4" w14:textId="77777777" w:rsidR="00883D4E" w:rsidRPr="00883D4E"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14:paraId="5726219F"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6CE4C606" w14:textId="77777777" w:rsidR="00883D4E" w:rsidRPr="00883D4E"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14:paraId="1F8DB849" w14:textId="77777777" w:rsidR="00883D4E" w:rsidRPr="00883D4E"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14:paraId="1AE395C6" w14:textId="77777777" w:rsidR="00883D4E" w:rsidRPr="00883D4E"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lastRenderedPageBreak/>
        <w:t xml:space="preserve">Type of paints and coverings used. </w:t>
      </w:r>
    </w:p>
    <w:p w14:paraId="27F58AD2"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11DB757B" w14:textId="77777777" w:rsidR="00883D4E" w:rsidRPr="00883D4E"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14:paraId="2B36A555" w14:textId="77777777"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6A7189D0" w14:textId="77777777" w:rsidR="00883D4E" w:rsidRPr="00883D4E"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14:paraId="20C0EBE6" w14:textId="77777777"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4268948" w14:textId="77777777" w:rsidR="00883D4E" w:rsidRPr="00883D4E" w:rsidRDefault="00DD61CD"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20</w:t>
      </w:r>
      <w:r w:rsidR="00922606">
        <w:rPr>
          <w:rFonts w:ascii="Arial" w:hAnsi="Arial" w:cs="Arial"/>
          <w:sz w:val="24"/>
          <w:szCs w:val="24"/>
        </w:rPr>
        <w:t>.</w:t>
      </w:r>
      <w:r w:rsidR="00922606">
        <w:rPr>
          <w:rFonts w:ascii="Arial" w:hAnsi="Arial" w:cs="Arial"/>
          <w:sz w:val="24"/>
          <w:szCs w:val="24"/>
        </w:rPr>
        <w:tab/>
      </w:r>
      <w:r w:rsidR="00883D4E" w:rsidRPr="00883D4E">
        <w:rPr>
          <w:rFonts w:ascii="Arial" w:hAnsi="Arial" w:cs="Arial"/>
          <w:sz w:val="24"/>
          <w:szCs w:val="24"/>
        </w:rPr>
        <w:tab/>
        <w:t xml:space="preserve">More information on the environmental consideration can be found at: </w:t>
      </w:r>
    </w:p>
    <w:p w14:paraId="756D67DE" w14:textId="77777777"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136B241" w14:textId="77777777" w:rsidR="00883D4E" w:rsidRPr="00883D4E" w:rsidRDefault="004E0B7D"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9" w:history="1">
        <w:r w:rsidR="00883D4E" w:rsidRPr="00883D4E">
          <w:rPr>
            <w:rFonts w:ascii="Arial" w:hAnsi="Arial" w:cs="Arial"/>
            <w:color w:val="0000FF"/>
            <w:sz w:val="24"/>
            <w:szCs w:val="24"/>
            <w:u w:val="single"/>
          </w:rPr>
          <w:t>https://www.gov.uk/government/policies/making-sustainable-development-a-part-of-all-government-policy-and-operations</w:t>
        </w:r>
      </w:hyperlink>
    </w:p>
    <w:p w14:paraId="2A610BCE" w14:textId="77777777" w:rsidR="00883D4E" w:rsidRPr="00883D4E" w:rsidRDefault="004E0B7D"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10" w:history="1">
        <w:r w:rsidR="00883D4E" w:rsidRPr="00883D4E">
          <w:rPr>
            <w:rFonts w:ascii="Arial" w:hAnsi="Arial" w:cs="Arial"/>
            <w:color w:val="0000FF"/>
            <w:sz w:val="24"/>
            <w:szCs w:val="24"/>
            <w:u w:val="single"/>
          </w:rPr>
          <w:t>https://www.gov.uk/government/collections/sustainable-procurement-the-government-buying-standards-gbs</w:t>
        </w:r>
      </w:hyperlink>
    </w:p>
    <w:p w14:paraId="680EAD69" w14:textId="77777777"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61F76BE" w14:textId="77777777" w:rsidR="00883D4E" w:rsidRPr="00883D4E"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14:paraId="501B0DDF" w14:textId="77777777"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8EFFC5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14:paraId="69B0E874"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2D2893A" w14:textId="77777777" w:rsidR="00883D4E" w:rsidRPr="00883D4E" w:rsidRDefault="00E7537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Quality Score represents </w:t>
      </w:r>
      <w:r w:rsidR="007B6CBA">
        <w:rPr>
          <w:rFonts w:ascii="Arial" w:hAnsi="Arial" w:cs="Arial"/>
          <w:sz w:val="24"/>
          <w:szCs w:val="24"/>
        </w:rPr>
        <w:t>6</w:t>
      </w:r>
      <w:r w:rsidR="00883D4E" w:rsidRPr="00883D4E">
        <w:rPr>
          <w:rFonts w:ascii="Arial" w:hAnsi="Arial" w:cs="Arial"/>
          <w:sz w:val="24"/>
          <w:szCs w:val="24"/>
        </w:rPr>
        <w:t>0% of Total Scores</w:t>
      </w:r>
      <w:r w:rsidR="00883D4E" w:rsidRPr="00883D4E">
        <w:rPr>
          <w:rFonts w:ascii="Arial" w:hAnsi="Arial" w:cs="Arial"/>
          <w:sz w:val="24"/>
          <w:szCs w:val="24"/>
        </w:rPr>
        <w:tab/>
        <w:t>Weightings</w:t>
      </w:r>
    </w:p>
    <w:p w14:paraId="21E73CCE"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t>70</w:t>
      </w:r>
      <w:r w:rsidRPr="00883D4E">
        <w:rPr>
          <w:rFonts w:ascii="Arial" w:hAnsi="Arial" w:cs="Arial"/>
          <w:sz w:val="24"/>
          <w:szCs w:val="24"/>
        </w:rPr>
        <w:t>%</w:t>
      </w:r>
    </w:p>
    <w:p w14:paraId="3F14704B"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14:paraId="0E24D5B3"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14:paraId="3626EF72"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14:paraId="0EBCC3D4" w14:textId="77777777"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AB16691"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14:paraId="02B8BE9E"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0 – Inadequate response</w:t>
      </w:r>
    </w:p>
    <w:p w14:paraId="0475634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1 – Major weaknesses in the response</w:t>
      </w:r>
    </w:p>
    <w:p w14:paraId="266E7742"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3 – Minor weaknesses in the response or detail missing</w:t>
      </w:r>
    </w:p>
    <w:p w14:paraId="76E1EEFD"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549A5090"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F119514"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20910845" w14:textId="299B1E50"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w:t>
      </w:r>
      <w:r w:rsidR="004E0B7D" w:rsidRPr="00883D4E">
        <w:rPr>
          <w:rFonts w:ascii="Arial" w:hAnsi="Arial" w:cs="Arial"/>
          <w:sz w:val="24"/>
          <w:szCs w:val="24"/>
        </w:rPr>
        <w:t xml:space="preserve">= </w:t>
      </w:r>
      <w:r w:rsidR="004E0B7D" w:rsidRPr="00883D4E">
        <w:rPr>
          <w:rFonts w:ascii="Arial" w:hAnsi="Arial" w:cs="Arial"/>
          <w:sz w:val="24"/>
          <w:szCs w:val="24"/>
        </w:rPr>
        <w:tab/>
      </w:r>
      <w:r w:rsidRPr="00883D4E">
        <w:rPr>
          <w:rFonts w:ascii="Arial" w:hAnsi="Arial" w:cs="Arial"/>
          <w:sz w:val="24"/>
          <w:szCs w:val="24"/>
        </w:rPr>
        <w:t xml:space="preserve"> ____________________________</w:t>
      </w:r>
      <w:r w:rsidR="004E0B7D" w:rsidRPr="00883D4E">
        <w:rPr>
          <w:rFonts w:ascii="Arial" w:hAnsi="Arial" w:cs="Arial"/>
          <w:sz w:val="24"/>
          <w:szCs w:val="24"/>
        </w:rPr>
        <w:t>_ x</w:t>
      </w:r>
      <w:r w:rsidRPr="00883D4E">
        <w:rPr>
          <w:rFonts w:ascii="Arial" w:hAnsi="Arial" w:cs="Arial"/>
          <w:sz w:val="24"/>
          <w:szCs w:val="24"/>
        </w:rPr>
        <w:t xml:space="preserve"> </w:t>
      </w:r>
      <w:bookmarkStart w:id="0" w:name="_GoBack"/>
      <w:bookmarkEnd w:id="0"/>
      <w:r w:rsidRPr="00883D4E">
        <w:rPr>
          <w:rFonts w:ascii="Arial" w:hAnsi="Arial" w:cs="Arial"/>
          <w:sz w:val="24"/>
          <w:szCs w:val="24"/>
        </w:rPr>
        <w:t>Weightings</w:t>
      </w:r>
    </w:p>
    <w:p w14:paraId="76F6F70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14:paraId="7B70086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3FF6C9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14:paraId="48F61C4C" w14:textId="77777777" w:rsidR="00883D4E" w:rsidRPr="00883D4E" w:rsidRDefault="007B6CB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Price Score represents 4</w:t>
      </w:r>
      <w:r w:rsidR="00883D4E" w:rsidRPr="00883D4E">
        <w:rPr>
          <w:rFonts w:ascii="Arial" w:hAnsi="Arial" w:cs="Arial"/>
          <w:sz w:val="24"/>
          <w:szCs w:val="24"/>
        </w:rPr>
        <w:t>0% of Total Scores</w:t>
      </w:r>
      <w:r w:rsidR="00883D4E" w:rsidRPr="00883D4E">
        <w:rPr>
          <w:rFonts w:ascii="Arial" w:hAnsi="Arial" w:cs="Arial"/>
          <w:sz w:val="24"/>
          <w:szCs w:val="24"/>
        </w:rPr>
        <w:tab/>
        <w:t>Weightings</w:t>
      </w:r>
    </w:p>
    <w:p w14:paraId="24A86CF9"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Overall cost</w:t>
      </w:r>
      <w:r w:rsidR="00745282">
        <w:rPr>
          <w:rFonts w:ascii="Arial" w:hAnsi="Arial" w:cs="Arial"/>
          <w:sz w:val="24"/>
          <w:szCs w:val="24"/>
        </w:rPr>
        <w:t xml:space="preserve"> </w:t>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Pr="00883D4E">
        <w:rPr>
          <w:rFonts w:ascii="Arial" w:hAnsi="Arial" w:cs="Arial"/>
          <w:sz w:val="24"/>
          <w:szCs w:val="24"/>
        </w:rPr>
        <w:t>70%</w:t>
      </w:r>
    </w:p>
    <w:p w14:paraId="6C694C5E"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sidR="00621868">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30%</w:t>
      </w:r>
    </w:p>
    <w:p w14:paraId="1EA3B008"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8A4DC61" w14:textId="77777777" w:rsidR="00883D4E" w:rsidRPr="00745282"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Lowest Bid Cost</w:t>
      </w:r>
    </w:p>
    <w:p w14:paraId="37A734EE" w14:textId="7B4E5DBD"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Cost Score </w:t>
      </w:r>
      <w:r w:rsidR="004E0B7D" w:rsidRPr="00883D4E">
        <w:rPr>
          <w:rFonts w:ascii="Arial" w:hAnsi="Arial" w:cs="Arial"/>
          <w:sz w:val="24"/>
          <w:szCs w:val="24"/>
        </w:rPr>
        <w:t>= _</w:t>
      </w:r>
      <w:r w:rsidRPr="00883D4E">
        <w:rPr>
          <w:rFonts w:ascii="Arial" w:hAnsi="Arial" w:cs="Arial"/>
          <w:sz w:val="24"/>
          <w:szCs w:val="24"/>
        </w:rPr>
        <w:t>_____________________</w:t>
      </w:r>
      <w:r w:rsidR="004E0B7D" w:rsidRPr="00883D4E">
        <w:rPr>
          <w:rFonts w:ascii="Arial" w:hAnsi="Arial" w:cs="Arial"/>
          <w:sz w:val="24"/>
          <w:szCs w:val="24"/>
        </w:rPr>
        <w:t>_ x</w:t>
      </w:r>
      <w:r w:rsidRPr="00883D4E">
        <w:rPr>
          <w:rFonts w:ascii="Arial" w:hAnsi="Arial" w:cs="Arial"/>
          <w:sz w:val="24"/>
          <w:szCs w:val="24"/>
        </w:rPr>
        <w:t xml:space="preserve"> Weightings</w:t>
      </w:r>
    </w:p>
    <w:p w14:paraId="24A65113" w14:textId="77777777"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14:paraId="1B810BBD" w14:textId="77777777"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0AC103A"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23F74E40"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81A42C" w14:textId="77777777"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14:paraId="45840B4B" w14:textId="77777777" w:rsidR="00C74D12" w:rsidRPr="00C74D12" w:rsidRDefault="00C74D12" w:rsidP="00C74D12">
      <w:pPr>
        <w:spacing w:after="0"/>
        <w:jc w:val="both"/>
        <w:rPr>
          <w:rFonts w:ascii="Arial" w:hAnsi="Arial" w:cs="Arial"/>
          <w:sz w:val="24"/>
          <w:szCs w:val="24"/>
        </w:rPr>
      </w:pPr>
    </w:p>
    <w:p w14:paraId="75B217E1" w14:textId="77777777" w:rsidR="00621868" w:rsidRDefault="00621868">
      <w:pPr>
        <w:rPr>
          <w:rFonts w:ascii="Arial" w:hAnsi="Arial" w:cs="Arial"/>
          <w:b/>
          <w:sz w:val="24"/>
          <w:szCs w:val="24"/>
        </w:rPr>
      </w:pPr>
    </w:p>
    <w:sectPr w:rsidR="00621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559"/>
    <w:multiLevelType w:val="hybridMultilevel"/>
    <w:tmpl w:val="0CFA0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5"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29"/>
  </w:num>
  <w:num w:numId="4">
    <w:abstractNumId w:val="2"/>
  </w:num>
  <w:num w:numId="5">
    <w:abstractNumId w:val="35"/>
  </w:num>
  <w:num w:numId="6">
    <w:abstractNumId w:val="8"/>
  </w:num>
  <w:num w:numId="7">
    <w:abstractNumId w:val="25"/>
  </w:num>
  <w:num w:numId="8">
    <w:abstractNumId w:val="21"/>
  </w:num>
  <w:num w:numId="9">
    <w:abstractNumId w:val="26"/>
  </w:num>
  <w:num w:numId="10">
    <w:abstractNumId w:val="24"/>
  </w:num>
  <w:num w:numId="11">
    <w:abstractNumId w:val="27"/>
  </w:num>
  <w:num w:numId="12">
    <w:abstractNumId w:val="31"/>
  </w:num>
  <w:num w:numId="13">
    <w:abstractNumId w:val="7"/>
  </w:num>
  <w:num w:numId="14">
    <w:abstractNumId w:val="6"/>
  </w:num>
  <w:num w:numId="15">
    <w:abstractNumId w:val="12"/>
  </w:num>
  <w:num w:numId="16">
    <w:abstractNumId w:val="10"/>
  </w:num>
  <w:num w:numId="17">
    <w:abstractNumId w:val="22"/>
  </w:num>
  <w:num w:numId="18">
    <w:abstractNumId w:val="5"/>
  </w:num>
  <w:num w:numId="19">
    <w:abstractNumId w:val="13"/>
  </w:num>
  <w:num w:numId="20">
    <w:abstractNumId w:val="11"/>
  </w:num>
  <w:num w:numId="21">
    <w:abstractNumId w:val="23"/>
  </w:num>
  <w:num w:numId="22">
    <w:abstractNumId w:val="33"/>
  </w:num>
  <w:num w:numId="23">
    <w:abstractNumId w:val="19"/>
  </w:num>
  <w:num w:numId="24">
    <w:abstractNumId w:val="4"/>
  </w:num>
  <w:num w:numId="25">
    <w:abstractNumId w:val="1"/>
  </w:num>
  <w:num w:numId="26">
    <w:abstractNumId w:val="15"/>
  </w:num>
  <w:num w:numId="27">
    <w:abstractNumId w:val="16"/>
  </w:num>
  <w:num w:numId="28">
    <w:abstractNumId w:val="18"/>
  </w:num>
  <w:num w:numId="29">
    <w:abstractNumId w:val="30"/>
  </w:num>
  <w:num w:numId="30">
    <w:abstractNumId w:val="32"/>
  </w:num>
  <w:num w:numId="31">
    <w:abstractNumId w:val="20"/>
  </w:num>
  <w:num w:numId="32">
    <w:abstractNumId w:val="17"/>
  </w:num>
  <w:num w:numId="33">
    <w:abstractNumId w:val="3"/>
  </w:num>
  <w:num w:numId="34">
    <w:abstractNumId w:val="14"/>
  </w:num>
  <w:num w:numId="35">
    <w:abstractNumId w:val="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773A"/>
    <w:rsid w:val="000A3AAE"/>
    <w:rsid w:val="00106423"/>
    <w:rsid w:val="0015298B"/>
    <w:rsid w:val="0019088C"/>
    <w:rsid w:val="00213AFD"/>
    <w:rsid w:val="00253A44"/>
    <w:rsid w:val="002775ED"/>
    <w:rsid w:val="002959F2"/>
    <w:rsid w:val="002D1A12"/>
    <w:rsid w:val="002F2A16"/>
    <w:rsid w:val="003F77DB"/>
    <w:rsid w:val="00452166"/>
    <w:rsid w:val="0045388C"/>
    <w:rsid w:val="004E0B7D"/>
    <w:rsid w:val="004F499F"/>
    <w:rsid w:val="0051042B"/>
    <w:rsid w:val="005250FF"/>
    <w:rsid w:val="0055472C"/>
    <w:rsid w:val="005A5A62"/>
    <w:rsid w:val="005B2BC1"/>
    <w:rsid w:val="005D0E39"/>
    <w:rsid w:val="005D13B7"/>
    <w:rsid w:val="0060439D"/>
    <w:rsid w:val="006173BC"/>
    <w:rsid w:val="00621868"/>
    <w:rsid w:val="00691326"/>
    <w:rsid w:val="0074344B"/>
    <w:rsid w:val="00745282"/>
    <w:rsid w:val="00750ACB"/>
    <w:rsid w:val="007B6CBA"/>
    <w:rsid w:val="007C3ECE"/>
    <w:rsid w:val="007C5644"/>
    <w:rsid w:val="00831107"/>
    <w:rsid w:val="00883D4E"/>
    <w:rsid w:val="009035A4"/>
    <w:rsid w:val="00922606"/>
    <w:rsid w:val="00965ADA"/>
    <w:rsid w:val="009B59D0"/>
    <w:rsid w:val="009F572B"/>
    <w:rsid w:val="009F7768"/>
    <w:rsid w:val="00A029FE"/>
    <w:rsid w:val="00A24156"/>
    <w:rsid w:val="00A319E6"/>
    <w:rsid w:val="00A65389"/>
    <w:rsid w:val="00B13BB5"/>
    <w:rsid w:val="00B2345A"/>
    <w:rsid w:val="00B57CE0"/>
    <w:rsid w:val="00B92735"/>
    <w:rsid w:val="00BD2DC4"/>
    <w:rsid w:val="00C3564E"/>
    <w:rsid w:val="00C713A5"/>
    <w:rsid w:val="00C74D12"/>
    <w:rsid w:val="00C81231"/>
    <w:rsid w:val="00CC1BD8"/>
    <w:rsid w:val="00CC5B4A"/>
    <w:rsid w:val="00CD31D1"/>
    <w:rsid w:val="00CE4FC1"/>
    <w:rsid w:val="00CE57BE"/>
    <w:rsid w:val="00D346F2"/>
    <w:rsid w:val="00D50096"/>
    <w:rsid w:val="00D730D7"/>
    <w:rsid w:val="00D826AC"/>
    <w:rsid w:val="00DC2B44"/>
    <w:rsid w:val="00DD61CD"/>
    <w:rsid w:val="00E50F45"/>
    <w:rsid w:val="00E66789"/>
    <w:rsid w:val="00E7537E"/>
    <w:rsid w:val="00E8206F"/>
    <w:rsid w:val="00E924F8"/>
    <w:rsid w:val="00EB7104"/>
    <w:rsid w:val="00EC7790"/>
    <w:rsid w:val="00F02670"/>
    <w:rsid w:val="00F16ACB"/>
    <w:rsid w:val="00F22FDA"/>
    <w:rsid w:val="00F4390A"/>
    <w:rsid w:val="00F54D5B"/>
    <w:rsid w:val="00F61559"/>
    <w:rsid w:val="00F8670A"/>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A21A"/>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numbering" Target="numbering.xml"/><Relationship Id="rId9" Type="http://schemas.openxmlformats.org/officeDocument/2006/relationships/hyperlink" Target="https://www.gov.uk/government/policies/making-sustainable-development-a-part-of-all-government-policy-an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9592A-D9E8-4B7F-BA55-FE78EDE743E7}">
  <ds:schemaRefs>
    <ds:schemaRef ds:uri="46672524-5e5b-4ad3-ac80-d01074158e1a"/>
    <ds:schemaRef ds:uri="5f41c1a0-5610-44ca-9431-2c192a4577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B0458C1-BE1C-4A5A-8C75-3489F28CA716}">
  <ds:schemaRefs>
    <ds:schemaRef ds:uri="http://schemas.microsoft.com/sharepoint/v3/contenttype/forms"/>
  </ds:schemaRefs>
</ds:datastoreItem>
</file>

<file path=customXml/itemProps3.xml><?xml version="1.0" encoding="utf-8"?>
<ds:datastoreItem xmlns:ds="http://schemas.openxmlformats.org/officeDocument/2006/customXml" ds:itemID="{2AB07E42-1AE3-427F-AD9D-5F8AB864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Kathleen Monk</cp:lastModifiedBy>
  <cp:revision>2</cp:revision>
  <cp:lastPrinted>2015-08-10T09:18:00Z</cp:lastPrinted>
  <dcterms:created xsi:type="dcterms:W3CDTF">2019-09-12T15:26:00Z</dcterms:created>
  <dcterms:modified xsi:type="dcterms:W3CDTF">2019-09-12T15:26:00Z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