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029B0" w14:textId="77777777" w:rsidR="004B511B" w:rsidRDefault="004B511B"/>
    <w:p w14:paraId="47CC2D16" w14:textId="77777777" w:rsidR="004B511B" w:rsidRPr="004B511B" w:rsidRDefault="002B598A" w:rsidP="004B511B">
      <w:pPr>
        <w:rPr>
          <w:color w:val="E75561"/>
          <w:sz w:val="28"/>
        </w:rPr>
      </w:pPr>
      <w:r>
        <w:rPr>
          <w:color w:val="E75561"/>
          <w:sz w:val="28"/>
        </w:rPr>
        <w:t xml:space="preserve">Quote and </w:t>
      </w:r>
      <w:r w:rsidR="004B511B" w:rsidRPr="004B511B">
        <w:rPr>
          <w:color w:val="E75561"/>
          <w:sz w:val="28"/>
        </w:rPr>
        <w:t xml:space="preserve">Specification for a commissioned activity in the Norwich Opportunity Area </w:t>
      </w:r>
    </w:p>
    <w:p w14:paraId="7EEA9143" w14:textId="08C8B99E" w:rsidR="00FD5F20" w:rsidRDefault="00777B85">
      <w:pPr>
        <w:rPr>
          <w:rFonts w:cs="HelveticaNeueLT Pro 45 Lt"/>
          <w:color w:val="000000"/>
        </w:rPr>
      </w:pPr>
      <w:r>
        <w:t xml:space="preserve">Reference </w:t>
      </w:r>
      <w:r w:rsidR="00C9566F" w:rsidRPr="00AA184E">
        <w:rPr>
          <w:b/>
        </w:rPr>
        <w:t>NCCQ416</w:t>
      </w:r>
      <w:r w:rsidR="00C9566F">
        <w:rPr>
          <w:b/>
        </w:rPr>
        <w:t>8</w:t>
      </w:r>
      <w:r w:rsidR="00A37EBC">
        <w:rPr>
          <w:b/>
        </w:rPr>
        <w:t>8</w:t>
      </w:r>
      <w:r w:rsidR="002B598A" w:rsidRPr="00AA184E">
        <w:rPr>
          <w:b/>
        </w:rPr>
        <w:t xml:space="preserve">–  </w:t>
      </w:r>
      <w:r w:rsidR="00A37EBC">
        <w:rPr>
          <w:rFonts w:cs="HelveticaNeueLT Pro 45 Lt"/>
          <w:color w:val="000000"/>
        </w:rPr>
        <w:t>Careers Facilitator Network</w:t>
      </w:r>
    </w:p>
    <w:p w14:paraId="07D3A33E" w14:textId="77777777" w:rsidR="002B598A" w:rsidRDefault="002B598A">
      <w:r>
        <w:t>Please ensure you complete the following.</w:t>
      </w:r>
    </w:p>
    <w:p w14:paraId="5D2A2437" w14:textId="77777777" w:rsidR="00777B85" w:rsidRDefault="00777B85">
      <w:r>
        <w:t>Provider Name ___________________________________________________________________</w:t>
      </w:r>
    </w:p>
    <w:p w14:paraId="34BC2FA4" w14:textId="77777777" w:rsidR="00777B85" w:rsidRDefault="00777B85">
      <w:r>
        <w:t>Name of person managing this bid ___________________________________________________</w:t>
      </w:r>
    </w:p>
    <w:p w14:paraId="327C825E" w14:textId="77777777" w:rsidR="00777B85" w:rsidRDefault="00777B85">
      <w:r>
        <w:t>Email address ___________________________________________________________________</w:t>
      </w:r>
    </w:p>
    <w:p w14:paraId="6DA2172E" w14:textId="77777777" w:rsidR="00777B85" w:rsidRDefault="00777B85">
      <w:r>
        <w:t>Telephone Number _______________________________________________________________</w:t>
      </w:r>
    </w:p>
    <w:p w14:paraId="7E60210A" w14:textId="77777777" w:rsidR="00777B85" w:rsidRDefault="00777B85"/>
    <w:tbl>
      <w:tblPr>
        <w:tblStyle w:val="TableGrid"/>
        <w:tblW w:w="10589" w:type="dxa"/>
        <w:tblLook w:val="04A0" w:firstRow="1" w:lastRow="0" w:firstColumn="1" w:lastColumn="0" w:noHBand="0" w:noVBand="1"/>
      </w:tblPr>
      <w:tblGrid>
        <w:gridCol w:w="1976"/>
        <w:gridCol w:w="8613"/>
      </w:tblGrid>
      <w:tr w:rsidR="00A37EBC" w:rsidRPr="00FD5F20" w14:paraId="45538164" w14:textId="77777777" w:rsidTr="008C6382">
        <w:trPr>
          <w:trHeight w:val="536"/>
        </w:trPr>
        <w:tc>
          <w:tcPr>
            <w:tcW w:w="1976" w:type="dxa"/>
          </w:tcPr>
          <w:p w14:paraId="48E07B09" w14:textId="77777777" w:rsidR="00A37EBC" w:rsidRPr="00FD5F20" w:rsidRDefault="00A37EBC" w:rsidP="00A37EBC">
            <w:pPr>
              <w:rPr>
                <w:rFonts w:cstheme="minorHAnsi"/>
                <w:b/>
              </w:rPr>
            </w:pPr>
            <w:r w:rsidRPr="00FD5F20">
              <w:rPr>
                <w:rFonts w:cstheme="minorHAnsi"/>
                <w:b/>
              </w:rPr>
              <w:t>1. Norwich Opportunity Area Priority</w:t>
            </w:r>
          </w:p>
        </w:tc>
        <w:tc>
          <w:tcPr>
            <w:tcW w:w="8613" w:type="dxa"/>
            <w:tcBorders>
              <w:top w:val="single" w:sz="4" w:space="0" w:color="auto"/>
              <w:left w:val="single" w:sz="4" w:space="0" w:color="auto"/>
              <w:bottom w:val="single" w:sz="4" w:space="0" w:color="auto"/>
              <w:right w:val="single" w:sz="4" w:space="0" w:color="auto"/>
            </w:tcBorders>
            <w:vAlign w:val="center"/>
          </w:tcPr>
          <w:p w14:paraId="66DCF297" w14:textId="7ACAE46E" w:rsidR="00A37EBC" w:rsidRPr="00FD5F20" w:rsidRDefault="00A37EBC" w:rsidP="004E176B">
            <w:pPr>
              <w:spacing w:line="276" w:lineRule="auto"/>
              <w:rPr>
                <w:rFonts w:cstheme="minorHAnsi"/>
              </w:rPr>
            </w:pPr>
            <w:r w:rsidRPr="00C32C05">
              <w:rPr>
                <w:rFonts w:cs="HelveticaNeueLT Pro 45 Lt"/>
                <w:color w:val="000000"/>
                <w:szCs w:val="20"/>
                <w:lang w:eastAsia="en-GB"/>
              </w:rPr>
              <w:t>4. Give young people the information and support they need to move successfully between school, college, university and into work</w:t>
            </w:r>
          </w:p>
        </w:tc>
      </w:tr>
      <w:tr w:rsidR="00A37EBC" w:rsidRPr="00FD5F20" w14:paraId="1D5B40BD" w14:textId="77777777" w:rsidTr="00A73CD8">
        <w:trPr>
          <w:trHeight w:val="536"/>
        </w:trPr>
        <w:tc>
          <w:tcPr>
            <w:tcW w:w="1976" w:type="dxa"/>
          </w:tcPr>
          <w:p w14:paraId="2F97C0CE" w14:textId="77777777" w:rsidR="00A37EBC" w:rsidRPr="00FD5F20" w:rsidRDefault="00A37EBC" w:rsidP="00A37EBC">
            <w:pPr>
              <w:rPr>
                <w:rFonts w:cstheme="minorHAnsi"/>
                <w:b/>
              </w:rPr>
            </w:pPr>
            <w:r w:rsidRPr="00FD5F20">
              <w:rPr>
                <w:rFonts w:cstheme="minorHAnsi"/>
                <w:b/>
              </w:rPr>
              <w:t>2. Strand</w:t>
            </w:r>
          </w:p>
        </w:tc>
        <w:tc>
          <w:tcPr>
            <w:tcW w:w="8613" w:type="dxa"/>
          </w:tcPr>
          <w:p w14:paraId="6BCC72C1" w14:textId="4988DD9C" w:rsidR="00A37EBC" w:rsidRPr="00FD5F20" w:rsidRDefault="008C6382" w:rsidP="004E176B">
            <w:pPr>
              <w:spacing w:line="276" w:lineRule="auto"/>
              <w:rPr>
                <w:rFonts w:cstheme="minorHAnsi"/>
              </w:rPr>
            </w:pPr>
            <w:proofErr w:type="gramStart"/>
            <w:r w:rsidRPr="00C32C05">
              <w:rPr>
                <w:rFonts w:cs="HelveticaNeueLT Pro 45 Lt"/>
                <w:color w:val="000000"/>
                <w:szCs w:val="20"/>
                <w:lang w:eastAsia="en-GB"/>
              </w:rPr>
              <w:t>4.1  In</w:t>
            </w:r>
            <w:proofErr w:type="gramEnd"/>
            <w:r w:rsidRPr="00C32C05">
              <w:rPr>
                <w:rFonts w:cs="HelveticaNeueLT Pro 45 Lt"/>
                <w:color w:val="000000"/>
                <w:szCs w:val="20"/>
                <w:lang w:eastAsia="en-GB"/>
              </w:rPr>
              <w:t xml:space="preserve"> order to provide the strongest possible support to young people about the full range of their options and what they can do to achieve their goals, we will coordinate the work of the Careers and Enterprise Company (CEC) to give young people multiple opportunities to experience the world of work, understand what work is, explore their options and build real confidence about</w:t>
            </w:r>
            <w:r w:rsidR="00CB543E">
              <w:rPr>
                <w:rFonts w:cs="HelveticaNeueLT Pro 45 Lt"/>
                <w:color w:val="000000"/>
                <w:szCs w:val="20"/>
                <w:lang w:eastAsia="en-GB"/>
              </w:rPr>
              <w:t xml:space="preserve"> </w:t>
            </w:r>
            <w:r w:rsidRPr="00C32C05">
              <w:rPr>
                <w:rFonts w:cs="HelveticaNeueLT Pro 45 Lt"/>
                <w:color w:val="000000"/>
                <w:szCs w:val="20"/>
                <w:lang w:eastAsia="en-GB"/>
              </w:rPr>
              <w:t>their futures. They will also bring together employers, schools and colleges to create strong connections and relationships that prioritise young people and their futures. They will appoint</w:t>
            </w:r>
            <w:r w:rsidR="00CB543E">
              <w:rPr>
                <w:rFonts w:cs="HelveticaNeueLT Pro 45 Lt"/>
                <w:color w:val="000000"/>
                <w:szCs w:val="20"/>
                <w:lang w:eastAsia="en-GB"/>
              </w:rPr>
              <w:t xml:space="preserve"> </w:t>
            </w:r>
            <w:r w:rsidRPr="00C32C05">
              <w:rPr>
                <w:rFonts w:cs="HelveticaNeueLT Pro 45 Lt"/>
                <w:color w:val="000000"/>
                <w:szCs w:val="20"/>
                <w:lang w:eastAsia="en-GB"/>
              </w:rPr>
              <w:t xml:space="preserve">volunteers from the world of work to be Enterprise Advisers in every Norwich school to ensure pupils get four good experiences of work. Where individual pupils have additional </w:t>
            </w:r>
            <w:proofErr w:type="gramStart"/>
            <w:r w:rsidRPr="00C32C05">
              <w:rPr>
                <w:rFonts w:cs="HelveticaNeueLT Pro 45 Lt"/>
                <w:color w:val="000000"/>
                <w:szCs w:val="20"/>
                <w:lang w:eastAsia="en-GB"/>
              </w:rPr>
              <w:t>needs</w:t>
            </w:r>
            <w:proofErr w:type="gramEnd"/>
            <w:r w:rsidRPr="00C32C05">
              <w:rPr>
                <w:rFonts w:cs="HelveticaNeueLT Pro 45 Lt"/>
                <w:color w:val="000000"/>
                <w:szCs w:val="20"/>
                <w:lang w:eastAsia="en-GB"/>
              </w:rPr>
              <w:t xml:space="preserve"> they will be targeted for those activities that are most appropriate to their needs.</w:t>
            </w:r>
          </w:p>
        </w:tc>
      </w:tr>
      <w:tr w:rsidR="00A37EBC" w:rsidRPr="00FD5F20" w14:paraId="709A63C2" w14:textId="77777777" w:rsidTr="00A73CD8">
        <w:trPr>
          <w:trHeight w:val="536"/>
        </w:trPr>
        <w:tc>
          <w:tcPr>
            <w:tcW w:w="1976" w:type="dxa"/>
          </w:tcPr>
          <w:p w14:paraId="50CF586B" w14:textId="77777777" w:rsidR="00A37EBC" w:rsidRPr="00FD5F20" w:rsidRDefault="00A37EBC" w:rsidP="00A37EBC">
            <w:pPr>
              <w:rPr>
                <w:rFonts w:cstheme="minorHAnsi"/>
                <w:b/>
              </w:rPr>
            </w:pPr>
            <w:r w:rsidRPr="00FD5F20">
              <w:rPr>
                <w:rFonts w:cstheme="minorHAnsi"/>
                <w:b/>
              </w:rPr>
              <w:t>3. Activity Name</w:t>
            </w:r>
          </w:p>
        </w:tc>
        <w:tc>
          <w:tcPr>
            <w:tcW w:w="8613" w:type="dxa"/>
          </w:tcPr>
          <w:p w14:paraId="6D9462AC" w14:textId="2BD40435" w:rsidR="00A37EBC" w:rsidRPr="00FD5F20" w:rsidRDefault="008C6382" w:rsidP="00A37EBC">
            <w:pPr>
              <w:rPr>
                <w:rFonts w:cstheme="minorHAnsi"/>
              </w:rPr>
            </w:pPr>
            <w:r w:rsidRPr="00C32C05">
              <w:rPr>
                <w:rFonts w:cs="HelveticaNeueLT Pro 45 Lt"/>
                <w:color w:val="000000"/>
                <w:szCs w:val="20"/>
                <w:lang w:eastAsia="en-GB"/>
              </w:rPr>
              <w:t>Careers Facilitator Network</w:t>
            </w:r>
            <w:r w:rsidRPr="00FD5F20" w:rsidDel="008C6382">
              <w:rPr>
                <w:rFonts w:cstheme="minorHAnsi"/>
                <w:color w:val="000000"/>
                <w:lang w:eastAsia="en-GB"/>
              </w:rPr>
              <w:t xml:space="preserve"> </w:t>
            </w:r>
          </w:p>
        </w:tc>
      </w:tr>
      <w:tr w:rsidR="00A37EBC" w:rsidRPr="00FD5F20" w14:paraId="1EE59B20" w14:textId="77777777" w:rsidTr="00A73CD8">
        <w:trPr>
          <w:trHeight w:val="536"/>
        </w:trPr>
        <w:tc>
          <w:tcPr>
            <w:tcW w:w="1976" w:type="dxa"/>
          </w:tcPr>
          <w:p w14:paraId="6DF1EC4E" w14:textId="77777777" w:rsidR="00A37EBC" w:rsidRPr="00FD5F20" w:rsidRDefault="00A37EBC" w:rsidP="00A37EBC">
            <w:pPr>
              <w:rPr>
                <w:rFonts w:cstheme="minorHAnsi"/>
                <w:b/>
              </w:rPr>
            </w:pPr>
            <w:r w:rsidRPr="00FD5F20">
              <w:rPr>
                <w:rFonts w:cstheme="minorHAnsi"/>
                <w:b/>
              </w:rPr>
              <w:t>4. Background</w:t>
            </w:r>
          </w:p>
        </w:tc>
        <w:tc>
          <w:tcPr>
            <w:tcW w:w="8613" w:type="dxa"/>
          </w:tcPr>
          <w:p w14:paraId="75035CA7" w14:textId="77777777" w:rsidR="00A37EBC" w:rsidRPr="00FD5F20" w:rsidRDefault="00A37EBC" w:rsidP="004E176B">
            <w:pPr>
              <w:spacing w:line="276" w:lineRule="auto"/>
              <w:rPr>
                <w:rFonts w:cstheme="minorHAnsi"/>
                <w:b/>
              </w:rPr>
            </w:pPr>
            <w:r w:rsidRPr="00FD5F20">
              <w:rPr>
                <w:rFonts w:cstheme="minorHAnsi"/>
                <w:b/>
              </w:rPr>
              <w:t>Norwich Opportunity Area</w:t>
            </w:r>
          </w:p>
          <w:p w14:paraId="1D06574D" w14:textId="77777777" w:rsidR="00A37EBC" w:rsidRPr="00FD5F20" w:rsidRDefault="00A37EBC" w:rsidP="004E176B">
            <w:pPr>
              <w:spacing w:line="276" w:lineRule="auto"/>
              <w:rPr>
                <w:rFonts w:cstheme="minorHAnsi"/>
                <w:color w:val="000000"/>
              </w:rPr>
            </w:pPr>
            <w:r w:rsidRPr="00FD5F20">
              <w:rPr>
                <w:rFonts w:cstheme="minorHAnsi"/>
                <w:color w:val="000000"/>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174FD65A" w14:textId="77777777" w:rsidR="00A37EBC" w:rsidRPr="00FD5F20" w:rsidRDefault="00A37EBC" w:rsidP="004E176B">
            <w:pPr>
              <w:spacing w:line="276" w:lineRule="auto"/>
              <w:rPr>
                <w:rFonts w:cstheme="minorHAnsi"/>
              </w:rPr>
            </w:pPr>
          </w:p>
          <w:p w14:paraId="6CDF0911" w14:textId="77777777" w:rsidR="00A37EBC" w:rsidRPr="00FD5F20" w:rsidRDefault="00A37EBC" w:rsidP="004E176B">
            <w:pPr>
              <w:spacing w:line="276" w:lineRule="auto"/>
              <w:rPr>
                <w:rFonts w:cstheme="minorHAnsi"/>
              </w:rPr>
            </w:pPr>
            <w:r w:rsidRPr="00FD5F20">
              <w:rPr>
                <w:rFonts w:cstheme="minorHAnsi"/>
              </w:rPr>
              <w:t xml:space="preserve">Norwich has been identified as an Opportunity Area by the Department for education to address this problem.  This activity is part of the </w:t>
            </w:r>
            <w:hyperlink r:id="rId8" w:history="1">
              <w:r w:rsidRPr="00FD5F20">
                <w:rPr>
                  <w:rStyle w:val="Hyperlink"/>
                  <w:rFonts w:cstheme="minorHAnsi"/>
                </w:rPr>
                <w:t>delivery plan</w:t>
              </w:r>
            </w:hyperlink>
            <w:r w:rsidRPr="00FD5F20">
              <w:rPr>
                <w:rFonts w:cstheme="minorHAnsi"/>
              </w:rPr>
              <w:t>.</w:t>
            </w:r>
          </w:p>
          <w:p w14:paraId="436BD13A" w14:textId="77777777" w:rsidR="00A37EBC" w:rsidRPr="00FD5F20" w:rsidRDefault="00A37EBC" w:rsidP="004E176B">
            <w:pPr>
              <w:spacing w:line="276" w:lineRule="auto"/>
              <w:rPr>
                <w:rFonts w:cstheme="minorHAnsi"/>
              </w:rPr>
            </w:pPr>
          </w:p>
          <w:p w14:paraId="77462C85" w14:textId="37FB9063" w:rsidR="008C6382" w:rsidRDefault="008C6382" w:rsidP="004E176B">
            <w:pPr>
              <w:spacing w:line="276" w:lineRule="auto"/>
              <w:rPr>
                <w:szCs w:val="20"/>
                <w:lang w:eastAsia="en-GB"/>
              </w:rPr>
            </w:pPr>
            <w:r w:rsidRPr="00C32C05">
              <w:rPr>
                <w:szCs w:val="20"/>
                <w:lang w:eastAsia="en-GB"/>
              </w:rPr>
              <w:t xml:space="preserve">This activity is complemented by funding for participating schools/colleges to free up a member of staff for half to one full day per week to focus their time on supporting the careers Lead and senior leadership team to fully meet the requirements of the government Careers Strategy (2017).  These members of staff will be known as “Careers Facilitators” and will bring additional capacity and expertise in schools through this activity, creating the required structures within school/college, and networks outside of school/college to ensure students receive a </w:t>
            </w:r>
            <w:proofErr w:type="gramStart"/>
            <w:r w:rsidRPr="00C32C05">
              <w:rPr>
                <w:szCs w:val="20"/>
                <w:lang w:eastAsia="en-GB"/>
              </w:rPr>
              <w:t>high quality</w:t>
            </w:r>
            <w:proofErr w:type="gramEnd"/>
            <w:r w:rsidRPr="00C32C05">
              <w:rPr>
                <w:szCs w:val="20"/>
                <w:lang w:eastAsia="en-GB"/>
              </w:rPr>
              <w:t xml:space="preserve"> careers education.</w:t>
            </w:r>
          </w:p>
          <w:p w14:paraId="48DEE8F3" w14:textId="77777777" w:rsidR="00CB543E" w:rsidRPr="00C32C05" w:rsidRDefault="00CB543E" w:rsidP="004E176B">
            <w:pPr>
              <w:spacing w:line="276" w:lineRule="auto"/>
              <w:rPr>
                <w:szCs w:val="20"/>
                <w:lang w:eastAsia="en-GB"/>
              </w:rPr>
            </w:pPr>
          </w:p>
          <w:p w14:paraId="1A46883F" w14:textId="7D3840BF" w:rsidR="00A37EBC" w:rsidRPr="00FD5F20" w:rsidRDefault="008C6382" w:rsidP="004E176B">
            <w:pPr>
              <w:spacing w:line="276" w:lineRule="auto"/>
              <w:rPr>
                <w:rFonts w:cstheme="minorHAnsi"/>
              </w:rPr>
            </w:pPr>
            <w:r w:rsidRPr="00C32C05">
              <w:rPr>
                <w:szCs w:val="20"/>
                <w:lang w:eastAsia="en-GB"/>
              </w:rPr>
              <w:lastRenderedPageBreak/>
              <w:t>In addition to the workshops and coaching outlined below providers can expect participating “careers facilitators” to work on achieving the objectives for this activity in their school in their funded additional time each week.</w:t>
            </w:r>
          </w:p>
        </w:tc>
      </w:tr>
      <w:tr w:rsidR="00A37EBC" w:rsidRPr="00FD5F20" w14:paraId="12F1C618" w14:textId="77777777" w:rsidTr="007F5114">
        <w:trPr>
          <w:trHeight w:val="536"/>
        </w:trPr>
        <w:tc>
          <w:tcPr>
            <w:tcW w:w="1976" w:type="dxa"/>
          </w:tcPr>
          <w:p w14:paraId="697CE3FA" w14:textId="77777777" w:rsidR="00A37EBC" w:rsidRPr="00FD5F20" w:rsidRDefault="00A37EBC" w:rsidP="00A37EBC">
            <w:pPr>
              <w:rPr>
                <w:rFonts w:cstheme="minorHAnsi"/>
                <w:b/>
              </w:rPr>
            </w:pPr>
            <w:r w:rsidRPr="00FD5F20">
              <w:rPr>
                <w:rFonts w:cstheme="minorHAnsi"/>
                <w:b/>
              </w:rPr>
              <w:lastRenderedPageBreak/>
              <w:t>5. Targeted individuals/schools</w:t>
            </w:r>
          </w:p>
        </w:tc>
        <w:tc>
          <w:tcPr>
            <w:tcW w:w="8613" w:type="dxa"/>
            <w:tcBorders>
              <w:top w:val="single" w:sz="4" w:space="0" w:color="auto"/>
              <w:left w:val="single" w:sz="4" w:space="0" w:color="auto"/>
              <w:bottom w:val="single" w:sz="4" w:space="0" w:color="auto"/>
              <w:right w:val="single" w:sz="4" w:space="0" w:color="auto"/>
            </w:tcBorders>
            <w:vAlign w:val="center"/>
          </w:tcPr>
          <w:p w14:paraId="1E871B95" w14:textId="77777777" w:rsidR="008C6382" w:rsidRPr="00C32C05" w:rsidRDefault="008C6382" w:rsidP="004E176B">
            <w:pPr>
              <w:spacing w:line="276" w:lineRule="auto"/>
              <w:rPr>
                <w:rFonts w:cs="HelveticaNeueLT Pro 45 Lt"/>
                <w:color w:val="000000"/>
                <w:szCs w:val="20"/>
                <w:lang w:eastAsia="en-GB"/>
              </w:rPr>
            </w:pPr>
            <w:r w:rsidRPr="00C32C05">
              <w:rPr>
                <w:rFonts w:cs="HelveticaNeueLT Pro 45 Lt"/>
                <w:color w:val="000000"/>
                <w:szCs w:val="20"/>
                <w:lang w:eastAsia="en-GB"/>
              </w:rPr>
              <w:t>1 member of staff from:</w:t>
            </w:r>
          </w:p>
          <w:p w14:paraId="4039E19F" w14:textId="77777777" w:rsidR="008C6382" w:rsidRPr="004E176B" w:rsidRDefault="008C6382" w:rsidP="004E176B">
            <w:pPr>
              <w:pStyle w:val="ListParagraph"/>
              <w:numPr>
                <w:ilvl w:val="0"/>
                <w:numId w:val="26"/>
              </w:numPr>
              <w:spacing w:line="276" w:lineRule="auto"/>
              <w:rPr>
                <w:rFonts w:cs="HelveticaNeueLT Pro 45 Lt"/>
                <w:color w:val="000000"/>
                <w:szCs w:val="20"/>
                <w:lang w:eastAsia="en-GB"/>
              </w:rPr>
            </w:pPr>
            <w:r w:rsidRPr="004E176B">
              <w:rPr>
                <w:rFonts w:cs="HelveticaNeueLT Pro 45 Lt"/>
                <w:color w:val="000000"/>
                <w:szCs w:val="20"/>
                <w:lang w:eastAsia="en-GB"/>
              </w:rPr>
              <w:t xml:space="preserve">8 secondary schools in Norwich </w:t>
            </w:r>
          </w:p>
          <w:p w14:paraId="079156F9" w14:textId="77777777" w:rsidR="008C6382" w:rsidRPr="004E176B" w:rsidRDefault="008C6382" w:rsidP="004E176B">
            <w:pPr>
              <w:pStyle w:val="ListParagraph"/>
              <w:numPr>
                <w:ilvl w:val="0"/>
                <w:numId w:val="26"/>
              </w:numPr>
              <w:spacing w:line="276" w:lineRule="auto"/>
              <w:rPr>
                <w:rFonts w:cs="HelveticaNeueLT Pro 45 Lt"/>
                <w:color w:val="000000"/>
                <w:szCs w:val="20"/>
                <w:lang w:eastAsia="en-GB"/>
              </w:rPr>
            </w:pPr>
            <w:r w:rsidRPr="004E176B">
              <w:rPr>
                <w:rFonts w:cs="HelveticaNeueLT Pro 45 Lt"/>
                <w:color w:val="000000"/>
                <w:szCs w:val="20"/>
                <w:lang w:eastAsia="en-GB"/>
              </w:rPr>
              <w:t>The Locksley School</w:t>
            </w:r>
          </w:p>
          <w:p w14:paraId="6DC24980" w14:textId="77777777" w:rsidR="008C6382" w:rsidRPr="004E176B" w:rsidRDefault="008C6382" w:rsidP="004E176B">
            <w:pPr>
              <w:pStyle w:val="ListParagraph"/>
              <w:numPr>
                <w:ilvl w:val="0"/>
                <w:numId w:val="26"/>
              </w:numPr>
              <w:spacing w:line="276" w:lineRule="auto"/>
              <w:rPr>
                <w:rFonts w:cs="HelveticaNeueLT Pro 45 Lt"/>
                <w:color w:val="000000"/>
                <w:szCs w:val="20"/>
                <w:lang w:eastAsia="en-GB"/>
              </w:rPr>
            </w:pPr>
            <w:r w:rsidRPr="004E176B">
              <w:rPr>
                <w:rFonts w:cs="HelveticaNeueLT Pro 45 Lt"/>
                <w:color w:val="000000"/>
                <w:szCs w:val="20"/>
                <w:lang w:eastAsia="en-GB"/>
              </w:rPr>
              <w:t>The Parkside School</w:t>
            </w:r>
          </w:p>
          <w:p w14:paraId="518A926F" w14:textId="77777777" w:rsidR="008C6382" w:rsidRPr="004E176B" w:rsidRDefault="008C6382" w:rsidP="004E176B">
            <w:pPr>
              <w:pStyle w:val="ListParagraph"/>
              <w:numPr>
                <w:ilvl w:val="0"/>
                <w:numId w:val="26"/>
              </w:numPr>
              <w:spacing w:line="276" w:lineRule="auto"/>
              <w:rPr>
                <w:rFonts w:cs="HelveticaNeueLT Pro 45 Lt"/>
                <w:color w:val="000000"/>
                <w:szCs w:val="20"/>
                <w:lang w:eastAsia="en-GB"/>
              </w:rPr>
            </w:pPr>
            <w:r w:rsidRPr="004E176B">
              <w:rPr>
                <w:rFonts w:cs="HelveticaNeueLT Pro 45 Lt"/>
                <w:color w:val="000000"/>
                <w:szCs w:val="20"/>
                <w:lang w:eastAsia="en-GB"/>
              </w:rPr>
              <w:t>The Wherry School, and</w:t>
            </w:r>
          </w:p>
          <w:p w14:paraId="473E000B" w14:textId="77777777" w:rsidR="004E176B" w:rsidRPr="004E176B" w:rsidRDefault="008C6382" w:rsidP="004E176B">
            <w:pPr>
              <w:pStyle w:val="ListParagraph"/>
              <w:numPr>
                <w:ilvl w:val="0"/>
                <w:numId w:val="26"/>
              </w:numPr>
              <w:spacing w:line="276" w:lineRule="auto"/>
              <w:rPr>
                <w:rFonts w:cstheme="minorHAnsi"/>
              </w:rPr>
            </w:pPr>
            <w:r w:rsidRPr="004E176B">
              <w:rPr>
                <w:rFonts w:cs="HelveticaNeueLT Pro 45 Lt"/>
                <w:color w:val="000000"/>
                <w:szCs w:val="20"/>
                <w:lang w:eastAsia="en-GB"/>
              </w:rPr>
              <w:t>3 members of staff from Norwich City College</w:t>
            </w:r>
            <w:r w:rsidR="004E176B" w:rsidRPr="004E176B">
              <w:rPr>
                <w:rFonts w:cs="HelveticaNeueLT Pro 45 Lt"/>
                <w:color w:val="000000"/>
                <w:szCs w:val="20"/>
                <w:lang w:eastAsia="en-GB"/>
              </w:rPr>
              <w:t xml:space="preserve"> </w:t>
            </w:r>
          </w:p>
          <w:p w14:paraId="27E14B39" w14:textId="77777777" w:rsidR="004E176B" w:rsidRDefault="004E176B" w:rsidP="004E176B">
            <w:pPr>
              <w:spacing w:line="276" w:lineRule="auto"/>
              <w:rPr>
                <w:rFonts w:cs="HelveticaNeueLT Pro 45 Lt"/>
                <w:color w:val="000000"/>
                <w:szCs w:val="20"/>
                <w:lang w:eastAsia="en-GB"/>
              </w:rPr>
            </w:pPr>
          </w:p>
          <w:p w14:paraId="5FD895A5" w14:textId="2D78846B" w:rsidR="00A37EBC" w:rsidRPr="004E176B" w:rsidRDefault="008C6382" w:rsidP="004E176B">
            <w:pPr>
              <w:spacing w:line="276" w:lineRule="auto"/>
              <w:rPr>
                <w:rFonts w:cstheme="minorHAnsi"/>
              </w:rPr>
            </w:pPr>
            <w:r w:rsidRPr="004E176B">
              <w:rPr>
                <w:rFonts w:cs="HelveticaNeueLT Pro 45 Lt"/>
                <w:color w:val="000000"/>
                <w:szCs w:val="20"/>
                <w:lang w:eastAsia="en-GB"/>
              </w:rPr>
              <w:t xml:space="preserve">Providers should plan for a further possible 3-5 schools agreeing to participate and reflect the resulting additional costs </w:t>
            </w:r>
            <w:proofErr w:type="gramStart"/>
            <w:r w:rsidR="004E176B">
              <w:rPr>
                <w:rFonts w:cs="HelveticaNeueLT Pro 45 Lt"/>
                <w:color w:val="000000"/>
                <w:szCs w:val="20"/>
                <w:lang w:eastAsia="en-GB"/>
              </w:rPr>
              <w:t>( in</w:t>
            </w:r>
            <w:proofErr w:type="gramEnd"/>
            <w:r w:rsidR="004E176B">
              <w:rPr>
                <w:rFonts w:cs="HelveticaNeueLT Pro 45 Lt"/>
                <w:color w:val="000000"/>
                <w:szCs w:val="20"/>
                <w:lang w:eastAsia="en-GB"/>
              </w:rPr>
              <w:t xml:space="preserve"> section 12.3 below) </w:t>
            </w:r>
            <w:r w:rsidRPr="004E176B">
              <w:rPr>
                <w:rFonts w:cs="HelveticaNeueLT Pro 45 Lt"/>
                <w:color w:val="000000"/>
                <w:szCs w:val="20"/>
                <w:lang w:eastAsia="en-GB"/>
              </w:rPr>
              <w:t>should these schools opt in to the project</w:t>
            </w:r>
          </w:p>
        </w:tc>
      </w:tr>
      <w:tr w:rsidR="00A37EBC" w:rsidRPr="00FD5F20" w14:paraId="64D66258" w14:textId="77777777" w:rsidTr="00A73CD8">
        <w:trPr>
          <w:trHeight w:val="536"/>
        </w:trPr>
        <w:tc>
          <w:tcPr>
            <w:tcW w:w="1976" w:type="dxa"/>
          </w:tcPr>
          <w:p w14:paraId="60493074" w14:textId="77777777" w:rsidR="00A37EBC" w:rsidRPr="00FD5F20" w:rsidRDefault="00A37EBC" w:rsidP="00A37EBC">
            <w:pPr>
              <w:rPr>
                <w:rFonts w:cstheme="minorHAnsi"/>
                <w:b/>
              </w:rPr>
            </w:pPr>
            <w:r w:rsidRPr="00FD5F20">
              <w:rPr>
                <w:rFonts w:cstheme="minorHAnsi"/>
                <w:b/>
              </w:rPr>
              <w:t>6. Anticipated costs and price cap</w:t>
            </w:r>
          </w:p>
        </w:tc>
        <w:tc>
          <w:tcPr>
            <w:tcW w:w="8613" w:type="dxa"/>
          </w:tcPr>
          <w:p w14:paraId="72D4B2A5" w14:textId="4A794582" w:rsidR="00A37EBC" w:rsidRPr="00FD5F20" w:rsidRDefault="00A37EBC" w:rsidP="00A37EBC">
            <w:pPr>
              <w:rPr>
                <w:rFonts w:cstheme="minorHAnsi"/>
              </w:rPr>
            </w:pPr>
            <w:r w:rsidRPr="00FD5F20">
              <w:rPr>
                <w:rFonts w:cstheme="minorHAnsi"/>
              </w:rPr>
              <w:t>£</w:t>
            </w:r>
            <w:r w:rsidR="008C6382">
              <w:rPr>
                <w:rFonts w:cstheme="minorHAnsi"/>
              </w:rPr>
              <w:t>54</w:t>
            </w:r>
            <w:r w:rsidRPr="00FD5F20">
              <w:rPr>
                <w:rFonts w:cstheme="minorHAnsi"/>
              </w:rPr>
              <w:t>,000</w:t>
            </w:r>
            <w:r>
              <w:rPr>
                <w:rFonts w:cstheme="minorHAnsi"/>
              </w:rPr>
              <w:t xml:space="preserve"> to be inclusive of all activities</w:t>
            </w:r>
          </w:p>
        </w:tc>
      </w:tr>
      <w:tr w:rsidR="008C6382" w:rsidRPr="00FD5F20" w14:paraId="03631D5C" w14:textId="77777777" w:rsidTr="008C6382">
        <w:trPr>
          <w:trHeight w:val="536"/>
        </w:trPr>
        <w:tc>
          <w:tcPr>
            <w:tcW w:w="1976" w:type="dxa"/>
          </w:tcPr>
          <w:p w14:paraId="0F87B44C" w14:textId="77777777" w:rsidR="008C6382" w:rsidRPr="00FD5F20" w:rsidRDefault="008C6382" w:rsidP="008C6382">
            <w:pPr>
              <w:rPr>
                <w:rFonts w:cstheme="minorHAnsi"/>
                <w:b/>
              </w:rPr>
            </w:pPr>
            <w:r w:rsidRPr="00FD5F20">
              <w:rPr>
                <w:rFonts w:cstheme="minorHAnsi"/>
                <w:b/>
              </w:rPr>
              <w:t>7. Outputs</w:t>
            </w:r>
          </w:p>
        </w:tc>
        <w:tc>
          <w:tcPr>
            <w:tcW w:w="8613" w:type="dxa"/>
            <w:tcBorders>
              <w:top w:val="single" w:sz="4" w:space="0" w:color="auto"/>
              <w:left w:val="single" w:sz="4" w:space="0" w:color="auto"/>
              <w:bottom w:val="single" w:sz="4" w:space="0" w:color="auto"/>
              <w:right w:val="single" w:sz="4" w:space="0" w:color="auto"/>
            </w:tcBorders>
          </w:tcPr>
          <w:p w14:paraId="0352FC63" w14:textId="77777777" w:rsidR="008C6382" w:rsidRPr="00C32C05" w:rsidRDefault="008C6382" w:rsidP="004E176B">
            <w:pPr>
              <w:spacing w:line="276" w:lineRule="auto"/>
              <w:rPr>
                <w:rFonts w:cs="HelveticaNeueLT Pro 45 Lt"/>
                <w:color w:val="000000"/>
                <w:szCs w:val="20"/>
                <w:lang w:eastAsia="en-GB"/>
              </w:rPr>
            </w:pPr>
            <w:r w:rsidRPr="00C32C05">
              <w:rPr>
                <w:rFonts w:cs="HelveticaNeueLT Pro 45 Lt"/>
                <w:color w:val="000000"/>
                <w:szCs w:val="20"/>
                <w:lang w:eastAsia="en-GB"/>
              </w:rPr>
              <w:t>Between Sep 2018 – July 2020</w:t>
            </w:r>
          </w:p>
          <w:p w14:paraId="21A91D03" w14:textId="0D7B5FA0" w:rsidR="008C6382" w:rsidRPr="00C32C05" w:rsidRDefault="004E176B" w:rsidP="004E176B">
            <w:pPr>
              <w:spacing w:line="276" w:lineRule="auto"/>
              <w:rPr>
                <w:rFonts w:cs="HelveticaNeueLT Pro 45 Lt"/>
                <w:color w:val="000000"/>
                <w:szCs w:val="20"/>
                <w:lang w:eastAsia="en-GB"/>
              </w:rPr>
            </w:pPr>
            <w:r>
              <w:rPr>
                <w:rFonts w:cs="HelveticaNeueLT Pro 45 Lt"/>
                <w:color w:val="000000"/>
                <w:szCs w:val="20"/>
                <w:lang w:eastAsia="en-GB"/>
              </w:rPr>
              <w:t xml:space="preserve">The </w:t>
            </w:r>
            <w:r w:rsidR="008C6382" w:rsidRPr="00C32C05">
              <w:rPr>
                <w:rFonts w:cs="HelveticaNeueLT Pro 45 Lt"/>
                <w:color w:val="000000"/>
                <w:szCs w:val="20"/>
                <w:lang w:eastAsia="en-GB"/>
              </w:rPr>
              <w:t>Provider should support schools to meet the requirements of the government careers strategy 2017:</w:t>
            </w:r>
          </w:p>
          <w:p w14:paraId="6FCAB4A9" w14:textId="77777777" w:rsidR="008C6382" w:rsidRPr="00C32C05" w:rsidRDefault="008C6382" w:rsidP="004E176B">
            <w:pPr>
              <w:pStyle w:val="ListParagraph"/>
              <w:numPr>
                <w:ilvl w:val="0"/>
                <w:numId w:val="21"/>
              </w:numPr>
              <w:spacing w:line="276" w:lineRule="auto"/>
              <w:rPr>
                <w:szCs w:val="20"/>
              </w:rPr>
            </w:pPr>
            <w:r w:rsidRPr="00C32C05">
              <w:rPr>
                <w:szCs w:val="20"/>
              </w:rPr>
              <w:t xml:space="preserve">In year 1 (2018-19): 10 monthly </w:t>
            </w:r>
            <w:proofErr w:type="gramStart"/>
            <w:r w:rsidRPr="00C32C05">
              <w:rPr>
                <w:szCs w:val="20"/>
              </w:rPr>
              <w:t>3 hour</w:t>
            </w:r>
            <w:proofErr w:type="gramEnd"/>
            <w:r w:rsidRPr="00C32C05">
              <w:rPr>
                <w:szCs w:val="20"/>
              </w:rPr>
              <w:t xml:space="preserve"> workshops focused on</w:t>
            </w:r>
          </w:p>
          <w:p w14:paraId="4E81AD8E" w14:textId="77777777" w:rsidR="008C6382" w:rsidRPr="00C32C05" w:rsidRDefault="008C6382" w:rsidP="004E176B">
            <w:pPr>
              <w:pStyle w:val="ListParagraph"/>
              <w:numPr>
                <w:ilvl w:val="1"/>
                <w:numId w:val="23"/>
              </w:numPr>
              <w:spacing w:line="276" w:lineRule="auto"/>
              <w:rPr>
                <w:szCs w:val="20"/>
              </w:rPr>
            </w:pPr>
            <w:r w:rsidRPr="00C32C05">
              <w:rPr>
                <w:szCs w:val="20"/>
              </w:rPr>
              <w:t>meeting the 8 Gatsby benchmarks</w:t>
            </w:r>
          </w:p>
          <w:p w14:paraId="5FEC0BA8" w14:textId="77777777" w:rsidR="008C6382" w:rsidRPr="00C32C05" w:rsidRDefault="008C6382" w:rsidP="004E176B">
            <w:pPr>
              <w:pStyle w:val="ListParagraph"/>
              <w:numPr>
                <w:ilvl w:val="1"/>
                <w:numId w:val="23"/>
              </w:numPr>
              <w:spacing w:line="276" w:lineRule="auto"/>
              <w:rPr>
                <w:szCs w:val="20"/>
              </w:rPr>
            </w:pPr>
            <w:r w:rsidRPr="00C32C05">
              <w:rPr>
                <w:szCs w:val="20"/>
              </w:rPr>
              <w:t>carrying out an audit of school provision using CEC tools</w:t>
            </w:r>
          </w:p>
          <w:p w14:paraId="7D881B85" w14:textId="77777777" w:rsidR="008C6382" w:rsidRPr="00C32C05" w:rsidRDefault="008C6382" w:rsidP="004E176B">
            <w:pPr>
              <w:pStyle w:val="ListParagraph"/>
              <w:numPr>
                <w:ilvl w:val="1"/>
                <w:numId w:val="23"/>
              </w:numPr>
              <w:spacing w:line="276" w:lineRule="auto"/>
              <w:rPr>
                <w:szCs w:val="20"/>
              </w:rPr>
            </w:pPr>
            <w:r w:rsidRPr="00C32C05">
              <w:rPr>
                <w:szCs w:val="20"/>
              </w:rPr>
              <w:t>Creating an immediate action plan to address short term gaps</w:t>
            </w:r>
          </w:p>
          <w:p w14:paraId="6994C84E" w14:textId="77777777" w:rsidR="008C6382" w:rsidRPr="00C32C05" w:rsidRDefault="008C6382" w:rsidP="004E176B">
            <w:pPr>
              <w:pStyle w:val="ListParagraph"/>
              <w:numPr>
                <w:ilvl w:val="1"/>
                <w:numId w:val="23"/>
              </w:numPr>
              <w:spacing w:line="276" w:lineRule="auto"/>
              <w:rPr>
                <w:szCs w:val="20"/>
              </w:rPr>
            </w:pPr>
            <w:r w:rsidRPr="00C32C05">
              <w:rPr>
                <w:szCs w:val="20"/>
              </w:rPr>
              <w:t>implementing a whole school careers education strategy</w:t>
            </w:r>
          </w:p>
          <w:p w14:paraId="0BD55672" w14:textId="77777777" w:rsidR="008C6382" w:rsidRPr="00C32C05" w:rsidRDefault="008C6382" w:rsidP="004E176B">
            <w:pPr>
              <w:pStyle w:val="ListParagraph"/>
              <w:numPr>
                <w:ilvl w:val="1"/>
                <w:numId w:val="23"/>
              </w:numPr>
              <w:spacing w:line="276" w:lineRule="auto"/>
              <w:rPr>
                <w:szCs w:val="20"/>
              </w:rPr>
            </w:pPr>
            <w:r w:rsidRPr="00C32C05">
              <w:rPr>
                <w:szCs w:val="20"/>
              </w:rPr>
              <w:t>effective and joined up school recording systems</w:t>
            </w:r>
          </w:p>
          <w:p w14:paraId="1261FB6E" w14:textId="77777777" w:rsidR="008C6382" w:rsidRPr="00C32C05" w:rsidRDefault="008C6382" w:rsidP="004E176B">
            <w:pPr>
              <w:pStyle w:val="ListParagraph"/>
              <w:numPr>
                <w:ilvl w:val="1"/>
                <w:numId w:val="23"/>
              </w:numPr>
              <w:spacing w:line="276" w:lineRule="auto"/>
              <w:rPr>
                <w:szCs w:val="20"/>
              </w:rPr>
            </w:pPr>
            <w:r w:rsidRPr="00C32C05">
              <w:rPr>
                <w:szCs w:val="20"/>
              </w:rPr>
              <w:t xml:space="preserve">ensuring support is directed to disadvantaged young people </w:t>
            </w:r>
          </w:p>
          <w:p w14:paraId="53F75E49" w14:textId="77777777" w:rsidR="008C6382" w:rsidRPr="00C32C05" w:rsidRDefault="008C6382" w:rsidP="004E176B">
            <w:pPr>
              <w:pStyle w:val="ListParagraph"/>
              <w:numPr>
                <w:ilvl w:val="1"/>
                <w:numId w:val="23"/>
              </w:numPr>
              <w:spacing w:line="276" w:lineRule="auto"/>
              <w:rPr>
                <w:szCs w:val="20"/>
              </w:rPr>
            </w:pPr>
            <w:r w:rsidRPr="00C32C05">
              <w:rPr>
                <w:szCs w:val="20"/>
              </w:rPr>
              <w:t>a structured programme of activities between workshops to support careers educators to deliver the outcomes recommended in the Careers Strategy, and NOA targets</w:t>
            </w:r>
          </w:p>
          <w:p w14:paraId="53E9009E" w14:textId="04C0C83D" w:rsidR="008C6382" w:rsidRPr="00C32C05" w:rsidRDefault="008C6382" w:rsidP="004E176B">
            <w:pPr>
              <w:pStyle w:val="ListParagraph"/>
              <w:numPr>
                <w:ilvl w:val="1"/>
                <w:numId w:val="23"/>
              </w:numPr>
              <w:spacing w:line="276" w:lineRule="auto"/>
              <w:rPr>
                <w:szCs w:val="20"/>
              </w:rPr>
            </w:pPr>
            <w:r w:rsidRPr="00C32C05">
              <w:rPr>
                <w:szCs w:val="20"/>
              </w:rPr>
              <w:t xml:space="preserve">allow for a </w:t>
            </w:r>
            <w:proofErr w:type="gramStart"/>
            <w:r w:rsidRPr="00C32C05">
              <w:rPr>
                <w:szCs w:val="20"/>
              </w:rPr>
              <w:t>20 min</w:t>
            </w:r>
            <w:r w:rsidR="00AB0B70">
              <w:rPr>
                <w:szCs w:val="20"/>
              </w:rPr>
              <w:t>ute</w:t>
            </w:r>
            <w:proofErr w:type="gramEnd"/>
            <w:r w:rsidRPr="00C32C05">
              <w:rPr>
                <w:szCs w:val="20"/>
              </w:rPr>
              <w:t xml:space="preserve"> briefing at each workshop for one of our partners to update on local offers</w:t>
            </w:r>
          </w:p>
          <w:p w14:paraId="2CC98F08" w14:textId="77777777" w:rsidR="008C6382" w:rsidRPr="00C32C05" w:rsidRDefault="008C6382" w:rsidP="004E176B">
            <w:pPr>
              <w:pStyle w:val="ListParagraph"/>
              <w:spacing w:line="276" w:lineRule="auto"/>
              <w:ind w:left="1080"/>
              <w:rPr>
                <w:szCs w:val="20"/>
              </w:rPr>
            </w:pPr>
          </w:p>
          <w:p w14:paraId="4B80F362" w14:textId="511047E7" w:rsidR="008C6382" w:rsidRPr="00C32C05" w:rsidRDefault="008C6382" w:rsidP="004E176B">
            <w:pPr>
              <w:spacing w:line="276" w:lineRule="auto"/>
              <w:ind w:left="720"/>
              <w:rPr>
                <w:szCs w:val="20"/>
              </w:rPr>
            </w:pPr>
            <w:r w:rsidRPr="00C32C05">
              <w:rPr>
                <w:szCs w:val="20"/>
              </w:rPr>
              <w:t xml:space="preserve">The </w:t>
            </w:r>
            <w:r w:rsidR="004E176B">
              <w:rPr>
                <w:szCs w:val="20"/>
              </w:rPr>
              <w:t>P</w:t>
            </w:r>
            <w:r w:rsidRPr="00C32C05">
              <w:rPr>
                <w:szCs w:val="20"/>
              </w:rPr>
              <w:t>rovider is responsible for providing a venue for these workshops, however it should be noted that participating schools and colleges may be able to host on their site free or for a small fee</w:t>
            </w:r>
          </w:p>
          <w:p w14:paraId="2D05C966" w14:textId="77777777" w:rsidR="008C6382" w:rsidRPr="00C32C05" w:rsidRDefault="008C6382" w:rsidP="004E176B">
            <w:pPr>
              <w:pStyle w:val="ListParagraph"/>
              <w:numPr>
                <w:ilvl w:val="0"/>
                <w:numId w:val="21"/>
              </w:numPr>
              <w:spacing w:line="276" w:lineRule="auto"/>
              <w:rPr>
                <w:szCs w:val="20"/>
              </w:rPr>
            </w:pPr>
            <w:r w:rsidRPr="00C32C05">
              <w:rPr>
                <w:szCs w:val="20"/>
              </w:rPr>
              <w:t xml:space="preserve">In Years 1 &amp; 2, two days equivalent per school/college of consultancy support, with a </w:t>
            </w:r>
            <w:proofErr w:type="gramStart"/>
            <w:r w:rsidRPr="00C32C05">
              <w:rPr>
                <w:szCs w:val="20"/>
              </w:rPr>
              <w:t>particular focus</w:t>
            </w:r>
            <w:proofErr w:type="gramEnd"/>
            <w:r w:rsidRPr="00C32C05">
              <w:rPr>
                <w:szCs w:val="20"/>
              </w:rPr>
              <w:t xml:space="preserve"> on developing monitoring, reporting and evaluation systems with data leads and senior staff</w:t>
            </w:r>
          </w:p>
          <w:p w14:paraId="3DB928E8" w14:textId="03A8B148" w:rsidR="008C6382" w:rsidRPr="00FD5F20" w:rsidRDefault="008C6382" w:rsidP="004E176B">
            <w:pPr>
              <w:pStyle w:val="ListParagraph"/>
              <w:numPr>
                <w:ilvl w:val="0"/>
                <w:numId w:val="21"/>
              </w:numPr>
              <w:spacing w:line="276" w:lineRule="auto"/>
              <w:rPr>
                <w:rFonts w:cstheme="minorHAnsi"/>
              </w:rPr>
            </w:pPr>
            <w:r w:rsidRPr="00C32C05">
              <w:rPr>
                <w:szCs w:val="20"/>
              </w:rPr>
              <w:t>In Year 2 (2019/20) work with schools/college to deliver 3 collaborative careers events for Norwich city young people that schools/college can repeat in subsequent years</w:t>
            </w:r>
          </w:p>
        </w:tc>
      </w:tr>
      <w:tr w:rsidR="008C6382" w:rsidRPr="00FD5F20" w14:paraId="38630AC4" w14:textId="77777777" w:rsidTr="00A73CD8">
        <w:trPr>
          <w:trHeight w:val="989"/>
        </w:trPr>
        <w:tc>
          <w:tcPr>
            <w:tcW w:w="1976" w:type="dxa"/>
          </w:tcPr>
          <w:p w14:paraId="0C69F411" w14:textId="77777777" w:rsidR="008C6382" w:rsidRPr="00FD5F20" w:rsidRDefault="008C6382" w:rsidP="008C6382">
            <w:pPr>
              <w:rPr>
                <w:rFonts w:cstheme="minorHAnsi"/>
                <w:b/>
              </w:rPr>
            </w:pPr>
            <w:r w:rsidRPr="00FD5F20">
              <w:rPr>
                <w:rFonts w:cstheme="minorHAnsi"/>
                <w:b/>
              </w:rPr>
              <w:t>8. Short term outcomes</w:t>
            </w:r>
          </w:p>
        </w:tc>
        <w:tc>
          <w:tcPr>
            <w:tcW w:w="8613" w:type="dxa"/>
            <w:vAlign w:val="center"/>
          </w:tcPr>
          <w:p w14:paraId="1D85C5F7" w14:textId="77777777" w:rsidR="008C6382" w:rsidRPr="00C32C05" w:rsidRDefault="008C6382" w:rsidP="004E176B">
            <w:pPr>
              <w:pStyle w:val="ListParagraph"/>
              <w:numPr>
                <w:ilvl w:val="0"/>
                <w:numId w:val="27"/>
              </w:numPr>
              <w:spacing w:line="276" w:lineRule="auto"/>
              <w:rPr>
                <w:szCs w:val="20"/>
              </w:rPr>
            </w:pPr>
            <w:r w:rsidRPr="00C32C05">
              <w:rPr>
                <w:szCs w:val="20"/>
              </w:rPr>
              <w:t xml:space="preserve">14 staff trained in delivering the Gatsby benchmarks by July 2019.  </w:t>
            </w:r>
          </w:p>
          <w:p w14:paraId="30084416" w14:textId="77777777" w:rsidR="008C6382" w:rsidRPr="00C32C05" w:rsidRDefault="008C6382" w:rsidP="004E176B">
            <w:pPr>
              <w:pStyle w:val="ListParagraph"/>
              <w:numPr>
                <w:ilvl w:val="0"/>
                <w:numId w:val="27"/>
              </w:numPr>
              <w:spacing w:line="276" w:lineRule="auto"/>
              <w:rPr>
                <w:szCs w:val="20"/>
              </w:rPr>
            </w:pPr>
            <w:r w:rsidRPr="00C32C05">
              <w:rPr>
                <w:szCs w:val="20"/>
              </w:rPr>
              <w:t>CEC “Tracker” tool demonstrates all 12 schools/college making progress against all 8 benchmarks by July 2019.</w:t>
            </w:r>
          </w:p>
          <w:p w14:paraId="4828D20A" w14:textId="77777777" w:rsidR="008C6382" w:rsidRPr="00C32C05" w:rsidRDefault="008C6382" w:rsidP="004E176B">
            <w:pPr>
              <w:pStyle w:val="ListParagraph"/>
              <w:numPr>
                <w:ilvl w:val="0"/>
                <w:numId w:val="27"/>
              </w:numPr>
              <w:spacing w:line="276" w:lineRule="auto"/>
              <w:rPr>
                <w:szCs w:val="20"/>
              </w:rPr>
            </w:pPr>
            <w:r w:rsidRPr="00C32C05">
              <w:rPr>
                <w:szCs w:val="20"/>
              </w:rPr>
              <w:t>CEC data returns show that 90% of pupils in all 12 schools/college have experienced at least one employer encounter in the academic year 2019-2020</w:t>
            </w:r>
          </w:p>
          <w:p w14:paraId="610E9F80" w14:textId="77777777" w:rsidR="008C6382" w:rsidRPr="00C32C05" w:rsidRDefault="008C6382" w:rsidP="004E176B">
            <w:pPr>
              <w:pStyle w:val="ListParagraph"/>
              <w:numPr>
                <w:ilvl w:val="0"/>
                <w:numId w:val="27"/>
              </w:numPr>
              <w:spacing w:line="276" w:lineRule="auto"/>
              <w:rPr>
                <w:b/>
                <w:szCs w:val="20"/>
              </w:rPr>
            </w:pPr>
            <w:r w:rsidRPr="00C32C05">
              <w:rPr>
                <w:szCs w:val="20"/>
              </w:rPr>
              <w:lastRenderedPageBreak/>
              <w:t xml:space="preserve">90% of the 2018-19 cohort who were eligible for pupil premium in year eleven will be in </w:t>
            </w:r>
            <w:proofErr w:type="gramStart"/>
            <w:r w:rsidRPr="00C32C05">
              <w:rPr>
                <w:szCs w:val="20"/>
              </w:rPr>
              <w:t>a sustained destination 6 months</w:t>
            </w:r>
            <w:proofErr w:type="gramEnd"/>
            <w:r w:rsidRPr="00C32C05">
              <w:rPr>
                <w:szCs w:val="20"/>
              </w:rPr>
              <w:t xml:space="preserve"> after completing key stage 4 </w:t>
            </w:r>
          </w:p>
          <w:p w14:paraId="0909D17D" w14:textId="77777777" w:rsidR="008C6382" w:rsidRPr="00C32C05" w:rsidRDefault="008C6382" w:rsidP="004E176B">
            <w:pPr>
              <w:pStyle w:val="ListParagraph"/>
              <w:numPr>
                <w:ilvl w:val="0"/>
                <w:numId w:val="27"/>
              </w:numPr>
              <w:spacing w:line="276" w:lineRule="auto"/>
              <w:rPr>
                <w:szCs w:val="20"/>
              </w:rPr>
            </w:pPr>
            <w:r w:rsidRPr="00C32C05">
              <w:rPr>
                <w:szCs w:val="20"/>
              </w:rPr>
              <w:t>Schools are effectively audited, gaps identified and a systematic programme in place to meet the Gatsby benchmarks for 2019/20</w:t>
            </w:r>
          </w:p>
          <w:p w14:paraId="58B64FAC" w14:textId="77777777" w:rsidR="008C6382" w:rsidRPr="00C32C05" w:rsidRDefault="008C6382" w:rsidP="004E176B">
            <w:pPr>
              <w:pStyle w:val="ListParagraph"/>
              <w:numPr>
                <w:ilvl w:val="0"/>
                <w:numId w:val="27"/>
              </w:numPr>
              <w:spacing w:line="276" w:lineRule="auto"/>
              <w:rPr>
                <w:szCs w:val="20"/>
              </w:rPr>
            </w:pPr>
            <w:r w:rsidRPr="00C32C05">
              <w:rPr>
                <w:szCs w:val="20"/>
              </w:rPr>
              <w:t>Careers facilitators taking part in the programme develop a collaborative network, creating systems to share resources across schools and reduce costs</w:t>
            </w:r>
          </w:p>
          <w:p w14:paraId="651B5A37" w14:textId="77777777" w:rsidR="008C6382" w:rsidRPr="00C32C05" w:rsidRDefault="008C6382" w:rsidP="004E176B">
            <w:pPr>
              <w:pStyle w:val="ListParagraph"/>
              <w:numPr>
                <w:ilvl w:val="0"/>
                <w:numId w:val="27"/>
              </w:numPr>
              <w:spacing w:line="276" w:lineRule="auto"/>
              <w:rPr>
                <w:szCs w:val="20"/>
              </w:rPr>
            </w:pPr>
            <w:r w:rsidRPr="00C32C05">
              <w:rPr>
                <w:szCs w:val="20"/>
              </w:rPr>
              <w:t>Data capture for careers activity is more closely aligned with existing progress and destinations data held in schools, so that professionals can more accurately determine “what works”</w:t>
            </w:r>
          </w:p>
          <w:p w14:paraId="1531F3CF" w14:textId="1508DDE5" w:rsidR="008C6382" w:rsidRPr="004E176B" w:rsidRDefault="008C6382" w:rsidP="004E176B">
            <w:pPr>
              <w:pStyle w:val="ListParagraph"/>
              <w:numPr>
                <w:ilvl w:val="0"/>
                <w:numId w:val="27"/>
              </w:numPr>
              <w:spacing w:line="276" w:lineRule="auto"/>
              <w:rPr>
                <w:rFonts w:cstheme="minorHAnsi"/>
              </w:rPr>
            </w:pPr>
            <w:r w:rsidRPr="004E176B">
              <w:rPr>
                <w:szCs w:val="20"/>
              </w:rPr>
              <w:t>3 events delivered across the network of schools, which can then be repeated in subsequent years</w:t>
            </w:r>
          </w:p>
        </w:tc>
      </w:tr>
      <w:tr w:rsidR="008C6382" w:rsidRPr="00FD5F20" w14:paraId="0FFEBE45" w14:textId="77777777" w:rsidTr="00A73CD8">
        <w:trPr>
          <w:trHeight w:val="977"/>
        </w:trPr>
        <w:tc>
          <w:tcPr>
            <w:tcW w:w="1976" w:type="dxa"/>
          </w:tcPr>
          <w:p w14:paraId="4AA0CE61" w14:textId="77777777" w:rsidR="008C6382" w:rsidRPr="00FD5F20" w:rsidRDefault="008C6382" w:rsidP="008C6382">
            <w:pPr>
              <w:rPr>
                <w:rFonts w:cstheme="minorHAnsi"/>
                <w:b/>
              </w:rPr>
            </w:pPr>
            <w:r w:rsidRPr="00FD5F20">
              <w:rPr>
                <w:rFonts w:cstheme="minorHAnsi"/>
                <w:b/>
              </w:rPr>
              <w:lastRenderedPageBreak/>
              <w:t>9. Long term outcomes</w:t>
            </w:r>
          </w:p>
          <w:p w14:paraId="161A3C87" w14:textId="77777777" w:rsidR="008C6382" w:rsidRPr="00FD5F20" w:rsidRDefault="008C6382" w:rsidP="008C6382">
            <w:pPr>
              <w:rPr>
                <w:rFonts w:cstheme="minorHAnsi"/>
              </w:rPr>
            </w:pPr>
          </w:p>
        </w:tc>
        <w:tc>
          <w:tcPr>
            <w:tcW w:w="8613" w:type="dxa"/>
          </w:tcPr>
          <w:p w14:paraId="46063C55" w14:textId="77777777" w:rsidR="008C6382" w:rsidRPr="00C32C05" w:rsidRDefault="008C6382" w:rsidP="004E176B">
            <w:pPr>
              <w:pStyle w:val="ListParagraph"/>
              <w:numPr>
                <w:ilvl w:val="0"/>
                <w:numId w:val="29"/>
              </w:numPr>
              <w:spacing w:line="276" w:lineRule="auto"/>
              <w:rPr>
                <w:szCs w:val="20"/>
              </w:rPr>
            </w:pPr>
            <w:r w:rsidRPr="00C32C05">
              <w:rPr>
                <w:szCs w:val="20"/>
              </w:rPr>
              <w:t>School leaders use impact data to more precisely target employer engagement and careers education to meet the needs of pupils</w:t>
            </w:r>
          </w:p>
          <w:p w14:paraId="7845656A" w14:textId="77777777" w:rsidR="008C6382" w:rsidRPr="00C32C05" w:rsidRDefault="008C6382" w:rsidP="004E176B">
            <w:pPr>
              <w:pStyle w:val="ListParagraph"/>
              <w:numPr>
                <w:ilvl w:val="0"/>
                <w:numId w:val="29"/>
              </w:numPr>
              <w:spacing w:line="276" w:lineRule="auto"/>
              <w:rPr>
                <w:szCs w:val="20"/>
              </w:rPr>
            </w:pPr>
            <w:r w:rsidRPr="00C32C05">
              <w:rPr>
                <w:szCs w:val="20"/>
              </w:rPr>
              <w:t>Pupils can make decisions with greater confidence at key transition points as they feel well informed about their subjects and careers</w:t>
            </w:r>
          </w:p>
          <w:p w14:paraId="195079DD" w14:textId="77777777" w:rsidR="008C6382" w:rsidRPr="00C32C05" w:rsidRDefault="008C6382" w:rsidP="004E176B">
            <w:pPr>
              <w:pStyle w:val="ListParagraph"/>
              <w:numPr>
                <w:ilvl w:val="0"/>
                <w:numId w:val="29"/>
              </w:numPr>
              <w:spacing w:line="276" w:lineRule="auto"/>
              <w:rPr>
                <w:szCs w:val="20"/>
              </w:rPr>
            </w:pPr>
            <w:r w:rsidRPr="00C32C05">
              <w:rPr>
                <w:szCs w:val="20"/>
              </w:rPr>
              <w:t>NEET figures at 16 and 17 reduce as pupils make informed decisions</w:t>
            </w:r>
          </w:p>
          <w:p w14:paraId="21713B5A" w14:textId="36ACCA65" w:rsidR="008C6382" w:rsidRPr="00FD5F20" w:rsidRDefault="008C6382" w:rsidP="004E176B">
            <w:pPr>
              <w:pStyle w:val="ListParagraph"/>
              <w:numPr>
                <w:ilvl w:val="0"/>
                <w:numId w:val="29"/>
              </w:numPr>
              <w:spacing w:line="276" w:lineRule="auto"/>
              <w:rPr>
                <w:rFonts w:cstheme="minorHAnsi"/>
              </w:rPr>
            </w:pPr>
            <w:r w:rsidRPr="00C32C05">
              <w:rPr>
                <w:szCs w:val="20"/>
              </w:rPr>
              <w:t xml:space="preserve">Take-up of </w:t>
            </w:r>
            <w:proofErr w:type="spellStart"/>
            <w:r w:rsidRPr="00C32C05">
              <w:rPr>
                <w:szCs w:val="20"/>
              </w:rPr>
              <w:t>ebacc</w:t>
            </w:r>
            <w:proofErr w:type="spellEnd"/>
            <w:r w:rsidRPr="00C32C05">
              <w:rPr>
                <w:szCs w:val="20"/>
              </w:rPr>
              <w:t xml:space="preserve"> GCSE subjects and A Level facilitating subjects rise as those young people aspiring to HE </w:t>
            </w:r>
            <w:proofErr w:type="gramStart"/>
            <w:r w:rsidRPr="00C32C05">
              <w:rPr>
                <w:szCs w:val="20"/>
              </w:rPr>
              <w:t>understand</w:t>
            </w:r>
            <w:proofErr w:type="gramEnd"/>
            <w:r w:rsidRPr="00C32C05">
              <w:rPr>
                <w:szCs w:val="20"/>
              </w:rPr>
              <w:t xml:space="preserve"> appropriate pathways to achieve them</w:t>
            </w:r>
            <w:r w:rsidR="004E176B">
              <w:rPr>
                <w:szCs w:val="20"/>
              </w:rPr>
              <w:t>.</w:t>
            </w:r>
          </w:p>
        </w:tc>
      </w:tr>
      <w:tr w:rsidR="008C6382" w:rsidRPr="00FD5F20" w14:paraId="2C7ABB9C" w14:textId="77777777" w:rsidTr="00A73CD8">
        <w:trPr>
          <w:trHeight w:val="731"/>
        </w:trPr>
        <w:tc>
          <w:tcPr>
            <w:tcW w:w="1976" w:type="dxa"/>
          </w:tcPr>
          <w:p w14:paraId="3AD616FD" w14:textId="77777777" w:rsidR="008C6382" w:rsidRPr="00FD5F20" w:rsidRDefault="008C6382" w:rsidP="008C6382">
            <w:pPr>
              <w:rPr>
                <w:rFonts w:cstheme="minorHAnsi"/>
                <w:b/>
              </w:rPr>
            </w:pPr>
            <w:r w:rsidRPr="00FD5F20">
              <w:rPr>
                <w:rFonts w:cstheme="minorHAnsi"/>
                <w:b/>
              </w:rPr>
              <w:t>10. Evidence base</w:t>
            </w:r>
          </w:p>
        </w:tc>
        <w:tc>
          <w:tcPr>
            <w:tcW w:w="8613" w:type="dxa"/>
            <w:vAlign w:val="center"/>
          </w:tcPr>
          <w:p w14:paraId="423CAB0C" w14:textId="77777777" w:rsidR="008C6382" w:rsidRPr="00FD5F20" w:rsidRDefault="008C6382" w:rsidP="008C6382">
            <w:pPr>
              <w:rPr>
                <w:rFonts w:cstheme="minorHAnsi"/>
              </w:rPr>
            </w:pPr>
            <w:r w:rsidRPr="00FD5F20">
              <w:rPr>
                <w:rFonts w:cstheme="minorHAnsi"/>
              </w:rPr>
              <w:t xml:space="preserve"> N/A</w:t>
            </w:r>
          </w:p>
        </w:tc>
      </w:tr>
      <w:tr w:rsidR="008C6382" w:rsidRPr="00FD5F20" w14:paraId="53522E48" w14:textId="77777777" w:rsidTr="00A73CD8">
        <w:trPr>
          <w:trHeight w:val="731"/>
        </w:trPr>
        <w:tc>
          <w:tcPr>
            <w:tcW w:w="1976" w:type="dxa"/>
          </w:tcPr>
          <w:p w14:paraId="7B7C17C0" w14:textId="77777777" w:rsidR="008C6382" w:rsidRPr="00FD5F20" w:rsidRDefault="008C6382" w:rsidP="008C6382">
            <w:pPr>
              <w:rPr>
                <w:rFonts w:cstheme="minorHAnsi"/>
                <w:b/>
              </w:rPr>
            </w:pPr>
            <w:r w:rsidRPr="00FD5F20">
              <w:rPr>
                <w:rFonts w:cstheme="minorHAnsi"/>
                <w:b/>
              </w:rPr>
              <w:t>11. Prospective providers should meet the following criteria:</w:t>
            </w:r>
          </w:p>
        </w:tc>
        <w:tc>
          <w:tcPr>
            <w:tcW w:w="8613" w:type="dxa"/>
            <w:vAlign w:val="center"/>
          </w:tcPr>
          <w:p w14:paraId="501C6EDD" w14:textId="77777777" w:rsidR="00AB0B70" w:rsidRDefault="00AB0B70" w:rsidP="00AB0B70">
            <w:pPr>
              <w:rPr>
                <w:szCs w:val="20"/>
                <w:lang w:eastAsia="en-GB"/>
              </w:rPr>
            </w:pPr>
            <w:r>
              <w:rPr>
                <w:szCs w:val="20"/>
                <w:lang w:eastAsia="en-GB"/>
              </w:rPr>
              <w:t>Expertise: Careers/Enterprise Education, understanding of the Gatsby Benchmarks</w:t>
            </w:r>
          </w:p>
          <w:p w14:paraId="39607E0B" w14:textId="77777777" w:rsidR="00AB0B70" w:rsidRDefault="00AB0B70" w:rsidP="00AB0B70">
            <w:pPr>
              <w:rPr>
                <w:szCs w:val="20"/>
                <w:lang w:eastAsia="en-GB"/>
              </w:rPr>
            </w:pPr>
          </w:p>
          <w:p w14:paraId="6DD600C7" w14:textId="6173FA91" w:rsidR="00AB0B70" w:rsidRDefault="00AB0B70" w:rsidP="00AB0B70">
            <w:pPr>
              <w:rPr>
                <w:szCs w:val="20"/>
                <w:lang w:eastAsia="en-GB"/>
              </w:rPr>
            </w:pPr>
            <w:r>
              <w:rPr>
                <w:szCs w:val="20"/>
                <w:lang w:eastAsia="en-GB"/>
              </w:rPr>
              <w:t>Experience: working with schools, coaching, providing high quality training and resources</w:t>
            </w:r>
          </w:p>
          <w:p w14:paraId="5F4CCA29" w14:textId="77777777" w:rsidR="00AB0B70" w:rsidRDefault="00AB0B70" w:rsidP="00AB0B70">
            <w:pPr>
              <w:spacing w:line="276" w:lineRule="auto"/>
              <w:rPr>
                <w:szCs w:val="20"/>
                <w:lang w:eastAsia="en-GB"/>
              </w:rPr>
            </w:pPr>
          </w:p>
          <w:p w14:paraId="262778CE" w14:textId="33FBD5FB" w:rsidR="008C6382" w:rsidRPr="00AB0B70" w:rsidRDefault="00AB0B70" w:rsidP="00AB0B70">
            <w:pPr>
              <w:spacing w:line="276" w:lineRule="auto"/>
              <w:rPr>
                <w:rFonts w:cstheme="minorHAnsi"/>
              </w:rPr>
            </w:pPr>
            <w:r w:rsidRPr="00AB0B70">
              <w:rPr>
                <w:szCs w:val="20"/>
                <w:lang w:eastAsia="en-GB"/>
              </w:rPr>
              <w:t>Further credentials: Safeguarding, supporting interschool and community networks</w:t>
            </w:r>
          </w:p>
        </w:tc>
      </w:tr>
      <w:tr w:rsidR="008C6382" w:rsidRPr="00FD5F20" w14:paraId="0CFB22E5" w14:textId="77777777" w:rsidTr="00A73CD8">
        <w:trPr>
          <w:trHeight w:val="983"/>
        </w:trPr>
        <w:tc>
          <w:tcPr>
            <w:tcW w:w="1976" w:type="dxa"/>
            <w:vMerge w:val="restart"/>
          </w:tcPr>
          <w:p w14:paraId="12C669E2" w14:textId="77777777" w:rsidR="008C6382" w:rsidRPr="00FD5F20" w:rsidRDefault="008C6382" w:rsidP="008C6382">
            <w:pPr>
              <w:rPr>
                <w:rFonts w:cstheme="minorHAnsi"/>
                <w:b/>
              </w:rPr>
            </w:pPr>
            <w:r w:rsidRPr="00FD5F20">
              <w:rPr>
                <w:rFonts w:cstheme="minorHAnsi"/>
                <w:b/>
              </w:rPr>
              <w:t>12. Prospective providers are invited to submit:</w:t>
            </w:r>
          </w:p>
        </w:tc>
        <w:tc>
          <w:tcPr>
            <w:tcW w:w="8613" w:type="dxa"/>
          </w:tcPr>
          <w:p w14:paraId="769329E8" w14:textId="750ABA8C" w:rsidR="008C6382" w:rsidRPr="00FD5F20" w:rsidRDefault="008C6382" w:rsidP="008C6382">
            <w:pPr>
              <w:numPr>
                <w:ilvl w:val="0"/>
                <w:numId w:val="14"/>
              </w:numPr>
              <w:rPr>
                <w:rFonts w:cstheme="minorHAnsi"/>
              </w:rPr>
            </w:pPr>
            <w:r w:rsidRPr="00FD5F20">
              <w:rPr>
                <w:rFonts w:cstheme="minorHAnsi"/>
              </w:rPr>
              <w:t>Evidence of expertise and experience stated in section 11 above</w:t>
            </w:r>
            <w:r w:rsidR="004E176B">
              <w:rPr>
                <w:rFonts w:cstheme="minorHAnsi"/>
              </w:rPr>
              <w:t xml:space="preserve"> </w:t>
            </w:r>
            <w:r w:rsidRPr="00FD5F20">
              <w:rPr>
                <w:rFonts w:cstheme="minorHAnsi"/>
              </w:rPr>
              <w:t>(Weighting 35%)</w:t>
            </w:r>
          </w:p>
          <w:p w14:paraId="06BBA092" w14:textId="77777777" w:rsidR="008C6382" w:rsidRPr="00FD5F20" w:rsidRDefault="008C6382" w:rsidP="008C6382">
            <w:pPr>
              <w:ind w:left="720"/>
              <w:rPr>
                <w:rFonts w:cstheme="minorHAnsi"/>
              </w:rPr>
            </w:pPr>
          </w:p>
          <w:p w14:paraId="670BBB1B" w14:textId="77777777" w:rsidR="008C6382" w:rsidRPr="00FD5F20" w:rsidRDefault="008C6382" w:rsidP="008C6382">
            <w:pPr>
              <w:ind w:left="720"/>
              <w:rPr>
                <w:rFonts w:cstheme="minorHAnsi"/>
              </w:rPr>
            </w:pPr>
            <w:r w:rsidRPr="00FD5F20">
              <w:rPr>
                <w:rFonts w:cstheme="minorHAnsi"/>
              </w:rPr>
              <w:t>Please type your response here (1 side of A4)</w:t>
            </w:r>
          </w:p>
          <w:p w14:paraId="4815F23E" w14:textId="77777777" w:rsidR="008C6382" w:rsidRPr="00FD5F20" w:rsidRDefault="008C6382" w:rsidP="008C6382">
            <w:pPr>
              <w:pStyle w:val="ListParagraph"/>
              <w:rPr>
                <w:rFonts w:cstheme="minorHAnsi"/>
              </w:rPr>
            </w:pPr>
          </w:p>
        </w:tc>
      </w:tr>
      <w:tr w:rsidR="008C6382" w:rsidRPr="00FD5F20" w14:paraId="33FB7CE1" w14:textId="77777777" w:rsidTr="00A73CD8">
        <w:trPr>
          <w:trHeight w:val="983"/>
        </w:trPr>
        <w:tc>
          <w:tcPr>
            <w:tcW w:w="1976" w:type="dxa"/>
            <w:vMerge/>
          </w:tcPr>
          <w:p w14:paraId="19767406" w14:textId="77777777" w:rsidR="008C6382" w:rsidRPr="00FD5F20" w:rsidRDefault="008C6382" w:rsidP="008C6382">
            <w:pPr>
              <w:rPr>
                <w:rFonts w:cstheme="minorHAnsi"/>
                <w:b/>
              </w:rPr>
            </w:pPr>
          </w:p>
        </w:tc>
        <w:tc>
          <w:tcPr>
            <w:tcW w:w="8613" w:type="dxa"/>
          </w:tcPr>
          <w:p w14:paraId="17195D4E" w14:textId="2BDD0BC9" w:rsidR="008C6382" w:rsidRPr="00FD5F20" w:rsidRDefault="008C6382" w:rsidP="004E176B">
            <w:pPr>
              <w:numPr>
                <w:ilvl w:val="0"/>
                <w:numId w:val="14"/>
              </w:numPr>
              <w:rPr>
                <w:rFonts w:cstheme="minorHAnsi"/>
              </w:rPr>
            </w:pPr>
            <w:r w:rsidRPr="008C6382">
              <w:rPr>
                <w:rFonts w:cstheme="minorHAnsi"/>
              </w:rPr>
              <w:t xml:space="preserve"> Your approach to this project, to include</w:t>
            </w:r>
            <w:r w:rsidR="004E176B">
              <w:rPr>
                <w:rFonts w:cstheme="minorHAnsi"/>
              </w:rPr>
              <w:t xml:space="preserve"> </w:t>
            </w:r>
            <w:r w:rsidRPr="004E176B">
              <w:rPr>
                <w:rFonts w:cstheme="minorHAnsi"/>
              </w:rPr>
              <w:t xml:space="preserve">staffing and a description of any potential conflicts of interest and how you will deal with them </w:t>
            </w:r>
            <w:r w:rsidR="004E176B" w:rsidRPr="004E176B">
              <w:rPr>
                <w:rFonts w:cstheme="minorHAnsi"/>
              </w:rPr>
              <w:t xml:space="preserve">(weighting </w:t>
            </w:r>
            <w:r w:rsidRPr="00FD5F20">
              <w:rPr>
                <w:rFonts w:cstheme="minorHAnsi"/>
              </w:rPr>
              <w:t>35%)</w:t>
            </w:r>
          </w:p>
          <w:p w14:paraId="431D2D43" w14:textId="77777777" w:rsidR="008C6382" w:rsidRPr="00FD5F20" w:rsidRDefault="008C6382" w:rsidP="004E176B">
            <w:pPr>
              <w:ind w:left="720"/>
              <w:rPr>
                <w:rFonts w:cstheme="minorHAnsi"/>
              </w:rPr>
            </w:pPr>
          </w:p>
          <w:p w14:paraId="26A8C788" w14:textId="78A34D65" w:rsidR="008C6382" w:rsidRPr="00FD5F20" w:rsidRDefault="008C6382" w:rsidP="004E176B">
            <w:pPr>
              <w:ind w:left="720"/>
              <w:rPr>
                <w:rFonts w:cstheme="minorHAnsi"/>
              </w:rPr>
            </w:pPr>
            <w:r w:rsidRPr="00FD5F20">
              <w:rPr>
                <w:rFonts w:cstheme="minorHAnsi"/>
              </w:rPr>
              <w:t>Please type your response here (</w:t>
            </w:r>
            <w:r>
              <w:rPr>
                <w:rFonts w:cstheme="minorHAnsi"/>
              </w:rPr>
              <w:t>1</w:t>
            </w:r>
            <w:r w:rsidRPr="00FD5F20">
              <w:rPr>
                <w:rFonts w:cstheme="minorHAnsi"/>
              </w:rPr>
              <w:t xml:space="preserve"> sides of A4)</w:t>
            </w:r>
            <w:r w:rsidR="004E176B" w:rsidRPr="00FD5F20" w:rsidDel="004E176B">
              <w:rPr>
                <w:rFonts w:cstheme="minorHAnsi"/>
              </w:rPr>
              <w:t xml:space="preserve"> </w:t>
            </w:r>
          </w:p>
        </w:tc>
      </w:tr>
      <w:tr w:rsidR="008C6382" w:rsidRPr="00FD5F20" w14:paraId="56871802" w14:textId="77777777" w:rsidTr="00A73CD8">
        <w:trPr>
          <w:trHeight w:val="983"/>
        </w:trPr>
        <w:tc>
          <w:tcPr>
            <w:tcW w:w="1976" w:type="dxa"/>
            <w:vMerge/>
          </w:tcPr>
          <w:p w14:paraId="51F2A0B9" w14:textId="77777777" w:rsidR="008C6382" w:rsidRPr="00FD5F20" w:rsidRDefault="008C6382" w:rsidP="008C6382">
            <w:pPr>
              <w:rPr>
                <w:rFonts w:cstheme="minorHAnsi"/>
                <w:b/>
              </w:rPr>
            </w:pPr>
          </w:p>
        </w:tc>
        <w:tc>
          <w:tcPr>
            <w:tcW w:w="8613" w:type="dxa"/>
          </w:tcPr>
          <w:p w14:paraId="640CC301" w14:textId="77777777" w:rsidR="008C6382" w:rsidRPr="00FD5F20" w:rsidRDefault="008C6382" w:rsidP="008C6382">
            <w:pPr>
              <w:ind w:left="720"/>
              <w:rPr>
                <w:rFonts w:cstheme="minorHAnsi"/>
              </w:rPr>
            </w:pPr>
          </w:p>
          <w:p w14:paraId="58A1E97C" w14:textId="77777777" w:rsidR="008C6382" w:rsidRPr="00FD5F20" w:rsidRDefault="008C6382" w:rsidP="008C6382">
            <w:pPr>
              <w:pStyle w:val="ListParagraph"/>
              <w:rPr>
                <w:rFonts w:cstheme="minorHAnsi"/>
              </w:rPr>
            </w:pPr>
          </w:p>
        </w:tc>
      </w:tr>
      <w:tr w:rsidR="008C6382" w:rsidRPr="00FD5F20" w14:paraId="1AC2015A" w14:textId="77777777" w:rsidTr="00A73CD8">
        <w:trPr>
          <w:trHeight w:val="983"/>
        </w:trPr>
        <w:tc>
          <w:tcPr>
            <w:tcW w:w="1976" w:type="dxa"/>
            <w:vMerge/>
          </w:tcPr>
          <w:p w14:paraId="17B0D607" w14:textId="77777777" w:rsidR="008C6382" w:rsidRPr="00FD5F20" w:rsidRDefault="008C6382" w:rsidP="008C6382">
            <w:pPr>
              <w:rPr>
                <w:rFonts w:cstheme="minorHAnsi"/>
                <w:b/>
              </w:rPr>
            </w:pPr>
          </w:p>
        </w:tc>
        <w:tc>
          <w:tcPr>
            <w:tcW w:w="8613" w:type="dxa"/>
          </w:tcPr>
          <w:p w14:paraId="760F8116" w14:textId="77777777" w:rsidR="008C6382" w:rsidRPr="00FD5F20" w:rsidRDefault="008C6382" w:rsidP="008C6382">
            <w:pPr>
              <w:rPr>
                <w:rFonts w:cstheme="minorHAnsi"/>
                <w:b/>
              </w:rPr>
            </w:pPr>
            <w:r w:rsidRPr="00FD5F20">
              <w:rPr>
                <w:rFonts w:cstheme="minorHAnsi"/>
                <w:b/>
              </w:rPr>
              <w:t>Price</w:t>
            </w:r>
          </w:p>
          <w:p w14:paraId="4BD8322F" w14:textId="77777777" w:rsidR="008C6382" w:rsidRPr="00FD5F20" w:rsidRDefault="008C6382" w:rsidP="008C6382">
            <w:pPr>
              <w:numPr>
                <w:ilvl w:val="0"/>
                <w:numId w:val="14"/>
              </w:numPr>
              <w:rPr>
                <w:rFonts w:cstheme="minorHAnsi"/>
              </w:rPr>
            </w:pPr>
            <w:r w:rsidRPr="00FD5F20">
              <w:rPr>
                <w:rFonts w:cstheme="minorHAnsi"/>
              </w:rPr>
              <w:t xml:space="preserve">Details of your time, fees and expenses required to meet the outcomes and price cap </w:t>
            </w:r>
          </w:p>
          <w:p w14:paraId="400A2564" w14:textId="77777777" w:rsidR="008C6382" w:rsidRPr="00FD5F20" w:rsidRDefault="008C6382" w:rsidP="008C6382">
            <w:pPr>
              <w:ind w:left="720"/>
              <w:rPr>
                <w:rFonts w:cstheme="minorHAnsi"/>
              </w:rPr>
            </w:pPr>
            <w:r w:rsidRPr="00FD5F20">
              <w:rPr>
                <w:rFonts w:cstheme="minorHAnsi"/>
              </w:rPr>
              <w:t>(weighting 30%)</w:t>
            </w:r>
          </w:p>
          <w:p w14:paraId="604951E1" w14:textId="77777777" w:rsidR="008C6382" w:rsidRPr="00FD5F20" w:rsidRDefault="008C6382" w:rsidP="008C6382">
            <w:pPr>
              <w:pStyle w:val="ListParagraph"/>
              <w:rPr>
                <w:rFonts w:cstheme="minorHAnsi"/>
              </w:rPr>
            </w:pPr>
          </w:p>
          <w:p w14:paraId="77D71BCC" w14:textId="77777777" w:rsidR="008C6382" w:rsidRPr="00FD5F20" w:rsidRDefault="008C6382" w:rsidP="008C6382">
            <w:pPr>
              <w:ind w:left="720"/>
              <w:rPr>
                <w:rFonts w:cstheme="minorHAnsi"/>
              </w:rPr>
            </w:pPr>
            <w:r w:rsidRPr="00FD5F20">
              <w:rPr>
                <w:rFonts w:cstheme="minorHAnsi"/>
              </w:rPr>
              <w:t>Please type your response here     £_________________________</w:t>
            </w:r>
          </w:p>
          <w:p w14:paraId="12525301" w14:textId="77777777" w:rsidR="008C6382" w:rsidRPr="00FD5F20" w:rsidRDefault="008C6382" w:rsidP="008C6382">
            <w:pPr>
              <w:ind w:left="720"/>
              <w:rPr>
                <w:rFonts w:cstheme="minorHAnsi"/>
              </w:rPr>
            </w:pPr>
          </w:p>
          <w:p w14:paraId="7B47046F" w14:textId="77777777" w:rsidR="008C6382" w:rsidRPr="00FD5F20" w:rsidRDefault="008C6382" w:rsidP="008C6382">
            <w:pPr>
              <w:ind w:left="720"/>
              <w:rPr>
                <w:rFonts w:cstheme="minorHAnsi"/>
              </w:rPr>
            </w:pPr>
            <w:r w:rsidRPr="00FD5F20">
              <w:rPr>
                <w:rFonts w:cstheme="minorHAnsi"/>
              </w:rPr>
              <w:t>(you may wish to show this as a table, you will be evaluated on the total, which is not to exceed the price cap)</w:t>
            </w:r>
          </w:p>
          <w:p w14:paraId="6E820391" w14:textId="77777777" w:rsidR="008C6382" w:rsidRPr="00FD5F20" w:rsidRDefault="008C6382" w:rsidP="008C6382">
            <w:pPr>
              <w:ind w:left="720"/>
              <w:rPr>
                <w:rFonts w:cstheme="minorHAnsi"/>
              </w:rPr>
            </w:pPr>
          </w:p>
          <w:p w14:paraId="0CCFCB96" w14:textId="77777777" w:rsidR="008C6382" w:rsidRPr="00FD5F20" w:rsidRDefault="008C6382" w:rsidP="008C6382">
            <w:pPr>
              <w:pStyle w:val="ListParagraph"/>
              <w:rPr>
                <w:rFonts w:cstheme="minorHAnsi"/>
              </w:rPr>
            </w:pPr>
          </w:p>
        </w:tc>
      </w:tr>
      <w:tr w:rsidR="008C6382" w:rsidRPr="00FD5F20" w14:paraId="57A78FBD" w14:textId="77777777" w:rsidTr="00A73CD8">
        <w:trPr>
          <w:trHeight w:val="983"/>
        </w:trPr>
        <w:tc>
          <w:tcPr>
            <w:tcW w:w="1976" w:type="dxa"/>
          </w:tcPr>
          <w:p w14:paraId="1FBA9497" w14:textId="77777777" w:rsidR="008C6382" w:rsidRPr="00FD5F20" w:rsidRDefault="008C6382" w:rsidP="008C6382">
            <w:pPr>
              <w:rPr>
                <w:rFonts w:cstheme="minorHAnsi"/>
                <w:b/>
              </w:rPr>
            </w:pPr>
            <w:r w:rsidRPr="00FD5F20">
              <w:rPr>
                <w:rFonts w:cstheme="minorHAnsi"/>
                <w:b/>
              </w:rPr>
              <w:lastRenderedPageBreak/>
              <w:t>13. Timetable</w:t>
            </w:r>
          </w:p>
        </w:tc>
        <w:tc>
          <w:tcPr>
            <w:tcW w:w="8613" w:type="dxa"/>
          </w:tcPr>
          <w:p w14:paraId="1811BEBC" w14:textId="77777777" w:rsidR="008C6382" w:rsidRPr="00C32C05" w:rsidRDefault="008C6382" w:rsidP="004E176B">
            <w:pPr>
              <w:spacing w:line="276" w:lineRule="auto"/>
              <w:rPr>
                <w:szCs w:val="20"/>
                <w:lang w:eastAsia="en-GB"/>
              </w:rPr>
            </w:pPr>
            <w:r w:rsidRPr="00C32C05">
              <w:rPr>
                <w:szCs w:val="20"/>
                <w:lang w:eastAsia="en-GB"/>
              </w:rPr>
              <w:t>Proposals should be submitted by: 31</w:t>
            </w:r>
            <w:r w:rsidRPr="00C32C05">
              <w:rPr>
                <w:szCs w:val="20"/>
                <w:vertAlign w:val="superscript"/>
                <w:lang w:eastAsia="en-GB"/>
              </w:rPr>
              <w:t>st</w:t>
            </w:r>
            <w:r w:rsidRPr="00C32C05">
              <w:rPr>
                <w:szCs w:val="20"/>
                <w:lang w:eastAsia="en-GB"/>
              </w:rPr>
              <w:t xml:space="preserve"> August</w:t>
            </w:r>
          </w:p>
          <w:p w14:paraId="7BCEEADD" w14:textId="77777777" w:rsidR="008C6382" w:rsidRPr="00C32C05" w:rsidRDefault="008C6382" w:rsidP="004E176B">
            <w:pPr>
              <w:spacing w:line="276" w:lineRule="auto"/>
              <w:rPr>
                <w:szCs w:val="20"/>
                <w:lang w:eastAsia="en-GB"/>
              </w:rPr>
            </w:pPr>
            <w:r w:rsidRPr="00C32C05">
              <w:rPr>
                <w:szCs w:val="20"/>
                <w:lang w:eastAsia="en-GB"/>
              </w:rPr>
              <w:t>Appointment will be notified by: 11</w:t>
            </w:r>
            <w:r w:rsidRPr="00C32C05">
              <w:rPr>
                <w:szCs w:val="20"/>
                <w:vertAlign w:val="superscript"/>
                <w:lang w:eastAsia="en-GB"/>
              </w:rPr>
              <w:t>th</w:t>
            </w:r>
            <w:r w:rsidRPr="00C32C05">
              <w:rPr>
                <w:szCs w:val="20"/>
                <w:lang w:eastAsia="en-GB"/>
              </w:rPr>
              <w:t xml:space="preserve"> September </w:t>
            </w:r>
          </w:p>
          <w:p w14:paraId="4A5C72A9" w14:textId="3BA3458D" w:rsidR="008C6382" w:rsidRPr="00FD5F20" w:rsidRDefault="008C6382" w:rsidP="004E176B">
            <w:pPr>
              <w:spacing w:line="276" w:lineRule="auto"/>
              <w:rPr>
                <w:rFonts w:cstheme="minorHAnsi"/>
              </w:rPr>
            </w:pPr>
            <w:r w:rsidRPr="00C32C05">
              <w:rPr>
                <w:szCs w:val="20"/>
                <w:lang w:eastAsia="en-GB"/>
              </w:rPr>
              <w:t>Project should be completed by: July 2020</w:t>
            </w:r>
          </w:p>
        </w:tc>
      </w:tr>
      <w:tr w:rsidR="008C6382" w:rsidRPr="00FD5F20" w14:paraId="4376ED6F" w14:textId="77777777" w:rsidTr="00A73CD8">
        <w:trPr>
          <w:trHeight w:val="500"/>
        </w:trPr>
        <w:tc>
          <w:tcPr>
            <w:tcW w:w="1976" w:type="dxa"/>
          </w:tcPr>
          <w:p w14:paraId="52423767" w14:textId="77777777" w:rsidR="008C6382" w:rsidRPr="00FD5F20" w:rsidRDefault="008C6382" w:rsidP="008C6382">
            <w:pPr>
              <w:rPr>
                <w:rFonts w:cstheme="minorHAnsi"/>
                <w:b/>
              </w:rPr>
            </w:pPr>
            <w:r w:rsidRPr="00FD5F20">
              <w:rPr>
                <w:rFonts w:cstheme="minorHAnsi"/>
                <w:b/>
              </w:rPr>
              <w:t>14. Additional information</w:t>
            </w:r>
          </w:p>
        </w:tc>
        <w:tc>
          <w:tcPr>
            <w:tcW w:w="8613" w:type="dxa"/>
          </w:tcPr>
          <w:p w14:paraId="499DBD60" w14:textId="4CA6A0C4" w:rsidR="008C6382" w:rsidRPr="00FD5F20" w:rsidRDefault="008C6382" w:rsidP="008C6382">
            <w:pPr>
              <w:rPr>
                <w:rFonts w:cstheme="minorHAnsi"/>
              </w:rPr>
            </w:pPr>
            <w:r w:rsidRPr="00C32C05">
              <w:rPr>
                <w:rFonts w:cs="Times New Roman"/>
                <w:szCs w:val="20"/>
                <w:lang w:eastAsia="en-GB"/>
              </w:rPr>
              <w:t xml:space="preserve">For further information on this project or the Norwich Opportunity Area applicants can contact Claire </w:t>
            </w:r>
            <w:r w:rsidR="003D227F">
              <w:rPr>
                <w:rFonts w:cs="Times New Roman"/>
                <w:szCs w:val="20"/>
                <w:lang w:eastAsia="en-GB"/>
              </w:rPr>
              <w:t>Sparrow</w:t>
            </w:r>
            <w:r w:rsidRPr="00C32C05">
              <w:rPr>
                <w:rFonts w:cs="Times New Roman"/>
                <w:szCs w:val="20"/>
                <w:lang w:eastAsia="en-GB"/>
              </w:rPr>
              <w:t xml:space="preserve">: </w:t>
            </w:r>
            <w:hyperlink r:id="rId9" w:history="1">
              <w:r w:rsidR="003D227F" w:rsidRPr="003D227F">
                <w:rPr>
                  <w:rStyle w:val="Hyperlink"/>
                  <w:rFonts w:cs="Times New Roman"/>
                  <w:szCs w:val="20"/>
                  <w:lang w:eastAsia="en-GB"/>
                </w:rPr>
                <w:t>Claire.sparrow@newanglia.co.uk</w:t>
              </w:r>
            </w:hyperlink>
            <w:r w:rsidR="003D227F">
              <w:rPr>
                <w:rFonts w:cs="Times New Roman"/>
                <w:szCs w:val="20"/>
                <w:lang w:eastAsia="en-GB"/>
              </w:rPr>
              <w:t xml:space="preserve"> </w:t>
            </w:r>
            <w:bookmarkStart w:id="0" w:name="_GoBack"/>
            <w:bookmarkEnd w:id="0"/>
            <w:r w:rsidR="003D227F">
              <w:rPr>
                <w:rStyle w:val="Hyperlink"/>
              </w:rPr>
              <w:t xml:space="preserve"> or </w:t>
            </w:r>
            <w:hyperlink r:id="rId10" w:history="1">
              <w:r w:rsidR="003D227F">
                <w:rPr>
                  <w:rStyle w:val="Hyperlink"/>
                  <w:rFonts w:ascii="Segoe UI" w:hAnsi="Segoe UI" w:cs="Segoe UI"/>
                  <w:sz w:val="20"/>
                  <w:szCs w:val="20"/>
                </w:rPr>
                <w:t>Jacqueline.Bircham@newanglia.co.uk</w:t>
              </w:r>
            </w:hyperlink>
          </w:p>
        </w:tc>
      </w:tr>
      <w:tr w:rsidR="008C6382" w:rsidRPr="00FD5F20" w14:paraId="6EE98394" w14:textId="77777777" w:rsidTr="00A73CD8">
        <w:trPr>
          <w:trHeight w:val="500"/>
        </w:trPr>
        <w:tc>
          <w:tcPr>
            <w:tcW w:w="1976" w:type="dxa"/>
          </w:tcPr>
          <w:p w14:paraId="447F81D5" w14:textId="77777777" w:rsidR="008C6382" w:rsidRPr="00FD5F20" w:rsidRDefault="008C6382" w:rsidP="008C6382">
            <w:pPr>
              <w:rPr>
                <w:rFonts w:cstheme="minorHAnsi"/>
                <w:b/>
              </w:rPr>
            </w:pPr>
            <w:r w:rsidRPr="00FD5F20">
              <w:rPr>
                <w:rFonts w:cstheme="minorHAnsi"/>
                <w:b/>
              </w:rPr>
              <w:t>15. Clarifications</w:t>
            </w:r>
          </w:p>
        </w:tc>
        <w:tc>
          <w:tcPr>
            <w:tcW w:w="8613" w:type="dxa"/>
          </w:tcPr>
          <w:p w14:paraId="6AA49F4B" w14:textId="30FAC424" w:rsidR="008C6382" w:rsidRPr="00FD5F20" w:rsidRDefault="008C6382" w:rsidP="008C6382">
            <w:pPr>
              <w:spacing w:before="120" w:after="120" w:line="276" w:lineRule="auto"/>
              <w:contextualSpacing/>
              <w:rPr>
                <w:rFonts w:eastAsia="Calibri" w:cstheme="minorHAnsi"/>
              </w:rPr>
            </w:pPr>
            <w:r w:rsidRPr="00FD5F20">
              <w:rPr>
                <w:rFonts w:eastAsia="Calibri" w:cstheme="minorHAnsi"/>
              </w:rPr>
              <w:t xml:space="preserve">Please email any clarification questions to </w:t>
            </w:r>
            <w:hyperlink r:id="rId11" w:history="1">
              <w:r w:rsidRPr="00FD5F20">
                <w:rPr>
                  <w:rStyle w:val="Hyperlink"/>
                  <w:rFonts w:eastAsia="Calibri" w:cstheme="minorHAnsi"/>
                </w:rPr>
                <w:t>sourcingteam@norfolk.gov.uk</w:t>
              </w:r>
            </w:hyperlink>
            <w:r w:rsidRPr="00FD5F20">
              <w:rPr>
                <w:rFonts w:eastAsia="Calibri" w:cstheme="minorHAnsi"/>
              </w:rPr>
              <w:t xml:space="preserve"> quoting </w:t>
            </w:r>
            <w:r w:rsidRPr="00FD5F20">
              <w:rPr>
                <w:rFonts w:eastAsia="Calibri" w:cstheme="minorHAnsi"/>
                <w:b/>
              </w:rPr>
              <w:t>NCCQ4168</w:t>
            </w:r>
            <w:r>
              <w:rPr>
                <w:rFonts w:eastAsia="Calibri" w:cstheme="minorHAnsi"/>
                <w:b/>
              </w:rPr>
              <w:t>8</w:t>
            </w:r>
            <w:r w:rsidRPr="00FD5F20">
              <w:rPr>
                <w:rFonts w:eastAsia="Calibri" w:cstheme="minorHAnsi"/>
                <w:b/>
              </w:rPr>
              <w:t xml:space="preserve"> clarification</w:t>
            </w:r>
            <w:r w:rsidRPr="00FD5F20">
              <w:rPr>
                <w:rFonts w:eastAsia="Calibri" w:cstheme="minorHAnsi"/>
              </w:rPr>
              <w:t xml:space="preserve"> in the subject area.  </w:t>
            </w:r>
          </w:p>
          <w:p w14:paraId="487FF50F" w14:textId="77777777" w:rsidR="008C6382" w:rsidRPr="00FD5F20" w:rsidRDefault="008C6382" w:rsidP="008C6382">
            <w:pPr>
              <w:spacing w:before="120" w:after="120" w:line="276" w:lineRule="auto"/>
              <w:contextualSpacing/>
              <w:rPr>
                <w:rFonts w:eastAsia="Calibri" w:cstheme="minorHAnsi"/>
              </w:rPr>
            </w:pPr>
          </w:p>
          <w:p w14:paraId="6FE9211B" w14:textId="77777777" w:rsidR="008C6382" w:rsidRPr="00FD5F20" w:rsidRDefault="008C6382" w:rsidP="008C6382">
            <w:pPr>
              <w:spacing w:before="120" w:after="120" w:line="276" w:lineRule="auto"/>
              <w:contextualSpacing/>
              <w:rPr>
                <w:rFonts w:eastAsia="Calibri" w:cstheme="minorHAnsi"/>
              </w:rPr>
            </w:pPr>
            <w:r w:rsidRPr="00FD5F20">
              <w:rPr>
                <w:rFonts w:eastAsia="Calibri" w:cstheme="minorHAnsi"/>
              </w:rPr>
              <w:t xml:space="preserve">Please ensure that your email confirms your name and contact details so we can respond to you. </w:t>
            </w:r>
          </w:p>
          <w:p w14:paraId="5DA7EEC9" w14:textId="77777777" w:rsidR="008C6382" w:rsidRPr="00FD5F20" w:rsidRDefault="008C6382" w:rsidP="008C6382">
            <w:pPr>
              <w:spacing w:before="120" w:after="120" w:line="276" w:lineRule="auto"/>
              <w:contextualSpacing/>
              <w:rPr>
                <w:rFonts w:eastAsia="Calibri" w:cstheme="minorHAnsi"/>
              </w:rPr>
            </w:pPr>
          </w:p>
          <w:p w14:paraId="0E80771B" w14:textId="77777777" w:rsidR="008C6382" w:rsidRPr="00FD5F20" w:rsidRDefault="008C6382" w:rsidP="008C6382">
            <w:pPr>
              <w:spacing w:before="120" w:after="120" w:line="276" w:lineRule="auto"/>
              <w:contextualSpacing/>
              <w:rPr>
                <w:rStyle w:val="Hyperlink"/>
                <w:rFonts w:cstheme="minorHAnsi"/>
              </w:rPr>
            </w:pPr>
            <w:r w:rsidRPr="00FD5F20">
              <w:rPr>
                <w:rFonts w:eastAsia="Calibri" w:cstheme="minorHAnsi"/>
              </w:rPr>
              <w:t xml:space="preserve">Deadline for receipt of clarifications is 24th August 2018 10am.  </w:t>
            </w:r>
          </w:p>
          <w:p w14:paraId="7165F15D" w14:textId="77777777" w:rsidR="008C6382" w:rsidRPr="00FD5F20" w:rsidRDefault="008C6382" w:rsidP="008C6382">
            <w:pPr>
              <w:rPr>
                <w:rFonts w:cstheme="minorHAnsi"/>
              </w:rPr>
            </w:pPr>
          </w:p>
        </w:tc>
      </w:tr>
      <w:tr w:rsidR="008C6382" w:rsidRPr="00FD5F20" w14:paraId="21589E91" w14:textId="77777777" w:rsidTr="00A73CD8">
        <w:trPr>
          <w:trHeight w:val="500"/>
        </w:trPr>
        <w:tc>
          <w:tcPr>
            <w:tcW w:w="1976" w:type="dxa"/>
          </w:tcPr>
          <w:p w14:paraId="0F69BC48" w14:textId="77777777" w:rsidR="008C6382" w:rsidRPr="00FD5F20" w:rsidRDefault="008C6382" w:rsidP="008C6382">
            <w:pPr>
              <w:rPr>
                <w:rFonts w:cstheme="minorHAnsi"/>
                <w:b/>
              </w:rPr>
            </w:pPr>
            <w:r w:rsidRPr="00FD5F20">
              <w:rPr>
                <w:rFonts w:cstheme="minorHAnsi"/>
                <w:b/>
              </w:rPr>
              <w:t>16. Submission of bids</w:t>
            </w:r>
          </w:p>
        </w:tc>
        <w:tc>
          <w:tcPr>
            <w:tcW w:w="8613" w:type="dxa"/>
          </w:tcPr>
          <w:p w14:paraId="6668BED7" w14:textId="1F436F40" w:rsidR="008C6382" w:rsidRPr="00FD5F20" w:rsidRDefault="008C6382" w:rsidP="008C6382">
            <w:pPr>
              <w:spacing w:before="120" w:after="120" w:line="276" w:lineRule="auto"/>
              <w:contextualSpacing/>
              <w:rPr>
                <w:rFonts w:eastAsia="Calibri" w:cstheme="minorHAnsi"/>
              </w:rPr>
            </w:pPr>
            <w:r w:rsidRPr="00FD5F20">
              <w:rPr>
                <w:rFonts w:eastAsia="Calibri" w:cstheme="minorHAnsi"/>
              </w:rPr>
              <w:t xml:space="preserve">Please submit your completed quote to </w:t>
            </w:r>
            <w:hyperlink r:id="rId12" w:history="1">
              <w:r w:rsidRPr="00FD5F20">
                <w:rPr>
                  <w:rStyle w:val="Hyperlink"/>
                  <w:rFonts w:eastAsia="Calibri" w:cstheme="minorHAnsi"/>
                </w:rPr>
                <w:t>sourcingteam@norfolk.gov.uk</w:t>
              </w:r>
            </w:hyperlink>
            <w:r w:rsidRPr="00FD5F20">
              <w:rPr>
                <w:rFonts w:eastAsia="Calibri" w:cstheme="minorHAnsi"/>
              </w:rPr>
              <w:t xml:space="preserve"> quoting </w:t>
            </w:r>
            <w:r w:rsidRPr="00FD5F20">
              <w:rPr>
                <w:rFonts w:eastAsia="Calibri" w:cstheme="minorHAnsi"/>
                <w:b/>
              </w:rPr>
              <w:t>NCCQ4168</w:t>
            </w:r>
            <w:r>
              <w:rPr>
                <w:rFonts w:eastAsia="Calibri" w:cstheme="minorHAnsi"/>
                <w:b/>
              </w:rPr>
              <w:t>8</w:t>
            </w:r>
            <w:r w:rsidRPr="00FD5F20">
              <w:rPr>
                <w:rFonts w:eastAsia="Calibri" w:cstheme="minorHAnsi"/>
                <w:b/>
              </w:rPr>
              <w:t xml:space="preserve"> submission</w:t>
            </w:r>
            <w:r w:rsidRPr="00FD5F20">
              <w:rPr>
                <w:rFonts w:eastAsia="Calibri" w:cstheme="minorHAnsi"/>
              </w:rPr>
              <w:t xml:space="preserve"> in the subject area.  </w:t>
            </w:r>
          </w:p>
          <w:p w14:paraId="5B6E3025" w14:textId="77777777" w:rsidR="008C6382" w:rsidRPr="00FD5F20" w:rsidRDefault="008C6382" w:rsidP="008C6382">
            <w:pPr>
              <w:spacing w:before="120" w:after="120" w:line="276" w:lineRule="auto"/>
              <w:contextualSpacing/>
              <w:rPr>
                <w:rFonts w:eastAsia="Calibri" w:cstheme="minorHAnsi"/>
              </w:rPr>
            </w:pPr>
          </w:p>
          <w:p w14:paraId="2D39E6D1" w14:textId="77777777" w:rsidR="008C6382" w:rsidRPr="00FD5F20" w:rsidRDefault="008C6382" w:rsidP="008C6382">
            <w:pPr>
              <w:spacing w:before="120" w:after="120" w:line="276" w:lineRule="auto"/>
              <w:contextualSpacing/>
              <w:rPr>
                <w:rFonts w:eastAsia="Calibri" w:cstheme="minorHAnsi"/>
              </w:rPr>
            </w:pPr>
            <w:r w:rsidRPr="00FD5F20">
              <w:rPr>
                <w:rFonts w:eastAsia="Calibri" w:cstheme="minorHAnsi"/>
              </w:rPr>
              <w:t>The deadline for submission is 10am on 31st August 2018.</w:t>
            </w:r>
          </w:p>
        </w:tc>
      </w:tr>
    </w:tbl>
    <w:p w14:paraId="30D3F452" w14:textId="77777777" w:rsidR="00F16668" w:rsidRPr="00CB2FFC" w:rsidRDefault="00F16668"/>
    <w:p w14:paraId="4E50B366"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Scoring method for quality</w:t>
      </w:r>
    </w:p>
    <w:p w14:paraId="08FF2015" w14:textId="77777777" w:rsidR="00F052E1" w:rsidRPr="00777B85" w:rsidRDefault="00F052E1" w:rsidP="00777B85">
      <w:pPr>
        <w:pStyle w:val="ListParagraph"/>
        <w:numPr>
          <w:ilvl w:val="0"/>
          <w:numId w:val="5"/>
        </w:numPr>
        <w:spacing w:before="120" w:after="120" w:line="276" w:lineRule="auto"/>
        <w:ind w:left="720" w:hanging="578"/>
        <w:rPr>
          <w:color w:val="000000" w:themeColor="text1"/>
        </w:rPr>
      </w:pPr>
      <w:r w:rsidRPr="0067024D">
        <w:rPr>
          <w:color w:val="000000" w:themeColor="text1"/>
        </w:rPr>
        <w:t>The score for each question will be divided by the maximum possible score of five (5) and then multiplied by the individual weighting for that question to give a weighted score.</w:t>
      </w:r>
    </w:p>
    <w:p w14:paraId="3E7E78CE" w14:textId="77777777" w:rsidR="00F052E1" w:rsidRPr="0067024D" w:rsidRDefault="00F052E1" w:rsidP="00F052E1">
      <w:pPr>
        <w:pStyle w:val="ListParagraph"/>
        <w:numPr>
          <w:ilvl w:val="0"/>
          <w:numId w:val="5"/>
        </w:numPr>
        <w:spacing w:before="120" w:after="120" w:line="276" w:lineRule="auto"/>
        <w:ind w:left="720" w:hanging="578"/>
        <w:rPr>
          <w:rFonts w:cs="Arial"/>
          <w:color w:val="000000" w:themeColor="text1"/>
        </w:rPr>
      </w:pPr>
      <w:r w:rsidRPr="0067024D">
        <w:rPr>
          <w:color w:val="000000" w:themeColor="text1"/>
        </w:rPr>
        <w:t>Suppliers</w:t>
      </w:r>
      <w:r w:rsidRPr="0067024D">
        <w:rPr>
          <w:rFonts w:cs="Arial"/>
          <w:color w:val="000000" w:themeColor="text1"/>
        </w:rPr>
        <w:t xml:space="preserve"> will be scored on their responses to the Supplier Questions in Section </w:t>
      </w:r>
      <w:r>
        <w:rPr>
          <w:rFonts w:cs="Arial"/>
          <w:color w:val="000000" w:themeColor="text1"/>
        </w:rPr>
        <w:t>12</w:t>
      </w:r>
      <w:r w:rsidRPr="0067024D">
        <w:rPr>
          <w:rFonts w:cs="Arial"/>
          <w:color w:val="000000" w:themeColor="text1"/>
        </w:rPr>
        <w:t xml:space="preserve"> in relation to the requirements of the specification. Each question is separately weighted. </w:t>
      </w:r>
    </w:p>
    <w:p w14:paraId="14ED5300" w14:textId="77777777" w:rsidR="00C05236" w:rsidRDefault="00C05236" w:rsidP="00F052E1">
      <w:pPr>
        <w:keepNext/>
        <w:keepLines/>
        <w:overflowPunct w:val="0"/>
        <w:autoSpaceDE w:val="0"/>
        <w:autoSpaceDN w:val="0"/>
        <w:adjustRightInd w:val="0"/>
        <w:spacing w:before="120" w:after="120" w:line="276" w:lineRule="auto"/>
        <w:textAlignment w:val="baseline"/>
        <w:rPr>
          <w:color w:val="000000" w:themeColor="text1"/>
          <w:spacing w:val="15"/>
        </w:rPr>
      </w:pPr>
    </w:p>
    <w:p w14:paraId="6F95EA82"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Scoring method for Price</w:t>
      </w:r>
    </w:p>
    <w:p w14:paraId="65527051" w14:textId="28B4BA36" w:rsidR="00F052E1" w:rsidRPr="0067024D" w:rsidRDefault="00F052E1" w:rsidP="00F052E1">
      <w:pPr>
        <w:pStyle w:val="ListParagraph"/>
        <w:numPr>
          <w:ilvl w:val="0"/>
          <w:numId w:val="5"/>
        </w:numPr>
        <w:spacing w:before="120" w:after="120" w:line="276" w:lineRule="auto"/>
        <w:ind w:left="720" w:hanging="578"/>
        <w:rPr>
          <w:rFonts w:cs="Arial"/>
          <w:b/>
          <w:color w:val="000000" w:themeColor="text1"/>
          <w:u w:val="single"/>
        </w:rPr>
      </w:pPr>
      <w:r w:rsidRPr="0067024D">
        <w:rPr>
          <w:noProof/>
          <w:color w:val="000000" w:themeColor="text1"/>
        </w:rPr>
        <w:t>The</w:t>
      </w:r>
      <w:r w:rsidRPr="0067024D">
        <w:rPr>
          <w:color w:val="000000" w:themeColor="text1"/>
        </w:rPr>
        <w:t xml:space="preserve"> price for </w:t>
      </w:r>
      <w:r w:rsidR="0076638C">
        <w:rPr>
          <w:color w:val="000000" w:themeColor="text1"/>
        </w:rPr>
        <w:t>this requirement</w:t>
      </w:r>
      <w:r w:rsidRPr="0067024D">
        <w:rPr>
          <w:color w:val="000000" w:themeColor="text1"/>
        </w:rPr>
        <w:t xml:space="preserve"> is capped at </w:t>
      </w:r>
      <w:r w:rsidRPr="0067024D">
        <w:rPr>
          <w:rFonts w:ascii="Calibri" w:hAnsi="Calibri"/>
          <w:color w:val="000000" w:themeColor="text1"/>
        </w:rPr>
        <w:t>£</w:t>
      </w:r>
      <w:r w:rsidR="00AD2551">
        <w:rPr>
          <w:rFonts w:ascii="Calibri" w:hAnsi="Calibri"/>
          <w:color w:val="000000" w:themeColor="text1"/>
        </w:rPr>
        <w:t>54</w:t>
      </w:r>
      <w:r w:rsidRPr="0067024D">
        <w:rPr>
          <w:rFonts w:ascii="Calibri" w:hAnsi="Calibri"/>
          <w:color w:val="000000" w:themeColor="text1"/>
        </w:rPr>
        <w:t>,000</w:t>
      </w:r>
      <w:r w:rsidRPr="0067024D">
        <w:rPr>
          <w:color w:val="000000" w:themeColor="text1"/>
        </w:rPr>
        <w:t>. Prices bid above this cap will automatically receive a score of 0 and their bid will be rejected, regardless of the score achieved for quality.</w:t>
      </w:r>
    </w:p>
    <w:p w14:paraId="26ABAD44" w14:textId="77777777" w:rsidR="00F052E1" w:rsidRPr="0067024D"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 xml:space="preserve">The formula to be used to calculate the score for price is as follows: </w:t>
      </w:r>
    </w:p>
    <w:p w14:paraId="2322DB61" w14:textId="77777777" w:rsidR="00F052E1" w:rsidRPr="0067024D" w:rsidRDefault="00F052E1" w:rsidP="00F052E1">
      <w:pPr>
        <w:pStyle w:val="ListParagraph"/>
        <w:numPr>
          <w:ilvl w:val="1"/>
          <w:numId w:val="6"/>
        </w:numPr>
        <w:spacing w:before="120" w:after="120" w:line="276" w:lineRule="auto"/>
        <w:rPr>
          <w:color w:val="000000" w:themeColor="text1"/>
        </w:rPr>
      </w:pPr>
      <w:r w:rsidRPr="0067024D">
        <w:rPr>
          <w:color w:val="000000" w:themeColor="text1"/>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0B46CB45" w14:textId="77777777" w:rsidR="00F052E1" w:rsidRPr="0067024D"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 xml:space="preserve">A total of </w:t>
      </w:r>
      <w:r w:rsidRPr="0067024D">
        <w:rPr>
          <w:rFonts w:ascii="Calibri" w:hAnsi="Calibri"/>
          <w:color w:val="000000" w:themeColor="text1"/>
        </w:rPr>
        <w:t>30</w:t>
      </w:r>
      <w:r w:rsidRPr="0067024D">
        <w:rPr>
          <w:color w:val="000000" w:themeColor="text1"/>
        </w:rPr>
        <w:t>% of the overall score is allocated to Price.</w:t>
      </w:r>
    </w:p>
    <w:p w14:paraId="35F0BDEE" w14:textId="77777777" w:rsidR="00F052E1" w:rsidRPr="0067024D" w:rsidRDefault="00F052E1" w:rsidP="00F052E1">
      <w:pPr>
        <w:keepNext/>
        <w:keepLines/>
        <w:overflowPunct w:val="0"/>
        <w:autoSpaceDE w:val="0"/>
        <w:autoSpaceDN w:val="0"/>
        <w:adjustRightInd w:val="0"/>
        <w:spacing w:before="120" w:after="120" w:line="276" w:lineRule="auto"/>
        <w:textAlignment w:val="baseline"/>
        <w:rPr>
          <w:color w:val="000000" w:themeColor="text1"/>
          <w:spacing w:val="15"/>
        </w:rPr>
      </w:pPr>
      <w:r w:rsidRPr="0067024D">
        <w:rPr>
          <w:color w:val="000000" w:themeColor="text1"/>
          <w:spacing w:val="15"/>
        </w:rPr>
        <w:t>Overall score</w:t>
      </w:r>
    </w:p>
    <w:p w14:paraId="6FB31F36" w14:textId="77777777" w:rsidR="00F052E1" w:rsidRPr="007B55E1" w:rsidRDefault="00F052E1" w:rsidP="00F052E1">
      <w:pPr>
        <w:pStyle w:val="ListParagraph"/>
        <w:numPr>
          <w:ilvl w:val="0"/>
          <w:numId w:val="5"/>
        </w:numPr>
        <w:spacing w:before="120" w:after="120" w:line="276" w:lineRule="auto"/>
        <w:ind w:left="720" w:hanging="578"/>
        <w:rPr>
          <w:color w:val="000000" w:themeColor="text1"/>
        </w:rPr>
      </w:pPr>
      <w:r w:rsidRPr="0067024D">
        <w:rPr>
          <w:color w:val="000000" w:themeColor="text1"/>
        </w:rPr>
        <w:t>The Contract will be awarded to the Supplier whose quote results in the highest combined quality</w:t>
      </w:r>
      <w:r w:rsidRPr="0067024D">
        <w:rPr>
          <w:rFonts w:cs="Arial"/>
          <w:color w:val="000000" w:themeColor="text1"/>
        </w:rPr>
        <w:t xml:space="preserve"> and price score.</w:t>
      </w:r>
    </w:p>
    <w:p w14:paraId="45C14CF5" w14:textId="77777777" w:rsidR="00FE0BF6" w:rsidRPr="00CB2FFC" w:rsidRDefault="00AA184E" w:rsidP="00FE0BF6">
      <w:bookmarkStart w:id="1" w:name="_Ref484677962"/>
      <w:bookmarkEnd w:id="1"/>
      <w:r>
        <w:t xml:space="preserve">The following descriptors are used to award scores for quality.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bottom w:w="51" w:type="dxa"/>
        </w:tblCellMar>
        <w:tblLook w:val="04A0" w:firstRow="1" w:lastRow="0" w:firstColumn="1" w:lastColumn="0" w:noHBand="0" w:noVBand="1"/>
      </w:tblPr>
      <w:tblGrid>
        <w:gridCol w:w="9209"/>
        <w:gridCol w:w="1418"/>
      </w:tblGrid>
      <w:tr w:rsidR="00812F55" w:rsidRPr="00CB2FFC" w14:paraId="6F64EFF8" w14:textId="77777777" w:rsidTr="00A60252">
        <w:trPr>
          <w:cantSplit/>
          <w:trHeight w:val="487"/>
          <w:tblHeader/>
        </w:trPr>
        <w:tc>
          <w:tcPr>
            <w:tcW w:w="9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2340A" w14:textId="77777777" w:rsidR="00812F55" w:rsidRPr="00CB2FFC" w:rsidRDefault="00812F55" w:rsidP="007119DA">
            <w:pPr>
              <w:spacing w:after="0" w:line="240" w:lineRule="auto"/>
              <w:rPr>
                <w:b/>
                <w:i/>
                <w:iCs/>
              </w:rPr>
            </w:pPr>
            <w:r w:rsidRPr="00CB2FFC">
              <w:rPr>
                <w:b/>
                <w:i/>
                <w:iCs/>
              </w:rPr>
              <w:lastRenderedPageBreak/>
              <w:t>Descriptor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31FBB" w14:textId="77777777" w:rsidR="00812F55" w:rsidRPr="00CB2FFC" w:rsidRDefault="00812F55" w:rsidP="007119DA">
            <w:pPr>
              <w:spacing w:after="0" w:line="240" w:lineRule="auto"/>
              <w:jc w:val="center"/>
              <w:rPr>
                <w:b/>
                <w:i/>
                <w:iCs/>
              </w:rPr>
            </w:pPr>
            <w:r w:rsidRPr="00CB2FFC">
              <w:rPr>
                <w:b/>
                <w:i/>
                <w:iCs/>
              </w:rPr>
              <w:t>Mark awarded</w:t>
            </w:r>
          </w:p>
        </w:tc>
      </w:tr>
      <w:tr w:rsidR="00812F55" w:rsidRPr="00CB2FFC" w14:paraId="00A8F82C"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0E56EF4A" w14:textId="77777777" w:rsidR="00812F55" w:rsidRPr="00CB2FFC" w:rsidRDefault="00812F55" w:rsidP="007119DA">
            <w:pPr>
              <w:spacing w:after="0" w:line="240" w:lineRule="auto"/>
            </w:pPr>
            <w:r w:rsidRPr="00CB2FFC">
              <w:t>Applicant fails to provide a response or provides a response of such a poor standard as to provide no confidence that the Applicant could successfully deliver the project.</w:t>
            </w:r>
          </w:p>
          <w:p w14:paraId="38269677" w14:textId="77777777" w:rsidR="00812F55" w:rsidRPr="00CB2FFC" w:rsidRDefault="00812F55" w:rsidP="007119DA">
            <w:pPr>
              <w:spacing w:after="0" w:line="240" w:lineRule="auto"/>
              <w:rPr>
                <w:b/>
              </w:rPr>
            </w:pPr>
            <w:r w:rsidRPr="00CB2FFC">
              <w:rPr>
                <w:b/>
              </w:rPr>
              <w:t>If the approach or credentials receive a score of ‘0’, the entire submission will be rejected.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72FFE" w14:textId="77777777" w:rsidR="00812F55" w:rsidRPr="00CB2FFC" w:rsidRDefault="00812F55" w:rsidP="007119DA">
            <w:pPr>
              <w:spacing w:after="0" w:line="240" w:lineRule="auto"/>
              <w:jc w:val="center"/>
            </w:pPr>
            <w:r w:rsidRPr="00CB2FFC">
              <w:t>0</w:t>
            </w:r>
          </w:p>
        </w:tc>
      </w:tr>
      <w:tr w:rsidR="00812F55" w:rsidRPr="00CB2FFC" w14:paraId="416BB380"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6D455BBD" w14:textId="77777777" w:rsidR="00812F55" w:rsidRPr="00CB2FFC" w:rsidRDefault="00812F55" w:rsidP="007119DA">
            <w:pPr>
              <w:spacing w:after="0" w:line="240" w:lineRule="auto"/>
            </w:pPr>
            <w:r w:rsidRPr="00CB2FFC">
              <w:t xml:space="preserve">Applicant provides a response of such a poor standard as to provide little confidence that the Applicant meets the requirements. The response shows </w:t>
            </w:r>
            <w:r w:rsidRPr="00CB2FFC">
              <w:rPr>
                <w:b/>
              </w:rPr>
              <w:t xml:space="preserve">many or </w:t>
            </w:r>
            <w:proofErr w:type="gramStart"/>
            <w:r w:rsidRPr="00CB2FFC">
              <w:rPr>
                <w:b/>
              </w:rPr>
              <w:t>all</w:t>
            </w:r>
            <w:r w:rsidRPr="00CB2FFC">
              <w:t xml:space="preserve"> of</w:t>
            </w:r>
            <w:proofErr w:type="gramEnd"/>
            <w:r w:rsidRPr="00CB2FFC">
              <w:t xml:space="preserve"> the following issues:</w:t>
            </w:r>
          </w:p>
          <w:p w14:paraId="18DD64DD" w14:textId="77777777" w:rsidR="00812F55" w:rsidRPr="00CB2FFC" w:rsidRDefault="00812F55" w:rsidP="00812F55">
            <w:pPr>
              <w:numPr>
                <w:ilvl w:val="0"/>
                <w:numId w:val="4"/>
              </w:numPr>
              <w:spacing w:after="0" w:line="240" w:lineRule="auto"/>
            </w:pPr>
            <w:r w:rsidRPr="00CB2FFC">
              <w:t>The information requested is only partially provided</w:t>
            </w:r>
          </w:p>
          <w:p w14:paraId="00733367" w14:textId="77777777" w:rsidR="00812F55" w:rsidRPr="00CB2FFC" w:rsidRDefault="00812F55" w:rsidP="00812F55">
            <w:pPr>
              <w:numPr>
                <w:ilvl w:val="0"/>
                <w:numId w:val="4"/>
              </w:numPr>
              <w:spacing w:after="0" w:line="240" w:lineRule="auto"/>
            </w:pPr>
            <w:r w:rsidRPr="00CB2FFC">
              <w:t>The response appears likely to only partially meet the project outcomes</w:t>
            </w:r>
          </w:p>
          <w:p w14:paraId="5E87A3F9" w14:textId="77777777" w:rsidR="00812F55" w:rsidRPr="00CB2FFC" w:rsidRDefault="00812F55" w:rsidP="00812F55">
            <w:pPr>
              <w:numPr>
                <w:ilvl w:val="0"/>
                <w:numId w:val="4"/>
              </w:numPr>
              <w:spacing w:after="0" w:line="240" w:lineRule="auto"/>
            </w:pPr>
            <w:r w:rsidRPr="00CB2FFC">
              <w:t>The response does not reflect accepted good practice/ has a weak evidence base</w:t>
            </w:r>
          </w:p>
          <w:p w14:paraId="14AA7216" w14:textId="77777777" w:rsidR="00812F55" w:rsidRPr="00CB2FFC" w:rsidRDefault="00812F55" w:rsidP="00812F55">
            <w:pPr>
              <w:numPr>
                <w:ilvl w:val="0"/>
                <w:numId w:val="4"/>
              </w:numPr>
              <w:spacing w:after="0" w:line="240" w:lineRule="auto"/>
            </w:pPr>
            <w:r w:rsidRPr="00CB2FFC">
              <w:t>The response is insufficiently specific</w:t>
            </w:r>
          </w:p>
          <w:p w14:paraId="69E760C6" w14:textId="77777777" w:rsidR="00812F55" w:rsidRPr="00CB2FFC" w:rsidRDefault="00812F55" w:rsidP="00812F55">
            <w:pPr>
              <w:numPr>
                <w:ilvl w:val="0"/>
                <w:numId w:val="4"/>
              </w:numPr>
              <w:spacing w:after="0" w:line="240" w:lineRule="auto"/>
            </w:pPr>
            <w:r w:rsidRPr="00CB2FFC">
              <w:t>The response appears not to deliver expected levels of detail, performance, expertise, outcome, supporting resources or other relevant characteristics</w:t>
            </w:r>
          </w:p>
          <w:p w14:paraId="6C788144" w14:textId="77777777" w:rsidR="00812F55" w:rsidRPr="00CB2FFC" w:rsidRDefault="00812F55" w:rsidP="00812F55">
            <w:pPr>
              <w:pStyle w:val="ListParagraph"/>
              <w:numPr>
                <w:ilvl w:val="0"/>
                <w:numId w:val="4"/>
              </w:numPr>
              <w:spacing w:after="0" w:line="240" w:lineRule="auto"/>
            </w:pPr>
            <w:r w:rsidRPr="00CB2FFC">
              <w:t>Supporting documents (where requested) are of insufficient quality, depth or relevance.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3F8C6" w14:textId="77777777" w:rsidR="00812F55" w:rsidRPr="00CB2FFC" w:rsidRDefault="00812F55" w:rsidP="007119DA">
            <w:pPr>
              <w:spacing w:after="0" w:line="240" w:lineRule="auto"/>
              <w:jc w:val="center"/>
            </w:pPr>
            <w:r w:rsidRPr="00CB2FFC">
              <w:t>1</w:t>
            </w:r>
          </w:p>
        </w:tc>
      </w:tr>
      <w:tr w:rsidR="00812F55" w:rsidRPr="00CB2FFC" w14:paraId="325B1340"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5BD1FABB" w14:textId="77777777" w:rsidR="00812F55" w:rsidRPr="00CB2FFC" w:rsidRDefault="00812F55" w:rsidP="007119DA">
            <w:pPr>
              <w:spacing w:after="0" w:line="240" w:lineRule="auto"/>
            </w:pPr>
            <w:r w:rsidRPr="00CB2FFC">
              <w:t xml:space="preserve">A response with some </w:t>
            </w:r>
            <w:r w:rsidRPr="00CB2FFC">
              <w:rPr>
                <w:b/>
              </w:rPr>
              <w:t>clear strengths</w:t>
            </w:r>
            <w:r w:rsidRPr="00CB2FFC">
              <w:t xml:space="preserve"> but demonstrating </w:t>
            </w:r>
            <w:r w:rsidRPr="00CB2FFC">
              <w:rPr>
                <w:b/>
              </w:rPr>
              <w:t>some</w:t>
            </w:r>
            <w:r w:rsidRPr="00CB2FFC">
              <w:t xml:space="preserve"> of the issues above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CD1D8" w14:textId="77777777" w:rsidR="00812F55" w:rsidRPr="00CB2FFC" w:rsidRDefault="00812F55" w:rsidP="007119DA">
            <w:pPr>
              <w:spacing w:after="0" w:line="240" w:lineRule="auto"/>
              <w:jc w:val="center"/>
            </w:pPr>
            <w:r w:rsidRPr="00CB2FFC">
              <w:t>2</w:t>
            </w:r>
          </w:p>
        </w:tc>
      </w:tr>
      <w:tr w:rsidR="00812F55" w:rsidRPr="00CB2FFC" w14:paraId="60602D46"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6AFE5889" w14:textId="77777777" w:rsidR="00812F55" w:rsidRPr="00CB2FFC" w:rsidRDefault="00812F55" w:rsidP="007119DA">
            <w:pPr>
              <w:spacing w:after="0" w:line="240" w:lineRule="auto"/>
            </w:pPr>
            <w:r w:rsidRPr="00CB2FFC">
              <w:t xml:space="preserve">An acceptable response, with </w:t>
            </w:r>
            <w:r w:rsidRPr="00CB2FFC">
              <w:rPr>
                <w:b/>
              </w:rPr>
              <w:t>some degree of weakness</w:t>
            </w:r>
            <w:r w:rsidRPr="00CB2FFC">
              <w:t xml:space="preserve"> but where the weakness does not cause fundamental concerns and is </w:t>
            </w:r>
            <w:r w:rsidRPr="00CB2FFC">
              <w:rPr>
                <w:b/>
              </w:rPr>
              <w:t>outweighed by the strengths.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77B41" w14:textId="77777777" w:rsidR="00812F55" w:rsidRPr="00CB2FFC" w:rsidRDefault="00812F55" w:rsidP="007119DA">
            <w:pPr>
              <w:spacing w:after="0" w:line="240" w:lineRule="auto"/>
              <w:jc w:val="center"/>
            </w:pPr>
            <w:r w:rsidRPr="00CB2FFC">
              <w:t>3</w:t>
            </w:r>
          </w:p>
        </w:tc>
      </w:tr>
      <w:tr w:rsidR="00812F55" w:rsidRPr="00CB2FFC" w14:paraId="08753B95"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64B5CD44" w14:textId="77777777" w:rsidR="00812F55" w:rsidRPr="00CB2FFC" w:rsidRDefault="00812F55" w:rsidP="007119DA">
            <w:pPr>
              <w:spacing w:after="0" w:line="240" w:lineRule="auto"/>
            </w:pPr>
            <w:r w:rsidRPr="00CB2FFC">
              <w:t>A good response where the strengths clearly outweigh any minor weakness(</w:t>
            </w:r>
            <w:proofErr w:type="spellStart"/>
            <w:r w:rsidRPr="00CB2FFC">
              <w:t>es</w:t>
            </w:r>
            <w:proofErr w:type="spellEnd"/>
            <w:r w:rsidRPr="00CB2FFC">
              <w:t>), and </w:t>
            </w:r>
            <w:proofErr w:type="gramStart"/>
            <w:r w:rsidRPr="00CB2FFC">
              <w:t xml:space="preserve">the </w:t>
            </w:r>
            <w:r w:rsidRPr="00CB2FFC">
              <w:rPr>
                <w:b/>
              </w:rPr>
              <w:t>majority</w:t>
            </w:r>
            <w:r w:rsidRPr="00CB2FFC">
              <w:t xml:space="preserve"> of</w:t>
            </w:r>
            <w:proofErr w:type="gramEnd"/>
            <w:r w:rsidRPr="00CB2FFC">
              <w:t xml:space="preserve"> aspects below apply: </w:t>
            </w:r>
          </w:p>
          <w:p w14:paraId="2D9086B1" w14:textId="77777777" w:rsidR="00812F55" w:rsidRPr="00CB2FFC" w:rsidRDefault="00812F55" w:rsidP="00812F55">
            <w:pPr>
              <w:numPr>
                <w:ilvl w:val="0"/>
                <w:numId w:val="4"/>
              </w:numPr>
              <w:spacing w:after="0" w:line="240" w:lineRule="auto"/>
            </w:pPr>
            <w:r w:rsidRPr="00CB2FFC">
              <w:t>All information requested has been provided in full</w:t>
            </w:r>
          </w:p>
          <w:p w14:paraId="1C8BF7BD" w14:textId="77777777" w:rsidR="00812F55" w:rsidRPr="00CB2FFC" w:rsidRDefault="00812F55" w:rsidP="00812F55">
            <w:pPr>
              <w:numPr>
                <w:ilvl w:val="0"/>
                <w:numId w:val="4"/>
              </w:numPr>
              <w:spacing w:after="0" w:line="240" w:lineRule="auto"/>
            </w:pPr>
            <w:r w:rsidRPr="00CB2FFC">
              <w:t>The response clearly explains how outcomes will be met</w:t>
            </w:r>
          </w:p>
          <w:p w14:paraId="40ABD36B" w14:textId="77777777" w:rsidR="00812F55" w:rsidRPr="00CB2FFC" w:rsidRDefault="00812F55" w:rsidP="00812F55">
            <w:pPr>
              <w:numPr>
                <w:ilvl w:val="0"/>
                <w:numId w:val="4"/>
              </w:numPr>
              <w:spacing w:after="0" w:line="240" w:lineRule="auto"/>
            </w:pPr>
            <w:r w:rsidRPr="00CB2FFC">
              <w:t>The response reflects accepted good practice/has a strong evidence base</w:t>
            </w:r>
          </w:p>
          <w:p w14:paraId="1ADA8DD5" w14:textId="77777777" w:rsidR="00812F55" w:rsidRPr="00CB2FFC" w:rsidRDefault="00812F55" w:rsidP="00812F55">
            <w:pPr>
              <w:numPr>
                <w:ilvl w:val="0"/>
                <w:numId w:val="4"/>
              </w:numPr>
              <w:spacing w:after="0" w:line="240" w:lineRule="auto"/>
            </w:pPr>
            <w:r w:rsidRPr="00CB2FFC">
              <w:t>The response is well tailored to specific stakeholders and circumstances</w:t>
            </w:r>
          </w:p>
          <w:p w14:paraId="4D7FF5AD" w14:textId="77777777" w:rsidR="00812F55" w:rsidRPr="00CB2FFC" w:rsidRDefault="00812F55" w:rsidP="00812F55">
            <w:pPr>
              <w:numPr>
                <w:ilvl w:val="0"/>
                <w:numId w:val="4"/>
              </w:numPr>
              <w:spacing w:after="0" w:line="240" w:lineRule="auto"/>
            </w:pPr>
            <w:r w:rsidRPr="00CB2FFC">
              <w:t>The response offers good levels of detail, performance, expertise, outcome, supporting resources or other relevant characteristics</w:t>
            </w:r>
          </w:p>
          <w:p w14:paraId="4100CAC2" w14:textId="77777777" w:rsidR="00812F55" w:rsidRPr="00CB2FFC" w:rsidRDefault="00812F55" w:rsidP="00812F55">
            <w:pPr>
              <w:numPr>
                <w:ilvl w:val="0"/>
                <w:numId w:val="4"/>
              </w:numPr>
              <w:spacing w:after="0" w:line="240" w:lineRule="auto"/>
            </w:pPr>
            <w:r w:rsidRPr="00CB2FFC">
              <w:t>Supporting documents (where requested) are of good quality, relevant and of sufficient depth.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F574E" w14:textId="77777777" w:rsidR="00812F55" w:rsidRPr="00CB2FFC" w:rsidRDefault="00812F55" w:rsidP="007119DA">
            <w:pPr>
              <w:spacing w:after="0" w:line="240" w:lineRule="auto"/>
              <w:jc w:val="center"/>
            </w:pPr>
            <w:r w:rsidRPr="00CB2FFC">
              <w:t>4</w:t>
            </w:r>
          </w:p>
        </w:tc>
      </w:tr>
      <w:tr w:rsidR="00812F55" w:rsidRPr="00CB2FFC" w14:paraId="1FBACA1C" w14:textId="77777777" w:rsidTr="00A60252">
        <w:trPr>
          <w:cantSplit/>
        </w:trPr>
        <w:tc>
          <w:tcPr>
            <w:tcW w:w="9209" w:type="dxa"/>
            <w:tcBorders>
              <w:top w:val="single" w:sz="4" w:space="0" w:color="auto"/>
              <w:left w:val="single" w:sz="4" w:space="0" w:color="auto"/>
              <w:bottom w:val="single" w:sz="4" w:space="0" w:color="auto"/>
              <w:right w:val="single" w:sz="4" w:space="0" w:color="auto"/>
            </w:tcBorders>
            <w:shd w:val="clear" w:color="auto" w:fill="auto"/>
            <w:hideMark/>
          </w:tcPr>
          <w:p w14:paraId="147B7A5B" w14:textId="77777777" w:rsidR="00812F55" w:rsidRPr="00CB2FFC" w:rsidRDefault="00812F55" w:rsidP="007119DA">
            <w:pPr>
              <w:spacing w:after="0" w:line="240" w:lineRule="auto"/>
            </w:pPr>
            <w:r w:rsidRPr="00CB2FFC">
              <w:t>An excellent response with no weaknesses, that provides confidence that the project outcomes would be fully met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A383" w14:textId="77777777" w:rsidR="00812F55" w:rsidRPr="00CB2FFC" w:rsidRDefault="00812F55" w:rsidP="007119DA">
            <w:pPr>
              <w:spacing w:after="0" w:line="240" w:lineRule="auto"/>
              <w:jc w:val="center"/>
            </w:pPr>
            <w:r w:rsidRPr="00CB2FFC">
              <w:t>5</w:t>
            </w:r>
          </w:p>
        </w:tc>
      </w:tr>
    </w:tbl>
    <w:p w14:paraId="5BE84EC4" w14:textId="77777777" w:rsidR="00812F55" w:rsidRPr="00CB2FFC" w:rsidRDefault="00812F55" w:rsidP="004B511B">
      <w:pPr>
        <w:spacing w:before="120" w:after="120" w:line="276" w:lineRule="auto"/>
      </w:pPr>
    </w:p>
    <w:sectPr w:rsidR="00812F55" w:rsidRPr="00CB2FFC" w:rsidSect="009A658B">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3121A" w14:textId="77777777" w:rsidR="00EA3CA3" w:rsidRDefault="00EA3CA3" w:rsidP="004B511B">
      <w:pPr>
        <w:spacing w:after="0" w:line="240" w:lineRule="auto"/>
      </w:pPr>
      <w:r>
        <w:separator/>
      </w:r>
    </w:p>
  </w:endnote>
  <w:endnote w:type="continuationSeparator" w:id="0">
    <w:p w14:paraId="34EF5064" w14:textId="77777777" w:rsidR="00EA3CA3" w:rsidRDefault="00EA3CA3" w:rsidP="004B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B05CC" w14:textId="77777777" w:rsidR="00EA3CA3" w:rsidRDefault="00EA3CA3" w:rsidP="004B511B">
      <w:pPr>
        <w:spacing w:after="0" w:line="240" w:lineRule="auto"/>
      </w:pPr>
      <w:r>
        <w:separator/>
      </w:r>
    </w:p>
  </w:footnote>
  <w:footnote w:type="continuationSeparator" w:id="0">
    <w:p w14:paraId="55EE5396" w14:textId="77777777" w:rsidR="00EA3CA3" w:rsidRDefault="00EA3CA3" w:rsidP="004B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5F44" w14:textId="77777777" w:rsidR="004B511B" w:rsidRDefault="00AA184E">
    <w:pPr>
      <w:pStyle w:val="Header"/>
    </w:pPr>
    <w:r>
      <w:rPr>
        <w:rFonts w:ascii="Cambria" w:hAnsi="Cambria"/>
        <w:caps/>
        <w:noProof/>
        <w:sz w:val="19"/>
        <w:szCs w:val="19"/>
      </w:rPr>
      <w:drawing>
        <wp:inline distT="0" distB="0" distL="0" distR="0" wp14:anchorId="2C8BBFF5" wp14:editId="084FDD38">
          <wp:extent cx="36004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r w:rsidR="004B511B">
      <w:rPr>
        <w:noProof/>
      </w:rPr>
      <w:drawing>
        <wp:anchor distT="0" distB="0" distL="114300" distR="114300" simplePos="0" relativeHeight="251659264" behindDoc="1" locked="0" layoutInCell="1" allowOverlap="1" wp14:anchorId="7AE65E32" wp14:editId="72B88E7C">
          <wp:simplePos x="0" y="0"/>
          <wp:positionH relativeFrom="column">
            <wp:posOffset>5989320</wp:posOffset>
          </wp:positionH>
          <wp:positionV relativeFrom="paragraph">
            <wp:posOffset>-229235</wp:posOffset>
          </wp:positionV>
          <wp:extent cx="891540" cy="1014095"/>
          <wp:effectExtent l="0" t="0" r="3810" b="0"/>
          <wp:wrapTight wrapText="bothSides">
            <wp:wrapPolygon edited="0">
              <wp:start x="0" y="0"/>
              <wp:lineTo x="0" y="21100"/>
              <wp:lineTo x="21231" y="21100"/>
              <wp:lineTo x="21231" y="0"/>
              <wp:lineTo x="0" y="0"/>
            </wp:wrapPolygon>
          </wp:wrapTight>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A Logo. Red, with a white background.jpg"/>
                  <pic:cNvPicPr/>
                </pic:nvPicPr>
                <pic:blipFill rotWithShape="1">
                  <a:blip r:embed="rId2">
                    <a:extLst>
                      <a:ext uri="{28A0092B-C50C-407E-A947-70E740481C1C}">
                        <a14:useLocalDpi xmlns:a14="http://schemas.microsoft.com/office/drawing/2010/main" val="0"/>
                      </a:ext>
                    </a:extLst>
                  </a:blip>
                  <a:srcRect l="21981" t="14253" r="23068" b="23240"/>
                  <a:stretch/>
                </pic:blipFill>
                <pic:spPr bwMode="auto">
                  <a:xfrm>
                    <a:off x="0" y="0"/>
                    <a:ext cx="891540" cy="1014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5B9E"/>
    <w:multiLevelType w:val="hybridMultilevel"/>
    <w:tmpl w:val="30301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90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1977EC"/>
    <w:multiLevelType w:val="hybridMultilevel"/>
    <w:tmpl w:val="E11EF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C108C9"/>
    <w:multiLevelType w:val="hybridMultilevel"/>
    <w:tmpl w:val="8B62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BD716C"/>
    <w:multiLevelType w:val="hybridMultilevel"/>
    <w:tmpl w:val="0BB6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75009D"/>
    <w:multiLevelType w:val="hybridMultilevel"/>
    <w:tmpl w:val="583EC0DE"/>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2A9B2E93"/>
    <w:multiLevelType w:val="hybridMultilevel"/>
    <w:tmpl w:val="167E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809EA"/>
    <w:multiLevelType w:val="hybridMultilevel"/>
    <w:tmpl w:val="10B2EB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2EBA5023"/>
    <w:multiLevelType w:val="multilevel"/>
    <w:tmpl w:val="1B8079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60E07C6"/>
    <w:multiLevelType w:val="hybridMultilevel"/>
    <w:tmpl w:val="B568F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CE361F"/>
    <w:multiLevelType w:val="hybridMultilevel"/>
    <w:tmpl w:val="F26CA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F60B8F"/>
    <w:multiLevelType w:val="hybridMultilevel"/>
    <w:tmpl w:val="06F8CB64"/>
    <w:lvl w:ilvl="0" w:tplc="5D4A43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316BC"/>
    <w:multiLevelType w:val="hybridMultilevel"/>
    <w:tmpl w:val="A88203BE"/>
    <w:lvl w:ilvl="0" w:tplc="A808C6C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77E705B"/>
    <w:multiLevelType w:val="singleLevel"/>
    <w:tmpl w:val="08090017"/>
    <w:lvl w:ilvl="0">
      <w:start w:val="1"/>
      <w:numFmt w:val="lowerLetter"/>
      <w:lvlText w:val="%1)"/>
      <w:lvlJc w:val="left"/>
      <w:pPr>
        <w:ind w:left="360" w:hanging="360"/>
      </w:pPr>
    </w:lvl>
  </w:abstractNum>
  <w:abstractNum w:abstractNumId="16" w15:restartNumberingAfterBreak="0">
    <w:nsid w:val="4C7F695E"/>
    <w:multiLevelType w:val="hybridMultilevel"/>
    <w:tmpl w:val="FE06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22E16"/>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C5363"/>
    <w:multiLevelType w:val="hybridMultilevel"/>
    <w:tmpl w:val="06F8CB64"/>
    <w:lvl w:ilvl="0" w:tplc="5D4A434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A621A1"/>
    <w:multiLevelType w:val="hybridMultilevel"/>
    <w:tmpl w:val="9194791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0376C"/>
    <w:multiLevelType w:val="hybridMultilevel"/>
    <w:tmpl w:val="D92C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E9572E"/>
    <w:multiLevelType w:val="hybridMultilevel"/>
    <w:tmpl w:val="7C262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E70F5"/>
    <w:multiLevelType w:val="hybridMultilevel"/>
    <w:tmpl w:val="E7403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02695"/>
    <w:multiLevelType w:val="hybridMultilevel"/>
    <w:tmpl w:val="C3DA32B8"/>
    <w:lvl w:ilvl="0" w:tplc="20B04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0623B4"/>
    <w:multiLevelType w:val="hybridMultilevel"/>
    <w:tmpl w:val="E1449692"/>
    <w:lvl w:ilvl="0" w:tplc="8E84D00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4"/>
  </w:num>
  <w:num w:numId="3">
    <w:abstractNumId w:val="21"/>
  </w:num>
  <w:num w:numId="4">
    <w:abstractNumId w:val="14"/>
  </w:num>
  <w:num w:numId="5">
    <w:abstractNumId w:val="18"/>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3"/>
  </w:num>
  <w:num w:numId="9">
    <w:abstractNumId w:val="22"/>
  </w:num>
  <w:num w:numId="10">
    <w:abstractNumId w:val="13"/>
  </w:num>
  <w:num w:numId="11">
    <w:abstractNumId w:val="25"/>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num>
  <w:num w:numId="16">
    <w:abstractNumId w:val="6"/>
  </w:num>
  <w:num w:numId="17">
    <w:abstractNumId w:val="8"/>
  </w:num>
  <w:num w:numId="18">
    <w:abstractNumId w:val="17"/>
    <w:lvlOverride w:ilvl="0">
      <w:startOverride w:val="1"/>
    </w:lvlOverride>
  </w:num>
  <w:num w:numId="19">
    <w:abstractNumId w:val="15"/>
    <w:lvlOverride w:ilvl="0">
      <w:startOverride w:val="1"/>
    </w:lvlOverride>
  </w:num>
  <w:num w:numId="20">
    <w:abstractNumId w:val="16"/>
  </w:num>
  <w:num w:numId="21">
    <w:abstractNumId w:val="5"/>
  </w:num>
  <w:num w:numId="22">
    <w:abstractNumId w:val="10"/>
  </w:num>
  <w:num w:numId="23">
    <w:abstractNumId w:val="3"/>
  </w:num>
  <w:num w:numId="24">
    <w:abstractNumId w:val="11"/>
  </w:num>
  <w:num w:numId="25">
    <w:abstractNumId w:val="0"/>
  </w:num>
  <w:num w:numId="26">
    <w:abstractNumId w:val="7"/>
  </w:num>
  <w:num w:numId="27">
    <w:abstractNumId w:val="12"/>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68"/>
    <w:rsid w:val="0007493A"/>
    <w:rsid w:val="000906E4"/>
    <w:rsid w:val="001451CF"/>
    <w:rsid w:val="00172327"/>
    <w:rsid w:val="001F01FA"/>
    <w:rsid w:val="0025027A"/>
    <w:rsid w:val="002B598A"/>
    <w:rsid w:val="002E4261"/>
    <w:rsid w:val="00333FC2"/>
    <w:rsid w:val="0039639A"/>
    <w:rsid w:val="003A0097"/>
    <w:rsid w:val="003B7719"/>
    <w:rsid w:val="003D227F"/>
    <w:rsid w:val="003E11D0"/>
    <w:rsid w:val="004302F2"/>
    <w:rsid w:val="00442D6B"/>
    <w:rsid w:val="00453798"/>
    <w:rsid w:val="00463340"/>
    <w:rsid w:val="00465663"/>
    <w:rsid w:val="004B511B"/>
    <w:rsid w:val="004E176B"/>
    <w:rsid w:val="00515603"/>
    <w:rsid w:val="005E201B"/>
    <w:rsid w:val="00641DF6"/>
    <w:rsid w:val="00691D86"/>
    <w:rsid w:val="007119DA"/>
    <w:rsid w:val="00720C0E"/>
    <w:rsid w:val="007256AD"/>
    <w:rsid w:val="00733518"/>
    <w:rsid w:val="00764A9B"/>
    <w:rsid w:val="0076638C"/>
    <w:rsid w:val="00777B85"/>
    <w:rsid w:val="007B55E1"/>
    <w:rsid w:val="007F5114"/>
    <w:rsid w:val="00800576"/>
    <w:rsid w:val="00812F55"/>
    <w:rsid w:val="00815B1D"/>
    <w:rsid w:val="00832130"/>
    <w:rsid w:val="008C6382"/>
    <w:rsid w:val="008D0B7A"/>
    <w:rsid w:val="0090248E"/>
    <w:rsid w:val="00915A87"/>
    <w:rsid w:val="00970020"/>
    <w:rsid w:val="009A658B"/>
    <w:rsid w:val="009B4FA7"/>
    <w:rsid w:val="009D0996"/>
    <w:rsid w:val="00A37EBC"/>
    <w:rsid w:val="00A60252"/>
    <w:rsid w:val="00A60DC4"/>
    <w:rsid w:val="00A65A61"/>
    <w:rsid w:val="00A73CD8"/>
    <w:rsid w:val="00A876C7"/>
    <w:rsid w:val="00A92A7F"/>
    <w:rsid w:val="00AA184E"/>
    <w:rsid w:val="00AB0B70"/>
    <w:rsid w:val="00AD2551"/>
    <w:rsid w:val="00AE72DD"/>
    <w:rsid w:val="00B80ADE"/>
    <w:rsid w:val="00C05236"/>
    <w:rsid w:val="00C46525"/>
    <w:rsid w:val="00C55831"/>
    <w:rsid w:val="00C9566F"/>
    <w:rsid w:val="00CB2FFC"/>
    <w:rsid w:val="00CB543E"/>
    <w:rsid w:val="00D10B59"/>
    <w:rsid w:val="00D5041F"/>
    <w:rsid w:val="00E41D6A"/>
    <w:rsid w:val="00E553F4"/>
    <w:rsid w:val="00E75633"/>
    <w:rsid w:val="00EA3CA3"/>
    <w:rsid w:val="00EA3EE0"/>
    <w:rsid w:val="00EB1732"/>
    <w:rsid w:val="00EC4146"/>
    <w:rsid w:val="00F052E1"/>
    <w:rsid w:val="00F16668"/>
    <w:rsid w:val="00F555F5"/>
    <w:rsid w:val="00F55FA9"/>
    <w:rsid w:val="00F60890"/>
    <w:rsid w:val="00F960F3"/>
    <w:rsid w:val="00FA52CC"/>
    <w:rsid w:val="00FB6876"/>
    <w:rsid w:val="00FD5F20"/>
    <w:rsid w:val="00FE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163CA"/>
  <w15:chartTrackingRefBased/>
  <w15:docId w15:val="{A6B5A1F5-938B-4B53-8B39-56BF41FF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52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DC4"/>
    <w:rPr>
      <w:color w:val="0000FF"/>
      <w:u w:val="single"/>
    </w:rPr>
  </w:style>
  <w:style w:type="character" w:styleId="UnresolvedMention">
    <w:name w:val="Unresolved Mention"/>
    <w:basedOn w:val="DefaultParagraphFont"/>
    <w:uiPriority w:val="99"/>
    <w:semiHidden/>
    <w:unhideWhenUsed/>
    <w:rsid w:val="00A65A61"/>
    <w:rPr>
      <w:color w:val="808080"/>
      <w:shd w:val="clear" w:color="auto" w:fill="E6E6E6"/>
    </w:rPr>
  </w:style>
  <w:style w:type="paragraph" w:styleId="ListParagraph">
    <w:name w:val="List Paragraph"/>
    <w:basedOn w:val="Normal"/>
    <w:link w:val="ListParagraphChar"/>
    <w:uiPriority w:val="34"/>
    <w:qFormat/>
    <w:rsid w:val="00A876C7"/>
    <w:pPr>
      <w:ind w:left="720"/>
      <w:contextualSpacing/>
    </w:pPr>
  </w:style>
  <w:style w:type="character" w:customStyle="1" w:styleId="ListParagraphChar">
    <w:name w:val="List Paragraph Char"/>
    <w:link w:val="ListParagraph"/>
    <w:uiPriority w:val="34"/>
    <w:locked/>
    <w:rsid w:val="00A876C7"/>
  </w:style>
  <w:style w:type="paragraph" w:styleId="BalloonText">
    <w:name w:val="Balloon Text"/>
    <w:basedOn w:val="Normal"/>
    <w:link w:val="BalloonTextChar"/>
    <w:uiPriority w:val="99"/>
    <w:semiHidden/>
    <w:unhideWhenUsed/>
    <w:rsid w:val="00A87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6C7"/>
    <w:rPr>
      <w:rFonts w:ascii="Segoe UI" w:hAnsi="Segoe UI" w:cs="Segoe UI"/>
      <w:sz w:val="18"/>
      <w:szCs w:val="18"/>
    </w:rPr>
  </w:style>
  <w:style w:type="paragraph" w:customStyle="1" w:styleId="Default">
    <w:name w:val="Default"/>
    <w:rsid w:val="00E41D6A"/>
    <w:pPr>
      <w:autoSpaceDE w:val="0"/>
      <w:autoSpaceDN w:val="0"/>
      <w:adjustRightInd w:val="0"/>
      <w:spacing w:after="0" w:line="240" w:lineRule="auto"/>
    </w:pPr>
    <w:rPr>
      <w:rFonts w:ascii="HelveticaNeueLT Pro 45 Lt" w:hAnsi="HelveticaNeueLT Pro 45 Lt" w:cs="HelveticaNeueLT Pro 45 Lt"/>
      <w:color w:val="000000"/>
      <w:sz w:val="24"/>
      <w:szCs w:val="24"/>
    </w:rPr>
  </w:style>
  <w:style w:type="character" w:customStyle="1" w:styleId="A6">
    <w:name w:val="A6"/>
    <w:uiPriority w:val="99"/>
    <w:rsid w:val="00E41D6A"/>
    <w:rPr>
      <w:rFonts w:cs="HelveticaNeueLT Pro 45 Lt"/>
      <w:color w:val="000000"/>
      <w:sz w:val="22"/>
      <w:szCs w:val="22"/>
    </w:rPr>
  </w:style>
  <w:style w:type="character" w:styleId="Emphasis">
    <w:name w:val="Emphasis"/>
    <w:basedOn w:val="DefaultParagraphFont"/>
    <w:uiPriority w:val="20"/>
    <w:qFormat/>
    <w:rsid w:val="00733518"/>
    <w:rPr>
      <w:i/>
      <w:iCs/>
    </w:rPr>
  </w:style>
  <w:style w:type="paragraph" w:styleId="Header">
    <w:name w:val="header"/>
    <w:basedOn w:val="Normal"/>
    <w:link w:val="HeaderChar"/>
    <w:uiPriority w:val="99"/>
    <w:unhideWhenUsed/>
    <w:rsid w:val="004B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11B"/>
  </w:style>
  <w:style w:type="paragraph" w:styleId="Footer">
    <w:name w:val="footer"/>
    <w:basedOn w:val="Normal"/>
    <w:link w:val="FooterChar"/>
    <w:uiPriority w:val="99"/>
    <w:unhideWhenUsed/>
    <w:rsid w:val="004B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11B"/>
  </w:style>
  <w:style w:type="character" w:styleId="CommentReference">
    <w:name w:val="annotation reference"/>
    <w:basedOn w:val="DefaultParagraphFont"/>
    <w:uiPriority w:val="99"/>
    <w:semiHidden/>
    <w:unhideWhenUsed/>
    <w:rsid w:val="009D0996"/>
    <w:rPr>
      <w:sz w:val="16"/>
      <w:szCs w:val="16"/>
    </w:rPr>
  </w:style>
  <w:style w:type="paragraph" w:styleId="CommentText">
    <w:name w:val="annotation text"/>
    <w:basedOn w:val="Normal"/>
    <w:link w:val="CommentTextChar"/>
    <w:uiPriority w:val="99"/>
    <w:semiHidden/>
    <w:unhideWhenUsed/>
    <w:rsid w:val="009D0996"/>
    <w:pPr>
      <w:spacing w:line="240" w:lineRule="auto"/>
    </w:pPr>
    <w:rPr>
      <w:sz w:val="20"/>
      <w:szCs w:val="20"/>
    </w:rPr>
  </w:style>
  <w:style w:type="character" w:customStyle="1" w:styleId="CommentTextChar">
    <w:name w:val="Comment Text Char"/>
    <w:basedOn w:val="DefaultParagraphFont"/>
    <w:link w:val="CommentText"/>
    <w:uiPriority w:val="99"/>
    <w:semiHidden/>
    <w:rsid w:val="009D0996"/>
    <w:rPr>
      <w:sz w:val="20"/>
      <w:szCs w:val="20"/>
    </w:rPr>
  </w:style>
  <w:style w:type="paragraph" w:styleId="CommentSubject">
    <w:name w:val="annotation subject"/>
    <w:basedOn w:val="CommentText"/>
    <w:next w:val="CommentText"/>
    <w:link w:val="CommentSubjectChar"/>
    <w:uiPriority w:val="99"/>
    <w:semiHidden/>
    <w:unhideWhenUsed/>
    <w:rsid w:val="009D0996"/>
    <w:rPr>
      <w:b/>
      <w:bCs/>
    </w:rPr>
  </w:style>
  <w:style w:type="character" w:customStyle="1" w:styleId="CommentSubjectChar">
    <w:name w:val="Comment Subject Char"/>
    <w:basedOn w:val="CommentTextChar"/>
    <w:link w:val="CommentSubject"/>
    <w:uiPriority w:val="99"/>
    <w:semiHidden/>
    <w:rsid w:val="009D0996"/>
    <w:rPr>
      <w:b/>
      <w:bCs/>
      <w:sz w:val="20"/>
      <w:szCs w:val="20"/>
    </w:rPr>
  </w:style>
  <w:style w:type="paragraph" w:customStyle="1" w:styleId="Style3">
    <w:name w:val="Style3"/>
    <w:basedOn w:val="Heading2"/>
    <w:link w:val="Style3Char"/>
    <w:qFormat/>
    <w:rsid w:val="00F052E1"/>
    <w:pPr>
      <w:keepLines w:val="0"/>
      <w:numPr>
        <w:ilvl w:val="1"/>
        <w:numId w:val="15"/>
      </w:numPr>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709" w:hanging="709"/>
    </w:pPr>
    <w:rPr>
      <w:rFonts w:eastAsia="Times New Roman" w:cs="Arial"/>
      <w:spacing w:val="15"/>
    </w:rPr>
  </w:style>
  <w:style w:type="character" w:customStyle="1" w:styleId="Style3Char">
    <w:name w:val="Style3 Char"/>
    <w:basedOn w:val="Heading2Char"/>
    <w:link w:val="Style3"/>
    <w:rsid w:val="00F052E1"/>
    <w:rPr>
      <w:rFonts w:asciiTheme="majorHAnsi" w:eastAsia="Times New Roman" w:hAnsiTheme="majorHAnsi" w:cs="Arial"/>
      <w:color w:val="2F5496" w:themeColor="accent1" w:themeShade="BF"/>
      <w:spacing w:val="15"/>
      <w:sz w:val="26"/>
      <w:szCs w:val="26"/>
      <w:shd w:val="clear" w:color="auto" w:fill="DBE5F1"/>
    </w:rPr>
  </w:style>
  <w:style w:type="character" w:customStyle="1" w:styleId="Heading2Char">
    <w:name w:val="Heading 2 Char"/>
    <w:basedOn w:val="DefaultParagraphFont"/>
    <w:link w:val="Heading2"/>
    <w:uiPriority w:val="9"/>
    <w:semiHidden/>
    <w:rsid w:val="00F052E1"/>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B55E1"/>
    <w:rPr>
      <w:rFonts w:ascii="Times New Roman" w:hAnsi="Times New Roman" w:cs="Times New Roman" w:hint="default"/>
      <w:b/>
      <w:bCs/>
    </w:rPr>
  </w:style>
  <w:style w:type="character" w:customStyle="1" w:styleId="UnresolvedMention1">
    <w:name w:val="Unresolved Mention1"/>
    <w:basedOn w:val="DefaultParagraphFont"/>
    <w:uiPriority w:val="99"/>
    <w:semiHidden/>
    <w:unhideWhenUsed/>
    <w:rsid w:val="008C63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50543">
      <w:bodyDiv w:val="1"/>
      <w:marLeft w:val="0"/>
      <w:marRight w:val="0"/>
      <w:marTop w:val="0"/>
      <w:marBottom w:val="0"/>
      <w:divBdr>
        <w:top w:val="none" w:sz="0" w:space="0" w:color="auto"/>
        <w:left w:val="none" w:sz="0" w:space="0" w:color="auto"/>
        <w:bottom w:val="none" w:sz="0" w:space="0" w:color="auto"/>
        <w:right w:val="none" w:sz="0" w:space="0" w:color="auto"/>
      </w:divBdr>
    </w:div>
    <w:div w:id="378285145">
      <w:bodyDiv w:val="1"/>
      <w:marLeft w:val="0"/>
      <w:marRight w:val="0"/>
      <w:marTop w:val="0"/>
      <w:marBottom w:val="0"/>
      <w:divBdr>
        <w:top w:val="none" w:sz="0" w:space="0" w:color="auto"/>
        <w:left w:val="none" w:sz="0" w:space="0" w:color="auto"/>
        <w:bottom w:val="none" w:sz="0" w:space="0" w:color="auto"/>
        <w:right w:val="none" w:sz="0" w:space="0" w:color="auto"/>
      </w:divBdr>
    </w:div>
    <w:div w:id="512230415">
      <w:bodyDiv w:val="1"/>
      <w:marLeft w:val="0"/>
      <w:marRight w:val="0"/>
      <w:marTop w:val="0"/>
      <w:marBottom w:val="0"/>
      <w:divBdr>
        <w:top w:val="none" w:sz="0" w:space="0" w:color="auto"/>
        <w:left w:val="none" w:sz="0" w:space="0" w:color="auto"/>
        <w:bottom w:val="none" w:sz="0" w:space="0" w:color="auto"/>
        <w:right w:val="none" w:sz="0" w:space="0" w:color="auto"/>
      </w:divBdr>
    </w:div>
    <w:div w:id="675037100">
      <w:bodyDiv w:val="1"/>
      <w:marLeft w:val="0"/>
      <w:marRight w:val="0"/>
      <w:marTop w:val="0"/>
      <w:marBottom w:val="0"/>
      <w:divBdr>
        <w:top w:val="none" w:sz="0" w:space="0" w:color="auto"/>
        <w:left w:val="none" w:sz="0" w:space="0" w:color="auto"/>
        <w:bottom w:val="none" w:sz="0" w:space="0" w:color="auto"/>
        <w:right w:val="none" w:sz="0" w:space="0" w:color="auto"/>
      </w:divBdr>
    </w:div>
    <w:div w:id="792677083">
      <w:bodyDiv w:val="1"/>
      <w:marLeft w:val="0"/>
      <w:marRight w:val="0"/>
      <w:marTop w:val="0"/>
      <w:marBottom w:val="0"/>
      <w:divBdr>
        <w:top w:val="none" w:sz="0" w:space="0" w:color="auto"/>
        <w:left w:val="none" w:sz="0" w:space="0" w:color="auto"/>
        <w:bottom w:val="none" w:sz="0" w:space="0" w:color="auto"/>
        <w:right w:val="none" w:sz="0" w:space="0" w:color="auto"/>
      </w:divBdr>
    </w:div>
    <w:div w:id="943270967">
      <w:bodyDiv w:val="1"/>
      <w:marLeft w:val="0"/>
      <w:marRight w:val="0"/>
      <w:marTop w:val="0"/>
      <w:marBottom w:val="0"/>
      <w:divBdr>
        <w:top w:val="none" w:sz="0" w:space="0" w:color="auto"/>
        <w:left w:val="none" w:sz="0" w:space="0" w:color="auto"/>
        <w:bottom w:val="none" w:sz="0" w:space="0" w:color="auto"/>
        <w:right w:val="none" w:sz="0" w:space="0" w:color="auto"/>
      </w:divBdr>
    </w:div>
    <w:div w:id="1258635936">
      <w:bodyDiv w:val="1"/>
      <w:marLeft w:val="0"/>
      <w:marRight w:val="0"/>
      <w:marTop w:val="0"/>
      <w:marBottom w:val="0"/>
      <w:divBdr>
        <w:top w:val="none" w:sz="0" w:space="0" w:color="auto"/>
        <w:left w:val="none" w:sz="0" w:space="0" w:color="auto"/>
        <w:bottom w:val="none" w:sz="0" w:space="0" w:color="auto"/>
        <w:right w:val="none" w:sz="0" w:space="0" w:color="auto"/>
      </w:divBdr>
    </w:div>
    <w:div w:id="1321345264">
      <w:bodyDiv w:val="1"/>
      <w:marLeft w:val="0"/>
      <w:marRight w:val="0"/>
      <w:marTop w:val="0"/>
      <w:marBottom w:val="0"/>
      <w:divBdr>
        <w:top w:val="none" w:sz="0" w:space="0" w:color="auto"/>
        <w:left w:val="none" w:sz="0" w:space="0" w:color="auto"/>
        <w:bottom w:val="none" w:sz="0" w:space="0" w:color="auto"/>
        <w:right w:val="none" w:sz="0" w:space="0" w:color="auto"/>
      </w:divBdr>
    </w:div>
    <w:div w:id="1670671378">
      <w:bodyDiv w:val="1"/>
      <w:marLeft w:val="0"/>
      <w:marRight w:val="0"/>
      <w:marTop w:val="0"/>
      <w:marBottom w:val="0"/>
      <w:divBdr>
        <w:top w:val="none" w:sz="0" w:space="0" w:color="auto"/>
        <w:left w:val="none" w:sz="0" w:space="0" w:color="auto"/>
        <w:bottom w:val="none" w:sz="0" w:space="0" w:color="auto"/>
        <w:right w:val="none" w:sz="0" w:space="0" w:color="auto"/>
      </w:divBdr>
    </w:div>
    <w:div w:id="1796101863">
      <w:bodyDiv w:val="1"/>
      <w:marLeft w:val="0"/>
      <w:marRight w:val="0"/>
      <w:marTop w:val="0"/>
      <w:marBottom w:val="0"/>
      <w:divBdr>
        <w:top w:val="none" w:sz="0" w:space="0" w:color="auto"/>
        <w:left w:val="none" w:sz="0" w:space="0" w:color="auto"/>
        <w:bottom w:val="none" w:sz="0" w:space="0" w:color="auto"/>
        <w:right w:val="none" w:sz="0" w:space="0" w:color="auto"/>
      </w:divBdr>
    </w:div>
    <w:div w:id="1806851813">
      <w:bodyDiv w:val="1"/>
      <w:marLeft w:val="0"/>
      <w:marRight w:val="0"/>
      <w:marTop w:val="0"/>
      <w:marBottom w:val="0"/>
      <w:divBdr>
        <w:top w:val="none" w:sz="0" w:space="0" w:color="auto"/>
        <w:left w:val="none" w:sz="0" w:space="0" w:color="auto"/>
        <w:bottom w:val="none" w:sz="0" w:space="0" w:color="auto"/>
        <w:right w:val="none" w:sz="0" w:space="0" w:color="auto"/>
      </w:divBdr>
    </w:div>
    <w:div w:id="2099672200">
      <w:bodyDiv w:val="1"/>
      <w:marLeft w:val="0"/>
      <w:marRight w:val="0"/>
      <w:marTop w:val="0"/>
      <w:marBottom w:val="0"/>
      <w:divBdr>
        <w:top w:val="none" w:sz="0" w:space="0" w:color="auto"/>
        <w:left w:val="none" w:sz="0" w:space="0" w:color="auto"/>
        <w:bottom w:val="none" w:sz="0" w:space="0" w:color="auto"/>
        <w:right w:val="none" w:sz="0" w:space="0" w:color="auto"/>
      </w:divBdr>
    </w:div>
    <w:div w:id="21465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58582/Social_Mobility_Delivery_Plan_Norwich_v6__FINAL_.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urcingteam@nor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urcingteam@norfolk.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cqueline.Bircham@newanglia.co.uk" TargetMode="External"/><Relationship Id="rId4" Type="http://schemas.openxmlformats.org/officeDocument/2006/relationships/settings" Target="settings.xml"/><Relationship Id="rId9" Type="http://schemas.openxmlformats.org/officeDocument/2006/relationships/hyperlink" Target="mailto:Claire.sparrow@newanglia.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C475-8494-4105-B177-E6A07E95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Bircham</dc:creator>
  <cp:keywords/>
  <dc:description/>
  <cp:lastModifiedBy>Southgate, Annie</cp:lastModifiedBy>
  <cp:revision>6</cp:revision>
  <cp:lastPrinted>2018-08-01T10:18:00Z</cp:lastPrinted>
  <dcterms:created xsi:type="dcterms:W3CDTF">2018-08-01T10:08:00Z</dcterms:created>
  <dcterms:modified xsi:type="dcterms:W3CDTF">2018-08-01T11:20:00Z</dcterms:modified>
</cp:coreProperties>
</file>