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3 (Insurance Requirements)</w:t>
      </w:r>
    </w:p>
    <w:p w:rsidR="00000000" w:rsidDel="00000000" w:rsidP="00000000" w:rsidRDefault="00000000" w:rsidRPr="00000000" w14:paraId="00000002">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The insurance you need to have</w:t>
      </w:r>
      <w:r w:rsidDel="00000000" w:rsidR="00000000" w:rsidRPr="00000000">
        <w:rPr>
          <w:rtl w:val="0"/>
        </w:rPr>
      </w:r>
    </w:p>
    <w:p w:rsidR="00000000" w:rsidDel="00000000" w:rsidP="00000000" w:rsidRDefault="00000000" w:rsidRPr="00000000" w14:paraId="0000000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color w:val="000000"/>
          <w:sz w:val="24"/>
          <w:szCs w:val="24"/>
          <w:rtl w:val="0"/>
        </w:rPr>
        <w:t xml:space="preserve">Additional Insurances</w:t>
      </w:r>
      <w:r w:rsidDel="00000000" w:rsidR="00000000" w:rsidRPr="00000000">
        <w:rPr>
          <w:rFonts w:ascii="Arial" w:cs="Arial" w:eastAsia="Arial" w:hAnsi="Arial"/>
          <w:color w:val="000000"/>
          <w:sz w:val="24"/>
          <w:szCs w:val="24"/>
          <w:rtl w:val="0"/>
        </w:rPr>
        <w:t xml:space="preserve">") and any other insurances as may be required by applicable Law (together the “</w:t>
      </w:r>
      <w:r w:rsidDel="00000000" w:rsidR="00000000" w:rsidRPr="00000000">
        <w:rPr>
          <w:rFonts w:ascii="Arial" w:cs="Arial" w:eastAsia="Arial" w:hAnsi="Arial"/>
          <w:b w:val="1"/>
          <w:color w:val="000000"/>
          <w:sz w:val="24"/>
          <w:szCs w:val="24"/>
          <w:rtl w:val="0"/>
        </w:rPr>
        <w:t xml:space="preserve">Insurances</w:t>
      </w:r>
      <w:r w:rsidDel="00000000" w:rsidR="00000000" w:rsidRPr="00000000">
        <w:rPr>
          <w:rFonts w:ascii="Arial" w:cs="Arial" w:eastAsia="Arial" w:hAnsi="Arial"/>
          <w:color w:val="000000"/>
          <w:sz w:val="24"/>
          <w:szCs w:val="24"/>
          <w:rtl w:val="0"/>
        </w:rPr>
        <w:t xml:space="preserve">”).  The Supplier shall ensure that each of the Insurances is effective no later than: </w:t>
      </w:r>
    </w:p>
    <w:p w:rsidR="00000000" w:rsidDel="00000000" w:rsidP="00000000" w:rsidRDefault="00000000" w:rsidRPr="00000000" w14:paraId="00000004">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Effective Date in respect of the Additional Insurances.</w:t>
      </w:r>
    </w:p>
    <w:p w:rsidR="00000000" w:rsidDel="00000000" w:rsidP="00000000" w:rsidRDefault="00000000" w:rsidRPr="00000000" w14:paraId="00000006">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shall be: </w:t>
      </w:r>
    </w:p>
    <w:p w:rsidR="00000000" w:rsidDel="00000000" w:rsidP="00000000" w:rsidRDefault="00000000" w:rsidRPr="00000000" w14:paraId="00000007">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in accordance with Good Industry Practice; </w:t>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maintained for at least six (6) years after the End Date.</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to manage the insurance</w:t>
      </w:r>
      <w:r w:rsidDel="00000000" w:rsidR="00000000" w:rsidRPr="00000000">
        <w:rPr>
          <w:rtl w:val="0"/>
        </w:rPr>
      </w:r>
    </w:p>
    <w:p w:rsidR="00000000" w:rsidDel="00000000" w:rsidP="00000000" w:rsidRDefault="00000000" w:rsidRPr="00000000" w14:paraId="0000000D">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limiting the other provisions of this Contract, the Supplier shall:</w:t>
      </w:r>
    </w:p>
    <w:p w:rsidR="00000000" w:rsidDel="00000000" w:rsidP="00000000" w:rsidRDefault="00000000" w:rsidRPr="00000000" w14:paraId="0000000E">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happens if you aren’t insured</w:t>
      </w:r>
      <w:r w:rsidDel="00000000" w:rsidR="00000000" w:rsidRPr="00000000">
        <w:rPr>
          <w:rtl w:val="0"/>
        </w:rPr>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Evidence of insurance you must provide</w:t>
      </w:r>
      <w:r w:rsidDel="00000000" w:rsidR="00000000" w:rsidRPr="00000000">
        <w:rPr>
          <w:rtl w:val="0"/>
        </w:rPr>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mallCaps w:val="1"/>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Cancelled Insurance</w:t>
      </w: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Insurance claims</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any Insurance requires payment of a premium, the Supplier shall be liable for and shall promptly pay such premium.</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20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Rule="auto"/>
        <w:ind w:left="648" w:hanging="576"/>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 REQUIRED INSURANCES</w:t>
      </w:r>
    </w:p>
    <w:p w:rsidR="00000000" w:rsidDel="00000000" w:rsidP="00000000" w:rsidRDefault="00000000" w:rsidRPr="00000000" w14:paraId="00000021">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smallCaps w:val="1"/>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shall hold the following [standard] insurance cover from the Framework Start Date in accordance with this Schedule:</w:t>
      </w:r>
      <w:r w:rsidDel="00000000" w:rsidR="00000000" w:rsidRPr="00000000">
        <w:rPr>
          <w:rtl w:val="0"/>
        </w:rPr>
      </w:r>
    </w:p>
    <w:bookmarkStart w:colFirst="0" w:colLast="0" w:name="bookmark=id.1fob9te" w:id="2"/>
    <w:bookmarkEnd w:id="2"/>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professional indemnity insurance [with cover (for a single event or a series of related events and in the aggregate) of not less than] ten million pounds (£10,000,000); </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public liability insurance [with cover (for a single event or a series of related events and in the aggregate)] of not less than ten million pounds (£10,000,000); and</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liability insurance [with cover (for a single event or a series of related events and in the aggregate) of not less than] ten million pounds (£10,000,000).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rFonts w:ascii="Arial" w:cs="Arial" w:eastAsia="Arial" w:hAnsi="Arial"/>
          <w:smallCaps w:val="1"/>
          <w:color w:val="000000"/>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Guidance:</w:t>
      </w:r>
      <w:r w:rsidDel="00000000" w:rsidR="00000000" w:rsidRPr="00000000">
        <w:rPr>
          <w:rFonts w:ascii="Arial" w:cs="Arial" w:eastAsia="Arial" w:hAnsi="Arial"/>
          <w:color w:val="000000"/>
          <w:sz w:val="24"/>
          <w:szCs w:val="24"/>
          <w:rtl w:val="0"/>
        </w:rPr>
        <w:t xml:space="preserve"> adjust the above as required for your procurement and add any other insurance required for the framework tender. Note that this is not the place for Additional Insurances – they are specified in the Order Form by the Buyer]</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2D">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3 (Insurance Requirements)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3 (Insurance Requirements) – Contract Reference: </w:t>
    </w:r>
    <w:r w:rsidDel="00000000" w:rsidR="00000000" w:rsidRPr="00000000">
      <w:rPr>
        <w:rFonts w:ascii="Arial" w:cs="Arial" w:eastAsia="Arial" w:hAnsi="Arial"/>
        <w:b w:val="1"/>
        <w:sz w:val="20"/>
        <w:szCs w:val="20"/>
        <w:rtl w:val="0"/>
      </w:rPr>
      <w:t xml:space="preserve">C23780/</w:t>
    </w:r>
    <w:r w:rsidDel="00000000" w:rsidR="00000000" w:rsidRPr="00000000">
      <w:rPr>
        <w:rFonts w:ascii="Roboto" w:cs="Roboto" w:eastAsia="Roboto" w:hAnsi="Roboto"/>
        <w:b w:val="1"/>
        <w:color w:val="181818"/>
        <w:sz w:val="20"/>
        <w:szCs w:val="20"/>
        <w:highlight w:val="white"/>
        <w:rtl w:val="0"/>
      </w:rPr>
      <w:t xml:space="preserve">CCFU23A01</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d3rw9Zvm1OCZCZIbfhEBZ72lw==">CgMxLjAyCGguZ2pkZ3hzMgloLjMwajB6bGwyCmlkLjFmb2I5dGUyCWguM3pueXNoNzgAciExR2lJdXRwSVNsMVlzMjRxUnZ1eDFpcUdicl9pcGxfMkM=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