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3DAEFE9A"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40055D" w:rsidRPr="0040055D">
        <w:t>RSSB2660 - T1137 Electrical and Data Control Compatibility between Trains</w:t>
      </w:r>
    </w:p>
    <w:p w14:paraId="367CB7EE" w14:textId="73683531" w:rsidR="00E52B87" w:rsidRPr="00E52B87" w:rsidRDefault="00E52B87" w:rsidP="00E52B87">
      <w:pPr>
        <w:pStyle w:val="CoverTitle"/>
      </w:pPr>
    </w:p>
    <w:p w14:paraId="69A8EB25" w14:textId="0765C9E2" w:rsidR="00E52B87" w:rsidRPr="00E52B87" w:rsidRDefault="00E52B87" w:rsidP="00E52B87">
      <w:pPr>
        <w:pStyle w:val="CoverSubTitle"/>
      </w:pPr>
      <w:r w:rsidRPr="00E52B87">
        <w:t xml:space="preserve">Deadline: </w:t>
      </w:r>
      <w:r w:rsidR="005356EB">
        <w:t xml:space="preserve">Friday </w:t>
      </w:r>
      <w:r w:rsidR="0040055D">
        <w:t>24</w:t>
      </w:r>
      <w:r w:rsidR="00FD1FB6" w:rsidRPr="00FD1FB6">
        <w:rPr>
          <w:vertAlign w:val="superscript"/>
        </w:rPr>
        <w:t>th</w:t>
      </w:r>
      <w:r w:rsidR="0040055D">
        <w:t xml:space="preserve"> November</w:t>
      </w:r>
      <w:r w:rsidR="006D1C93">
        <w:t xml:space="preserve"> </w:t>
      </w:r>
      <w:r w:rsidR="002A7571">
        <w:t>201</w:t>
      </w:r>
      <w:r w:rsidR="00833C7A">
        <w:t>7</w:t>
      </w:r>
      <w:r w:rsidRPr="00E52B87">
        <w:t xml:space="preserve"> </w:t>
      </w:r>
    </w:p>
    <w:p w14:paraId="1051D870" w14:textId="3C68D3F2" w:rsidR="00E52B87" w:rsidRPr="00E52B87" w:rsidRDefault="00E52B87" w:rsidP="00E52B87">
      <w:pPr>
        <w:pStyle w:val="CoverSubTitle"/>
      </w:pPr>
      <w:r w:rsidRPr="00E52B87">
        <w:t>ITT Reference</w:t>
      </w:r>
      <w:r w:rsidR="0040055D" w:rsidRPr="0040055D">
        <w:t xml:space="preserve"> RSSB2660 - T1137 Electrical and Data Control Compatibility between Trains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40055D" w14:paraId="18F61032" w14:textId="77777777" w:rsidTr="0040055D">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BBC8777" w14:textId="77777777" w:rsidR="0040055D" w:rsidRDefault="0040055D">
            <w:pPr>
              <w:spacing w:before="120" w:after="120"/>
              <w:rPr>
                <w:rFonts w:ascii="Calibri" w:hAnsi="Calibri" w:cs="Calibri"/>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AA5E2AF" w14:textId="77777777" w:rsidR="0040055D" w:rsidRDefault="0040055D">
            <w:pPr>
              <w:spacing w:before="120" w:after="120"/>
              <w:jc w:val="center"/>
              <w:rPr>
                <w:b/>
                <w:bCs/>
              </w:rPr>
            </w:pPr>
            <w:r>
              <w:rPr>
                <w:b/>
                <w:bCs/>
              </w:rPr>
              <w:t>Start Date</w:t>
            </w:r>
          </w:p>
        </w:tc>
      </w:tr>
      <w:tr w:rsidR="0040055D" w14:paraId="0692BF98" w14:textId="77777777" w:rsidTr="0040055D">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2D7FF9E" w14:textId="77777777" w:rsidR="0040055D" w:rsidRDefault="0040055D">
            <w:pPr>
              <w:spacing w:before="120" w:after="120"/>
              <w:jc w:val="both"/>
            </w:pPr>
            <w:r>
              <w:t xml:space="preserve">Expression of interest meeting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237625BE" w14:textId="77777777" w:rsidR="0040055D" w:rsidRDefault="0040055D">
            <w:pPr>
              <w:spacing w:before="120" w:after="120"/>
            </w:pPr>
            <w:r>
              <w:t>Not Applicable</w:t>
            </w:r>
          </w:p>
        </w:tc>
      </w:tr>
      <w:tr w:rsidR="0040055D" w14:paraId="2F38DB5C" w14:textId="77777777" w:rsidTr="0040055D">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6CCEE54" w14:textId="77777777" w:rsidR="0040055D" w:rsidRDefault="0040055D">
            <w:pPr>
              <w:spacing w:before="120" w:after="120"/>
              <w:jc w:val="both"/>
            </w:pPr>
            <w: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3EDFEAA0" w14:textId="77777777" w:rsidR="0040055D" w:rsidRDefault="0040055D">
            <w:pPr>
              <w:spacing w:before="120" w:after="120"/>
            </w:pPr>
            <w:r>
              <w:t>16/10/2017</w:t>
            </w:r>
          </w:p>
        </w:tc>
      </w:tr>
      <w:tr w:rsidR="0040055D" w14:paraId="057DF007" w14:textId="77777777" w:rsidTr="0040055D">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3442D18" w14:textId="77777777" w:rsidR="0040055D" w:rsidRDefault="0040055D">
            <w:pPr>
              <w:spacing w:before="120"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982AEEF" w14:textId="77777777" w:rsidR="0040055D" w:rsidRDefault="0040055D">
            <w:pPr>
              <w:spacing w:before="120" w:after="120"/>
            </w:pPr>
            <w:r>
              <w:t>17/11/2017</w:t>
            </w:r>
          </w:p>
        </w:tc>
      </w:tr>
      <w:tr w:rsidR="0040055D" w14:paraId="1161A87E" w14:textId="77777777" w:rsidTr="0040055D">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B6DF0EB" w14:textId="77777777" w:rsidR="0040055D" w:rsidRDefault="0040055D">
            <w:pPr>
              <w:spacing w:before="120" w:after="120"/>
              <w:jc w:val="both"/>
              <w:rPr>
                <w:b/>
                <w:bCs/>
                <w:color w:val="FF0000"/>
              </w:rPr>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3C03FEF" w14:textId="77777777" w:rsidR="0040055D" w:rsidRDefault="0040055D">
            <w:pPr>
              <w:spacing w:before="120" w:after="120"/>
              <w:rPr>
                <w:b/>
                <w:bCs/>
                <w:color w:val="FF0000"/>
              </w:rPr>
            </w:pPr>
            <w:r>
              <w:rPr>
                <w:b/>
                <w:bCs/>
                <w:color w:val="FF0000"/>
              </w:rPr>
              <w:t>24/11/2017 17:00 hours</w:t>
            </w:r>
          </w:p>
        </w:tc>
      </w:tr>
      <w:tr w:rsidR="0040055D" w14:paraId="3B97F883" w14:textId="77777777" w:rsidTr="0040055D">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A899621" w14:textId="77777777" w:rsidR="0040055D" w:rsidRDefault="0040055D">
            <w:pPr>
              <w:spacing w:before="120" w:after="120"/>
              <w:jc w:val="both"/>
            </w:pPr>
            <w: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3B515E35" w14:textId="77777777" w:rsidR="0040055D" w:rsidRDefault="0040055D">
            <w:pPr>
              <w:spacing w:before="120" w:after="120"/>
            </w:pPr>
            <w:r>
              <w:t>W/C 27/11/2017</w:t>
            </w:r>
          </w:p>
        </w:tc>
      </w:tr>
      <w:tr w:rsidR="0040055D" w14:paraId="51CAB524" w14:textId="77777777" w:rsidTr="0040055D">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0258A96" w14:textId="77777777" w:rsidR="0040055D" w:rsidRDefault="0040055D">
            <w:pPr>
              <w:spacing w:before="120"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B4283E5" w14:textId="77777777" w:rsidR="0040055D" w:rsidRDefault="0040055D">
            <w:pPr>
              <w:spacing w:before="120" w:after="120"/>
            </w:pPr>
            <w:r>
              <w:t>W/C 11/12/2017</w:t>
            </w:r>
          </w:p>
        </w:tc>
      </w:tr>
      <w:tr w:rsidR="0040055D" w14:paraId="6C0B62E1" w14:textId="77777777" w:rsidTr="0040055D">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89414D2" w14:textId="77777777" w:rsidR="0040055D" w:rsidRDefault="0040055D">
            <w:pPr>
              <w:spacing w:before="120"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3EFA7F7" w14:textId="44B5E954" w:rsidR="0040055D" w:rsidRDefault="0040055D">
            <w:pPr>
              <w:spacing w:before="120" w:after="120"/>
            </w:pPr>
            <w:r>
              <w:t xml:space="preserve">W/C </w:t>
            </w:r>
            <w:r w:rsidR="00C713E4">
              <w:t>08/01/2018</w:t>
            </w:r>
            <w:bookmarkStart w:id="2" w:name="_GoBack"/>
            <w:bookmarkEnd w:id="2"/>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08CE1FB" w14:textId="1313C9B5" w:rsidR="0040055D" w:rsidRDefault="000140D4" w:rsidP="0040055D">
      <w:pPr>
        <w:pStyle w:val="Heading1"/>
        <w:numPr>
          <w:ilvl w:val="0"/>
          <w:numId w:val="0"/>
        </w:numPr>
        <w:ind w:left="-993"/>
      </w:pPr>
      <w:r>
        <w:lastRenderedPageBreak/>
        <w:t xml:space="preserve">7.0 TENDER EVALUATION </w:t>
      </w:r>
      <w:r w:rsidRPr="00E52B87">
        <w:t>(</w:t>
      </w:r>
      <w:r>
        <w:t>SELECTION CRITERIA)</w:t>
      </w:r>
    </w:p>
    <w:p w14:paraId="792DDCDF" w14:textId="1A3DA2A9" w:rsidR="0040055D" w:rsidRDefault="0040055D" w:rsidP="0040055D">
      <w:pPr>
        <w:pStyle w:val="Body"/>
      </w:pPr>
    </w:p>
    <w:tbl>
      <w:tblPr>
        <w:tblStyle w:val="TableGrid"/>
        <w:tblW w:w="4763" w:type="pct"/>
        <w:tblInd w:w="-714" w:type="dxa"/>
        <w:tblLook w:val="04A0" w:firstRow="1" w:lastRow="0" w:firstColumn="1" w:lastColumn="0" w:noHBand="0" w:noVBand="1"/>
      </w:tblPr>
      <w:tblGrid>
        <w:gridCol w:w="2277"/>
        <w:gridCol w:w="2596"/>
        <w:gridCol w:w="9161"/>
      </w:tblGrid>
      <w:tr w:rsidR="0040055D" w:rsidRPr="00A073A1" w14:paraId="41C23B10" w14:textId="77777777" w:rsidTr="0040055D">
        <w:trPr>
          <w:trHeight w:val="876"/>
        </w:trPr>
        <w:tc>
          <w:tcPr>
            <w:tcW w:w="811" w:type="pct"/>
            <w:hideMark/>
          </w:tcPr>
          <w:p w14:paraId="19DEE61A" w14:textId="77777777" w:rsidR="0040055D" w:rsidRPr="00A073A1" w:rsidRDefault="0040055D" w:rsidP="0040055D">
            <w:pPr>
              <w:spacing w:after="120" w:line="300" w:lineRule="exact"/>
              <w:rPr>
                <w:rFonts w:asciiTheme="minorHAnsi" w:hAnsiTheme="minorHAnsi" w:cs="Arial"/>
                <w:b/>
              </w:rPr>
            </w:pPr>
            <w:r>
              <w:rPr>
                <w:rFonts w:asciiTheme="minorHAnsi" w:hAnsiTheme="minorHAnsi" w:cs="Arial"/>
                <w:b/>
              </w:rPr>
              <w:t>Heading</w:t>
            </w:r>
          </w:p>
        </w:tc>
        <w:tc>
          <w:tcPr>
            <w:tcW w:w="925" w:type="pct"/>
            <w:hideMark/>
          </w:tcPr>
          <w:p w14:paraId="172E2BCB" w14:textId="77777777" w:rsidR="0040055D" w:rsidRPr="00A073A1" w:rsidRDefault="0040055D" w:rsidP="0040055D">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3264" w:type="pct"/>
            <w:hideMark/>
          </w:tcPr>
          <w:p w14:paraId="6152D500" w14:textId="77777777" w:rsidR="0040055D" w:rsidRPr="00A073A1" w:rsidRDefault="0040055D" w:rsidP="0040055D">
            <w:pPr>
              <w:spacing w:after="120" w:line="300" w:lineRule="exact"/>
              <w:rPr>
                <w:rFonts w:asciiTheme="minorHAnsi" w:hAnsiTheme="minorHAnsi" w:cs="Arial"/>
                <w:b/>
              </w:rPr>
            </w:pPr>
            <w:r w:rsidRPr="00A073A1">
              <w:rPr>
                <w:rFonts w:asciiTheme="minorHAnsi" w:hAnsiTheme="minorHAnsi" w:cs="Arial"/>
                <w:b/>
              </w:rPr>
              <w:t>Evaluation Criteria</w:t>
            </w:r>
          </w:p>
        </w:tc>
      </w:tr>
      <w:tr w:rsidR="0040055D" w:rsidRPr="00047991" w14:paraId="3E907786" w14:textId="77777777" w:rsidTr="0040055D">
        <w:trPr>
          <w:trHeight w:val="724"/>
        </w:trPr>
        <w:tc>
          <w:tcPr>
            <w:tcW w:w="811" w:type="pct"/>
            <w:hideMark/>
          </w:tcPr>
          <w:p w14:paraId="5360BB63" w14:textId="77777777" w:rsidR="0040055D" w:rsidRPr="00A073A1" w:rsidRDefault="0040055D" w:rsidP="0040055D">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 xml:space="preserve">supplier in rolling stock modifications </w:t>
            </w:r>
          </w:p>
        </w:tc>
        <w:tc>
          <w:tcPr>
            <w:tcW w:w="925" w:type="pct"/>
            <w:hideMark/>
          </w:tcPr>
          <w:p w14:paraId="4101B85B" w14:textId="77777777" w:rsidR="0040055D" w:rsidRPr="00A073A1" w:rsidRDefault="0040055D" w:rsidP="0040055D">
            <w:pPr>
              <w:spacing w:after="120" w:line="300" w:lineRule="exact"/>
              <w:rPr>
                <w:rFonts w:asciiTheme="minorHAnsi" w:hAnsiTheme="minorHAnsi" w:cs="Arial"/>
              </w:rPr>
            </w:pPr>
            <w:r>
              <w:rPr>
                <w:rFonts w:asciiTheme="minorHAnsi" w:hAnsiTheme="minorHAnsi" w:cs="Arial"/>
              </w:rPr>
              <w:t>Provide a short description of two</w:t>
            </w:r>
            <w:r w:rsidRPr="00A073A1">
              <w:rPr>
                <w:rFonts w:asciiTheme="minorHAnsi" w:hAnsiTheme="minorHAnsi" w:cs="Arial"/>
              </w:rPr>
              <w:t xml:space="preserve"> projects</w:t>
            </w:r>
            <w:r>
              <w:rPr>
                <w:rFonts w:asciiTheme="minorHAnsi" w:hAnsiTheme="minorHAnsi" w:cs="Arial"/>
              </w:rPr>
              <w:t>, delivered in the last 5 years, which involved rolling stock modifications. Briefly explain why they are relevant to our needs. (Max 1 page)</w:t>
            </w:r>
          </w:p>
        </w:tc>
        <w:tc>
          <w:tcPr>
            <w:tcW w:w="3264" w:type="pct"/>
            <w:hideMark/>
          </w:tcPr>
          <w:p w14:paraId="7A0A4A68" w14:textId="77777777" w:rsidR="0040055D" w:rsidRPr="00047991" w:rsidRDefault="0040055D" w:rsidP="0040055D">
            <w:pPr>
              <w:spacing w:after="120" w:line="300" w:lineRule="exact"/>
              <w:rPr>
                <w:rFonts w:asciiTheme="minorHAnsi" w:hAnsiTheme="minorHAnsi" w:cs="Arial"/>
                <w:b/>
              </w:rPr>
            </w:pPr>
            <w:r w:rsidRPr="00047991">
              <w:rPr>
                <w:rFonts w:asciiTheme="minorHAnsi" w:hAnsiTheme="minorHAnsi" w:cs="Arial"/>
                <w:b/>
              </w:rPr>
              <w:t>Pass/Fail</w:t>
            </w:r>
          </w:p>
          <w:p w14:paraId="77D55F54" w14:textId="77777777" w:rsidR="0040055D" w:rsidRDefault="0040055D" w:rsidP="0040055D">
            <w:pPr>
              <w:spacing w:after="120" w:line="300" w:lineRule="exact"/>
              <w:rPr>
                <w:rFonts w:asciiTheme="minorHAnsi" w:hAnsiTheme="minorHAnsi" w:cs="Arial"/>
              </w:rPr>
            </w:pPr>
            <w:r w:rsidRPr="00047991">
              <w:rPr>
                <w:rFonts w:asciiTheme="minorHAnsi" w:hAnsiTheme="minorHAnsi" w:cs="Arial"/>
                <w:b/>
              </w:rPr>
              <w:t>Pass =</w:t>
            </w:r>
            <w:r>
              <w:rPr>
                <w:rFonts w:asciiTheme="minorHAnsi" w:hAnsiTheme="minorHAnsi" w:cs="Arial"/>
              </w:rPr>
              <w:t xml:space="preserve"> The supplier has provided a short description of at least two projects, delivered in the last 5 years, with both projects being involved with rolling stock modifications. Further the supplier has briefly explained why the two aforementioned projects are relevant to RSSB’s needs.</w:t>
            </w:r>
          </w:p>
          <w:p w14:paraId="4FB71AEB" w14:textId="77777777" w:rsidR="0040055D" w:rsidRPr="00047991" w:rsidRDefault="0040055D" w:rsidP="0040055D">
            <w:pPr>
              <w:spacing w:after="120" w:line="300" w:lineRule="exact"/>
              <w:ind w:right="317"/>
              <w:rPr>
                <w:rFonts w:asciiTheme="minorHAnsi" w:hAnsiTheme="minorHAnsi" w:cs="Arial"/>
              </w:rPr>
            </w:pPr>
            <w:r w:rsidRPr="00047991">
              <w:rPr>
                <w:rFonts w:asciiTheme="minorHAnsi" w:hAnsiTheme="minorHAnsi" w:cs="Arial"/>
                <w:b/>
              </w:rPr>
              <w:t>Fail</w:t>
            </w:r>
            <w:r>
              <w:rPr>
                <w:rFonts w:asciiTheme="minorHAnsi" w:hAnsiTheme="minorHAnsi" w:cs="Arial"/>
                <w:b/>
              </w:rPr>
              <w:t xml:space="preserve"> = </w:t>
            </w:r>
            <w:r>
              <w:rPr>
                <w:rFonts w:asciiTheme="minorHAnsi" w:hAnsiTheme="minorHAnsi" w:cs="Arial"/>
              </w:rPr>
              <w:t xml:space="preserve">The supplier has either not provided a short description of at least two projects, delivered in the last 5 years, with both projects being involved in rolling stock modification or the supplier has not briefly explained as to why these are relevant to RSSB’s needs or has not done so to a degree of quality that satisfies RSSB so that the supplier can deliver the required work. </w:t>
            </w:r>
          </w:p>
        </w:tc>
      </w:tr>
      <w:tr w:rsidR="0040055D" w:rsidRPr="000F4D99" w14:paraId="64F4A06C" w14:textId="77777777" w:rsidTr="0040055D">
        <w:trPr>
          <w:trHeight w:val="724"/>
        </w:trPr>
        <w:tc>
          <w:tcPr>
            <w:tcW w:w="811" w:type="pct"/>
            <w:hideMark/>
          </w:tcPr>
          <w:p w14:paraId="47461477" w14:textId="77777777" w:rsidR="0040055D" w:rsidRPr="00A073A1" w:rsidRDefault="0040055D" w:rsidP="0040055D">
            <w:pPr>
              <w:spacing w:after="120" w:line="300" w:lineRule="exact"/>
              <w:rPr>
                <w:rFonts w:asciiTheme="minorHAnsi" w:hAnsiTheme="minorHAnsi" w:cs="Arial"/>
              </w:rPr>
            </w:pPr>
            <w:r w:rsidRPr="00A073A1">
              <w:rPr>
                <w:rFonts w:asciiTheme="minorHAnsi" w:hAnsiTheme="minorHAnsi" w:cs="Arial"/>
              </w:rPr>
              <w:t xml:space="preserve">S2 Experience of the </w:t>
            </w:r>
            <w:r>
              <w:rPr>
                <w:rFonts w:asciiTheme="minorHAnsi" w:hAnsiTheme="minorHAnsi" w:cs="Arial"/>
              </w:rPr>
              <w:t>supplier in defining rail technical requirements</w:t>
            </w:r>
          </w:p>
        </w:tc>
        <w:tc>
          <w:tcPr>
            <w:tcW w:w="925" w:type="pct"/>
            <w:hideMark/>
          </w:tcPr>
          <w:p w14:paraId="668BE954" w14:textId="77777777" w:rsidR="0040055D" w:rsidRPr="00A073A1" w:rsidRDefault="0040055D" w:rsidP="0040055D">
            <w:pPr>
              <w:spacing w:after="120" w:line="300" w:lineRule="exact"/>
              <w:rPr>
                <w:rFonts w:asciiTheme="minorHAnsi" w:hAnsiTheme="minorHAnsi" w:cs="Arial"/>
              </w:rPr>
            </w:pPr>
            <w:r>
              <w:rPr>
                <w:rFonts w:asciiTheme="minorHAnsi" w:hAnsiTheme="minorHAnsi" w:cs="Arial"/>
              </w:rPr>
              <w:t>Provide a short description of two</w:t>
            </w:r>
            <w:r w:rsidRPr="00A073A1">
              <w:rPr>
                <w:rFonts w:asciiTheme="minorHAnsi" w:hAnsiTheme="minorHAnsi" w:cs="Arial"/>
              </w:rPr>
              <w:t xml:space="preserve"> </w:t>
            </w:r>
            <w:r>
              <w:rPr>
                <w:rFonts w:asciiTheme="minorHAnsi" w:hAnsiTheme="minorHAnsi" w:cs="Arial"/>
              </w:rPr>
              <w:t>projects, delivered in the last 5 years, which involved the creation of industry technical requirements. Briefly explain why they are relevant to our needs and resulted in the requirements being adopted. (Max 1 page)</w:t>
            </w:r>
          </w:p>
        </w:tc>
        <w:tc>
          <w:tcPr>
            <w:tcW w:w="3264" w:type="pct"/>
            <w:hideMark/>
          </w:tcPr>
          <w:p w14:paraId="20831C07" w14:textId="77777777" w:rsidR="0040055D" w:rsidRDefault="0040055D" w:rsidP="0040055D">
            <w:pPr>
              <w:spacing w:after="120" w:line="300" w:lineRule="exact"/>
              <w:rPr>
                <w:rFonts w:asciiTheme="minorHAnsi" w:hAnsiTheme="minorHAnsi" w:cs="Arial"/>
                <w:b/>
              </w:rPr>
            </w:pPr>
            <w:r w:rsidRPr="00DA2343">
              <w:rPr>
                <w:rFonts w:asciiTheme="minorHAnsi" w:hAnsiTheme="minorHAnsi" w:cs="Arial"/>
                <w:b/>
              </w:rPr>
              <w:t>Pass/Fail</w:t>
            </w:r>
          </w:p>
          <w:p w14:paraId="60D6EA38" w14:textId="77777777" w:rsidR="0040055D" w:rsidRDefault="0040055D" w:rsidP="0040055D">
            <w:pPr>
              <w:spacing w:after="120" w:line="300" w:lineRule="exact"/>
              <w:rPr>
                <w:rFonts w:asciiTheme="minorHAnsi" w:hAnsiTheme="minorHAnsi" w:cs="Arial"/>
              </w:rPr>
            </w:pPr>
            <w:r>
              <w:rPr>
                <w:rFonts w:asciiTheme="minorHAnsi" w:hAnsiTheme="minorHAnsi" w:cs="Arial"/>
                <w:b/>
              </w:rPr>
              <w:t xml:space="preserve">Pass = </w:t>
            </w:r>
            <w:r>
              <w:rPr>
                <w:rFonts w:asciiTheme="minorHAnsi" w:hAnsiTheme="minorHAnsi" w:cs="Arial"/>
              </w:rPr>
              <w:t>The supplier has provided a short description of two projects, delivered in the last 5 years, which involved the creation of industry technical requirements. Further the supplier briefly explains why these are relevant to RSSB’s needs and resulted in the requirements being adopted.</w:t>
            </w:r>
          </w:p>
          <w:p w14:paraId="4918E5DC" w14:textId="77777777" w:rsidR="0040055D" w:rsidRDefault="0040055D" w:rsidP="0040055D">
            <w:pPr>
              <w:spacing w:after="120" w:line="300" w:lineRule="exact"/>
              <w:ind w:right="743"/>
              <w:rPr>
                <w:rFonts w:asciiTheme="minorHAnsi" w:hAnsiTheme="minorHAnsi" w:cs="Arial"/>
              </w:rPr>
            </w:pPr>
            <w:r w:rsidRPr="000F4D99">
              <w:rPr>
                <w:rFonts w:asciiTheme="minorHAnsi" w:hAnsiTheme="minorHAnsi" w:cs="Arial"/>
                <w:b/>
              </w:rPr>
              <w:t>Fail =</w:t>
            </w:r>
            <w:r>
              <w:rPr>
                <w:rFonts w:asciiTheme="minorHAnsi" w:hAnsiTheme="minorHAnsi" w:cs="Arial"/>
              </w:rPr>
              <w:t xml:space="preserve"> The supplier has not provided  a short description of two projects, delivered in the last 5 years, which involved the creation of industry technical requirements or the supplier has not briefly explained as to why these are relevant to RSSB’S needs, or neither of the two projects has resulted in the requirements being adopted or the  supplier has not done so to a degree of quality that satisfies RSSB so that the supplier can deliver the required work.</w:t>
            </w:r>
          </w:p>
          <w:p w14:paraId="39DD6482" w14:textId="77777777" w:rsidR="0040055D" w:rsidRDefault="0040055D" w:rsidP="0040055D">
            <w:pPr>
              <w:spacing w:after="120" w:line="300" w:lineRule="exact"/>
              <w:rPr>
                <w:rFonts w:asciiTheme="minorHAnsi" w:hAnsiTheme="minorHAnsi" w:cs="Arial"/>
              </w:rPr>
            </w:pPr>
          </w:p>
          <w:p w14:paraId="6DF0314B" w14:textId="77777777" w:rsidR="0040055D" w:rsidRDefault="0040055D" w:rsidP="0040055D">
            <w:pPr>
              <w:spacing w:after="120" w:line="300" w:lineRule="exact"/>
              <w:rPr>
                <w:rFonts w:asciiTheme="minorHAnsi" w:hAnsiTheme="minorHAnsi" w:cs="Arial"/>
              </w:rPr>
            </w:pPr>
          </w:p>
          <w:p w14:paraId="2FE45098" w14:textId="0A5159D7" w:rsidR="0040055D" w:rsidRPr="000F4D99" w:rsidRDefault="0040055D" w:rsidP="0040055D">
            <w:pPr>
              <w:spacing w:after="120" w:line="300" w:lineRule="exact"/>
              <w:rPr>
                <w:rFonts w:asciiTheme="minorHAnsi" w:hAnsiTheme="minorHAnsi" w:cs="Arial"/>
              </w:rPr>
            </w:pPr>
          </w:p>
        </w:tc>
      </w:tr>
      <w:tr w:rsidR="0040055D" w:rsidRPr="000F4D99" w14:paraId="7B8E5FB4" w14:textId="77777777" w:rsidTr="0040055D">
        <w:trPr>
          <w:trHeight w:val="724"/>
        </w:trPr>
        <w:tc>
          <w:tcPr>
            <w:tcW w:w="811" w:type="pct"/>
          </w:tcPr>
          <w:p w14:paraId="17BB3AD6" w14:textId="77777777" w:rsidR="0040055D" w:rsidRPr="00A073A1" w:rsidRDefault="0040055D" w:rsidP="0040055D">
            <w:pPr>
              <w:spacing w:after="120" w:line="300" w:lineRule="exact"/>
              <w:rPr>
                <w:rFonts w:asciiTheme="minorHAnsi" w:hAnsiTheme="minorHAnsi" w:cs="Arial"/>
              </w:rPr>
            </w:pPr>
            <w:r w:rsidRPr="00915BD3">
              <w:rPr>
                <w:rFonts w:asciiTheme="minorHAnsi" w:hAnsiTheme="minorHAnsi" w:cs="Arial"/>
              </w:rPr>
              <w:lastRenderedPageBreak/>
              <w:t xml:space="preserve">S3 </w:t>
            </w:r>
            <w:r>
              <w:rPr>
                <w:rFonts w:asciiTheme="minorHAnsi" w:hAnsiTheme="minorHAnsi" w:cs="Arial"/>
              </w:rPr>
              <w:t>E</w:t>
            </w:r>
            <w:r w:rsidRPr="00915BD3">
              <w:rPr>
                <w:rFonts w:asciiTheme="minorHAnsi" w:hAnsiTheme="minorHAnsi" w:cs="Arial"/>
              </w:rPr>
              <w:t xml:space="preserve">xperience of </w:t>
            </w:r>
            <w:r>
              <w:rPr>
                <w:rFonts w:asciiTheme="minorHAnsi" w:hAnsiTheme="minorHAnsi" w:cs="Arial"/>
              </w:rPr>
              <w:t>the supplier in specifying data protocols for rolling stock</w:t>
            </w:r>
          </w:p>
        </w:tc>
        <w:tc>
          <w:tcPr>
            <w:tcW w:w="925" w:type="pct"/>
          </w:tcPr>
          <w:p w14:paraId="04CCD0EE" w14:textId="77777777" w:rsidR="0040055D" w:rsidRDefault="0040055D" w:rsidP="0040055D">
            <w:pPr>
              <w:spacing w:after="120" w:line="300" w:lineRule="exact"/>
              <w:rPr>
                <w:rFonts w:asciiTheme="minorHAnsi" w:hAnsiTheme="minorHAnsi" w:cs="Arial"/>
              </w:rPr>
            </w:pPr>
            <w:r>
              <w:rPr>
                <w:rFonts w:asciiTheme="minorHAnsi" w:hAnsiTheme="minorHAnsi" w:cs="Arial"/>
              </w:rPr>
              <w:t>Provide a short description of two projects, delivered in the last 5 years, which involved an expertise in data transmission. (Max 1 page)</w:t>
            </w:r>
          </w:p>
          <w:p w14:paraId="4077DBE1" w14:textId="77777777" w:rsidR="0040055D" w:rsidRDefault="0040055D" w:rsidP="0040055D">
            <w:pPr>
              <w:spacing w:after="120" w:line="300" w:lineRule="exact"/>
              <w:rPr>
                <w:rFonts w:asciiTheme="minorHAnsi" w:hAnsiTheme="minorHAnsi" w:cs="Arial"/>
              </w:rPr>
            </w:pPr>
          </w:p>
        </w:tc>
        <w:tc>
          <w:tcPr>
            <w:tcW w:w="3264" w:type="pct"/>
          </w:tcPr>
          <w:p w14:paraId="513B2107" w14:textId="77777777" w:rsidR="0040055D" w:rsidRDefault="0040055D" w:rsidP="0040055D">
            <w:pPr>
              <w:spacing w:after="120" w:line="300" w:lineRule="exact"/>
              <w:rPr>
                <w:rFonts w:asciiTheme="minorHAnsi" w:hAnsiTheme="minorHAnsi" w:cs="Arial"/>
                <w:b/>
              </w:rPr>
            </w:pPr>
            <w:r w:rsidRPr="000F4D99">
              <w:rPr>
                <w:rFonts w:asciiTheme="minorHAnsi" w:hAnsiTheme="minorHAnsi" w:cs="Arial"/>
                <w:b/>
              </w:rPr>
              <w:t>Pass/Fail</w:t>
            </w:r>
          </w:p>
          <w:p w14:paraId="646EDEA9" w14:textId="77777777" w:rsidR="0040055D" w:rsidRDefault="0040055D" w:rsidP="0040055D">
            <w:pPr>
              <w:spacing w:after="120" w:line="300" w:lineRule="exact"/>
              <w:rPr>
                <w:rFonts w:asciiTheme="minorHAnsi" w:hAnsiTheme="minorHAnsi" w:cs="Arial"/>
              </w:rPr>
            </w:pPr>
            <w:r>
              <w:rPr>
                <w:rFonts w:asciiTheme="minorHAnsi" w:hAnsiTheme="minorHAnsi" w:cs="Arial"/>
                <w:b/>
              </w:rPr>
              <w:t xml:space="preserve">Pass = </w:t>
            </w:r>
            <w:r>
              <w:rPr>
                <w:rFonts w:asciiTheme="minorHAnsi" w:hAnsiTheme="minorHAnsi" w:cs="Arial"/>
              </w:rPr>
              <w:t>The supplier has provided a short description of two projects, delivered in the last 5 years, which involved the utilisation of expertise in data transmission.</w:t>
            </w:r>
          </w:p>
          <w:p w14:paraId="0C60E06D" w14:textId="77777777" w:rsidR="0040055D" w:rsidRPr="000F4D99" w:rsidRDefault="0040055D" w:rsidP="0040055D">
            <w:pPr>
              <w:spacing w:after="120" w:line="300" w:lineRule="exact"/>
              <w:rPr>
                <w:rFonts w:asciiTheme="minorHAnsi" w:hAnsiTheme="minorHAnsi" w:cs="Arial"/>
              </w:rPr>
            </w:pPr>
            <w:r w:rsidRPr="000F4D99">
              <w:rPr>
                <w:rFonts w:asciiTheme="minorHAnsi" w:hAnsiTheme="minorHAnsi" w:cs="Arial"/>
                <w:b/>
              </w:rPr>
              <w:t xml:space="preserve">Fail = </w:t>
            </w:r>
            <w:r>
              <w:rPr>
                <w:rFonts w:asciiTheme="minorHAnsi" w:hAnsiTheme="minorHAnsi" w:cs="Arial"/>
                <w:b/>
              </w:rPr>
              <w:t xml:space="preserve"> </w:t>
            </w:r>
            <w:r>
              <w:rPr>
                <w:rFonts w:asciiTheme="minorHAnsi" w:hAnsiTheme="minorHAnsi" w:cs="Arial"/>
              </w:rPr>
              <w:t>The  supplier has not provided a short description of at least two projects, delivered in the last 5 years which involved the utilisation of expertise in data transmission or the  supplier has not done so to a degree of quality that satisfies RSSB so that the supplier can deliver the required work.</w:t>
            </w:r>
          </w:p>
        </w:tc>
      </w:tr>
    </w:tbl>
    <w:p w14:paraId="52966B1B" w14:textId="77777777" w:rsidR="0040055D" w:rsidRDefault="0040055D" w:rsidP="009437FF">
      <w:pPr>
        <w:pStyle w:val="Body"/>
        <w:rPr>
          <w:rFonts w:asciiTheme="minorHAnsi" w:hAnsiTheme="minorHAnsi"/>
        </w:rPr>
        <w:sectPr w:rsidR="0040055D" w:rsidSect="0040055D">
          <w:pgSz w:w="16838" w:h="11906" w:orient="landscape"/>
          <w:pgMar w:top="426" w:right="536"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77334D7A"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Quality 80%: Price 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841"/>
        <w:gridCol w:w="3674"/>
        <w:gridCol w:w="943"/>
      </w:tblGrid>
      <w:tr w:rsidR="008A35A4" w:rsidRPr="008A35A4" w14:paraId="4F16C8B1" w14:textId="77777777" w:rsidTr="008A35A4">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62399F" w14:textId="77777777" w:rsidR="008A35A4" w:rsidRPr="008A35A4" w:rsidRDefault="008A35A4" w:rsidP="00414D35">
            <w:pPr>
              <w:spacing w:after="120" w:line="300" w:lineRule="exact"/>
              <w:rPr>
                <w:rFonts w:asciiTheme="minorHAnsi" w:hAnsiTheme="minorHAnsi" w:cs="Arial"/>
                <w:b/>
                <w:sz w:val="24"/>
                <w:szCs w:val="24"/>
              </w:rPr>
            </w:pPr>
            <w:r w:rsidRPr="008A35A4">
              <w:rPr>
                <w:rFonts w:asciiTheme="minorHAnsi" w:hAnsiTheme="minorHAnsi" w:cs="Arial"/>
                <w:b/>
                <w:sz w:val="24"/>
                <w:szCs w:val="24"/>
              </w:rPr>
              <w:t>Heading</w:t>
            </w:r>
          </w:p>
        </w:tc>
        <w:tc>
          <w:tcPr>
            <w:tcW w:w="15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49885E" w14:textId="77777777" w:rsidR="008A35A4" w:rsidRPr="008A35A4" w:rsidRDefault="008A35A4" w:rsidP="00414D35">
            <w:pPr>
              <w:spacing w:after="120" w:line="300" w:lineRule="exact"/>
              <w:rPr>
                <w:rFonts w:asciiTheme="minorHAnsi" w:hAnsiTheme="minorHAnsi" w:cs="Arial"/>
                <w:b/>
                <w:sz w:val="24"/>
                <w:szCs w:val="24"/>
              </w:rPr>
            </w:pPr>
            <w:r w:rsidRPr="008A35A4">
              <w:rPr>
                <w:rFonts w:asciiTheme="minorHAnsi" w:hAnsiTheme="minorHAnsi" w:cs="Arial"/>
                <w:b/>
                <w:sz w:val="24"/>
                <w:szCs w:val="24"/>
              </w:rPr>
              <w:t>Specific question(s)</w:t>
            </w:r>
          </w:p>
        </w:tc>
        <w:tc>
          <w:tcPr>
            <w:tcW w:w="20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013E84" w14:textId="77777777" w:rsidR="008A35A4" w:rsidRPr="008A35A4" w:rsidRDefault="008A35A4" w:rsidP="00414D35">
            <w:pPr>
              <w:spacing w:after="120" w:line="300" w:lineRule="exact"/>
              <w:rPr>
                <w:rFonts w:asciiTheme="minorHAnsi" w:hAnsiTheme="minorHAnsi" w:cs="Arial"/>
                <w:b/>
                <w:sz w:val="24"/>
                <w:szCs w:val="24"/>
              </w:rPr>
            </w:pPr>
            <w:r w:rsidRPr="008A35A4">
              <w:rPr>
                <w:rFonts w:asciiTheme="minorHAnsi" w:hAnsiTheme="minorHAnsi" w:cs="Arial"/>
                <w:b/>
                <w:sz w:val="24"/>
                <w:szCs w:val="24"/>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C8028D" w14:textId="77777777" w:rsidR="008A35A4" w:rsidRPr="008A35A4" w:rsidRDefault="008A35A4" w:rsidP="00414D35">
            <w:pPr>
              <w:spacing w:after="120" w:line="300" w:lineRule="exact"/>
              <w:rPr>
                <w:rFonts w:asciiTheme="minorHAnsi" w:hAnsiTheme="minorHAnsi" w:cs="Arial"/>
                <w:b/>
                <w:sz w:val="24"/>
                <w:szCs w:val="24"/>
              </w:rPr>
            </w:pPr>
            <w:r w:rsidRPr="008A35A4">
              <w:rPr>
                <w:rFonts w:asciiTheme="minorHAnsi" w:hAnsiTheme="minorHAnsi" w:cs="Arial"/>
                <w:b/>
                <w:sz w:val="24"/>
                <w:szCs w:val="24"/>
              </w:rPr>
              <w:t xml:space="preserve">Weight </w:t>
            </w:r>
          </w:p>
        </w:tc>
      </w:tr>
      <w:tr w:rsidR="008A35A4" w:rsidRPr="008A35A4" w14:paraId="028F230D" w14:textId="77777777" w:rsidTr="008A35A4">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1E16AD"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A1 Knowledge and expertise of subject area (Max 4 pages)</w:t>
            </w:r>
          </w:p>
        </w:tc>
        <w:tc>
          <w:tcPr>
            <w:tcW w:w="15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58C5A8"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Knowledge and expertise of the rail coupling, including data and power transmission.</w:t>
            </w:r>
          </w:p>
        </w:tc>
        <w:tc>
          <w:tcPr>
            <w:tcW w:w="20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A3C3ED"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The Tenderer’s response includes:</w:t>
            </w:r>
          </w:p>
          <w:p w14:paraId="4AA04BB7" w14:textId="77777777" w:rsidR="008A35A4" w:rsidRPr="008A35A4" w:rsidRDefault="008A35A4" w:rsidP="009E2DEF">
            <w:pPr>
              <w:pStyle w:val="ListParagraph"/>
              <w:numPr>
                <w:ilvl w:val="0"/>
                <w:numId w:val="42"/>
              </w:numPr>
              <w:spacing w:after="120" w:line="300" w:lineRule="exact"/>
              <w:rPr>
                <w:rFonts w:asciiTheme="minorHAnsi" w:hAnsiTheme="minorHAnsi"/>
              </w:rPr>
            </w:pPr>
            <w:r w:rsidRPr="008A35A4">
              <w:rPr>
                <w:rFonts w:asciiTheme="minorHAnsi" w:hAnsiTheme="minorHAnsi"/>
              </w:rPr>
              <w:t xml:space="preserve">Evidence of project experience, knowledge and expertise in the subject area </w:t>
            </w:r>
          </w:p>
          <w:p w14:paraId="0285858C" w14:textId="77777777" w:rsidR="008A35A4" w:rsidRPr="008A35A4" w:rsidRDefault="008A35A4" w:rsidP="009E2DEF">
            <w:pPr>
              <w:pStyle w:val="ListParagraph"/>
              <w:numPr>
                <w:ilvl w:val="0"/>
                <w:numId w:val="42"/>
              </w:numPr>
              <w:spacing w:after="120" w:line="300" w:lineRule="exact"/>
              <w:rPr>
                <w:rFonts w:asciiTheme="minorHAnsi" w:hAnsiTheme="minorHAnsi"/>
              </w:rPr>
            </w:pPr>
            <w:r w:rsidRPr="008A35A4">
              <w:rPr>
                <w:rFonts w:asciiTheme="minorHAnsi" w:hAnsiTheme="minorHAnsi"/>
              </w:rPr>
              <w:t>Description of how it will be applied to this project</w:t>
            </w:r>
          </w:p>
          <w:p w14:paraId="57610C12" w14:textId="77777777" w:rsidR="008A35A4" w:rsidRPr="008A35A4" w:rsidRDefault="008A35A4" w:rsidP="009E2DEF">
            <w:pPr>
              <w:pStyle w:val="ListParagraph"/>
              <w:numPr>
                <w:ilvl w:val="0"/>
                <w:numId w:val="42"/>
              </w:numPr>
              <w:spacing w:after="120" w:line="300" w:lineRule="exact"/>
              <w:rPr>
                <w:rFonts w:asciiTheme="minorHAnsi" w:hAnsiTheme="minorHAnsi"/>
              </w:rPr>
            </w:pPr>
            <w:r w:rsidRPr="008A35A4">
              <w:rPr>
                <w:rFonts w:asciiTheme="minorHAnsi" w:hAnsiTheme="minorHAnsi"/>
              </w:rPr>
              <w:t>Describes how the tenderer through its knowledge and expertise will add value to the project</w:t>
            </w:r>
          </w:p>
          <w:p w14:paraId="411901EE" w14:textId="77777777" w:rsidR="008A35A4" w:rsidRPr="008A35A4" w:rsidRDefault="008A35A4" w:rsidP="00414D35">
            <w:pPr>
              <w:pStyle w:val="ListParagraph"/>
              <w:spacing w:after="120" w:line="300" w:lineRule="exact"/>
              <w:ind w:left="360"/>
              <w:rPr>
                <w:rFonts w:asciiTheme="minorHAnsi" w:hAnsiTheme="minorHAnsi"/>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6BEDCF"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20%</w:t>
            </w:r>
          </w:p>
        </w:tc>
      </w:tr>
      <w:tr w:rsidR="008A35A4" w:rsidRPr="008A35A4" w14:paraId="2678E29B" w14:textId="77777777" w:rsidTr="008A35A4">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405F25"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A2 Robust methodology and ability to apply it to client’s needs (Max 5 pages)</w:t>
            </w:r>
          </w:p>
        </w:tc>
        <w:tc>
          <w:tcPr>
            <w:tcW w:w="15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8EFBD6"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xml:space="preserve">What is your proposed methodology? How will the project tasks be split? How will quality be assured and outputs checked? How will the results be presented in a way that achieves the aims of the research? </w:t>
            </w:r>
          </w:p>
          <w:p w14:paraId="50603914" w14:textId="77777777" w:rsidR="008A35A4" w:rsidRPr="008A35A4" w:rsidRDefault="008A35A4" w:rsidP="00414D35">
            <w:pPr>
              <w:pStyle w:val="CommentText"/>
              <w:rPr>
                <w:rFonts w:asciiTheme="minorHAnsi" w:hAnsiTheme="minorHAnsi"/>
                <w:sz w:val="24"/>
                <w:szCs w:val="24"/>
              </w:rPr>
            </w:pPr>
          </w:p>
          <w:p w14:paraId="167A832B" w14:textId="77777777" w:rsidR="008A35A4" w:rsidRPr="008A35A4" w:rsidRDefault="008A35A4" w:rsidP="00414D35">
            <w:pPr>
              <w:spacing w:after="120" w:line="300" w:lineRule="exact"/>
              <w:rPr>
                <w:rFonts w:asciiTheme="minorHAnsi" w:hAnsiTheme="minorHAnsi" w:cs="Arial"/>
                <w:sz w:val="24"/>
                <w:szCs w:val="24"/>
              </w:rPr>
            </w:pPr>
          </w:p>
        </w:tc>
        <w:tc>
          <w:tcPr>
            <w:tcW w:w="20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06C65C"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The Tenderer’s response shows that it:</w:t>
            </w:r>
          </w:p>
          <w:p w14:paraId="1FF4AB0A"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Has understood the requirements</w:t>
            </w:r>
          </w:p>
          <w:p w14:paraId="08525C9A"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Has proposed a credible and sound methodology</w:t>
            </w:r>
          </w:p>
          <w:p w14:paraId="5AB73BBD"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Has described how this will be applied to the specific challenges the work is set up to cover</w:t>
            </w:r>
          </w:p>
          <w:p w14:paraId="427B998D"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Understands the project tasks</w:t>
            </w:r>
          </w:p>
          <w:p w14:paraId="1ABE9289"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Explains to a high degree how the project tasks will be split</w:t>
            </w:r>
          </w:p>
          <w:p w14:paraId="1C086338"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 Has challenged the technical aspects of the specification, where there is potential to enhance the outcomes of the project</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D31FD5"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30%</w:t>
            </w:r>
          </w:p>
        </w:tc>
      </w:tr>
      <w:tr w:rsidR="008A35A4" w:rsidRPr="008A35A4" w14:paraId="68DEFFE0" w14:textId="77777777" w:rsidTr="008A35A4">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9A1EF1"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A3 Project Delivery: resources, budget, t (Max 10 pages)</w:t>
            </w:r>
          </w:p>
        </w:tc>
        <w:tc>
          <w:tcPr>
            <w:tcW w:w="15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A1B3BA"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Provide adequate allocation of appropriate resources against deliverables.</w:t>
            </w:r>
          </w:p>
          <w:p w14:paraId="1378DEE8"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How will you work with RSSB to ensure the quality and the content of the deliverables is fit for purpose?</w:t>
            </w:r>
          </w:p>
          <w:p w14:paraId="1F0C392F" w14:textId="77777777" w:rsidR="008A35A4" w:rsidRPr="008A35A4" w:rsidRDefault="008A35A4" w:rsidP="00414D35">
            <w:pPr>
              <w:spacing w:after="120" w:line="300" w:lineRule="exact"/>
              <w:rPr>
                <w:rFonts w:asciiTheme="minorHAnsi" w:hAnsiTheme="minorHAnsi" w:cs="Arial"/>
                <w:sz w:val="24"/>
                <w:szCs w:val="24"/>
              </w:rPr>
            </w:pPr>
          </w:p>
        </w:tc>
        <w:tc>
          <w:tcPr>
            <w:tcW w:w="20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A7DD1"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lastRenderedPageBreak/>
              <w:t>The Tenderer’s response shows that it</w:t>
            </w:r>
          </w:p>
          <w:p w14:paraId="4EB9882D" w14:textId="77777777" w:rsidR="008A35A4" w:rsidRPr="008A35A4" w:rsidRDefault="008A35A4" w:rsidP="009E2DEF">
            <w:pPr>
              <w:pStyle w:val="ListParagraph"/>
              <w:numPr>
                <w:ilvl w:val="0"/>
                <w:numId w:val="43"/>
              </w:numPr>
              <w:spacing w:after="120" w:line="300" w:lineRule="exact"/>
              <w:rPr>
                <w:rFonts w:asciiTheme="minorHAnsi" w:hAnsiTheme="minorHAnsi"/>
              </w:rPr>
            </w:pPr>
            <w:r w:rsidRPr="008A35A4">
              <w:rPr>
                <w:rFonts w:asciiTheme="minorHAnsi" w:hAnsiTheme="minorHAnsi"/>
              </w:rPr>
              <w:t>Has identified relevant individuals to deliver the work and demonstrated that the mix of skills covered are appropriate to deliver the project</w:t>
            </w:r>
          </w:p>
          <w:p w14:paraId="3EAA0A9A" w14:textId="77777777" w:rsidR="008A35A4" w:rsidRPr="008A35A4" w:rsidRDefault="008A35A4" w:rsidP="009E2DEF">
            <w:pPr>
              <w:pStyle w:val="ListParagraph"/>
              <w:numPr>
                <w:ilvl w:val="0"/>
                <w:numId w:val="43"/>
              </w:numPr>
              <w:spacing w:after="120" w:line="300" w:lineRule="exact"/>
              <w:rPr>
                <w:rFonts w:asciiTheme="minorHAnsi" w:hAnsiTheme="minorHAnsi"/>
              </w:rPr>
            </w:pPr>
            <w:r w:rsidRPr="008A35A4">
              <w:rPr>
                <w:rFonts w:asciiTheme="minorHAnsi" w:hAnsiTheme="minorHAnsi"/>
              </w:rPr>
              <w:lastRenderedPageBreak/>
              <w:t>Has provided a credible plan for delivering successful outcomes to time, quality and cost, including appropriate ways to engage with RSSB and stakeholders</w:t>
            </w:r>
          </w:p>
          <w:p w14:paraId="1C659123" w14:textId="77777777" w:rsidR="008A35A4" w:rsidRPr="008A35A4" w:rsidRDefault="008A35A4" w:rsidP="009E2DEF">
            <w:pPr>
              <w:pStyle w:val="ListParagraph"/>
              <w:numPr>
                <w:ilvl w:val="0"/>
                <w:numId w:val="43"/>
              </w:numPr>
              <w:shd w:val="clear" w:color="auto" w:fill="FFFFFF"/>
              <w:ind w:right="465"/>
              <w:jc w:val="both"/>
              <w:rPr>
                <w:rFonts w:asciiTheme="minorHAnsi" w:eastAsia="Times New Roman" w:hAnsiTheme="minorHAnsi"/>
                <w:color w:val="0D0D0D"/>
              </w:rPr>
            </w:pPr>
            <w:r w:rsidRPr="008A35A4">
              <w:rPr>
                <w:rFonts w:asciiTheme="minorHAnsi" w:eastAsia="Times New Roman" w:hAnsiTheme="minorHAnsi"/>
                <w:color w:val="0D0D0D"/>
                <w:kern w:val="36"/>
              </w:rPr>
              <w:t>The tenderer</w:t>
            </w:r>
            <w:r w:rsidRPr="008A35A4">
              <w:rPr>
                <w:rFonts w:asciiTheme="minorHAnsi" w:eastAsia="Times New Roman" w:hAnsiTheme="minorHAnsi"/>
                <w:color w:val="0D0D0D"/>
              </w:rPr>
              <w:t xml:space="preserve"> proposes a team that has sufficient experience to successfully deliver the specification.</w:t>
            </w:r>
          </w:p>
          <w:p w14:paraId="7F7DA15C" w14:textId="77777777" w:rsidR="008A35A4" w:rsidRPr="008A35A4" w:rsidRDefault="008A35A4" w:rsidP="00414D35">
            <w:pPr>
              <w:pStyle w:val="ListParagraph"/>
              <w:shd w:val="clear" w:color="auto" w:fill="FFFFFF"/>
              <w:ind w:right="465"/>
              <w:jc w:val="both"/>
              <w:rPr>
                <w:rFonts w:asciiTheme="minorHAnsi" w:eastAsia="Times New Roman" w:hAnsiTheme="minorHAnsi"/>
                <w:color w:val="0D0D0D"/>
              </w:rPr>
            </w:pPr>
          </w:p>
          <w:p w14:paraId="11A448BA" w14:textId="77777777" w:rsidR="008A35A4" w:rsidRPr="008A35A4" w:rsidRDefault="008A35A4" w:rsidP="009E2DEF">
            <w:pPr>
              <w:pStyle w:val="ListParagraph"/>
              <w:numPr>
                <w:ilvl w:val="0"/>
                <w:numId w:val="43"/>
              </w:numPr>
              <w:shd w:val="clear" w:color="auto" w:fill="FFFFFF"/>
              <w:ind w:right="465"/>
              <w:jc w:val="both"/>
              <w:rPr>
                <w:rFonts w:asciiTheme="minorHAnsi" w:hAnsiTheme="minorHAnsi"/>
                <w:color w:val="0D0D0D"/>
              </w:rPr>
            </w:pPr>
            <w:r w:rsidRPr="008A35A4">
              <w:rPr>
                <w:rFonts w:asciiTheme="minorHAnsi" w:eastAsia="Times New Roman" w:hAnsiTheme="minorHAnsi"/>
                <w:color w:val="0D0D0D"/>
                <w:kern w:val="36"/>
              </w:rPr>
              <w:t>The tenderer</w:t>
            </w:r>
            <w:r w:rsidRPr="008A35A4">
              <w:rPr>
                <w:rFonts w:asciiTheme="minorHAnsi" w:eastAsia="Times New Roman" w:hAnsiTheme="minorHAnsi"/>
                <w:color w:val="0D0D0D"/>
              </w:rPr>
              <w:t xml:space="preserve"> proposes a team that has relevant experience to successfully deliver the specification.</w:t>
            </w:r>
          </w:p>
          <w:p w14:paraId="6686B640" w14:textId="77777777" w:rsidR="008A35A4" w:rsidRPr="008A35A4" w:rsidRDefault="008A35A4" w:rsidP="00414D35">
            <w:pPr>
              <w:pStyle w:val="ListParagraph"/>
              <w:shd w:val="clear" w:color="auto" w:fill="FFFFFF"/>
              <w:ind w:right="465"/>
              <w:jc w:val="both"/>
              <w:rPr>
                <w:rFonts w:asciiTheme="minorHAnsi" w:eastAsia="Times New Roman" w:hAnsiTheme="minorHAnsi"/>
                <w:color w:val="0D0D0D"/>
              </w:rPr>
            </w:pPr>
          </w:p>
          <w:p w14:paraId="590A954F" w14:textId="77777777" w:rsidR="008A35A4" w:rsidRPr="008A35A4" w:rsidRDefault="008A35A4" w:rsidP="009E2DEF">
            <w:pPr>
              <w:pStyle w:val="ListParagraph"/>
              <w:numPr>
                <w:ilvl w:val="0"/>
                <w:numId w:val="43"/>
              </w:numPr>
              <w:shd w:val="clear" w:color="auto" w:fill="FFFFFF"/>
              <w:ind w:right="465"/>
              <w:jc w:val="both"/>
              <w:rPr>
                <w:rFonts w:asciiTheme="minorHAnsi" w:eastAsia="Times New Roman" w:hAnsiTheme="minorHAnsi"/>
                <w:color w:val="0D0D0D"/>
              </w:rPr>
            </w:pPr>
            <w:r w:rsidRPr="008A35A4">
              <w:rPr>
                <w:rFonts w:asciiTheme="minorHAnsi" w:eastAsia="Times New Roman" w:hAnsiTheme="minorHAnsi"/>
                <w:color w:val="0D0D0D"/>
                <w:kern w:val="36"/>
              </w:rPr>
              <w:t>The tenderer</w:t>
            </w:r>
            <w:r w:rsidRPr="008A35A4">
              <w:rPr>
                <w:rFonts w:asciiTheme="minorHAnsi" w:eastAsia="Times New Roman" w:hAnsiTheme="minorHAnsi"/>
                <w:color w:val="0D0D0D"/>
              </w:rPr>
              <w:t xml:space="preserve"> proposes a team that has a high level &amp; quality, in terms of capability, to successfully deliver the specification.</w:t>
            </w:r>
          </w:p>
          <w:p w14:paraId="060ECC4C" w14:textId="77777777" w:rsidR="008A35A4" w:rsidRPr="008A35A4" w:rsidRDefault="008A35A4" w:rsidP="00414D35">
            <w:pPr>
              <w:pStyle w:val="ListParagraph"/>
              <w:spacing w:after="120" w:line="300" w:lineRule="exact"/>
              <w:ind w:left="360"/>
              <w:rPr>
                <w:rFonts w:asciiTheme="minorHAnsi" w:hAnsiTheme="minorHAnsi"/>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C035DD"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lastRenderedPageBreak/>
              <w:t>20%</w:t>
            </w:r>
          </w:p>
        </w:tc>
      </w:tr>
      <w:tr w:rsidR="008A35A4" w:rsidRPr="008A35A4" w14:paraId="0E437455" w14:textId="77777777" w:rsidTr="008A35A4">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0B351A" w14:textId="77777777" w:rsidR="008A35A4" w:rsidRPr="008A35A4" w:rsidRDefault="008A35A4" w:rsidP="00414D35">
            <w:pPr>
              <w:rPr>
                <w:rFonts w:asciiTheme="minorHAnsi" w:hAnsiTheme="minorHAnsi"/>
                <w:color w:val="000000"/>
                <w:sz w:val="24"/>
                <w:szCs w:val="24"/>
              </w:rPr>
            </w:pPr>
            <w:r w:rsidRPr="008A35A4">
              <w:rPr>
                <w:rFonts w:asciiTheme="minorHAnsi" w:hAnsiTheme="minorHAnsi"/>
                <w:bCs/>
                <w:color w:val="000000"/>
                <w:sz w:val="24"/>
                <w:szCs w:val="24"/>
              </w:rPr>
              <w:t>A.4</w:t>
            </w:r>
            <w:r w:rsidRPr="008A35A4">
              <w:rPr>
                <w:rFonts w:asciiTheme="minorHAnsi" w:hAnsiTheme="minorHAnsi"/>
                <w:color w:val="000000"/>
                <w:sz w:val="24"/>
                <w:szCs w:val="24"/>
              </w:rPr>
              <w:t xml:space="preserve"> Risks and Challenges</w:t>
            </w:r>
          </w:p>
          <w:p w14:paraId="1F010E00" w14:textId="77777777" w:rsidR="008A35A4" w:rsidRPr="008A35A4" w:rsidRDefault="008A35A4" w:rsidP="00414D35">
            <w:pPr>
              <w:spacing w:after="120" w:line="300" w:lineRule="exact"/>
              <w:rPr>
                <w:rFonts w:asciiTheme="minorHAnsi" w:hAnsiTheme="minorHAnsi" w:cs="Arial"/>
                <w:sz w:val="24"/>
                <w:szCs w:val="24"/>
              </w:rPr>
            </w:pPr>
          </w:p>
        </w:tc>
        <w:tc>
          <w:tcPr>
            <w:tcW w:w="15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2CA87" w14:textId="77777777" w:rsidR="008A35A4" w:rsidRPr="008A35A4" w:rsidRDefault="008A35A4" w:rsidP="00414D35">
            <w:pPr>
              <w:rPr>
                <w:rFonts w:asciiTheme="minorHAnsi" w:hAnsiTheme="minorHAnsi"/>
                <w:color w:val="000000"/>
                <w:sz w:val="24"/>
                <w:szCs w:val="24"/>
              </w:rPr>
            </w:pPr>
            <w:r w:rsidRPr="008A35A4">
              <w:rPr>
                <w:rFonts w:asciiTheme="minorHAnsi" w:hAnsiTheme="minorHAnsi"/>
                <w:color w:val="000000"/>
                <w:sz w:val="24"/>
                <w:szCs w:val="24"/>
              </w:rPr>
              <w:t>What risks and challenges do you foresee in this project? What mitigating actions will you take in relations to these risks?</w:t>
            </w:r>
          </w:p>
          <w:p w14:paraId="62A05D2E" w14:textId="77777777" w:rsidR="008A35A4" w:rsidRPr="008A35A4" w:rsidRDefault="008A35A4" w:rsidP="00414D35">
            <w:pPr>
              <w:rPr>
                <w:rFonts w:asciiTheme="minorHAnsi" w:hAnsiTheme="minorHAnsi"/>
                <w:color w:val="000000"/>
                <w:sz w:val="24"/>
                <w:szCs w:val="24"/>
              </w:rPr>
            </w:pPr>
          </w:p>
          <w:p w14:paraId="3D239A22" w14:textId="77777777" w:rsidR="008A35A4" w:rsidRPr="008A35A4" w:rsidRDefault="008A35A4" w:rsidP="00414D35">
            <w:pPr>
              <w:contextualSpacing/>
              <w:rPr>
                <w:rFonts w:asciiTheme="minorHAnsi" w:hAnsiTheme="minorHAnsi"/>
                <w:color w:val="000000"/>
                <w:sz w:val="24"/>
                <w:szCs w:val="24"/>
              </w:rPr>
            </w:pPr>
            <w:r w:rsidRPr="008A35A4">
              <w:rPr>
                <w:rFonts w:asciiTheme="minorHAnsi" w:hAnsiTheme="minorHAnsi"/>
                <w:color w:val="000000"/>
                <w:sz w:val="24"/>
                <w:szCs w:val="24"/>
              </w:rPr>
              <w:t>Tenderers should provide, in no more than three pages, the risks and challenges that the tenderer foresees for this project as well as the mitigating actions:</w:t>
            </w:r>
            <w:r w:rsidRPr="008A35A4">
              <w:rPr>
                <w:rFonts w:asciiTheme="minorHAnsi" w:hAnsiTheme="minorHAnsi"/>
                <w:color w:val="000000"/>
                <w:sz w:val="24"/>
                <w:szCs w:val="24"/>
              </w:rPr>
              <w:br/>
            </w:r>
            <w:r w:rsidRPr="008A35A4">
              <w:rPr>
                <w:rFonts w:asciiTheme="minorHAnsi" w:hAnsiTheme="minorHAnsi"/>
                <w:color w:val="000000"/>
                <w:sz w:val="24"/>
                <w:szCs w:val="24"/>
              </w:rPr>
              <w:br/>
            </w:r>
          </w:p>
          <w:p w14:paraId="19DCDDD3"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provides a detailed and succinct Risk Register.</w:t>
            </w:r>
          </w:p>
          <w:p w14:paraId="4936A877" w14:textId="77777777" w:rsidR="008A35A4" w:rsidRPr="008A35A4" w:rsidRDefault="008A35A4" w:rsidP="00414D35">
            <w:pPr>
              <w:pStyle w:val="ListParagraph"/>
              <w:rPr>
                <w:rFonts w:asciiTheme="minorHAnsi" w:eastAsiaTheme="minorHAnsi" w:hAnsiTheme="minorHAnsi"/>
                <w:color w:val="000000"/>
              </w:rPr>
            </w:pPr>
          </w:p>
          <w:p w14:paraId="50E9BBA4"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 xml:space="preserve">The tenderer identifies </w:t>
            </w:r>
            <w:r w:rsidRPr="008A35A4">
              <w:rPr>
                <w:rFonts w:asciiTheme="minorHAnsi" w:eastAsia="Times New Roman" w:hAnsiTheme="minorHAnsi"/>
                <w:color w:val="000000"/>
                <w:sz w:val="24"/>
                <w:szCs w:val="24"/>
              </w:rPr>
              <w:lastRenderedPageBreak/>
              <w:t>appropriate risks for this project.</w:t>
            </w:r>
          </w:p>
          <w:p w14:paraId="31D05753" w14:textId="77777777" w:rsidR="008A35A4" w:rsidRPr="008A35A4" w:rsidRDefault="008A35A4" w:rsidP="00414D35">
            <w:pPr>
              <w:rPr>
                <w:rFonts w:asciiTheme="minorHAnsi" w:hAnsiTheme="minorHAnsi"/>
                <w:color w:val="000000"/>
                <w:sz w:val="24"/>
                <w:szCs w:val="24"/>
              </w:rPr>
            </w:pPr>
          </w:p>
          <w:p w14:paraId="20B2CF57"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identifies appropriate challenges for this project.</w:t>
            </w:r>
          </w:p>
          <w:p w14:paraId="06C8FB53" w14:textId="77777777" w:rsidR="008A35A4" w:rsidRPr="008A35A4" w:rsidRDefault="008A35A4" w:rsidP="00414D35">
            <w:pPr>
              <w:rPr>
                <w:rFonts w:asciiTheme="minorHAnsi" w:hAnsiTheme="minorHAnsi"/>
                <w:color w:val="000000"/>
                <w:sz w:val="24"/>
                <w:szCs w:val="24"/>
              </w:rPr>
            </w:pPr>
          </w:p>
          <w:p w14:paraId="675E53E6"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provides an in-depth statement of what mitigating actions will be taken by the tenderer in relation and with specific regard to each risk.</w:t>
            </w:r>
          </w:p>
          <w:p w14:paraId="28C599F7" w14:textId="77777777" w:rsidR="008A35A4" w:rsidRPr="008A35A4" w:rsidRDefault="008A35A4" w:rsidP="00414D35">
            <w:pPr>
              <w:rPr>
                <w:rFonts w:asciiTheme="minorHAnsi" w:hAnsiTheme="minorHAnsi"/>
                <w:color w:val="000000"/>
                <w:sz w:val="24"/>
                <w:szCs w:val="24"/>
              </w:rPr>
            </w:pPr>
          </w:p>
          <w:p w14:paraId="3FB0526D" w14:textId="77777777" w:rsidR="008A35A4" w:rsidRPr="008A35A4" w:rsidRDefault="008A35A4" w:rsidP="009E2DEF">
            <w:pPr>
              <w:numPr>
                <w:ilvl w:val="0"/>
                <w:numId w:val="41"/>
              </w:numPr>
              <w:spacing w:after="24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demonstrates how they will overcome the challenges that have been identified for this project.</w:t>
            </w:r>
          </w:p>
          <w:p w14:paraId="6A56F430" w14:textId="77777777" w:rsidR="008A35A4" w:rsidRPr="008A35A4" w:rsidRDefault="008A35A4" w:rsidP="00414D35">
            <w:pPr>
              <w:tabs>
                <w:tab w:val="left" w:pos="113"/>
              </w:tabs>
              <w:spacing w:after="40" w:line="280" w:lineRule="exact"/>
              <w:rPr>
                <w:rFonts w:asciiTheme="minorHAnsi" w:hAnsiTheme="minorHAnsi" w:cs="Arial"/>
                <w:sz w:val="24"/>
                <w:szCs w:val="24"/>
                <w:lang w:eastAsia="en-GB"/>
              </w:rPr>
            </w:pPr>
          </w:p>
        </w:tc>
        <w:tc>
          <w:tcPr>
            <w:tcW w:w="20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2D86A"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lastRenderedPageBreak/>
              <w:t>The tenderer provides a detailed and succinct Risk Register.</w:t>
            </w:r>
          </w:p>
          <w:p w14:paraId="2D952177" w14:textId="77777777" w:rsidR="008A35A4" w:rsidRPr="008A35A4" w:rsidRDefault="008A35A4" w:rsidP="00414D35">
            <w:pPr>
              <w:pStyle w:val="ListParagraph"/>
              <w:rPr>
                <w:rFonts w:asciiTheme="minorHAnsi" w:eastAsiaTheme="minorHAnsi" w:hAnsiTheme="minorHAnsi"/>
                <w:color w:val="000000"/>
              </w:rPr>
            </w:pPr>
          </w:p>
          <w:p w14:paraId="4D31AC98"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identifies appropriate risks for this project.</w:t>
            </w:r>
          </w:p>
          <w:p w14:paraId="05B71F4F" w14:textId="77777777" w:rsidR="008A35A4" w:rsidRPr="008A35A4" w:rsidRDefault="008A35A4" w:rsidP="00414D35">
            <w:pPr>
              <w:rPr>
                <w:rFonts w:asciiTheme="minorHAnsi" w:hAnsiTheme="minorHAnsi"/>
                <w:color w:val="000000"/>
                <w:sz w:val="24"/>
                <w:szCs w:val="24"/>
              </w:rPr>
            </w:pPr>
          </w:p>
          <w:p w14:paraId="5D38D63D"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identifies appropriate challenges for this project.</w:t>
            </w:r>
          </w:p>
          <w:p w14:paraId="687FD95E" w14:textId="77777777" w:rsidR="008A35A4" w:rsidRPr="008A35A4" w:rsidRDefault="008A35A4" w:rsidP="00414D35">
            <w:pPr>
              <w:rPr>
                <w:rFonts w:asciiTheme="minorHAnsi" w:hAnsiTheme="minorHAnsi"/>
                <w:color w:val="000000"/>
                <w:sz w:val="24"/>
                <w:szCs w:val="24"/>
              </w:rPr>
            </w:pPr>
          </w:p>
          <w:p w14:paraId="0BC2EAFB" w14:textId="77777777" w:rsidR="008A35A4" w:rsidRPr="008A35A4" w:rsidRDefault="008A35A4" w:rsidP="009E2DEF">
            <w:pPr>
              <w:numPr>
                <w:ilvl w:val="0"/>
                <w:numId w:val="41"/>
              </w:numPr>
              <w:spacing w:after="0" w:line="240" w:lineRule="auto"/>
              <w:contextualSpacing/>
              <w:rPr>
                <w:rFonts w:asciiTheme="minorHAnsi" w:eastAsia="Times New Roman" w:hAnsiTheme="minorHAnsi"/>
                <w:color w:val="000000"/>
                <w:sz w:val="24"/>
                <w:szCs w:val="24"/>
              </w:rPr>
            </w:pPr>
            <w:r w:rsidRPr="008A35A4">
              <w:rPr>
                <w:rFonts w:asciiTheme="minorHAnsi" w:eastAsia="Times New Roman" w:hAnsiTheme="minorHAnsi"/>
                <w:color w:val="000000"/>
                <w:sz w:val="24"/>
                <w:szCs w:val="24"/>
              </w:rPr>
              <w:t>The tenderer provides an in-depth statement of what mitigating actions will be taken by the tenderer in relation and with specific regard to each risk.</w:t>
            </w:r>
          </w:p>
          <w:p w14:paraId="4FBD4E03" w14:textId="77777777" w:rsidR="008A35A4" w:rsidRPr="008A35A4" w:rsidRDefault="008A35A4" w:rsidP="00414D35">
            <w:pPr>
              <w:rPr>
                <w:rFonts w:asciiTheme="minorHAnsi" w:hAnsiTheme="minorHAnsi"/>
                <w:color w:val="000000"/>
                <w:sz w:val="24"/>
                <w:szCs w:val="24"/>
              </w:rPr>
            </w:pPr>
          </w:p>
          <w:p w14:paraId="2C66B716" w14:textId="77777777" w:rsidR="008A35A4" w:rsidRPr="008A35A4" w:rsidRDefault="008A35A4" w:rsidP="009E2DEF">
            <w:pPr>
              <w:numPr>
                <w:ilvl w:val="0"/>
                <w:numId w:val="41"/>
              </w:numPr>
              <w:spacing w:after="240" w:line="240" w:lineRule="auto"/>
              <w:contextualSpacing/>
              <w:rPr>
                <w:rFonts w:asciiTheme="minorHAnsi" w:hAnsiTheme="minorHAnsi" w:cs="Times New Roman"/>
                <w:color w:val="000000"/>
                <w:sz w:val="24"/>
                <w:szCs w:val="24"/>
                <w:lang w:eastAsia="en-GB"/>
              </w:rPr>
            </w:pPr>
            <w:r w:rsidRPr="008A35A4">
              <w:rPr>
                <w:rFonts w:asciiTheme="minorHAnsi" w:eastAsia="Times New Roman" w:hAnsiTheme="minorHAnsi"/>
                <w:color w:val="000000"/>
                <w:sz w:val="24"/>
                <w:szCs w:val="24"/>
              </w:rPr>
              <w:t xml:space="preserve">The tenderer demonstrates how they will overcome the </w:t>
            </w:r>
            <w:r w:rsidRPr="008A35A4">
              <w:rPr>
                <w:rFonts w:asciiTheme="minorHAnsi" w:eastAsia="Times New Roman" w:hAnsiTheme="minorHAnsi"/>
                <w:color w:val="000000"/>
                <w:sz w:val="24"/>
                <w:szCs w:val="24"/>
              </w:rPr>
              <w:lastRenderedPageBreak/>
              <w:t>challenges that have been identified for this project.</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A9357"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lastRenderedPageBreak/>
              <w:t>10%</w:t>
            </w:r>
          </w:p>
        </w:tc>
      </w:tr>
      <w:tr w:rsidR="008A35A4" w:rsidRPr="008A35A4" w14:paraId="21D28F15" w14:textId="77777777" w:rsidTr="008A35A4">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2A0F1"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A5 Cost of project</w:t>
            </w:r>
          </w:p>
        </w:tc>
        <w:tc>
          <w:tcPr>
            <w:tcW w:w="15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752301"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Provide a fixed cost for the project and the associated cost break down. Describe how and why this represents value for money.</w:t>
            </w:r>
          </w:p>
        </w:tc>
        <w:tc>
          <w:tcPr>
            <w:tcW w:w="203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CCB4F4"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The tender with the lowest total cost will receive 100% of the available weighted score.</w:t>
            </w:r>
          </w:p>
          <w:p w14:paraId="0F46DB72"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Other Tenderer’s tenders will receive a pro-rated score relative to the lowest cost per the following formula:</w:t>
            </w:r>
          </w:p>
          <w:p w14:paraId="2C5D5FFC"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Score of other tender = lowest tender total cost / 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80989" w14:textId="77777777" w:rsidR="008A35A4" w:rsidRPr="008A35A4" w:rsidRDefault="008A35A4" w:rsidP="00414D35">
            <w:pPr>
              <w:spacing w:after="120" w:line="300" w:lineRule="exact"/>
              <w:rPr>
                <w:rFonts w:asciiTheme="minorHAnsi" w:hAnsiTheme="minorHAnsi" w:cs="Arial"/>
                <w:sz w:val="24"/>
                <w:szCs w:val="24"/>
              </w:rPr>
            </w:pPr>
            <w:r w:rsidRPr="008A35A4">
              <w:rPr>
                <w:rFonts w:asciiTheme="minorHAnsi" w:hAnsiTheme="minorHAnsi" w:cs="Arial"/>
                <w:sz w:val="24"/>
                <w:szCs w:val="24"/>
              </w:rPr>
              <w:t>20%</w:t>
            </w:r>
          </w:p>
        </w:tc>
      </w:tr>
    </w:tbl>
    <w:p w14:paraId="269E9216" w14:textId="23AEBFAA" w:rsidR="00801CC8" w:rsidRDefault="00801CC8" w:rsidP="00E52B87">
      <w:pPr>
        <w:pStyle w:val="Body"/>
        <w:rPr>
          <w:rFonts w:asciiTheme="minorHAnsi" w:hAnsiTheme="minorHAnsi"/>
          <w:b/>
        </w:rPr>
        <w:sectPr w:rsidR="00801CC8"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t>Specification</w:t>
      </w:r>
    </w:p>
    <w:p w14:paraId="2DB61CE7" w14:textId="77777777" w:rsidR="00A675E0" w:rsidRDefault="00A675E0" w:rsidP="00A675E0">
      <w:pPr>
        <w:pStyle w:val="Body"/>
      </w:pPr>
    </w:p>
    <w:p w14:paraId="6CEE1D61" w14:textId="77777777" w:rsidR="00314FF7" w:rsidRDefault="00314FF7" w:rsidP="00314FF7">
      <w:pPr>
        <w:pStyle w:val="CoverTitle"/>
      </w:pPr>
      <w:r>
        <w:t xml:space="preserve">Specification for research project </w:t>
      </w:r>
    </w:p>
    <w:p w14:paraId="4F58B9E8" w14:textId="6F1ED6CA" w:rsidR="00C577A6" w:rsidRDefault="00C577A6" w:rsidP="00E52B87">
      <w:pPr>
        <w:pStyle w:val="NoSpacing"/>
        <w:rPr>
          <w:rFonts w:asciiTheme="minorHAnsi" w:hAnsiTheme="minorHAnsi" w:cs="Arial"/>
        </w:rPr>
      </w:pPr>
    </w:p>
    <w:p w14:paraId="0D2300D1" w14:textId="67FC03CA" w:rsidR="008A35A4" w:rsidRDefault="008A35A4" w:rsidP="00E52B87">
      <w:pPr>
        <w:pStyle w:val="NoSpacing"/>
        <w:rPr>
          <w:rFonts w:asciiTheme="minorHAnsi" w:hAnsiTheme="minorHAnsi" w:cs="Arial"/>
        </w:rPr>
      </w:pPr>
    </w:p>
    <w:p w14:paraId="03B03D9F" w14:textId="77777777" w:rsidR="008A35A4" w:rsidRDefault="008A35A4" w:rsidP="008A35A4">
      <w:pPr>
        <w:pStyle w:val="CoverSubTitle"/>
      </w:pPr>
      <w:r>
        <w:t>T1137 Electrical and Data Control Compatibility between Trains</w:t>
      </w:r>
    </w:p>
    <w:p w14:paraId="1B38B51C" w14:textId="77777777" w:rsidR="008A35A4" w:rsidRDefault="008A35A4" w:rsidP="008A35A4">
      <w:pPr>
        <w:pStyle w:val="CoverTitle"/>
      </w:pPr>
    </w:p>
    <w:p w14:paraId="6988BD6C" w14:textId="77777777" w:rsidR="008A35A4" w:rsidRDefault="008A35A4" w:rsidP="008A35A4">
      <w:pPr>
        <w:pStyle w:val="CoverTitle"/>
      </w:pPr>
    </w:p>
    <w:p w14:paraId="3DD7D8A9" w14:textId="77777777" w:rsidR="008A35A4" w:rsidRDefault="008A35A4" w:rsidP="008A35A4">
      <w:pPr>
        <w:pStyle w:val="CoverTitle"/>
      </w:pPr>
    </w:p>
    <w:p w14:paraId="1C9FB1F9" w14:textId="77777777" w:rsidR="008A35A4" w:rsidRDefault="008A35A4" w:rsidP="008A35A4">
      <w:pPr>
        <w:pStyle w:val="CoverTitle"/>
      </w:pPr>
    </w:p>
    <w:p w14:paraId="357B6A7C" w14:textId="77777777" w:rsidR="008A35A4" w:rsidRDefault="008A35A4" w:rsidP="008A35A4">
      <w:pPr>
        <w:pStyle w:val="CoverTitle"/>
      </w:pPr>
    </w:p>
    <w:p w14:paraId="5AB0E665" w14:textId="77777777" w:rsidR="008A35A4" w:rsidRDefault="008A35A4" w:rsidP="008A35A4">
      <w:pPr>
        <w:pStyle w:val="CoverTitle"/>
      </w:pPr>
    </w:p>
    <w:p w14:paraId="4F83983E" w14:textId="77777777" w:rsidR="008A35A4" w:rsidRDefault="008A35A4" w:rsidP="008A35A4">
      <w:pPr>
        <w:pStyle w:val="CoverTitle"/>
      </w:pPr>
    </w:p>
    <w:p w14:paraId="195EC0AC" w14:textId="06E91D39" w:rsidR="008A35A4" w:rsidRDefault="008A35A4" w:rsidP="008A35A4">
      <w:pPr>
        <w:pStyle w:val="CoverTitle"/>
      </w:pPr>
    </w:p>
    <w:p w14:paraId="5315FD19" w14:textId="21545968" w:rsidR="008A35A4" w:rsidRDefault="008A35A4" w:rsidP="008A35A4">
      <w:pPr>
        <w:pStyle w:val="CoverTitle"/>
      </w:pPr>
    </w:p>
    <w:p w14:paraId="6312402D" w14:textId="77777777" w:rsidR="008A35A4" w:rsidRPr="00B85C51" w:rsidRDefault="008A35A4" w:rsidP="008A35A4">
      <w:pPr>
        <w:pStyle w:val="Heading1"/>
      </w:pPr>
      <w:r>
        <w:t>Background</w:t>
      </w:r>
    </w:p>
    <w:p w14:paraId="4E34F94E" w14:textId="77777777" w:rsidR="008A35A4" w:rsidRDefault="008A35A4" w:rsidP="008A35A4">
      <w:pPr>
        <w:pStyle w:val="Body"/>
        <w:jc w:val="both"/>
      </w:pPr>
      <w:bookmarkStart w:id="11" w:name="_Hlk491342313"/>
      <w:bookmarkStart w:id="12" w:name="_Hlk491859454"/>
      <w:r w:rsidRPr="000314B0">
        <w:t xml:space="preserve">The incompatibility of mechanical and electrical couplers between trains operating on the same route has increased significantly since privatisation in 1994. </w:t>
      </w:r>
      <w:r w:rsidRPr="00EA32B7">
        <w:t>Under British Rail there were three standard types of automatic coupler</w:t>
      </w:r>
      <w:r>
        <w:t>s in use for coupling between different units</w:t>
      </w:r>
      <w:r w:rsidRPr="00EA32B7">
        <w:t xml:space="preserve"> </w:t>
      </w:r>
      <w:r w:rsidRPr="009524DF">
        <w:rPr>
          <w:rFonts w:hint="eastAsia"/>
        </w:rPr>
        <w:t>(</w:t>
      </w:r>
      <w:r w:rsidRPr="009524DF">
        <w:t xml:space="preserve">BSI couplers for DMUs, modified Tightlock coupler on the EMU fleet, </w:t>
      </w:r>
      <w:r>
        <w:t>and t</w:t>
      </w:r>
      <w:r w:rsidRPr="009524DF">
        <w:t>he Drophead Buckeye coupler for Intercity stock)</w:t>
      </w:r>
      <w:r>
        <w:t xml:space="preserve"> </w:t>
      </w:r>
      <w:r w:rsidRPr="00EA32B7">
        <w:t xml:space="preserve">but incompatible with each </w:t>
      </w:r>
      <w:r>
        <w:t xml:space="preserve">other. </w:t>
      </w:r>
    </w:p>
    <w:p w14:paraId="614D01F2" w14:textId="77777777" w:rsidR="008A35A4" w:rsidRDefault="008A35A4" w:rsidP="008A35A4">
      <w:pPr>
        <w:pStyle w:val="Body"/>
        <w:jc w:val="both"/>
      </w:pPr>
      <w:r w:rsidRPr="00EA32B7">
        <w:t>T</w:t>
      </w:r>
      <w:r>
        <w:t>his</w:t>
      </w:r>
      <w:r w:rsidRPr="00EA32B7">
        <w:t xml:space="preserve"> </w:t>
      </w:r>
      <w:r>
        <w:t xml:space="preserve">compatibility </w:t>
      </w:r>
      <w:r w:rsidRPr="00EA32B7">
        <w:t>problem still exists today;</w:t>
      </w:r>
      <w:r>
        <w:t xml:space="preserve"> in addition,</w:t>
      </w:r>
      <w:r w:rsidRPr="00EA32B7">
        <w:t xml:space="preserve"> rapid technological change</w:t>
      </w:r>
      <w:r>
        <w:t>s have enabled</w:t>
      </w:r>
      <w:r w:rsidRPr="00EA32B7">
        <w:t xml:space="preserve"> each new fleet to have a bespoke </w:t>
      </w:r>
      <w:r>
        <w:t xml:space="preserve">electrical </w:t>
      </w:r>
      <w:r w:rsidRPr="00EA32B7">
        <w:t>control system</w:t>
      </w:r>
      <w:r>
        <w:t>,</w:t>
      </w:r>
      <w:r w:rsidRPr="00EA32B7">
        <w:t xml:space="preserve"> </w:t>
      </w:r>
      <w:r>
        <w:t>therefore</w:t>
      </w:r>
      <w:r w:rsidRPr="00EA32B7">
        <w:t xml:space="preserve"> existing fleets</w:t>
      </w:r>
      <w:r>
        <w:t xml:space="preserve"> of different classes</w:t>
      </w:r>
      <w:r w:rsidRPr="00EA32B7">
        <w:t xml:space="preserve"> from the same manufacturer are </w:t>
      </w:r>
      <w:r>
        <w:t>often</w:t>
      </w:r>
      <w:r w:rsidRPr="00EA32B7">
        <w:t xml:space="preserve"> unable to work in </w:t>
      </w:r>
      <w:r w:rsidRPr="006E04A0">
        <w:t>multiple</w:t>
      </w:r>
      <w:r>
        <w:t>s</w:t>
      </w:r>
      <w:r w:rsidRPr="00EA32B7">
        <w:t xml:space="preserve"> with new ones. Even with much simpler electrical</w:t>
      </w:r>
      <w:r>
        <w:t xml:space="preserve"> and data</w:t>
      </w:r>
      <w:r w:rsidRPr="00EA32B7">
        <w:t xml:space="preserve"> control systems, achieving compatibility between fleets from different m</w:t>
      </w:r>
      <w:r>
        <w:t>anufacturers</w:t>
      </w:r>
      <w:r w:rsidRPr="00EA32B7">
        <w:t xml:space="preserve">, </w:t>
      </w:r>
      <w:r>
        <w:t>has</w:t>
      </w:r>
      <w:r w:rsidRPr="00EA32B7">
        <w:t xml:space="preserve"> often required lengthy and expensive modification</w:t>
      </w:r>
      <w:r>
        <w:t>s</w:t>
      </w:r>
      <w:r w:rsidRPr="00EA32B7">
        <w:t>.</w:t>
      </w:r>
      <w:r>
        <w:t xml:space="preserve"> </w:t>
      </w:r>
    </w:p>
    <w:p w14:paraId="62508E3C" w14:textId="77777777" w:rsidR="008A35A4" w:rsidRDefault="008A35A4" w:rsidP="008A35A4">
      <w:pPr>
        <w:pStyle w:val="Body"/>
        <w:jc w:val="both"/>
      </w:pPr>
      <w:r>
        <w:t xml:space="preserve">A single manufacturer is estimated to be </w:t>
      </w:r>
      <w:r w:rsidRPr="009524DF">
        <w:t>supporting around 1</w:t>
      </w:r>
      <w:r>
        <w:t xml:space="preserve">00 different designs of coupler </w:t>
      </w:r>
      <w:r w:rsidRPr="009524DF">
        <w:t>head</w:t>
      </w:r>
      <w:r>
        <w:t>s</w:t>
      </w:r>
      <w:r w:rsidRPr="009524DF">
        <w:t>; this represents 12</w:t>
      </w:r>
      <w:r>
        <w:t xml:space="preserve">00 distinct configurations when </w:t>
      </w:r>
      <w:r w:rsidRPr="009524DF">
        <w:t>mountings and electrical interface</w:t>
      </w:r>
      <w:r>
        <w:t>s are taken into consideration</w:t>
      </w:r>
      <w:r>
        <w:rPr>
          <w:rStyle w:val="FootnoteReference"/>
        </w:rPr>
        <w:footnoteReference w:id="1"/>
      </w:r>
      <w:r>
        <w:t xml:space="preserve">; the compatibility issue </w:t>
      </w:r>
      <w:r w:rsidRPr="000314B0">
        <w:t>has adversely impacted train service performance through the life of the train fleets concerned. On the approaches to key hub locations, the likelihood that a following train can automatically</w:t>
      </w:r>
      <w:r>
        <w:t xml:space="preserve"> </w:t>
      </w:r>
      <w:r w:rsidRPr="000314B0">
        <w:t>couple to, and rescue, a failed train in front is generally less than 50%, and in the worst</w:t>
      </w:r>
      <w:r>
        <w:t xml:space="preserve"> </w:t>
      </w:r>
      <w:r w:rsidRPr="000314B0">
        <w:t>affected areas can be as low as 20%</w:t>
      </w:r>
      <w:r>
        <w:rPr>
          <w:rStyle w:val="FootnoteReference"/>
        </w:rPr>
        <w:footnoteReference w:id="2"/>
      </w:r>
      <w:r w:rsidRPr="000314B0">
        <w:t>.</w:t>
      </w:r>
    </w:p>
    <w:p w14:paraId="476D6E29" w14:textId="77777777" w:rsidR="008A35A4" w:rsidRPr="00991D49" w:rsidRDefault="008A35A4" w:rsidP="008A35A4">
      <w:pPr>
        <w:pStyle w:val="Body"/>
        <w:jc w:val="both"/>
      </w:pPr>
      <w:r w:rsidRPr="00942D5F">
        <w:t>A previous research project, T1003 - ‘</w:t>
      </w:r>
      <w:hyperlink r:id="rId19" w:history="1">
        <w:r w:rsidRPr="00942D5F">
          <w:t>Standardisation of coupling arrangements</w:t>
        </w:r>
      </w:hyperlink>
      <w:r w:rsidRPr="00942D5F">
        <w:t xml:space="preserve">’, analysed both the technical and economic case for couplers’ compatibility and concluded that there is an economic justification for standardisation. Whilst the research evaluated the business case for mechanical automatic coupler compatibility and for full compatibility (enabling interworking), the development of technical solutions was confined to mechanical standardisation. </w:t>
      </w:r>
    </w:p>
    <w:p w14:paraId="4C27F6FB" w14:textId="77777777" w:rsidR="008A35A4" w:rsidRPr="000314B0" w:rsidRDefault="008A35A4" w:rsidP="008A35A4">
      <w:pPr>
        <w:pStyle w:val="Body"/>
        <w:jc w:val="both"/>
      </w:pPr>
      <w:r>
        <w:t xml:space="preserve">Moreover, T1003 confirmed that there are no commercial, regulatory, or technical issues that might prevent standardisation of couplers. </w:t>
      </w:r>
      <w:r w:rsidRPr="000314B0">
        <w:t>Full standardisation of coupling arrangements will bring a substantial reduction in the time</w:t>
      </w:r>
      <w:r>
        <w:t xml:space="preserve"> </w:t>
      </w:r>
      <w:r w:rsidRPr="000314B0">
        <w:t>that failed trains take to be rescued, with subsequent decreased disruption to the following</w:t>
      </w:r>
      <w:r>
        <w:t xml:space="preserve"> </w:t>
      </w:r>
      <w:r w:rsidRPr="000314B0">
        <w:t>trains. It is estimated that the delays due to failed trains will halve. T</w:t>
      </w:r>
      <w:r>
        <w:t xml:space="preserve">his will result in </w:t>
      </w:r>
      <w:r w:rsidRPr="000314B0">
        <w:t>reduced costs to the industry.</w:t>
      </w:r>
    </w:p>
    <w:p w14:paraId="343ADE17" w14:textId="77777777" w:rsidR="008A35A4" w:rsidRPr="000314B0" w:rsidRDefault="008A35A4" w:rsidP="008A35A4">
      <w:pPr>
        <w:pStyle w:val="Body"/>
        <w:jc w:val="both"/>
      </w:pPr>
      <w:r w:rsidRPr="000314B0">
        <w:t>Other benefits from standardisation include:</w:t>
      </w:r>
    </w:p>
    <w:p w14:paraId="5166E934" w14:textId="77777777" w:rsidR="008A35A4" w:rsidRPr="000314B0" w:rsidRDefault="008A35A4" w:rsidP="008A35A4">
      <w:pPr>
        <w:pStyle w:val="Bullet1"/>
        <w:jc w:val="both"/>
      </w:pPr>
      <w:r w:rsidRPr="000314B0">
        <w:t>Safety benefits for drivers due to avoidance of accidents from manual coupling</w:t>
      </w:r>
      <w:r>
        <w:t xml:space="preserve"> in emergency situations</w:t>
      </w:r>
    </w:p>
    <w:p w14:paraId="740D495A" w14:textId="77777777" w:rsidR="008A35A4" w:rsidRPr="000314B0" w:rsidRDefault="008A35A4" w:rsidP="008A35A4">
      <w:pPr>
        <w:pStyle w:val="Bullet1"/>
        <w:jc w:val="both"/>
      </w:pPr>
      <w:r w:rsidRPr="000314B0">
        <w:t xml:space="preserve">Reduced depot maintenance costs from </w:t>
      </w:r>
      <w:r>
        <w:t xml:space="preserve">standardised </w:t>
      </w:r>
      <w:r w:rsidRPr="000314B0">
        <w:t>type</w:t>
      </w:r>
      <w:r>
        <w:t>s</w:t>
      </w:r>
      <w:r w:rsidRPr="000314B0">
        <w:t xml:space="preserve"> of coupler</w:t>
      </w:r>
    </w:p>
    <w:p w14:paraId="3CC3FD41" w14:textId="77777777" w:rsidR="008A35A4" w:rsidRDefault="008A35A4" w:rsidP="008A35A4">
      <w:pPr>
        <w:pStyle w:val="Bullet1"/>
        <w:jc w:val="both"/>
      </w:pPr>
      <w:r w:rsidRPr="000314B0">
        <w:t>Reduced purchase cost for couplers due to competition</w:t>
      </w:r>
    </w:p>
    <w:p w14:paraId="45D76E52" w14:textId="77777777" w:rsidR="008A35A4" w:rsidRDefault="008A35A4" w:rsidP="008A35A4">
      <w:pPr>
        <w:pStyle w:val="Bullet1"/>
        <w:jc w:val="both"/>
      </w:pPr>
      <w:r w:rsidRPr="00D8068E">
        <w:t>Provide for more effective cascades and utilisation of fleets across the network</w:t>
      </w:r>
      <w:r>
        <w:t>. Fewer spare trainsets would be required to cover sub-fleets since all train units would be able to work with each other.</w:t>
      </w:r>
    </w:p>
    <w:p w14:paraId="74B0131B" w14:textId="77777777" w:rsidR="008A35A4" w:rsidRDefault="008A35A4" w:rsidP="008A35A4">
      <w:pPr>
        <w:pStyle w:val="Bullet1"/>
        <w:jc w:val="both"/>
      </w:pPr>
      <w:r w:rsidRPr="000314B0">
        <w:t>Reduced operating costs from better utilisation</w:t>
      </w:r>
    </w:p>
    <w:p w14:paraId="21D9F26A" w14:textId="77777777" w:rsidR="008A35A4" w:rsidRPr="003A2D29" w:rsidRDefault="008A35A4" w:rsidP="008A35A4">
      <w:pPr>
        <w:pStyle w:val="Body"/>
        <w:jc w:val="both"/>
      </w:pPr>
      <w:r w:rsidRPr="00535695">
        <w:t xml:space="preserve">The T1003 project had drawn a draft specification for a standard mechanical coupler for GB rail in the form of a draft British Standard. This standard, once accepted through the normal British Standard Institution process, along with additional information in RDG’s Key Train Requirements document, will allow, assist, and encourage stakeholders to </w:t>
      </w:r>
      <w:r>
        <w:t xml:space="preserve">support the </w:t>
      </w:r>
      <w:r w:rsidRPr="00535695">
        <w:t>initiative.</w:t>
      </w:r>
    </w:p>
    <w:p w14:paraId="41358CDF" w14:textId="77777777" w:rsidR="008A35A4" w:rsidRDefault="008A35A4" w:rsidP="008A35A4">
      <w:pPr>
        <w:pStyle w:val="Body"/>
        <w:jc w:val="both"/>
        <w:rPr>
          <w:color w:val="00968E"/>
          <w:sz w:val="36"/>
        </w:rPr>
      </w:pPr>
      <w:r>
        <w:t xml:space="preserve">This research project, T1137, now seeks to identify the technical requirements for </w:t>
      </w:r>
      <w:r w:rsidRPr="00C64E17">
        <w:t>electrical</w:t>
      </w:r>
      <w:r>
        <w:t xml:space="preserve"> and </w:t>
      </w:r>
      <w:r w:rsidRPr="00C64E17">
        <w:t xml:space="preserve">data connectivity </w:t>
      </w:r>
      <w:r>
        <w:t xml:space="preserve">of automatic </w:t>
      </w:r>
      <w:r w:rsidRPr="00C64E17">
        <w:t>coupl</w:t>
      </w:r>
      <w:r>
        <w:t xml:space="preserve">ers between train units and/or vehicles. The outcome will be </w:t>
      </w:r>
      <w:r w:rsidRPr="00744A2F">
        <w:t xml:space="preserve">information </w:t>
      </w:r>
      <w:r>
        <w:t xml:space="preserve">required </w:t>
      </w:r>
      <w:r w:rsidRPr="00744A2F">
        <w:t>to enable</w:t>
      </w:r>
      <w:r>
        <w:t xml:space="preserve"> the specification of standardised data and electrical transmission configurations. The specifications would </w:t>
      </w:r>
      <w:r w:rsidRPr="00744A2F">
        <w:t>be incorporated into the</w:t>
      </w:r>
      <w:r>
        <w:t xml:space="preserve"> next version of</w:t>
      </w:r>
      <w:r w:rsidRPr="00744A2F">
        <w:t xml:space="preserve"> </w:t>
      </w:r>
      <w:r>
        <w:t xml:space="preserve">the </w:t>
      </w:r>
      <w:r w:rsidRPr="00744A2F">
        <w:t>Key Train Requirements</w:t>
      </w:r>
      <w:r>
        <w:t xml:space="preserve"> (KTR). Using the recommendations, </w:t>
      </w:r>
      <w:r w:rsidRPr="001A413F">
        <w:t>rolling stock procurers, manufacturers and system suppliers</w:t>
      </w:r>
      <w:r>
        <w:t xml:space="preserve"> will be able to specify the coupler arrangements on their new fleets</w:t>
      </w:r>
      <w:r w:rsidRPr="006372E1">
        <w:rPr>
          <w:rFonts w:asciiTheme="minorHAnsi" w:eastAsiaTheme="minorEastAsia" w:cstheme="minorBidi"/>
          <w:color w:val="000000" w:themeColor="text1"/>
          <w:kern w:val="24"/>
          <w:sz w:val="24"/>
          <w:szCs w:val="24"/>
          <w:lang w:eastAsia="en-US"/>
        </w:rPr>
        <w:t xml:space="preserve"> </w:t>
      </w:r>
      <w:r>
        <w:t xml:space="preserve">which will permit interworking </w:t>
      </w:r>
      <w:r w:rsidRPr="006372E1">
        <w:t xml:space="preserve">and, in </w:t>
      </w:r>
      <w:r>
        <w:t xml:space="preserve">the </w:t>
      </w:r>
      <w:r w:rsidRPr="006372E1">
        <w:t xml:space="preserve">future, </w:t>
      </w:r>
      <w:r>
        <w:t>enable</w:t>
      </w:r>
      <w:r w:rsidRPr="006372E1">
        <w:t xml:space="preserve"> trains to be cascaded </w:t>
      </w:r>
      <w:r>
        <w:t xml:space="preserve">more </w:t>
      </w:r>
      <w:r w:rsidRPr="006372E1">
        <w:t>easily between operators.</w:t>
      </w:r>
      <w:bookmarkEnd w:id="11"/>
      <w:r>
        <w:br w:type="page"/>
      </w:r>
    </w:p>
    <w:bookmarkEnd w:id="12"/>
    <w:p w14:paraId="3E6A21FA" w14:textId="77777777" w:rsidR="008A35A4" w:rsidRDefault="008A35A4" w:rsidP="008A35A4">
      <w:pPr>
        <w:pStyle w:val="Heading1"/>
      </w:pPr>
      <w:r>
        <w:t>Work package objectives</w:t>
      </w:r>
    </w:p>
    <w:p w14:paraId="08A63AEE" w14:textId="77777777" w:rsidR="008A35A4" w:rsidRDefault="008A35A4" w:rsidP="008A35A4">
      <w:pPr>
        <w:pStyle w:val="Body"/>
      </w:pPr>
      <w:r w:rsidRPr="00B90DA0">
        <w:t xml:space="preserve">The </w:t>
      </w:r>
      <w:r>
        <w:t xml:space="preserve">project aims to investigate the </w:t>
      </w:r>
      <w:r w:rsidRPr="00211781">
        <w:t>electrical</w:t>
      </w:r>
      <w:r>
        <w:t xml:space="preserve"> and </w:t>
      </w:r>
      <w:r w:rsidRPr="00211781">
        <w:t xml:space="preserve">data connectivity requirements for </w:t>
      </w:r>
      <w:r>
        <w:t xml:space="preserve">automatic </w:t>
      </w:r>
      <w:r w:rsidRPr="00211781">
        <w:t>coupl</w:t>
      </w:r>
      <w:r>
        <w:t>ers</w:t>
      </w:r>
      <w:r w:rsidRPr="00211781">
        <w:t xml:space="preserve"> across a range of scenarios</w:t>
      </w:r>
      <w:r>
        <w:t xml:space="preserve"> (including different </w:t>
      </w:r>
      <w:r w:rsidRPr="006E04A0">
        <w:t>train</w:t>
      </w:r>
      <w:r>
        <w:t xml:space="preserve"> rescue situations)</w:t>
      </w:r>
      <w:r w:rsidRPr="00211781">
        <w:t>, consider</w:t>
      </w:r>
      <w:r>
        <w:t>ing</w:t>
      </w:r>
      <w:r w:rsidRPr="00211781">
        <w:t xml:space="preserve"> different technology enablers</w:t>
      </w:r>
      <w:r>
        <w:t xml:space="preserve"> </w:t>
      </w:r>
      <w:r w:rsidRPr="00211781">
        <w:t xml:space="preserve">and business case factors </w:t>
      </w:r>
      <w:r>
        <w:t>to</w:t>
      </w:r>
      <w:r w:rsidRPr="00211781">
        <w:t xml:space="preserve"> propose a standard protocol.</w:t>
      </w:r>
    </w:p>
    <w:p w14:paraId="6C2F7E65" w14:textId="77777777" w:rsidR="008A35A4" w:rsidRDefault="008A35A4" w:rsidP="008A35A4">
      <w:pPr>
        <w:pStyle w:val="Body"/>
      </w:pPr>
      <w:r>
        <w:t xml:space="preserve">This </w:t>
      </w:r>
      <w:r w:rsidRPr="006E04A0">
        <w:t>includes</w:t>
      </w:r>
      <w:r>
        <w:t>:</w:t>
      </w:r>
    </w:p>
    <w:p w14:paraId="7510E2E6" w14:textId="77777777" w:rsidR="008A35A4" w:rsidRPr="003513E3" w:rsidRDefault="008A35A4" w:rsidP="008A35A4">
      <w:pPr>
        <w:pStyle w:val="Bullet1"/>
        <w:numPr>
          <w:ilvl w:val="0"/>
          <w:numId w:val="0"/>
        </w:numPr>
        <w:ind w:left="360" w:hanging="360"/>
        <w:rPr>
          <w:i/>
        </w:rPr>
      </w:pPr>
      <w:r w:rsidRPr="003513E3">
        <w:rPr>
          <w:i/>
        </w:rPr>
        <w:t>Identifying Use cases</w:t>
      </w:r>
    </w:p>
    <w:p w14:paraId="23DD7549" w14:textId="77777777" w:rsidR="008A35A4" w:rsidRDefault="008A35A4" w:rsidP="008A35A4">
      <w:pPr>
        <w:pStyle w:val="Bullet1"/>
      </w:pPr>
      <w:r>
        <w:t>Documented scenarios of train rescue together with coupling/uncoupling procedures using standardised electrical and data automatic couplers. The scenarios should cover interworking between trains with distinct types of traction systems (electric, diesel and hybrid). In each case, the data/electrical control wires that need to be transmitted between the trains concerned has to be evaluated.</w:t>
      </w:r>
    </w:p>
    <w:p w14:paraId="01E9425F" w14:textId="77777777" w:rsidR="008A35A4" w:rsidRDefault="008A35A4" w:rsidP="008A35A4">
      <w:pPr>
        <w:pStyle w:val="Bullet1"/>
      </w:pPr>
      <w:r>
        <w:t>Exploration of other possible modes of operation between simple rescue and full interworking, and an evaluation of the business cases for these intermediate modes.</w:t>
      </w:r>
    </w:p>
    <w:p w14:paraId="6CA3E99C" w14:textId="77777777" w:rsidR="008A35A4" w:rsidRDefault="008A35A4" w:rsidP="008A35A4">
      <w:pPr>
        <w:pStyle w:val="Bullet1"/>
      </w:pPr>
      <w:r>
        <w:t>Explanation of full interworking between different train types (that is, electric, diesel, hybrid) and an evaluation of the data/electrical transmission required</w:t>
      </w:r>
    </w:p>
    <w:p w14:paraId="6746013B" w14:textId="77777777" w:rsidR="008A35A4" w:rsidRPr="003513E3" w:rsidRDefault="008A35A4" w:rsidP="008A35A4">
      <w:pPr>
        <w:pStyle w:val="Bullet1"/>
        <w:numPr>
          <w:ilvl w:val="0"/>
          <w:numId w:val="0"/>
        </w:numPr>
        <w:rPr>
          <w:i/>
        </w:rPr>
      </w:pPr>
      <w:r w:rsidRPr="003513E3">
        <w:rPr>
          <w:i/>
        </w:rPr>
        <w:t>Defining and assessing the technological options</w:t>
      </w:r>
    </w:p>
    <w:p w14:paraId="03AA1312" w14:textId="77777777" w:rsidR="008A35A4" w:rsidRDefault="008A35A4" w:rsidP="008A35A4">
      <w:pPr>
        <w:pStyle w:val="Bullet1"/>
      </w:pPr>
      <w:r>
        <w:t xml:space="preserve">An evaluation of the technological challenge, that is, achieving the </w:t>
      </w:r>
      <w:r w:rsidRPr="0056170D">
        <w:t xml:space="preserve">interface </w:t>
      </w:r>
      <w:r>
        <w:t>between the different existing T</w:t>
      </w:r>
      <w:r w:rsidRPr="0056170D">
        <w:t>rain Control</w:t>
      </w:r>
      <w:r>
        <w:t xml:space="preserve"> and</w:t>
      </w:r>
      <w:r w:rsidRPr="0056170D">
        <w:t xml:space="preserve"> Management System</w:t>
      </w:r>
      <w:r>
        <w:t>s</w:t>
      </w:r>
      <w:r w:rsidRPr="0056170D">
        <w:t xml:space="preserve"> </w:t>
      </w:r>
      <w:r>
        <w:t>(TCMS) and the vehicles being linked via standardised automatic couplers. This interface would allow interworking with other trains.</w:t>
      </w:r>
    </w:p>
    <w:p w14:paraId="2EAA5CD3" w14:textId="77777777" w:rsidR="008A35A4" w:rsidRPr="00525666" w:rsidRDefault="008A35A4" w:rsidP="008A35A4">
      <w:pPr>
        <w:pStyle w:val="Bullet1"/>
      </w:pPr>
      <w:r>
        <w:t>An evaluation of</w:t>
      </w:r>
      <w:r w:rsidRPr="00525666">
        <w:t xml:space="preserve"> options for the transmission of data and electric</w:t>
      </w:r>
      <w:r>
        <w:t>al control wires</w:t>
      </w:r>
      <w:r w:rsidRPr="00525666">
        <w:t xml:space="preserve"> between </w:t>
      </w:r>
      <w:r>
        <w:t>units and/or vehicles</w:t>
      </w:r>
      <w:r w:rsidRPr="00525666">
        <w:t>, starting with a technology search to identify existing</w:t>
      </w:r>
      <w:r>
        <w:t xml:space="preserve"> or future</w:t>
      </w:r>
      <w:r w:rsidRPr="00525666">
        <w:t xml:space="preserve"> products which might be suitable. The evaluation should consider the options particularly in relation to:</w:t>
      </w:r>
    </w:p>
    <w:p w14:paraId="58B7E8D6" w14:textId="77777777" w:rsidR="008A35A4" w:rsidRDefault="008A35A4" w:rsidP="009E2DEF">
      <w:pPr>
        <w:pStyle w:val="Bullet2"/>
        <w:numPr>
          <w:ilvl w:val="0"/>
          <w:numId w:val="44"/>
        </w:numPr>
      </w:pPr>
      <w:r>
        <w:t>Business case</w:t>
      </w:r>
    </w:p>
    <w:p w14:paraId="226C3FF2" w14:textId="77777777" w:rsidR="008A35A4" w:rsidRDefault="008A35A4" w:rsidP="009E2DEF">
      <w:pPr>
        <w:pStyle w:val="Bullet2"/>
        <w:numPr>
          <w:ilvl w:val="0"/>
          <w:numId w:val="44"/>
        </w:numPr>
      </w:pPr>
      <w:r>
        <w:t>Safety integrity (Safety Integrity Level 4 is desired)</w:t>
      </w:r>
    </w:p>
    <w:p w14:paraId="2DDDF777" w14:textId="77777777" w:rsidR="008A35A4" w:rsidRDefault="008A35A4" w:rsidP="008A35A4">
      <w:pPr>
        <w:pStyle w:val="Bullet1"/>
      </w:pPr>
      <w:r w:rsidRPr="00525666">
        <w:t>Defining a protocol for the transmission of data and electric</w:t>
      </w:r>
      <w:r>
        <w:t>al control wires</w:t>
      </w:r>
      <w:r w:rsidRPr="00525666">
        <w:t xml:space="preserve"> between trains, recognising the need to achieve conformance of performance characteristics between distinct types</w:t>
      </w:r>
      <w:r>
        <w:t xml:space="preserve"> of train and considering technological solutions to achieve this.</w:t>
      </w:r>
    </w:p>
    <w:p w14:paraId="376B4DD3" w14:textId="77777777" w:rsidR="008A35A4" w:rsidRPr="003513E3" w:rsidRDefault="008A35A4" w:rsidP="008A35A4">
      <w:pPr>
        <w:pStyle w:val="Bullet1"/>
        <w:numPr>
          <w:ilvl w:val="0"/>
          <w:numId w:val="0"/>
        </w:numPr>
        <w:rPr>
          <w:i/>
        </w:rPr>
      </w:pPr>
      <w:r>
        <w:rPr>
          <w:i/>
        </w:rPr>
        <w:t>R</w:t>
      </w:r>
      <w:r w:rsidRPr="003513E3">
        <w:rPr>
          <w:i/>
        </w:rPr>
        <w:t>ecommend</w:t>
      </w:r>
      <w:r>
        <w:rPr>
          <w:i/>
        </w:rPr>
        <w:t>ing action</w:t>
      </w:r>
      <w:r w:rsidRPr="003513E3">
        <w:rPr>
          <w:i/>
        </w:rPr>
        <w:t>s</w:t>
      </w:r>
    </w:p>
    <w:p w14:paraId="2A9556F8" w14:textId="77777777" w:rsidR="008A35A4" w:rsidRDefault="008A35A4" w:rsidP="008A35A4">
      <w:pPr>
        <w:pStyle w:val="Bullet1"/>
      </w:pPr>
      <w:r>
        <w:t>Preparing a report which:</w:t>
      </w:r>
    </w:p>
    <w:p w14:paraId="3E362E3A" w14:textId="77777777" w:rsidR="008A35A4" w:rsidRDefault="008A35A4" w:rsidP="008A35A4">
      <w:pPr>
        <w:pStyle w:val="Bullet1"/>
        <w:numPr>
          <w:ilvl w:val="0"/>
          <w:numId w:val="0"/>
        </w:numPr>
        <w:ind w:left="360"/>
      </w:pPr>
      <w:r>
        <w:t>- Summarises options, in terms of modes of operation and associated business cases.</w:t>
      </w:r>
    </w:p>
    <w:p w14:paraId="3F984182" w14:textId="77777777" w:rsidR="008A35A4" w:rsidRDefault="008A35A4" w:rsidP="008A35A4">
      <w:pPr>
        <w:pStyle w:val="Body"/>
        <w:ind w:left="360"/>
        <w:jc w:val="both"/>
      </w:pPr>
      <w:r>
        <w:t>- Recommends a standard protocol for the transmission of data between units and/or vehicles.</w:t>
      </w:r>
    </w:p>
    <w:p w14:paraId="4F15FB48" w14:textId="77777777" w:rsidR="008A35A4" w:rsidRDefault="008A35A4" w:rsidP="008A35A4">
      <w:pPr>
        <w:pStyle w:val="Body"/>
        <w:ind w:left="360"/>
        <w:jc w:val="both"/>
      </w:pPr>
      <w:r>
        <w:t>- Recommends technical solutions, potentially based on those available today and those anticipated in the future, for the transmission of data between units and/or vehicles. The evaluation should include consideration of business case and safety integrity.</w:t>
      </w:r>
    </w:p>
    <w:p w14:paraId="1955D7F1" w14:textId="77777777" w:rsidR="008A35A4" w:rsidRDefault="008A35A4" w:rsidP="008A35A4">
      <w:pPr>
        <w:pStyle w:val="Body"/>
        <w:jc w:val="both"/>
      </w:pPr>
    </w:p>
    <w:p w14:paraId="0D4A09C7" w14:textId="77777777" w:rsidR="008A35A4" w:rsidRDefault="008A35A4" w:rsidP="008A35A4">
      <w:pPr>
        <w:pStyle w:val="Heading1"/>
      </w:pPr>
      <w:r>
        <w:t xml:space="preserve"> Scope</w:t>
      </w:r>
    </w:p>
    <w:tbl>
      <w:tblPr>
        <w:tblStyle w:val="GridTable4-Accent1"/>
        <w:tblpPr w:leftFromText="180" w:rightFromText="180" w:vertAnchor="text" w:horzAnchor="margin" w:tblpXSpec="center" w:tblpY="52"/>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681"/>
        <w:gridCol w:w="3847"/>
      </w:tblGrid>
      <w:tr w:rsidR="008A35A4" w:rsidRPr="004B0591" w14:paraId="5421B062" w14:textId="77777777" w:rsidTr="00414D35">
        <w:trPr>
          <w:cnfStyle w:val="100000000000" w:firstRow="1" w:lastRow="0" w:firstColumn="0" w:lastColumn="0" w:oddVBand="0" w:evenVBand="0" w:oddHBand="0" w:evenHBand="0" w:firstRowFirstColumn="0" w:firstRowLastColumn="0" w:lastRowFirstColumn="0" w:lastRowLastColumn="0"/>
          <w:trHeight w:val="356"/>
        </w:trPr>
        <w:tc>
          <w:tcPr>
            <w:tcW w:w="3681" w:type="dxa"/>
            <w:tcBorders>
              <w:top w:val="none" w:sz="0" w:space="0" w:color="auto"/>
              <w:left w:val="none" w:sz="0" w:space="0" w:color="auto"/>
              <w:bottom w:val="none" w:sz="0" w:space="0" w:color="auto"/>
              <w:right w:val="none" w:sz="0" w:space="0" w:color="auto"/>
            </w:tcBorders>
            <w:shd w:val="clear" w:color="auto" w:fill="auto"/>
            <w:hideMark/>
          </w:tcPr>
          <w:p w14:paraId="6C65C6DF" w14:textId="77777777" w:rsidR="008A35A4" w:rsidRPr="008C6FEC" w:rsidRDefault="008A35A4" w:rsidP="00414D35">
            <w:pPr>
              <w:pStyle w:val="TableHead"/>
              <w:rPr>
                <w:color w:val="auto"/>
              </w:rPr>
            </w:pPr>
            <w:r w:rsidRPr="008C6FEC">
              <w:rPr>
                <w:color w:val="auto"/>
              </w:rPr>
              <w:t>In scope</w:t>
            </w:r>
          </w:p>
        </w:tc>
        <w:tc>
          <w:tcPr>
            <w:tcW w:w="3847" w:type="dxa"/>
            <w:tcBorders>
              <w:top w:val="none" w:sz="0" w:space="0" w:color="auto"/>
              <w:left w:val="none" w:sz="0" w:space="0" w:color="auto"/>
              <w:bottom w:val="none" w:sz="0" w:space="0" w:color="auto"/>
              <w:right w:val="none" w:sz="0" w:space="0" w:color="auto"/>
            </w:tcBorders>
            <w:shd w:val="clear" w:color="auto" w:fill="auto"/>
            <w:hideMark/>
          </w:tcPr>
          <w:p w14:paraId="178B3FF7" w14:textId="77777777" w:rsidR="008A35A4" w:rsidRPr="008C6FEC" w:rsidRDefault="008A35A4" w:rsidP="00414D35">
            <w:pPr>
              <w:pStyle w:val="TableHead"/>
              <w:rPr>
                <w:color w:val="auto"/>
              </w:rPr>
            </w:pPr>
            <w:r w:rsidRPr="008C6FEC">
              <w:rPr>
                <w:color w:val="auto"/>
              </w:rPr>
              <w:t>Out of scope</w:t>
            </w:r>
          </w:p>
        </w:tc>
      </w:tr>
      <w:tr w:rsidR="008A35A4" w:rsidRPr="004B0591" w14:paraId="462301B3" w14:textId="77777777" w:rsidTr="00414D35">
        <w:trPr>
          <w:trHeight w:val="873"/>
        </w:trPr>
        <w:tc>
          <w:tcPr>
            <w:tcW w:w="3681" w:type="dxa"/>
            <w:hideMark/>
          </w:tcPr>
          <w:p w14:paraId="2B788EA6" w14:textId="77777777" w:rsidR="008A35A4" w:rsidRDefault="008A35A4" w:rsidP="008A35A4">
            <w:pPr>
              <w:pStyle w:val="TableBullet"/>
              <w:ind w:left="170" w:hanging="170"/>
            </w:pPr>
            <w:r>
              <w:t>Assessment of automatic coupler</w:t>
            </w:r>
            <w:r w:rsidRPr="004B0591">
              <w:t xml:space="preserve"> optio</w:t>
            </w:r>
            <w:r>
              <w:t>ns, considering operational needs, business case, technology options, and</w:t>
            </w:r>
            <w:r w:rsidRPr="004B0591">
              <w:t xml:space="preserve"> safety integrity</w:t>
            </w:r>
            <w:r>
              <w:t xml:space="preserve"> (that is, data and electrical automatic coupler systems have to be defined with a Safety Integrity Level of 4)</w:t>
            </w:r>
          </w:p>
          <w:p w14:paraId="4B053120" w14:textId="77777777" w:rsidR="008A35A4" w:rsidRDefault="008A35A4" w:rsidP="008A35A4">
            <w:pPr>
              <w:pStyle w:val="TableBullet"/>
              <w:ind w:left="170" w:hanging="170"/>
            </w:pPr>
            <w:r>
              <w:t xml:space="preserve">Text that is suitable for incorporation into </w:t>
            </w:r>
            <w:r w:rsidRPr="004B0591">
              <w:t xml:space="preserve">the </w:t>
            </w:r>
            <w:r>
              <w:t>Key Train Requirements (</w:t>
            </w:r>
            <w:r w:rsidRPr="004B0591">
              <w:t>KTR</w:t>
            </w:r>
            <w:r>
              <w:t>)</w:t>
            </w:r>
            <w:r w:rsidRPr="004B0591">
              <w:t xml:space="preserve"> </w:t>
            </w:r>
            <w:r>
              <w:t>that details technical</w:t>
            </w:r>
            <w:r w:rsidRPr="004B0591">
              <w:t xml:space="preserve"> </w:t>
            </w:r>
            <w:r>
              <w:t>specifications</w:t>
            </w:r>
            <w:r w:rsidRPr="004B0591">
              <w:t xml:space="preserve"> </w:t>
            </w:r>
            <w:r>
              <w:t>required for</w:t>
            </w:r>
            <w:r w:rsidRPr="004B0591">
              <w:t xml:space="preserve"> standardised data transmission</w:t>
            </w:r>
            <w:r>
              <w:t xml:space="preserve">, (that is, </w:t>
            </w:r>
            <w:r w:rsidRPr="004B0591">
              <w:t>data protocol</w:t>
            </w:r>
            <w:r>
              <w:t>s and methods of transmission)</w:t>
            </w:r>
          </w:p>
          <w:p w14:paraId="213A62A8" w14:textId="77777777" w:rsidR="008A35A4" w:rsidRDefault="008A35A4" w:rsidP="008A35A4">
            <w:pPr>
              <w:pStyle w:val="TableBullet"/>
              <w:ind w:left="170" w:hanging="170"/>
            </w:pPr>
            <w:r w:rsidRPr="004B0591">
              <w:t>Consider</w:t>
            </w:r>
            <w:r>
              <w:t>ation of</w:t>
            </w:r>
            <w:r w:rsidRPr="004B0591">
              <w:t xml:space="preserve"> closer running type scenarios (</w:t>
            </w:r>
            <w:r>
              <w:t>for example, “</w:t>
            </w:r>
            <w:r w:rsidRPr="004B0591">
              <w:t>on the fly</w:t>
            </w:r>
            <w:r>
              <w:t>”</w:t>
            </w:r>
            <w:r w:rsidRPr="004B0591">
              <w:t xml:space="preserve"> coupling at stations and</w:t>
            </w:r>
            <w:r>
              <w:t>,</w:t>
            </w:r>
            <w:r w:rsidRPr="004B0591">
              <w:t xml:space="preserve"> eventually</w:t>
            </w:r>
            <w:r>
              <w:t>,</w:t>
            </w:r>
            <w:r w:rsidRPr="004B0591">
              <w:t xml:space="preserve"> on the move)</w:t>
            </w:r>
          </w:p>
          <w:p w14:paraId="57E78C30" w14:textId="77777777" w:rsidR="008A35A4" w:rsidRDefault="008A35A4" w:rsidP="008A35A4">
            <w:pPr>
              <w:pStyle w:val="TableBullet"/>
              <w:ind w:left="170" w:hanging="170"/>
            </w:pPr>
            <w:r>
              <w:t>Consideration of weathering on the automatic couplers’ solutions</w:t>
            </w:r>
          </w:p>
          <w:p w14:paraId="68FA0060" w14:textId="77777777" w:rsidR="008A35A4" w:rsidRDefault="008A35A4" w:rsidP="008A35A4">
            <w:pPr>
              <w:pStyle w:val="TableBullet"/>
              <w:ind w:left="170" w:hanging="170"/>
            </w:pPr>
            <w:r>
              <w:t xml:space="preserve">Consideration of distinct </w:t>
            </w:r>
            <w:r w:rsidRPr="004B0591">
              <w:t>rescue</w:t>
            </w:r>
            <w:r>
              <w:t xml:space="preserve"> situations, such as “live rescue” where a </w:t>
            </w:r>
            <w:r w:rsidRPr="004B0591">
              <w:t>power supply</w:t>
            </w:r>
            <w:r>
              <w:t xml:space="preserve"> is </w:t>
            </w:r>
            <w:r w:rsidRPr="004B0591">
              <w:t>provided</w:t>
            </w:r>
            <w:r>
              <w:t xml:space="preserve"> to the rescued vehicle and </w:t>
            </w:r>
            <w:r w:rsidRPr="004B0591">
              <w:t>air conditioning</w:t>
            </w:r>
            <w:r>
              <w:t xml:space="preserve"> system is operational</w:t>
            </w:r>
          </w:p>
          <w:p w14:paraId="59ED5524" w14:textId="77777777" w:rsidR="008A35A4" w:rsidRPr="004B0591" w:rsidRDefault="008A35A4" w:rsidP="008A35A4">
            <w:pPr>
              <w:pStyle w:val="TableBullet"/>
              <w:ind w:left="170" w:hanging="170"/>
            </w:pPr>
            <w:r>
              <w:t>Ensuring that the technical solutions developed work together with the previously defined solutions for mechanical standardisation of automatic couplers (T1003’s specification)</w:t>
            </w:r>
          </w:p>
        </w:tc>
        <w:tc>
          <w:tcPr>
            <w:tcW w:w="3847" w:type="dxa"/>
            <w:hideMark/>
          </w:tcPr>
          <w:p w14:paraId="00E81FFF" w14:textId="77777777" w:rsidR="008A35A4" w:rsidRDefault="008A35A4" w:rsidP="008A35A4">
            <w:pPr>
              <w:pStyle w:val="TableBullet"/>
              <w:ind w:left="170" w:hanging="170"/>
            </w:pPr>
            <w:r>
              <w:t>Assessment of</w:t>
            </w:r>
            <w:r w:rsidRPr="004B0591">
              <w:t xml:space="preserve"> gangway coupling</w:t>
            </w:r>
          </w:p>
          <w:p w14:paraId="64202BE9" w14:textId="77777777" w:rsidR="008A35A4" w:rsidRDefault="008A35A4" w:rsidP="008A35A4">
            <w:pPr>
              <w:pStyle w:val="TableBullet"/>
              <w:ind w:left="170" w:hanging="170"/>
            </w:pPr>
            <w:r>
              <w:t>Retrofitting requirements for couplers</w:t>
            </w:r>
          </w:p>
          <w:p w14:paraId="41418547" w14:textId="77777777" w:rsidR="008A35A4" w:rsidRDefault="008A35A4" w:rsidP="008A35A4">
            <w:pPr>
              <w:pStyle w:val="TableBullet"/>
              <w:ind w:left="170" w:hanging="170"/>
            </w:pPr>
            <w:r>
              <w:t>The transfer of water between vehicles (if any) or hotel services requirements</w:t>
            </w:r>
            <w:r w:rsidRPr="004B0591">
              <w:t xml:space="preserve"> </w:t>
            </w:r>
            <w:r>
              <w:t>are not to be included in the automatic coupler specifications. The transmission of DC and AC traction current is also out of scope.</w:t>
            </w:r>
          </w:p>
          <w:p w14:paraId="09A2CEDC" w14:textId="77777777" w:rsidR="008A35A4" w:rsidRDefault="008A35A4" w:rsidP="008A35A4">
            <w:pPr>
              <w:pStyle w:val="TableBullet"/>
              <w:ind w:left="170" w:hanging="170"/>
            </w:pPr>
            <w:r>
              <w:t xml:space="preserve">Specifications for </w:t>
            </w:r>
            <w:r w:rsidRPr="004B0591">
              <w:t>coupler covers</w:t>
            </w:r>
            <w:r>
              <w:t xml:space="preserve"> are not required</w:t>
            </w:r>
          </w:p>
          <w:p w14:paraId="45E68E23" w14:textId="77777777" w:rsidR="008A35A4" w:rsidRDefault="008A35A4" w:rsidP="008A35A4">
            <w:pPr>
              <w:pStyle w:val="TableBullet"/>
              <w:ind w:left="170" w:hanging="170"/>
            </w:pPr>
            <w:r>
              <w:t>Dead rescue is out of scope since no electrical/data transmission will be needed</w:t>
            </w:r>
          </w:p>
          <w:p w14:paraId="38E7A1BE" w14:textId="77777777" w:rsidR="008A35A4" w:rsidRDefault="008A35A4" w:rsidP="008A35A4">
            <w:pPr>
              <w:pStyle w:val="TableBullet"/>
              <w:ind w:left="170" w:hanging="170"/>
            </w:pPr>
            <w:r>
              <w:t>Non-GB rolling stock</w:t>
            </w:r>
          </w:p>
          <w:p w14:paraId="2934C560" w14:textId="77777777" w:rsidR="008A35A4" w:rsidRDefault="008A35A4" w:rsidP="008A35A4">
            <w:pPr>
              <w:pStyle w:val="TableBullet"/>
              <w:ind w:left="170" w:hanging="170"/>
            </w:pPr>
            <w:r>
              <w:t>Development of standard automatic couplers and testing are out of scope</w:t>
            </w:r>
          </w:p>
          <w:p w14:paraId="6884B50F" w14:textId="77777777" w:rsidR="008A35A4" w:rsidRPr="004B0591" w:rsidRDefault="008A35A4" w:rsidP="00414D35">
            <w:pPr>
              <w:pStyle w:val="TableBullet"/>
              <w:numPr>
                <w:ilvl w:val="0"/>
                <w:numId w:val="0"/>
              </w:numPr>
              <w:ind w:left="170"/>
            </w:pPr>
          </w:p>
        </w:tc>
      </w:tr>
    </w:tbl>
    <w:p w14:paraId="48051687" w14:textId="77777777" w:rsidR="008A35A4" w:rsidRDefault="008A35A4" w:rsidP="008A35A4">
      <w:pPr>
        <w:pStyle w:val="Heading1"/>
        <w:numPr>
          <w:ilvl w:val="0"/>
          <w:numId w:val="0"/>
        </w:numPr>
      </w:pPr>
    </w:p>
    <w:p w14:paraId="063E2578" w14:textId="77777777" w:rsidR="008A35A4" w:rsidRDefault="008A35A4" w:rsidP="008A35A4">
      <w:pPr>
        <w:pStyle w:val="Heading1"/>
      </w:pPr>
      <w:r>
        <w:t>Methodology</w:t>
      </w:r>
    </w:p>
    <w:p w14:paraId="193019B4" w14:textId="77777777" w:rsidR="008A35A4" w:rsidRDefault="008A35A4" w:rsidP="008A35A4">
      <w:pPr>
        <w:pStyle w:val="Body"/>
      </w:pPr>
      <w:r>
        <w:t>RSSB expects s</w:t>
      </w:r>
      <w:r w:rsidRPr="00A53EA0">
        <w:t xml:space="preserve">uppliers </w:t>
      </w:r>
      <w:r w:rsidRPr="00A133A3">
        <w:t>to</w:t>
      </w:r>
      <w:r>
        <w:t xml:space="preserve"> develop the methodology to successfully meet the objectives and cover the scope. However, it is likely that the work will involve the following activities:</w:t>
      </w:r>
    </w:p>
    <w:p w14:paraId="6556CF34" w14:textId="77777777" w:rsidR="008A35A4" w:rsidRDefault="008A35A4" w:rsidP="008A35A4">
      <w:pPr>
        <w:pStyle w:val="Bullet1"/>
        <w:ind w:left="227" w:hanging="227"/>
      </w:pPr>
      <w:r>
        <w:t>Engagement with GB rail industry to understand the specific requirements of stakeholders.</w:t>
      </w:r>
    </w:p>
    <w:p w14:paraId="4E57DC4D" w14:textId="77777777" w:rsidR="008A35A4" w:rsidRDefault="008A35A4" w:rsidP="008A35A4">
      <w:pPr>
        <w:pStyle w:val="Bullet1"/>
        <w:ind w:left="227" w:hanging="227"/>
      </w:pPr>
      <w:r>
        <w:t>A review of existing literature to capture good practice in other countries and from other transport sectors.</w:t>
      </w:r>
    </w:p>
    <w:p w14:paraId="1BAB4AB8" w14:textId="77777777" w:rsidR="008A35A4" w:rsidRDefault="008A35A4" w:rsidP="008A35A4">
      <w:pPr>
        <w:pStyle w:val="Bullet1"/>
        <w:ind w:left="227" w:hanging="227"/>
      </w:pPr>
      <w:r w:rsidRPr="00441DE5">
        <w:t>Gap analysis to understand</w:t>
      </w:r>
      <w:r>
        <w:t xml:space="preserve"> the current automatic coupler incompatibility situation in relation to the various existing automatic coupler arrangements</w:t>
      </w:r>
      <w:r w:rsidRPr="00441DE5">
        <w:t>.</w:t>
      </w:r>
    </w:p>
    <w:p w14:paraId="155E3908" w14:textId="77777777" w:rsidR="008A35A4" w:rsidRPr="00F73E82" w:rsidRDefault="008A35A4" w:rsidP="008A35A4">
      <w:pPr>
        <w:pStyle w:val="Bullet1"/>
        <w:numPr>
          <w:ilvl w:val="0"/>
          <w:numId w:val="0"/>
        </w:numPr>
        <w:ind w:left="227"/>
      </w:pPr>
    </w:p>
    <w:p w14:paraId="5ABEA69F" w14:textId="77777777" w:rsidR="008A35A4" w:rsidRDefault="008A35A4" w:rsidP="008A35A4">
      <w:pPr>
        <w:pStyle w:val="Heading1"/>
      </w:pPr>
      <w:r>
        <w:t>Deliverables</w:t>
      </w:r>
    </w:p>
    <w:p w14:paraId="5F0AFCDF" w14:textId="77777777" w:rsidR="008A35A4" w:rsidRPr="009E6941" w:rsidRDefault="008A35A4" w:rsidP="008A35A4">
      <w:pPr>
        <w:pStyle w:val="Body"/>
      </w:pPr>
      <w:r w:rsidRPr="008164E3">
        <w:t xml:space="preserve">All deliverables will use an RSSB template and be available to RSSB members </w:t>
      </w:r>
      <w:r>
        <w:t>via SPARK.</w:t>
      </w:r>
    </w:p>
    <w:tbl>
      <w:tblPr>
        <w:tblStyle w:val="TableGrid"/>
        <w:tblpPr w:leftFromText="180" w:rightFromText="180" w:vertAnchor="text" w:tblpXSpec="center" w:tblpY="1"/>
        <w:tblOverlap w:val="never"/>
        <w:tblW w:w="8359" w:type="dxa"/>
        <w:jc w:val="center"/>
        <w:tblLayout w:type="fixed"/>
        <w:tblLook w:val="04A0" w:firstRow="1" w:lastRow="0" w:firstColumn="1" w:lastColumn="0" w:noHBand="0" w:noVBand="1"/>
      </w:tblPr>
      <w:tblGrid>
        <w:gridCol w:w="1701"/>
        <w:gridCol w:w="1560"/>
        <w:gridCol w:w="5098"/>
      </w:tblGrid>
      <w:tr w:rsidR="008A35A4" w14:paraId="4474FAB3" w14:textId="77777777" w:rsidTr="00414D35">
        <w:trPr>
          <w:jc w:val="center"/>
        </w:trPr>
        <w:tc>
          <w:tcPr>
            <w:tcW w:w="1701" w:type="dxa"/>
            <w:shd w:val="clear" w:color="auto" w:fill="auto"/>
          </w:tcPr>
          <w:p w14:paraId="4393F26B" w14:textId="77777777" w:rsidR="008A35A4" w:rsidRPr="005E3F59" w:rsidRDefault="008A35A4" w:rsidP="00414D35">
            <w:pPr>
              <w:pStyle w:val="TableHead"/>
            </w:pPr>
            <w:r w:rsidRPr="005E3F59">
              <w:t>Deliverable name</w:t>
            </w:r>
          </w:p>
        </w:tc>
        <w:tc>
          <w:tcPr>
            <w:tcW w:w="1560" w:type="dxa"/>
            <w:shd w:val="clear" w:color="auto" w:fill="auto"/>
          </w:tcPr>
          <w:p w14:paraId="1DC7D2EE" w14:textId="77777777" w:rsidR="008A35A4" w:rsidRPr="005E3F59" w:rsidRDefault="008A35A4" w:rsidP="00414D35">
            <w:pPr>
              <w:pStyle w:val="TableHead"/>
            </w:pPr>
            <w:r w:rsidRPr="005E3F59">
              <w:t>Type</w:t>
            </w:r>
          </w:p>
        </w:tc>
        <w:tc>
          <w:tcPr>
            <w:tcW w:w="5098" w:type="dxa"/>
            <w:shd w:val="clear" w:color="auto" w:fill="auto"/>
          </w:tcPr>
          <w:p w14:paraId="15F3C90F" w14:textId="77777777" w:rsidR="008A35A4" w:rsidRPr="005E3F59" w:rsidRDefault="008A35A4" w:rsidP="00414D35">
            <w:pPr>
              <w:pStyle w:val="TableHead"/>
            </w:pPr>
            <w:r w:rsidRPr="005E3F59">
              <w:t>Description</w:t>
            </w:r>
          </w:p>
        </w:tc>
      </w:tr>
      <w:tr w:rsidR="008A35A4" w14:paraId="4A9812E6" w14:textId="77777777" w:rsidTr="00414D35">
        <w:trPr>
          <w:jc w:val="center"/>
        </w:trPr>
        <w:tc>
          <w:tcPr>
            <w:tcW w:w="1701" w:type="dxa"/>
          </w:tcPr>
          <w:p w14:paraId="56C26BFC" w14:textId="77777777" w:rsidR="008A35A4" w:rsidRDefault="008A35A4" w:rsidP="00414D35">
            <w:pPr>
              <w:pStyle w:val="TableBodyLeft"/>
              <w:jc w:val="both"/>
            </w:pPr>
            <w:r>
              <w:t>Final report</w:t>
            </w:r>
          </w:p>
        </w:tc>
        <w:tc>
          <w:tcPr>
            <w:tcW w:w="1560" w:type="dxa"/>
          </w:tcPr>
          <w:p w14:paraId="7BB57CE8" w14:textId="77777777" w:rsidR="008A35A4" w:rsidRDefault="008A35A4" w:rsidP="00414D35">
            <w:pPr>
              <w:pStyle w:val="TableBodyLeft"/>
              <w:jc w:val="both"/>
            </w:pPr>
            <w:r>
              <w:t>Report</w:t>
            </w:r>
          </w:p>
        </w:tc>
        <w:tc>
          <w:tcPr>
            <w:tcW w:w="5098" w:type="dxa"/>
          </w:tcPr>
          <w:p w14:paraId="7C85D2BA" w14:textId="77777777" w:rsidR="008A35A4" w:rsidRPr="00F80694" w:rsidRDefault="008A35A4" w:rsidP="00414D35">
            <w:pPr>
              <w:pStyle w:val="TableBodyLeft"/>
              <w:jc w:val="both"/>
              <w:rPr>
                <w:rFonts w:asciiTheme="minorHAnsi" w:hAnsiTheme="minorHAnsi"/>
              </w:rPr>
            </w:pPr>
            <w:r>
              <w:rPr>
                <w:rFonts w:asciiTheme="minorHAnsi" w:hAnsiTheme="minorHAnsi"/>
              </w:rPr>
              <w:t xml:space="preserve">This report details the approach taken to developing the </w:t>
            </w:r>
            <w:r w:rsidRPr="004B0591">
              <w:t>optio</w:t>
            </w:r>
            <w:r>
              <w:t>ns and the assessments made, covering modes of operations, business cases, technology options and</w:t>
            </w:r>
            <w:r w:rsidRPr="004B0591">
              <w:t xml:space="preserve"> safety integrity</w:t>
            </w:r>
            <w:r>
              <w:t>. The report should also provide rescue scenarios that would use the new coupling functionality.</w:t>
            </w:r>
          </w:p>
          <w:p w14:paraId="34F232EA" w14:textId="77777777" w:rsidR="008A35A4" w:rsidRPr="00F80694" w:rsidRDefault="008A35A4" w:rsidP="00414D35">
            <w:pPr>
              <w:pStyle w:val="TableBodyLeft"/>
              <w:jc w:val="both"/>
              <w:rPr>
                <w:rFonts w:asciiTheme="minorHAnsi" w:hAnsiTheme="minorHAnsi"/>
              </w:rPr>
            </w:pPr>
          </w:p>
        </w:tc>
      </w:tr>
      <w:tr w:rsidR="008A35A4" w14:paraId="6A2AC343" w14:textId="77777777" w:rsidTr="00414D35">
        <w:trPr>
          <w:jc w:val="center"/>
        </w:trPr>
        <w:tc>
          <w:tcPr>
            <w:tcW w:w="1701" w:type="dxa"/>
          </w:tcPr>
          <w:p w14:paraId="4719DDDE" w14:textId="77777777" w:rsidR="008A35A4" w:rsidRDefault="008A35A4" w:rsidP="00414D35">
            <w:pPr>
              <w:pStyle w:val="TableBodyLeft"/>
            </w:pPr>
            <w:r>
              <w:t xml:space="preserve">Specifications  </w:t>
            </w:r>
          </w:p>
        </w:tc>
        <w:tc>
          <w:tcPr>
            <w:tcW w:w="1560" w:type="dxa"/>
          </w:tcPr>
          <w:p w14:paraId="46615F18" w14:textId="77777777" w:rsidR="008A35A4" w:rsidRDefault="008A35A4" w:rsidP="00414D35">
            <w:pPr>
              <w:pStyle w:val="TableBodyLeft"/>
            </w:pPr>
            <w:r>
              <w:t>Specifications written in a format similar to the KTR content.</w:t>
            </w:r>
          </w:p>
        </w:tc>
        <w:tc>
          <w:tcPr>
            <w:tcW w:w="5098" w:type="dxa"/>
          </w:tcPr>
          <w:p w14:paraId="208A0692" w14:textId="77777777" w:rsidR="008A35A4" w:rsidRPr="00553F04" w:rsidRDefault="008A35A4" w:rsidP="00414D35">
            <w:pPr>
              <w:pStyle w:val="Body"/>
              <w:jc w:val="both"/>
            </w:pPr>
            <w:r>
              <w:rPr>
                <w:rFonts w:asciiTheme="minorHAnsi" w:hAnsiTheme="minorHAnsi"/>
              </w:rPr>
              <w:t xml:space="preserve">This standalone document should </w:t>
            </w:r>
            <w:r>
              <w:t xml:space="preserve">recommend a standard protocol for the transmission of data and electric controls between trains and technical solutions, potentially based on those available today and those anticipated in the future, for the transmission of data and electric controls between trains. </w:t>
            </w:r>
          </w:p>
        </w:tc>
      </w:tr>
      <w:tr w:rsidR="008A35A4" w14:paraId="3648A228" w14:textId="77777777" w:rsidTr="00414D35">
        <w:trPr>
          <w:jc w:val="center"/>
        </w:trPr>
        <w:tc>
          <w:tcPr>
            <w:tcW w:w="1701" w:type="dxa"/>
          </w:tcPr>
          <w:p w14:paraId="0591D256" w14:textId="77777777" w:rsidR="008A35A4" w:rsidRDefault="008A35A4" w:rsidP="00414D35">
            <w:pPr>
              <w:pStyle w:val="TableBodyLeft"/>
            </w:pPr>
            <w:r>
              <w:t>(Draft) Research brief</w:t>
            </w:r>
          </w:p>
        </w:tc>
        <w:tc>
          <w:tcPr>
            <w:tcW w:w="1560" w:type="dxa"/>
          </w:tcPr>
          <w:p w14:paraId="463EDD6C" w14:textId="77777777" w:rsidR="008A35A4" w:rsidRDefault="008A35A4" w:rsidP="00414D35">
            <w:pPr>
              <w:pStyle w:val="TableBodyLeft"/>
            </w:pPr>
            <w:r>
              <w:t>Report</w:t>
            </w:r>
          </w:p>
        </w:tc>
        <w:tc>
          <w:tcPr>
            <w:tcW w:w="5098" w:type="dxa"/>
          </w:tcPr>
          <w:p w14:paraId="74C14A34" w14:textId="77777777" w:rsidR="008A35A4" w:rsidRDefault="008A35A4" w:rsidP="00414D35">
            <w:pPr>
              <w:pStyle w:val="Body"/>
              <w:jc w:val="both"/>
              <w:rPr>
                <w:rFonts w:asciiTheme="minorHAnsi" w:hAnsiTheme="minorHAnsi"/>
              </w:rPr>
            </w:pPr>
            <w:r>
              <w:rPr>
                <w:rFonts w:asciiTheme="minorHAnsi" w:hAnsiTheme="minorHAnsi"/>
              </w:rPr>
              <w:t>A</w:t>
            </w:r>
            <w:r w:rsidRPr="00F80694">
              <w:rPr>
                <w:rFonts w:asciiTheme="minorHAnsi" w:hAnsiTheme="minorHAnsi"/>
              </w:rPr>
              <w:t xml:space="preserve"> four-page document</w:t>
            </w:r>
            <w:r>
              <w:rPr>
                <w:rFonts w:asciiTheme="minorHAnsi" w:hAnsiTheme="minorHAnsi"/>
              </w:rPr>
              <w:t xml:space="preserve"> </w:t>
            </w:r>
            <w:r w:rsidRPr="00BB69B2">
              <w:rPr>
                <w:rFonts w:asciiTheme="minorHAnsi" w:hAnsiTheme="minorHAnsi"/>
              </w:rPr>
              <w:t>summarising</w:t>
            </w:r>
            <w:r w:rsidRPr="00F80694">
              <w:rPr>
                <w:rFonts w:asciiTheme="minorHAnsi" w:hAnsiTheme="minorHAnsi"/>
              </w:rPr>
              <w:t xml:space="preserve"> the research, its findings, and the potential benefits generated.</w:t>
            </w:r>
          </w:p>
        </w:tc>
      </w:tr>
      <w:tr w:rsidR="008A35A4" w14:paraId="59DFC39F" w14:textId="77777777" w:rsidTr="00414D35">
        <w:trPr>
          <w:jc w:val="center"/>
        </w:trPr>
        <w:tc>
          <w:tcPr>
            <w:tcW w:w="1701" w:type="dxa"/>
          </w:tcPr>
          <w:p w14:paraId="1B81965A" w14:textId="77777777" w:rsidR="008A35A4" w:rsidRDefault="008A35A4" w:rsidP="00414D35">
            <w:pPr>
              <w:pStyle w:val="TableBodyLeft"/>
            </w:pPr>
            <w:r w:rsidRPr="00553F04">
              <w:t>A presentation to be made available to industry to promote the material</w:t>
            </w:r>
          </w:p>
        </w:tc>
        <w:tc>
          <w:tcPr>
            <w:tcW w:w="1560" w:type="dxa"/>
          </w:tcPr>
          <w:p w14:paraId="5571A88D" w14:textId="77777777" w:rsidR="008A35A4" w:rsidRDefault="008A35A4" w:rsidP="00414D35">
            <w:pPr>
              <w:pStyle w:val="TableBodyLeft"/>
            </w:pPr>
            <w:r>
              <w:t>PowerPoint presentation</w:t>
            </w:r>
          </w:p>
        </w:tc>
        <w:tc>
          <w:tcPr>
            <w:tcW w:w="5098" w:type="dxa"/>
          </w:tcPr>
          <w:p w14:paraId="045C095C" w14:textId="77777777" w:rsidR="008A35A4" w:rsidRDefault="008A35A4" w:rsidP="00414D35">
            <w:pPr>
              <w:pStyle w:val="Body"/>
              <w:jc w:val="both"/>
              <w:rPr>
                <w:rFonts w:asciiTheme="minorHAnsi" w:hAnsiTheme="minorHAnsi"/>
              </w:rPr>
            </w:pPr>
            <w:r>
              <w:rPr>
                <w:rFonts w:asciiTheme="minorHAnsi" w:hAnsiTheme="minorHAnsi"/>
              </w:rPr>
              <w:t xml:space="preserve">This should cover the solutions developed for </w:t>
            </w:r>
            <w:r>
              <w:t>automatic couplers, their modes of operations, business cases, technology options and</w:t>
            </w:r>
            <w:r w:rsidRPr="004B0591">
              <w:t xml:space="preserve"> safety integrity</w:t>
            </w:r>
            <w:r>
              <w:t>, with an emphasis on their functioning during rescue scenarios.</w:t>
            </w:r>
          </w:p>
        </w:tc>
      </w:tr>
    </w:tbl>
    <w:p w14:paraId="78608340" w14:textId="77777777" w:rsidR="008A35A4" w:rsidRDefault="008A35A4" w:rsidP="008A35A4">
      <w:pPr>
        <w:pStyle w:val="Body"/>
      </w:pPr>
    </w:p>
    <w:p w14:paraId="29981BF2" w14:textId="77777777" w:rsidR="008A35A4" w:rsidRDefault="008A35A4" w:rsidP="008A35A4">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8A35A4" w14:paraId="53931B42" w14:textId="77777777" w:rsidTr="00414D35">
        <w:tc>
          <w:tcPr>
            <w:tcW w:w="1816" w:type="dxa"/>
            <w:vAlign w:val="center"/>
          </w:tcPr>
          <w:p w14:paraId="4B74E9C1" w14:textId="77777777" w:rsidR="008A35A4" w:rsidRPr="00325F01" w:rsidRDefault="008A35A4" w:rsidP="00414D35">
            <w:pPr>
              <w:pStyle w:val="TableHead"/>
            </w:pPr>
            <w:r>
              <w:t>Person</w:t>
            </w:r>
          </w:p>
        </w:tc>
        <w:tc>
          <w:tcPr>
            <w:tcW w:w="3849" w:type="dxa"/>
            <w:vAlign w:val="center"/>
          </w:tcPr>
          <w:p w14:paraId="5F387EF5" w14:textId="77777777" w:rsidR="008A35A4" w:rsidRPr="00325F01" w:rsidRDefault="008A35A4" w:rsidP="00414D35">
            <w:pPr>
              <w:pStyle w:val="TableHead"/>
              <w:rPr>
                <w:lang w:eastAsia="en-GB"/>
              </w:rPr>
            </w:pPr>
            <w:r w:rsidRPr="00325F01">
              <w:t>General role in project</w:t>
            </w:r>
          </w:p>
        </w:tc>
        <w:tc>
          <w:tcPr>
            <w:tcW w:w="2694" w:type="dxa"/>
            <w:vAlign w:val="center"/>
          </w:tcPr>
          <w:p w14:paraId="156B61C9" w14:textId="77777777" w:rsidR="008A35A4" w:rsidRPr="00325F01" w:rsidRDefault="008A35A4" w:rsidP="00414D35">
            <w:pPr>
              <w:pStyle w:val="TableHead"/>
              <w:rPr>
                <w:lang w:eastAsia="en-GB"/>
              </w:rPr>
            </w:pPr>
            <w:r w:rsidRPr="00325F01">
              <w:t>Specific role in acceptance of deliverables</w:t>
            </w:r>
          </w:p>
        </w:tc>
      </w:tr>
      <w:tr w:rsidR="008A35A4" w14:paraId="69EB99E3" w14:textId="77777777" w:rsidTr="00414D35">
        <w:tc>
          <w:tcPr>
            <w:tcW w:w="1816" w:type="dxa"/>
            <w:vAlign w:val="center"/>
          </w:tcPr>
          <w:p w14:paraId="4D899881" w14:textId="77777777" w:rsidR="008A35A4" w:rsidRDefault="008A35A4" w:rsidP="00414D35">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32AC6B6D" w14:textId="77777777" w:rsidR="008A35A4" w:rsidRPr="006B076F" w:rsidRDefault="008A35A4" w:rsidP="00414D35">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delivery manager is responsible for the detailed project management including project schedules, cost reporting and other relevant project management tasks. </w:t>
            </w:r>
          </w:p>
          <w:p w14:paraId="1BA1F0EB" w14:textId="77777777" w:rsidR="008A35A4" w:rsidRDefault="008A35A4" w:rsidP="00414D35">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2EA42351" w14:textId="77777777" w:rsidR="008A35A4" w:rsidRDefault="008A35A4" w:rsidP="00414D35">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8A35A4" w14:paraId="428FC8E4" w14:textId="77777777" w:rsidTr="00414D35">
        <w:tc>
          <w:tcPr>
            <w:tcW w:w="1816" w:type="dxa"/>
            <w:vAlign w:val="center"/>
          </w:tcPr>
          <w:p w14:paraId="0E7B93E7" w14:textId="77777777" w:rsidR="008A35A4" w:rsidRDefault="008A35A4" w:rsidP="00414D35">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35E5B0C1" w14:textId="77777777" w:rsidR="008A35A4" w:rsidRPr="007715AE" w:rsidRDefault="008A35A4" w:rsidP="00414D35">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w:t>
            </w:r>
            <w:r>
              <w:rPr>
                <w:rFonts w:asciiTheme="minorHAnsi" w:hAnsiTheme="minorHAnsi" w:cs="Arial"/>
                <w:color w:val="000000" w:themeColor="dark1"/>
                <w:kern w:val="28"/>
                <w:sz w:val="22"/>
                <w:szCs w:val="22"/>
              </w:rPr>
              <w:t xml:space="preserve">the research accurately reflects </w:t>
            </w:r>
            <w:r w:rsidRPr="007715AE">
              <w:rPr>
                <w:rFonts w:asciiTheme="minorHAnsi" w:hAnsiTheme="minorHAnsi" w:cs="Arial"/>
                <w:color w:val="000000" w:themeColor="dark1"/>
                <w:kern w:val="28"/>
                <w:sz w:val="22"/>
                <w:szCs w:val="22"/>
              </w:rPr>
              <w:t xml:space="preserve">technical aspects. </w:t>
            </w:r>
          </w:p>
          <w:p w14:paraId="47BA998E" w14:textId="77777777" w:rsidR="008A35A4" w:rsidRDefault="008A35A4" w:rsidP="00414D35">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5CA1B453" w14:textId="77777777" w:rsidR="008A35A4" w:rsidRDefault="008A35A4" w:rsidP="00414D35">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8A35A4" w14:paraId="48326491" w14:textId="77777777" w:rsidTr="00414D35">
        <w:tc>
          <w:tcPr>
            <w:tcW w:w="1816" w:type="dxa"/>
            <w:vAlign w:val="center"/>
          </w:tcPr>
          <w:p w14:paraId="211AAC85" w14:textId="77777777" w:rsidR="008A35A4" w:rsidRPr="00420F8C" w:rsidRDefault="008A35A4" w:rsidP="00414D35">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17592E0E" w14:textId="77777777" w:rsidR="008A35A4" w:rsidRPr="00420F8C" w:rsidRDefault="008A35A4" w:rsidP="00414D35">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53488A5A" w14:textId="77777777" w:rsidR="008A35A4" w:rsidRPr="00420F8C" w:rsidRDefault="008A35A4" w:rsidP="00414D35">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20F09289" w14:textId="77777777" w:rsidR="008A35A4" w:rsidRPr="00325F01" w:rsidRDefault="008A35A4" w:rsidP="00414D35">
            <w:pPr>
              <w:rPr>
                <w:rFonts w:asciiTheme="minorHAnsi" w:hAnsiTheme="minorHAnsi" w:cs="Arial"/>
                <w:color w:val="000000" w:themeColor="dark1"/>
                <w:kern w:val="28"/>
              </w:rPr>
            </w:pPr>
            <w:r>
              <w:rPr>
                <w:rFonts w:asciiTheme="minorHAnsi" w:hAnsiTheme="minorHAnsi" w:cs="Arial"/>
                <w:color w:val="000000" w:themeColor="dark1"/>
                <w:kern w:val="28"/>
              </w:rPr>
              <w:t>Formally accepts deliverables</w:t>
            </w:r>
          </w:p>
        </w:tc>
      </w:tr>
      <w:tr w:rsidR="008A35A4" w14:paraId="4D3AD85F" w14:textId="77777777" w:rsidTr="00414D35">
        <w:tc>
          <w:tcPr>
            <w:tcW w:w="1816" w:type="dxa"/>
            <w:vAlign w:val="center"/>
          </w:tcPr>
          <w:p w14:paraId="5048DD80" w14:textId="77777777" w:rsidR="008A35A4" w:rsidRPr="00420F8C" w:rsidRDefault="008A35A4" w:rsidP="00414D35">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166654A4" w14:textId="77777777" w:rsidR="008A35A4" w:rsidRPr="00420F8C" w:rsidRDefault="008A35A4" w:rsidP="00414D35">
            <w:pPr>
              <w:rPr>
                <w:rFonts w:asciiTheme="minorHAnsi" w:hAnsiTheme="minorHAnsi" w:cs="Arial"/>
                <w:lang w:eastAsia="en-GB"/>
              </w:rPr>
            </w:pPr>
            <w:r w:rsidRPr="00420F8C">
              <w:rPr>
                <w:rFonts w:asciiTheme="minorHAnsi" w:hAnsiTheme="minorHAnsi" w:cs="Arial"/>
                <w:color w:val="000000" w:themeColor="dark1"/>
                <w:kern w:val="28"/>
              </w:rPr>
              <w:t xml:space="preserve">The project supporters represent parts of industry complementary to the </w:t>
            </w:r>
            <w:r>
              <w:rPr>
                <w:rFonts w:asciiTheme="minorHAnsi" w:hAnsiTheme="minorHAnsi" w:cs="Arial"/>
                <w:color w:val="000000" w:themeColor="dark1"/>
                <w:kern w:val="28"/>
              </w:rPr>
              <w:t>sponsor</w:t>
            </w:r>
            <w:r w:rsidRPr="00420F8C">
              <w:rPr>
                <w:rFonts w:asciiTheme="minorHAnsi" w:hAnsiTheme="minorHAnsi" w:cs="Arial"/>
                <w:color w:val="000000" w:themeColor="dark1"/>
                <w:kern w:val="28"/>
              </w:rPr>
              <w:t xml:space="preserve">’s organisation. They offer expertise for effective project delivery and support the implementation of findings led by the </w:t>
            </w:r>
            <w:r>
              <w:rPr>
                <w:rFonts w:asciiTheme="minorHAnsi" w:hAnsiTheme="minorHAnsi" w:cs="Arial"/>
                <w:color w:val="000000" w:themeColor="dark1"/>
                <w:kern w:val="28"/>
              </w:rPr>
              <w:t>sponsor</w:t>
            </w:r>
            <w:r w:rsidRPr="00420F8C">
              <w:rPr>
                <w:rFonts w:asciiTheme="minorHAnsi" w:hAnsiTheme="minorHAnsi" w:cs="Arial"/>
                <w:color w:val="000000" w:themeColor="dark1"/>
                <w:kern w:val="28"/>
              </w:rPr>
              <w:t xml:space="preserve"> through networking, advice, and other support.</w:t>
            </w:r>
          </w:p>
        </w:tc>
        <w:tc>
          <w:tcPr>
            <w:tcW w:w="2694" w:type="dxa"/>
          </w:tcPr>
          <w:p w14:paraId="6EC9C296" w14:textId="77777777" w:rsidR="008A35A4" w:rsidRPr="00325F01" w:rsidRDefault="008A35A4" w:rsidP="00414D35">
            <w:pPr>
              <w:rPr>
                <w:rFonts w:asciiTheme="minorHAnsi" w:hAnsiTheme="minorHAnsi" w:cs="Arial"/>
                <w:color w:val="000000" w:themeColor="dark1"/>
                <w:kern w:val="28"/>
              </w:rPr>
            </w:pPr>
            <w:r>
              <w:rPr>
                <w:rFonts w:asciiTheme="minorHAnsi" w:hAnsiTheme="minorHAnsi" w:cs="Arial"/>
                <w:color w:val="000000" w:themeColor="dark1"/>
                <w:kern w:val="28"/>
              </w:rPr>
              <w:t>Formally accepts deliverables</w:t>
            </w:r>
          </w:p>
        </w:tc>
      </w:tr>
      <w:tr w:rsidR="008A35A4" w14:paraId="4B4142AD" w14:textId="77777777" w:rsidTr="00414D35">
        <w:tc>
          <w:tcPr>
            <w:tcW w:w="1816" w:type="dxa"/>
            <w:vAlign w:val="center"/>
          </w:tcPr>
          <w:p w14:paraId="658B934B" w14:textId="77777777" w:rsidR="008A35A4" w:rsidRPr="00420F8C" w:rsidRDefault="008A35A4" w:rsidP="00414D35">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369E9BD5" w14:textId="77777777" w:rsidR="008A35A4" w:rsidRPr="00420F8C" w:rsidRDefault="008A35A4" w:rsidP="00414D35">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7DCD1051" w14:textId="77777777" w:rsidR="008A35A4" w:rsidRPr="00420F8C" w:rsidRDefault="008A35A4" w:rsidP="00414D35">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3EF800BE" w14:textId="77777777" w:rsidR="008A35A4" w:rsidRPr="00420F8C" w:rsidRDefault="008A35A4" w:rsidP="00414D35">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21A7D5E5" w14:textId="77777777" w:rsidR="008A35A4" w:rsidRDefault="008A35A4" w:rsidP="008A35A4">
      <w:pPr>
        <w:rPr>
          <w:rFonts w:ascii="Calibri" w:hAnsi="Calibri" w:cs="Arial"/>
          <w:lang w:eastAsia="en-GB"/>
        </w:rPr>
      </w:pPr>
    </w:p>
    <w:p w14:paraId="3EC56D03" w14:textId="77777777" w:rsidR="008A35A4" w:rsidRDefault="008A35A4" w:rsidP="008A35A4">
      <w:pPr>
        <w:rPr>
          <w:rFonts w:ascii="Calibri" w:hAnsi="Calibri" w:cs="Arial"/>
          <w:lang w:eastAsia="en-GB"/>
        </w:rPr>
      </w:pPr>
    </w:p>
    <w:p w14:paraId="36F3D61F" w14:textId="77777777" w:rsidR="008A35A4" w:rsidRPr="007D6953" w:rsidRDefault="008A35A4" w:rsidP="008A35A4">
      <w:pPr>
        <w:pStyle w:val="Heading1"/>
      </w:pPr>
      <w:r>
        <w:t>Budget, timescales, and dependencies</w:t>
      </w:r>
    </w:p>
    <w:p w14:paraId="436A286C" w14:textId="77777777" w:rsidR="008A35A4" w:rsidRDefault="008A35A4" w:rsidP="008A35A4">
      <w:pPr>
        <w:pStyle w:val="Body"/>
      </w:pPr>
      <w:r>
        <w:t>The budget for this work is up to £110,000</w:t>
      </w:r>
      <w:r>
        <w:rPr>
          <w:rStyle w:val="CommentReference"/>
          <w:rFonts w:eastAsia="Arial"/>
          <w:lang w:val="x-none"/>
        </w:rPr>
        <w:t>.</w:t>
      </w:r>
      <w:r>
        <w:rPr>
          <w:i/>
        </w:rPr>
        <w:t xml:space="preserve"> </w:t>
      </w:r>
      <w:r>
        <w:t>Any bid above this value will need to provide detailed explanation on why the supplier does not feel that the budget is adequate and in such case, we strongly encourage suppliers to provide costed options for RSSB to consider.</w:t>
      </w:r>
    </w:p>
    <w:p w14:paraId="5A9D83CF" w14:textId="77777777" w:rsidR="008A35A4" w:rsidRDefault="008A35A4" w:rsidP="008A35A4">
      <w:pPr>
        <w:pStyle w:val="Body"/>
      </w:pPr>
      <w:r>
        <w:t xml:space="preserve">The work is expected to start in December 2017 </w:t>
      </w:r>
      <w:r>
        <w:rPr>
          <w:color w:val="000000" w:themeColor="text1"/>
        </w:rPr>
        <w:t>and be completed</w:t>
      </w:r>
      <w:r>
        <w:t xml:space="preserve"> by September 2018. These are indicative dates and RSSB is prepared to consider bids that vary from these expectations if they have a robust and realistic project plan, and an explanation of changes to the proposed start and end dates.</w:t>
      </w:r>
    </w:p>
    <w:p w14:paraId="67D68E76" w14:textId="77777777" w:rsidR="008A35A4" w:rsidRPr="00325F01" w:rsidRDefault="008A35A4" w:rsidP="008A35A4">
      <w:pPr>
        <w:pStyle w:val="Body"/>
      </w:pPr>
      <w:r>
        <w:t>No dependencies were identified for this project.</w:t>
      </w:r>
    </w:p>
    <w:p w14:paraId="2D244525" w14:textId="77777777" w:rsidR="008A35A4" w:rsidRDefault="008A35A4" w:rsidP="008A35A4">
      <w:pPr>
        <w:pStyle w:val="Heading1"/>
      </w:pPr>
      <w:r>
        <w:t>Critical success factors and risk management</w:t>
      </w:r>
    </w:p>
    <w:p w14:paraId="637D7514" w14:textId="77777777" w:rsidR="008A35A4" w:rsidRDefault="008A35A4" w:rsidP="008A35A4">
      <w:pPr>
        <w:pStyle w:val="Body"/>
        <w:rPr>
          <w:color w:val="000000" w:themeColor="text1"/>
        </w:rPr>
      </w:pPr>
      <w:r w:rsidRPr="0005142D">
        <w:rPr>
          <w:color w:val="000000" w:themeColor="text1"/>
        </w:rPr>
        <w:t>The following critical success factors define what RSSB consider to be the key outcomes at the end of this project:</w:t>
      </w:r>
    </w:p>
    <w:p w14:paraId="5F017BE5" w14:textId="77777777" w:rsidR="008A35A4" w:rsidRDefault="008A35A4" w:rsidP="008A35A4">
      <w:pPr>
        <w:pStyle w:val="Bullet1"/>
        <w:ind w:left="227" w:hanging="227"/>
      </w:pPr>
      <w:r>
        <w:t>Gaining industry buy in on the new developed coupler solutions and establishing proper channels to communicate the new solutions to industry members.</w:t>
      </w:r>
    </w:p>
    <w:p w14:paraId="56FAF527" w14:textId="77777777" w:rsidR="008A35A4" w:rsidRDefault="008A35A4" w:rsidP="008A35A4">
      <w:pPr>
        <w:pStyle w:val="Bullet1"/>
        <w:ind w:left="227" w:hanging="227"/>
      </w:pPr>
      <w:r>
        <w:t>The solutions are future proof and adaptable to emerging technologies or new capabilities that couplers might require.</w:t>
      </w:r>
    </w:p>
    <w:p w14:paraId="749BC7C2" w14:textId="77777777" w:rsidR="008A35A4" w:rsidRDefault="008A35A4" w:rsidP="008A35A4">
      <w:pPr>
        <w:pStyle w:val="Bullet1"/>
        <w:ind w:left="227" w:hanging="227"/>
      </w:pPr>
      <w:r>
        <w:t>The solutions developed do not impinge upon the technical solutions that have been developed for mechanical compatibility.</w:t>
      </w:r>
    </w:p>
    <w:p w14:paraId="174B6194" w14:textId="77777777" w:rsidR="008A35A4" w:rsidRPr="00F0568F" w:rsidRDefault="008A35A4" w:rsidP="008A35A4">
      <w:pPr>
        <w:pStyle w:val="Bullet1"/>
        <w:ind w:left="227" w:hanging="227"/>
      </w:pPr>
      <w:r>
        <w:t>The new recommended solutions can be implemented into new fleets order and are considered feasible by rolling stock manufacturers and suppliers.</w:t>
      </w:r>
    </w:p>
    <w:p w14:paraId="41EB273C" w14:textId="77777777" w:rsidR="008A35A4" w:rsidRPr="0005142D" w:rsidRDefault="008A35A4" w:rsidP="008A35A4">
      <w:pPr>
        <w:pStyle w:val="Body"/>
      </w:pPr>
      <w:r w:rsidRPr="0005142D">
        <w:t xml:space="preserve">The project risks identify potential threats to the supplier’s successful delivery of the project. RSSB expects the supplier to </w:t>
      </w:r>
      <w:r w:rsidRPr="0005142D">
        <w:rPr>
          <w:rFonts w:asciiTheme="minorHAnsi" w:hAnsiTheme="minorHAnsi"/>
        </w:rPr>
        <w:t>identify risks, propose effective management and mitigation</w:t>
      </w:r>
      <w:r w:rsidRPr="0005142D">
        <w:t xml:space="preserve"> measures, and regularly review these risks as the project progresses. RSSB have identified the following initial risks:</w:t>
      </w:r>
    </w:p>
    <w:p w14:paraId="754CF2AC" w14:textId="77777777" w:rsidR="008A35A4" w:rsidRPr="0005142D" w:rsidRDefault="008A35A4" w:rsidP="008A35A4">
      <w:pPr>
        <w:pStyle w:val="Bullet1"/>
        <w:ind w:left="227" w:hanging="227"/>
        <w:rPr>
          <w:color w:val="000000" w:themeColor="text1"/>
        </w:rPr>
      </w:pPr>
      <w:r w:rsidRPr="0005142D">
        <w:rPr>
          <w:color w:val="000000" w:themeColor="text1"/>
        </w:rPr>
        <w:t xml:space="preserve">Operators and </w:t>
      </w:r>
      <w:r>
        <w:rPr>
          <w:color w:val="000000" w:themeColor="text1"/>
        </w:rPr>
        <w:t xml:space="preserve">rolling stock </w:t>
      </w:r>
      <w:r w:rsidRPr="0005142D">
        <w:rPr>
          <w:color w:val="000000" w:themeColor="text1"/>
        </w:rPr>
        <w:t xml:space="preserve">builders </w:t>
      </w:r>
      <w:r>
        <w:rPr>
          <w:color w:val="000000" w:themeColor="text1"/>
        </w:rPr>
        <w:t xml:space="preserve">are </w:t>
      </w:r>
      <w:r w:rsidRPr="0005142D">
        <w:rPr>
          <w:color w:val="000000" w:themeColor="text1"/>
        </w:rPr>
        <w:t xml:space="preserve">not willing to share </w:t>
      </w:r>
      <w:r>
        <w:rPr>
          <w:color w:val="000000" w:themeColor="text1"/>
        </w:rPr>
        <w:t>the technical specifications of their vehicles</w:t>
      </w:r>
    </w:p>
    <w:p w14:paraId="2406B46F" w14:textId="77777777" w:rsidR="008A35A4" w:rsidRPr="001C304F" w:rsidRDefault="008A35A4" w:rsidP="008A35A4">
      <w:pPr>
        <w:pStyle w:val="Bullet1"/>
        <w:ind w:left="227" w:hanging="227"/>
        <w:rPr>
          <w:color w:val="000000" w:themeColor="text1"/>
        </w:rPr>
      </w:pPr>
      <w:r>
        <w:rPr>
          <w:color w:val="000000" w:themeColor="text1"/>
        </w:rPr>
        <w:t>The solutions developed do not leave room to</w:t>
      </w:r>
      <w:r w:rsidRPr="0005142D">
        <w:rPr>
          <w:color w:val="000000" w:themeColor="text1"/>
        </w:rPr>
        <w:t xml:space="preserve"> </w:t>
      </w:r>
      <w:r>
        <w:rPr>
          <w:color w:val="000000" w:themeColor="text1"/>
        </w:rPr>
        <w:t>consider</w:t>
      </w:r>
      <w:r w:rsidRPr="0005142D">
        <w:rPr>
          <w:color w:val="000000" w:themeColor="text1"/>
        </w:rPr>
        <w:t xml:space="preserve"> future dev</w:t>
      </w:r>
      <w:r>
        <w:rPr>
          <w:color w:val="000000" w:themeColor="text1"/>
        </w:rPr>
        <w:t>elopments (for example, hydrogen-powered vehicles, 4G on trains, and other types of data being collected and communicated to provide a personalised customer experience)</w:t>
      </w:r>
    </w:p>
    <w:p w14:paraId="3044DB38" w14:textId="77777777" w:rsidR="008A35A4" w:rsidRDefault="008A35A4" w:rsidP="008A35A4">
      <w:pPr>
        <w:pStyle w:val="Body"/>
      </w:pPr>
      <w:r>
        <w:t>A</w:t>
      </w:r>
      <w:r w:rsidRPr="008574B4">
        <w:t xml:space="preserve"> detailed risk assessment/register </w:t>
      </w:r>
      <w:r>
        <w:t xml:space="preserve">and assumptions register should be provided </w:t>
      </w:r>
      <w:r w:rsidRPr="008574B4">
        <w:t>highlighting areas where greater attention may be required to ensure success of the project.</w:t>
      </w:r>
    </w:p>
    <w:p w14:paraId="4A2A4CB3" w14:textId="77777777" w:rsidR="008A35A4" w:rsidRPr="00E52B87" w:rsidRDefault="008A35A4" w:rsidP="00E52B87">
      <w:pPr>
        <w:pStyle w:val="NoSpacing"/>
        <w:rPr>
          <w:rFonts w:asciiTheme="minorHAnsi" w:hAnsiTheme="minorHAnsi" w:cs="Arial"/>
        </w:rPr>
        <w:sectPr w:rsidR="008A35A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3"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3"/>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63414F">
        <w:rPr>
          <w:rFonts w:asciiTheme="minorHAnsi" w:hAnsiTheme="minorHAnsi" w:cs="Arial"/>
          <w:b/>
          <w:bCs/>
          <w:sz w:val="22"/>
          <w:szCs w:val="22"/>
        </w:rPr>
      </w:r>
      <w:r w:rsidR="0063414F">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63414F"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3"/>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D012E" w14:textId="77777777" w:rsidR="0063414F" w:rsidRDefault="0063414F" w:rsidP="0003785D">
      <w:r>
        <w:separator/>
      </w:r>
    </w:p>
  </w:endnote>
  <w:endnote w:type="continuationSeparator" w:id="0">
    <w:p w14:paraId="45904BC8" w14:textId="77777777" w:rsidR="0063414F" w:rsidRDefault="0063414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40055D" w:rsidRDefault="00400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3E4">
      <w:rPr>
        <w:rStyle w:val="PageNumber"/>
        <w:noProof/>
      </w:rPr>
      <w:t>6</w:t>
    </w:r>
    <w:r>
      <w:rPr>
        <w:rStyle w:val="PageNumber"/>
      </w:rPr>
      <w:fldChar w:fldCharType="end"/>
    </w:r>
  </w:p>
  <w:p w14:paraId="2A2B9D60" w14:textId="77777777" w:rsidR="0040055D" w:rsidRDefault="0040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40055D" w:rsidRPr="00F735CB" w:rsidRDefault="0040055D"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713E4">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40055D" w:rsidRDefault="0040055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40055D" w:rsidRDefault="00400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40055D" w:rsidRDefault="0040055D" w:rsidP="00674166">
    <w:pPr>
      <w:pStyle w:val="FooterLeft"/>
    </w:pPr>
    <w:r>
      <w:fldChar w:fldCharType="begin"/>
    </w:r>
    <w:r>
      <w:instrText xml:space="preserve"> PAGE   \* MERGEFORMAT </w:instrText>
    </w:r>
    <w:r>
      <w:fldChar w:fldCharType="separate"/>
    </w:r>
    <w:r w:rsidR="008A35A4">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40055D" w:rsidRDefault="0040055D" w:rsidP="00674166">
    <w:pPr>
      <w:pStyle w:val="FooterRight"/>
    </w:pPr>
    <w:r>
      <w:fldChar w:fldCharType="begin"/>
    </w:r>
    <w:r>
      <w:instrText xml:space="preserve"> PAGE   \* MERGEFORMAT </w:instrText>
    </w:r>
    <w:r>
      <w:fldChar w:fldCharType="separate"/>
    </w:r>
    <w:r w:rsidR="008A35A4">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862FF" w14:textId="77777777" w:rsidR="0063414F" w:rsidRDefault="0063414F" w:rsidP="0003785D">
      <w:r>
        <w:separator/>
      </w:r>
    </w:p>
  </w:footnote>
  <w:footnote w:type="continuationSeparator" w:id="0">
    <w:p w14:paraId="6AC9056E" w14:textId="77777777" w:rsidR="0063414F" w:rsidRDefault="0063414F" w:rsidP="0003785D">
      <w:r>
        <w:continuationSeparator/>
      </w:r>
    </w:p>
  </w:footnote>
  <w:footnote w:id="1">
    <w:p w14:paraId="5C9AC577" w14:textId="77777777" w:rsidR="008A35A4" w:rsidRDefault="008A35A4" w:rsidP="008A35A4">
      <w:pPr>
        <w:pStyle w:val="FootnoteText"/>
      </w:pPr>
      <w:r w:rsidRPr="00520A83">
        <w:rPr>
          <w:vertAlign w:val="superscript"/>
        </w:rPr>
        <w:footnoteRef/>
      </w:r>
      <w:r w:rsidRPr="00DD2683">
        <w:rPr>
          <w:rFonts w:ascii="Calibri" w:hAnsi="Calibri" w:cs="Arial"/>
          <w:sz w:val="22"/>
          <w:szCs w:val="22"/>
        </w:rPr>
        <w:t>Standardisation of coupling arrangements (T1003), Pg. 17, RSSB, 2014</w:t>
      </w:r>
    </w:p>
  </w:footnote>
  <w:footnote w:id="2">
    <w:p w14:paraId="38964311" w14:textId="77777777" w:rsidR="008A35A4" w:rsidRDefault="008A35A4" w:rsidP="008A35A4">
      <w:pPr>
        <w:pStyle w:val="FootnoteText"/>
      </w:pPr>
      <w:r>
        <w:rPr>
          <w:rStyle w:val="FootnoteReference"/>
        </w:rPr>
        <w:footnoteRef/>
      </w:r>
      <w:r>
        <w:t xml:space="preserve"> </w:t>
      </w:r>
      <w:r w:rsidRPr="00DD2683">
        <w:rPr>
          <w:rFonts w:ascii="Calibri" w:hAnsi="Calibri" w:cs="Arial"/>
          <w:sz w:val="22"/>
          <w:szCs w:val="22"/>
        </w:rPr>
        <w:t>Standardisation of coupling arrangements (T1003), Research in Brief, RSSB, 2017</w:t>
      </w:r>
    </w:p>
  </w:footnote>
  <w:footnote w:id="3">
    <w:p w14:paraId="383B7734" w14:textId="77777777" w:rsidR="0040055D" w:rsidRPr="00B13B50" w:rsidRDefault="0040055D"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40055D" w:rsidRDefault="0040055D">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40055D" w:rsidRDefault="0040055D"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40055D" w:rsidRDefault="0040055D"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40055D" w:rsidRPr="0003785D" w:rsidRDefault="0040055D"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5"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EFA15C7"/>
    <w:multiLevelType w:val="hybridMultilevel"/>
    <w:tmpl w:val="2DB61AC0"/>
    <w:lvl w:ilvl="0" w:tplc="853852A6">
      <w:start w:val="21"/>
      <w:numFmt w:val="bullet"/>
      <w:lvlText w:val="-"/>
      <w:lvlJc w:val="left"/>
      <w:pPr>
        <w:ind w:left="720" w:hanging="360"/>
      </w:pPr>
      <w:rPr>
        <w:rFonts w:ascii="Calibri" w:eastAsiaTheme="minorHAnsi" w:hAnsi="Calibri" w:cstheme="minorBidi" w:hint="default"/>
        <w:b/>
        <w:color w:val="006272"/>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12"/>
  </w:num>
  <w:num w:numId="4">
    <w:abstractNumId w:val="21"/>
  </w:num>
  <w:num w:numId="5">
    <w:abstractNumId w:val="33"/>
  </w:num>
  <w:num w:numId="6">
    <w:abstractNumId w:val="0"/>
  </w:num>
  <w:num w:numId="7">
    <w:abstractNumId w:val="37"/>
  </w:num>
  <w:num w:numId="8">
    <w:abstractNumId w:val="32"/>
  </w:num>
  <w:num w:numId="9">
    <w:abstractNumId w:val="1"/>
  </w:num>
  <w:num w:numId="10">
    <w:abstractNumId w:val="22"/>
  </w:num>
  <w:num w:numId="11">
    <w:abstractNumId w:val="39"/>
  </w:num>
  <w:num w:numId="12">
    <w:abstractNumId w:val="3"/>
  </w:num>
  <w:num w:numId="13">
    <w:abstractNumId w:val="38"/>
  </w:num>
  <w:num w:numId="14">
    <w:abstractNumId w:val="26"/>
  </w:num>
  <w:num w:numId="15">
    <w:abstractNumId w:val="24"/>
  </w:num>
  <w:num w:numId="16">
    <w:abstractNumId w:val="6"/>
  </w:num>
  <w:num w:numId="17">
    <w:abstractNumId w:val="7"/>
  </w:num>
  <w:num w:numId="18">
    <w:abstractNumId w:val="31"/>
  </w:num>
  <w:num w:numId="19">
    <w:abstractNumId w:val="9"/>
  </w:num>
  <w:num w:numId="20">
    <w:abstractNumId w:val="18"/>
  </w:num>
  <w:num w:numId="21">
    <w:abstractNumId w:val="20"/>
  </w:num>
  <w:num w:numId="22">
    <w:abstractNumId w:val="25"/>
  </w:num>
  <w:num w:numId="23">
    <w:abstractNumId w:val="4"/>
  </w:num>
  <w:num w:numId="24">
    <w:abstractNumId w:val="40"/>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5"/>
  </w:num>
  <w:num w:numId="35">
    <w:abstractNumId w:val="29"/>
  </w:num>
  <w:num w:numId="36">
    <w:abstractNumId w:val="15"/>
  </w:num>
  <w:num w:numId="37">
    <w:abstractNumId w:val="8"/>
  </w:num>
  <w:num w:numId="38">
    <w:abstractNumId w:val="35"/>
  </w:num>
  <w:num w:numId="39">
    <w:abstractNumId w:val="14"/>
  </w:num>
  <w:num w:numId="40">
    <w:abstractNumId w:val="34"/>
  </w:num>
  <w:num w:numId="41">
    <w:abstractNumId w:val="11"/>
  </w:num>
  <w:num w:numId="42">
    <w:abstractNumId w:val="19"/>
  </w:num>
  <w:num w:numId="43">
    <w:abstractNumId w:val="16"/>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0055D"/>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3414F"/>
    <w:rsid w:val="00674166"/>
    <w:rsid w:val="006C73E8"/>
    <w:rsid w:val="006D1C93"/>
    <w:rsid w:val="006E2708"/>
    <w:rsid w:val="00705233"/>
    <w:rsid w:val="007135E2"/>
    <w:rsid w:val="00721EA4"/>
    <w:rsid w:val="00722CCB"/>
    <w:rsid w:val="0072579B"/>
    <w:rsid w:val="0072709F"/>
    <w:rsid w:val="007B3B84"/>
    <w:rsid w:val="007C61C6"/>
    <w:rsid w:val="00801CC8"/>
    <w:rsid w:val="008234CC"/>
    <w:rsid w:val="00823AFA"/>
    <w:rsid w:val="00833C7A"/>
    <w:rsid w:val="00846110"/>
    <w:rsid w:val="00856404"/>
    <w:rsid w:val="00896506"/>
    <w:rsid w:val="008A1B60"/>
    <w:rsid w:val="008A35A4"/>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713E4"/>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parkrail.org/Lists/Records_StaffMembers/DispForm.aspx?ID=55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18570-45BD-44A3-A0B1-318F4E98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21</Pages>
  <Words>7401</Words>
  <Characters>42188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2017-10-16T13:37:00Z</dcterms:created>
  <dcterms:modified xsi:type="dcterms:W3CDTF">2017-10-16T13:37:00Z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