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CBB69" w14:textId="77777777" w:rsidR="00FE18AC" w:rsidRDefault="00FE18AC" w:rsidP="00FE18AC">
      <w:pPr>
        <w:pStyle w:val="bodystrongcentred"/>
      </w:pPr>
      <w:r>
        <w:t>CONTENTS</w:t>
      </w:r>
    </w:p>
    <w:p w14:paraId="4A6E6A16" w14:textId="77777777" w:rsidR="00FE18AC" w:rsidRDefault="00FE18AC" w:rsidP="00FE18AC"/>
    <w:p w14:paraId="08E897A6" w14:textId="77777777" w:rsidR="00E91B23"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444518866" w:history="1">
        <w:r w:rsidR="00E91B23" w:rsidRPr="00F24C86">
          <w:rPr>
            <w:rStyle w:val="Hyperlink"/>
            <w:noProof/>
          </w:rPr>
          <w:t>1.</w:t>
        </w:r>
        <w:r w:rsidR="00E91B23">
          <w:rPr>
            <w:rFonts w:asciiTheme="minorHAnsi" w:eastAsiaTheme="minorEastAsia" w:hAnsiTheme="minorHAnsi" w:cstheme="minorBidi"/>
            <w:caps w:val="0"/>
            <w:noProof/>
            <w:szCs w:val="22"/>
            <w:lang w:eastAsia="en-GB"/>
          </w:rPr>
          <w:tab/>
        </w:r>
        <w:r w:rsidR="00E91B23" w:rsidRPr="00F24C86">
          <w:rPr>
            <w:rStyle w:val="Hyperlink"/>
            <w:noProof/>
          </w:rPr>
          <w:t>PURPOSE</w:t>
        </w:r>
        <w:r w:rsidR="00E91B23">
          <w:rPr>
            <w:noProof/>
            <w:webHidden/>
          </w:rPr>
          <w:tab/>
        </w:r>
        <w:r w:rsidR="00E91B23">
          <w:rPr>
            <w:noProof/>
            <w:webHidden/>
          </w:rPr>
          <w:fldChar w:fldCharType="begin"/>
        </w:r>
        <w:r w:rsidR="00E91B23">
          <w:rPr>
            <w:noProof/>
            <w:webHidden/>
          </w:rPr>
          <w:instrText xml:space="preserve"> PAGEREF _Toc444518866 \h </w:instrText>
        </w:r>
        <w:r w:rsidR="00E91B23">
          <w:rPr>
            <w:noProof/>
            <w:webHidden/>
          </w:rPr>
        </w:r>
        <w:r w:rsidR="00E91B23">
          <w:rPr>
            <w:noProof/>
            <w:webHidden/>
          </w:rPr>
          <w:fldChar w:fldCharType="separate"/>
        </w:r>
        <w:r w:rsidR="00E91B23">
          <w:rPr>
            <w:noProof/>
            <w:webHidden/>
          </w:rPr>
          <w:t>2</w:t>
        </w:r>
        <w:r w:rsidR="00E91B23">
          <w:rPr>
            <w:noProof/>
            <w:webHidden/>
          </w:rPr>
          <w:fldChar w:fldCharType="end"/>
        </w:r>
      </w:hyperlink>
    </w:p>
    <w:p w14:paraId="5E0E83FC" w14:textId="77777777" w:rsidR="00E91B23" w:rsidRDefault="00D300DF">
      <w:pPr>
        <w:pStyle w:val="TOC1"/>
        <w:rPr>
          <w:rFonts w:asciiTheme="minorHAnsi" w:eastAsiaTheme="minorEastAsia" w:hAnsiTheme="minorHAnsi" w:cstheme="minorBidi"/>
          <w:caps w:val="0"/>
          <w:noProof/>
          <w:szCs w:val="22"/>
          <w:lang w:eastAsia="en-GB"/>
        </w:rPr>
      </w:pPr>
      <w:hyperlink w:anchor="_Toc444518867" w:history="1">
        <w:r w:rsidR="00E91B23" w:rsidRPr="00F24C86">
          <w:rPr>
            <w:rStyle w:val="Hyperlink"/>
            <w:noProof/>
          </w:rPr>
          <w:t>2.</w:t>
        </w:r>
        <w:r w:rsidR="00E91B23">
          <w:rPr>
            <w:rFonts w:asciiTheme="minorHAnsi" w:eastAsiaTheme="minorEastAsia" w:hAnsiTheme="minorHAnsi" w:cstheme="minorBidi"/>
            <w:caps w:val="0"/>
            <w:noProof/>
            <w:szCs w:val="22"/>
            <w:lang w:eastAsia="en-GB"/>
          </w:rPr>
          <w:tab/>
        </w:r>
        <w:r w:rsidR="00E91B23" w:rsidRPr="00F24C86">
          <w:rPr>
            <w:rStyle w:val="Hyperlink"/>
            <w:noProof/>
          </w:rPr>
          <w:t>BACKGROUND TO THE CONTRACTING aUTHORITY</w:t>
        </w:r>
        <w:r w:rsidR="00E91B23">
          <w:rPr>
            <w:noProof/>
            <w:webHidden/>
          </w:rPr>
          <w:tab/>
        </w:r>
        <w:r w:rsidR="00E91B23">
          <w:rPr>
            <w:noProof/>
            <w:webHidden/>
          </w:rPr>
          <w:fldChar w:fldCharType="begin"/>
        </w:r>
        <w:r w:rsidR="00E91B23">
          <w:rPr>
            <w:noProof/>
            <w:webHidden/>
          </w:rPr>
          <w:instrText xml:space="preserve"> PAGEREF _Toc444518867 \h </w:instrText>
        </w:r>
        <w:r w:rsidR="00E91B23">
          <w:rPr>
            <w:noProof/>
            <w:webHidden/>
          </w:rPr>
        </w:r>
        <w:r w:rsidR="00E91B23">
          <w:rPr>
            <w:noProof/>
            <w:webHidden/>
          </w:rPr>
          <w:fldChar w:fldCharType="separate"/>
        </w:r>
        <w:r w:rsidR="00E91B23">
          <w:rPr>
            <w:noProof/>
            <w:webHidden/>
          </w:rPr>
          <w:t>2</w:t>
        </w:r>
        <w:r w:rsidR="00E91B23">
          <w:rPr>
            <w:noProof/>
            <w:webHidden/>
          </w:rPr>
          <w:fldChar w:fldCharType="end"/>
        </w:r>
      </w:hyperlink>
    </w:p>
    <w:p w14:paraId="6DEA3BBA" w14:textId="77777777" w:rsidR="00E91B23" w:rsidRDefault="00D300DF">
      <w:pPr>
        <w:pStyle w:val="TOC1"/>
        <w:rPr>
          <w:rFonts w:asciiTheme="minorHAnsi" w:eastAsiaTheme="minorEastAsia" w:hAnsiTheme="minorHAnsi" w:cstheme="minorBidi"/>
          <w:caps w:val="0"/>
          <w:noProof/>
          <w:szCs w:val="22"/>
          <w:lang w:eastAsia="en-GB"/>
        </w:rPr>
      </w:pPr>
      <w:hyperlink w:anchor="_Toc444518868" w:history="1">
        <w:r w:rsidR="00E91B23" w:rsidRPr="00F24C86">
          <w:rPr>
            <w:rStyle w:val="Hyperlink"/>
            <w:noProof/>
          </w:rPr>
          <w:t>3.</w:t>
        </w:r>
        <w:r w:rsidR="00E91B23">
          <w:rPr>
            <w:rFonts w:asciiTheme="minorHAnsi" w:eastAsiaTheme="minorEastAsia" w:hAnsiTheme="minorHAnsi" w:cstheme="minorBidi"/>
            <w:caps w:val="0"/>
            <w:noProof/>
            <w:szCs w:val="22"/>
            <w:lang w:eastAsia="en-GB"/>
          </w:rPr>
          <w:tab/>
        </w:r>
        <w:r w:rsidR="00E91B23" w:rsidRPr="00F24C86">
          <w:rPr>
            <w:rStyle w:val="Hyperlink"/>
            <w:noProof/>
          </w:rPr>
          <w:t>Background to requirement/OVERVIEW of requirement</w:t>
        </w:r>
        <w:r w:rsidR="00E91B23">
          <w:rPr>
            <w:noProof/>
            <w:webHidden/>
          </w:rPr>
          <w:tab/>
        </w:r>
        <w:r w:rsidR="00E91B23">
          <w:rPr>
            <w:noProof/>
            <w:webHidden/>
          </w:rPr>
          <w:fldChar w:fldCharType="begin"/>
        </w:r>
        <w:r w:rsidR="00E91B23">
          <w:rPr>
            <w:noProof/>
            <w:webHidden/>
          </w:rPr>
          <w:instrText xml:space="preserve"> PAGEREF _Toc444518868 \h </w:instrText>
        </w:r>
        <w:r w:rsidR="00E91B23">
          <w:rPr>
            <w:noProof/>
            <w:webHidden/>
          </w:rPr>
        </w:r>
        <w:r w:rsidR="00E91B23">
          <w:rPr>
            <w:noProof/>
            <w:webHidden/>
          </w:rPr>
          <w:fldChar w:fldCharType="separate"/>
        </w:r>
        <w:r w:rsidR="00E91B23">
          <w:rPr>
            <w:noProof/>
            <w:webHidden/>
          </w:rPr>
          <w:t>2</w:t>
        </w:r>
        <w:r w:rsidR="00E91B23">
          <w:rPr>
            <w:noProof/>
            <w:webHidden/>
          </w:rPr>
          <w:fldChar w:fldCharType="end"/>
        </w:r>
      </w:hyperlink>
    </w:p>
    <w:p w14:paraId="4E023EF6" w14:textId="77777777" w:rsidR="00E91B23" w:rsidRDefault="00D300DF">
      <w:pPr>
        <w:pStyle w:val="TOC1"/>
        <w:rPr>
          <w:rFonts w:asciiTheme="minorHAnsi" w:eastAsiaTheme="minorEastAsia" w:hAnsiTheme="minorHAnsi" w:cstheme="minorBidi"/>
          <w:caps w:val="0"/>
          <w:noProof/>
          <w:szCs w:val="22"/>
          <w:lang w:eastAsia="en-GB"/>
        </w:rPr>
      </w:pPr>
      <w:hyperlink w:anchor="_Toc444518869" w:history="1">
        <w:r w:rsidR="00E91B23" w:rsidRPr="00F24C86">
          <w:rPr>
            <w:rStyle w:val="Hyperlink"/>
            <w:noProof/>
          </w:rPr>
          <w:t>4.</w:t>
        </w:r>
        <w:r w:rsidR="00E91B23">
          <w:rPr>
            <w:rFonts w:asciiTheme="minorHAnsi" w:eastAsiaTheme="minorEastAsia" w:hAnsiTheme="minorHAnsi" w:cstheme="minorBidi"/>
            <w:caps w:val="0"/>
            <w:noProof/>
            <w:szCs w:val="22"/>
            <w:lang w:eastAsia="en-GB"/>
          </w:rPr>
          <w:tab/>
        </w:r>
        <w:r w:rsidR="00E91B23" w:rsidRPr="00F24C86">
          <w:rPr>
            <w:rStyle w:val="Hyperlink"/>
            <w:noProof/>
          </w:rPr>
          <w:t>definitions</w:t>
        </w:r>
        <w:r w:rsidR="00E91B23">
          <w:rPr>
            <w:noProof/>
            <w:webHidden/>
          </w:rPr>
          <w:tab/>
        </w:r>
        <w:r w:rsidR="00E91B23">
          <w:rPr>
            <w:noProof/>
            <w:webHidden/>
          </w:rPr>
          <w:fldChar w:fldCharType="begin"/>
        </w:r>
        <w:r w:rsidR="00E91B23">
          <w:rPr>
            <w:noProof/>
            <w:webHidden/>
          </w:rPr>
          <w:instrText xml:space="preserve"> PAGEREF _Toc444518869 \h </w:instrText>
        </w:r>
        <w:r w:rsidR="00E91B23">
          <w:rPr>
            <w:noProof/>
            <w:webHidden/>
          </w:rPr>
        </w:r>
        <w:r w:rsidR="00E91B23">
          <w:rPr>
            <w:noProof/>
            <w:webHidden/>
          </w:rPr>
          <w:fldChar w:fldCharType="separate"/>
        </w:r>
        <w:r w:rsidR="00E91B23">
          <w:rPr>
            <w:noProof/>
            <w:webHidden/>
          </w:rPr>
          <w:t>2</w:t>
        </w:r>
        <w:r w:rsidR="00E91B23">
          <w:rPr>
            <w:noProof/>
            <w:webHidden/>
          </w:rPr>
          <w:fldChar w:fldCharType="end"/>
        </w:r>
      </w:hyperlink>
    </w:p>
    <w:p w14:paraId="47364EE4" w14:textId="77777777" w:rsidR="00E91B23" w:rsidRDefault="00D300DF">
      <w:pPr>
        <w:pStyle w:val="TOC1"/>
        <w:rPr>
          <w:rFonts w:asciiTheme="minorHAnsi" w:eastAsiaTheme="minorEastAsia" w:hAnsiTheme="minorHAnsi" w:cstheme="minorBidi"/>
          <w:caps w:val="0"/>
          <w:noProof/>
          <w:szCs w:val="22"/>
          <w:lang w:eastAsia="en-GB"/>
        </w:rPr>
      </w:pPr>
      <w:hyperlink w:anchor="_Toc444518870" w:history="1">
        <w:r w:rsidR="00E91B23" w:rsidRPr="00F24C86">
          <w:rPr>
            <w:rStyle w:val="Hyperlink"/>
            <w:noProof/>
          </w:rPr>
          <w:t>5.</w:t>
        </w:r>
        <w:r w:rsidR="00E91B23">
          <w:rPr>
            <w:rFonts w:asciiTheme="minorHAnsi" w:eastAsiaTheme="minorEastAsia" w:hAnsiTheme="minorHAnsi" w:cstheme="minorBidi"/>
            <w:caps w:val="0"/>
            <w:noProof/>
            <w:szCs w:val="22"/>
            <w:lang w:eastAsia="en-GB"/>
          </w:rPr>
          <w:tab/>
        </w:r>
        <w:r w:rsidR="00E91B23" w:rsidRPr="00F24C86">
          <w:rPr>
            <w:rStyle w:val="Hyperlink"/>
            <w:noProof/>
          </w:rPr>
          <w:t>scope of requirement</w:t>
        </w:r>
        <w:r w:rsidR="00E91B23">
          <w:rPr>
            <w:noProof/>
            <w:webHidden/>
          </w:rPr>
          <w:tab/>
        </w:r>
        <w:r w:rsidR="00E91B23">
          <w:rPr>
            <w:noProof/>
            <w:webHidden/>
          </w:rPr>
          <w:fldChar w:fldCharType="begin"/>
        </w:r>
        <w:r w:rsidR="00E91B23">
          <w:rPr>
            <w:noProof/>
            <w:webHidden/>
          </w:rPr>
          <w:instrText xml:space="preserve"> PAGEREF _Toc444518870 \h </w:instrText>
        </w:r>
        <w:r w:rsidR="00E91B23">
          <w:rPr>
            <w:noProof/>
            <w:webHidden/>
          </w:rPr>
        </w:r>
        <w:r w:rsidR="00E91B23">
          <w:rPr>
            <w:noProof/>
            <w:webHidden/>
          </w:rPr>
          <w:fldChar w:fldCharType="separate"/>
        </w:r>
        <w:r w:rsidR="00E91B23">
          <w:rPr>
            <w:noProof/>
            <w:webHidden/>
          </w:rPr>
          <w:t>2</w:t>
        </w:r>
        <w:r w:rsidR="00E91B23">
          <w:rPr>
            <w:noProof/>
            <w:webHidden/>
          </w:rPr>
          <w:fldChar w:fldCharType="end"/>
        </w:r>
      </w:hyperlink>
    </w:p>
    <w:p w14:paraId="097D4D69" w14:textId="77777777" w:rsidR="00E91B23" w:rsidRDefault="00D300DF">
      <w:pPr>
        <w:pStyle w:val="TOC1"/>
        <w:rPr>
          <w:rFonts w:asciiTheme="minorHAnsi" w:eastAsiaTheme="minorEastAsia" w:hAnsiTheme="minorHAnsi" w:cstheme="minorBidi"/>
          <w:caps w:val="0"/>
          <w:noProof/>
          <w:szCs w:val="22"/>
          <w:lang w:eastAsia="en-GB"/>
        </w:rPr>
      </w:pPr>
      <w:hyperlink w:anchor="_Toc444518871" w:history="1">
        <w:r w:rsidR="00E91B23" w:rsidRPr="00F24C86">
          <w:rPr>
            <w:rStyle w:val="Hyperlink"/>
            <w:noProof/>
          </w:rPr>
          <w:t>6.</w:t>
        </w:r>
        <w:r w:rsidR="00E91B23">
          <w:rPr>
            <w:rFonts w:asciiTheme="minorHAnsi" w:eastAsiaTheme="minorEastAsia" w:hAnsiTheme="minorHAnsi" w:cstheme="minorBidi"/>
            <w:caps w:val="0"/>
            <w:noProof/>
            <w:szCs w:val="22"/>
            <w:lang w:eastAsia="en-GB"/>
          </w:rPr>
          <w:tab/>
        </w:r>
        <w:r w:rsidR="00E91B23" w:rsidRPr="00F24C86">
          <w:rPr>
            <w:rStyle w:val="Hyperlink"/>
            <w:noProof/>
          </w:rPr>
          <w:t>The requirement</w:t>
        </w:r>
        <w:r w:rsidR="00E91B23">
          <w:rPr>
            <w:noProof/>
            <w:webHidden/>
          </w:rPr>
          <w:tab/>
        </w:r>
        <w:r w:rsidR="00E91B23">
          <w:rPr>
            <w:noProof/>
            <w:webHidden/>
          </w:rPr>
          <w:fldChar w:fldCharType="begin"/>
        </w:r>
        <w:r w:rsidR="00E91B23">
          <w:rPr>
            <w:noProof/>
            <w:webHidden/>
          </w:rPr>
          <w:instrText xml:space="preserve"> PAGEREF _Toc444518871 \h </w:instrText>
        </w:r>
        <w:r w:rsidR="00E91B23">
          <w:rPr>
            <w:noProof/>
            <w:webHidden/>
          </w:rPr>
        </w:r>
        <w:r w:rsidR="00E91B23">
          <w:rPr>
            <w:noProof/>
            <w:webHidden/>
          </w:rPr>
          <w:fldChar w:fldCharType="separate"/>
        </w:r>
        <w:r w:rsidR="00E91B23">
          <w:rPr>
            <w:noProof/>
            <w:webHidden/>
          </w:rPr>
          <w:t>2</w:t>
        </w:r>
        <w:r w:rsidR="00E91B23">
          <w:rPr>
            <w:noProof/>
            <w:webHidden/>
          </w:rPr>
          <w:fldChar w:fldCharType="end"/>
        </w:r>
      </w:hyperlink>
    </w:p>
    <w:p w14:paraId="270F5AAF" w14:textId="77777777" w:rsidR="00E91B23" w:rsidRDefault="00D300DF">
      <w:pPr>
        <w:pStyle w:val="TOC1"/>
        <w:rPr>
          <w:rFonts w:asciiTheme="minorHAnsi" w:eastAsiaTheme="minorEastAsia" w:hAnsiTheme="minorHAnsi" w:cstheme="minorBidi"/>
          <w:caps w:val="0"/>
          <w:noProof/>
          <w:szCs w:val="22"/>
          <w:lang w:eastAsia="en-GB"/>
        </w:rPr>
      </w:pPr>
      <w:hyperlink w:anchor="_Toc444518872" w:history="1">
        <w:r w:rsidR="00E91B23" w:rsidRPr="00F24C86">
          <w:rPr>
            <w:rStyle w:val="Hyperlink"/>
            <w:noProof/>
          </w:rPr>
          <w:t>7.</w:t>
        </w:r>
        <w:r w:rsidR="00E91B23">
          <w:rPr>
            <w:rFonts w:asciiTheme="minorHAnsi" w:eastAsiaTheme="minorEastAsia" w:hAnsiTheme="minorHAnsi" w:cstheme="minorBidi"/>
            <w:caps w:val="0"/>
            <w:noProof/>
            <w:szCs w:val="22"/>
            <w:lang w:eastAsia="en-GB"/>
          </w:rPr>
          <w:tab/>
        </w:r>
        <w:r w:rsidR="00E91B23" w:rsidRPr="00F24C86">
          <w:rPr>
            <w:rStyle w:val="Hyperlink"/>
            <w:noProof/>
          </w:rPr>
          <w:t>key milestones</w:t>
        </w:r>
        <w:r w:rsidR="00E91B23">
          <w:rPr>
            <w:noProof/>
            <w:webHidden/>
          </w:rPr>
          <w:tab/>
        </w:r>
        <w:r w:rsidR="00E91B23">
          <w:rPr>
            <w:noProof/>
            <w:webHidden/>
          </w:rPr>
          <w:fldChar w:fldCharType="begin"/>
        </w:r>
        <w:r w:rsidR="00E91B23">
          <w:rPr>
            <w:noProof/>
            <w:webHidden/>
          </w:rPr>
          <w:instrText xml:space="preserve"> PAGEREF _Toc444518872 \h </w:instrText>
        </w:r>
        <w:r w:rsidR="00E91B23">
          <w:rPr>
            <w:noProof/>
            <w:webHidden/>
          </w:rPr>
        </w:r>
        <w:r w:rsidR="00E91B23">
          <w:rPr>
            <w:noProof/>
            <w:webHidden/>
          </w:rPr>
          <w:fldChar w:fldCharType="separate"/>
        </w:r>
        <w:r w:rsidR="00E91B23">
          <w:rPr>
            <w:noProof/>
            <w:webHidden/>
          </w:rPr>
          <w:t>2</w:t>
        </w:r>
        <w:r w:rsidR="00E91B23">
          <w:rPr>
            <w:noProof/>
            <w:webHidden/>
          </w:rPr>
          <w:fldChar w:fldCharType="end"/>
        </w:r>
      </w:hyperlink>
    </w:p>
    <w:p w14:paraId="1316C57E" w14:textId="77777777" w:rsidR="00E91B23" w:rsidRDefault="00D300DF">
      <w:pPr>
        <w:pStyle w:val="TOC1"/>
        <w:rPr>
          <w:rFonts w:asciiTheme="minorHAnsi" w:eastAsiaTheme="minorEastAsia" w:hAnsiTheme="minorHAnsi" w:cstheme="minorBidi"/>
          <w:caps w:val="0"/>
          <w:noProof/>
          <w:szCs w:val="22"/>
          <w:lang w:eastAsia="en-GB"/>
        </w:rPr>
      </w:pPr>
      <w:hyperlink w:anchor="_Toc444518873" w:history="1">
        <w:r w:rsidR="00E91B23" w:rsidRPr="00F24C86">
          <w:rPr>
            <w:rStyle w:val="Hyperlink"/>
            <w:rFonts w:cs="Arial"/>
            <w:noProof/>
          </w:rPr>
          <w:t>8.</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authority’s responsibilities</w:t>
        </w:r>
        <w:r w:rsidR="00E91B23">
          <w:rPr>
            <w:noProof/>
            <w:webHidden/>
          </w:rPr>
          <w:tab/>
        </w:r>
        <w:r w:rsidR="00E91B23">
          <w:rPr>
            <w:noProof/>
            <w:webHidden/>
          </w:rPr>
          <w:fldChar w:fldCharType="begin"/>
        </w:r>
        <w:r w:rsidR="00E91B23">
          <w:rPr>
            <w:noProof/>
            <w:webHidden/>
          </w:rPr>
          <w:instrText xml:space="preserve"> PAGEREF _Toc444518873 \h </w:instrText>
        </w:r>
        <w:r w:rsidR="00E91B23">
          <w:rPr>
            <w:noProof/>
            <w:webHidden/>
          </w:rPr>
        </w:r>
        <w:r w:rsidR="00E91B23">
          <w:rPr>
            <w:noProof/>
            <w:webHidden/>
          </w:rPr>
          <w:fldChar w:fldCharType="separate"/>
        </w:r>
        <w:r w:rsidR="00E91B23">
          <w:rPr>
            <w:noProof/>
            <w:webHidden/>
          </w:rPr>
          <w:t>3</w:t>
        </w:r>
        <w:r w:rsidR="00E91B23">
          <w:rPr>
            <w:noProof/>
            <w:webHidden/>
          </w:rPr>
          <w:fldChar w:fldCharType="end"/>
        </w:r>
      </w:hyperlink>
    </w:p>
    <w:p w14:paraId="6BA3250C" w14:textId="77777777" w:rsidR="00E91B23" w:rsidRDefault="00D300DF">
      <w:pPr>
        <w:pStyle w:val="TOC1"/>
        <w:rPr>
          <w:rFonts w:asciiTheme="minorHAnsi" w:eastAsiaTheme="minorEastAsia" w:hAnsiTheme="minorHAnsi" w:cstheme="minorBidi"/>
          <w:caps w:val="0"/>
          <w:noProof/>
          <w:szCs w:val="22"/>
          <w:lang w:eastAsia="en-GB"/>
        </w:rPr>
      </w:pPr>
      <w:hyperlink w:anchor="_Toc444518874" w:history="1">
        <w:r w:rsidR="00E91B23" w:rsidRPr="00F24C86">
          <w:rPr>
            <w:rStyle w:val="Hyperlink"/>
            <w:rFonts w:cs="Arial"/>
            <w:noProof/>
          </w:rPr>
          <w:t>9.</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reporting</w:t>
        </w:r>
        <w:r w:rsidR="00E91B23">
          <w:rPr>
            <w:noProof/>
            <w:webHidden/>
          </w:rPr>
          <w:tab/>
        </w:r>
        <w:r w:rsidR="00E91B23">
          <w:rPr>
            <w:noProof/>
            <w:webHidden/>
          </w:rPr>
          <w:fldChar w:fldCharType="begin"/>
        </w:r>
        <w:r w:rsidR="00E91B23">
          <w:rPr>
            <w:noProof/>
            <w:webHidden/>
          </w:rPr>
          <w:instrText xml:space="preserve"> PAGEREF _Toc444518874 \h </w:instrText>
        </w:r>
        <w:r w:rsidR="00E91B23">
          <w:rPr>
            <w:noProof/>
            <w:webHidden/>
          </w:rPr>
        </w:r>
        <w:r w:rsidR="00E91B23">
          <w:rPr>
            <w:noProof/>
            <w:webHidden/>
          </w:rPr>
          <w:fldChar w:fldCharType="separate"/>
        </w:r>
        <w:r w:rsidR="00E91B23">
          <w:rPr>
            <w:noProof/>
            <w:webHidden/>
          </w:rPr>
          <w:t>3</w:t>
        </w:r>
        <w:r w:rsidR="00E91B23">
          <w:rPr>
            <w:noProof/>
            <w:webHidden/>
          </w:rPr>
          <w:fldChar w:fldCharType="end"/>
        </w:r>
      </w:hyperlink>
    </w:p>
    <w:p w14:paraId="6CD138FD" w14:textId="77777777" w:rsidR="00E91B23" w:rsidRDefault="00D300DF">
      <w:pPr>
        <w:pStyle w:val="TOC1"/>
        <w:rPr>
          <w:rFonts w:asciiTheme="minorHAnsi" w:eastAsiaTheme="minorEastAsia" w:hAnsiTheme="minorHAnsi" w:cstheme="minorBidi"/>
          <w:caps w:val="0"/>
          <w:noProof/>
          <w:szCs w:val="22"/>
          <w:lang w:eastAsia="en-GB"/>
        </w:rPr>
      </w:pPr>
      <w:hyperlink w:anchor="_Toc444518875" w:history="1">
        <w:r w:rsidR="00E91B23" w:rsidRPr="00F24C86">
          <w:rPr>
            <w:rStyle w:val="Hyperlink"/>
            <w:rFonts w:cs="Arial"/>
            <w:noProof/>
          </w:rPr>
          <w:t>10.</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volumes</w:t>
        </w:r>
        <w:r w:rsidR="00E91B23">
          <w:rPr>
            <w:noProof/>
            <w:webHidden/>
          </w:rPr>
          <w:tab/>
        </w:r>
        <w:r w:rsidR="00E91B23">
          <w:rPr>
            <w:noProof/>
            <w:webHidden/>
          </w:rPr>
          <w:fldChar w:fldCharType="begin"/>
        </w:r>
        <w:r w:rsidR="00E91B23">
          <w:rPr>
            <w:noProof/>
            <w:webHidden/>
          </w:rPr>
          <w:instrText xml:space="preserve"> PAGEREF _Toc444518875 \h </w:instrText>
        </w:r>
        <w:r w:rsidR="00E91B23">
          <w:rPr>
            <w:noProof/>
            <w:webHidden/>
          </w:rPr>
        </w:r>
        <w:r w:rsidR="00E91B23">
          <w:rPr>
            <w:noProof/>
            <w:webHidden/>
          </w:rPr>
          <w:fldChar w:fldCharType="separate"/>
        </w:r>
        <w:r w:rsidR="00E91B23">
          <w:rPr>
            <w:noProof/>
            <w:webHidden/>
          </w:rPr>
          <w:t>3</w:t>
        </w:r>
        <w:r w:rsidR="00E91B23">
          <w:rPr>
            <w:noProof/>
            <w:webHidden/>
          </w:rPr>
          <w:fldChar w:fldCharType="end"/>
        </w:r>
      </w:hyperlink>
    </w:p>
    <w:p w14:paraId="31843706" w14:textId="77777777" w:rsidR="00E91B23" w:rsidRDefault="00D300DF">
      <w:pPr>
        <w:pStyle w:val="TOC1"/>
        <w:rPr>
          <w:rFonts w:asciiTheme="minorHAnsi" w:eastAsiaTheme="minorEastAsia" w:hAnsiTheme="minorHAnsi" w:cstheme="minorBidi"/>
          <w:caps w:val="0"/>
          <w:noProof/>
          <w:szCs w:val="22"/>
          <w:lang w:eastAsia="en-GB"/>
        </w:rPr>
      </w:pPr>
      <w:hyperlink w:anchor="_Toc444518876" w:history="1">
        <w:r w:rsidR="00E91B23" w:rsidRPr="00F24C86">
          <w:rPr>
            <w:rStyle w:val="Hyperlink"/>
            <w:rFonts w:cs="Arial"/>
            <w:noProof/>
          </w:rPr>
          <w:t>11.</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continuous improvement</w:t>
        </w:r>
        <w:r w:rsidR="00E91B23">
          <w:rPr>
            <w:noProof/>
            <w:webHidden/>
          </w:rPr>
          <w:tab/>
        </w:r>
        <w:r w:rsidR="00E91B23">
          <w:rPr>
            <w:noProof/>
            <w:webHidden/>
          </w:rPr>
          <w:fldChar w:fldCharType="begin"/>
        </w:r>
        <w:r w:rsidR="00E91B23">
          <w:rPr>
            <w:noProof/>
            <w:webHidden/>
          </w:rPr>
          <w:instrText xml:space="preserve"> PAGEREF _Toc444518876 \h </w:instrText>
        </w:r>
        <w:r w:rsidR="00E91B23">
          <w:rPr>
            <w:noProof/>
            <w:webHidden/>
          </w:rPr>
        </w:r>
        <w:r w:rsidR="00E91B23">
          <w:rPr>
            <w:noProof/>
            <w:webHidden/>
          </w:rPr>
          <w:fldChar w:fldCharType="separate"/>
        </w:r>
        <w:r w:rsidR="00E91B23">
          <w:rPr>
            <w:noProof/>
            <w:webHidden/>
          </w:rPr>
          <w:t>3</w:t>
        </w:r>
        <w:r w:rsidR="00E91B23">
          <w:rPr>
            <w:noProof/>
            <w:webHidden/>
          </w:rPr>
          <w:fldChar w:fldCharType="end"/>
        </w:r>
      </w:hyperlink>
    </w:p>
    <w:p w14:paraId="383FB76C" w14:textId="77777777" w:rsidR="00E91B23" w:rsidRDefault="00D300DF">
      <w:pPr>
        <w:pStyle w:val="TOC1"/>
        <w:rPr>
          <w:rFonts w:asciiTheme="minorHAnsi" w:eastAsiaTheme="minorEastAsia" w:hAnsiTheme="minorHAnsi" w:cstheme="minorBidi"/>
          <w:caps w:val="0"/>
          <w:noProof/>
          <w:szCs w:val="22"/>
          <w:lang w:eastAsia="en-GB"/>
        </w:rPr>
      </w:pPr>
      <w:hyperlink w:anchor="_Toc444518877" w:history="1">
        <w:r w:rsidR="00E91B23" w:rsidRPr="00F24C86">
          <w:rPr>
            <w:rStyle w:val="Hyperlink"/>
            <w:noProof/>
          </w:rPr>
          <w:t>12.</w:t>
        </w:r>
        <w:r w:rsidR="00E91B23">
          <w:rPr>
            <w:rFonts w:asciiTheme="minorHAnsi" w:eastAsiaTheme="minorEastAsia" w:hAnsiTheme="minorHAnsi" w:cstheme="minorBidi"/>
            <w:caps w:val="0"/>
            <w:noProof/>
            <w:szCs w:val="22"/>
            <w:lang w:eastAsia="en-GB"/>
          </w:rPr>
          <w:tab/>
        </w:r>
        <w:r w:rsidR="00E91B23" w:rsidRPr="00F24C86">
          <w:rPr>
            <w:rStyle w:val="Hyperlink"/>
            <w:noProof/>
          </w:rPr>
          <w:t>Sustainability</w:t>
        </w:r>
        <w:r w:rsidR="00E91B23">
          <w:rPr>
            <w:noProof/>
            <w:webHidden/>
          </w:rPr>
          <w:tab/>
        </w:r>
        <w:r w:rsidR="00E91B23">
          <w:rPr>
            <w:noProof/>
            <w:webHidden/>
          </w:rPr>
          <w:fldChar w:fldCharType="begin"/>
        </w:r>
        <w:r w:rsidR="00E91B23">
          <w:rPr>
            <w:noProof/>
            <w:webHidden/>
          </w:rPr>
          <w:instrText xml:space="preserve"> PAGEREF _Toc444518877 \h </w:instrText>
        </w:r>
        <w:r w:rsidR="00E91B23">
          <w:rPr>
            <w:noProof/>
            <w:webHidden/>
          </w:rPr>
        </w:r>
        <w:r w:rsidR="00E91B23">
          <w:rPr>
            <w:noProof/>
            <w:webHidden/>
          </w:rPr>
          <w:fldChar w:fldCharType="separate"/>
        </w:r>
        <w:r w:rsidR="00E91B23">
          <w:rPr>
            <w:noProof/>
            <w:webHidden/>
          </w:rPr>
          <w:t>3</w:t>
        </w:r>
        <w:r w:rsidR="00E91B23">
          <w:rPr>
            <w:noProof/>
            <w:webHidden/>
          </w:rPr>
          <w:fldChar w:fldCharType="end"/>
        </w:r>
      </w:hyperlink>
    </w:p>
    <w:p w14:paraId="7F6C86B1" w14:textId="77777777" w:rsidR="00E91B23" w:rsidRDefault="00D300DF">
      <w:pPr>
        <w:pStyle w:val="TOC1"/>
        <w:rPr>
          <w:rFonts w:asciiTheme="minorHAnsi" w:eastAsiaTheme="minorEastAsia" w:hAnsiTheme="minorHAnsi" w:cstheme="minorBidi"/>
          <w:caps w:val="0"/>
          <w:noProof/>
          <w:szCs w:val="22"/>
          <w:lang w:eastAsia="en-GB"/>
        </w:rPr>
      </w:pPr>
      <w:hyperlink w:anchor="_Toc444518878" w:history="1">
        <w:r w:rsidR="00E91B23" w:rsidRPr="00F24C86">
          <w:rPr>
            <w:rStyle w:val="Hyperlink"/>
            <w:rFonts w:cs="Arial"/>
            <w:noProof/>
          </w:rPr>
          <w:t>13.</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quality</w:t>
        </w:r>
        <w:r w:rsidR="00E91B23">
          <w:rPr>
            <w:noProof/>
            <w:webHidden/>
          </w:rPr>
          <w:tab/>
        </w:r>
        <w:r w:rsidR="00E91B23">
          <w:rPr>
            <w:noProof/>
            <w:webHidden/>
          </w:rPr>
          <w:fldChar w:fldCharType="begin"/>
        </w:r>
        <w:r w:rsidR="00E91B23">
          <w:rPr>
            <w:noProof/>
            <w:webHidden/>
          </w:rPr>
          <w:instrText xml:space="preserve"> PAGEREF _Toc444518878 \h </w:instrText>
        </w:r>
        <w:r w:rsidR="00E91B23">
          <w:rPr>
            <w:noProof/>
            <w:webHidden/>
          </w:rPr>
        </w:r>
        <w:r w:rsidR="00E91B23">
          <w:rPr>
            <w:noProof/>
            <w:webHidden/>
          </w:rPr>
          <w:fldChar w:fldCharType="separate"/>
        </w:r>
        <w:r w:rsidR="00E91B23">
          <w:rPr>
            <w:noProof/>
            <w:webHidden/>
          </w:rPr>
          <w:t>3</w:t>
        </w:r>
        <w:r w:rsidR="00E91B23">
          <w:rPr>
            <w:noProof/>
            <w:webHidden/>
          </w:rPr>
          <w:fldChar w:fldCharType="end"/>
        </w:r>
      </w:hyperlink>
    </w:p>
    <w:p w14:paraId="01783A0D" w14:textId="77777777" w:rsidR="00E91B23" w:rsidRDefault="00D300DF">
      <w:pPr>
        <w:pStyle w:val="TOC1"/>
        <w:rPr>
          <w:rFonts w:asciiTheme="minorHAnsi" w:eastAsiaTheme="minorEastAsia" w:hAnsiTheme="minorHAnsi" w:cstheme="minorBidi"/>
          <w:caps w:val="0"/>
          <w:noProof/>
          <w:szCs w:val="22"/>
          <w:lang w:eastAsia="en-GB"/>
        </w:rPr>
      </w:pPr>
      <w:hyperlink w:anchor="_Toc444518879" w:history="1">
        <w:r w:rsidR="00E91B23" w:rsidRPr="00F24C86">
          <w:rPr>
            <w:rStyle w:val="Hyperlink"/>
            <w:rFonts w:cs="Arial"/>
            <w:noProof/>
          </w:rPr>
          <w:t>14.</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PRICE</w:t>
        </w:r>
        <w:r w:rsidR="00E91B23">
          <w:rPr>
            <w:noProof/>
            <w:webHidden/>
          </w:rPr>
          <w:tab/>
        </w:r>
        <w:r w:rsidR="00E91B23">
          <w:rPr>
            <w:noProof/>
            <w:webHidden/>
          </w:rPr>
          <w:fldChar w:fldCharType="begin"/>
        </w:r>
        <w:r w:rsidR="00E91B23">
          <w:rPr>
            <w:noProof/>
            <w:webHidden/>
          </w:rPr>
          <w:instrText xml:space="preserve"> PAGEREF _Toc444518879 \h </w:instrText>
        </w:r>
        <w:r w:rsidR="00E91B23">
          <w:rPr>
            <w:noProof/>
            <w:webHidden/>
          </w:rPr>
        </w:r>
        <w:r w:rsidR="00E91B23">
          <w:rPr>
            <w:noProof/>
            <w:webHidden/>
          </w:rPr>
          <w:fldChar w:fldCharType="separate"/>
        </w:r>
        <w:r w:rsidR="00E91B23">
          <w:rPr>
            <w:noProof/>
            <w:webHidden/>
          </w:rPr>
          <w:t>4</w:t>
        </w:r>
        <w:r w:rsidR="00E91B23">
          <w:rPr>
            <w:noProof/>
            <w:webHidden/>
          </w:rPr>
          <w:fldChar w:fldCharType="end"/>
        </w:r>
      </w:hyperlink>
    </w:p>
    <w:p w14:paraId="7C57C109" w14:textId="77777777" w:rsidR="00E91B23" w:rsidRDefault="00D300DF">
      <w:pPr>
        <w:pStyle w:val="TOC1"/>
        <w:rPr>
          <w:rFonts w:asciiTheme="minorHAnsi" w:eastAsiaTheme="minorEastAsia" w:hAnsiTheme="minorHAnsi" w:cstheme="minorBidi"/>
          <w:caps w:val="0"/>
          <w:noProof/>
          <w:szCs w:val="22"/>
          <w:lang w:eastAsia="en-GB"/>
        </w:rPr>
      </w:pPr>
      <w:hyperlink w:anchor="_Toc444518880" w:history="1">
        <w:r w:rsidR="00E91B23" w:rsidRPr="00F24C86">
          <w:rPr>
            <w:rStyle w:val="Hyperlink"/>
            <w:rFonts w:cs="Arial"/>
            <w:noProof/>
          </w:rPr>
          <w:t>15.</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STAFF AND CUSTOMER SERVICE</w:t>
        </w:r>
        <w:r w:rsidR="00E91B23">
          <w:rPr>
            <w:noProof/>
            <w:webHidden/>
          </w:rPr>
          <w:tab/>
        </w:r>
        <w:r w:rsidR="00E91B23">
          <w:rPr>
            <w:noProof/>
            <w:webHidden/>
          </w:rPr>
          <w:fldChar w:fldCharType="begin"/>
        </w:r>
        <w:r w:rsidR="00E91B23">
          <w:rPr>
            <w:noProof/>
            <w:webHidden/>
          </w:rPr>
          <w:instrText xml:space="preserve"> PAGEREF _Toc444518880 \h </w:instrText>
        </w:r>
        <w:r w:rsidR="00E91B23">
          <w:rPr>
            <w:noProof/>
            <w:webHidden/>
          </w:rPr>
        </w:r>
        <w:r w:rsidR="00E91B23">
          <w:rPr>
            <w:noProof/>
            <w:webHidden/>
          </w:rPr>
          <w:fldChar w:fldCharType="separate"/>
        </w:r>
        <w:r w:rsidR="00E91B23">
          <w:rPr>
            <w:noProof/>
            <w:webHidden/>
          </w:rPr>
          <w:t>4</w:t>
        </w:r>
        <w:r w:rsidR="00E91B23">
          <w:rPr>
            <w:noProof/>
            <w:webHidden/>
          </w:rPr>
          <w:fldChar w:fldCharType="end"/>
        </w:r>
      </w:hyperlink>
    </w:p>
    <w:p w14:paraId="4D957EF0" w14:textId="77777777" w:rsidR="00E91B23" w:rsidRDefault="00D300DF">
      <w:pPr>
        <w:pStyle w:val="TOC1"/>
        <w:rPr>
          <w:rFonts w:asciiTheme="minorHAnsi" w:eastAsiaTheme="minorEastAsia" w:hAnsiTheme="minorHAnsi" w:cstheme="minorBidi"/>
          <w:caps w:val="0"/>
          <w:noProof/>
          <w:szCs w:val="22"/>
          <w:lang w:eastAsia="en-GB"/>
        </w:rPr>
      </w:pPr>
      <w:hyperlink w:anchor="_Toc444518881" w:history="1">
        <w:r w:rsidR="00E91B23" w:rsidRPr="00F24C86">
          <w:rPr>
            <w:rStyle w:val="Hyperlink"/>
            <w:rFonts w:cs="Arial"/>
            <w:noProof/>
          </w:rPr>
          <w:t>16.</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service levels and performance</w:t>
        </w:r>
        <w:r w:rsidR="00E91B23">
          <w:rPr>
            <w:noProof/>
            <w:webHidden/>
          </w:rPr>
          <w:tab/>
        </w:r>
        <w:r w:rsidR="00E91B23">
          <w:rPr>
            <w:noProof/>
            <w:webHidden/>
          </w:rPr>
          <w:fldChar w:fldCharType="begin"/>
        </w:r>
        <w:r w:rsidR="00E91B23">
          <w:rPr>
            <w:noProof/>
            <w:webHidden/>
          </w:rPr>
          <w:instrText xml:space="preserve"> PAGEREF _Toc444518881 \h </w:instrText>
        </w:r>
        <w:r w:rsidR="00E91B23">
          <w:rPr>
            <w:noProof/>
            <w:webHidden/>
          </w:rPr>
        </w:r>
        <w:r w:rsidR="00E91B23">
          <w:rPr>
            <w:noProof/>
            <w:webHidden/>
          </w:rPr>
          <w:fldChar w:fldCharType="separate"/>
        </w:r>
        <w:r w:rsidR="00E91B23">
          <w:rPr>
            <w:noProof/>
            <w:webHidden/>
          </w:rPr>
          <w:t>4</w:t>
        </w:r>
        <w:r w:rsidR="00E91B23">
          <w:rPr>
            <w:noProof/>
            <w:webHidden/>
          </w:rPr>
          <w:fldChar w:fldCharType="end"/>
        </w:r>
      </w:hyperlink>
    </w:p>
    <w:p w14:paraId="7B33AE8D" w14:textId="77777777" w:rsidR="00E91B23" w:rsidRDefault="00D300DF">
      <w:pPr>
        <w:pStyle w:val="TOC1"/>
        <w:rPr>
          <w:rFonts w:asciiTheme="minorHAnsi" w:eastAsiaTheme="minorEastAsia" w:hAnsiTheme="minorHAnsi" w:cstheme="minorBidi"/>
          <w:caps w:val="0"/>
          <w:noProof/>
          <w:szCs w:val="22"/>
          <w:lang w:eastAsia="en-GB"/>
        </w:rPr>
      </w:pPr>
      <w:hyperlink w:anchor="_Toc444518882" w:history="1">
        <w:r w:rsidR="00E91B23" w:rsidRPr="00F24C86">
          <w:rPr>
            <w:rStyle w:val="Hyperlink"/>
            <w:noProof/>
          </w:rPr>
          <w:t>17.</w:t>
        </w:r>
        <w:r w:rsidR="00E91B23">
          <w:rPr>
            <w:rFonts w:asciiTheme="minorHAnsi" w:eastAsiaTheme="minorEastAsia" w:hAnsiTheme="minorHAnsi" w:cstheme="minorBidi"/>
            <w:caps w:val="0"/>
            <w:noProof/>
            <w:szCs w:val="22"/>
            <w:lang w:eastAsia="en-GB"/>
          </w:rPr>
          <w:tab/>
        </w:r>
        <w:r w:rsidR="00E91B23" w:rsidRPr="00F24C86">
          <w:rPr>
            <w:rStyle w:val="Hyperlink"/>
            <w:noProof/>
          </w:rPr>
          <w:t>Security requirements</w:t>
        </w:r>
        <w:r w:rsidR="00E91B23">
          <w:rPr>
            <w:noProof/>
            <w:webHidden/>
          </w:rPr>
          <w:tab/>
        </w:r>
        <w:r w:rsidR="00E91B23">
          <w:rPr>
            <w:noProof/>
            <w:webHidden/>
          </w:rPr>
          <w:fldChar w:fldCharType="begin"/>
        </w:r>
        <w:r w:rsidR="00E91B23">
          <w:rPr>
            <w:noProof/>
            <w:webHidden/>
          </w:rPr>
          <w:instrText xml:space="preserve"> PAGEREF _Toc444518882 \h </w:instrText>
        </w:r>
        <w:r w:rsidR="00E91B23">
          <w:rPr>
            <w:noProof/>
            <w:webHidden/>
          </w:rPr>
        </w:r>
        <w:r w:rsidR="00E91B23">
          <w:rPr>
            <w:noProof/>
            <w:webHidden/>
          </w:rPr>
          <w:fldChar w:fldCharType="separate"/>
        </w:r>
        <w:r w:rsidR="00E91B23">
          <w:rPr>
            <w:noProof/>
            <w:webHidden/>
          </w:rPr>
          <w:t>5</w:t>
        </w:r>
        <w:r w:rsidR="00E91B23">
          <w:rPr>
            <w:noProof/>
            <w:webHidden/>
          </w:rPr>
          <w:fldChar w:fldCharType="end"/>
        </w:r>
      </w:hyperlink>
    </w:p>
    <w:p w14:paraId="08BC509C" w14:textId="77777777" w:rsidR="00E91B23" w:rsidRDefault="00D300DF">
      <w:pPr>
        <w:pStyle w:val="TOC1"/>
        <w:rPr>
          <w:rFonts w:asciiTheme="minorHAnsi" w:eastAsiaTheme="minorEastAsia" w:hAnsiTheme="minorHAnsi" w:cstheme="minorBidi"/>
          <w:caps w:val="0"/>
          <w:noProof/>
          <w:szCs w:val="22"/>
          <w:lang w:eastAsia="en-GB"/>
        </w:rPr>
      </w:pPr>
      <w:hyperlink w:anchor="_Toc444518883" w:history="1">
        <w:r w:rsidR="00E91B23" w:rsidRPr="00F24C86">
          <w:rPr>
            <w:rStyle w:val="Hyperlink"/>
            <w:rFonts w:cs="Arial"/>
            <w:noProof/>
          </w:rPr>
          <w:t>18.</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intellectual property rights (ipr)</w:t>
        </w:r>
        <w:r w:rsidR="00E91B23">
          <w:rPr>
            <w:noProof/>
            <w:webHidden/>
          </w:rPr>
          <w:tab/>
        </w:r>
        <w:r w:rsidR="00E91B23">
          <w:rPr>
            <w:noProof/>
            <w:webHidden/>
          </w:rPr>
          <w:fldChar w:fldCharType="begin"/>
        </w:r>
        <w:r w:rsidR="00E91B23">
          <w:rPr>
            <w:noProof/>
            <w:webHidden/>
          </w:rPr>
          <w:instrText xml:space="preserve"> PAGEREF _Toc444518883 \h </w:instrText>
        </w:r>
        <w:r w:rsidR="00E91B23">
          <w:rPr>
            <w:noProof/>
            <w:webHidden/>
          </w:rPr>
        </w:r>
        <w:r w:rsidR="00E91B23">
          <w:rPr>
            <w:noProof/>
            <w:webHidden/>
          </w:rPr>
          <w:fldChar w:fldCharType="separate"/>
        </w:r>
        <w:r w:rsidR="00E91B23">
          <w:rPr>
            <w:noProof/>
            <w:webHidden/>
          </w:rPr>
          <w:t>5</w:t>
        </w:r>
        <w:r w:rsidR="00E91B23">
          <w:rPr>
            <w:noProof/>
            <w:webHidden/>
          </w:rPr>
          <w:fldChar w:fldCharType="end"/>
        </w:r>
      </w:hyperlink>
    </w:p>
    <w:p w14:paraId="3B6D2E0A" w14:textId="77777777" w:rsidR="00E91B23" w:rsidRDefault="00D300DF">
      <w:pPr>
        <w:pStyle w:val="TOC1"/>
        <w:rPr>
          <w:rFonts w:asciiTheme="minorHAnsi" w:eastAsiaTheme="minorEastAsia" w:hAnsiTheme="minorHAnsi" w:cstheme="minorBidi"/>
          <w:caps w:val="0"/>
          <w:noProof/>
          <w:szCs w:val="22"/>
          <w:lang w:eastAsia="en-GB"/>
        </w:rPr>
      </w:pPr>
      <w:hyperlink w:anchor="_Toc444518884" w:history="1">
        <w:r w:rsidR="00E91B23" w:rsidRPr="00F24C86">
          <w:rPr>
            <w:rStyle w:val="Hyperlink"/>
            <w:rFonts w:cs="Arial"/>
            <w:noProof/>
          </w:rPr>
          <w:t>19.</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payment</w:t>
        </w:r>
        <w:r w:rsidR="00E91B23">
          <w:rPr>
            <w:noProof/>
            <w:webHidden/>
          </w:rPr>
          <w:tab/>
        </w:r>
        <w:r w:rsidR="00E91B23">
          <w:rPr>
            <w:noProof/>
            <w:webHidden/>
          </w:rPr>
          <w:fldChar w:fldCharType="begin"/>
        </w:r>
        <w:r w:rsidR="00E91B23">
          <w:rPr>
            <w:noProof/>
            <w:webHidden/>
          </w:rPr>
          <w:instrText xml:space="preserve"> PAGEREF _Toc444518884 \h </w:instrText>
        </w:r>
        <w:r w:rsidR="00E91B23">
          <w:rPr>
            <w:noProof/>
            <w:webHidden/>
          </w:rPr>
        </w:r>
        <w:r w:rsidR="00E91B23">
          <w:rPr>
            <w:noProof/>
            <w:webHidden/>
          </w:rPr>
          <w:fldChar w:fldCharType="separate"/>
        </w:r>
        <w:r w:rsidR="00E91B23">
          <w:rPr>
            <w:noProof/>
            <w:webHidden/>
          </w:rPr>
          <w:t>5</w:t>
        </w:r>
        <w:r w:rsidR="00E91B23">
          <w:rPr>
            <w:noProof/>
            <w:webHidden/>
          </w:rPr>
          <w:fldChar w:fldCharType="end"/>
        </w:r>
      </w:hyperlink>
    </w:p>
    <w:p w14:paraId="668C0667" w14:textId="77777777" w:rsidR="00E91B23" w:rsidRDefault="00D300DF">
      <w:pPr>
        <w:pStyle w:val="TOC1"/>
        <w:rPr>
          <w:rFonts w:asciiTheme="minorHAnsi" w:eastAsiaTheme="minorEastAsia" w:hAnsiTheme="minorHAnsi" w:cstheme="minorBidi"/>
          <w:caps w:val="0"/>
          <w:noProof/>
          <w:szCs w:val="22"/>
          <w:lang w:eastAsia="en-GB"/>
        </w:rPr>
      </w:pPr>
      <w:hyperlink w:anchor="_Toc444518885" w:history="1">
        <w:r w:rsidR="00E91B23" w:rsidRPr="00F24C86">
          <w:rPr>
            <w:rStyle w:val="Hyperlink"/>
            <w:rFonts w:cs="Arial"/>
            <w:noProof/>
          </w:rPr>
          <w:t>20.</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additional information</w:t>
        </w:r>
        <w:r w:rsidR="00E91B23">
          <w:rPr>
            <w:noProof/>
            <w:webHidden/>
          </w:rPr>
          <w:tab/>
        </w:r>
        <w:r w:rsidR="00E91B23">
          <w:rPr>
            <w:noProof/>
            <w:webHidden/>
          </w:rPr>
          <w:fldChar w:fldCharType="begin"/>
        </w:r>
        <w:r w:rsidR="00E91B23">
          <w:rPr>
            <w:noProof/>
            <w:webHidden/>
          </w:rPr>
          <w:instrText xml:space="preserve"> PAGEREF _Toc444518885 \h </w:instrText>
        </w:r>
        <w:r w:rsidR="00E91B23">
          <w:rPr>
            <w:noProof/>
            <w:webHidden/>
          </w:rPr>
        </w:r>
        <w:r w:rsidR="00E91B23">
          <w:rPr>
            <w:noProof/>
            <w:webHidden/>
          </w:rPr>
          <w:fldChar w:fldCharType="separate"/>
        </w:r>
        <w:r w:rsidR="00E91B23">
          <w:rPr>
            <w:noProof/>
            <w:webHidden/>
          </w:rPr>
          <w:t>5</w:t>
        </w:r>
        <w:r w:rsidR="00E91B23">
          <w:rPr>
            <w:noProof/>
            <w:webHidden/>
          </w:rPr>
          <w:fldChar w:fldCharType="end"/>
        </w:r>
      </w:hyperlink>
    </w:p>
    <w:p w14:paraId="24DE9647" w14:textId="77777777" w:rsidR="00E91B23" w:rsidRDefault="00D300DF">
      <w:pPr>
        <w:pStyle w:val="TOC1"/>
        <w:rPr>
          <w:rFonts w:asciiTheme="minorHAnsi" w:eastAsiaTheme="minorEastAsia" w:hAnsiTheme="minorHAnsi" w:cstheme="minorBidi"/>
          <w:caps w:val="0"/>
          <w:noProof/>
          <w:szCs w:val="22"/>
          <w:lang w:eastAsia="en-GB"/>
        </w:rPr>
      </w:pPr>
      <w:hyperlink w:anchor="_Toc444518886" w:history="1">
        <w:r w:rsidR="00E91B23" w:rsidRPr="00F24C86">
          <w:rPr>
            <w:rStyle w:val="Hyperlink"/>
            <w:noProof/>
          </w:rPr>
          <w:t>21.</w:t>
        </w:r>
        <w:r w:rsidR="00E91B23">
          <w:rPr>
            <w:rFonts w:asciiTheme="minorHAnsi" w:eastAsiaTheme="minorEastAsia" w:hAnsiTheme="minorHAnsi" w:cstheme="minorBidi"/>
            <w:caps w:val="0"/>
            <w:noProof/>
            <w:szCs w:val="22"/>
            <w:lang w:eastAsia="en-GB"/>
          </w:rPr>
          <w:tab/>
        </w:r>
        <w:r w:rsidR="00E91B23" w:rsidRPr="00F24C86">
          <w:rPr>
            <w:rStyle w:val="Hyperlink"/>
            <w:noProof/>
          </w:rPr>
          <w:t>Location</w:t>
        </w:r>
        <w:r w:rsidR="00E91B23">
          <w:rPr>
            <w:noProof/>
            <w:webHidden/>
          </w:rPr>
          <w:tab/>
        </w:r>
        <w:r w:rsidR="00E91B23">
          <w:rPr>
            <w:noProof/>
            <w:webHidden/>
          </w:rPr>
          <w:fldChar w:fldCharType="begin"/>
        </w:r>
        <w:r w:rsidR="00E91B23">
          <w:rPr>
            <w:noProof/>
            <w:webHidden/>
          </w:rPr>
          <w:instrText xml:space="preserve"> PAGEREF _Toc444518886 \h </w:instrText>
        </w:r>
        <w:r w:rsidR="00E91B23">
          <w:rPr>
            <w:noProof/>
            <w:webHidden/>
          </w:rPr>
        </w:r>
        <w:r w:rsidR="00E91B23">
          <w:rPr>
            <w:noProof/>
            <w:webHidden/>
          </w:rPr>
          <w:fldChar w:fldCharType="separate"/>
        </w:r>
        <w:r w:rsidR="00E91B23">
          <w:rPr>
            <w:noProof/>
            <w:webHidden/>
          </w:rPr>
          <w:t>5</w:t>
        </w:r>
        <w:r w:rsidR="00E91B23">
          <w:rPr>
            <w:noProof/>
            <w:webHidden/>
          </w:rPr>
          <w:fldChar w:fldCharType="end"/>
        </w:r>
      </w:hyperlink>
    </w:p>
    <w:p w14:paraId="1D56F9FD" w14:textId="2C943982" w:rsidR="00FE18AC" w:rsidRPr="001530F5" w:rsidRDefault="00E10E97" w:rsidP="00964B61">
      <w:pPr>
        <w:spacing w:after="120"/>
        <w:jc w:val="center"/>
      </w:pPr>
      <w:r w:rsidRPr="00FA5229">
        <w:rPr>
          <w:rFonts w:cs="Arial"/>
          <w:caps/>
        </w:rPr>
        <w:fldChar w:fldCharType="end"/>
      </w:r>
      <w:bookmarkStart w:id="0" w:name="_Toc297554772"/>
      <w:bookmarkStart w:id="1" w:name="_GoBack"/>
      <w:bookmarkEnd w:id="1"/>
      <w:r w:rsidR="00FE18AC">
        <w:br w:type="page"/>
      </w:r>
    </w:p>
    <w:p w14:paraId="2CC1153C" w14:textId="77777777" w:rsidR="00FE18AC" w:rsidRPr="00CE295C" w:rsidRDefault="00FE18AC" w:rsidP="00242016">
      <w:pPr>
        <w:pStyle w:val="Heading1"/>
        <w:numPr>
          <w:ilvl w:val="0"/>
          <w:numId w:val="22"/>
        </w:numPr>
        <w:tabs>
          <w:tab w:val="clear" w:pos="720"/>
        </w:tabs>
        <w:overflowPunct w:val="0"/>
        <w:autoSpaceDE w:val="0"/>
        <w:autoSpaceDN w:val="0"/>
        <w:spacing w:after="120"/>
        <w:textAlignment w:val="baseline"/>
        <w:rPr>
          <w:szCs w:val="22"/>
        </w:rPr>
      </w:pPr>
      <w:bookmarkStart w:id="2" w:name="_Toc368573027"/>
      <w:bookmarkStart w:id="3" w:name="_Toc444518866"/>
      <w:r w:rsidRPr="00CE295C">
        <w:rPr>
          <w:caps w:val="0"/>
          <w:szCs w:val="22"/>
        </w:rPr>
        <w:lastRenderedPageBreak/>
        <w:t>PURPOSE</w:t>
      </w:r>
      <w:bookmarkEnd w:id="0"/>
      <w:bookmarkEnd w:id="2"/>
      <w:bookmarkEnd w:id="3"/>
    </w:p>
    <w:p w14:paraId="06586CBA" w14:textId="77777777" w:rsidR="00C31A37" w:rsidRDefault="00C31A37" w:rsidP="00C31A37">
      <w:pPr>
        <w:pStyle w:val="Heading2"/>
      </w:pPr>
      <w:bookmarkStart w:id="4" w:name="_Toc296415791"/>
      <w:r>
        <w:t xml:space="preserve">The Annual Fraud Indicator values the collective loss to the UK economy from identified and hidden fraud at £193 billion per annum, with much of this being undetected. </w:t>
      </w:r>
    </w:p>
    <w:p w14:paraId="094FCB74" w14:textId="77777777" w:rsidR="00C31A37" w:rsidRDefault="00C31A37" w:rsidP="00C31A37">
      <w:pPr>
        <w:pStyle w:val="Heading2"/>
      </w:pPr>
      <w:r>
        <w:t xml:space="preserve">Fraud prevention is traditionally managed on a sector-by-sector basis; sharing data between public and private sectors in a consistent and structured manner has not been possible before. </w:t>
      </w:r>
    </w:p>
    <w:p w14:paraId="553CD73D" w14:textId="030988F4" w:rsidR="00C31A37" w:rsidRDefault="00C31A37" w:rsidP="00C31A37">
      <w:pPr>
        <w:pStyle w:val="Heading2"/>
      </w:pPr>
      <w:r>
        <w:t>The Counter Fraud Data Alliance (CFDA) is a me</w:t>
      </w:r>
      <w:r w:rsidR="0036136C">
        <w:t>mbership organisation</w:t>
      </w:r>
      <w:r>
        <w:t xml:space="preserve"> for sharing data between organisations within the private and public sector for the prevention and detection of fraud, led by the Cabinet Office. The initial </w:t>
      </w:r>
      <w:r w:rsidR="0036136C">
        <w:t>member</w:t>
      </w:r>
      <w:r>
        <w:t xml:space="preserve"> organisations are:</w:t>
      </w:r>
    </w:p>
    <w:p w14:paraId="657C8EEA" w14:textId="7683991F" w:rsidR="009C0C84" w:rsidRDefault="009C0C84" w:rsidP="00C31A37">
      <w:pPr>
        <w:pStyle w:val="ListBullet3"/>
      </w:pPr>
      <w:r>
        <w:t>Cabinet Office (CO)</w:t>
      </w:r>
    </w:p>
    <w:p w14:paraId="1A1A1E8C" w14:textId="77777777" w:rsidR="00C31A37" w:rsidRDefault="00C31A37" w:rsidP="00C31A37">
      <w:pPr>
        <w:pStyle w:val="ListBullet3"/>
      </w:pPr>
      <w:r>
        <w:t xml:space="preserve">HM Revenue &amp; </w:t>
      </w:r>
      <w:r w:rsidRPr="00C31A37">
        <w:t>Customs</w:t>
      </w:r>
      <w:r>
        <w:t xml:space="preserve"> (HMRC)   </w:t>
      </w:r>
    </w:p>
    <w:p w14:paraId="77129D19" w14:textId="77777777" w:rsidR="00C31A37" w:rsidRDefault="00C31A37" w:rsidP="00C31A37">
      <w:pPr>
        <w:pStyle w:val="ListBullet3"/>
      </w:pPr>
      <w:r>
        <w:t>Insurance Fraud Bureau (IFB)</w:t>
      </w:r>
    </w:p>
    <w:p w14:paraId="2021C9C9" w14:textId="77777777" w:rsidR="00C31A37" w:rsidRDefault="00C31A37" w:rsidP="00C31A37">
      <w:pPr>
        <w:pStyle w:val="ListBullet3"/>
      </w:pPr>
      <w:r>
        <w:t>UK Finance</w:t>
      </w:r>
    </w:p>
    <w:p w14:paraId="4B46E7AE" w14:textId="77777777" w:rsidR="00C31A37" w:rsidRDefault="00C31A37" w:rsidP="00C31A37">
      <w:pPr>
        <w:pStyle w:val="ListBullet3"/>
      </w:pPr>
      <w:r>
        <w:t>Department for Work &amp; Pensions (DWP)</w:t>
      </w:r>
    </w:p>
    <w:p w14:paraId="5FBE79F2" w14:textId="77777777" w:rsidR="009C0C84" w:rsidRDefault="00C31A37" w:rsidP="009C0C84">
      <w:pPr>
        <w:pStyle w:val="Heading2"/>
      </w:pPr>
      <w:r>
        <w:t xml:space="preserve">Further relevant </w:t>
      </w:r>
      <w:r w:rsidR="0036136C">
        <w:t>member</w:t>
      </w:r>
      <w:r>
        <w:t xml:space="preserve"> organisations may </w:t>
      </w:r>
      <w:r w:rsidR="0036136C">
        <w:t xml:space="preserve">become members of </w:t>
      </w:r>
      <w:r>
        <w:t>CFDA in future (for example, local authorities, credit card agencies, credit rating agency, etc.). No formal agreements have been made at this stage.</w:t>
      </w:r>
      <w:bookmarkStart w:id="5" w:name="_Toc368573028"/>
      <w:bookmarkStart w:id="6" w:name="_Toc444518867"/>
      <w:bookmarkStart w:id="7" w:name="_Toc297554773"/>
      <w:bookmarkStart w:id="8" w:name="_Toc296415805"/>
      <w:bookmarkStart w:id="9" w:name="_Toc296415793"/>
      <w:bookmarkEnd w:id="4"/>
    </w:p>
    <w:p w14:paraId="54BEBFCE" w14:textId="29591441" w:rsidR="009C0C84" w:rsidRPr="009C0C84" w:rsidRDefault="009C0C84" w:rsidP="009C0C84">
      <w:pPr>
        <w:pStyle w:val="Heading2"/>
      </w:pPr>
      <w:r w:rsidRPr="009C0C84">
        <w:rPr>
          <w:rFonts w:eastAsia="Arial" w:cs="Arial"/>
          <w:color w:val="000000"/>
          <w:sz w:val="24"/>
          <w:szCs w:val="24"/>
          <w:lang w:eastAsia="en-GB"/>
        </w:rPr>
        <w:t>The data/information that shall be shared by members is that of covered individuals who are regarded as having committed fraud against their organisation and be referred to as ‘known fraudsters’. The Cabinet Office is seeking a specified anti-fraud organisation (SAFO), as provided for in section 68 of the Serious Crime Act 2007 and detailed within Appendix 1 of the ‘Data Sharing for the Prevention of Fraud,’ code of practice</w:t>
      </w:r>
      <w:r w:rsidRPr="009C0C84">
        <w:rPr>
          <w:rFonts w:eastAsia="Arial" w:cs="Arial"/>
          <w:color w:val="000000"/>
          <w:sz w:val="24"/>
          <w:szCs w:val="24"/>
          <w:vertAlign w:val="superscript"/>
          <w:lang w:eastAsia="en-GB"/>
        </w:rPr>
        <w:t>[1]</w:t>
      </w:r>
      <w:r w:rsidRPr="009C0C84">
        <w:rPr>
          <w:rFonts w:eastAsia="Arial" w:cs="Arial"/>
          <w:color w:val="000000"/>
          <w:sz w:val="24"/>
          <w:szCs w:val="24"/>
          <w:lang w:eastAsia="en-GB"/>
        </w:rPr>
        <w:t>, to support the delivery of  CFDA</w:t>
      </w:r>
    </w:p>
    <w:p w14:paraId="00FB54F5" w14:textId="34D12BDC" w:rsidR="00671798" w:rsidRPr="004E78BC" w:rsidRDefault="00FE18AC">
      <w:pPr>
        <w:pStyle w:val="Heading1"/>
        <w:tabs>
          <w:tab w:val="clear" w:pos="720"/>
        </w:tabs>
        <w:overflowPunct w:val="0"/>
        <w:autoSpaceDE w:val="0"/>
        <w:autoSpaceDN w:val="0"/>
        <w:spacing w:after="120"/>
        <w:textAlignment w:val="baseline"/>
        <w:rPr>
          <w:szCs w:val="22"/>
        </w:rPr>
      </w:pPr>
      <w:r w:rsidRPr="004E78BC">
        <w:rPr>
          <w:szCs w:val="22"/>
        </w:rPr>
        <w:t>BACKGROUND TO THE CONTRACTING aUTHORITY</w:t>
      </w:r>
      <w:bookmarkEnd w:id="5"/>
      <w:bookmarkEnd w:id="6"/>
    </w:p>
    <w:p w14:paraId="44F6EDF5" w14:textId="77777777" w:rsidR="0036136C" w:rsidRPr="003E0EDF" w:rsidRDefault="0036136C" w:rsidP="0036136C">
      <w:pPr>
        <w:pStyle w:val="Heading2"/>
        <w:tabs>
          <w:tab w:val="clear" w:pos="720"/>
          <w:tab w:val="num" w:pos="709"/>
        </w:tabs>
        <w:spacing w:after="120"/>
        <w:ind w:left="709" w:hanging="709"/>
      </w:pPr>
      <w:r>
        <w:t>The Fraud and Error (F&amp;E) team within Cabinet Office have a responsibility to improve access to data and data analytics across government to counter fraud.</w:t>
      </w:r>
    </w:p>
    <w:p w14:paraId="575296CC" w14:textId="77777777" w:rsidR="00C31A37" w:rsidRDefault="00903784" w:rsidP="000E713D">
      <w:pPr>
        <w:pStyle w:val="Heading2"/>
        <w:rPr>
          <w:lang w:val="en"/>
        </w:rPr>
      </w:pPr>
      <w:r>
        <w:rPr>
          <w:lang w:val="en"/>
        </w:rPr>
        <w:t>It</w:t>
      </w:r>
      <w:r w:rsidR="000E713D">
        <w:rPr>
          <w:lang w:val="en"/>
        </w:rPr>
        <w:t xml:space="preserve"> </w:t>
      </w:r>
      <w:r w:rsidR="00C31A37">
        <w:rPr>
          <w:lang w:val="en"/>
        </w:rPr>
        <w:t>work</w:t>
      </w:r>
      <w:r w:rsidR="000E713D">
        <w:rPr>
          <w:lang w:val="en"/>
        </w:rPr>
        <w:t>s</w:t>
      </w:r>
      <w:r w:rsidR="00C31A37">
        <w:rPr>
          <w:lang w:val="en"/>
        </w:rPr>
        <w:t xml:space="preserve"> with departments to:</w:t>
      </w:r>
    </w:p>
    <w:p w14:paraId="166FE3CF" w14:textId="77777777" w:rsidR="00C31A37" w:rsidRDefault="00C31A37" w:rsidP="000E713D">
      <w:pPr>
        <w:pStyle w:val="ListBullet3"/>
        <w:rPr>
          <w:lang w:val="en"/>
        </w:rPr>
      </w:pPr>
      <w:r>
        <w:rPr>
          <w:lang w:val="en"/>
        </w:rPr>
        <w:t>identify and reduce financial losses through fraud and error</w:t>
      </w:r>
      <w:r w:rsidR="000E713D">
        <w:rPr>
          <w:lang w:val="en"/>
        </w:rPr>
        <w:t>;</w:t>
      </w:r>
    </w:p>
    <w:p w14:paraId="5D832B8D" w14:textId="77777777" w:rsidR="00C31A37" w:rsidRDefault="00C31A37" w:rsidP="000E713D">
      <w:pPr>
        <w:pStyle w:val="ListBullet3"/>
        <w:rPr>
          <w:lang w:val="en"/>
        </w:rPr>
      </w:pPr>
      <w:r>
        <w:rPr>
          <w:lang w:val="en"/>
        </w:rPr>
        <w:t>improve overdue debt management</w:t>
      </w:r>
      <w:r w:rsidR="000E713D">
        <w:rPr>
          <w:lang w:val="en"/>
        </w:rPr>
        <w:t>;</w:t>
      </w:r>
    </w:p>
    <w:p w14:paraId="0C2AB8A3" w14:textId="77777777" w:rsidR="00C31A37" w:rsidRDefault="00C31A37" w:rsidP="000E713D">
      <w:pPr>
        <w:pStyle w:val="ListBullet3"/>
        <w:rPr>
          <w:lang w:val="en"/>
        </w:rPr>
      </w:pPr>
      <w:r>
        <w:rPr>
          <w:lang w:val="en"/>
        </w:rPr>
        <w:t xml:space="preserve">improve the effectiveness of grants whilst reducing the costs of their administration through the Grants Efficiency </w:t>
      </w:r>
      <w:proofErr w:type="spellStart"/>
      <w:r>
        <w:rPr>
          <w:lang w:val="en"/>
        </w:rPr>
        <w:t>Programme</w:t>
      </w:r>
      <w:proofErr w:type="spellEnd"/>
      <w:r w:rsidR="000E713D">
        <w:rPr>
          <w:lang w:val="en"/>
        </w:rPr>
        <w:t>;</w:t>
      </w:r>
    </w:p>
    <w:p w14:paraId="5DF9F4B8" w14:textId="77777777" w:rsidR="00C31A37" w:rsidRDefault="00C31A37" w:rsidP="000E713D">
      <w:pPr>
        <w:pStyle w:val="ListBullet3"/>
        <w:rPr>
          <w:lang w:val="en"/>
        </w:rPr>
      </w:pPr>
      <w:r>
        <w:rPr>
          <w:lang w:val="en"/>
        </w:rPr>
        <w:lastRenderedPageBreak/>
        <w:t>identify more fraud and error and make sure</w:t>
      </w:r>
      <w:r w:rsidR="000E713D">
        <w:rPr>
          <w:lang w:val="en"/>
        </w:rPr>
        <w:t xml:space="preserve"> changes are made to prevent it; and</w:t>
      </w:r>
    </w:p>
    <w:p w14:paraId="592E16D3" w14:textId="77777777" w:rsidR="00C31A37" w:rsidRDefault="00C31A37" w:rsidP="000E713D">
      <w:pPr>
        <w:pStyle w:val="ListBullet3"/>
        <w:rPr>
          <w:lang w:val="en"/>
        </w:rPr>
      </w:pPr>
      <w:proofErr w:type="gramStart"/>
      <w:r>
        <w:rPr>
          <w:lang w:val="en"/>
        </w:rPr>
        <w:t>provide</w:t>
      </w:r>
      <w:proofErr w:type="gramEnd"/>
      <w:r>
        <w:rPr>
          <w:lang w:val="en"/>
        </w:rPr>
        <w:t xml:space="preserve"> counter-fraud remedies and common solutions to cross-cutting issues.</w:t>
      </w:r>
    </w:p>
    <w:p w14:paraId="582E90A4" w14:textId="77777777" w:rsidR="00FE18AC" w:rsidRPr="002C546C" w:rsidRDefault="00FE18AC" w:rsidP="008F3470">
      <w:pPr>
        <w:pStyle w:val="Heading1"/>
        <w:tabs>
          <w:tab w:val="clear" w:pos="720"/>
        </w:tabs>
        <w:overflowPunct w:val="0"/>
        <w:autoSpaceDE w:val="0"/>
        <w:autoSpaceDN w:val="0"/>
        <w:spacing w:after="120"/>
        <w:textAlignment w:val="baseline"/>
        <w:rPr>
          <w:szCs w:val="22"/>
        </w:rPr>
      </w:pPr>
      <w:bookmarkStart w:id="10" w:name="_Toc368573029"/>
      <w:bookmarkStart w:id="11" w:name="_Toc444518868"/>
      <w:r>
        <w:rPr>
          <w:szCs w:val="22"/>
        </w:rPr>
        <w:t>Background to requirement/</w:t>
      </w:r>
      <w:r w:rsidRPr="002C546C">
        <w:rPr>
          <w:szCs w:val="22"/>
        </w:rPr>
        <w:t>OVERVIEW</w:t>
      </w:r>
      <w:bookmarkEnd w:id="7"/>
      <w:r>
        <w:rPr>
          <w:szCs w:val="22"/>
        </w:rPr>
        <w:t xml:space="preserve"> of requirement</w:t>
      </w:r>
      <w:bookmarkEnd w:id="10"/>
      <w:bookmarkEnd w:id="11"/>
    </w:p>
    <w:p w14:paraId="0D6FC450" w14:textId="28607D2E" w:rsidR="000E713D" w:rsidRDefault="0091017C" w:rsidP="000E713D">
      <w:pPr>
        <w:pStyle w:val="Heading2"/>
      </w:pPr>
      <w:bookmarkStart w:id="12" w:name="_Toc297554774"/>
      <w:bookmarkEnd w:id="8"/>
      <w:r w:rsidRPr="0091017C">
        <w:t>The CFDA is a mechanism for sharing data between membership organisations within the private and public sector for the purpose of the prevention and detection of crime, specifically fraud.  The data that shall be shared by members is that of subjects that are regarded as having committed fraud against their organisation and be referred to as ‘known fraudsters’. The system underpinning the CFDA should:</w:t>
      </w:r>
    </w:p>
    <w:p w14:paraId="13CAF7A6" w14:textId="77777777" w:rsidR="000E713D" w:rsidRDefault="000E713D" w:rsidP="000E713D">
      <w:pPr>
        <w:jc w:val="right"/>
        <w:rPr>
          <w:rFonts w:cs="Arial"/>
          <w:color w:val="000000" w:themeColor="text1"/>
        </w:rPr>
      </w:pPr>
    </w:p>
    <w:p w14:paraId="6C8B52D3" w14:textId="7AF3F0D2" w:rsidR="000E713D" w:rsidRDefault="000E713D" w:rsidP="000E713D">
      <w:pPr>
        <w:pStyle w:val="ListBullet3"/>
      </w:pPr>
      <w:r w:rsidRPr="00053B79">
        <w:t xml:space="preserve">Allow </w:t>
      </w:r>
      <w:r w:rsidR="0036136C">
        <w:t>member</w:t>
      </w:r>
      <w:r w:rsidRPr="00053B79">
        <w:t>s to uploa</w:t>
      </w:r>
      <w:r>
        <w:t>d/provide their data to the CFDA</w:t>
      </w:r>
      <w:r w:rsidRPr="00053B79">
        <w:t xml:space="preserve"> </w:t>
      </w:r>
      <w:r>
        <w:t>Repository</w:t>
      </w:r>
      <w:r w:rsidRPr="00053B79">
        <w:t xml:space="preserve"> in</w:t>
      </w:r>
      <w:r w:rsidR="006D54C0">
        <w:t xml:space="preserve"> a prescribed and secure manner.</w:t>
      </w:r>
    </w:p>
    <w:p w14:paraId="503A7018" w14:textId="370D7DFD" w:rsidR="00C17C2E" w:rsidRDefault="004673DF" w:rsidP="000E713D">
      <w:pPr>
        <w:pStyle w:val="ListBullet3"/>
      </w:pPr>
      <w:r>
        <w:t>M</w:t>
      </w:r>
      <w:r w:rsidR="00C17C2E">
        <w:t xml:space="preserve">aintain the CFDA repository expressly for the use </w:t>
      </w:r>
      <w:r>
        <w:t xml:space="preserve">of, </w:t>
      </w:r>
      <w:r w:rsidR="00C17C2E">
        <w:t>and purpose defined by</w:t>
      </w:r>
      <w:r>
        <w:t>,</w:t>
      </w:r>
      <w:r w:rsidR="00C17C2E">
        <w:t xml:space="preserve"> the CFDA members</w:t>
      </w:r>
    </w:p>
    <w:p w14:paraId="37F55958" w14:textId="7B6AB17B" w:rsidR="000E713D" w:rsidRPr="00053B79" w:rsidRDefault="000E713D" w:rsidP="000E713D">
      <w:pPr>
        <w:pStyle w:val="ListBullet3"/>
      </w:pPr>
      <w:r>
        <w:t>Concatenate</w:t>
      </w:r>
      <w:r w:rsidRPr="00053B79">
        <w:t xml:space="preserve"> multiple source files into a </w:t>
      </w:r>
      <w:r>
        <w:t>singl</w:t>
      </w:r>
      <w:r w:rsidR="006D54C0">
        <w:t xml:space="preserve">e file for download by </w:t>
      </w:r>
      <w:r w:rsidR="0036136C">
        <w:t>member</w:t>
      </w:r>
      <w:r w:rsidR="006D54C0">
        <w:t>s.</w:t>
      </w:r>
    </w:p>
    <w:p w14:paraId="5A716600" w14:textId="77777777" w:rsidR="000E713D" w:rsidRPr="00053B79" w:rsidRDefault="000E713D" w:rsidP="000E713D">
      <w:pPr>
        <w:pStyle w:val="ListBullet3"/>
      </w:pPr>
      <w:r w:rsidRPr="00053B79">
        <w:t xml:space="preserve">Provide </w:t>
      </w:r>
      <w:r>
        <w:t>management information for the operators</w:t>
      </w:r>
      <w:r w:rsidRPr="00053B79">
        <w:t>.</w:t>
      </w:r>
    </w:p>
    <w:p w14:paraId="4B62F075" w14:textId="77777777" w:rsidR="000E713D" w:rsidRDefault="000E713D" w:rsidP="000E713D">
      <w:pPr>
        <w:rPr>
          <w:rFonts w:cs="Arial"/>
          <w:color w:val="000000" w:themeColor="text1"/>
        </w:rPr>
      </w:pPr>
    </w:p>
    <w:p w14:paraId="2DAF85E8" w14:textId="77777777" w:rsidR="000E713D" w:rsidRDefault="000E713D" w:rsidP="000E713D">
      <w:pPr>
        <w:pStyle w:val="Heading2"/>
      </w:pPr>
      <w:r w:rsidRPr="00BA54A5">
        <w:t>Overall the purpose of the system is the prevention</w:t>
      </w:r>
      <w:r>
        <w:t xml:space="preserve">, detection and </w:t>
      </w:r>
      <w:r w:rsidRPr="00BA54A5">
        <w:t>reduction of fraud.</w:t>
      </w:r>
    </w:p>
    <w:p w14:paraId="41B0E11C" w14:textId="77777777" w:rsidR="00C4233A" w:rsidRDefault="00106F24">
      <w:pPr>
        <w:pStyle w:val="Heading1"/>
        <w:tabs>
          <w:tab w:val="clear" w:pos="720"/>
        </w:tabs>
        <w:overflowPunct w:val="0"/>
        <w:autoSpaceDE w:val="0"/>
        <w:autoSpaceDN w:val="0"/>
        <w:spacing w:after="120"/>
        <w:textAlignment w:val="baseline"/>
        <w:rPr>
          <w:szCs w:val="22"/>
        </w:rPr>
      </w:pPr>
      <w:bookmarkStart w:id="13" w:name="_Toc444518869"/>
      <w:bookmarkStart w:id="14" w:name="_Toc368573030"/>
      <w:r>
        <w:rPr>
          <w:szCs w:val="22"/>
        </w:rPr>
        <w:t>definitions</w:t>
      </w:r>
      <w:bookmarkEnd w:id="13"/>
      <w:r>
        <w:rPr>
          <w:szCs w:val="22"/>
        </w:rPr>
        <w:t xml:space="preserve"> </w:t>
      </w:r>
    </w:p>
    <w:tbl>
      <w:tblPr>
        <w:tblStyle w:val="TableGrid"/>
        <w:tblW w:w="0" w:type="auto"/>
        <w:tblInd w:w="720" w:type="dxa"/>
        <w:tblLook w:val="04A0" w:firstRow="1" w:lastRow="0" w:firstColumn="1" w:lastColumn="0" w:noHBand="0" w:noVBand="1"/>
      </w:tblPr>
      <w:tblGrid>
        <w:gridCol w:w="1827"/>
        <w:gridCol w:w="6472"/>
      </w:tblGrid>
      <w:tr w:rsidR="00106F24" w14:paraId="7B408949" w14:textId="77777777" w:rsidTr="00106F24">
        <w:tc>
          <w:tcPr>
            <w:tcW w:w="1827" w:type="dxa"/>
            <w:shd w:val="clear" w:color="auto" w:fill="C6D9F1" w:themeFill="text2" w:themeFillTint="33"/>
          </w:tcPr>
          <w:p w14:paraId="39B8C21E" w14:textId="77777777" w:rsidR="00106F24" w:rsidRPr="00CC6B83" w:rsidRDefault="00106F24" w:rsidP="0081061A">
            <w:pPr>
              <w:pStyle w:val="Heading2"/>
              <w:numPr>
                <w:ilvl w:val="0"/>
                <w:numId w:val="0"/>
              </w:numPr>
              <w:spacing w:after="120"/>
              <w:ind w:left="18" w:hanging="18"/>
              <w:jc w:val="left"/>
              <w:outlineLvl w:val="1"/>
              <w:rPr>
                <w:b/>
              </w:rPr>
            </w:pPr>
            <w:r w:rsidRPr="00CC6B83">
              <w:rPr>
                <w:b/>
              </w:rPr>
              <w:t>Expression</w:t>
            </w:r>
            <w:r w:rsidR="0081061A" w:rsidRPr="00CC6B83">
              <w:rPr>
                <w:b/>
              </w:rPr>
              <w:t xml:space="preserve"> or </w:t>
            </w:r>
            <w:r w:rsidRPr="00CC6B83">
              <w:rPr>
                <w:b/>
              </w:rPr>
              <w:t>Acronym</w:t>
            </w:r>
          </w:p>
        </w:tc>
        <w:tc>
          <w:tcPr>
            <w:tcW w:w="6472" w:type="dxa"/>
            <w:shd w:val="clear" w:color="auto" w:fill="C6D9F1" w:themeFill="text2" w:themeFillTint="33"/>
          </w:tcPr>
          <w:p w14:paraId="7FFBD5A8" w14:textId="77777777" w:rsidR="00106F24" w:rsidRPr="00CC6B83" w:rsidRDefault="00106F24" w:rsidP="0081061A">
            <w:pPr>
              <w:pStyle w:val="Heading2"/>
              <w:numPr>
                <w:ilvl w:val="0"/>
                <w:numId w:val="0"/>
              </w:numPr>
              <w:spacing w:after="120"/>
              <w:ind w:left="720" w:hanging="720"/>
              <w:outlineLvl w:val="1"/>
              <w:rPr>
                <w:b/>
              </w:rPr>
            </w:pPr>
            <w:r w:rsidRPr="00CC6B83">
              <w:rPr>
                <w:b/>
              </w:rPr>
              <w:t>Definition</w:t>
            </w:r>
          </w:p>
        </w:tc>
      </w:tr>
      <w:tr w:rsidR="00CC6B83" w14:paraId="2AF8FC10" w14:textId="77777777" w:rsidTr="00BE21B5">
        <w:tc>
          <w:tcPr>
            <w:tcW w:w="1827" w:type="dxa"/>
          </w:tcPr>
          <w:p w14:paraId="009948DF" w14:textId="3F2F6D54" w:rsidR="00CC6B83" w:rsidRDefault="00CC6B83" w:rsidP="00BE21B5">
            <w:pPr>
              <w:pStyle w:val="Heading2"/>
              <w:numPr>
                <w:ilvl w:val="0"/>
                <w:numId w:val="0"/>
              </w:numPr>
              <w:spacing w:after="120"/>
              <w:ind w:left="720" w:hanging="720"/>
              <w:outlineLvl w:val="1"/>
            </w:pPr>
            <w:r>
              <w:t>A&amp;I</w:t>
            </w:r>
          </w:p>
        </w:tc>
        <w:tc>
          <w:tcPr>
            <w:tcW w:w="6472" w:type="dxa"/>
          </w:tcPr>
          <w:p w14:paraId="138D3362" w14:textId="1DA7BEDE" w:rsidR="00CC6B83" w:rsidRDefault="00CC6B83" w:rsidP="00BE21B5">
            <w:pPr>
              <w:pStyle w:val="Heading2"/>
              <w:numPr>
                <w:ilvl w:val="0"/>
                <w:numId w:val="0"/>
              </w:numPr>
              <w:spacing w:after="120"/>
              <w:outlineLvl w:val="1"/>
            </w:pPr>
            <w:r>
              <w:t>Analysis &amp; Intelligence</w:t>
            </w:r>
          </w:p>
        </w:tc>
      </w:tr>
      <w:tr w:rsidR="00CC6B83" w14:paraId="26C0786D" w14:textId="77777777" w:rsidTr="00BE21B5">
        <w:tc>
          <w:tcPr>
            <w:tcW w:w="1827" w:type="dxa"/>
          </w:tcPr>
          <w:p w14:paraId="67501D97" w14:textId="77777777" w:rsidR="00CC6B83" w:rsidRDefault="00CC6B83" w:rsidP="00BE21B5">
            <w:pPr>
              <w:pStyle w:val="Heading2"/>
              <w:numPr>
                <w:ilvl w:val="0"/>
                <w:numId w:val="0"/>
              </w:numPr>
              <w:spacing w:after="120"/>
              <w:ind w:left="720" w:hanging="720"/>
              <w:outlineLvl w:val="1"/>
            </w:pPr>
            <w:r>
              <w:t>Black data</w:t>
            </w:r>
          </w:p>
        </w:tc>
        <w:tc>
          <w:tcPr>
            <w:tcW w:w="6472" w:type="dxa"/>
          </w:tcPr>
          <w:p w14:paraId="078C26FD" w14:textId="77777777" w:rsidR="00CC6B83" w:rsidRPr="000E713D" w:rsidRDefault="00CC6B83" w:rsidP="00BE21B5">
            <w:pPr>
              <w:pStyle w:val="Heading2"/>
              <w:numPr>
                <w:ilvl w:val="0"/>
                <w:numId w:val="0"/>
              </w:numPr>
              <w:spacing w:after="120"/>
              <w:outlineLvl w:val="1"/>
            </w:pPr>
            <w:r>
              <w:t>Data and data sets of known fraud</w:t>
            </w:r>
          </w:p>
        </w:tc>
      </w:tr>
      <w:tr w:rsidR="00106F24" w14:paraId="4D9F7F3A" w14:textId="77777777" w:rsidTr="00106F24">
        <w:tc>
          <w:tcPr>
            <w:tcW w:w="1827" w:type="dxa"/>
          </w:tcPr>
          <w:p w14:paraId="75DFAE14" w14:textId="77777777" w:rsidR="00106F24" w:rsidRPr="000E713D" w:rsidRDefault="000E713D" w:rsidP="000E713D">
            <w:pPr>
              <w:pStyle w:val="Heading2"/>
              <w:numPr>
                <w:ilvl w:val="0"/>
                <w:numId w:val="0"/>
              </w:numPr>
              <w:spacing w:after="120"/>
              <w:outlineLvl w:val="1"/>
            </w:pPr>
            <w:r w:rsidRPr="000E713D">
              <w:t>CFDA</w:t>
            </w:r>
          </w:p>
        </w:tc>
        <w:tc>
          <w:tcPr>
            <w:tcW w:w="6472" w:type="dxa"/>
          </w:tcPr>
          <w:p w14:paraId="21261926" w14:textId="77777777" w:rsidR="00106F24" w:rsidRPr="000E713D" w:rsidRDefault="000E713D" w:rsidP="0081061A">
            <w:pPr>
              <w:pStyle w:val="Heading2"/>
              <w:numPr>
                <w:ilvl w:val="0"/>
                <w:numId w:val="0"/>
              </w:numPr>
              <w:spacing w:after="120"/>
              <w:outlineLvl w:val="1"/>
            </w:pPr>
            <w:r w:rsidRPr="000E713D">
              <w:t>Counter Fraud Data Alliance</w:t>
            </w:r>
          </w:p>
        </w:tc>
      </w:tr>
      <w:tr w:rsidR="00CC6B83" w14:paraId="7F0763A0" w14:textId="77777777" w:rsidTr="00BE21B5">
        <w:tc>
          <w:tcPr>
            <w:tcW w:w="1827" w:type="dxa"/>
          </w:tcPr>
          <w:p w14:paraId="4C8D0779" w14:textId="113945FA" w:rsidR="00CC6B83" w:rsidRDefault="00CC6B83" w:rsidP="00BE21B5">
            <w:pPr>
              <w:pStyle w:val="Heading2"/>
              <w:numPr>
                <w:ilvl w:val="0"/>
                <w:numId w:val="0"/>
              </w:numPr>
              <w:spacing w:after="120"/>
              <w:ind w:left="720" w:hanging="720"/>
              <w:outlineLvl w:val="1"/>
            </w:pPr>
            <w:r>
              <w:t>DWP</w:t>
            </w:r>
          </w:p>
        </w:tc>
        <w:tc>
          <w:tcPr>
            <w:tcW w:w="6472" w:type="dxa"/>
          </w:tcPr>
          <w:p w14:paraId="59647C74" w14:textId="383C7345" w:rsidR="00CC6B83" w:rsidRDefault="00CC6B83" w:rsidP="00BE21B5">
            <w:pPr>
              <w:pStyle w:val="Heading2"/>
              <w:numPr>
                <w:ilvl w:val="0"/>
                <w:numId w:val="0"/>
              </w:numPr>
              <w:spacing w:after="120"/>
              <w:outlineLvl w:val="1"/>
            </w:pPr>
            <w:r>
              <w:t>Department for Work and Pensions</w:t>
            </w:r>
          </w:p>
        </w:tc>
      </w:tr>
      <w:tr w:rsidR="00CC6B83" w14:paraId="40BDD24E" w14:textId="77777777" w:rsidTr="00BE21B5">
        <w:tc>
          <w:tcPr>
            <w:tcW w:w="1827" w:type="dxa"/>
          </w:tcPr>
          <w:p w14:paraId="701B12B0" w14:textId="40C22665" w:rsidR="00CC6B83" w:rsidRDefault="00CC6B83" w:rsidP="00BE21B5">
            <w:pPr>
              <w:pStyle w:val="Heading2"/>
              <w:numPr>
                <w:ilvl w:val="0"/>
                <w:numId w:val="0"/>
              </w:numPr>
              <w:spacing w:after="120"/>
              <w:ind w:left="720" w:hanging="720"/>
              <w:outlineLvl w:val="1"/>
            </w:pPr>
            <w:r>
              <w:t>F&amp;E</w:t>
            </w:r>
          </w:p>
        </w:tc>
        <w:tc>
          <w:tcPr>
            <w:tcW w:w="6472" w:type="dxa"/>
          </w:tcPr>
          <w:p w14:paraId="59A8EDF6" w14:textId="08D8990D" w:rsidR="00CC6B83" w:rsidRDefault="00CC6B83" w:rsidP="00BE21B5">
            <w:pPr>
              <w:pStyle w:val="Heading2"/>
              <w:numPr>
                <w:ilvl w:val="0"/>
                <w:numId w:val="0"/>
              </w:numPr>
              <w:spacing w:after="120"/>
              <w:outlineLvl w:val="1"/>
            </w:pPr>
            <w:r>
              <w:t>Fraud &amp; Error</w:t>
            </w:r>
          </w:p>
        </w:tc>
      </w:tr>
      <w:tr w:rsidR="00CC6B83" w14:paraId="4A72EF88" w14:textId="77777777" w:rsidTr="00BE21B5">
        <w:tc>
          <w:tcPr>
            <w:tcW w:w="1827" w:type="dxa"/>
          </w:tcPr>
          <w:p w14:paraId="53341291" w14:textId="3694ECC4" w:rsidR="00CC6B83" w:rsidRDefault="00CC6B83" w:rsidP="00BE21B5">
            <w:pPr>
              <w:pStyle w:val="Heading2"/>
              <w:numPr>
                <w:ilvl w:val="0"/>
                <w:numId w:val="0"/>
              </w:numPr>
              <w:spacing w:after="120"/>
              <w:ind w:left="720" w:hanging="720"/>
              <w:outlineLvl w:val="1"/>
            </w:pPr>
            <w:r>
              <w:t>FISS</w:t>
            </w:r>
          </w:p>
        </w:tc>
        <w:tc>
          <w:tcPr>
            <w:tcW w:w="6472" w:type="dxa"/>
          </w:tcPr>
          <w:p w14:paraId="0FB9154D" w14:textId="1FE4B10B" w:rsidR="00CC6B83" w:rsidRDefault="00CC6B83" w:rsidP="00BE21B5">
            <w:pPr>
              <w:pStyle w:val="Heading2"/>
              <w:numPr>
                <w:ilvl w:val="0"/>
                <w:numId w:val="0"/>
              </w:numPr>
              <w:spacing w:after="120"/>
              <w:outlineLvl w:val="1"/>
            </w:pPr>
            <w:r>
              <w:t>Fraud Intelligence Sharing System</w:t>
            </w:r>
          </w:p>
        </w:tc>
      </w:tr>
      <w:tr w:rsidR="00CC6B83" w14:paraId="037BC415" w14:textId="77777777" w:rsidTr="00BE21B5">
        <w:tc>
          <w:tcPr>
            <w:tcW w:w="1827" w:type="dxa"/>
          </w:tcPr>
          <w:p w14:paraId="56B4336F" w14:textId="77777777" w:rsidR="00CC6B83" w:rsidRPr="000E713D" w:rsidRDefault="00CC6B83" w:rsidP="00BE21B5">
            <w:pPr>
              <w:pStyle w:val="Heading2"/>
              <w:numPr>
                <w:ilvl w:val="0"/>
                <w:numId w:val="0"/>
              </w:numPr>
              <w:spacing w:after="120"/>
              <w:ind w:left="720" w:hanging="720"/>
              <w:outlineLvl w:val="1"/>
            </w:pPr>
            <w:r>
              <w:t>Grey data</w:t>
            </w:r>
          </w:p>
        </w:tc>
        <w:tc>
          <w:tcPr>
            <w:tcW w:w="6472" w:type="dxa"/>
          </w:tcPr>
          <w:p w14:paraId="5A261EE3" w14:textId="77777777" w:rsidR="00CC6B83" w:rsidRPr="000E713D" w:rsidRDefault="00CC6B83" w:rsidP="00BE21B5">
            <w:pPr>
              <w:pStyle w:val="Heading2"/>
              <w:numPr>
                <w:ilvl w:val="0"/>
                <w:numId w:val="0"/>
              </w:numPr>
              <w:spacing w:after="120"/>
              <w:outlineLvl w:val="1"/>
            </w:pPr>
            <w:r>
              <w:t>Data and data sets of personal data where there is the suspicion of fraud</w:t>
            </w:r>
          </w:p>
        </w:tc>
      </w:tr>
      <w:tr w:rsidR="00CC6B83" w14:paraId="0BB62660" w14:textId="77777777" w:rsidTr="00BE21B5">
        <w:tc>
          <w:tcPr>
            <w:tcW w:w="1827" w:type="dxa"/>
          </w:tcPr>
          <w:p w14:paraId="356BF7BE" w14:textId="0D331912" w:rsidR="00CC6B83" w:rsidRDefault="00CC6B83" w:rsidP="00BE21B5">
            <w:pPr>
              <w:pStyle w:val="Heading2"/>
              <w:numPr>
                <w:ilvl w:val="0"/>
                <w:numId w:val="0"/>
              </w:numPr>
              <w:spacing w:after="120"/>
              <w:ind w:left="720" w:hanging="720"/>
              <w:outlineLvl w:val="1"/>
            </w:pPr>
            <w:r>
              <w:t>HMRC</w:t>
            </w:r>
          </w:p>
        </w:tc>
        <w:tc>
          <w:tcPr>
            <w:tcW w:w="6472" w:type="dxa"/>
          </w:tcPr>
          <w:p w14:paraId="0A0C0F5D" w14:textId="45B46F7C" w:rsidR="00CC6B83" w:rsidRDefault="00CC6B83" w:rsidP="00BE21B5">
            <w:pPr>
              <w:pStyle w:val="Heading2"/>
              <w:numPr>
                <w:ilvl w:val="0"/>
                <w:numId w:val="0"/>
              </w:numPr>
              <w:spacing w:after="120"/>
              <w:outlineLvl w:val="1"/>
            </w:pPr>
            <w:r>
              <w:t>Her Majesty’s Revenue and Customs</w:t>
            </w:r>
          </w:p>
        </w:tc>
      </w:tr>
      <w:tr w:rsidR="00CC6B83" w14:paraId="1D5C86A4" w14:textId="77777777" w:rsidTr="00BE21B5">
        <w:tc>
          <w:tcPr>
            <w:tcW w:w="1827" w:type="dxa"/>
          </w:tcPr>
          <w:p w14:paraId="687C5A22" w14:textId="7C7C9D6D" w:rsidR="00CC6B83" w:rsidRDefault="00CC6B83" w:rsidP="00BE21B5">
            <w:pPr>
              <w:pStyle w:val="Heading2"/>
              <w:numPr>
                <w:ilvl w:val="0"/>
                <w:numId w:val="0"/>
              </w:numPr>
              <w:spacing w:after="120"/>
              <w:ind w:left="720" w:hanging="720"/>
              <w:outlineLvl w:val="1"/>
            </w:pPr>
            <w:r>
              <w:t>IFB</w:t>
            </w:r>
          </w:p>
        </w:tc>
        <w:tc>
          <w:tcPr>
            <w:tcW w:w="6472" w:type="dxa"/>
          </w:tcPr>
          <w:p w14:paraId="059AC3F7" w14:textId="2D026E9D" w:rsidR="00CC6B83" w:rsidRDefault="00CC6B83" w:rsidP="00BE21B5">
            <w:pPr>
              <w:pStyle w:val="Heading2"/>
              <w:numPr>
                <w:ilvl w:val="0"/>
                <w:numId w:val="0"/>
              </w:numPr>
              <w:spacing w:after="120"/>
              <w:outlineLvl w:val="1"/>
            </w:pPr>
            <w:r>
              <w:t>Insurance Fraud Bureau</w:t>
            </w:r>
          </w:p>
        </w:tc>
      </w:tr>
      <w:tr w:rsidR="00CC6B83" w14:paraId="635F573C" w14:textId="77777777" w:rsidTr="00BE21B5">
        <w:tc>
          <w:tcPr>
            <w:tcW w:w="1827" w:type="dxa"/>
          </w:tcPr>
          <w:p w14:paraId="1A3574B1" w14:textId="620C9E70" w:rsidR="00CC6B83" w:rsidRDefault="00CC6B83" w:rsidP="00BE21B5">
            <w:pPr>
              <w:pStyle w:val="Heading2"/>
              <w:numPr>
                <w:ilvl w:val="0"/>
                <w:numId w:val="0"/>
              </w:numPr>
              <w:spacing w:after="120"/>
              <w:ind w:left="720" w:hanging="720"/>
              <w:outlineLvl w:val="1"/>
            </w:pPr>
            <w:r>
              <w:t>IFR</w:t>
            </w:r>
          </w:p>
        </w:tc>
        <w:tc>
          <w:tcPr>
            <w:tcW w:w="6472" w:type="dxa"/>
          </w:tcPr>
          <w:p w14:paraId="0FCA6A5E" w14:textId="0916A88F" w:rsidR="00CC6B83" w:rsidRDefault="00CC6B83" w:rsidP="00BE21B5">
            <w:pPr>
              <w:pStyle w:val="Heading2"/>
              <w:numPr>
                <w:ilvl w:val="0"/>
                <w:numId w:val="0"/>
              </w:numPr>
              <w:spacing w:after="120"/>
              <w:outlineLvl w:val="1"/>
            </w:pPr>
            <w:r>
              <w:t>Insurance Fraud Register</w:t>
            </w:r>
          </w:p>
        </w:tc>
      </w:tr>
      <w:tr w:rsidR="00CC6B83" w14:paraId="7F5376B3" w14:textId="77777777" w:rsidTr="00106F24">
        <w:tc>
          <w:tcPr>
            <w:tcW w:w="1827" w:type="dxa"/>
          </w:tcPr>
          <w:p w14:paraId="0BF6A0D7" w14:textId="0611DD6E" w:rsidR="00CC6B83" w:rsidRDefault="00CC6B83" w:rsidP="0081061A">
            <w:pPr>
              <w:pStyle w:val="Heading2"/>
              <w:numPr>
                <w:ilvl w:val="0"/>
                <w:numId w:val="0"/>
              </w:numPr>
              <w:spacing w:after="120"/>
              <w:ind w:left="720" w:hanging="720"/>
              <w:outlineLvl w:val="1"/>
            </w:pPr>
            <w:r w:rsidRPr="001B04D5">
              <w:lastRenderedPageBreak/>
              <w:t>NCSC</w:t>
            </w:r>
          </w:p>
        </w:tc>
        <w:tc>
          <w:tcPr>
            <w:tcW w:w="6472" w:type="dxa"/>
          </w:tcPr>
          <w:p w14:paraId="0F8513C0" w14:textId="42E3B4B8" w:rsidR="00CC6B83" w:rsidRDefault="00CC6B83" w:rsidP="0081061A">
            <w:pPr>
              <w:pStyle w:val="Heading2"/>
              <w:numPr>
                <w:ilvl w:val="0"/>
                <w:numId w:val="0"/>
              </w:numPr>
              <w:spacing w:after="120"/>
              <w:ind w:left="720" w:hanging="720"/>
              <w:outlineLvl w:val="1"/>
            </w:pPr>
            <w:r>
              <w:t>National Cyber Security Centre</w:t>
            </w:r>
          </w:p>
        </w:tc>
      </w:tr>
      <w:tr w:rsidR="00106F24" w14:paraId="74D78C76" w14:textId="77777777" w:rsidTr="00106F24">
        <w:tc>
          <w:tcPr>
            <w:tcW w:w="1827" w:type="dxa"/>
          </w:tcPr>
          <w:p w14:paraId="7AE0A54A" w14:textId="4727AC00" w:rsidR="00106F24" w:rsidRPr="000E713D" w:rsidRDefault="000E713D" w:rsidP="0081061A">
            <w:pPr>
              <w:pStyle w:val="Heading2"/>
              <w:numPr>
                <w:ilvl w:val="0"/>
                <w:numId w:val="0"/>
              </w:numPr>
              <w:spacing w:after="120"/>
              <w:ind w:left="720" w:hanging="720"/>
              <w:outlineLvl w:val="1"/>
            </w:pPr>
            <w:r>
              <w:t xml:space="preserve">White </w:t>
            </w:r>
            <w:r w:rsidR="0036136C">
              <w:t>data</w:t>
            </w:r>
          </w:p>
        </w:tc>
        <w:tc>
          <w:tcPr>
            <w:tcW w:w="6472" w:type="dxa"/>
          </w:tcPr>
          <w:p w14:paraId="17320431" w14:textId="77777777" w:rsidR="00106F24" w:rsidRPr="000E713D" w:rsidRDefault="0036136C" w:rsidP="0081061A">
            <w:pPr>
              <w:pStyle w:val="Heading2"/>
              <w:numPr>
                <w:ilvl w:val="0"/>
                <w:numId w:val="0"/>
              </w:numPr>
              <w:spacing w:after="120"/>
              <w:ind w:left="720" w:hanging="720"/>
              <w:outlineLvl w:val="1"/>
            </w:pPr>
            <w:r>
              <w:t>Standard operational data and datasets</w:t>
            </w:r>
          </w:p>
        </w:tc>
      </w:tr>
      <w:tr w:rsidR="00CC6B83" w14:paraId="23D1E474" w14:textId="77777777" w:rsidTr="00106F24">
        <w:tc>
          <w:tcPr>
            <w:tcW w:w="1827" w:type="dxa"/>
          </w:tcPr>
          <w:p w14:paraId="33D8F306" w14:textId="26CF4910" w:rsidR="00CC6B83" w:rsidRDefault="00CC6B83" w:rsidP="0081061A">
            <w:pPr>
              <w:pStyle w:val="Heading2"/>
              <w:numPr>
                <w:ilvl w:val="0"/>
                <w:numId w:val="0"/>
              </w:numPr>
              <w:spacing w:after="120"/>
              <w:ind w:left="720" w:hanging="720"/>
              <w:outlineLvl w:val="1"/>
            </w:pPr>
            <w:r>
              <w:t>UKAS</w:t>
            </w:r>
          </w:p>
        </w:tc>
        <w:tc>
          <w:tcPr>
            <w:tcW w:w="6472" w:type="dxa"/>
          </w:tcPr>
          <w:p w14:paraId="24EFEFDE" w14:textId="0CAF32BC" w:rsidR="00CC6B83" w:rsidRDefault="00CC6B83" w:rsidP="0081061A">
            <w:pPr>
              <w:pStyle w:val="Heading2"/>
              <w:numPr>
                <w:ilvl w:val="0"/>
                <w:numId w:val="0"/>
              </w:numPr>
              <w:spacing w:after="120"/>
              <w:ind w:left="720" w:hanging="720"/>
              <w:outlineLvl w:val="1"/>
            </w:pPr>
            <w:r>
              <w:t>United Kingdom Accreditation Service</w:t>
            </w:r>
          </w:p>
        </w:tc>
      </w:tr>
    </w:tbl>
    <w:p w14:paraId="166C238B" w14:textId="77777777" w:rsidR="00C4415C" w:rsidRDefault="00C4415C">
      <w:pPr>
        <w:rPr>
          <w:szCs w:val="22"/>
        </w:rPr>
      </w:pPr>
      <w:bookmarkStart w:id="15" w:name="_Toc444518870"/>
    </w:p>
    <w:p w14:paraId="4D9C4E8E" w14:textId="77777777" w:rsidR="00903784" w:rsidRDefault="00903784">
      <w:pPr>
        <w:rPr>
          <w:rFonts w:eastAsia="STZhongsong"/>
          <w:b/>
          <w:caps/>
          <w:szCs w:val="22"/>
        </w:rPr>
      </w:pPr>
      <w:r>
        <w:rPr>
          <w:szCs w:val="22"/>
        </w:rPr>
        <w:br w:type="page"/>
      </w:r>
    </w:p>
    <w:p w14:paraId="007E8D3C" w14:textId="77777777" w:rsidR="00671798" w:rsidRDefault="00FE18AC" w:rsidP="00106F24">
      <w:pPr>
        <w:pStyle w:val="Heading1"/>
        <w:tabs>
          <w:tab w:val="clear" w:pos="720"/>
        </w:tabs>
        <w:overflowPunct w:val="0"/>
        <w:autoSpaceDE w:val="0"/>
        <w:autoSpaceDN w:val="0"/>
        <w:spacing w:before="240" w:after="120"/>
        <w:textAlignment w:val="baseline"/>
        <w:rPr>
          <w:szCs w:val="22"/>
        </w:rPr>
      </w:pPr>
      <w:r w:rsidRPr="00B9425F">
        <w:rPr>
          <w:szCs w:val="22"/>
        </w:rPr>
        <w:lastRenderedPageBreak/>
        <w:t>scope of requirement</w:t>
      </w:r>
      <w:bookmarkEnd w:id="12"/>
      <w:bookmarkEnd w:id="14"/>
      <w:bookmarkEnd w:id="15"/>
      <w:r w:rsidRPr="00B9425F">
        <w:rPr>
          <w:szCs w:val="22"/>
        </w:rPr>
        <w:t xml:space="preserve"> </w:t>
      </w:r>
    </w:p>
    <w:p w14:paraId="11FCDCA4" w14:textId="77777777" w:rsidR="00903784" w:rsidRDefault="00C27743" w:rsidP="00903784">
      <w:pPr>
        <w:pStyle w:val="Heading2"/>
      </w:pPr>
      <w:r>
        <w:t>The</w:t>
      </w:r>
      <w:r w:rsidR="00903784">
        <w:t xml:space="preserve"> CFDA </w:t>
      </w:r>
      <w:r>
        <w:t xml:space="preserve">operating model </w:t>
      </w:r>
      <w:r w:rsidR="00903784">
        <w:t xml:space="preserve">is </w:t>
      </w:r>
      <w:r>
        <w:t xml:space="preserve">illustrated </w:t>
      </w:r>
      <w:r w:rsidR="00903784">
        <w:t>below:</w:t>
      </w:r>
    </w:p>
    <w:p w14:paraId="2CA928A4" w14:textId="77777777" w:rsidR="00903784" w:rsidRDefault="00903784" w:rsidP="00903784">
      <w:r w:rsidRPr="00903784">
        <w:rPr>
          <w:noProof/>
          <w:lang w:eastAsia="en-GB"/>
        </w:rPr>
        <w:drawing>
          <wp:inline distT="0" distB="0" distL="0" distR="0" wp14:anchorId="38F360BB" wp14:editId="6BD2CB62">
            <wp:extent cx="5248275" cy="3845927"/>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5873" cy="3851495"/>
                    </a:xfrm>
                    <a:prstGeom prst="rect">
                      <a:avLst/>
                    </a:prstGeom>
                    <a:noFill/>
                    <a:ln>
                      <a:noFill/>
                    </a:ln>
                  </pic:spPr>
                </pic:pic>
              </a:graphicData>
            </a:graphic>
          </wp:inline>
        </w:drawing>
      </w:r>
    </w:p>
    <w:p w14:paraId="7088EF3C" w14:textId="77777777" w:rsidR="00903784" w:rsidRDefault="00903784" w:rsidP="00903784"/>
    <w:p w14:paraId="504EB636" w14:textId="2C9164C8" w:rsidR="00740DF7" w:rsidRPr="0091017C" w:rsidRDefault="0091017C" w:rsidP="0091017C">
      <w:pPr>
        <w:pStyle w:val="Heading2"/>
      </w:pPr>
      <w:r>
        <w:rPr>
          <w:sz w:val="24"/>
          <w:szCs w:val="24"/>
        </w:rPr>
        <w:t xml:space="preserve">The successful Supplier will be required to establish the membership organisation of CFDA and to design, build, test/pilot, implement, operate, host </w:t>
      </w:r>
    </w:p>
    <w:p w14:paraId="60D410C4" w14:textId="338311B6" w:rsidR="0091017C" w:rsidRDefault="0091017C" w:rsidP="0091017C">
      <w:pPr>
        <w:pStyle w:val="Heading2"/>
      </w:pPr>
      <w:r>
        <w:rPr>
          <w:sz w:val="24"/>
          <w:szCs w:val="24"/>
        </w:rPr>
        <w:t>The scope of the Supplier’s responsibilities will be structured into two phases as set out below, and described in more detail in section 6. It should be noted that the Cabinet Office and the CFDA Members will decide at the end of Phase 1 whether to proceed to Phase 2, depending on the outcomes and performance of Phase 1:</w:t>
      </w:r>
    </w:p>
    <w:p w14:paraId="76B11CF1" w14:textId="77777777" w:rsidR="00903784" w:rsidRDefault="00740DF7" w:rsidP="00740DF7">
      <w:pPr>
        <w:pStyle w:val="Heading3"/>
      </w:pPr>
      <w:r>
        <w:t>During Phase 1: Design, Build &amp; Implementation:</w:t>
      </w:r>
    </w:p>
    <w:p w14:paraId="03B035E7" w14:textId="17193395" w:rsidR="00CC1CF8" w:rsidRDefault="0091017C" w:rsidP="00740DF7">
      <w:pPr>
        <w:pStyle w:val="Heading4"/>
      </w:pPr>
      <w:r w:rsidRPr="0091017C">
        <w:t>To set up the CFDA as a membership organisation, and to establish the structures of governance of the membership, in agreement with the Authority.</w:t>
      </w:r>
    </w:p>
    <w:p w14:paraId="0E1BB3F7" w14:textId="77777777" w:rsidR="0091017C" w:rsidRDefault="0091017C" w:rsidP="00740DF7">
      <w:pPr>
        <w:pStyle w:val="Heading4"/>
      </w:pPr>
      <w:r w:rsidRPr="0091017C">
        <w:t xml:space="preserve">To design, develop (build, test and implement) the CFDA Repository, as illustrated in the Operating Model shown above, in compliance with the Authority’s requirements to support the membership (see section 6), with the customer interfaces and </w:t>
      </w:r>
      <w:r w:rsidRPr="0091017C">
        <w:lastRenderedPageBreak/>
        <w:t>dependencies established as per the Draft Plan provided in the procurement process</w:t>
      </w:r>
    </w:p>
    <w:p w14:paraId="3187D285" w14:textId="70A1E504" w:rsidR="00C7547C" w:rsidRDefault="0091017C" w:rsidP="00740DF7">
      <w:pPr>
        <w:pStyle w:val="Heading4"/>
      </w:pPr>
      <w:r w:rsidRPr="0091017C">
        <w:t>To provide progress updates and attend governance bodies as required by the Authority, to support good governance and maximise the effectiveness of the CFDA.</w:t>
      </w:r>
    </w:p>
    <w:p w14:paraId="06D31521" w14:textId="77EA3DEF" w:rsidR="00740DF7" w:rsidRDefault="00740DF7" w:rsidP="00740DF7">
      <w:pPr>
        <w:pStyle w:val="Heading3"/>
      </w:pPr>
      <w:r>
        <w:t>During Phase 2:</w:t>
      </w:r>
      <w:r w:rsidR="00CC1CF8">
        <w:t xml:space="preserve"> </w:t>
      </w:r>
      <w:r>
        <w:t>Delivery:</w:t>
      </w:r>
    </w:p>
    <w:p w14:paraId="7350D6D5" w14:textId="71A4D2E5" w:rsidR="00F645FF" w:rsidRDefault="00A750DD" w:rsidP="00964B61">
      <w:pPr>
        <w:pStyle w:val="Heading4"/>
      </w:pPr>
      <w:r w:rsidRPr="00A750DD">
        <w:t xml:space="preserve">To operate the CFDA as a membership organisation, supporting </w:t>
      </w:r>
      <w:proofErr w:type="spellStart"/>
      <w:r w:rsidRPr="00A750DD">
        <w:t>onboarding</w:t>
      </w:r>
      <w:proofErr w:type="spellEnd"/>
      <w:r w:rsidRPr="00A750DD">
        <w:t xml:space="preserve"> of members, adhering to the governance model, and providing ad hoc advice and support</w:t>
      </w:r>
      <w:r w:rsidR="00CC6507">
        <w:t xml:space="preserve"> </w:t>
      </w:r>
    </w:p>
    <w:p w14:paraId="39E60986" w14:textId="54E64111" w:rsidR="00E457EF" w:rsidRDefault="00A750DD" w:rsidP="00964B61">
      <w:pPr>
        <w:pStyle w:val="Heading4"/>
      </w:pPr>
      <w:r w:rsidRPr="00A750DD">
        <w:t>To design, develop (build, test and implement) the CFDA Repository, as illustrated in the Operating Model shown above, in compliance with the Authority’s requirements to support the membership (see section 6), with the customer interfaces and dependencies established as per the Draft Plan provided in the procurement process.</w:t>
      </w:r>
    </w:p>
    <w:p w14:paraId="6BA6DBE2" w14:textId="77777777" w:rsidR="00903784" w:rsidRDefault="00903784" w:rsidP="00740DF7">
      <w:pPr>
        <w:pStyle w:val="Heading4"/>
      </w:pPr>
      <w:r>
        <w:t xml:space="preserve">To host the CFDA </w:t>
      </w:r>
      <w:r w:rsidR="00740DF7">
        <w:t xml:space="preserve">Repository </w:t>
      </w:r>
      <w:r>
        <w:t xml:space="preserve">in a suitably secure and reliable environment for the </w:t>
      </w:r>
      <w:r w:rsidR="00C4415C">
        <w:t>contract term.</w:t>
      </w:r>
    </w:p>
    <w:p w14:paraId="7B4E6535" w14:textId="4865CC95" w:rsidR="00903784" w:rsidRDefault="00903784" w:rsidP="00740DF7">
      <w:pPr>
        <w:pStyle w:val="Heading4"/>
      </w:pPr>
      <w:r>
        <w:t>To maintain the CFDA Repository such that it remains complaint with the Authority’s security requirements</w:t>
      </w:r>
      <w:r w:rsidR="00463A86">
        <w:t xml:space="preserve"> (</w:t>
      </w:r>
      <w:r w:rsidR="00463A86" w:rsidRPr="00CC6B83">
        <w:t xml:space="preserve">see section </w:t>
      </w:r>
      <w:r w:rsidR="00005911" w:rsidRPr="00CC6B83">
        <w:fldChar w:fldCharType="begin"/>
      </w:r>
      <w:r w:rsidR="00005911" w:rsidRPr="00CC6B83">
        <w:instrText xml:space="preserve"> REF _Ref499305638 \r \h </w:instrText>
      </w:r>
      <w:r w:rsidR="00CC6B83">
        <w:instrText xml:space="preserve"> \* MERGEFORMAT </w:instrText>
      </w:r>
      <w:r w:rsidR="00005911" w:rsidRPr="00CC6B83">
        <w:fldChar w:fldCharType="separate"/>
      </w:r>
      <w:r w:rsidR="00005911" w:rsidRPr="00CC6B83">
        <w:t>6</w:t>
      </w:r>
      <w:r w:rsidR="00005911" w:rsidRPr="00CC6B83">
        <w:fldChar w:fldCharType="end"/>
      </w:r>
      <w:r w:rsidR="00463A86">
        <w:t>)</w:t>
      </w:r>
      <w:r>
        <w:t>.</w:t>
      </w:r>
    </w:p>
    <w:p w14:paraId="098DA90E" w14:textId="49D0FA81" w:rsidR="006D54C0" w:rsidRDefault="00C7547C" w:rsidP="00A750DD">
      <w:pPr>
        <w:pStyle w:val="Heading4"/>
      </w:pPr>
      <w:r>
        <w:t>To provide progress management information and attend governance bodies as required by the Authority.</w:t>
      </w:r>
      <w:r w:rsidR="006D54C0">
        <w:t xml:space="preserve"> </w:t>
      </w:r>
    </w:p>
    <w:p w14:paraId="1A9B28DF" w14:textId="4F6A6EFB" w:rsidR="00C27743" w:rsidRDefault="00C4415C" w:rsidP="00C27743">
      <w:pPr>
        <w:pStyle w:val="Heading2"/>
      </w:pPr>
      <w:bookmarkStart w:id="16" w:name="_Toc368573031"/>
      <w:bookmarkStart w:id="17" w:name="_Toc444518871"/>
      <w:bookmarkEnd w:id="9"/>
      <w:r>
        <w:t xml:space="preserve">The scope of the CFDA </w:t>
      </w:r>
      <w:r w:rsidR="0036136C">
        <w:t>Member</w:t>
      </w:r>
      <w:r>
        <w:t>s’</w:t>
      </w:r>
      <w:r w:rsidR="00C27743">
        <w:t xml:space="preserve"> responsibilities</w:t>
      </w:r>
      <w:r w:rsidR="00463A86">
        <w:t xml:space="preserve"> </w:t>
      </w:r>
      <w:r w:rsidR="006C4778">
        <w:t xml:space="preserve">(i.e. not within the scope of requirement for the </w:t>
      </w:r>
      <w:r w:rsidR="00A760A4">
        <w:t>Supplier</w:t>
      </w:r>
      <w:r w:rsidR="006C4778">
        <w:t xml:space="preserve">) </w:t>
      </w:r>
      <w:r w:rsidR="00463A86">
        <w:t>will be</w:t>
      </w:r>
      <w:r w:rsidR="00C27743">
        <w:t>:</w:t>
      </w:r>
    </w:p>
    <w:p w14:paraId="4D7BC1FC" w14:textId="77777777" w:rsidR="00C4415C" w:rsidRDefault="00C4415C" w:rsidP="00C4415C">
      <w:pPr>
        <w:pStyle w:val="Heading3"/>
      </w:pPr>
      <w:r>
        <w:t xml:space="preserve">To build data extract mechanisms to create </w:t>
      </w:r>
      <w:r w:rsidR="006D54C0">
        <w:t xml:space="preserve">the necessary </w:t>
      </w:r>
      <w:r>
        <w:t xml:space="preserve">flat files for upload </w:t>
      </w:r>
      <w:r w:rsidR="00463A86">
        <w:t xml:space="preserve">to </w:t>
      </w:r>
      <w:r>
        <w:t>the CFDA Repository.</w:t>
      </w:r>
    </w:p>
    <w:p w14:paraId="1FCDCB9F" w14:textId="77777777" w:rsidR="00C4415C" w:rsidRDefault="00C4415C" w:rsidP="00C4415C">
      <w:pPr>
        <w:pStyle w:val="Heading3"/>
      </w:pPr>
      <w:r>
        <w:t xml:space="preserve">To build data download mechanisms to accept concatenated data files from </w:t>
      </w:r>
      <w:r w:rsidR="00463A86">
        <w:t xml:space="preserve">the </w:t>
      </w:r>
      <w:r>
        <w:t>CFDA</w:t>
      </w:r>
      <w:r w:rsidR="00463A86">
        <w:t xml:space="preserve"> Repository</w:t>
      </w:r>
      <w:r>
        <w:t>.</w:t>
      </w:r>
    </w:p>
    <w:p w14:paraId="35095BE5" w14:textId="0415F2F7" w:rsidR="00C4415C" w:rsidRDefault="00C4415C" w:rsidP="00C4415C">
      <w:pPr>
        <w:pStyle w:val="Heading3"/>
      </w:pPr>
      <w:r>
        <w:t xml:space="preserve">To build data import mechanisms </w:t>
      </w:r>
      <w:r w:rsidR="006D54C0">
        <w:t xml:space="preserve">to load data to their systems. These mechanisms may include </w:t>
      </w:r>
      <w:r>
        <w:t>filter</w:t>
      </w:r>
      <w:r w:rsidR="006D54C0">
        <w:t>s</w:t>
      </w:r>
      <w:r>
        <w:t xml:space="preserve"> </w:t>
      </w:r>
      <w:r w:rsidR="006D54C0">
        <w:t>to exclude records</w:t>
      </w:r>
      <w:r w:rsidR="00F95C50">
        <w:t>,</w:t>
      </w:r>
      <w:r w:rsidR="006D54C0">
        <w:t xml:space="preserve"> </w:t>
      </w:r>
      <w:r w:rsidR="00F95C50">
        <w:t xml:space="preserve">or parts of records, </w:t>
      </w:r>
      <w:r w:rsidR="006D54C0">
        <w:t xml:space="preserve">that the </w:t>
      </w:r>
      <w:r w:rsidR="0036136C">
        <w:t>member</w:t>
      </w:r>
      <w:r w:rsidR="006D54C0">
        <w:t xml:space="preserve"> does not require.</w:t>
      </w:r>
    </w:p>
    <w:p w14:paraId="751AF614" w14:textId="2BEDDC0C" w:rsidR="00A750DD" w:rsidRDefault="00A750DD" w:rsidP="00C4415C">
      <w:pPr>
        <w:pStyle w:val="Heading3"/>
      </w:pPr>
      <w:r w:rsidRPr="00A750DD">
        <w:t>To participate in the CFDA governance and reporting structures.</w:t>
      </w:r>
    </w:p>
    <w:p w14:paraId="43171E75" w14:textId="77777777" w:rsidR="00671798" w:rsidRDefault="00FE18AC">
      <w:pPr>
        <w:pStyle w:val="Heading1"/>
        <w:spacing w:after="120"/>
      </w:pPr>
      <w:bookmarkStart w:id="18" w:name="_Ref499305638"/>
      <w:r w:rsidRPr="00BE6EE0">
        <w:t>The requirement</w:t>
      </w:r>
      <w:bookmarkEnd w:id="16"/>
      <w:bookmarkEnd w:id="17"/>
      <w:bookmarkEnd w:id="18"/>
    </w:p>
    <w:p w14:paraId="68F8462B" w14:textId="71582CE0" w:rsidR="00CC1CF8" w:rsidRDefault="00B823FC" w:rsidP="00C4415C">
      <w:pPr>
        <w:pStyle w:val="Heading2"/>
      </w:pPr>
      <w:bookmarkStart w:id="19" w:name="_Toc499128157"/>
      <w:r>
        <w:t>The requirement is to establish</w:t>
      </w:r>
      <w:r w:rsidR="006826E3">
        <w:t>,</w:t>
      </w:r>
      <w:r>
        <w:t xml:space="preserve"> under the auspices of a Specified Anti-Fraud Organisation</w:t>
      </w:r>
      <w:r w:rsidR="006826E3">
        <w:t>,</w:t>
      </w:r>
      <w:r>
        <w:t xml:space="preserve"> the operation of CFDA as a membership organisation</w:t>
      </w:r>
      <w:r w:rsidR="006826E3">
        <w:t xml:space="preserve"> for the Public Authorities, private sector organisations or associations as specified by the Contracting </w:t>
      </w:r>
      <w:r w:rsidR="006826E3">
        <w:lastRenderedPageBreak/>
        <w:t>Authority, fo</w:t>
      </w:r>
      <w:r w:rsidR="006826E3" w:rsidRPr="00BA54A5">
        <w:t xml:space="preserve">r sharing data between </w:t>
      </w:r>
      <w:r w:rsidR="00C17C2E">
        <w:t xml:space="preserve">members </w:t>
      </w:r>
      <w:r w:rsidR="006826E3">
        <w:t xml:space="preserve">for the prevention and detection of crime, specifically fraud </w:t>
      </w:r>
      <w:r w:rsidR="00991DB4">
        <w:t>The supplier</w:t>
      </w:r>
      <w:r w:rsidR="0039166A">
        <w:t xml:space="preserve"> will be required to </w:t>
      </w:r>
      <w:r w:rsidR="00465792">
        <w:t>p</w:t>
      </w:r>
      <w:r w:rsidR="0039166A">
        <w:t>ut in place the appropriate structures to allow the membership organisation to operate</w:t>
      </w:r>
      <w:r w:rsidR="00465792">
        <w:t>.</w:t>
      </w:r>
      <w:r w:rsidR="005626FC" w:rsidRPr="005626FC">
        <w:t xml:space="preserve"> </w:t>
      </w:r>
      <w:r w:rsidR="009B7F2E">
        <w:t>This includes working with CFDA Members to help them embed the operating model as widely as possible, facilitate the widest possible application of CFDA data and deliver the greatest benefits to the membership.</w:t>
      </w:r>
    </w:p>
    <w:p w14:paraId="17A8CD65" w14:textId="77777777" w:rsidR="00C4415C" w:rsidRPr="006017B6" w:rsidRDefault="00E8798B" w:rsidP="00C4415C">
      <w:pPr>
        <w:pStyle w:val="Heading2"/>
      </w:pPr>
      <w:r>
        <w:t>The r</w:t>
      </w:r>
      <w:r w:rsidR="00C4415C" w:rsidRPr="006017B6">
        <w:t>equirement</w:t>
      </w:r>
      <w:r w:rsidR="006D54C0">
        <w:t>s</w:t>
      </w:r>
      <w:r w:rsidR="00C4415C" w:rsidRPr="006017B6">
        <w:t xml:space="preserve"> </w:t>
      </w:r>
      <w:r>
        <w:t>for the CFDA Repository have been</w:t>
      </w:r>
      <w:r w:rsidR="00C4415C" w:rsidRPr="006017B6">
        <w:t xml:space="preserve"> prioritised using the </w:t>
      </w:r>
      <w:proofErr w:type="spellStart"/>
      <w:r w:rsidR="00C4415C" w:rsidRPr="006017B6">
        <w:t>MoSCoW</w:t>
      </w:r>
      <w:proofErr w:type="spellEnd"/>
      <w:r w:rsidR="00C4415C" w:rsidRPr="006017B6">
        <w:t xml:space="preserve"> Scale:</w:t>
      </w:r>
    </w:p>
    <w:p w14:paraId="41DC5323" w14:textId="77777777" w:rsidR="00C4415C" w:rsidRPr="006017B6" w:rsidRDefault="00C4415C" w:rsidP="00242016">
      <w:pPr>
        <w:pStyle w:val="Heading3"/>
        <w:numPr>
          <w:ilvl w:val="2"/>
          <w:numId w:val="26"/>
        </w:numPr>
      </w:pPr>
      <w:r w:rsidRPr="006017B6">
        <w:t>M - Must have this requirement to meet the business needs</w:t>
      </w:r>
      <w:r w:rsidR="00740DF7">
        <w:t>.</w:t>
      </w:r>
    </w:p>
    <w:p w14:paraId="3C6E4F70" w14:textId="77777777" w:rsidR="00C4415C" w:rsidRPr="006017B6" w:rsidRDefault="00C4415C" w:rsidP="00242016">
      <w:pPr>
        <w:pStyle w:val="Heading3"/>
        <w:numPr>
          <w:ilvl w:val="2"/>
          <w:numId w:val="26"/>
        </w:numPr>
      </w:pPr>
      <w:r w:rsidRPr="006017B6">
        <w:t>S - Should have this requirement if possible, but project success does not rely on it</w:t>
      </w:r>
      <w:r w:rsidR="00740DF7">
        <w:t>.</w:t>
      </w:r>
    </w:p>
    <w:p w14:paraId="6EEA60D7" w14:textId="77777777" w:rsidR="00C4415C" w:rsidRPr="006017B6" w:rsidRDefault="00C4415C" w:rsidP="00242016">
      <w:pPr>
        <w:pStyle w:val="Heading3"/>
        <w:numPr>
          <w:ilvl w:val="2"/>
          <w:numId w:val="26"/>
        </w:numPr>
      </w:pPr>
      <w:r w:rsidRPr="006017B6">
        <w:t>C - Could have this requirement if it does not affect anything else on the project</w:t>
      </w:r>
      <w:r w:rsidR="00740DF7">
        <w:t>.</w:t>
      </w:r>
    </w:p>
    <w:p w14:paraId="3091FA30" w14:textId="77777777" w:rsidR="00C4415C" w:rsidRDefault="00C4415C" w:rsidP="00242016">
      <w:pPr>
        <w:pStyle w:val="Heading3"/>
        <w:numPr>
          <w:ilvl w:val="2"/>
          <w:numId w:val="26"/>
        </w:numPr>
      </w:pPr>
      <w:r w:rsidRPr="006017B6">
        <w:t>W - Would like to have this requirement later, but delivery won't be this time</w:t>
      </w:r>
      <w:r w:rsidR="00740DF7">
        <w:t>.</w:t>
      </w:r>
    </w:p>
    <w:p w14:paraId="57DD8DB9" w14:textId="77777777" w:rsidR="00C4415C" w:rsidRDefault="00C4415C" w:rsidP="00C4415C">
      <w:pPr>
        <w:pStyle w:val="Heading2"/>
        <w:keepNext/>
        <w:keepLines/>
        <w:tabs>
          <w:tab w:val="clear" w:pos="720"/>
          <w:tab w:val="num" w:pos="709"/>
        </w:tabs>
        <w:adjustRightInd/>
        <w:spacing w:after="120" w:line="259" w:lineRule="auto"/>
        <w:ind w:left="578" w:hanging="578"/>
        <w:jc w:val="left"/>
      </w:pPr>
      <w:r>
        <w:t>Functional Requirements</w:t>
      </w:r>
      <w:bookmarkEnd w:id="19"/>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61"/>
        <w:gridCol w:w="7355"/>
        <w:gridCol w:w="1083"/>
      </w:tblGrid>
      <w:tr w:rsidR="00C4415C" w:rsidRPr="003805E4" w14:paraId="34B31CC7" w14:textId="77777777" w:rsidTr="00334EA6">
        <w:trPr>
          <w:cantSplit/>
          <w:tblHeader/>
        </w:trPr>
        <w:tc>
          <w:tcPr>
            <w:tcW w:w="561" w:type="dxa"/>
          </w:tcPr>
          <w:p w14:paraId="6992E585" w14:textId="77777777" w:rsidR="00C4415C" w:rsidRPr="003805E4" w:rsidRDefault="00C4415C" w:rsidP="00C4415C">
            <w:pPr>
              <w:rPr>
                <w:rFonts w:cs="Arial"/>
                <w:b/>
              </w:rPr>
            </w:pPr>
            <w:r w:rsidRPr="003805E4">
              <w:rPr>
                <w:rFonts w:cs="Arial"/>
                <w:b/>
              </w:rPr>
              <w:t>No</w:t>
            </w:r>
          </w:p>
        </w:tc>
        <w:tc>
          <w:tcPr>
            <w:tcW w:w="7355" w:type="dxa"/>
          </w:tcPr>
          <w:p w14:paraId="437C0E0F" w14:textId="77777777" w:rsidR="00C4415C" w:rsidRPr="003805E4" w:rsidRDefault="00C4415C" w:rsidP="00C4415C">
            <w:pPr>
              <w:rPr>
                <w:rFonts w:cs="Arial"/>
                <w:b/>
              </w:rPr>
            </w:pPr>
            <w:r w:rsidRPr="003805E4">
              <w:rPr>
                <w:rFonts w:cs="Arial"/>
                <w:b/>
              </w:rPr>
              <w:t>Requirement</w:t>
            </w:r>
          </w:p>
        </w:tc>
        <w:tc>
          <w:tcPr>
            <w:tcW w:w="1083" w:type="dxa"/>
          </w:tcPr>
          <w:p w14:paraId="09344120" w14:textId="77777777" w:rsidR="00C4415C" w:rsidRPr="003805E4" w:rsidRDefault="00C4415C" w:rsidP="00C4415C">
            <w:pPr>
              <w:jc w:val="center"/>
              <w:rPr>
                <w:rFonts w:cs="Arial"/>
                <w:b/>
              </w:rPr>
            </w:pPr>
            <w:r w:rsidRPr="003805E4">
              <w:rPr>
                <w:rFonts w:cs="Arial"/>
                <w:b/>
              </w:rPr>
              <w:t>Priority</w:t>
            </w:r>
          </w:p>
        </w:tc>
      </w:tr>
      <w:tr w:rsidR="00C4415C" w:rsidRPr="003805E4" w14:paraId="72C4483E" w14:textId="77777777" w:rsidTr="00334EA6">
        <w:trPr>
          <w:cantSplit/>
        </w:trPr>
        <w:tc>
          <w:tcPr>
            <w:tcW w:w="561" w:type="dxa"/>
          </w:tcPr>
          <w:p w14:paraId="5663C1F4" w14:textId="77777777" w:rsidR="00C4415C" w:rsidRPr="003805E4" w:rsidRDefault="00C4415C" w:rsidP="00242016">
            <w:pPr>
              <w:pStyle w:val="ListParagraph"/>
              <w:numPr>
                <w:ilvl w:val="0"/>
                <w:numId w:val="23"/>
              </w:numPr>
              <w:contextualSpacing/>
              <w:rPr>
                <w:rFonts w:cs="Arial"/>
              </w:rPr>
            </w:pPr>
          </w:p>
        </w:tc>
        <w:tc>
          <w:tcPr>
            <w:tcW w:w="7355" w:type="dxa"/>
          </w:tcPr>
          <w:p w14:paraId="6732B7DC" w14:textId="77777777" w:rsidR="002C094B" w:rsidRDefault="002C094B" w:rsidP="002C094B">
            <w:pPr>
              <w:pStyle w:val="TableText"/>
            </w:pPr>
            <w:r>
              <w:t>Allow CFDA members to upload a data file to the CFDA Repository via a secure file transfer mechanism, on demand.</w:t>
            </w:r>
          </w:p>
          <w:p w14:paraId="4C14884E" w14:textId="1FC47380" w:rsidR="00C4415C" w:rsidRPr="003805E4" w:rsidRDefault="002C094B" w:rsidP="002C094B">
            <w:pPr>
              <w:rPr>
                <w:rFonts w:cs="Arial"/>
              </w:rPr>
            </w:pPr>
            <w:r>
              <w:t>NB. CFDA Members intend that upload will be via a system to system interface, however some members may require a manual upload and download process in the early stages of operation, with suitable access controls that comply with the Data Assurance requirements. There is an expectation of two factor authentication in such cases.</w:t>
            </w:r>
          </w:p>
        </w:tc>
        <w:tc>
          <w:tcPr>
            <w:tcW w:w="1083" w:type="dxa"/>
          </w:tcPr>
          <w:p w14:paraId="4ABDE9EF" w14:textId="77777777" w:rsidR="00C4415C" w:rsidRPr="003805E4" w:rsidRDefault="00C4415C" w:rsidP="00C4415C">
            <w:pPr>
              <w:jc w:val="center"/>
              <w:rPr>
                <w:rFonts w:cs="Arial"/>
              </w:rPr>
            </w:pPr>
            <w:r>
              <w:rPr>
                <w:rFonts w:cs="Arial"/>
              </w:rPr>
              <w:t>M</w:t>
            </w:r>
          </w:p>
        </w:tc>
      </w:tr>
      <w:tr w:rsidR="004673DF" w:rsidRPr="003805E4" w14:paraId="4BD9ABAE" w14:textId="77777777" w:rsidTr="00334EA6">
        <w:trPr>
          <w:cantSplit/>
        </w:trPr>
        <w:tc>
          <w:tcPr>
            <w:tcW w:w="561" w:type="dxa"/>
          </w:tcPr>
          <w:p w14:paraId="69C8C513" w14:textId="77777777" w:rsidR="004673DF" w:rsidRPr="003805E4" w:rsidRDefault="004673DF" w:rsidP="00242016">
            <w:pPr>
              <w:pStyle w:val="ListParagraph"/>
              <w:numPr>
                <w:ilvl w:val="0"/>
                <w:numId w:val="23"/>
              </w:numPr>
              <w:contextualSpacing/>
              <w:rPr>
                <w:rFonts w:cs="Arial"/>
              </w:rPr>
            </w:pPr>
          </w:p>
        </w:tc>
        <w:tc>
          <w:tcPr>
            <w:tcW w:w="7355" w:type="dxa"/>
          </w:tcPr>
          <w:p w14:paraId="563D62D6" w14:textId="3F2F2FD9" w:rsidR="004673DF" w:rsidRPr="003805E4" w:rsidRDefault="002C094B" w:rsidP="005622C0">
            <w:pPr>
              <w:pStyle w:val="TableText"/>
            </w:pPr>
            <w:r w:rsidRPr="002C094B">
              <w:rPr>
                <w:lang w:val="en-GB"/>
              </w:rPr>
              <w:t>Maintain the CFDA repository in isolation, expressly for the use of, and purpose defined by, the CFDA Members</w:t>
            </w:r>
          </w:p>
        </w:tc>
        <w:tc>
          <w:tcPr>
            <w:tcW w:w="1083" w:type="dxa"/>
          </w:tcPr>
          <w:p w14:paraId="0C058C07" w14:textId="5820C6EB" w:rsidR="004673DF" w:rsidRDefault="004673DF" w:rsidP="00C4415C">
            <w:pPr>
              <w:jc w:val="center"/>
              <w:rPr>
                <w:rFonts w:cs="Arial"/>
              </w:rPr>
            </w:pPr>
            <w:r>
              <w:rPr>
                <w:rFonts w:cs="Arial"/>
              </w:rPr>
              <w:t>M</w:t>
            </w:r>
          </w:p>
        </w:tc>
      </w:tr>
      <w:tr w:rsidR="00C4415C" w:rsidRPr="003805E4" w14:paraId="0930479E" w14:textId="77777777" w:rsidTr="00334EA6">
        <w:trPr>
          <w:cantSplit/>
        </w:trPr>
        <w:tc>
          <w:tcPr>
            <w:tcW w:w="561" w:type="dxa"/>
          </w:tcPr>
          <w:p w14:paraId="6F146B3B" w14:textId="77777777" w:rsidR="00C4415C" w:rsidRPr="003805E4" w:rsidRDefault="00C4415C" w:rsidP="00242016">
            <w:pPr>
              <w:pStyle w:val="ListParagraph"/>
              <w:numPr>
                <w:ilvl w:val="0"/>
                <w:numId w:val="23"/>
              </w:numPr>
              <w:contextualSpacing/>
              <w:rPr>
                <w:rFonts w:cs="Arial"/>
              </w:rPr>
            </w:pPr>
          </w:p>
        </w:tc>
        <w:tc>
          <w:tcPr>
            <w:tcW w:w="7355" w:type="dxa"/>
          </w:tcPr>
          <w:p w14:paraId="15A270B1" w14:textId="77777777" w:rsidR="005622C0" w:rsidRDefault="005622C0" w:rsidP="005622C0">
            <w:pPr>
              <w:pStyle w:val="TableText"/>
            </w:pPr>
            <w:r w:rsidRPr="003805E4">
              <w:t>Perform simple validation to verify that</w:t>
            </w:r>
            <w:r>
              <w:t>:</w:t>
            </w:r>
          </w:p>
          <w:p w14:paraId="13C9E403" w14:textId="1958366B" w:rsidR="005622C0" w:rsidRDefault="005622C0" w:rsidP="000E566D">
            <w:pPr>
              <w:pStyle w:val="TableBullet"/>
            </w:pPr>
            <w:r w:rsidRPr="003805E4">
              <w:t>the uploaded file has not become corrupted in transit</w:t>
            </w:r>
            <w:r>
              <w:t xml:space="preserve">; and </w:t>
            </w:r>
          </w:p>
          <w:p w14:paraId="433CF2EC" w14:textId="6F213BBE" w:rsidR="005622C0" w:rsidRPr="003805E4" w:rsidRDefault="005622C0" w:rsidP="000E566D">
            <w:pPr>
              <w:pStyle w:val="TableBullet"/>
            </w:pPr>
            <w:proofErr w:type="gramStart"/>
            <w:r>
              <w:t>all</w:t>
            </w:r>
            <w:proofErr w:type="gramEnd"/>
            <w:r>
              <w:t xml:space="preserve"> mandatory fields are populated</w:t>
            </w:r>
            <w:r w:rsidR="00E34D12">
              <w:t>, including appropriate field validation</w:t>
            </w:r>
            <w:r>
              <w:t>.</w:t>
            </w:r>
          </w:p>
          <w:p w14:paraId="4CDD75CB" w14:textId="16B96FCE" w:rsidR="00C4415C" w:rsidRPr="003805E4" w:rsidRDefault="005622C0" w:rsidP="00C4415C">
            <w:pPr>
              <w:rPr>
                <w:rFonts w:cs="Arial"/>
              </w:rPr>
            </w:pPr>
            <w:r w:rsidRPr="003805E4">
              <w:t xml:space="preserve">NB. </w:t>
            </w:r>
            <w:r>
              <w:t>Detailed v</w:t>
            </w:r>
            <w:r w:rsidRPr="003805E4">
              <w:t xml:space="preserve">alidation of file contents is out of scope for the </w:t>
            </w:r>
            <w:r w:rsidR="00A760A4">
              <w:t>Supplier</w:t>
            </w:r>
            <w:r w:rsidRPr="003805E4">
              <w:t xml:space="preserve">. Responsibility for data quality sits with the CFDA </w:t>
            </w:r>
            <w:r>
              <w:t>Members</w:t>
            </w:r>
            <w:r w:rsidRPr="003805E4">
              <w:t>.</w:t>
            </w:r>
          </w:p>
        </w:tc>
        <w:tc>
          <w:tcPr>
            <w:tcW w:w="1083" w:type="dxa"/>
          </w:tcPr>
          <w:p w14:paraId="66FCBECA" w14:textId="77777777" w:rsidR="00C4415C" w:rsidRPr="003805E4" w:rsidRDefault="00C4415C" w:rsidP="00C4415C">
            <w:pPr>
              <w:jc w:val="center"/>
              <w:rPr>
                <w:rFonts w:cs="Arial"/>
              </w:rPr>
            </w:pPr>
            <w:r>
              <w:rPr>
                <w:rFonts w:cs="Arial"/>
              </w:rPr>
              <w:t>M</w:t>
            </w:r>
          </w:p>
        </w:tc>
      </w:tr>
      <w:tr w:rsidR="00C4415C" w:rsidRPr="003805E4" w14:paraId="4F5C3CD4" w14:textId="77777777" w:rsidTr="00334EA6">
        <w:trPr>
          <w:cantSplit/>
        </w:trPr>
        <w:tc>
          <w:tcPr>
            <w:tcW w:w="561" w:type="dxa"/>
          </w:tcPr>
          <w:p w14:paraId="1C383205" w14:textId="77777777" w:rsidR="00C4415C" w:rsidRPr="003805E4" w:rsidRDefault="00C4415C" w:rsidP="00242016">
            <w:pPr>
              <w:pStyle w:val="ListParagraph"/>
              <w:numPr>
                <w:ilvl w:val="0"/>
                <w:numId w:val="23"/>
              </w:numPr>
              <w:contextualSpacing/>
              <w:rPr>
                <w:rFonts w:cs="Arial"/>
              </w:rPr>
            </w:pPr>
          </w:p>
        </w:tc>
        <w:tc>
          <w:tcPr>
            <w:tcW w:w="7355" w:type="dxa"/>
          </w:tcPr>
          <w:p w14:paraId="5D04C2EB" w14:textId="77777777" w:rsidR="002C094B" w:rsidRPr="002C094B" w:rsidRDefault="002C094B" w:rsidP="002C094B">
            <w:pPr>
              <w:rPr>
                <w:rFonts w:cs="Arial"/>
              </w:rPr>
            </w:pPr>
            <w:r w:rsidRPr="002C094B">
              <w:rPr>
                <w:rFonts w:cs="Arial"/>
              </w:rPr>
              <w:t>Notify the member of the outcome of the upload (i.e. success or failure) with any rectification requirements.</w:t>
            </w:r>
          </w:p>
          <w:p w14:paraId="65014AC8" w14:textId="1AB69C99" w:rsidR="00C4415C" w:rsidRPr="003805E4" w:rsidRDefault="002C094B" w:rsidP="002C094B">
            <w:pPr>
              <w:rPr>
                <w:rFonts w:cs="Arial"/>
              </w:rPr>
            </w:pPr>
            <w:r w:rsidRPr="002C094B">
              <w:rPr>
                <w:rFonts w:cs="Arial"/>
              </w:rPr>
              <w:t>NB. It will be the responsibility of the CFDA Member to detect that a file has failed validation and resubmit.</w:t>
            </w:r>
          </w:p>
        </w:tc>
        <w:tc>
          <w:tcPr>
            <w:tcW w:w="1083" w:type="dxa"/>
          </w:tcPr>
          <w:p w14:paraId="7D9EC799" w14:textId="77777777" w:rsidR="00C4415C" w:rsidRPr="003805E4" w:rsidRDefault="00C4415C" w:rsidP="00C4415C">
            <w:pPr>
              <w:jc w:val="center"/>
              <w:rPr>
                <w:rFonts w:cs="Arial"/>
              </w:rPr>
            </w:pPr>
            <w:r>
              <w:rPr>
                <w:rFonts w:cs="Arial"/>
              </w:rPr>
              <w:t>M</w:t>
            </w:r>
          </w:p>
        </w:tc>
      </w:tr>
      <w:tr w:rsidR="00C4415C" w:rsidRPr="003805E4" w14:paraId="445147ED" w14:textId="77777777" w:rsidTr="00334EA6">
        <w:trPr>
          <w:cantSplit/>
        </w:trPr>
        <w:tc>
          <w:tcPr>
            <w:tcW w:w="561" w:type="dxa"/>
          </w:tcPr>
          <w:p w14:paraId="209681C9" w14:textId="77777777" w:rsidR="00C4415C" w:rsidRPr="003805E4" w:rsidRDefault="00C4415C" w:rsidP="00242016">
            <w:pPr>
              <w:pStyle w:val="ListParagraph"/>
              <w:numPr>
                <w:ilvl w:val="0"/>
                <w:numId w:val="23"/>
              </w:numPr>
              <w:contextualSpacing/>
              <w:rPr>
                <w:rFonts w:cs="Arial"/>
              </w:rPr>
            </w:pPr>
          </w:p>
        </w:tc>
        <w:tc>
          <w:tcPr>
            <w:tcW w:w="7355" w:type="dxa"/>
          </w:tcPr>
          <w:p w14:paraId="3522014A" w14:textId="77777777" w:rsidR="002C094B" w:rsidRDefault="002C094B" w:rsidP="002C094B">
            <w:pPr>
              <w:pStyle w:val="TableText"/>
            </w:pPr>
            <w:r>
              <w:t>After each successful upload, replace or increment the previously uploaded member file with the newly uploaded file such that only one file per member is held at any one time.</w:t>
            </w:r>
          </w:p>
          <w:p w14:paraId="48FDBDA8" w14:textId="74984088" w:rsidR="00C4415C" w:rsidRPr="002C094B" w:rsidRDefault="002C094B" w:rsidP="002C094B">
            <w:pPr>
              <w:rPr>
                <w:rFonts w:cs="Arial"/>
                <w:i/>
              </w:rPr>
            </w:pPr>
            <w:r w:rsidRPr="002C094B">
              <w:rPr>
                <w:i/>
              </w:rPr>
              <w:t>NB. ‘Replace’ implies a bulk upload every time; ‘’increment; implies uploading ‘delta’ files. Potential Providers are asked to recommend the most efficient and cost-effective approach given the potential for a large increase in the number of members.</w:t>
            </w:r>
          </w:p>
        </w:tc>
        <w:tc>
          <w:tcPr>
            <w:tcW w:w="1083" w:type="dxa"/>
          </w:tcPr>
          <w:p w14:paraId="4961B45E" w14:textId="77777777" w:rsidR="00C4415C" w:rsidRPr="003805E4" w:rsidRDefault="00C4415C" w:rsidP="00C4415C">
            <w:pPr>
              <w:jc w:val="center"/>
              <w:rPr>
                <w:rFonts w:cs="Arial"/>
              </w:rPr>
            </w:pPr>
            <w:r>
              <w:rPr>
                <w:rFonts w:cs="Arial"/>
              </w:rPr>
              <w:t>M</w:t>
            </w:r>
          </w:p>
        </w:tc>
      </w:tr>
      <w:tr w:rsidR="00334EA6" w:rsidRPr="003805E4" w14:paraId="6544F5DB" w14:textId="77777777" w:rsidTr="00334EA6">
        <w:trPr>
          <w:cantSplit/>
        </w:trPr>
        <w:tc>
          <w:tcPr>
            <w:tcW w:w="561" w:type="dxa"/>
          </w:tcPr>
          <w:p w14:paraId="11AFC414" w14:textId="77777777" w:rsidR="00334EA6" w:rsidRPr="003805E4" w:rsidRDefault="00334EA6" w:rsidP="00242016">
            <w:pPr>
              <w:pStyle w:val="ListParagraph"/>
              <w:numPr>
                <w:ilvl w:val="0"/>
                <w:numId w:val="23"/>
              </w:numPr>
              <w:contextualSpacing/>
              <w:rPr>
                <w:rFonts w:cs="Arial"/>
              </w:rPr>
            </w:pPr>
          </w:p>
        </w:tc>
        <w:tc>
          <w:tcPr>
            <w:tcW w:w="7355" w:type="dxa"/>
          </w:tcPr>
          <w:p w14:paraId="18D52B9A" w14:textId="77777777" w:rsidR="002C094B" w:rsidRDefault="002C094B" w:rsidP="002C094B">
            <w:pPr>
              <w:rPr>
                <w:sz w:val="24"/>
              </w:rPr>
            </w:pPr>
            <w:r>
              <w:rPr>
                <w:sz w:val="24"/>
              </w:rPr>
              <w:t>Members will be able to flag a record for deletion e.g. in the event that a previously notified ‘known fraudster’ no longer meets the criteria and should therefore be removed from CFDA.</w:t>
            </w:r>
          </w:p>
          <w:p w14:paraId="1F01F5F4" w14:textId="44F67B1A" w:rsidR="00334EA6" w:rsidRPr="003805E4" w:rsidRDefault="002C094B" w:rsidP="002C094B">
            <w:pPr>
              <w:pStyle w:val="TableText"/>
            </w:pPr>
            <w:r>
              <w:rPr>
                <w:i/>
                <w:sz w:val="24"/>
              </w:rPr>
              <w:t>NB. This applies primarily to incremental upload. Bulk upload each time would mean the removed record would no longer appear. In this case, members would still need to spot the removal at the next download.</w:t>
            </w:r>
          </w:p>
        </w:tc>
        <w:tc>
          <w:tcPr>
            <w:tcW w:w="1083" w:type="dxa"/>
          </w:tcPr>
          <w:p w14:paraId="29455E72" w14:textId="6E55B5A8" w:rsidR="00334EA6" w:rsidRDefault="00334EA6" w:rsidP="00334EA6">
            <w:pPr>
              <w:jc w:val="center"/>
              <w:rPr>
                <w:rFonts w:cs="Arial"/>
              </w:rPr>
            </w:pPr>
            <w:r>
              <w:t>M</w:t>
            </w:r>
          </w:p>
        </w:tc>
      </w:tr>
      <w:tr w:rsidR="00334EA6" w:rsidRPr="003805E4" w14:paraId="4265F316" w14:textId="77777777" w:rsidTr="00334EA6">
        <w:trPr>
          <w:cantSplit/>
        </w:trPr>
        <w:tc>
          <w:tcPr>
            <w:tcW w:w="561" w:type="dxa"/>
          </w:tcPr>
          <w:p w14:paraId="7D411766" w14:textId="77777777" w:rsidR="00334EA6" w:rsidRPr="003805E4" w:rsidRDefault="00334EA6" w:rsidP="00242016">
            <w:pPr>
              <w:pStyle w:val="ListParagraph"/>
              <w:numPr>
                <w:ilvl w:val="0"/>
                <w:numId w:val="23"/>
              </w:numPr>
              <w:contextualSpacing/>
              <w:rPr>
                <w:rFonts w:cs="Arial"/>
              </w:rPr>
            </w:pPr>
          </w:p>
        </w:tc>
        <w:tc>
          <w:tcPr>
            <w:tcW w:w="7355" w:type="dxa"/>
          </w:tcPr>
          <w:p w14:paraId="27200E8C" w14:textId="77777777" w:rsidR="002C094B" w:rsidRDefault="002C094B" w:rsidP="002C094B">
            <w:pPr>
              <w:rPr>
                <w:sz w:val="24"/>
              </w:rPr>
            </w:pPr>
            <w:r>
              <w:rPr>
                <w:sz w:val="24"/>
              </w:rPr>
              <w:t>Concatenate all uploaded files to create a single file.</w:t>
            </w:r>
          </w:p>
          <w:p w14:paraId="13DAEAB4" w14:textId="77777777" w:rsidR="002C094B" w:rsidRDefault="002C094B" w:rsidP="002C094B">
            <w:pPr>
              <w:rPr>
                <w:sz w:val="24"/>
              </w:rPr>
            </w:pPr>
            <w:r>
              <w:rPr>
                <w:sz w:val="24"/>
              </w:rPr>
              <w:t>NB. Records within the uploaded files will be tagged by the member that provided that data, so the order of concatenation is unimportant.</w:t>
            </w:r>
          </w:p>
          <w:p w14:paraId="2A7D38D8" w14:textId="506AA6B3" w:rsidR="00334EA6" w:rsidRPr="003805E4" w:rsidRDefault="002C094B" w:rsidP="002C094B">
            <w:pPr>
              <w:rPr>
                <w:rFonts w:cs="Arial"/>
                <w:i/>
              </w:rPr>
            </w:pPr>
            <w:r>
              <w:rPr>
                <w:i/>
                <w:sz w:val="24"/>
              </w:rPr>
              <w:t>Potential Providers are asked to propose the most cost effective and efficient mechanism to satisfy this requirement. For example, rebuilding the concatenation every time there is a successful upload or waiting until all expected files have been received. The mechanism must be suitable for the initial four members and be scalable for a much larger group of up to 500 members.</w:t>
            </w:r>
          </w:p>
        </w:tc>
        <w:tc>
          <w:tcPr>
            <w:tcW w:w="1083" w:type="dxa"/>
          </w:tcPr>
          <w:p w14:paraId="20FA6E4B" w14:textId="77777777" w:rsidR="00334EA6" w:rsidRPr="003805E4" w:rsidRDefault="00334EA6" w:rsidP="00334EA6">
            <w:pPr>
              <w:jc w:val="center"/>
              <w:rPr>
                <w:rFonts w:cs="Arial"/>
              </w:rPr>
            </w:pPr>
            <w:r>
              <w:rPr>
                <w:rFonts w:cs="Arial"/>
              </w:rPr>
              <w:t>M</w:t>
            </w:r>
          </w:p>
        </w:tc>
      </w:tr>
      <w:tr w:rsidR="00334EA6" w:rsidRPr="003805E4" w14:paraId="26A4EA9E" w14:textId="77777777" w:rsidTr="00334EA6">
        <w:trPr>
          <w:cantSplit/>
        </w:trPr>
        <w:tc>
          <w:tcPr>
            <w:tcW w:w="561" w:type="dxa"/>
          </w:tcPr>
          <w:p w14:paraId="5C2B638A" w14:textId="77777777" w:rsidR="00334EA6" w:rsidRPr="003805E4" w:rsidRDefault="00334EA6" w:rsidP="00242016">
            <w:pPr>
              <w:pStyle w:val="ListParagraph"/>
              <w:numPr>
                <w:ilvl w:val="0"/>
                <w:numId w:val="23"/>
              </w:numPr>
              <w:contextualSpacing/>
              <w:rPr>
                <w:rFonts w:cs="Arial"/>
              </w:rPr>
            </w:pPr>
          </w:p>
        </w:tc>
        <w:tc>
          <w:tcPr>
            <w:tcW w:w="7355" w:type="dxa"/>
          </w:tcPr>
          <w:p w14:paraId="07968917" w14:textId="6522AA04" w:rsidR="00334EA6" w:rsidRPr="003805E4" w:rsidRDefault="00334EA6" w:rsidP="00334EA6">
            <w:pPr>
              <w:rPr>
                <w:rFonts w:cs="Arial"/>
              </w:rPr>
            </w:pPr>
            <w:r w:rsidRPr="003805E4">
              <w:rPr>
                <w:rFonts w:cs="Arial"/>
              </w:rPr>
              <w:t xml:space="preserve">Notify CFDA </w:t>
            </w:r>
            <w:r>
              <w:rPr>
                <w:rFonts w:cs="Arial"/>
              </w:rPr>
              <w:t>member</w:t>
            </w:r>
            <w:r w:rsidRPr="003805E4">
              <w:rPr>
                <w:rFonts w:cs="Arial"/>
              </w:rPr>
              <w:t>s when a new concatenated file is ready for download.</w:t>
            </w:r>
          </w:p>
        </w:tc>
        <w:tc>
          <w:tcPr>
            <w:tcW w:w="1083" w:type="dxa"/>
          </w:tcPr>
          <w:p w14:paraId="3515F6AC" w14:textId="77777777" w:rsidR="00334EA6" w:rsidRPr="003805E4" w:rsidRDefault="00334EA6" w:rsidP="00334EA6">
            <w:pPr>
              <w:jc w:val="center"/>
              <w:rPr>
                <w:rFonts w:cs="Arial"/>
              </w:rPr>
            </w:pPr>
            <w:r>
              <w:rPr>
                <w:rFonts w:cs="Arial"/>
              </w:rPr>
              <w:t>M</w:t>
            </w:r>
          </w:p>
        </w:tc>
      </w:tr>
      <w:tr w:rsidR="00334EA6" w:rsidRPr="003805E4" w14:paraId="7BFE1369" w14:textId="77777777" w:rsidTr="00334EA6">
        <w:trPr>
          <w:cantSplit/>
        </w:trPr>
        <w:tc>
          <w:tcPr>
            <w:tcW w:w="561" w:type="dxa"/>
          </w:tcPr>
          <w:p w14:paraId="1FC989D7" w14:textId="77777777" w:rsidR="00334EA6" w:rsidRPr="003805E4" w:rsidRDefault="00334EA6" w:rsidP="00242016">
            <w:pPr>
              <w:pStyle w:val="ListParagraph"/>
              <w:numPr>
                <w:ilvl w:val="0"/>
                <w:numId w:val="23"/>
              </w:numPr>
              <w:contextualSpacing/>
              <w:rPr>
                <w:rFonts w:cs="Arial"/>
              </w:rPr>
            </w:pPr>
          </w:p>
        </w:tc>
        <w:tc>
          <w:tcPr>
            <w:tcW w:w="7355" w:type="dxa"/>
          </w:tcPr>
          <w:p w14:paraId="11B9B9CD" w14:textId="7DE13A9C" w:rsidR="00334EA6" w:rsidRPr="003805E4" w:rsidRDefault="00334EA6" w:rsidP="00334EA6">
            <w:pPr>
              <w:rPr>
                <w:rFonts w:cs="Arial"/>
              </w:rPr>
            </w:pPr>
            <w:r w:rsidRPr="003805E4">
              <w:rPr>
                <w:rFonts w:cs="Arial"/>
              </w:rPr>
              <w:t xml:space="preserve">Allow </w:t>
            </w:r>
            <w:r>
              <w:rPr>
                <w:rFonts w:cs="Arial"/>
              </w:rPr>
              <w:t>member</w:t>
            </w:r>
            <w:r w:rsidRPr="003805E4">
              <w:rPr>
                <w:rFonts w:cs="Arial"/>
              </w:rPr>
              <w:t>s to download a concatenated data file from the CFDA Repository via a secure download mechanism, on demand.</w:t>
            </w:r>
          </w:p>
        </w:tc>
        <w:tc>
          <w:tcPr>
            <w:tcW w:w="1083" w:type="dxa"/>
          </w:tcPr>
          <w:p w14:paraId="1D19A5E5" w14:textId="77777777" w:rsidR="00334EA6" w:rsidRPr="003805E4" w:rsidRDefault="00334EA6" w:rsidP="00334EA6">
            <w:pPr>
              <w:jc w:val="center"/>
              <w:rPr>
                <w:rFonts w:cs="Arial"/>
              </w:rPr>
            </w:pPr>
            <w:r>
              <w:rPr>
                <w:rFonts w:cs="Arial"/>
              </w:rPr>
              <w:t>M</w:t>
            </w:r>
          </w:p>
        </w:tc>
      </w:tr>
      <w:tr w:rsidR="00334EA6" w:rsidRPr="003805E4" w14:paraId="1124BC11" w14:textId="77777777" w:rsidTr="00334EA6">
        <w:trPr>
          <w:cantSplit/>
        </w:trPr>
        <w:tc>
          <w:tcPr>
            <w:tcW w:w="561" w:type="dxa"/>
          </w:tcPr>
          <w:p w14:paraId="15F061BD" w14:textId="77777777" w:rsidR="00334EA6" w:rsidRPr="003805E4" w:rsidRDefault="00334EA6" w:rsidP="00242016">
            <w:pPr>
              <w:pStyle w:val="ListParagraph"/>
              <w:numPr>
                <w:ilvl w:val="0"/>
                <w:numId w:val="23"/>
              </w:numPr>
              <w:contextualSpacing/>
              <w:rPr>
                <w:rFonts w:cs="Arial"/>
              </w:rPr>
            </w:pPr>
          </w:p>
        </w:tc>
        <w:tc>
          <w:tcPr>
            <w:tcW w:w="7355" w:type="dxa"/>
          </w:tcPr>
          <w:p w14:paraId="46C424E4" w14:textId="77777777" w:rsidR="00334EA6" w:rsidRDefault="00334EA6" w:rsidP="00334EA6">
            <w:pPr>
              <w:pStyle w:val="TableText"/>
            </w:pPr>
            <w:r w:rsidRPr="003805E4">
              <w:t xml:space="preserve">Allow CFDA </w:t>
            </w:r>
            <w:r>
              <w:t>Members</w:t>
            </w:r>
            <w:r w:rsidRPr="003805E4">
              <w:t xml:space="preserve"> to </w:t>
            </w:r>
            <w:r>
              <w:t xml:space="preserve">withdraw an </w:t>
            </w:r>
            <w:r w:rsidRPr="003805E4">
              <w:t>upload</w:t>
            </w:r>
            <w:r>
              <w:t>ed</w:t>
            </w:r>
            <w:r w:rsidRPr="003805E4">
              <w:t xml:space="preserve"> data file, on demand.</w:t>
            </w:r>
          </w:p>
          <w:p w14:paraId="41E24E4D" w14:textId="193D67AA" w:rsidR="00334EA6" w:rsidRPr="00BE21B5" w:rsidRDefault="00BE21B5" w:rsidP="00334EA6">
            <w:pPr>
              <w:rPr>
                <w:rFonts w:cs="Arial"/>
                <w:i/>
              </w:rPr>
            </w:pPr>
            <w:r w:rsidRPr="00BE21B5">
              <w:rPr>
                <w:i/>
              </w:rPr>
              <w:t>NB. The Authority recognises that t</w:t>
            </w:r>
            <w:r w:rsidR="00334EA6" w:rsidRPr="00BE21B5">
              <w:rPr>
                <w:i/>
              </w:rPr>
              <w:t xml:space="preserve">his requirement has implications for data retention: </w:t>
            </w:r>
            <w:r w:rsidRPr="00BE21B5">
              <w:rPr>
                <w:i/>
              </w:rPr>
              <w:t xml:space="preserve">i.e. </w:t>
            </w:r>
            <w:r w:rsidR="00334EA6" w:rsidRPr="00BE21B5">
              <w:rPr>
                <w:i/>
              </w:rPr>
              <w:t>should the previous file be retained and reinstated if a file is</w:t>
            </w:r>
            <w:r w:rsidRPr="00BE21B5">
              <w:rPr>
                <w:i/>
              </w:rPr>
              <w:t xml:space="preserve"> withdrawn. The </w:t>
            </w:r>
            <w:r w:rsidR="00A760A4">
              <w:rPr>
                <w:i/>
              </w:rPr>
              <w:t>Supplier</w:t>
            </w:r>
            <w:r w:rsidRPr="00BE21B5">
              <w:rPr>
                <w:i/>
              </w:rPr>
              <w:t xml:space="preserve"> is expected to resolve this during detailed design.</w:t>
            </w:r>
          </w:p>
        </w:tc>
        <w:tc>
          <w:tcPr>
            <w:tcW w:w="1083" w:type="dxa"/>
          </w:tcPr>
          <w:p w14:paraId="21E2B41F" w14:textId="31755DA3" w:rsidR="00334EA6" w:rsidRDefault="00334EA6" w:rsidP="00334EA6">
            <w:pPr>
              <w:jc w:val="center"/>
              <w:rPr>
                <w:rFonts w:cs="Arial"/>
              </w:rPr>
            </w:pPr>
            <w:r>
              <w:t>M</w:t>
            </w:r>
          </w:p>
        </w:tc>
      </w:tr>
      <w:tr w:rsidR="00334EA6" w:rsidRPr="003805E4" w14:paraId="7123BC0D" w14:textId="77777777" w:rsidTr="00334EA6">
        <w:trPr>
          <w:cantSplit/>
        </w:trPr>
        <w:tc>
          <w:tcPr>
            <w:tcW w:w="561" w:type="dxa"/>
          </w:tcPr>
          <w:p w14:paraId="5F07A84E" w14:textId="77777777" w:rsidR="00334EA6" w:rsidRPr="003805E4" w:rsidRDefault="00334EA6" w:rsidP="00242016">
            <w:pPr>
              <w:pStyle w:val="ListParagraph"/>
              <w:numPr>
                <w:ilvl w:val="0"/>
                <w:numId w:val="23"/>
              </w:numPr>
              <w:contextualSpacing/>
              <w:rPr>
                <w:rFonts w:cs="Arial"/>
              </w:rPr>
            </w:pPr>
          </w:p>
        </w:tc>
        <w:tc>
          <w:tcPr>
            <w:tcW w:w="7355" w:type="dxa"/>
          </w:tcPr>
          <w:p w14:paraId="7E960BDB" w14:textId="77777777" w:rsidR="00334EA6" w:rsidRDefault="00334EA6" w:rsidP="00334EA6">
            <w:pPr>
              <w:pStyle w:val="TableText"/>
            </w:pPr>
            <w:r>
              <w:t xml:space="preserve">Provide management information to CFDA Members on demand for a user-defined period. </w:t>
            </w:r>
          </w:p>
          <w:p w14:paraId="5D51C200" w14:textId="2689FA6B" w:rsidR="00334EA6" w:rsidRDefault="00334EA6" w:rsidP="00334EA6">
            <w:pPr>
              <w:pStyle w:val="TableText"/>
            </w:pPr>
            <w:r>
              <w:t>NB. Detailed requirements will be agreed during the design and build phase, but are expected to include</w:t>
            </w:r>
            <w:r w:rsidR="002C094B">
              <w:t xml:space="preserve"> but not be limited to</w:t>
            </w:r>
            <w:r>
              <w:t>:</w:t>
            </w:r>
          </w:p>
          <w:p w14:paraId="248C5424" w14:textId="77777777" w:rsidR="00334EA6" w:rsidRDefault="00334EA6" w:rsidP="000E566D">
            <w:pPr>
              <w:pStyle w:val="TableBullet"/>
            </w:pPr>
            <w:r>
              <w:t>Number of uploads and downloads (total, by each member etc.)</w:t>
            </w:r>
          </w:p>
          <w:p w14:paraId="6FDC6990" w14:textId="77777777" w:rsidR="00BE21B5" w:rsidRPr="00BE21B5" w:rsidRDefault="00334EA6" w:rsidP="000E566D">
            <w:pPr>
              <w:pStyle w:val="TableBullet"/>
            </w:pPr>
            <w:r>
              <w:t>Number of records uploaded and downloaded (total, by each member etc.)</w:t>
            </w:r>
          </w:p>
          <w:p w14:paraId="43D099D1" w14:textId="1D44B4E5" w:rsidR="00334EA6" w:rsidRPr="003805E4" w:rsidRDefault="00334EA6" w:rsidP="000E566D">
            <w:pPr>
              <w:pStyle w:val="TableBullet"/>
            </w:pPr>
            <w:r>
              <w:t>System performance (e.g. availability, number of outages, time to restore service etc.)</w:t>
            </w:r>
          </w:p>
        </w:tc>
        <w:tc>
          <w:tcPr>
            <w:tcW w:w="1083" w:type="dxa"/>
          </w:tcPr>
          <w:p w14:paraId="34A9CCD4" w14:textId="69D1179C" w:rsidR="00334EA6" w:rsidRDefault="00334EA6" w:rsidP="00334EA6">
            <w:pPr>
              <w:jc w:val="center"/>
              <w:rPr>
                <w:rFonts w:cs="Arial"/>
              </w:rPr>
            </w:pPr>
            <w:r>
              <w:t>M</w:t>
            </w:r>
          </w:p>
        </w:tc>
      </w:tr>
      <w:tr w:rsidR="00334EA6" w:rsidRPr="003805E4" w14:paraId="500C2B07" w14:textId="77777777" w:rsidTr="00334EA6">
        <w:trPr>
          <w:cantSplit/>
        </w:trPr>
        <w:tc>
          <w:tcPr>
            <w:tcW w:w="561" w:type="dxa"/>
          </w:tcPr>
          <w:p w14:paraId="2E76AA3E" w14:textId="77777777" w:rsidR="00334EA6" w:rsidRPr="003805E4" w:rsidRDefault="00334EA6" w:rsidP="00242016">
            <w:pPr>
              <w:pStyle w:val="ListParagraph"/>
              <w:numPr>
                <w:ilvl w:val="0"/>
                <w:numId w:val="23"/>
              </w:numPr>
              <w:contextualSpacing/>
              <w:rPr>
                <w:rFonts w:cs="Arial"/>
              </w:rPr>
            </w:pPr>
          </w:p>
        </w:tc>
        <w:tc>
          <w:tcPr>
            <w:tcW w:w="7355" w:type="dxa"/>
          </w:tcPr>
          <w:p w14:paraId="196DDE0C" w14:textId="65FD46DE" w:rsidR="00334EA6" w:rsidRPr="003805E4" w:rsidRDefault="002C094B" w:rsidP="00334EA6">
            <w:pPr>
              <w:rPr>
                <w:rFonts w:cs="Arial"/>
              </w:rPr>
            </w:pPr>
            <w:r w:rsidRPr="002C094B">
              <w:rPr>
                <w:rFonts w:eastAsia="Arial" w:cs="Arial"/>
                <w:color w:val="000000"/>
                <w:sz w:val="24"/>
                <w:lang w:eastAsia="en-GB"/>
              </w:rPr>
              <w:t>Provide alerts to CFDA Members if usage (i.e. uploads or downloads) exceeds a user-defined threshold to be agreed with members during the detailed design phase.</w:t>
            </w:r>
          </w:p>
        </w:tc>
        <w:tc>
          <w:tcPr>
            <w:tcW w:w="1083" w:type="dxa"/>
          </w:tcPr>
          <w:p w14:paraId="26EC3DD0" w14:textId="759282AC" w:rsidR="00334EA6" w:rsidRDefault="00334EA6" w:rsidP="00334EA6">
            <w:pPr>
              <w:jc w:val="center"/>
              <w:rPr>
                <w:rFonts w:cs="Arial"/>
              </w:rPr>
            </w:pPr>
            <w:r>
              <w:t>M</w:t>
            </w:r>
          </w:p>
        </w:tc>
      </w:tr>
    </w:tbl>
    <w:p w14:paraId="5D3B9F73" w14:textId="77777777" w:rsidR="00C4415C" w:rsidRPr="003805E4" w:rsidRDefault="00C4415C" w:rsidP="00C4415C">
      <w:pPr>
        <w:rPr>
          <w:rFonts w:cs="Arial"/>
        </w:rPr>
      </w:pPr>
    </w:p>
    <w:p w14:paraId="5360E5CE" w14:textId="77777777" w:rsidR="00C4415C" w:rsidRDefault="00C4415C" w:rsidP="00C4415C">
      <w:pPr>
        <w:pStyle w:val="Heading2"/>
        <w:keepNext/>
        <w:keepLines/>
        <w:tabs>
          <w:tab w:val="clear" w:pos="720"/>
        </w:tabs>
        <w:adjustRightInd/>
        <w:spacing w:line="259" w:lineRule="auto"/>
        <w:ind w:left="578" w:hanging="578"/>
        <w:jc w:val="left"/>
      </w:pPr>
      <w:bookmarkStart w:id="20" w:name="_Toc499128158"/>
      <w:r w:rsidRPr="003805E4">
        <w:lastRenderedPageBreak/>
        <w:t>Non-Functional Requirements</w:t>
      </w:r>
      <w:bookmarkEnd w:id="20"/>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60"/>
        <w:gridCol w:w="6975"/>
        <w:gridCol w:w="1081"/>
      </w:tblGrid>
      <w:tr w:rsidR="00C4415C" w:rsidRPr="003805E4" w14:paraId="6AE0CAA2" w14:textId="77777777" w:rsidTr="00C4415C">
        <w:trPr>
          <w:cantSplit/>
          <w:tblHeader/>
        </w:trPr>
        <w:tc>
          <w:tcPr>
            <w:tcW w:w="560" w:type="dxa"/>
          </w:tcPr>
          <w:p w14:paraId="475CE04F" w14:textId="77777777" w:rsidR="00C4415C" w:rsidRPr="003805E4" w:rsidRDefault="00C4415C" w:rsidP="00C4415C">
            <w:pPr>
              <w:rPr>
                <w:rFonts w:cs="Arial"/>
                <w:b/>
              </w:rPr>
            </w:pPr>
            <w:r w:rsidRPr="003805E4">
              <w:rPr>
                <w:rFonts w:cs="Arial"/>
                <w:b/>
              </w:rPr>
              <w:t>No</w:t>
            </w:r>
          </w:p>
        </w:tc>
        <w:tc>
          <w:tcPr>
            <w:tcW w:w="6975" w:type="dxa"/>
          </w:tcPr>
          <w:p w14:paraId="511613AF" w14:textId="77777777" w:rsidR="00C4415C" w:rsidRPr="003805E4" w:rsidRDefault="00C4415C" w:rsidP="00C4415C">
            <w:pPr>
              <w:rPr>
                <w:rFonts w:cs="Arial"/>
                <w:b/>
              </w:rPr>
            </w:pPr>
            <w:r w:rsidRPr="003805E4">
              <w:rPr>
                <w:rFonts w:cs="Arial"/>
                <w:b/>
              </w:rPr>
              <w:t>Requirement</w:t>
            </w:r>
          </w:p>
        </w:tc>
        <w:tc>
          <w:tcPr>
            <w:tcW w:w="1081" w:type="dxa"/>
          </w:tcPr>
          <w:p w14:paraId="56FE0A5F" w14:textId="77777777" w:rsidR="00C4415C" w:rsidRPr="003805E4" w:rsidRDefault="00C4415C" w:rsidP="00C4415C">
            <w:pPr>
              <w:jc w:val="center"/>
              <w:rPr>
                <w:rFonts w:cs="Arial"/>
                <w:b/>
              </w:rPr>
            </w:pPr>
            <w:r w:rsidRPr="003805E4">
              <w:rPr>
                <w:rFonts w:cs="Arial"/>
                <w:b/>
              </w:rPr>
              <w:t>Priority</w:t>
            </w:r>
          </w:p>
        </w:tc>
      </w:tr>
      <w:tr w:rsidR="00C4415C" w:rsidRPr="003805E4" w14:paraId="5AE6F6D8" w14:textId="77777777" w:rsidTr="00C4415C">
        <w:trPr>
          <w:cantSplit/>
        </w:trPr>
        <w:tc>
          <w:tcPr>
            <w:tcW w:w="560" w:type="dxa"/>
          </w:tcPr>
          <w:p w14:paraId="4CCA86D0" w14:textId="77777777" w:rsidR="00C4415C" w:rsidRPr="003805E4" w:rsidRDefault="00C4415C" w:rsidP="00242016">
            <w:pPr>
              <w:pStyle w:val="ListParagraph"/>
              <w:numPr>
                <w:ilvl w:val="0"/>
                <w:numId w:val="23"/>
              </w:numPr>
              <w:contextualSpacing/>
              <w:rPr>
                <w:rFonts w:cs="Arial"/>
              </w:rPr>
            </w:pPr>
          </w:p>
        </w:tc>
        <w:tc>
          <w:tcPr>
            <w:tcW w:w="6975" w:type="dxa"/>
          </w:tcPr>
          <w:p w14:paraId="10A2AB03" w14:textId="77777777" w:rsidR="00C4415C" w:rsidRPr="003805E4" w:rsidRDefault="00C4415C" w:rsidP="00C4415C">
            <w:pPr>
              <w:rPr>
                <w:rFonts w:cs="Arial"/>
              </w:rPr>
            </w:pPr>
            <w:r w:rsidRPr="003805E4">
              <w:rPr>
                <w:rFonts w:cs="Arial"/>
              </w:rPr>
              <w:t xml:space="preserve">Recovery time objective: </w:t>
            </w:r>
          </w:p>
          <w:p w14:paraId="4B875693" w14:textId="77777777" w:rsidR="00C4415C" w:rsidRPr="003805E4" w:rsidRDefault="00C4415C" w:rsidP="00C4415C">
            <w:pPr>
              <w:rPr>
                <w:rFonts w:cs="Arial"/>
              </w:rPr>
            </w:pPr>
            <w:r w:rsidRPr="003805E4">
              <w:rPr>
                <w:rFonts w:cs="Arial"/>
              </w:rPr>
              <w:t>In the event of a system outage, recover the system to full operational status within two working days.</w:t>
            </w:r>
          </w:p>
          <w:p w14:paraId="22111FFE" w14:textId="77777777" w:rsidR="00C4415C" w:rsidRDefault="00C4415C" w:rsidP="00C4415C">
            <w:pPr>
              <w:rPr>
                <w:rFonts w:cs="Arial"/>
              </w:rPr>
            </w:pPr>
          </w:p>
          <w:p w14:paraId="06051DE8" w14:textId="77777777" w:rsidR="00C4415C" w:rsidRPr="003805E4" w:rsidRDefault="00C4415C" w:rsidP="00C4415C">
            <w:pPr>
              <w:rPr>
                <w:rFonts w:cs="Arial"/>
              </w:rPr>
            </w:pPr>
            <w:r w:rsidRPr="003805E4">
              <w:rPr>
                <w:rFonts w:cs="Arial"/>
              </w:rPr>
              <w:t xml:space="preserve">For example: </w:t>
            </w:r>
          </w:p>
          <w:p w14:paraId="0D58FD77" w14:textId="77777777" w:rsidR="00C4415C" w:rsidRPr="003805E4" w:rsidRDefault="00C4415C" w:rsidP="000E566D">
            <w:pPr>
              <w:pStyle w:val="TableBullet"/>
            </w:pPr>
            <w:r w:rsidRPr="003805E4">
              <w:t>Failure at 1000 Monday; recover by 1000 Wednesday</w:t>
            </w:r>
          </w:p>
          <w:p w14:paraId="2A0069D7" w14:textId="77777777" w:rsidR="00C4415C" w:rsidRPr="003805E4" w:rsidRDefault="00C4415C" w:rsidP="000E566D">
            <w:pPr>
              <w:pStyle w:val="TableBullet"/>
            </w:pPr>
            <w:r w:rsidRPr="003805E4">
              <w:t>Failure at 1400 Friday; recover by 1400 The following Tuesday (or Wednesday if Monday is a Bank Holiday)</w:t>
            </w:r>
          </w:p>
          <w:p w14:paraId="6CE92C01" w14:textId="77777777" w:rsidR="00C4415C" w:rsidRPr="003805E4" w:rsidRDefault="00C4415C" w:rsidP="00C4415C">
            <w:pPr>
              <w:rPr>
                <w:rFonts w:cs="Arial"/>
              </w:rPr>
            </w:pPr>
          </w:p>
        </w:tc>
        <w:tc>
          <w:tcPr>
            <w:tcW w:w="1081" w:type="dxa"/>
          </w:tcPr>
          <w:p w14:paraId="484A0678" w14:textId="77777777" w:rsidR="00C4415C" w:rsidRPr="003805E4" w:rsidRDefault="00C4415C" w:rsidP="00C4415C">
            <w:pPr>
              <w:jc w:val="center"/>
              <w:rPr>
                <w:rFonts w:cs="Arial"/>
              </w:rPr>
            </w:pPr>
            <w:r>
              <w:rPr>
                <w:rFonts w:cs="Arial"/>
              </w:rPr>
              <w:t>M</w:t>
            </w:r>
          </w:p>
        </w:tc>
      </w:tr>
      <w:tr w:rsidR="00C4415C" w:rsidRPr="00171227" w14:paraId="2D15BE90" w14:textId="77777777" w:rsidTr="00C4415C">
        <w:trPr>
          <w:cantSplit/>
        </w:trPr>
        <w:tc>
          <w:tcPr>
            <w:tcW w:w="560" w:type="dxa"/>
          </w:tcPr>
          <w:p w14:paraId="6998A0B8" w14:textId="77777777" w:rsidR="00C4415C" w:rsidRPr="003805E4" w:rsidRDefault="00C4415C" w:rsidP="00242016">
            <w:pPr>
              <w:pStyle w:val="ListParagraph"/>
              <w:numPr>
                <w:ilvl w:val="0"/>
                <w:numId w:val="23"/>
              </w:numPr>
              <w:contextualSpacing/>
              <w:rPr>
                <w:rFonts w:cs="Arial"/>
              </w:rPr>
            </w:pPr>
          </w:p>
        </w:tc>
        <w:tc>
          <w:tcPr>
            <w:tcW w:w="6975" w:type="dxa"/>
          </w:tcPr>
          <w:p w14:paraId="1F5AB466" w14:textId="77777777" w:rsidR="00C4415C" w:rsidRPr="003805E4" w:rsidRDefault="00C4415C" w:rsidP="00C4415C">
            <w:pPr>
              <w:rPr>
                <w:rFonts w:cs="Arial"/>
              </w:rPr>
            </w:pPr>
            <w:r w:rsidRPr="003805E4">
              <w:rPr>
                <w:rFonts w:cs="Arial"/>
              </w:rPr>
              <w:t>Recovery point objective:</w:t>
            </w:r>
          </w:p>
          <w:p w14:paraId="75C762B3" w14:textId="61ADCDA1" w:rsidR="00C4415C" w:rsidRPr="003805E4" w:rsidRDefault="00C4415C" w:rsidP="000E566D">
            <w:pPr>
              <w:pStyle w:val="TableBullet"/>
            </w:pPr>
            <w:r>
              <w:t xml:space="preserve">No more than </w:t>
            </w:r>
            <w:r w:rsidR="00F645FF">
              <w:t>24</w:t>
            </w:r>
            <w:r w:rsidR="00334EA6">
              <w:t xml:space="preserve"> </w:t>
            </w:r>
            <w:r>
              <w:t>hours’ worth of data shall be lost i.e. d</w:t>
            </w:r>
            <w:r w:rsidRPr="003805E4">
              <w:t xml:space="preserve">ata files uploaded more than </w:t>
            </w:r>
            <w:r w:rsidR="00F645FF">
              <w:t>24</w:t>
            </w:r>
            <w:r w:rsidR="00334EA6" w:rsidRPr="003805E4">
              <w:t xml:space="preserve"> </w:t>
            </w:r>
            <w:r w:rsidRPr="003805E4">
              <w:t>hours prior to the outage shall be recover</w:t>
            </w:r>
            <w:r>
              <w:t>able.</w:t>
            </w:r>
          </w:p>
        </w:tc>
        <w:tc>
          <w:tcPr>
            <w:tcW w:w="1081" w:type="dxa"/>
          </w:tcPr>
          <w:p w14:paraId="7D226F53" w14:textId="77777777" w:rsidR="00C4415C" w:rsidRPr="003805E4" w:rsidRDefault="00C4415C" w:rsidP="00C4415C">
            <w:pPr>
              <w:jc w:val="center"/>
              <w:rPr>
                <w:rFonts w:cs="Arial"/>
              </w:rPr>
            </w:pPr>
            <w:r w:rsidRPr="003805E4">
              <w:rPr>
                <w:rFonts w:cs="Arial"/>
              </w:rPr>
              <w:t>M</w:t>
            </w:r>
          </w:p>
        </w:tc>
      </w:tr>
      <w:tr w:rsidR="002C094B" w:rsidRPr="003805E4" w14:paraId="467E789D" w14:textId="77777777" w:rsidTr="00C4415C">
        <w:trPr>
          <w:cantSplit/>
        </w:trPr>
        <w:tc>
          <w:tcPr>
            <w:tcW w:w="560" w:type="dxa"/>
          </w:tcPr>
          <w:p w14:paraId="275E16C3" w14:textId="77777777" w:rsidR="002C094B" w:rsidRPr="006017B6" w:rsidRDefault="002C094B" w:rsidP="00242016">
            <w:pPr>
              <w:pStyle w:val="ListParagraph"/>
              <w:numPr>
                <w:ilvl w:val="0"/>
                <w:numId w:val="23"/>
              </w:numPr>
              <w:contextualSpacing/>
              <w:rPr>
                <w:rFonts w:cs="Arial"/>
              </w:rPr>
            </w:pPr>
          </w:p>
        </w:tc>
        <w:tc>
          <w:tcPr>
            <w:tcW w:w="6975" w:type="dxa"/>
          </w:tcPr>
          <w:p w14:paraId="78A25CD6" w14:textId="77777777" w:rsidR="002C094B" w:rsidRDefault="002C094B" w:rsidP="002C094B">
            <w:pPr>
              <w:rPr>
                <w:sz w:val="24"/>
              </w:rPr>
            </w:pPr>
            <w:r>
              <w:rPr>
                <w:sz w:val="24"/>
              </w:rPr>
              <w:t>Scalability objective:</w:t>
            </w:r>
          </w:p>
          <w:p w14:paraId="5F9C07B0" w14:textId="07D06466" w:rsidR="002C094B" w:rsidRPr="002C094B" w:rsidRDefault="002C094B" w:rsidP="00242016">
            <w:pPr>
              <w:pStyle w:val="ListParagraph"/>
              <w:numPr>
                <w:ilvl w:val="0"/>
                <w:numId w:val="28"/>
              </w:numPr>
              <w:rPr>
                <w:rFonts w:cs="Arial"/>
              </w:rPr>
            </w:pPr>
            <w:r w:rsidRPr="002C094B">
              <w:rPr>
                <w:sz w:val="24"/>
              </w:rPr>
              <w:t>Ensure that the service is scalable, in line with the projected volume increases for the first 3 years as a minimum.</w:t>
            </w:r>
          </w:p>
        </w:tc>
        <w:tc>
          <w:tcPr>
            <w:tcW w:w="1081" w:type="dxa"/>
          </w:tcPr>
          <w:p w14:paraId="7FDFC466" w14:textId="55568A52" w:rsidR="002C094B" w:rsidRPr="003805E4" w:rsidRDefault="002C094B" w:rsidP="00C4415C">
            <w:pPr>
              <w:jc w:val="center"/>
              <w:rPr>
                <w:rFonts w:cs="Arial"/>
              </w:rPr>
            </w:pPr>
            <w:r>
              <w:rPr>
                <w:rFonts w:cs="Arial"/>
              </w:rPr>
              <w:t>M</w:t>
            </w:r>
          </w:p>
        </w:tc>
      </w:tr>
      <w:tr w:rsidR="00C4415C" w:rsidRPr="003805E4" w14:paraId="472A4527" w14:textId="77777777" w:rsidTr="00C4415C">
        <w:trPr>
          <w:cantSplit/>
        </w:trPr>
        <w:tc>
          <w:tcPr>
            <w:tcW w:w="560" w:type="dxa"/>
          </w:tcPr>
          <w:p w14:paraId="363C5415" w14:textId="77777777" w:rsidR="00C4415C" w:rsidRPr="006017B6" w:rsidRDefault="00C4415C" w:rsidP="00242016">
            <w:pPr>
              <w:pStyle w:val="ListParagraph"/>
              <w:numPr>
                <w:ilvl w:val="0"/>
                <w:numId w:val="23"/>
              </w:numPr>
              <w:contextualSpacing/>
              <w:rPr>
                <w:rFonts w:cs="Arial"/>
              </w:rPr>
            </w:pPr>
          </w:p>
        </w:tc>
        <w:tc>
          <w:tcPr>
            <w:tcW w:w="6975" w:type="dxa"/>
          </w:tcPr>
          <w:p w14:paraId="43728531" w14:textId="1833FC56" w:rsidR="00C4415C" w:rsidRDefault="0036136C" w:rsidP="00C4415C">
            <w:pPr>
              <w:rPr>
                <w:rFonts w:cs="Arial"/>
              </w:rPr>
            </w:pPr>
            <w:r>
              <w:rPr>
                <w:rFonts w:cs="Arial"/>
              </w:rPr>
              <w:t>Member</w:t>
            </w:r>
            <w:r w:rsidR="00C4415C" w:rsidRPr="003805E4">
              <w:rPr>
                <w:rFonts w:cs="Arial"/>
              </w:rPr>
              <w:t xml:space="preserve">s </w:t>
            </w:r>
            <w:r w:rsidR="00C4415C">
              <w:rPr>
                <w:rFonts w:cs="Arial"/>
              </w:rPr>
              <w:t>shall be alerted to an outage:</w:t>
            </w:r>
          </w:p>
          <w:p w14:paraId="1B6C814B" w14:textId="77777777" w:rsidR="00C4415C" w:rsidRDefault="00C4415C" w:rsidP="000E566D">
            <w:pPr>
              <w:pStyle w:val="TableBullet"/>
            </w:pPr>
            <w:r>
              <w:t>Within two hours of occurrence</w:t>
            </w:r>
            <w:r w:rsidRPr="006017B6">
              <w:t>.</w:t>
            </w:r>
          </w:p>
          <w:p w14:paraId="2CA8E194" w14:textId="77777777" w:rsidR="00C4415C" w:rsidRPr="006017B6" w:rsidRDefault="00C4415C" w:rsidP="000E566D">
            <w:pPr>
              <w:pStyle w:val="TableBullet"/>
            </w:pPr>
            <w:r>
              <w:t>Within two hours of restoration so that they can manually resubmit if necessary.</w:t>
            </w:r>
          </w:p>
        </w:tc>
        <w:tc>
          <w:tcPr>
            <w:tcW w:w="1081" w:type="dxa"/>
          </w:tcPr>
          <w:p w14:paraId="65E2C19B" w14:textId="77777777" w:rsidR="00C4415C" w:rsidRPr="003805E4" w:rsidRDefault="00C4415C" w:rsidP="00C4415C">
            <w:pPr>
              <w:jc w:val="center"/>
              <w:rPr>
                <w:rFonts w:cs="Arial"/>
              </w:rPr>
            </w:pPr>
            <w:r w:rsidRPr="003805E4">
              <w:rPr>
                <w:rFonts w:cs="Arial"/>
              </w:rPr>
              <w:t>M</w:t>
            </w:r>
          </w:p>
        </w:tc>
      </w:tr>
    </w:tbl>
    <w:p w14:paraId="3BABCDF2" w14:textId="77777777" w:rsidR="00C4415C" w:rsidRDefault="00C4415C" w:rsidP="00C4415C"/>
    <w:p w14:paraId="4908A284" w14:textId="77777777" w:rsidR="00C4415C" w:rsidRDefault="00C4415C" w:rsidP="00C4415C">
      <w:pPr>
        <w:pStyle w:val="Heading2"/>
        <w:keepNext/>
        <w:keepLines/>
        <w:tabs>
          <w:tab w:val="clear" w:pos="720"/>
        </w:tabs>
        <w:adjustRightInd/>
        <w:spacing w:line="259" w:lineRule="auto"/>
        <w:ind w:left="578" w:hanging="578"/>
        <w:jc w:val="left"/>
      </w:pPr>
      <w:bookmarkStart w:id="21" w:name="_Toc499128160"/>
      <w:r w:rsidRPr="00935AB8">
        <w:t xml:space="preserve">Data </w:t>
      </w:r>
      <w:r>
        <w:t>Assurance Requirements</w:t>
      </w:r>
      <w:bookmarkEnd w:id="21"/>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60"/>
        <w:gridCol w:w="6975"/>
        <w:gridCol w:w="1081"/>
      </w:tblGrid>
      <w:tr w:rsidR="00C4415C" w:rsidRPr="003805E4" w14:paraId="1648DDF1" w14:textId="77777777" w:rsidTr="00C4415C">
        <w:trPr>
          <w:cantSplit/>
          <w:tblHeader/>
        </w:trPr>
        <w:tc>
          <w:tcPr>
            <w:tcW w:w="560" w:type="dxa"/>
          </w:tcPr>
          <w:p w14:paraId="6B4F877B" w14:textId="77777777" w:rsidR="00C4415C" w:rsidRPr="003805E4" w:rsidRDefault="00C4415C" w:rsidP="00C4415C">
            <w:pPr>
              <w:rPr>
                <w:rFonts w:cs="Arial"/>
                <w:b/>
              </w:rPr>
            </w:pPr>
            <w:r w:rsidRPr="003805E4">
              <w:rPr>
                <w:rFonts w:cs="Arial"/>
                <w:b/>
              </w:rPr>
              <w:t>No</w:t>
            </w:r>
          </w:p>
        </w:tc>
        <w:tc>
          <w:tcPr>
            <w:tcW w:w="6975" w:type="dxa"/>
          </w:tcPr>
          <w:p w14:paraId="650D583E" w14:textId="77777777" w:rsidR="00C4415C" w:rsidRPr="003805E4" w:rsidRDefault="00C4415C" w:rsidP="00C4415C">
            <w:pPr>
              <w:rPr>
                <w:rFonts w:cs="Arial"/>
                <w:b/>
              </w:rPr>
            </w:pPr>
            <w:r w:rsidRPr="003805E4">
              <w:rPr>
                <w:rFonts w:cs="Arial"/>
                <w:b/>
              </w:rPr>
              <w:t>Requirement</w:t>
            </w:r>
          </w:p>
        </w:tc>
        <w:tc>
          <w:tcPr>
            <w:tcW w:w="1081" w:type="dxa"/>
          </w:tcPr>
          <w:p w14:paraId="4BFF255A" w14:textId="77777777" w:rsidR="00C4415C" w:rsidRPr="003805E4" w:rsidRDefault="00C4415C" w:rsidP="00C4415C">
            <w:pPr>
              <w:jc w:val="center"/>
              <w:rPr>
                <w:rFonts w:cs="Arial"/>
                <w:b/>
              </w:rPr>
            </w:pPr>
            <w:r w:rsidRPr="003805E4">
              <w:rPr>
                <w:rFonts w:cs="Arial"/>
                <w:b/>
              </w:rPr>
              <w:t>Priority</w:t>
            </w:r>
          </w:p>
        </w:tc>
      </w:tr>
      <w:tr w:rsidR="00334EA6" w:rsidRPr="003805E4" w14:paraId="6582DFE0" w14:textId="77777777" w:rsidTr="00C4415C">
        <w:trPr>
          <w:cantSplit/>
        </w:trPr>
        <w:tc>
          <w:tcPr>
            <w:tcW w:w="560" w:type="dxa"/>
          </w:tcPr>
          <w:p w14:paraId="04771DC7" w14:textId="77777777" w:rsidR="00334EA6" w:rsidRPr="003805E4" w:rsidRDefault="00334EA6" w:rsidP="00242016">
            <w:pPr>
              <w:pStyle w:val="ListParagraph"/>
              <w:numPr>
                <w:ilvl w:val="0"/>
                <w:numId w:val="23"/>
              </w:numPr>
              <w:contextualSpacing/>
              <w:rPr>
                <w:rFonts w:cs="Arial"/>
              </w:rPr>
            </w:pPr>
          </w:p>
        </w:tc>
        <w:tc>
          <w:tcPr>
            <w:tcW w:w="6975" w:type="dxa"/>
          </w:tcPr>
          <w:p w14:paraId="68BE09BF" w14:textId="198B9305" w:rsidR="00334EA6" w:rsidRPr="003805E4" w:rsidRDefault="00334EA6" w:rsidP="00334EA6">
            <w:pPr>
              <w:rPr>
                <w:rFonts w:cs="Arial"/>
              </w:rPr>
            </w:pPr>
            <w:r>
              <w:t xml:space="preserve">The </w:t>
            </w:r>
            <w:r w:rsidR="00A760A4">
              <w:t>Supplier</w:t>
            </w:r>
            <w:r>
              <w:t>'s solution shall be ISO27001:2013 certified (by a UKAS accredited certification body) and shall be Cyber Essential Plus certified or be willing to obtain these certifications within an agreed timescale as</w:t>
            </w:r>
            <w:r w:rsidR="005F041B">
              <w:t xml:space="preserve"> per the Security Schedule.</w:t>
            </w:r>
          </w:p>
        </w:tc>
        <w:tc>
          <w:tcPr>
            <w:tcW w:w="1081" w:type="dxa"/>
          </w:tcPr>
          <w:p w14:paraId="5D88D5E7" w14:textId="77777777" w:rsidR="00334EA6" w:rsidRPr="003805E4" w:rsidRDefault="00334EA6" w:rsidP="00334EA6">
            <w:pPr>
              <w:jc w:val="center"/>
              <w:rPr>
                <w:rFonts w:cs="Arial"/>
              </w:rPr>
            </w:pPr>
            <w:r>
              <w:rPr>
                <w:rFonts w:cs="Arial"/>
              </w:rPr>
              <w:t>M</w:t>
            </w:r>
          </w:p>
        </w:tc>
      </w:tr>
      <w:tr w:rsidR="00334EA6" w:rsidRPr="003805E4" w14:paraId="444D3F23" w14:textId="77777777" w:rsidTr="00C4415C">
        <w:trPr>
          <w:cantSplit/>
        </w:trPr>
        <w:tc>
          <w:tcPr>
            <w:tcW w:w="560" w:type="dxa"/>
          </w:tcPr>
          <w:p w14:paraId="68D36FDC" w14:textId="77777777" w:rsidR="00334EA6" w:rsidRPr="003805E4" w:rsidRDefault="00334EA6" w:rsidP="00242016">
            <w:pPr>
              <w:pStyle w:val="ListParagraph"/>
              <w:numPr>
                <w:ilvl w:val="0"/>
                <w:numId w:val="23"/>
              </w:numPr>
              <w:contextualSpacing/>
              <w:rPr>
                <w:rFonts w:cs="Arial"/>
              </w:rPr>
            </w:pPr>
          </w:p>
        </w:tc>
        <w:tc>
          <w:tcPr>
            <w:tcW w:w="6975" w:type="dxa"/>
          </w:tcPr>
          <w:p w14:paraId="4A879F3E" w14:textId="58AB1A63" w:rsidR="007C4A33" w:rsidRDefault="00334EA6" w:rsidP="007C4A33">
            <w:pPr>
              <w:pStyle w:val="TableText"/>
            </w:pPr>
            <w:r w:rsidRPr="00FD4A4B">
              <w:t xml:space="preserve">The CFDA Repository </w:t>
            </w:r>
            <w:r>
              <w:t xml:space="preserve">data </w:t>
            </w:r>
            <w:r w:rsidRPr="00FD4A4B">
              <w:t xml:space="preserve">shall be </w:t>
            </w:r>
            <w:r w:rsidRPr="00FD4A4B" w:rsidDel="000916CE">
              <w:t>hosted</w:t>
            </w:r>
            <w:r w:rsidR="00F645FF">
              <w:t>,</w:t>
            </w:r>
            <w:r w:rsidRPr="00FD4A4B" w:rsidDel="000916CE">
              <w:t xml:space="preserve"> </w:t>
            </w:r>
            <w:r>
              <w:t>stored and processed</w:t>
            </w:r>
            <w:r w:rsidRPr="00FD4A4B">
              <w:t xml:space="preserve"> within the </w:t>
            </w:r>
            <w:r w:rsidRPr="003805E4">
              <w:t>UK</w:t>
            </w:r>
            <w:r>
              <w:t xml:space="preserve">. </w:t>
            </w:r>
          </w:p>
          <w:p w14:paraId="127742CF" w14:textId="4FF4D90D" w:rsidR="00334EA6" w:rsidRPr="003805E4" w:rsidRDefault="007C4A33" w:rsidP="007C4A33">
            <w:pPr>
              <w:rPr>
                <w:rFonts w:cs="Arial"/>
              </w:rPr>
            </w:pPr>
            <w:r>
              <w:t>For the avoidance of doubt, this requirement applies to the live data and any backups.</w:t>
            </w:r>
          </w:p>
        </w:tc>
        <w:tc>
          <w:tcPr>
            <w:tcW w:w="1081" w:type="dxa"/>
          </w:tcPr>
          <w:p w14:paraId="044ACAA8" w14:textId="77777777" w:rsidR="00334EA6" w:rsidRDefault="00334EA6" w:rsidP="00334EA6">
            <w:pPr>
              <w:jc w:val="center"/>
              <w:rPr>
                <w:rFonts w:cs="Arial"/>
              </w:rPr>
            </w:pPr>
            <w:r>
              <w:rPr>
                <w:rFonts w:cs="Arial"/>
              </w:rPr>
              <w:t>M</w:t>
            </w:r>
          </w:p>
        </w:tc>
      </w:tr>
      <w:tr w:rsidR="00334EA6" w:rsidRPr="003805E4" w14:paraId="48C80CC2" w14:textId="77777777" w:rsidTr="00C4415C">
        <w:trPr>
          <w:cantSplit/>
        </w:trPr>
        <w:tc>
          <w:tcPr>
            <w:tcW w:w="560" w:type="dxa"/>
          </w:tcPr>
          <w:p w14:paraId="627BECB7" w14:textId="77777777" w:rsidR="00334EA6" w:rsidRPr="003805E4" w:rsidRDefault="00334EA6" w:rsidP="00242016">
            <w:pPr>
              <w:pStyle w:val="ListParagraph"/>
              <w:numPr>
                <w:ilvl w:val="0"/>
                <w:numId w:val="23"/>
              </w:numPr>
              <w:contextualSpacing/>
              <w:rPr>
                <w:rFonts w:cs="Arial"/>
              </w:rPr>
            </w:pPr>
          </w:p>
        </w:tc>
        <w:tc>
          <w:tcPr>
            <w:tcW w:w="6975" w:type="dxa"/>
          </w:tcPr>
          <w:p w14:paraId="4F4CAF2E" w14:textId="77777777" w:rsidR="00334EA6" w:rsidRPr="003805E4" w:rsidRDefault="00334EA6" w:rsidP="00334EA6">
            <w:pPr>
              <w:pStyle w:val="TableText"/>
            </w:pPr>
            <w:r w:rsidRPr="003805E4">
              <w:t>Maintain a searchable audit log of activity on the CFDA Repository, including but not limited to:</w:t>
            </w:r>
          </w:p>
          <w:p w14:paraId="4BE95299" w14:textId="77777777" w:rsidR="00334EA6" w:rsidRPr="003805E4" w:rsidRDefault="00334EA6" w:rsidP="00242016">
            <w:pPr>
              <w:pStyle w:val="TableNumber"/>
              <w:numPr>
                <w:ilvl w:val="0"/>
                <w:numId w:val="24"/>
              </w:numPr>
            </w:pPr>
            <w:r w:rsidRPr="003805E4">
              <w:t>Uploads</w:t>
            </w:r>
            <w:r>
              <w:t xml:space="preserve"> (date/time, source etc.)</w:t>
            </w:r>
          </w:p>
          <w:p w14:paraId="51129E15" w14:textId="52837460" w:rsidR="00334EA6" w:rsidRPr="003805E4" w:rsidRDefault="00334EA6" w:rsidP="00242016">
            <w:pPr>
              <w:pStyle w:val="TableNumber"/>
              <w:numPr>
                <w:ilvl w:val="0"/>
                <w:numId w:val="24"/>
              </w:numPr>
            </w:pPr>
            <w:r w:rsidRPr="003805E4">
              <w:t xml:space="preserve">Number of records uploaded in each file by each CFDA </w:t>
            </w:r>
            <w:r>
              <w:t>Member</w:t>
            </w:r>
          </w:p>
          <w:p w14:paraId="5247780D" w14:textId="354CA76B" w:rsidR="00334EA6" w:rsidRDefault="00334EA6" w:rsidP="00242016">
            <w:pPr>
              <w:pStyle w:val="TableNumber"/>
              <w:numPr>
                <w:ilvl w:val="0"/>
                <w:numId w:val="24"/>
              </w:numPr>
            </w:pPr>
            <w:r w:rsidRPr="003805E4">
              <w:t>Failed uploads</w:t>
            </w:r>
            <w:r>
              <w:t xml:space="preserve"> (date/time, source etc.)</w:t>
            </w:r>
          </w:p>
          <w:p w14:paraId="58BF72BC" w14:textId="56DEA28A" w:rsidR="005F041B" w:rsidRDefault="005F041B" w:rsidP="00242016">
            <w:pPr>
              <w:pStyle w:val="TableNumber"/>
              <w:numPr>
                <w:ilvl w:val="0"/>
                <w:numId w:val="24"/>
              </w:numPr>
            </w:pPr>
            <w:r>
              <w:t>Withdrawn uploads (date/time, source etc.)</w:t>
            </w:r>
          </w:p>
          <w:p w14:paraId="360E7827" w14:textId="06C26D6B" w:rsidR="005F041B" w:rsidRPr="003805E4" w:rsidRDefault="005F041B" w:rsidP="00242016">
            <w:pPr>
              <w:pStyle w:val="TableNumber"/>
              <w:numPr>
                <w:ilvl w:val="0"/>
                <w:numId w:val="24"/>
              </w:numPr>
            </w:pPr>
            <w:r w:rsidRPr="003805E4">
              <w:t>Downloads</w:t>
            </w:r>
            <w:r>
              <w:t xml:space="preserve"> (date/time, source etc.)</w:t>
            </w:r>
          </w:p>
          <w:p w14:paraId="2D0B5A88" w14:textId="324E90BF" w:rsidR="00334EA6" w:rsidRPr="003805E4" w:rsidRDefault="00334EA6" w:rsidP="00334EA6">
            <w:pPr>
              <w:rPr>
                <w:rFonts w:cs="Arial"/>
              </w:rPr>
            </w:pPr>
          </w:p>
        </w:tc>
        <w:tc>
          <w:tcPr>
            <w:tcW w:w="1081" w:type="dxa"/>
          </w:tcPr>
          <w:p w14:paraId="279CE348" w14:textId="77777777" w:rsidR="00334EA6" w:rsidRPr="003805E4" w:rsidRDefault="00334EA6" w:rsidP="00334EA6">
            <w:pPr>
              <w:jc w:val="center"/>
              <w:rPr>
                <w:rFonts w:cs="Arial"/>
              </w:rPr>
            </w:pPr>
            <w:r>
              <w:rPr>
                <w:rFonts w:cs="Arial"/>
              </w:rPr>
              <w:t>M</w:t>
            </w:r>
          </w:p>
        </w:tc>
      </w:tr>
      <w:tr w:rsidR="00334EA6" w:rsidRPr="003805E4" w14:paraId="6A8F19EB" w14:textId="77777777" w:rsidTr="00C4415C">
        <w:trPr>
          <w:cantSplit/>
        </w:trPr>
        <w:tc>
          <w:tcPr>
            <w:tcW w:w="560" w:type="dxa"/>
          </w:tcPr>
          <w:p w14:paraId="3D9E52E2" w14:textId="77777777" w:rsidR="00334EA6" w:rsidRPr="003805E4" w:rsidRDefault="00334EA6" w:rsidP="00242016">
            <w:pPr>
              <w:pStyle w:val="ListParagraph"/>
              <w:numPr>
                <w:ilvl w:val="0"/>
                <w:numId w:val="23"/>
              </w:numPr>
              <w:contextualSpacing/>
              <w:rPr>
                <w:rFonts w:cs="Arial"/>
              </w:rPr>
            </w:pPr>
          </w:p>
        </w:tc>
        <w:tc>
          <w:tcPr>
            <w:tcW w:w="6975" w:type="dxa"/>
          </w:tcPr>
          <w:p w14:paraId="1EF87571" w14:textId="194BE215" w:rsidR="00334EA6" w:rsidRPr="00523584" w:rsidRDefault="00334EA6" w:rsidP="00334EA6">
            <w:pPr>
              <w:pStyle w:val="TableText"/>
            </w:pPr>
            <w:r w:rsidRPr="005F232C">
              <w:t xml:space="preserve">The </w:t>
            </w:r>
            <w:r w:rsidR="00A760A4">
              <w:t>Supplier</w:t>
            </w:r>
            <w:r w:rsidRPr="005F232C">
              <w:t xml:space="preserve"> must ensure an effective protective monitoring regime is in place at all times and produce sufficient evidence in the form of logs and   other documents to the Authority to confirm this. The </w:t>
            </w:r>
            <w:r w:rsidR="00A760A4">
              <w:t>Supplier</w:t>
            </w:r>
            <w:r w:rsidRPr="005F232C">
              <w:t xml:space="preserve"> should:</w:t>
            </w:r>
          </w:p>
          <w:p w14:paraId="3CBE3DE7" w14:textId="77777777" w:rsidR="00334EA6" w:rsidRDefault="00334EA6" w:rsidP="00242016">
            <w:pPr>
              <w:pStyle w:val="TableNumber"/>
              <w:numPr>
                <w:ilvl w:val="0"/>
                <w:numId w:val="27"/>
              </w:numPr>
            </w:pPr>
            <w:r>
              <w:t>Provide operational security management reports.</w:t>
            </w:r>
          </w:p>
          <w:p w14:paraId="69599631" w14:textId="1F0197EE" w:rsidR="00334EA6" w:rsidRDefault="00334EA6" w:rsidP="00242016">
            <w:pPr>
              <w:pStyle w:val="TableNumber"/>
              <w:numPr>
                <w:ilvl w:val="0"/>
                <w:numId w:val="24"/>
              </w:numPr>
            </w:pPr>
            <w:r>
              <w:t>Engage with the Authority incident management process</w:t>
            </w:r>
            <w:r w:rsidR="005F041B">
              <w:t>.</w:t>
            </w:r>
          </w:p>
          <w:p w14:paraId="2CE3B663" w14:textId="45A673F0" w:rsidR="00334EA6" w:rsidRDefault="00334EA6" w:rsidP="00242016">
            <w:pPr>
              <w:pStyle w:val="TableNumber"/>
              <w:numPr>
                <w:ilvl w:val="0"/>
                <w:numId w:val="24"/>
              </w:numPr>
            </w:pPr>
            <w:r>
              <w:t>Demonstrate the ability to deliver protective monitoring across the supply chain</w:t>
            </w:r>
          </w:p>
          <w:p w14:paraId="7DDE6ADC" w14:textId="2DA0627B" w:rsidR="00334EA6" w:rsidRPr="003805E4" w:rsidRDefault="00C93230" w:rsidP="00242016">
            <w:pPr>
              <w:pStyle w:val="TableNumber"/>
              <w:numPr>
                <w:ilvl w:val="0"/>
                <w:numId w:val="24"/>
              </w:numPr>
            </w:pPr>
            <w:r w:rsidRPr="001B04D5">
              <w:t xml:space="preserve">Incorporate National Cyber Security Centre (NCSC) guidance on how to design a security operations </w:t>
            </w:r>
            <w:proofErr w:type="spellStart"/>
            <w:r w:rsidRPr="001B04D5">
              <w:t>centre</w:t>
            </w:r>
            <w:proofErr w:type="spellEnd"/>
            <w:r w:rsidRPr="001B04D5">
              <w:t xml:space="preserve"> (</w:t>
            </w:r>
            <w:hyperlink r:id="rId9" w:tgtFrame="_blank" w:history="1">
              <w:r w:rsidRPr="001B04D5">
                <w:t>SOC</w:t>
              </w:r>
            </w:hyperlink>
            <w:r w:rsidR="005F041B">
              <w:t>).</w:t>
            </w:r>
          </w:p>
        </w:tc>
        <w:tc>
          <w:tcPr>
            <w:tcW w:w="1081" w:type="dxa"/>
          </w:tcPr>
          <w:p w14:paraId="58B6740E" w14:textId="77777777" w:rsidR="00334EA6" w:rsidRPr="003805E4" w:rsidRDefault="00334EA6" w:rsidP="00334EA6">
            <w:pPr>
              <w:jc w:val="center"/>
              <w:rPr>
                <w:rFonts w:cs="Arial"/>
              </w:rPr>
            </w:pPr>
            <w:r>
              <w:rPr>
                <w:rFonts w:cs="Arial"/>
              </w:rPr>
              <w:t>M</w:t>
            </w:r>
          </w:p>
        </w:tc>
      </w:tr>
      <w:tr w:rsidR="00334EA6" w:rsidRPr="003805E4" w14:paraId="46A107F2" w14:textId="77777777" w:rsidTr="00C4415C">
        <w:trPr>
          <w:cantSplit/>
        </w:trPr>
        <w:tc>
          <w:tcPr>
            <w:tcW w:w="560" w:type="dxa"/>
          </w:tcPr>
          <w:p w14:paraId="0EE24E9A" w14:textId="77777777" w:rsidR="00334EA6" w:rsidRPr="003805E4" w:rsidRDefault="00334EA6" w:rsidP="00242016">
            <w:pPr>
              <w:pStyle w:val="ListParagraph"/>
              <w:numPr>
                <w:ilvl w:val="0"/>
                <w:numId w:val="23"/>
              </w:numPr>
              <w:contextualSpacing/>
              <w:rPr>
                <w:rFonts w:cs="Arial"/>
              </w:rPr>
            </w:pPr>
          </w:p>
        </w:tc>
        <w:tc>
          <w:tcPr>
            <w:tcW w:w="6975" w:type="dxa"/>
          </w:tcPr>
          <w:p w14:paraId="12372EF9" w14:textId="77777777" w:rsidR="00171417" w:rsidRPr="00171417" w:rsidRDefault="00171417" w:rsidP="00171417">
            <w:r w:rsidRPr="00171417">
              <w:t>All Supplier staff which have access to Authority/Buyer data must be willing to undergo security clearances and this will be mandatory for any staff accessing bulk data. As a minimum, all staff must comply with the Baseline Personnel Security Standard.</w:t>
            </w:r>
          </w:p>
          <w:p w14:paraId="1AEE1196" w14:textId="6A11D282" w:rsidR="00334EA6" w:rsidRPr="00171417" w:rsidRDefault="00171417" w:rsidP="00171417">
            <w:r w:rsidRPr="00171417">
              <w:t xml:space="preserve">Supplier staff who will have access to bulk live data (classified as Official Sensitive data) must be willing to undergo an elevated clearance level (SC). Further information on the types of security clearance can be found here: </w:t>
            </w:r>
            <w:hyperlink r:id="rId10">
              <w:r w:rsidRPr="00171417">
                <w:t>https://www.gov.uk/government/publications/hmg-personnel-security-controls</w:t>
              </w:r>
            </w:hyperlink>
          </w:p>
        </w:tc>
        <w:tc>
          <w:tcPr>
            <w:tcW w:w="1081" w:type="dxa"/>
          </w:tcPr>
          <w:p w14:paraId="3A255E57" w14:textId="77777777" w:rsidR="00334EA6" w:rsidRPr="003805E4" w:rsidRDefault="00334EA6" w:rsidP="00334EA6">
            <w:pPr>
              <w:jc w:val="center"/>
              <w:rPr>
                <w:rFonts w:cs="Arial"/>
              </w:rPr>
            </w:pPr>
            <w:r>
              <w:rPr>
                <w:rFonts w:cs="Arial"/>
              </w:rPr>
              <w:t>M</w:t>
            </w:r>
          </w:p>
        </w:tc>
      </w:tr>
      <w:tr w:rsidR="00334EA6" w:rsidRPr="003805E4" w14:paraId="27490F64" w14:textId="77777777" w:rsidTr="00C4415C">
        <w:trPr>
          <w:cantSplit/>
        </w:trPr>
        <w:tc>
          <w:tcPr>
            <w:tcW w:w="560" w:type="dxa"/>
          </w:tcPr>
          <w:p w14:paraId="2ABAAEAD" w14:textId="77777777" w:rsidR="00334EA6" w:rsidRPr="003805E4" w:rsidRDefault="00334EA6" w:rsidP="00242016">
            <w:pPr>
              <w:pStyle w:val="ListParagraph"/>
              <w:numPr>
                <w:ilvl w:val="0"/>
                <w:numId w:val="23"/>
              </w:numPr>
              <w:contextualSpacing/>
              <w:rPr>
                <w:rFonts w:cs="Arial"/>
              </w:rPr>
            </w:pPr>
          </w:p>
        </w:tc>
        <w:tc>
          <w:tcPr>
            <w:tcW w:w="6975" w:type="dxa"/>
          </w:tcPr>
          <w:p w14:paraId="56CBDB91" w14:textId="55C28383" w:rsidR="00334EA6" w:rsidRPr="00171417" w:rsidRDefault="00171417" w:rsidP="00334EA6">
            <w:r w:rsidRPr="00171417">
              <w:t>The supplier shall ensure that no access to system is possible via mobile devices.</w:t>
            </w:r>
          </w:p>
        </w:tc>
        <w:tc>
          <w:tcPr>
            <w:tcW w:w="1081" w:type="dxa"/>
          </w:tcPr>
          <w:p w14:paraId="65B336C5" w14:textId="77777777" w:rsidR="00334EA6" w:rsidRPr="003805E4" w:rsidRDefault="00334EA6" w:rsidP="00334EA6">
            <w:pPr>
              <w:jc w:val="center"/>
              <w:rPr>
                <w:rFonts w:cs="Arial"/>
              </w:rPr>
            </w:pPr>
            <w:r>
              <w:rPr>
                <w:rFonts w:cs="Arial"/>
              </w:rPr>
              <w:t>M</w:t>
            </w:r>
          </w:p>
        </w:tc>
      </w:tr>
      <w:tr w:rsidR="00334EA6" w:rsidRPr="003805E4" w14:paraId="68A9F129" w14:textId="77777777" w:rsidTr="00C4415C">
        <w:trPr>
          <w:cantSplit/>
        </w:trPr>
        <w:tc>
          <w:tcPr>
            <w:tcW w:w="560" w:type="dxa"/>
          </w:tcPr>
          <w:p w14:paraId="38E0316A" w14:textId="77777777" w:rsidR="00334EA6" w:rsidRPr="00FD4A4B" w:rsidRDefault="00334EA6" w:rsidP="00242016">
            <w:pPr>
              <w:pStyle w:val="ListParagraph"/>
              <w:numPr>
                <w:ilvl w:val="0"/>
                <w:numId w:val="23"/>
              </w:numPr>
              <w:contextualSpacing/>
              <w:rPr>
                <w:rFonts w:cs="Arial"/>
              </w:rPr>
            </w:pPr>
          </w:p>
        </w:tc>
        <w:tc>
          <w:tcPr>
            <w:tcW w:w="6975" w:type="dxa"/>
          </w:tcPr>
          <w:p w14:paraId="0BD4914B" w14:textId="42936DFC" w:rsidR="00334EA6" w:rsidRPr="003805E4" w:rsidRDefault="00F645FF" w:rsidP="00334EA6">
            <w:pPr>
              <w:rPr>
                <w:rFonts w:cs="Arial"/>
              </w:rPr>
            </w:pPr>
            <w:r>
              <w:t>Raw data shall be held on fixed systems i.e. not mobile devices, laptops etc.</w:t>
            </w:r>
          </w:p>
        </w:tc>
        <w:tc>
          <w:tcPr>
            <w:tcW w:w="1081" w:type="dxa"/>
          </w:tcPr>
          <w:p w14:paraId="74D69F4B" w14:textId="77777777" w:rsidR="00334EA6" w:rsidRPr="003805E4" w:rsidRDefault="00334EA6" w:rsidP="00334EA6">
            <w:pPr>
              <w:jc w:val="center"/>
              <w:rPr>
                <w:rFonts w:cs="Arial"/>
              </w:rPr>
            </w:pPr>
            <w:r w:rsidRPr="003805E4">
              <w:rPr>
                <w:rFonts w:cs="Arial"/>
              </w:rPr>
              <w:t>M</w:t>
            </w:r>
          </w:p>
        </w:tc>
      </w:tr>
      <w:tr w:rsidR="00334EA6" w:rsidRPr="003805E4" w14:paraId="444DA283" w14:textId="77777777" w:rsidTr="00C4415C">
        <w:trPr>
          <w:cantSplit/>
        </w:trPr>
        <w:tc>
          <w:tcPr>
            <w:tcW w:w="560" w:type="dxa"/>
          </w:tcPr>
          <w:p w14:paraId="5A95A7E8" w14:textId="77777777" w:rsidR="00334EA6" w:rsidRPr="00FD4A4B" w:rsidRDefault="00334EA6" w:rsidP="00242016">
            <w:pPr>
              <w:pStyle w:val="ListParagraph"/>
              <w:numPr>
                <w:ilvl w:val="0"/>
                <w:numId w:val="23"/>
              </w:numPr>
              <w:contextualSpacing/>
              <w:rPr>
                <w:rFonts w:cs="Arial"/>
              </w:rPr>
            </w:pPr>
          </w:p>
        </w:tc>
        <w:tc>
          <w:tcPr>
            <w:tcW w:w="6975" w:type="dxa"/>
          </w:tcPr>
          <w:p w14:paraId="3A574C58" w14:textId="07E56E67" w:rsidR="00334EA6" w:rsidRPr="003805E4" w:rsidRDefault="00334EA6" w:rsidP="00334EA6">
            <w:pPr>
              <w:rPr>
                <w:rFonts w:cs="Arial"/>
              </w:rPr>
            </w:pPr>
            <w:r>
              <w:t>CFDA Members cannot amend other member data sets.</w:t>
            </w:r>
          </w:p>
        </w:tc>
        <w:tc>
          <w:tcPr>
            <w:tcW w:w="1081" w:type="dxa"/>
          </w:tcPr>
          <w:p w14:paraId="4218965F" w14:textId="77777777" w:rsidR="00334EA6" w:rsidRPr="003805E4" w:rsidRDefault="00334EA6" w:rsidP="00334EA6">
            <w:pPr>
              <w:jc w:val="center"/>
              <w:rPr>
                <w:rFonts w:cs="Arial"/>
              </w:rPr>
            </w:pPr>
            <w:r>
              <w:rPr>
                <w:rFonts w:cs="Arial"/>
              </w:rPr>
              <w:t>M</w:t>
            </w:r>
          </w:p>
        </w:tc>
      </w:tr>
      <w:tr w:rsidR="00334EA6" w:rsidRPr="003805E4" w14:paraId="275F62A8" w14:textId="77777777" w:rsidTr="00C4415C">
        <w:trPr>
          <w:cantSplit/>
        </w:trPr>
        <w:tc>
          <w:tcPr>
            <w:tcW w:w="560" w:type="dxa"/>
          </w:tcPr>
          <w:p w14:paraId="716059EC" w14:textId="77777777" w:rsidR="00334EA6" w:rsidRPr="00FD4A4B" w:rsidRDefault="00334EA6" w:rsidP="00242016">
            <w:pPr>
              <w:pStyle w:val="ListParagraph"/>
              <w:numPr>
                <w:ilvl w:val="0"/>
                <w:numId w:val="23"/>
              </w:numPr>
              <w:contextualSpacing/>
              <w:rPr>
                <w:rFonts w:cs="Arial"/>
              </w:rPr>
            </w:pPr>
          </w:p>
        </w:tc>
        <w:tc>
          <w:tcPr>
            <w:tcW w:w="6975" w:type="dxa"/>
          </w:tcPr>
          <w:p w14:paraId="1866A6E0" w14:textId="39FEBF24" w:rsidR="00334EA6" w:rsidRPr="003805E4" w:rsidRDefault="00334EA6" w:rsidP="00334EA6">
            <w:pPr>
              <w:rPr>
                <w:rFonts w:cs="Arial"/>
              </w:rPr>
            </w:pPr>
            <w:r>
              <w:t>Files shall be encrypted at rest and on the move</w:t>
            </w:r>
            <w:r w:rsidR="00171417">
              <w:t xml:space="preserve"> to the appropriate Government standard.</w:t>
            </w:r>
          </w:p>
        </w:tc>
        <w:tc>
          <w:tcPr>
            <w:tcW w:w="1081" w:type="dxa"/>
          </w:tcPr>
          <w:p w14:paraId="351CA7D5" w14:textId="77777777" w:rsidR="00334EA6" w:rsidRPr="003805E4" w:rsidRDefault="00334EA6" w:rsidP="00334EA6">
            <w:pPr>
              <w:jc w:val="center"/>
              <w:rPr>
                <w:rFonts w:cs="Arial"/>
              </w:rPr>
            </w:pPr>
            <w:r>
              <w:rPr>
                <w:rFonts w:cs="Arial"/>
              </w:rPr>
              <w:t>M</w:t>
            </w:r>
          </w:p>
        </w:tc>
      </w:tr>
      <w:tr w:rsidR="00334EA6" w:rsidRPr="003805E4" w14:paraId="066C0EE0" w14:textId="77777777" w:rsidTr="00C4415C">
        <w:trPr>
          <w:cantSplit/>
        </w:trPr>
        <w:tc>
          <w:tcPr>
            <w:tcW w:w="560" w:type="dxa"/>
          </w:tcPr>
          <w:p w14:paraId="77DFFCE3" w14:textId="77777777" w:rsidR="00334EA6" w:rsidRPr="00FD4A4B" w:rsidRDefault="00334EA6" w:rsidP="00242016">
            <w:pPr>
              <w:pStyle w:val="ListParagraph"/>
              <w:numPr>
                <w:ilvl w:val="0"/>
                <w:numId w:val="23"/>
              </w:numPr>
              <w:contextualSpacing/>
              <w:rPr>
                <w:rFonts w:cs="Arial"/>
              </w:rPr>
            </w:pPr>
          </w:p>
        </w:tc>
        <w:tc>
          <w:tcPr>
            <w:tcW w:w="6975" w:type="dxa"/>
          </w:tcPr>
          <w:p w14:paraId="66F57CE2" w14:textId="31FA2A50" w:rsidR="00334EA6" w:rsidRDefault="00334EA6" w:rsidP="00334EA6">
            <w:pPr>
              <w:rPr>
                <w:rFonts w:cs="Arial"/>
              </w:rPr>
            </w:pPr>
            <w:r>
              <w:t>Public cloud hosting shall not be used for the CFDA Repository.</w:t>
            </w:r>
          </w:p>
        </w:tc>
        <w:tc>
          <w:tcPr>
            <w:tcW w:w="1081" w:type="dxa"/>
          </w:tcPr>
          <w:p w14:paraId="72C4E402" w14:textId="1364F768" w:rsidR="00334EA6" w:rsidRDefault="007943D8" w:rsidP="00334EA6">
            <w:pPr>
              <w:jc w:val="center"/>
              <w:rPr>
                <w:rFonts w:cs="Arial"/>
              </w:rPr>
            </w:pPr>
            <w:r>
              <w:rPr>
                <w:rFonts w:cs="Arial"/>
              </w:rPr>
              <w:t>M</w:t>
            </w:r>
          </w:p>
        </w:tc>
      </w:tr>
    </w:tbl>
    <w:p w14:paraId="11589D6D" w14:textId="77777777" w:rsidR="00C4415C" w:rsidRDefault="00C4415C" w:rsidP="005F041B">
      <w:pPr>
        <w:jc w:val="right"/>
      </w:pPr>
    </w:p>
    <w:p w14:paraId="0F9C22A3" w14:textId="7D74E4B9" w:rsidR="008B3C71" w:rsidRPr="00BA37DF" w:rsidRDefault="0036136C" w:rsidP="008B3C71">
      <w:pPr>
        <w:pStyle w:val="Heading2"/>
        <w:keepNext/>
        <w:keepLines/>
        <w:tabs>
          <w:tab w:val="clear" w:pos="720"/>
        </w:tabs>
        <w:adjustRightInd/>
        <w:spacing w:line="259" w:lineRule="auto"/>
        <w:ind w:left="578" w:hanging="578"/>
        <w:jc w:val="left"/>
      </w:pPr>
      <w:r>
        <w:t>Member</w:t>
      </w:r>
      <w:r w:rsidR="008B3C71" w:rsidRPr="00BA37DF">
        <w:t xml:space="preserve"> Functions</w:t>
      </w:r>
      <w:r w:rsidR="008B3C71">
        <w:t xml:space="preserve"> (i.e. not a requirement of the CFDA Repository </w:t>
      </w:r>
      <w:r w:rsidR="00A760A4">
        <w:t>Supplier</w:t>
      </w:r>
      <w:r w:rsidR="005F041B">
        <w:t xml:space="preserve"> and included only for completeness</w:t>
      </w:r>
      <w:r w:rsidR="008B3C71">
        <w:t>)</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60"/>
        <w:gridCol w:w="6975"/>
        <w:gridCol w:w="1081"/>
      </w:tblGrid>
      <w:tr w:rsidR="008B3C71" w:rsidRPr="003805E4" w14:paraId="76C4617F" w14:textId="77777777" w:rsidTr="00D56F2F">
        <w:trPr>
          <w:cantSplit/>
          <w:tblHeader/>
        </w:trPr>
        <w:tc>
          <w:tcPr>
            <w:tcW w:w="560" w:type="dxa"/>
          </w:tcPr>
          <w:p w14:paraId="73E977FE" w14:textId="77777777" w:rsidR="008B3C71" w:rsidRPr="003805E4" w:rsidRDefault="008B3C71" w:rsidP="00D56F2F">
            <w:pPr>
              <w:rPr>
                <w:rFonts w:cs="Arial"/>
                <w:b/>
              </w:rPr>
            </w:pPr>
            <w:r w:rsidRPr="003805E4">
              <w:rPr>
                <w:rFonts w:cs="Arial"/>
                <w:b/>
              </w:rPr>
              <w:t>No</w:t>
            </w:r>
          </w:p>
        </w:tc>
        <w:tc>
          <w:tcPr>
            <w:tcW w:w="6975" w:type="dxa"/>
          </w:tcPr>
          <w:p w14:paraId="5EAD2EA0" w14:textId="77777777" w:rsidR="008B3C71" w:rsidRPr="003805E4" w:rsidRDefault="008B3C71" w:rsidP="00D56F2F">
            <w:pPr>
              <w:rPr>
                <w:rFonts w:cs="Arial"/>
                <w:b/>
              </w:rPr>
            </w:pPr>
            <w:r w:rsidRPr="003805E4">
              <w:rPr>
                <w:rFonts w:cs="Arial"/>
                <w:b/>
              </w:rPr>
              <w:t>Requirement</w:t>
            </w:r>
          </w:p>
        </w:tc>
        <w:tc>
          <w:tcPr>
            <w:tcW w:w="1081" w:type="dxa"/>
          </w:tcPr>
          <w:p w14:paraId="34E2AAEF" w14:textId="77777777" w:rsidR="008B3C71" w:rsidRPr="003805E4" w:rsidRDefault="008B3C71" w:rsidP="00D56F2F">
            <w:pPr>
              <w:jc w:val="center"/>
              <w:rPr>
                <w:rFonts w:cs="Arial"/>
                <w:b/>
              </w:rPr>
            </w:pPr>
            <w:r w:rsidRPr="003805E4">
              <w:rPr>
                <w:rFonts w:cs="Arial"/>
                <w:b/>
              </w:rPr>
              <w:t>Priority</w:t>
            </w:r>
          </w:p>
        </w:tc>
      </w:tr>
      <w:tr w:rsidR="008B3C71" w:rsidRPr="003805E4" w14:paraId="0B527B67" w14:textId="77777777" w:rsidTr="00D56F2F">
        <w:trPr>
          <w:cantSplit/>
        </w:trPr>
        <w:tc>
          <w:tcPr>
            <w:tcW w:w="560" w:type="dxa"/>
          </w:tcPr>
          <w:p w14:paraId="66DD3AB2" w14:textId="77777777" w:rsidR="008B3C71" w:rsidRPr="003805E4" w:rsidRDefault="008B3C71" w:rsidP="00242016">
            <w:pPr>
              <w:pStyle w:val="ListParagraph"/>
              <w:numPr>
                <w:ilvl w:val="0"/>
                <w:numId w:val="23"/>
              </w:numPr>
              <w:contextualSpacing/>
              <w:rPr>
                <w:rFonts w:cs="Arial"/>
              </w:rPr>
            </w:pPr>
          </w:p>
        </w:tc>
        <w:tc>
          <w:tcPr>
            <w:tcW w:w="6975" w:type="dxa"/>
          </w:tcPr>
          <w:p w14:paraId="5021BEB7" w14:textId="259AEA5C" w:rsidR="008B3C71" w:rsidRPr="003805E4" w:rsidRDefault="0036136C" w:rsidP="00D56F2F">
            <w:pPr>
              <w:rPr>
                <w:rFonts w:cs="Arial"/>
              </w:rPr>
            </w:pPr>
            <w:r>
              <w:rPr>
                <w:rFonts w:cs="Arial"/>
              </w:rPr>
              <w:t>Member</w:t>
            </w:r>
            <w:r w:rsidR="008B3C71">
              <w:rPr>
                <w:rFonts w:cs="Arial"/>
              </w:rPr>
              <w:t>s to carry out the necessary data preparation prior to upload.</w:t>
            </w:r>
          </w:p>
        </w:tc>
        <w:tc>
          <w:tcPr>
            <w:tcW w:w="1081" w:type="dxa"/>
          </w:tcPr>
          <w:p w14:paraId="399E5C94" w14:textId="77777777" w:rsidR="008B3C71" w:rsidRPr="003805E4" w:rsidRDefault="008B3C71" w:rsidP="00D56F2F">
            <w:pPr>
              <w:jc w:val="center"/>
              <w:rPr>
                <w:rFonts w:cs="Arial"/>
              </w:rPr>
            </w:pPr>
            <w:r>
              <w:rPr>
                <w:rFonts w:cs="Arial"/>
              </w:rPr>
              <w:t>M</w:t>
            </w:r>
          </w:p>
        </w:tc>
      </w:tr>
      <w:tr w:rsidR="008B3C71" w:rsidRPr="003805E4" w14:paraId="05626B7E" w14:textId="77777777" w:rsidTr="00D56F2F">
        <w:trPr>
          <w:cantSplit/>
        </w:trPr>
        <w:tc>
          <w:tcPr>
            <w:tcW w:w="560" w:type="dxa"/>
          </w:tcPr>
          <w:p w14:paraId="7654C587" w14:textId="77777777" w:rsidR="008B3C71" w:rsidRPr="003805E4" w:rsidRDefault="008B3C71" w:rsidP="00242016">
            <w:pPr>
              <w:pStyle w:val="ListParagraph"/>
              <w:numPr>
                <w:ilvl w:val="0"/>
                <w:numId w:val="23"/>
              </w:numPr>
              <w:contextualSpacing/>
              <w:rPr>
                <w:rFonts w:cs="Arial"/>
              </w:rPr>
            </w:pPr>
          </w:p>
        </w:tc>
        <w:tc>
          <w:tcPr>
            <w:tcW w:w="6975" w:type="dxa"/>
          </w:tcPr>
          <w:p w14:paraId="2D2AC534" w14:textId="431D9394" w:rsidR="008B3C71" w:rsidRPr="003805E4" w:rsidRDefault="008B3C71" w:rsidP="00D56F2F">
            <w:pPr>
              <w:rPr>
                <w:rFonts w:cs="Arial"/>
              </w:rPr>
            </w:pPr>
            <w:r w:rsidRPr="001E5EF1">
              <w:rPr>
                <w:rFonts w:cs="Arial"/>
              </w:rPr>
              <w:t>Data to be transferred using flat files</w:t>
            </w:r>
            <w:r>
              <w:rPr>
                <w:rFonts w:cs="Arial"/>
              </w:rPr>
              <w:t xml:space="preserve">; the type should be open to accommodate </w:t>
            </w:r>
            <w:r w:rsidR="0036136C">
              <w:rPr>
                <w:rFonts w:cs="Arial"/>
              </w:rPr>
              <w:t>member</w:t>
            </w:r>
            <w:r>
              <w:rPr>
                <w:rFonts w:cs="Arial"/>
              </w:rPr>
              <w:t xml:space="preserve"> wishes.</w:t>
            </w:r>
          </w:p>
        </w:tc>
        <w:tc>
          <w:tcPr>
            <w:tcW w:w="1081" w:type="dxa"/>
          </w:tcPr>
          <w:p w14:paraId="5CDC2ACA" w14:textId="77777777" w:rsidR="008B3C71" w:rsidRPr="003805E4" w:rsidRDefault="008B3C71" w:rsidP="00D56F2F">
            <w:pPr>
              <w:jc w:val="center"/>
              <w:rPr>
                <w:rFonts w:cs="Arial"/>
              </w:rPr>
            </w:pPr>
            <w:r>
              <w:rPr>
                <w:rFonts w:cs="Arial"/>
              </w:rPr>
              <w:t>M</w:t>
            </w:r>
          </w:p>
        </w:tc>
      </w:tr>
      <w:tr w:rsidR="008B3C71" w:rsidRPr="003805E4" w14:paraId="4276DEC9" w14:textId="77777777" w:rsidTr="00D56F2F">
        <w:trPr>
          <w:cantSplit/>
        </w:trPr>
        <w:tc>
          <w:tcPr>
            <w:tcW w:w="560" w:type="dxa"/>
          </w:tcPr>
          <w:p w14:paraId="2BC267AA" w14:textId="77777777" w:rsidR="008B3C71" w:rsidRPr="003805E4" w:rsidRDefault="008B3C71" w:rsidP="00242016">
            <w:pPr>
              <w:pStyle w:val="ListParagraph"/>
              <w:numPr>
                <w:ilvl w:val="0"/>
                <w:numId w:val="23"/>
              </w:numPr>
              <w:contextualSpacing/>
              <w:rPr>
                <w:rFonts w:cs="Arial"/>
              </w:rPr>
            </w:pPr>
          </w:p>
        </w:tc>
        <w:tc>
          <w:tcPr>
            <w:tcW w:w="6975" w:type="dxa"/>
          </w:tcPr>
          <w:p w14:paraId="5C0FA2A6" w14:textId="77777777" w:rsidR="008B3C71" w:rsidRPr="003805E4" w:rsidRDefault="008B3C71" w:rsidP="00D56F2F">
            <w:pPr>
              <w:rPr>
                <w:rFonts w:cs="Arial"/>
              </w:rPr>
            </w:pPr>
            <w:r w:rsidRPr="001E5EF1">
              <w:rPr>
                <w:rFonts w:cs="Arial"/>
              </w:rPr>
              <w:t>Header and footer file</w:t>
            </w:r>
            <w:r>
              <w:rPr>
                <w:rFonts w:cs="Arial"/>
              </w:rPr>
              <w:t xml:space="preserve"> </w:t>
            </w:r>
            <w:r w:rsidRPr="001E5EF1">
              <w:rPr>
                <w:rFonts w:cs="Arial"/>
              </w:rPr>
              <w:t xml:space="preserve">details to be generated to include </w:t>
            </w:r>
            <w:r>
              <w:rPr>
                <w:rFonts w:cs="Arial"/>
              </w:rPr>
              <w:t>details of file.</w:t>
            </w:r>
          </w:p>
        </w:tc>
        <w:tc>
          <w:tcPr>
            <w:tcW w:w="1081" w:type="dxa"/>
          </w:tcPr>
          <w:p w14:paraId="5EDF957E" w14:textId="77777777" w:rsidR="008B3C71" w:rsidRPr="003805E4" w:rsidRDefault="008B3C71" w:rsidP="00D56F2F">
            <w:pPr>
              <w:jc w:val="center"/>
              <w:rPr>
                <w:rFonts w:cs="Arial"/>
              </w:rPr>
            </w:pPr>
            <w:r>
              <w:rPr>
                <w:rFonts w:cs="Arial"/>
              </w:rPr>
              <w:t>M</w:t>
            </w:r>
          </w:p>
        </w:tc>
      </w:tr>
      <w:tr w:rsidR="008B3C71" w:rsidRPr="003805E4" w14:paraId="1079FBA7" w14:textId="77777777" w:rsidTr="00D56F2F">
        <w:trPr>
          <w:cantSplit/>
        </w:trPr>
        <w:tc>
          <w:tcPr>
            <w:tcW w:w="560" w:type="dxa"/>
          </w:tcPr>
          <w:p w14:paraId="654DA0F4" w14:textId="77777777" w:rsidR="008B3C71" w:rsidRPr="00FD4A4B" w:rsidRDefault="008B3C71" w:rsidP="00242016">
            <w:pPr>
              <w:pStyle w:val="ListParagraph"/>
              <w:numPr>
                <w:ilvl w:val="0"/>
                <w:numId w:val="23"/>
              </w:numPr>
              <w:contextualSpacing/>
              <w:rPr>
                <w:rFonts w:cs="Arial"/>
              </w:rPr>
            </w:pPr>
          </w:p>
        </w:tc>
        <w:tc>
          <w:tcPr>
            <w:tcW w:w="6975" w:type="dxa"/>
          </w:tcPr>
          <w:p w14:paraId="6E24ABF8" w14:textId="60B36B88" w:rsidR="008B3C71" w:rsidRPr="003805E4" w:rsidRDefault="008B3C71" w:rsidP="00D56F2F">
            <w:pPr>
              <w:rPr>
                <w:rFonts w:cs="Arial"/>
              </w:rPr>
            </w:pPr>
            <w:r w:rsidRPr="001E5EF1">
              <w:rPr>
                <w:rFonts w:cs="Arial"/>
              </w:rPr>
              <w:t>Validation at the point of the upload</w:t>
            </w:r>
            <w:r>
              <w:rPr>
                <w:rFonts w:cs="Arial"/>
              </w:rPr>
              <w:t>/download</w:t>
            </w:r>
            <w:r w:rsidRPr="001E5EF1">
              <w:rPr>
                <w:rFonts w:cs="Arial"/>
              </w:rPr>
              <w:t xml:space="preserve"> </w:t>
            </w:r>
            <w:r w:rsidR="00334EA6">
              <w:rPr>
                <w:rFonts w:cs="Arial"/>
              </w:rPr>
              <w:t xml:space="preserve">will be </w:t>
            </w:r>
            <w:r w:rsidRPr="001E5EF1">
              <w:rPr>
                <w:rFonts w:cs="Arial"/>
              </w:rPr>
              <w:t xml:space="preserve">carried out by the </w:t>
            </w:r>
            <w:r w:rsidR="0036136C">
              <w:rPr>
                <w:rFonts w:cs="Arial"/>
              </w:rPr>
              <w:t>Member</w:t>
            </w:r>
            <w:r>
              <w:rPr>
                <w:rFonts w:cs="Arial"/>
              </w:rPr>
              <w:t>.</w:t>
            </w:r>
          </w:p>
        </w:tc>
        <w:tc>
          <w:tcPr>
            <w:tcW w:w="1081" w:type="dxa"/>
          </w:tcPr>
          <w:p w14:paraId="0FE6488D" w14:textId="77777777" w:rsidR="008B3C71" w:rsidRPr="003805E4" w:rsidRDefault="008B3C71" w:rsidP="00D56F2F">
            <w:pPr>
              <w:jc w:val="center"/>
              <w:rPr>
                <w:rFonts w:cs="Arial"/>
              </w:rPr>
            </w:pPr>
            <w:r w:rsidRPr="003805E4">
              <w:rPr>
                <w:rFonts w:cs="Arial"/>
              </w:rPr>
              <w:t>M</w:t>
            </w:r>
          </w:p>
        </w:tc>
      </w:tr>
      <w:tr w:rsidR="00F645FF" w:rsidRPr="003805E4" w14:paraId="1A74B652" w14:textId="77777777" w:rsidTr="00D56F2F">
        <w:trPr>
          <w:cantSplit/>
        </w:trPr>
        <w:tc>
          <w:tcPr>
            <w:tcW w:w="560" w:type="dxa"/>
          </w:tcPr>
          <w:p w14:paraId="4F1516D5" w14:textId="77777777" w:rsidR="00F645FF" w:rsidRPr="00FD4A4B" w:rsidRDefault="00F645FF" w:rsidP="00242016">
            <w:pPr>
              <w:pStyle w:val="ListParagraph"/>
              <w:numPr>
                <w:ilvl w:val="0"/>
                <w:numId w:val="23"/>
              </w:numPr>
              <w:contextualSpacing/>
              <w:rPr>
                <w:rFonts w:cs="Arial"/>
              </w:rPr>
            </w:pPr>
          </w:p>
        </w:tc>
        <w:tc>
          <w:tcPr>
            <w:tcW w:w="6975" w:type="dxa"/>
          </w:tcPr>
          <w:p w14:paraId="7719D8DF" w14:textId="60F68F84" w:rsidR="00F645FF" w:rsidRPr="001E5EF1" w:rsidRDefault="00F645FF" w:rsidP="00D56F2F">
            <w:pPr>
              <w:rPr>
                <w:rFonts w:cs="Arial"/>
              </w:rPr>
            </w:pPr>
            <w:r>
              <w:t>If laptops are used to hold CFDA data then they shall be encrypted.</w:t>
            </w:r>
          </w:p>
        </w:tc>
        <w:tc>
          <w:tcPr>
            <w:tcW w:w="1081" w:type="dxa"/>
          </w:tcPr>
          <w:p w14:paraId="35A1C7A4" w14:textId="69AE9C86" w:rsidR="00F645FF" w:rsidRPr="003805E4" w:rsidRDefault="00F645FF" w:rsidP="00D56F2F">
            <w:pPr>
              <w:jc w:val="center"/>
              <w:rPr>
                <w:rFonts w:cs="Arial"/>
              </w:rPr>
            </w:pPr>
            <w:r>
              <w:rPr>
                <w:rFonts w:cs="Arial"/>
              </w:rPr>
              <w:t>M</w:t>
            </w:r>
          </w:p>
        </w:tc>
      </w:tr>
    </w:tbl>
    <w:p w14:paraId="32B7F283" w14:textId="77777777" w:rsidR="008B3C71" w:rsidRDefault="008B3C71" w:rsidP="00C4415C"/>
    <w:p w14:paraId="55DF51F2" w14:textId="77777777" w:rsidR="008B3C71" w:rsidRDefault="008B3C71" w:rsidP="00C4415C"/>
    <w:p w14:paraId="7357A041" w14:textId="77777777" w:rsidR="00671798" w:rsidRDefault="00FE18AC">
      <w:pPr>
        <w:pStyle w:val="Heading1"/>
        <w:spacing w:after="120"/>
      </w:pPr>
      <w:bookmarkStart w:id="22" w:name="_Toc368573032"/>
      <w:bookmarkStart w:id="23" w:name="_Toc444518872"/>
      <w:r>
        <w:t>key milestones</w:t>
      </w:r>
      <w:bookmarkEnd w:id="22"/>
      <w:bookmarkEnd w:id="23"/>
    </w:p>
    <w:p w14:paraId="03ABDAAC" w14:textId="77777777" w:rsidR="00FE18AC" w:rsidRPr="00CA3806" w:rsidRDefault="003438D3" w:rsidP="008F3470">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sidRPr="003438D3">
        <w:rPr>
          <w:rFonts w:cs="Arial"/>
          <w:szCs w:val="22"/>
        </w:rPr>
        <w:t>The Potential Provider should note the following pr</w:t>
      </w:r>
      <w:r w:rsidR="00A57B4E">
        <w:rPr>
          <w:rFonts w:cs="Arial"/>
          <w:szCs w:val="22"/>
        </w:rPr>
        <w:t>oject milestones that the Authority</w:t>
      </w:r>
      <w:r w:rsidRPr="003438D3">
        <w:rPr>
          <w:rFonts w:cs="Arial"/>
          <w:szCs w:val="22"/>
        </w:rPr>
        <w:t xml:space="preserve"> will measure the quality of delivery against:</w:t>
      </w:r>
    </w:p>
    <w:tbl>
      <w:tblPr>
        <w:tblStyle w:val="TableGrid"/>
        <w:tblW w:w="5000" w:type="pct"/>
        <w:tblLook w:val="04A0" w:firstRow="1" w:lastRow="0" w:firstColumn="1" w:lastColumn="0" w:noHBand="0" w:noVBand="1"/>
      </w:tblPr>
      <w:tblGrid>
        <w:gridCol w:w="1620"/>
        <w:gridCol w:w="4473"/>
        <w:gridCol w:w="2926"/>
      </w:tblGrid>
      <w:tr w:rsidR="00FE18AC" w:rsidRPr="00297CF4" w14:paraId="6D6C7807" w14:textId="77777777" w:rsidTr="00106F24">
        <w:tc>
          <w:tcPr>
            <w:tcW w:w="898" w:type="pct"/>
            <w:shd w:val="clear" w:color="auto" w:fill="C6D9F1" w:themeFill="text2" w:themeFillTint="33"/>
            <w:vAlign w:val="center"/>
          </w:tcPr>
          <w:p w14:paraId="72F0B21A" w14:textId="77777777" w:rsidR="00671798" w:rsidRPr="00C4415C" w:rsidRDefault="00FE18AC">
            <w:pPr>
              <w:pStyle w:val="Heading3"/>
              <w:numPr>
                <w:ilvl w:val="0"/>
                <w:numId w:val="0"/>
              </w:numPr>
              <w:spacing w:after="120"/>
              <w:jc w:val="center"/>
              <w:outlineLvl w:val="2"/>
              <w:rPr>
                <w:b/>
                <w:szCs w:val="24"/>
              </w:rPr>
            </w:pPr>
            <w:r w:rsidRPr="00C4415C">
              <w:rPr>
                <w:b/>
              </w:rPr>
              <w:lastRenderedPageBreak/>
              <w:t>Milestone</w:t>
            </w:r>
          </w:p>
        </w:tc>
        <w:tc>
          <w:tcPr>
            <w:tcW w:w="2480" w:type="pct"/>
            <w:shd w:val="clear" w:color="auto" w:fill="C6D9F1" w:themeFill="text2" w:themeFillTint="33"/>
            <w:vAlign w:val="center"/>
          </w:tcPr>
          <w:p w14:paraId="16ED8370" w14:textId="77777777" w:rsidR="00671798" w:rsidRPr="00C4415C" w:rsidRDefault="00FE18AC">
            <w:pPr>
              <w:pStyle w:val="Heading3"/>
              <w:numPr>
                <w:ilvl w:val="0"/>
                <w:numId w:val="0"/>
              </w:numPr>
              <w:spacing w:after="120"/>
              <w:jc w:val="center"/>
              <w:outlineLvl w:val="2"/>
              <w:rPr>
                <w:b/>
                <w:szCs w:val="24"/>
              </w:rPr>
            </w:pPr>
            <w:r w:rsidRPr="00C4415C">
              <w:rPr>
                <w:b/>
              </w:rPr>
              <w:t>Description</w:t>
            </w:r>
          </w:p>
        </w:tc>
        <w:tc>
          <w:tcPr>
            <w:tcW w:w="1622" w:type="pct"/>
            <w:shd w:val="clear" w:color="auto" w:fill="C6D9F1" w:themeFill="text2" w:themeFillTint="33"/>
            <w:vAlign w:val="center"/>
          </w:tcPr>
          <w:p w14:paraId="30D81A0F" w14:textId="77777777" w:rsidR="00671798" w:rsidRPr="00C4415C" w:rsidRDefault="00FE18AC">
            <w:pPr>
              <w:pStyle w:val="Heading3"/>
              <w:numPr>
                <w:ilvl w:val="0"/>
                <w:numId w:val="0"/>
              </w:numPr>
              <w:spacing w:after="120"/>
              <w:jc w:val="center"/>
              <w:outlineLvl w:val="2"/>
              <w:rPr>
                <w:b/>
                <w:szCs w:val="24"/>
              </w:rPr>
            </w:pPr>
            <w:r w:rsidRPr="00C4415C">
              <w:rPr>
                <w:b/>
              </w:rPr>
              <w:t>Timeframe</w:t>
            </w:r>
          </w:p>
        </w:tc>
      </w:tr>
      <w:tr w:rsidR="00FE18AC" w:rsidRPr="00297CF4" w14:paraId="670DE00A" w14:textId="77777777" w:rsidTr="00E245A6">
        <w:tc>
          <w:tcPr>
            <w:tcW w:w="898" w:type="pct"/>
            <w:vAlign w:val="center"/>
          </w:tcPr>
          <w:p w14:paraId="7545A8CA" w14:textId="77777777" w:rsidR="00671798" w:rsidRPr="00C4415C" w:rsidRDefault="00FE18AC">
            <w:pPr>
              <w:pStyle w:val="Heading3"/>
              <w:numPr>
                <w:ilvl w:val="0"/>
                <w:numId w:val="0"/>
              </w:numPr>
              <w:spacing w:after="120"/>
              <w:jc w:val="center"/>
              <w:outlineLvl w:val="2"/>
              <w:rPr>
                <w:szCs w:val="24"/>
              </w:rPr>
            </w:pPr>
            <w:r w:rsidRPr="00C4415C">
              <w:t>1</w:t>
            </w:r>
          </w:p>
        </w:tc>
        <w:tc>
          <w:tcPr>
            <w:tcW w:w="2480" w:type="pct"/>
            <w:vAlign w:val="center"/>
          </w:tcPr>
          <w:p w14:paraId="0C693E27" w14:textId="741AA1B5" w:rsidR="00671798" w:rsidRPr="00C4415C" w:rsidRDefault="00171417" w:rsidP="00CD38F0">
            <w:pPr>
              <w:pStyle w:val="Heading3"/>
              <w:numPr>
                <w:ilvl w:val="0"/>
                <w:numId w:val="0"/>
              </w:numPr>
              <w:spacing w:after="120"/>
              <w:jc w:val="left"/>
              <w:outlineLvl w:val="2"/>
              <w:rPr>
                <w:szCs w:val="24"/>
              </w:rPr>
            </w:pPr>
            <w:r w:rsidRPr="00171417">
              <w:rPr>
                <w:szCs w:val="24"/>
              </w:rPr>
              <w:t xml:space="preserve">Detailed Plan for Delivery based on the draft plan submitted as part of the procurement process, and reviewed with the Authority at contract start. The Draft Plan and the Detailed Plan should include the final TOM, </w:t>
            </w:r>
            <w:proofErr w:type="spellStart"/>
            <w:r w:rsidRPr="00171417">
              <w:rPr>
                <w:szCs w:val="24"/>
              </w:rPr>
              <w:t>dependancies</w:t>
            </w:r>
            <w:proofErr w:type="spellEnd"/>
            <w:r w:rsidRPr="00171417">
              <w:rPr>
                <w:szCs w:val="24"/>
              </w:rPr>
              <w:t xml:space="preserve"> and interfaces with the Authority and other customers</w:t>
            </w:r>
          </w:p>
        </w:tc>
        <w:tc>
          <w:tcPr>
            <w:tcW w:w="1622" w:type="pct"/>
            <w:vAlign w:val="center"/>
          </w:tcPr>
          <w:p w14:paraId="3C821FE1" w14:textId="5AFF7391" w:rsidR="00671798" w:rsidRPr="00C4415C" w:rsidRDefault="00FE18AC">
            <w:pPr>
              <w:pStyle w:val="Heading3"/>
              <w:numPr>
                <w:ilvl w:val="0"/>
                <w:numId w:val="0"/>
              </w:numPr>
              <w:spacing w:after="120"/>
              <w:jc w:val="center"/>
              <w:outlineLvl w:val="2"/>
              <w:rPr>
                <w:szCs w:val="24"/>
              </w:rPr>
            </w:pPr>
            <w:r w:rsidRPr="00C4415C">
              <w:t xml:space="preserve">Within week </w:t>
            </w:r>
            <w:r w:rsidR="005F041B">
              <w:t>1</w:t>
            </w:r>
            <w:r w:rsidRPr="00C4415C">
              <w:t xml:space="preserve"> of Contract Award </w:t>
            </w:r>
          </w:p>
        </w:tc>
      </w:tr>
      <w:tr w:rsidR="00FE18AC" w:rsidRPr="00297CF4" w14:paraId="05C71EFC" w14:textId="77777777" w:rsidTr="00E245A6">
        <w:tc>
          <w:tcPr>
            <w:tcW w:w="898" w:type="pct"/>
            <w:vAlign w:val="center"/>
          </w:tcPr>
          <w:p w14:paraId="1A58CFA7" w14:textId="77777777" w:rsidR="00671798" w:rsidRPr="00C4415C" w:rsidRDefault="00FE18AC">
            <w:pPr>
              <w:pStyle w:val="Heading3"/>
              <w:numPr>
                <w:ilvl w:val="0"/>
                <w:numId w:val="0"/>
              </w:numPr>
              <w:spacing w:after="120"/>
              <w:jc w:val="center"/>
              <w:outlineLvl w:val="2"/>
              <w:rPr>
                <w:szCs w:val="24"/>
              </w:rPr>
            </w:pPr>
            <w:r w:rsidRPr="00C4415C">
              <w:t>2</w:t>
            </w:r>
          </w:p>
        </w:tc>
        <w:tc>
          <w:tcPr>
            <w:tcW w:w="2480" w:type="pct"/>
            <w:vAlign w:val="center"/>
          </w:tcPr>
          <w:p w14:paraId="5C230259" w14:textId="77777777" w:rsidR="00671798" w:rsidRPr="00C4415C" w:rsidRDefault="00C4415C">
            <w:pPr>
              <w:pStyle w:val="Heading3"/>
              <w:numPr>
                <w:ilvl w:val="0"/>
                <w:numId w:val="0"/>
              </w:numPr>
              <w:spacing w:after="120"/>
              <w:jc w:val="left"/>
              <w:outlineLvl w:val="2"/>
              <w:rPr>
                <w:szCs w:val="24"/>
              </w:rPr>
            </w:pPr>
            <w:r>
              <w:rPr>
                <w:szCs w:val="24"/>
              </w:rPr>
              <w:t>Detailed Requirements</w:t>
            </w:r>
          </w:p>
        </w:tc>
        <w:tc>
          <w:tcPr>
            <w:tcW w:w="1622" w:type="pct"/>
            <w:vAlign w:val="center"/>
          </w:tcPr>
          <w:p w14:paraId="461DF184" w14:textId="71384309" w:rsidR="00671798" w:rsidRPr="00C4415C" w:rsidRDefault="00C4415C">
            <w:pPr>
              <w:pStyle w:val="Heading3"/>
              <w:numPr>
                <w:ilvl w:val="0"/>
                <w:numId w:val="0"/>
              </w:numPr>
              <w:spacing w:after="120"/>
              <w:jc w:val="center"/>
              <w:outlineLvl w:val="2"/>
              <w:rPr>
                <w:szCs w:val="24"/>
              </w:rPr>
            </w:pPr>
            <w:r>
              <w:t xml:space="preserve">Within week </w:t>
            </w:r>
            <w:r w:rsidR="005F041B">
              <w:t>2</w:t>
            </w:r>
            <w:r w:rsidRPr="00C4415C">
              <w:t xml:space="preserve"> of Contract Award</w:t>
            </w:r>
          </w:p>
        </w:tc>
      </w:tr>
      <w:tr w:rsidR="00FE18AC" w:rsidRPr="00297CF4" w14:paraId="4C13AC92" w14:textId="77777777" w:rsidTr="00E245A6">
        <w:tc>
          <w:tcPr>
            <w:tcW w:w="898" w:type="pct"/>
            <w:vAlign w:val="center"/>
          </w:tcPr>
          <w:p w14:paraId="42FC6EB5" w14:textId="77777777" w:rsidR="00671798" w:rsidRPr="00C4415C" w:rsidRDefault="00FE18AC">
            <w:pPr>
              <w:pStyle w:val="Heading3"/>
              <w:numPr>
                <w:ilvl w:val="0"/>
                <w:numId w:val="0"/>
              </w:numPr>
              <w:spacing w:after="120"/>
              <w:jc w:val="center"/>
              <w:outlineLvl w:val="2"/>
              <w:rPr>
                <w:szCs w:val="24"/>
              </w:rPr>
            </w:pPr>
            <w:r w:rsidRPr="00171417">
              <w:rPr>
                <w:szCs w:val="24"/>
              </w:rPr>
              <w:t>3</w:t>
            </w:r>
          </w:p>
        </w:tc>
        <w:tc>
          <w:tcPr>
            <w:tcW w:w="2480" w:type="pct"/>
            <w:vAlign w:val="center"/>
          </w:tcPr>
          <w:p w14:paraId="692FE254" w14:textId="5B770E08" w:rsidR="00671798" w:rsidRPr="00C4415C" w:rsidRDefault="00171417">
            <w:pPr>
              <w:pStyle w:val="Heading3"/>
              <w:numPr>
                <w:ilvl w:val="0"/>
                <w:numId w:val="0"/>
              </w:numPr>
              <w:spacing w:after="120"/>
              <w:jc w:val="left"/>
              <w:outlineLvl w:val="2"/>
              <w:rPr>
                <w:szCs w:val="24"/>
              </w:rPr>
            </w:pPr>
            <w:r w:rsidRPr="00171417">
              <w:rPr>
                <w:szCs w:val="24"/>
              </w:rPr>
              <w:t xml:space="preserve">Draft Detailed Solution Design provided in Week 3 for discussion with the Authority and Agreement by Week 4  </w:t>
            </w:r>
          </w:p>
        </w:tc>
        <w:tc>
          <w:tcPr>
            <w:tcW w:w="1622" w:type="pct"/>
            <w:vAlign w:val="center"/>
          </w:tcPr>
          <w:p w14:paraId="6D0AA2C7" w14:textId="7D150F3C" w:rsidR="00671798" w:rsidRPr="00C4415C" w:rsidRDefault="00C4415C" w:rsidP="00C4415C">
            <w:pPr>
              <w:pStyle w:val="Heading3"/>
              <w:numPr>
                <w:ilvl w:val="0"/>
                <w:numId w:val="0"/>
              </w:numPr>
              <w:spacing w:after="120"/>
              <w:jc w:val="center"/>
              <w:outlineLvl w:val="2"/>
            </w:pPr>
            <w:r w:rsidRPr="00C4415C">
              <w:t xml:space="preserve">Within week </w:t>
            </w:r>
            <w:r w:rsidR="005F041B">
              <w:t>4</w:t>
            </w:r>
            <w:r w:rsidRPr="00C4415C">
              <w:t xml:space="preserve"> of Contract Award</w:t>
            </w:r>
          </w:p>
        </w:tc>
      </w:tr>
      <w:tr w:rsidR="00FE18AC" w14:paraId="64CC12C0" w14:textId="77777777" w:rsidTr="00E245A6">
        <w:tc>
          <w:tcPr>
            <w:tcW w:w="898" w:type="pct"/>
            <w:vAlign w:val="center"/>
          </w:tcPr>
          <w:p w14:paraId="29D035AE" w14:textId="77777777" w:rsidR="00671798" w:rsidRPr="00C4415C" w:rsidRDefault="00FE18AC">
            <w:pPr>
              <w:pStyle w:val="Heading3"/>
              <w:numPr>
                <w:ilvl w:val="0"/>
                <w:numId w:val="0"/>
              </w:numPr>
              <w:spacing w:after="120"/>
              <w:jc w:val="center"/>
              <w:outlineLvl w:val="2"/>
              <w:rPr>
                <w:szCs w:val="24"/>
              </w:rPr>
            </w:pPr>
            <w:r w:rsidRPr="00C4415C">
              <w:t>4</w:t>
            </w:r>
          </w:p>
        </w:tc>
        <w:tc>
          <w:tcPr>
            <w:tcW w:w="2480" w:type="pct"/>
            <w:vAlign w:val="center"/>
          </w:tcPr>
          <w:p w14:paraId="33A8297B" w14:textId="00D0A99C" w:rsidR="00671798" w:rsidRPr="00C4415C" w:rsidRDefault="00171417">
            <w:pPr>
              <w:pStyle w:val="Heading3"/>
              <w:numPr>
                <w:ilvl w:val="0"/>
                <w:numId w:val="0"/>
              </w:numPr>
              <w:spacing w:after="120"/>
              <w:jc w:val="left"/>
              <w:outlineLvl w:val="2"/>
              <w:rPr>
                <w:szCs w:val="24"/>
              </w:rPr>
            </w:pPr>
            <w:r w:rsidRPr="00171417">
              <w:rPr>
                <w:szCs w:val="24"/>
              </w:rPr>
              <w:t>Solution Build &amp; Test against the criteria and processes set out by the Authority</w:t>
            </w:r>
          </w:p>
        </w:tc>
        <w:tc>
          <w:tcPr>
            <w:tcW w:w="1622" w:type="pct"/>
            <w:vAlign w:val="center"/>
          </w:tcPr>
          <w:p w14:paraId="554C2248" w14:textId="4AD8378F" w:rsidR="00671798" w:rsidRPr="00C4415C" w:rsidRDefault="00400B16">
            <w:pPr>
              <w:pStyle w:val="Heading3"/>
              <w:numPr>
                <w:ilvl w:val="0"/>
                <w:numId w:val="0"/>
              </w:numPr>
              <w:spacing w:after="120"/>
              <w:jc w:val="center"/>
              <w:outlineLvl w:val="2"/>
              <w:rPr>
                <w:szCs w:val="24"/>
              </w:rPr>
            </w:pPr>
            <w:r w:rsidRPr="00C4415C">
              <w:t xml:space="preserve">Within week </w:t>
            </w:r>
            <w:r w:rsidR="00F645FF">
              <w:t>6</w:t>
            </w:r>
            <w:r w:rsidRPr="00C4415C">
              <w:t xml:space="preserve"> of Contract Award</w:t>
            </w:r>
          </w:p>
        </w:tc>
      </w:tr>
      <w:tr w:rsidR="00400B16" w14:paraId="35B5C32A" w14:textId="77777777" w:rsidTr="00E245A6">
        <w:tc>
          <w:tcPr>
            <w:tcW w:w="898" w:type="pct"/>
            <w:vAlign w:val="center"/>
          </w:tcPr>
          <w:p w14:paraId="03F82D7D" w14:textId="77777777" w:rsidR="00400B16" w:rsidRPr="00C4415C" w:rsidRDefault="00400B16">
            <w:pPr>
              <w:pStyle w:val="Heading3"/>
              <w:numPr>
                <w:ilvl w:val="0"/>
                <w:numId w:val="0"/>
              </w:numPr>
              <w:spacing w:after="120"/>
              <w:jc w:val="center"/>
              <w:outlineLvl w:val="2"/>
            </w:pPr>
            <w:r>
              <w:t>5</w:t>
            </w:r>
          </w:p>
        </w:tc>
        <w:tc>
          <w:tcPr>
            <w:tcW w:w="2480" w:type="pct"/>
            <w:vAlign w:val="center"/>
          </w:tcPr>
          <w:p w14:paraId="30D0B96F" w14:textId="77777777" w:rsidR="00171417" w:rsidRPr="00171417" w:rsidRDefault="00171417" w:rsidP="00171417">
            <w:pPr>
              <w:pStyle w:val="Heading3"/>
              <w:numPr>
                <w:ilvl w:val="0"/>
                <w:numId w:val="0"/>
              </w:numPr>
              <w:pBdr>
                <w:top w:val="nil"/>
                <w:left w:val="nil"/>
                <w:bottom w:val="nil"/>
                <w:right w:val="nil"/>
                <w:between w:val="nil"/>
              </w:pBdr>
              <w:spacing w:after="120"/>
              <w:jc w:val="left"/>
              <w:outlineLvl w:val="2"/>
              <w:rPr>
                <w:szCs w:val="24"/>
              </w:rPr>
            </w:pPr>
            <w:r w:rsidRPr="00171417">
              <w:rPr>
                <w:szCs w:val="24"/>
              </w:rPr>
              <w:t xml:space="preserve">Solution Implementation, go-live &amp; Stakeholder Acceptance against the </w:t>
            </w:r>
            <w:proofErr w:type="spellStart"/>
            <w:r w:rsidRPr="00171417">
              <w:rPr>
                <w:szCs w:val="24"/>
              </w:rPr>
              <w:t>critieria</w:t>
            </w:r>
            <w:proofErr w:type="spellEnd"/>
            <w:r w:rsidRPr="00171417">
              <w:rPr>
                <w:szCs w:val="24"/>
              </w:rPr>
              <w:t xml:space="preserve"> set out by the authority. For the avoidance of doubt, Acceptance will include all operating manuals, system </w:t>
            </w:r>
            <w:proofErr w:type="spellStart"/>
            <w:proofErr w:type="gramStart"/>
            <w:r w:rsidRPr="00171417">
              <w:rPr>
                <w:szCs w:val="24"/>
              </w:rPr>
              <w:t>hanover</w:t>
            </w:r>
            <w:proofErr w:type="spellEnd"/>
            <w:proofErr w:type="gramEnd"/>
            <w:r w:rsidRPr="00171417">
              <w:rPr>
                <w:szCs w:val="24"/>
              </w:rPr>
              <w:t>, and so on that enable the Authority (or appointed contractor) to take over the running of the system if required</w:t>
            </w:r>
          </w:p>
          <w:p w14:paraId="0B5831C0" w14:textId="526697C3" w:rsidR="00005911" w:rsidRDefault="00171417" w:rsidP="00171417">
            <w:pPr>
              <w:pStyle w:val="Heading3"/>
              <w:numPr>
                <w:ilvl w:val="0"/>
                <w:numId w:val="0"/>
              </w:numPr>
              <w:spacing w:after="120"/>
              <w:jc w:val="left"/>
              <w:outlineLvl w:val="2"/>
              <w:rPr>
                <w:szCs w:val="24"/>
              </w:rPr>
            </w:pPr>
            <w:r w:rsidRPr="00171417">
              <w:rPr>
                <w:szCs w:val="24"/>
              </w:rPr>
              <w:t>NB. Achieving this milestone marks the end of Phase 1. At this point the Authority, in consultation with CFDA Members, will decide whether to proceed to Phase 2 under this Contract</w:t>
            </w:r>
          </w:p>
        </w:tc>
        <w:tc>
          <w:tcPr>
            <w:tcW w:w="1622" w:type="pct"/>
            <w:vAlign w:val="center"/>
          </w:tcPr>
          <w:p w14:paraId="51794E18" w14:textId="09AF23F4" w:rsidR="00400B16" w:rsidRPr="00C4415C" w:rsidRDefault="00CF6BA0">
            <w:pPr>
              <w:pStyle w:val="Heading3"/>
              <w:numPr>
                <w:ilvl w:val="0"/>
                <w:numId w:val="0"/>
              </w:numPr>
              <w:spacing w:after="120"/>
              <w:jc w:val="center"/>
              <w:outlineLvl w:val="2"/>
            </w:pPr>
            <w:r>
              <w:t>By 31 March 2018</w:t>
            </w:r>
          </w:p>
        </w:tc>
      </w:tr>
    </w:tbl>
    <w:p w14:paraId="7BD04FCA" w14:textId="77777777" w:rsidR="00740DF7" w:rsidRDefault="00740DF7" w:rsidP="0009075A">
      <w:bookmarkStart w:id="24" w:name="_Toc302637211"/>
    </w:p>
    <w:p w14:paraId="019201E1" w14:textId="77777777" w:rsidR="00106F24" w:rsidRDefault="00106F24">
      <w:pPr>
        <w:pStyle w:val="Heading1"/>
        <w:tabs>
          <w:tab w:val="clear" w:pos="720"/>
          <w:tab w:val="num" w:pos="0"/>
        </w:tabs>
        <w:overflowPunct w:val="0"/>
        <w:autoSpaceDE w:val="0"/>
        <w:autoSpaceDN w:val="0"/>
        <w:spacing w:after="120"/>
        <w:ind w:left="709" w:hanging="709"/>
        <w:textAlignment w:val="baseline"/>
        <w:rPr>
          <w:rFonts w:cs="Arial"/>
          <w:szCs w:val="22"/>
        </w:rPr>
      </w:pPr>
      <w:bookmarkStart w:id="25" w:name="_Toc444518873"/>
      <w:bookmarkStart w:id="26" w:name="_Toc368573033"/>
      <w:r>
        <w:rPr>
          <w:rFonts w:cs="Arial"/>
          <w:szCs w:val="22"/>
        </w:rPr>
        <w:t>authority’s responsibilities</w:t>
      </w:r>
      <w:bookmarkEnd w:id="25"/>
    </w:p>
    <w:p w14:paraId="595ED434" w14:textId="5280EDAE" w:rsidR="0009075A" w:rsidRDefault="00171417" w:rsidP="00171417">
      <w:pPr>
        <w:pStyle w:val="Heading2"/>
      </w:pPr>
      <w:r w:rsidRPr="00171417">
        <w:t>Cabinet Office as contracting authority will take the role of Lead Client and will</w:t>
      </w:r>
      <w:proofErr w:type="gramStart"/>
      <w:r w:rsidRPr="00171417">
        <w:t>:</w:t>
      </w:r>
      <w:r w:rsidR="0009075A">
        <w:t>:</w:t>
      </w:r>
      <w:proofErr w:type="gramEnd"/>
    </w:p>
    <w:p w14:paraId="25FFA2F7" w14:textId="2A749510" w:rsidR="00E17431" w:rsidRDefault="00171417" w:rsidP="0009075A">
      <w:pPr>
        <w:pStyle w:val="Heading3"/>
      </w:pPr>
      <w:r w:rsidRPr="00171417">
        <w:t>Manage and oversee the delivery by the supplier of Phase 1 of the project on behalf of the CFDA Members (also known as users or customers</w:t>
      </w:r>
      <w:r>
        <w:t>)</w:t>
      </w:r>
      <w:r w:rsidR="00E17431">
        <w:t>.</w:t>
      </w:r>
    </w:p>
    <w:p w14:paraId="5B1B9507" w14:textId="527288E8" w:rsidR="0009075A" w:rsidRDefault="00171417" w:rsidP="0009075A">
      <w:pPr>
        <w:pStyle w:val="Heading3"/>
      </w:pPr>
      <w:r w:rsidRPr="00171417">
        <w:t>Co-ordinate weekly team meetings between the Client and the Supplier to monitor progress during Phase 1 and the early stages of Phase 2 (at least the first three months) to address any problems and adjustments. Thereafter responsibility for co-ordinating service performance meetings, on at least a monthly b</w:t>
      </w:r>
      <w:r>
        <w:t>asis, transfers to the Supplier</w:t>
      </w:r>
      <w:r w:rsidR="00A47967">
        <w:t>.</w:t>
      </w:r>
    </w:p>
    <w:p w14:paraId="4C310954" w14:textId="54AACC38" w:rsidR="00E17431" w:rsidRDefault="00E17431" w:rsidP="0009075A">
      <w:pPr>
        <w:pStyle w:val="Heading3"/>
      </w:pPr>
      <w:r>
        <w:t xml:space="preserve">Act as escalation point </w:t>
      </w:r>
      <w:r w:rsidR="0037433E">
        <w:t>to deal with issues, for example if</w:t>
      </w:r>
      <w:r>
        <w:t xml:space="preserve"> a</w:t>
      </w:r>
      <w:r w:rsidR="00DA4694">
        <w:t xml:space="preserve"> CFDA M</w:t>
      </w:r>
      <w:r w:rsidR="0036136C">
        <w:t>ember</w:t>
      </w:r>
      <w:r>
        <w:t xml:space="preserve"> is not fulfilling its responsibilities in a timely or effective manner</w:t>
      </w:r>
      <w:r w:rsidR="00C7547C">
        <w:t xml:space="preserve"> as described in the governance model</w:t>
      </w:r>
      <w:r>
        <w:t>.</w:t>
      </w:r>
    </w:p>
    <w:p w14:paraId="103FC8EA" w14:textId="7219EF6C" w:rsidR="00740DF7" w:rsidRDefault="004442B4" w:rsidP="0009075A">
      <w:pPr>
        <w:pStyle w:val="Heading3"/>
      </w:pPr>
      <w:r>
        <w:lastRenderedPageBreak/>
        <w:t>Manage and oversee the provision by the supplier</w:t>
      </w:r>
      <w:r w:rsidR="00394BB4">
        <w:t xml:space="preserve"> to the</w:t>
      </w:r>
      <w:r w:rsidR="00740DF7">
        <w:t xml:space="preserve"> </w:t>
      </w:r>
      <w:r w:rsidR="00A2137F">
        <w:t xml:space="preserve">membership </w:t>
      </w:r>
      <w:r w:rsidR="00394BB4">
        <w:t xml:space="preserve">of: the membership </w:t>
      </w:r>
      <w:r w:rsidR="00740DF7" w:rsidRPr="00394BB4">
        <w:t>service</w:t>
      </w:r>
      <w:r w:rsidR="00394BB4" w:rsidRPr="00394BB4">
        <w:t>s</w:t>
      </w:r>
      <w:r w:rsidR="00A2137F" w:rsidRPr="00394BB4">
        <w:t>,</w:t>
      </w:r>
      <w:r w:rsidR="00740DF7" w:rsidRPr="00394BB4">
        <w:t xml:space="preserve"> </w:t>
      </w:r>
      <w:r w:rsidR="00394BB4">
        <w:t xml:space="preserve">operational </w:t>
      </w:r>
      <w:r w:rsidR="00740DF7" w:rsidRPr="00394BB4">
        <w:t>management</w:t>
      </w:r>
      <w:r w:rsidR="00740DF7" w:rsidRPr="00A2137F">
        <w:t xml:space="preserve"> </w:t>
      </w:r>
      <w:r w:rsidR="0037433E">
        <w:t xml:space="preserve">and continuous improvement </w:t>
      </w:r>
      <w:r w:rsidR="00740DF7">
        <w:t xml:space="preserve">during </w:t>
      </w:r>
      <w:r w:rsidR="0037433E">
        <w:t>Phase 2</w:t>
      </w:r>
      <w:r w:rsidR="00740DF7">
        <w:t>.</w:t>
      </w:r>
    </w:p>
    <w:p w14:paraId="7A0B73F9" w14:textId="2B6AFF0D" w:rsidR="002F799D" w:rsidRDefault="002F799D" w:rsidP="00106F24">
      <w:pPr>
        <w:pStyle w:val="Heading2"/>
      </w:pPr>
      <w:r>
        <w:t xml:space="preserve">Each CFDA </w:t>
      </w:r>
      <w:r w:rsidR="0036136C">
        <w:t>Member</w:t>
      </w:r>
      <w:r>
        <w:t xml:space="preserve"> will:</w:t>
      </w:r>
    </w:p>
    <w:p w14:paraId="07E9A374" w14:textId="74BE2963" w:rsidR="0009075A" w:rsidRDefault="00171417" w:rsidP="002F799D">
      <w:pPr>
        <w:pStyle w:val="Heading3"/>
      </w:pPr>
      <w:r w:rsidRPr="00171417">
        <w:t xml:space="preserve">Nominate a single point of contact to be available to the Supplier throughout the project to act as a “key customer” focal point. Support and attend governance meetings </w:t>
      </w:r>
      <w:r w:rsidR="0009075A">
        <w:t xml:space="preserve">Provide access to staff with relevant expertise in a timely manner to support </w:t>
      </w:r>
      <w:r w:rsidR="0037433E">
        <w:t xml:space="preserve">the project e.g. detailed requirements, </w:t>
      </w:r>
      <w:r w:rsidR="0009075A">
        <w:t>development and test.</w:t>
      </w:r>
    </w:p>
    <w:p w14:paraId="140C0231" w14:textId="2F84F17B" w:rsidR="00171417" w:rsidRDefault="00171417" w:rsidP="002F799D">
      <w:pPr>
        <w:pStyle w:val="Heading3"/>
      </w:pPr>
      <w:r w:rsidRPr="00171417">
        <w:t>Provide access to staff with relevant expertise in a timely manner -to support the project e.g. detailed requirements, development and test, as set out in the Draft Plan and the subsequent Detailed Plan</w:t>
      </w:r>
    </w:p>
    <w:p w14:paraId="29304E0B" w14:textId="11813206" w:rsidR="002F799D" w:rsidRDefault="00171417" w:rsidP="002F799D">
      <w:pPr>
        <w:pStyle w:val="Heading3"/>
      </w:pPr>
      <w:r w:rsidRPr="00171417">
        <w:t>Provide test data files, in either the current agreed format or to a format agreed with the supplier, containing synthesised or anonymised data to support development and test</w:t>
      </w:r>
      <w:proofErr w:type="gramStart"/>
      <w:r w:rsidRPr="00171417">
        <w:t>.</w:t>
      </w:r>
      <w:r w:rsidR="0009075A">
        <w:t>.</w:t>
      </w:r>
      <w:proofErr w:type="gramEnd"/>
    </w:p>
    <w:p w14:paraId="3D2EB89D" w14:textId="77777777" w:rsidR="0009075A" w:rsidRDefault="0009075A" w:rsidP="002F799D">
      <w:pPr>
        <w:pStyle w:val="Heading3"/>
      </w:pPr>
      <w:r>
        <w:t>Construct the necessary extract, upload, download and import mechanisms to support development and test.</w:t>
      </w:r>
    </w:p>
    <w:p w14:paraId="446D36DA" w14:textId="58ADEFE1" w:rsidR="0009075A" w:rsidRDefault="0009075A" w:rsidP="002F799D">
      <w:pPr>
        <w:pStyle w:val="Heading3"/>
      </w:pPr>
      <w:r>
        <w:t>Provide feedback on draft deliverables within a reasonable period of time.</w:t>
      </w:r>
    </w:p>
    <w:p w14:paraId="6803067B" w14:textId="42454AE1" w:rsidR="00394BB4" w:rsidRDefault="00394BB4" w:rsidP="002F799D">
      <w:pPr>
        <w:pStyle w:val="Heading3"/>
      </w:pPr>
      <w:r>
        <w:t>Undertake the provision of data on an ongoing basis throughout Phase 2.</w:t>
      </w:r>
    </w:p>
    <w:p w14:paraId="2CDE1E8A" w14:textId="77777777" w:rsidR="00671798" w:rsidRDefault="00FE18AC">
      <w:pPr>
        <w:pStyle w:val="Heading1"/>
        <w:tabs>
          <w:tab w:val="clear" w:pos="720"/>
          <w:tab w:val="num" w:pos="0"/>
        </w:tabs>
        <w:overflowPunct w:val="0"/>
        <w:autoSpaceDE w:val="0"/>
        <w:autoSpaceDN w:val="0"/>
        <w:spacing w:after="120"/>
        <w:ind w:left="709" w:hanging="709"/>
        <w:textAlignment w:val="baseline"/>
        <w:rPr>
          <w:rFonts w:cs="Arial"/>
          <w:szCs w:val="22"/>
        </w:rPr>
      </w:pPr>
      <w:bookmarkStart w:id="27" w:name="_Toc444518874"/>
      <w:r w:rsidRPr="00BE6EE0">
        <w:rPr>
          <w:rFonts w:cs="Arial"/>
          <w:szCs w:val="22"/>
        </w:rPr>
        <w:t>reporting</w:t>
      </w:r>
      <w:bookmarkEnd w:id="26"/>
      <w:bookmarkEnd w:id="27"/>
    </w:p>
    <w:p w14:paraId="604669B3" w14:textId="1EAC15C5" w:rsidR="00740DF7" w:rsidRDefault="00740DF7" w:rsidP="00740DF7">
      <w:pPr>
        <w:pStyle w:val="Heading2"/>
      </w:pPr>
      <w:r>
        <w:t xml:space="preserve">The </w:t>
      </w:r>
      <w:r w:rsidR="00A760A4">
        <w:t>Supplier</w:t>
      </w:r>
      <w:r>
        <w:t>’s reporting responsibilities are as follows:</w:t>
      </w:r>
    </w:p>
    <w:p w14:paraId="0851E281" w14:textId="77777777" w:rsidR="00740DF7" w:rsidRDefault="00740DF7" w:rsidP="00740DF7">
      <w:pPr>
        <w:pStyle w:val="Heading3"/>
      </w:pPr>
      <w:r>
        <w:t>During Phase 1: Design, Build &amp; Implementation:</w:t>
      </w:r>
    </w:p>
    <w:p w14:paraId="486B269C" w14:textId="4D388F16" w:rsidR="00740DF7" w:rsidRDefault="0086356D" w:rsidP="00F110FB">
      <w:pPr>
        <w:pStyle w:val="Heading4"/>
      </w:pPr>
      <w:r w:rsidRPr="0086356D">
        <w:t xml:space="preserve">Weekly highlight reports documenting progress against plan, risks and issues </w:t>
      </w:r>
      <w:proofErr w:type="spellStart"/>
      <w:r w:rsidRPr="0086356D">
        <w:t>etc.and</w:t>
      </w:r>
      <w:proofErr w:type="spellEnd"/>
      <w:r w:rsidRPr="0086356D">
        <w:t xml:space="preserve"> any rectification proposals against any issues utilising exception request in pre-agreed formats</w:t>
      </w:r>
      <w:r w:rsidR="003A2FA7">
        <w:t>.</w:t>
      </w:r>
      <w:r w:rsidR="003A2FA7" w:rsidRPr="003A2FA7">
        <w:t xml:space="preserve"> </w:t>
      </w:r>
    </w:p>
    <w:p w14:paraId="51B50DE8" w14:textId="77777777" w:rsidR="00740DF7" w:rsidRDefault="00740DF7" w:rsidP="00740DF7">
      <w:pPr>
        <w:pStyle w:val="Heading3"/>
      </w:pPr>
      <w:r>
        <w:t>During Phase 2: Service Delivery:</w:t>
      </w:r>
    </w:p>
    <w:p w14:paraId="29E351F4" w14:textId="1EE7B9C6" w:rsidR="00740DF7" w:rsidRDefault="0086356D" w:rsidP="00740DF7">
      <w:pPr>
        <w:pStyle w:val="Heading4"/>
      </w:pPr>
      <w:r w:rsidRPr="0086356D">
        <w:t>Monthly status reports documenting the solution performance as well as use of and access to the system</w:t>
      </w:r>
      <w:r w:rsidR="00740DF7">
        <w:t>.</w:t>
      </w:r>
    </w:p>
    <w:p w14:paraId="273650DF" w14:textId="25A33B11" w:rsidR="0086356D" w:rsidRDefault="0086356D" w:rsidP="00740DF7">
      <w:pPr>
        <w:pStyle w:val="Heading4"/>
      </w:pPr>
      <w:r w:rsidRPr="0086356D">
        <w:t xml:space="preserve">Supporting and servicing ongoing governance of the CFDA membership organisation, including but not limited to support to growth and </w:t>
      </w:r>
      <w:proofErr w:type="spellStart"/>
      <w:r w:rsidRPr="0086356D">
        <w:t>onboarding</w:t>
      </w:r>
      <w:proofErr w:type="spellEnd"/>
      <w:r w:rsidRPr="0086356D">
        <w:t xml:space="preserve"> plans</w:t>
      </w:r>
      <w:r>
        <w:t>.</w:t>
      </w:r>
    </w:p>
    <w:p w14:paraId="3A13D370" w14:textId="710302ED" w:rsidR="0086356D" w:rsidRDefault="0086356D">
      <w:pPr>
        <w:rPr>
          <w:rFonts w:eastAsia="STZhongsong"/>
          <w:b/>
          <w:caps/>
          <w:szCs w:val="20"/>
        </w:rPr>
      </w:pPr>
      <w:r>
        <w:br w:type="page"/>
      </w:r>
    </w:p>
    <w:p w14:paraId="1B943EC1" w14:textId="77777777" w:rsidR="0086356D" w:rsidRDefault="0086356D" w:rsidP="0086356D">
      <w:pPr>
        <w:pStyle w:val="Heading1"/>
        <w:numPr>
          <w:ilvl w:val="0"/>
          <w:numId w:val="0"/>
        </w:numPr>
        <w:ind w:left="720" w:hanging="720"/>
      </w:pPr>
    </w:p>
    <w:p w14:paraId="10CBBADC"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8" w:name="_Toc368573034"/>
      <w:bookmarkStart w:id="29" w:name="_Toc444518875"/>
      <w:r w:rsidRPr="00BE6EE0">
        <w:rPr>
          <w:rFonts w:cs="Arial"/>
          <w:szCs w:val="22"/>
        </w:rPr>
        <w:t>volumes</w:t>
      </w:r>
      <w:bookmarkEnd w:id="28"/>
      <w:bookmarkEnd w:id="29"/>
    </w:p>
    <w:p w14:paraId="72CC4CC1" w14:textId="2C84DA75" w:rsidR="003A2FA7" w:rsidRDefault="003A2FA7">
      <w:pPr>
        <w:pStyle w:val="Heading2"/>
        <w:tabs>
          <w:tab w:val="clear" w:pos="720"/>
          <w:tab w:val="num" w:pos="709"/>
        </w:tabs>
        <w:spacing w:after="120"/>
        <w:ind w:left="709" w:hanging="709"/>
      </w:pPr>
      <w:r>
        <w:t>The volume of data that the CFDA Repository is required to hold is not large</w:t>
      </w:r>
      <w:r w:rsidR="005512F4">
        <w:t>. The predicted data volumes at go-live are estimated as:</w:t>
      </w:r>
    </w:p>
    <w:tbl>
      <w:tblPr>
        <w:tblW w:w="863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86"/>
        <w:gridCol w:w="1843"/>
        <w:gridCol w:w="2410"/>
        <w:gridCol w:w="2693"/>
      </w:tblGrid>
      <w:tr w:rsidR="003A2FA7" w:rsidRPr="0021082D" w14:paraId="400B9875" w14:textId="77777777" w:rsidTr="00FD4AF9">
        <w:trPr>
          <w:trHeight w:val="260"/>
        </w:trPr>
        <w:tc>
          <w:tcPr>
            <w:tcW w:w="1686" w:type="dxa"/>
            <w:shd w:val="clear" w:color="auto" w:fill="auto"/>
            <w:vAlign w:val="bottom"/>
            <w:hideMark/>
          </w:tcPr>
          <w:p w14:paraId="22A98938" w14:textId="691C9EDE" w:rsidR="003A2FA7" w:rsidRPr="0007242D" w:rsidRDefault="0036136C" w:rsidP="00F110FB">
            <w:pPr>
              <w:jc w:val="center"/>
              <w:rPr>
                <w:rFonts w:eastAsia="Times New Roman" w:cs="Arial"/>
                <w:b/>
                <w:color w:val="000000"/>
                <w:lang w:eastAsia="en-GB"/>
              </w:rPr>
            </w:pPr>
            <w:r>
              <w:rPr>
                <w:rFonts w:eastAsia="Times New Roman" w:cs="Arial"/>
                <w:b/>
                <w:color w:val="000000"/>
                <w:lang w:eastAsia="en-GB"/>
              </w:rPr>
              <w:t>Member</w:t>
            </w:r>
          </w:p>
        </w:tc>
        <w:tc>
          <w:tcPr>
            <w:tcW w:w="1843" w:type="dxa"/>
            <w:shd w:val="clear" w:color="auto" w:fill="auto"/>
            <w:vAlign w:val="bottom"/>
            <w:hideMark/>
          </w:tcPr>
          <w:p w14:paraId="5D01DB9F" w14:textId="77777777" w:rsidR="003A2FA7" w:rsidRPr="0021082D" w:rsidRDefault="003A2FA7" w:rsidP="00F110FB">
            <w:pPr>
              <w:jc w:val="center"/>
              <w:rPr>
                <w:rFonts w:eastAsia="Times New Roman" w:cs="Arial"/>
                <w:b/>
                <w:bCs/>
                <w:color w:val="000000"/>
                <w:lang w:eastAsia="en-GB"/>
              </w:rPr>
            </w:pPr>
            <w:r w:rsidRPr="0021082D">
              <w:rPr>
                <w:rFonts w:eastAsia="Times New Roman" w:cs="Arial"/>
                <w:b/>
                <w:bCs/>
                <w:color w:val="000000"/>
                <w:lang w:eastAsia="en-GB"/>
              </w:rPr>
              <w:t>Weekly</w:t>
            </w:r>
          </w:p>
        </w:tc>
        <w:tc>
          <w:tcPr>
            <w:tcW w:w="2410" w:type="dxa"/>
            <w:shd w:val="clear" w:color="auto" w:fill="auto"/>
            <w:vAlign w:val="bottom"/>
            <w:hideMark/>
          </w:tcPr>
          <w:p w14:paraId="2B533808" w14:textId="77777777" w:rsidR="003A2FA7" w:rsidRPr="0021082D" w:rsidRDefault="003A2FA7" w:rsidP="00F110FB">
            <w:pPr>
              <w:jc w:val="center"/>
              <w:rPr>
                <w:rFonts w:eastAsia="Times New Roman" w:cs="Arial"/>
                <w:b/>
                <w:bCs/>
                <w:color w:val="000000"/>
                <w:lang w:eastAsia="en-GB"/>
              </w:rPr>
            </w:pPr>
            <w:r w:rsidRPr="0021082D">
              <w:rPr>
                <w:rFonts w:eastAsia="Times New Roman" w:cs="Arial"/>
                <w:b/>
                <w:bCs/>
                <w:color w:val="000000"/>
                <w:lang w:eastAsia="en-GB"/>
              </w:rPr>
              <w:t>Monthly</w:t>
            </w:r>
          </w:p>
        </w:tc>
        <w:tc>
          <w:tcPr>
            <w:tcW w:w="2693" w:type="dxa"/>
            <w:shd w:val="clear" w:color="auto" w:fill="auto"/>
            <w:vAlign w:val="bottom"/>
            <w:hideMark/>
          </w:tcPr>
          <w:p w14:paraId="32995982" w14:textId="77777777" w:rsidR="003A2FA7" w:rsidRPr="0021082D" w:rsidRDefault="003A2FA7" w:rsidP="00F110FB">
            <w:pPr>
              <w:jc w:val="center"/>
              <w:rPr>
                <w:rFonts w:eastAsia="Times New Roman" w:cs="Arial"/>
                <w:b/>
                <w:bCs/>
                <w:color w:val="000000"/>
                <w:lang w:eastAsia="en-GB"/>
              </w:rPr>
            </w:pPr>
            <w:r w:rsidRPr="0021082D">
              <w:rPr>
                <w:rFonts w:eastAsia="Times New Roman" w:cs="Arial"/>
                <w:b/>
                <w:bCs/>
                <w:color w:val="000000"/>
                <w:lang w:eastAsia="en-GB"/>
              </w:rPr>
              <w:t>3 years Initial upload</w:t>
            </w:r>
          </w:p>
        </w:tc>
      </w:tr>
      <w:tr w:rsidR="003A2FA7" w:rsidRPr="0021082D" w14:paraId="2BBB77BB" w14:textId="77777777" w:rsidTr="00FD4AF9">
        <w:trPr>
          <w:trHeight w:val="285"/>
        </w:trPr>
        <w:tc>
          <w:tcPr>
            <w:tcW w:w="1686" w:type="dxa"/>
            <w:shd w:val="clear" w:color="auto" w:fill="auto"/>
            <w:vAlign w:val="bottom"/>
            <w:hideMark/>
          </w:tcPr>
          <w:p w14:paraId="17E49E3E" w14:textId="77777777" w:rsidR="003A2FA7" w:rsidRPr="0021082D" w:rsidRDefault="003A2FA7" w:rsidP="00F110FB">
            <w:pPr>
              <w:rPr>
                <w:rFonts w:eastAsia="Times New Roman" w:cs="Arial"/>
                <w:b/>
                <w:bCs/>
                <w:color w:val="000000"/>
                <w:lang w:eastAsia="en-GB"/>
              </w:rPr>
            </w:pPr>
            <w:r>
              <w:rPr>
                <w:rFonts w:eastAsia="Times New Roman" w:cs="Arial"/>
                <w:b/>
                <w:bCs/>
                <w:color w:val="000000"/>
                <w:lang w:eastAsia="en-GB"/>
              </w:rPr>
              <w:t>DWP</w:t>
            </w:r>
          </w:p>
        </w:tc>
        <w:tc>
          <w:tcPr>
            <w:tcW w:w="1843" w:type="dxa"/>
            <w:shd w:val="clear" w:color="auto" w:fill="auto"/>
            <w:vAlign w:val="bottom"/>
          </w:tcPr>
          <w:p w14:paraId="38976CEB" w14:textId="77777777" w:rsidR="003A2FA7" w:rsidRPr="0021082D" w:rsidRDefault="003A2FA7" w:rsidP="00F110FB">
            <w:pPr>
              <w:jc w:val="center"/>
              <w:rPr>
                <w:rFonts w:eastAsia="Times New Roman" w:cs="Arial"/>
                <w:color w:val="000000"/>
                <w:lang w:eastAsia="en-GB"/>
              </w:rPr>
            </w:pPr>
            <w:r w:rsidRPr="0021082D">
              <w:rPr>
                <w:rFonts w:eastAsia="Times New Roman" w:cs="Arial"/>
                <w:color w:val="000000"/>
                <w:lang w:eastAsia="en-GB"/>
              </w:rPr>
              <w:t>4,769 Rows</w:t>
            </w:r>
          </w:p>
        </w:tc>
        <w:tc>
          <w:tcPr>
            <w:tcW w:w="2410" w:type="dxa"/>
            <w:shd w:val="clear" w:color="auto" w:fill="auto"/>
            <w:vAlign w:val="bottom"/>
          </w:tcPr>
          <w:p w14:paraId="243A3649" w14:textId="77777777" w:rsidR="003A2FA7" w:rsidRPr="0021082D" w:rsidRDefault="003A2FA7" w:rsidP="00F110FB">
            <w:pPr>
              <w:jc w:val="center"/>
              <w:rPr>
                <w:rFonts w:eastAsia="Times New Roman" w:cs="Arial"/>
                <w:color w:val="000000"/>
                <w:lang w:eastAsia="en-GB"/>
              </w:rPr>
            </w:pPr>
            <w:r w:rsidRPr="0021082D">
              <w:rPr>
                <w:rFonts w:eastAsia="Times New Roman" w:cs="Arial"/>
                <w:color w:val="000000"/>
                <w:lang w:eastAsia="en-GB"/>
              </w:rPr>
              <w:t>20666 rows</w:t>
            </w:r>
          </w:p>
        </w:tc>
        <w:tc>
          <w:tcPr>
            <w:tcW w:w="2693" w:type="dxa"/>
            <w:shd w:val="clear" w:color="auto" w:fill="auto"/>
            <w:vAlign w:val="bottom"/>
          </w:tcPr>
          <w:p w14:paraId="684149DC" w14:textId="77777777" w:rsidR="003A2FA7" w:rsidRPr="0021082D" w:rsidRDefault="003A2FA7" w:rsidP="00F110FB">
            <w:pPr>
              <w:jc w:val="center"/>
              <w:rPr>
                <w:rFonts w:eastAsia="Times New Roman" w:cs="Arial"/>
                <w:color w:val="000000"/>
                <w:lang w:eastAsia="en-GB"/>
              </w:rPr>
            </w:pPr>
            <w:r w:rsidRPr="0021082D">
              <w:rPr>
                <w:rFonts w:eastAsia="Times New Roman" w:cs="Arial"/>
                <w:color w:val="000000"/>
                <w:lang w:eastAsia="en-GB"/>
              </w:rPr>
              <w:t>744,000</w:t>
            </w:r>
            <w:r w:rsidRPr="007C3B6A">
              <w:rPr>
                <w:rFonts w:eastAsia="Times New Roman" w:cs="Arial"/>
                <w:color w:val="000000"/>
                <w:lang w:eastAsia="en-GB"/>
              </w:rPr>
              <w:t xml:space="preserve"> rows</w:t>
            </w:r>
          </w:p>
        </w:tc>
      </w:tr>
      <w:tr w:rsidR="003A2FA7" w:rsidRPr="0021082D" w14:paraId="58CF7A5D" w14:textId="77777777" w:rsidTr="00FD4AF9">
        <w:trPr>
          <w:trHeight w:val="330"/>
        </w:trPr>
        <w:tc>
          <w:tcPr>
            <w:tcW w:w="1686" w:type="dxa"/>
            <w:shd w:val="clear" w:color="auto" w:fill="auto"/>
            <w:vAlign w:val="bottom"/>
            <w:hideMark/>
          </w:tcPr>
          <w:p w14:paraId="51ED0F9C" w14:textId="77777777" w:rsidR="003A2FA7" w:rsidRPr="0021082D" w:rsidRDefault="003A2FA7" w:rsidP="00F110FB">
            <w:pPr>
              <w:rPr>
                <w:rFonts w:eastAsia="Times New Roman" w:cs="Arial"/>
                <w:b/>
                <w:bCs/>
                <w:color w:val="000000"/>
                <w:lang w:eastAsia="en-GB"/>
              </w:rPr>
            </w:pPr>
            <w:r>
              <w:rPr>
                <w:rFonts w:eastAsia="Times New Roman" w:cs="Arial"/>
                <w:b/>
                <w:bCs/>
                <w:color w:val="000000"/>
                <w:lang w:eastAsia="en-GB"/>
              </w:rPr>
              <w:t>HMRC</w:t>
            </w:r>
          </w:p>
        </w:tc>
        <w:tc>
          <w:tcPr>
            <w:tcW w:w="1843" w:type="dxa"/>
            <w:shd w:val="clear" w:color="auto" w:fill="auto"/>
            <w:vAlign w:val="bottom"/>
            <w:hideMark/>
          </w:tcPr>
          <w:p w14:paraId="0E7CA2E0" w14:textId="77777777" w:rsidR="003A2FA7" w:rsidRPr="0021082D" w:rsidRDefault="003A2FA7" w:rsidP="00F110FB">
            <w:pPr>
              <w:jc w:val="center"/>
              <w:rPr>
                <w:rFonts w:eastAsia="Times New Roman" w:cs="Arial"/>
                <w:color w:val="000000"/>
                <w:lang w:eastAsia="en-GB"/>
              </w:rPr>
            </w:pPr>
            <w:r w:rsidRPr="0021082D">
              <w:rPr>
                <w:rFonts w:eastAsia="Times New Roman" w:cs="Arial"/>
                <w:color w:val="000000"/>
                <w:lang w:eastAsia="en-GB"/>
              </w:rPr>
              <w:t>4,769 Rows</w:t>
            </w:r>
          </w:p>
        </w:tc>
        <w:tc>
          <w:tcPr>
            <w:tcW w:w="2410" w:type="dxa"/>
            <w:shd w:val="clear" w:color="auto" w:fill="auto"/>
            <w:vAlign w:val="bottom"/>
            <w:hideMark/>
          </w:tcPr>
          <w:p w14:paraId="5E811EA0" w14:textId="77777777" w:rsidR="003A2FA7" w:rsidRPr="0021082D" w:rsidRDefault="003A2FA7" w:rsidP="00F110FB">
            <w:pPr>
              <w:jc w:val="center"/>
              <w:rPr>
                <w:rFonts w:eastAsia="Times New Roman" w:cs="Arial"/>
                <w:color w:val="000000"/>
                <w:lang w:eastAsia="en-GB"/>
              </w:rPr>
            </w:pPr>
            <w:r w:rsidRPr="0021082D">
              <w:rPr>
                <w:rFonts w:eastAsia="Times New Roman" w:cs="Arial"/>
                <w:color w:val="000000"/>
                <w:lang w:eastAsia="en-GB"/>
              </w:rPr>
              <w:t>20666 rows</w:t>
            </w:r>
          </w:p>
        </w:tc>
        <w:tc>
          <w:tcPr>
            <w:tcW w:w="2693" w:type="dxa"/>
            <w:shd w:val="clear" w:color="auto" w:fill="auto"/>
            <w:vAlign w:val="bottom"/>
            <w:hideMark/>
          </w:tcPr>
          <w:p w14:paraId="1A80C342" w14:textId="77777777" w:rsidR="003A2FA7" w:rsidRPr="0021082D" w:rsidRDefault="003A2FA7" w:rsidP="00F110FB">
            <w:pPr>
              <w:jc w:val="center"/>
              <w:rPr>
                <w:rFonts w:eastAsia="Times New Roman" w:cs="Arial"/>
                <w:color w:val="000000"/>
                <w:lang w:eastAsia="en-GB"/>
              </w:rPr>
            </w:pPr>
            <w:r w:rsidRPr="0021082D">
              <w:rPr>
                <w:rFonts w:eastAsia="Times New Roman" w:cs="Arial"/>
                <w:color w:val="000000"/>
                <w:lang w:eastAsia="en-GB"/>
              </w:rPr>
              <w:t>744,000</w:t>
            </w:r>
            <w:r w:rsidRPr="007C3B6A">
              <w:rPr>
                <w:rFonts w:eastAsia="Times New Roman" w:cs="Arial"/>
                <w:color w:val="000000"/>
                <w:lang w:eastAsia="en-GB"/>
              </w:rPr>
              <w:t xml:space="preserve"> rows</w:t>
            </w:r>
          </w:p>
        </w:tc>
      </w:tr>
      <w:tr w:rsidR="003A2FA7" w:rsidRPr="0021082D" w14:paraId="68DDF484" w14:textId="77777777" w:rsidTr="00FD4AF9">
        <w:trPr>
          <w:trHeight w:val="250"/>
        </w:trPr>
        <w:tc>
          <w:tcPr>
            <w:tcW w:w="1686" w:type="dxa"/>
            <w:shd w:val="clear" w:color="auto" w:fill="auto"/>
            <w:vAlign w:val="bottom"/>
            <w:hideMark/>
          </w:tcPr>
          <w:p w14:paraId="2A963540" w14:textId="77777777" w:rsidR="003A2FA7" w:rsidRPr="0021082D" w:rsidRDefault="003A2FA7" w:rsidP="00F110FB">
            <w:pPr>
              <w:rPr>
                <w:rFonts w:eastAsia="Times New Roman" w:cs="Arial"/>
                <w:b/>
                <w:bCs/>
                <w:color w:val="000000"/>
                <w:lang w:eastAsia="en-GB"/>
              </w:rPr>
            </w:pPr>
            <w:r>
              <w:rPr>
                <w:rFonts w:eastAsia="Times New Roman" w:cs="Arial"/>
                <w:b/>
                <w:bCs/>
                <w:color w:val="000000"/>
                <w:lang w:eastAsia="en-GB"/>
              </w:rPr>
              <w:t>IFB</w:t>
            </w:r>
          </w:p>
        </w:tc>
        <w:tc>
          <w:tcPr>
            <w:tcW w:w="1843" w:type="dxa"/>
            <w:shd w:val="clear" w:color="auto" w:fill="auto"/>
            <w:vAlign w:val="bottom"/>
            <w:hideMark/>
          </w:tcPr>
          <w:p w14:paraId="5F85AE91" w14:textId="77777777" w:rsidR="003A2FA7" w:rsidRPr="0021082D" w:rsidRDefault="003A2FA7" w:rsidP="00F110FB">
            <w:pPr>
              <w:jc w:val="center"/>
              <w:rPr>
                <w:rFonts w:eastAsia="Times New Roman" w:cs="Arial"/>
                <w:color w:val="000000"/>
                <w:lang w:eastAsia="en-GB"/>
              </w:rPr>
            </w:pPr>
            <w:r>
              <w:rPr>
                <w:rFonts w:eastAsia="Times New Roman" w:cs="Arial"/>
                <w:color w:val="000000"/>
                <w:lang w:eastAsia="en-GB"/>
              </w:rPr>
              <w:t>Est. 500</w:t>
            </w:r>
            <w:r w:rsidRPr="007C3B6A">
              <w:rPr>
                <w:rFonts w:eastAsia="Times New Roman" w:cs="Arial"/>
                <w:color w:val="000000"/>
                <w:lang w:eastAsia="en-GB"/>
              </w:rPr>
              <w:t xml:space="preserve"> rows</w:t>
            </w:r>
            <w:r>
              <w:rPr>
                <w:rFonts w:eastAsia="Times New Roman" w:cs="Arial"/>
                <w:color w:val="000000"/>
                <w:lang w:eastAsia="en-GB"/>
              </w:rPr>
              <w:t xml:space="preserve"> </w:t>
            </w:r>
          </w:p>
        </w:tc>
        <w:tc>
          <w:tcPr>
            <w:tcW w:w="2410" w:type="dxa"/>
            <w:shd w:val="clear" w:color="auto" w:fill="auto"/>
            <w:vAlign w:val="bottom"/>
            <w:hideMark/>
          </w:tcPr>
          <w:p w14:paraId="2686D41C" w14:textId="77777777" w:rsidR="003A2FA7" w:rsidRPr="0021082D" w:rsidRDefault="003A2FA7" w:rsidP="00F110FB">
            <w:pPr>
              <w:jc w:val="center"/>
              <w:rPr>
                <w:rFonts w:eastAsia="Times New Roman" w:cs="Arial"/>
                <w:color w:val="000000"/>
                <w:lang w:eastAsia="en-GB"/>
              </w:rPr>
            </w:pPr>
            <w:r>
              <w:rPr>
                <w:rFonts w:eastAsia="Times New Roman" w:cs="Arial"/>
                <w:color w:val="000000"/>
                <w:lang w:eastAsia="en-GB"/>
              </w:rPr>
              <w:t>Est.2000</w:t>
            </w:r>
            <w:r w:rsidRPr="0021082D">
              <w:rPr>
                <w:rFonts w:eastAsia="Times New Roman" w:cs="Arial"/>
                <w:color w:val="000000"/>
                <w:lang w:eastAsia="en-GB"/>
              </w:rPr>
              <w:t xml:space="preserve"> rows</w:t>
            </w:r>
          </w:p>
        </w:tc>
        <w:tc>
          <w:tcPr>
            <w:tcW w:w="2693" w:type="dxa"/>
            <w:shd w:val="clear" w:color="auto" w:fill="auto"/>
            <w:vAlign w:val="bottom"/>
            <w:hideMark/>
          </w:tcPr>
          <w:p w14:paraId="1D83EB13" w14:textId="77777777" w:rsidR="003A2FA7" w:rsidRPr="0021082D" w:rsidRDefault="003A2FA7" w:rsidP="00F110FB">
            <w:pPr>
              <w:jc w:val="center"/>
              <w:rPr>
                <w:rFonts w:eastAsia="Times New Roman" w:cs="Arial"/>
                <w:color w:val="000000"/>
                <w:lang w:eastAsia="en-GB"/>
              </w:rPr>
            </w:pPr>
            <w:r>
              <w:rPr>
                <w:rFonts w:eastAsia="Times New Roman" w:cs="Arial"/>
                <w:color w:val="000000"/>
                <w:lang w:eastAsia="en-GB"/>
              </w:rPr>
              <w:t>36</w:t>
            </w:r>
            <w:r w:rsidRPr="0021082D">
              <w:rPr>
                <w:rFonts w:eastAsia="Times New Roman" w:cs="Arial"/>
                <w:color w:val="000000"/>
                <w:lang w:eastAsia="en-GB"/>
              </w:rPr>
              <w:t>,000</w:t>
            </w:r>
            <w:r w:rsidRPr="007C3B6A">
              <w:rPr>
                <w:rFonts w:eastAsia="Times New Roman" w:cs="Arial"/>
                <w:color w:val="000000"/>
                <w:lang w:eastAsia="en-GB"/>
              </w:rPr>
              <w:t xml:space="preserve"> rows</w:t>
            </w:r>
          </w:p>
        </w:tc>
      </w:tr>
      <w:tr w:rsidR="003A2FA7" w:rsidRPr="0021082D" w14:paraId="0953FC65" w14:textId="77777777" w:rsidTr="00FD4AF9">
        <w:trPr>
          <w:trHeight w:val="256"/>
        </w:trPr>
        <w:tc>
          <w:tcPr>
            <w:tcW w:w="1686" w:type="dxa"/>
            <w:shd w:val="clear" w:color="auto" w:fill="auto"/>
            <w:vAlign w:val="bottom"/>
            <w:hideMark/>
          </w:tcPr>
          <w:p w14:paraId="25FA6A22" w14:textId="34ED926F" w:rsidR="003A2FA7" w:rsidRPr="0021082D" w:rsidRDefault="00FD4AF9" w:rsidP="00F110FB">
            <w:pPr>
              <w:rPr>
                <w:rFonts w:eastAsia="Times New Roman" w:cs="Arial"/>
                <w:b/>
                <w:bCs/>
                <w:color w:val="000000"/>
                <w:lang w:eastAsia="en-GB"/>
              </w:rPr>
            </w:pPr>
            <w:r>
              <w:rPr>
                <w:rFonts w:eastAsia="Times New Roman" w:cs="Arial"/>
                <w:b/>
                <w:bCs/>
                <w:color w:val="000000"/>
                <w:lang w:eastAsia="en-GB"/>
              </w:rPr>
              <w:t>UK Finance</w:t>
            </w:r>
          </w:p>
        </w:tc>
        <w:tc>
          <w:tcPr>
            <w:tcW w:w="1843" w:type="dxa"/>
            <w:shd w:val="clear" w:color="auto" w:fill="auto"/>
            <w:vAlign w:val="bottom"/>
            <w:hideMark/>
          </w:tcPr>
          <w:p w14:paraId="12C66FB3" w14:textId="77777777" w:rsidR="003A2FA7" w:rsidRPr="0021082D" w:rsidRDefault="003A2FA7" w:rsidP="00F110FB">
            <w:pPr>
              <w:jc w:val="center"/>
              <w:rPr>
                <w:rFonts w:eastAsia="Times New Roman" w:cs="Arial"/>
                <w:color w:val="000000"/>
                <w:lang w:eastAsia="en-GB"/>
              </w:rPr>
            </w:pPr>
            <w:r w:rsidRPr="0021082D">
              <w:rPr>
                <w:rFonts w:eastAsia="Times New Roman" w:cs="Arial"/>
                <w:color w:val="000000"/>
                <w:lang w:eastAsia="en-GB"/>
              </w:rPr>
              <w:t>559 rows</w:t>
            </w:r>
          </w:p>
        </w:tc>
        <w:tc>
          <w:tcPr>
            <w:tcW w:w="2410" w:type="dxa"/>
            <w:shd w:val="clear" w:color="auto" w:fill="auto"/>
            <w:vAlign w:val="bottom"/>
            <w:hideMark/>
          </w:tcPr>
          <w:p w14:paraId="61B7D53B" w14:textId="77777777" w:rsidR="003A2FA7" w:rsidRPr="0021082D" w:rsidRDefault="003A2FA7" w:rsidP="00F110FB">
            <w:pPr>
              <w:jc w:val="center"/>
              <w:rPr>
                <w:rFonts w:eastAsia="Times New Roman" w:cs="Arial"/>
                <w:color w:val="000000"/>
                <w:lang w:eastAsia="en-GB"/>
              </w:rPr>
            </w:pPr>
            <w:r w:rsidRPr="0021082D">
              <w:rPr>
                <w:rFonts w:eastAsia="Times New Roman" w:cs="Arial"/>
                <w:color w:val="000000"/>
                <w:lang w:eastAsia="en-GB"/>
              </w:rPr>
              <w:t>2422 rows</w:t>
            </w:r>
          </w:p>
        </w:tc>
        <w:tc>
          <w:tcPr>
            <w:tcW w:w="2693" w:type="dxa"/>
            <w:shd w:val="clear" w:color="auto" w:fill="auto"/>
            <w:vAlign w:val="bottom"/>
            <w:hideMark/>
          </w:tcPr>
          <w:p w14:paraId="647C22E8" w14:textId="77777777" w:rsidR="003A2FA7" w:rsidRPr="0021082D" w:rsidRDefault="003A2FA7" w:rsidP="00F110FB">
            <w:pPr>
              <w:jc w:val="center"/>
              <w:rPr>
                <w:rFonts w:eastAsia="Times New Roman" w:cs="Arial"/>
                <w:color w:val="000000"/>
                <w:lang w:eastAsia="en-GB"/>
              </w:rPr>
            </w:pPr>
            <w:r w:rsidRPr="0021082D">
              <w:rPr>
                <w:rFonts w:eastAsia="Times New Roman" w:cs="Arial"/>
                <w:color w:val="000000"/>
                <w:lang w:eastAsia="en-GB"/>
              </w:rPr>
              <w:t>106452 rows</w:t>
            </w:r>
          </w:p>
        </w:tc>
      </w:tr>
    </w:tbl>
    <w:p w14:paraId="7606678F" w14:textId="1D6FDCC2" w:rsidR="003A2FA7" w:rsidRDefault="005512F4" w:rsidP="005512F4">
      <w:pPr>
        <w:pStyle w:val="BodyTextClose"/>
      </w:pPr>
      <w:r w:rsidRPr="00375784">
        <w:t xml:space="preserve">These </w:t>
      </w:r>
      <w:r>
        <w:t xml:space="preserve">numbers </w:t>
      </w:r>
      <w:r w:rsidRPr="00375784">
        <w:t>are indicative and subject to change</w:t>
      </w:r>
    </w:p>
    <w:p w14:paraId="6774CFB2" w14:textId="77777777" w:rsidR="005512F4" w:rsidRDefault="005512F4" w:rsidP="005512F4">
      <w:pPr>
        <w:pStyle w:val="BodyTextClose"/>
      </w:pPr>
    </w:p>
    <w:p w14:paraId="3DF2A4A0" w14:textId="7759A026" w:rsidR="005512F4" w:rsidRDefault="0086356D" w:rsidP="005512F4">
      <w:pPr>
        <w:pStyle w:val="Heading2"/>
      </w:pPr>
      <w:bookmarkStart w:id="30" w:name="_Hlk501566397"/>
      <w:r w:rsidRPr="0086356D">
        <w:t>Potential Providers should note that the volumes of data to be stored are of the order of MB or GB and not TB and should scale the CFDA accordingly. Nevertheless, the infrastructure should be scalable as a minimum to meet the first three year forecast to allow for additional data points and not require a rebuild, and thereafter under change control.</w:t>
      </w:r>
      <w:bookmarkEnd w:id="30"/>
    </w:p>
    <w:p w14:paraId="6EBFD3FB" w14:textId="77777777" w:rsidR="00FE18AC" w:rsidRPr="003A2FA7"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1" w:name="_Toc368573035"/>
      <w:bookmarkStart w:id="32" w:name="_Toc444518876"/>
      <w:r w:rsidRPr="003A2FA7">
        <w:rPr>
          <w:rFonts w:cs="Arial"/>
          <w:szCs w:val="22"/>
        </w:rPr>
        <w:t>continuous improvement</w:t>
      </w:r>
      <w:bookmarkEnd w:id="31"/>
      <w:bookmarkEnd w:id="32"/>
    </w:p>
    <w:p w14:paraId="503427EA" w14:textId="6B1A87E9" w:rsidR="00671798" w:rsidRDefault="0086356D">
      <w:pPr>
        <w:pStyle w:val="Heading2"/>
        <w:tabs>
          <w:tab w:val="clear" w:pos="720"/>
          <w:tab w:val="num" w:pos="709"/>
        </w:tabs>
        <w:spacing w:after="120"/>
        <w:ind w:left="709" w:hanging="709"/>
      </w:pPr>
      <w:r w:rsidRPr="0086356D">
        <w:t>The Supplier will be expected to continually improve the way in which the required Services are to be delivered and used throughout the Contract duration</w:t>
      </w:r>
      <w:r w:rsidR="00FE18AC" w:rsidRPr="008104E0">
        <w:t>.</w:t>
      </w:r>
    </w:p>
    <w:p w14:paraId="7BEC0CDA" w14:textId="1CB17624" w:rsidR="00671798" w:rsidRDefault="0086356D">
      <w:pPr>
        <w:pStyle w:val="Heading2"/>
        <w:tabs>
          <w:tab w:val="clear" w:pos="720"/>
          <w:tab w:val="num" w:pos="709"/>
        </w:tabs>
        <w:spacing w:after="120"/>
        <w:ind w:left="709" w:hanging="709"/>
      </w:pPr>
      <w:r w:rsidRPr="0086356D">
        <w:t>The Supplier should present new ways of working including continuous improvement proposals to the Authority during Contract review meetings, at least on a quarterly basis, with justification for any change proposed</w:t>
      </w:r>
      <w:r w:rsidR="00FE18AC" w:rsidRPr="008104E0">
        <w:t>.</w:t>
      </w:r>
      <w:r w:rsidR="004D22DF">
        <w:t xml:space="preserve"> </w:t>
      </w:r>
    </w:p>
    <w:p w14:paraId="29B60706" w14:textId="2D17047B" w:rsidR="00671798" w:rsidRDefault="0086356D">
      <w:pPr>
        <w:pStyle w:val="Heading2"/>
        <w:tabs>
          <w:tab w:val="clear" w:pos="720"/>
          <w:tab w:val="num" w:pos="709"/>
        </w:tabs>
        <w:spacing w:after="120"/>
        <w:ind w:left="709" w:hanging="709"/>
      </w:pPr>
      <w:r w:rsidRPr="0086356D">
        <w:tab/>
        <w:t>Changes to the way in which the Services are to be delivered must be brought to the Authority’s attention and agreed prior to any changes being implemented and be taken through the established change control process</w:t>
      </w:r>
      <w:r w:rsidR="00FE18AC">
        <w:t>.</w:t>
      </w:r>
    </w:p>
    <w:p w14:paraId="072C3C49" w14:textId="77777777" w:rsidR="0086356D" w:rsidRDefault="0086356D" w:rsidP="0086356D">
      <w:pPr>
        <w:pStyle w:val="Heading2"/>
        <w:numPr>
          <w:ilvl w:val="0"/>
          <w:numId w:val="0"/>
        </w:numPr>
        <w:spacing w:after="120"/>
        <w:ind w:left="709"/>
      </w:pPr>
    </w:p>
    <w:p w14:paraId="47384686" w14:textId="77777777" w:rsidR="004E78BC" w:rsidRDefault="004E78BC" w:rsidP="004E78BC">
      <w:pPr>
        <w:pStyle w:val="Heading1"/>
      </w:pPr>
      <w:bookmarkStart w:id="33" w:name="_Toc444518877"/>
      <w:r>
        <w:t>Sustainability</w:t>
      </w:r>
      <w:bookmarkEnd w:id="33"/>
    </w:p>
    <w:p w14:paraId="54F6583F" w14:textId="7FA5841B" w:rsidR="004E78BC" w:rsidRPr="00B344D6" w:rsidRDefault="00B344D6" w:rsidP="004E78BC">
      <w:pPr>
        <w:pStyle w:val="Heading2"/>
      </w:pPr>
      <w:r w:rsidRPr="00B344D6">
        <w:t>Not applicable.</w:t>
      </w:r>
    </w:p>
    <w:p w14:paraId="09A4535D" w14:textId="77777777" w:rsidR="00FE18AC" w:rsidRPr="00517FEF"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4" w:name="_Toc368573036"/>
      <w:bookmarkStart w:id="35" w:name="_Toc444518878"/>
      <w:r w:rsidRPr="00517FEF">
        <w:rPr>
          <w:rFonts w:cs="Arial"/>
          <w:szCs w:val="22"/>
        </w:rPr>
        <w:t>quality</w:t>
      </w:r>
      <w:bookmarkEnd w:id="34"/>
      <w:bookmarkEnd w:id="35"/>
    </w:p>
    <w:p w14:paraId="001ECE89" w14:textId="233B3F9C" w:rsidR="007A2FD0" w:rsidRDefault="002A285E">
      <w:pPr>
        <w:pStyle w:val="Heading2"/>
        <w:tabs>
          <w:tab w:val="clear" w:pos="720"/>
          <w:tab w:val="num" w:pos="709"/>
        </w:tabs>
        <w:spacing w:after="120"/>
        <w:ind w:left="709" w:hanging="709"/>
      </w:pPr>
      <w:r>
        <w:t>Potential Provider</w:t>
      </w:r>
      <w:r w:rsidR="007A2FD0" w:rsidRPr="007A2FD0">
        <w:t>s must be accredited to</w:t>
      </w:r>
      <w:r w:rsidR="007A2FD0">
        <w:t>:</w:t>
      </w:r>
    </w:p>
    <w:p w14:paraId="38E616A4" w14:textId="77777777" w:rsidR="00671798" w:rsidRPr="007A2FD0" w:rsidRDefault="007A2FD0" w:rsidP="007A2FD0">
      <w:pPr>
        <w:pStyle w:val="Heading3"/>
      </w:pPr>
      <w:r w:rsidRPr="007A2FD0">
        <w:t>ISO27001/2</w:t>
      </w:r>
      <w:r>
        <w:t xml:space="preserve"> or equivalent</w:t>
      </w:r>
      <w:r w:rsidRPr="007A2FD0">
        <w:t>.</w:t>
      </w:r>
    </w:p>
    <w:p w14:paraId="6DFF663F" w14:textId="3B9997E7" w:rsidR="007A2FD0" w:rsidRDefault="007A2FD0" w:rsidP="007A2FD0">
      <w:pPr>
        <w:pStyle w:val="Heading3"/>
      </w:pPr>
      <w:r>
        <w:t>ISO9001</w:t>
      </w:r>
      <w:r w:rsidR="00DA4694">
        <w:t>: 2015</w:t>
      </w:r>
      <w:r w:rsidR="00F645FF">
        <w:t xml:space="preserve"> or equivalent.</w:t>
      </w:r>
    </w:p>
    <w:p w14:paraId="4AB03FAD"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6" w:name="_Toc368573037"/>
      <w:bookmarkStart w:id="37" w:name="_Toc444518879"/>
      <w:r w:rsidRPr="00BE6EE0">
        <w:rPr>
          <w:rFonts w:cs="Arial"/>
          <w:szCs w:val="22"/>
        </w:rPr>
        <w:t>PRICE</w:t>
      </w:r>
      <w:bookmarkEnd w:id="36"/>
      <w:bookmarkEnd w:id="37"/>
    </w:p>
    <w:p w14:paraId="668799A6" w14:textId="23E76094" w:rsidR="00671798" w:rsidRDefault="002A285E">
      <w:pPr>
        <w:pStyle w:val="Heading2"/>
        <w:tabs>
          <w:tab w:val="clear" w:pos="720"/>
          <w:tab w:val="num" w:pos="709"/>
        </w:tabs>
        <w:spacing w:after="120"/>
        <w:ind w:left="709" w:hanging="709"/>
      </w:pPr>
      <w:r>
        <w:t>Potential Provider</w:t>
      </w:r>
      <w:r w:rsidR="0037433E">
        <w:t>s are required to provide:</w:t>
      </w:r>
    </w:p>
    <w:p w14:paraId="5A133375" w14:textId="51147C19" w:rsidR="0037433E" w:rsidRDefault="0086356D" w:rsidP="0037433E">
      <w:pPr>
        <w:pStyle w:val="Heading3"/>
      </w:pPr>
      <w:r w:rsidRPr="0086356D">
        <w:t xml:space="preserve">A firm price for Phase 1: Design, Build, Test &amp; Implementation. The price should be broken into components linked to major deliverables as set out </w:t>
      </w:r>
      <w:r w:rsidRPr="0086356D">
        <w:lastRenderedPageBreak/>
        <w:t>in section 6 and the Draft Plan. Prices are expected to be competitive, reasonable and not in excess of £350k</w:t>
      </w:r>
      <w:r w:rsidR="004C586E">
        <w:t>.</w:t>
      </w:r>
    </w:p>
    <w:p w14:paraId="19E9B722" w14:textId="77777777" w:rsidR="004C586E" w:rsidRDefault="004C586E" w:rsidP="004C586E">
      <w:pPr>
        <w:pStyle w:val="Heading3"/>
        <w:numPr>
          <w:ilvl w:val="0"/>
          <w:numId w:val="0"/>
        </w:numPr>
        <w:ind w:left="1800"/>
      </w:pPr>
    </w:p>
    <w:p w14:paraId="095929A7" w14:textId="11F90E31" w:rsidR="0086356D" w:rsidRDefault="0086356D" w:rsidP="0037433E">
      <w:pPr>
        <w:pStyle w:val="Heading3"/>
      </w:pPr>
      <w:r w:rsidRPr="0086356D">
        <w:t>A firm estimate for Phase 2: Service Delivery, with a clear set of financial and other assumptions, milestones outcomes, and dependencies.  Prices are expected to be competitive, rea</w:t>
      </w:r>
      <w:r w:rsidR="00F94F85">
        <w:t>sonable and not in excess of £10</w:t>
      </w:r>
      <w:r w:rsidR="004C586E">
        <w:t>4k in total</w:t>
      </w:r>
      <w:r w:rsidR="00842A7E">
        <w:t xml:space="preserve"> per annum</w:t>
      </w:r>
      <w:r w:rsidR="004C586E">
        <w:t>.</w:t>
      </w:r>
      <w:r w:rsidR="00D22AEC">
        <w:t xml:space="preserve"> They should include:</w:t>
      </w:r>
    </w:p>
    <w:p w14:paraId="6DEA7E4A" w14:textId="3B3FB8E0" w:rsidR="00ED21D7" w:rsidRDefault="00DA4694" w:rsidP="00F645FF">
      <w:pPr>
        <w:pStyle w:val="Heading4"/>
      </w:pPr>
      <w:r>
        <w:t>Annual hosting for the full term; and</w:t>
      </w:r>
    </w:p>
    <w:p w14:paraId="63790992" w14:textId="477C8C42" w:rsidR="00DA4694" w:rsidRDefault="00DA4694" w:rsidP="0037433E">
      <w:pPr>
        <w:pStyle w:val="Heading4"/>
      </w:pPr>
      <w:r>
        <w:t>Discounts on hosting costs e.g. if the Authority were to commit for longer than one year at a time.</w:t>
      </w:r>
    </w:p>
    <w:p w14:paraId="33E5D5EE" w14:textId="77777777" w:rsidR="0086356D" w:rsidRDefault="0086356D" w:rsidP="0086356D">
      <w:pPr>
        <w:pStyle w:val="Heading3"/>
      </w:pPr>
      <w:r>
        <w:t xml:space="preserve">A firm estimate to cover the costs of Test, Implementation and any operational cost for a new member of CFDA, with clear financial and other assumptions and dependencies. </w:t>
      </w:r>
    </w:p>
    <w:p w14:paraId="204EDF35" w14:textId="134CC875" w:rsidR="00F645FF" w:rsidRDefault="0086356D" w:rsidP="0086356D">
      <w:pPr>
        <w:pStyle w:val="Heading3"/>
        <w:numPr>
          <w:ilvl w:val="0"/>
          <w:numId w:val="0"/>
        </w:numPr>
        <w:ind w:left="1800"/>
      </w:pPr>
      <w:r>
        <w:t>NB. The Authority’s requirement is that the solution is designed to be scalable from the outset such that the additional members and data can be accommodated without system rebuild</w:t>
      </w:r>
      <w:r w:rsidR="005512F4">
        <w:t>.</w:t>
      </w:r>
    </w:p>
    <w:p w14:paraId="3CEB03D2" w14:textId="77777777" w:rsidR="0086356D" w:rsidRDefault="0086356D" w:rsidP="00BE21B5">
      <w:pPr>
        <w:pStyle w:val="Heading3"/>
      </w:pPr>
      <w:r w:rsidRPr="0086356D">
        <w:t xml:space="preserve">A rate card for maintenance and development against the categories set out in the pricing template </w:t>
      </w:r>
    </w:p>
    <w:p w14:paraId="205A11AE" w14:textId="2EF9357C" w:rsidR="00FD4AF9" w:rsidRDefault="0086356D" w:rsidP="00BE21B5">
      <w:pPr>
        <w:pStyle w:val="Heading3"/>
      </w:pPr>
      <w:r w:rsidRPr="0086356D">
        <w:t xml:space="preserve">The Authority is interested in any variant pricing e.g. risk/reward mechanisms. A variant pricing offer must accompany compliant pricing to be considered. Any variant must be fully explained and priced in order to enable a full evaluation, including but not limited to assumptions on ability to accelerate growth of the CFDA, key data, benefits and risks, Authority </w:t>
      </w:r>
      <w:proofErr w:type="spellStart"/>
      <w:r w:rsidRPr="0086356D">
        <w:t>responsiblities</w:t>
      </w:r>
      <w:proofErr w:type="spellEnd"/>
      <w:r w:rsidRPr="0086356D">
        <w:t xml:space="preserve"> and overall value for money</w:t>
      </w:r>
      <w:r w:rsidR="0061772A">
        <w:t>.</w:t>
      </w:r>
    </w:p>
    <w:p w14:paraId="5B3E8EBA" w14:textId="540CADE7" w:rsidR="00F645FF" w:rsidRDefault="0086356D" w:rsidP="00F645FF">
      <w:pPr>
        <w:pStyle w:val="Heading2"/>
        <w:tabs>
          <w:tab w:val="clear" w:pos="720"/>
          <w:tab w:val="num" w:pos="709"/>
        </w:tabs>
        <w:spacing w:after="120"/>
        <w:ind w:left="709" w:hanging="709"/>
      </w:pPr>
      <w:r w:rsidRPr="0086356D">
        <w:t>Prices are to be submitted via the Appendix E excluding VAT. Variant pricing models should follow Appendix E as closely as possible</w:t>
      </w:r>
      <w:r w:rsidR="00AE3C65">
        <w:t>.</w:t>
      </w:r>
    </w:p>
    <w:p w14:paraId="0F3FA6C4" w14:textId="77777777" w:rsidR="0086356D" w:rsidRDefault="0086356D" w:rsidP="0086356D">
      <w:pPr>
        <w:pStyle w:val="Heading2"/>
        <w:numPr>
          <w:ilvl w:val="0"/>
          <w:numId w:val="0"/>
        </w:numPr>
        <w:spacing w:after="120"/>
        <w:ind w:left="709"/>
      </w:pPr>
    </w:p>
    <w:p w14:paraId="6FF79289"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8" w:name="_Toc368573038"/>
      <w:bookmarkStart w:id="39" w:name="_Toc444518880"/>
      <w:r w:rsidRPr="00BE6EE0">
        <w:rPr>
          <w:rFonts w:cs="Arial"/>
          <w:szCs w:val="22"/>
        </w:rPr>
        <w:t>STAFF AND CUSTOMER SERVICE</w:t>
      </w:r>
      <w:bookmarkEnd w:id="38"/>
      <w:bookmarkEnd w:id="39"/>
    </w:p>
    <w:p w14:paraId="0E50D250" w14:textId="4A6CB559" w:rsidR="00671798" w:rsidRDefault="005C74FC">
      <w:pPr>
        <w:pStyle w:val="Heading2"/>
        <w:tabs>
          <w:tab w:val="clear" w:pos="720"/>
          <w:tab w:val="num" w:pos="709"/>
        </w:tabs>
        <w:spacing w:after="120"/>
        <w:ind w:left="709" w:hanging="709"/>
      </w:pPr>
      <w:r w:rsidRPr="005C74FC">
        <w:t>The Authority requires the Potential Provider to provide a sufficient level of resource throughout the duration of the CFDA Repository Contract in order to consistently deliver a quality service to all Parties which meets the expectation and requirements of the contract</w:t>
      </w:r>
      <w:r w:rsidR="00FE18AC">
        <w:t>.</w:t>
      </w:r>
    </w:p>
    <w:p w14:paraId="4DA0F0DF" w14:textId="25F270A8" w:rsidR="00671798" w:rsidRDefault="005C74FC">
      <w:pPr>
        <w:pStyle w:val="Heading2"/>
        <w:tabs>
          <w:tab w:val="clear" w:pos="720"/>
          <w:tab w:val="num" w:pos="709"/>
        </w:tabs>
        <w:spacing w:after="120"/>
        <w:ind w:left="709" w:hanging="709"/>
      </w:pPr>
      <w:r w:rsidRPr="005C74FC">
        <w:t>Potential Provider’s staff assigned to the CFDA Repository Contract shall have the relevant qualifications and experience to deliver the Contract, as set out in the Draft Plan and Final Plan</w:t>
      </w:r>
      <w:r w:rsidR="00FE18AC" w:rsidRPr="002E7082">
        <w:t xml:space="preserve">. </w:t>
      </w:r>
    </w:p>
    <w:p w14:paraId="3245827D" w14:textId="12D8AD4E" w:rsidR="00671798" w:rsidRDefault="005C74FC">
      <w:pPr>
        <w:pStyle w:val="Heading2"/>
        <w:tabs>
          <w:tab w:val="clear" w:pos="720"/>
          <w:tab w:val="num" w:pos="709"/>
        </w:tabs>
        <w:spacing w:after="120"/>
        <w:ind w:left="709" w:hanging="709"/>
      </w:pPr>
      <w:r w:rsidRPr="005C74FC">
        <w:lastRenderedPageBreak/>
        <w:t>The Potential Provider shall ensure that staff understand and uphold the Authority’s vision and objectives and will provide excellent customer service to the Authority throughout the duration of the Contract</w:t>
      </w:r>
      <w:r w:rsidR="00FE18AC">
        <w:t>.</w:t>
      </w:r>
      <w:r w:rsidR="00FE18AC" w:rsidRPr="002E7082">
        <w:t xml:space="preserve"> </w:t>
      </w:r>
      <w:r w:rsidR="00FE18AC">
        <w:t xml:space="preserve"> </w:t>
      </w:r>
    </w:p>
    <w:p w14:paraId="2FABC955" w14:textId="77777777"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0" w:name="_Toc368573039"/>
      <w:bookmarkStart w:id="41" w:name="_Toc444518881"/>
      <w:r w:rsidRPr="004E1D36">
        <w:rPr>
          <w:rFonts w:cs="Arial"/>
          <w:szCs w:val="22"/>
        </w:rPr>
        <w:t>service levels a</w:t>
      </w:r>
      <w:r>
        <w:rPr>
          <w:rFonts w:cs="Arial"/>
          <w:szCs w:val="22"/>
        </w:rPr>
        <w:t>nd performance</w:t>
      </w:r>
      <w:bookmarkEnd w:id="40"/>
      <w:bookmarkEnd w:id="41"/>
    </w:p>
    <w:p w14:paraId="7C7EE00A" w14:textId="0B729775" w:rsidR="00DA4694" w:rsidRDefault="00DA4694">
      <w:pPr>
        <w:pStyle w:val="Heading2"/>
        <w:tabs>
          <w:tab w:val="clear" w:pos="720"/>
          <w:tab w:val="num" w:pos="132"/>
          <w:tab w:val="num" w:pos="862"/>
        </w:tabs>
        <w:overflowPunct w:val="0"/>
        <w:autoSpaceDE w:val="0"/>
        <w:autoSpaceDN w:val="0"/>
        <w:spacing w:after="120"/>
        <w:ind w:left="709" w:hanging="709"/>
        <w:textAlignment w:val="baseline"/>
      </w:pPr>
      <w:r>
        <w:t>Service Levels are defined in section 6 above.</w:t>
      </w:r>
    </w:p>
    <w:p w14:paraId="03DA5BD3" w14:textId="77777777" w:rsidR="00FD4AF9" w:rsidRPr="00FD4AF9" w:rsidRDefault="00FD4AF9" w:rsidP="0081061A">
      <w:pPr>
        <w:pStyle w:val="Heading2"/>
      </w:pPr>
      <w:bookmarkStart w:id="42" w:name="_Toc368573040"/>
      <w:r w:rsidRPr="00FD4AF9">
        <w:t>Remedies for poor performance will be in accordance with the terms and conditions.</w:t>
      </w:r>
    </w:p>
    <w:p w14:paraId="67B22439" w14:textId="77777777" w:rsidR="00671798" w:rsidRDefault="00FE18AC">
      <w:pPr>
        <w:pStyle w:val="Heading1"/>
        <w:spacing w:after="120"/>
      </w:pPr>
      <w:bookmarkStart w:id="43" w:name="_Toc444518882"/>
      <w:r>
        <w:t>Security requirements</w:t>
      </w:r>
      <w:bookmarkEnd w:id="42"/>
      <w:bookmarkEnd w:id="43"/>
    </w:p>
    <w:p w14:paraId="3824917F" w14:textId="107BC404" w:rsidR="00671798" w:rsidRPr="00DA4694" w:rsidRDefault="00DA4694">
      <w:pPr>
        <w:pStyle w:val="Heading2"/>
        <w:tabs>
          <w:tab w:val="clear" w:pos="720"/>
          <w:tab w:val="num" w:pos="709"/>
        </w:tabs>
        <w:spacing w:after="120"/>
        <w:ind w:left="709" w:hanging="709"/>
      </w:pPr>
      <w:r w:rsidRPr="00DA4694">
        <w:t>Security requirements are documented in section 6 above.</w:t>
      </w:r>
    </w:p>
    <w:p w14:paraId="6DEE9977" w14:textId="77777777" w:rsidR="00183DAF" w:rsidRDefault="00FE18AC" w:rsidP="00183DAF">
      <w:pPr>
        <w:pStyle w:val="Heading1"/>
        <w:tabs>
          <w:tab w:val="clear" w:pos="720"/>
          <w:tab w:val="num" w:pos="0"/>
        </w:tabs>
        <w:overflowPunct w:val="0"/>
        <w:autoSpaceDE w:val="0"/>
        <w:autoSpaceDN w:val="0"/>
        <w:spacing w:after="120"/>
        <w:ind w:left="709" w:hanging="709"/>
        <w:textAlignment w:val="baseline"/>
        <w:rPr>
          <w:rFonts w:cs="Arial"/>
          <w:szCs w:val="22"/>
        </w:rPr>
      </w:pPr>
      <w:bookmarkStart w:id="44" w:name="_Toc368573041"/>
      <w:bookmarkStart w:id="45" w:name="_Toc444518883"/>
      <w:r>
        <w:rPr>
          <w:rFonts w:cs="Arial"/>
          <w:szCs w:val="22"/>
        </w:rPr>
        <w:t>intellectual property rights (ipr)</w:t>
      </w:r>
      <w:bookmarkEnd w:id="44"/>
      <w:bookmarkEnd w:id="45"/>
    </w:p>
    <w:p w14:paraId="3FDAB12D" w14:textId="77777777" w:rsidR="00DA4694" w:rsidRPr="00DA4694" w:rsidRDefault="00DA4694" w:rsidP="00176CBE">
      <w:pPr>
        <w:pStyle w:val="Heading2"/>
        <w:rPr>
          <w:rFonts w:cs="Arial"/>
          <w:szCs w:val="22"/>
        </w:rPr>
      </w:pPr>
      <w:r w:rsidRPr="00DA4694">
        <w:t>All IPR will be owned by Cabinet Office.</w:t>
      </w:r>
    </w:p>
    <w:p w14:paraId="22B94A02" w14:textId="77777777" w:rsidR="0081061A" w:rsidRPr="00874062" w:rsidRDefault="0081061A"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6" w:name="_Toc444518884"/>
      <w:bookmarkStart w:id="47" w:name="_Toc368573042"/>
      <w:r w:rsidRPr="00874062">
        <w:rPr>
          <w:rFonts w:cs="Arial"/>
          <w:szCs w:val="22"/>
        </w:rPr>
        <w:t>payment</w:t>
      </w:r>
      <w:bookmarkEnd w:id="46"/>
    </w:p>
    <w:p w14:paraId="24631A1D" w14:textId="77777777" w:rsidR="00331523" w:rsidRPr="00DA4694" w:rsidRDefault="0036555C" w:rsidP="0081061A">
      <w:pPr>
        <w:pStyle w:val="Heading2"/>
        <w:rPr>
          <w:szCs w:val="22"/>
        </w:rPr>
      </w:pPr>
      <w:r w:rsidRPr="00DA4694">
        <w:rPr>
          <w:rFonts w:cs="Arial"/>
          <w:color w:val="000000"/>
          <w:szCs w:val="22"/>
          <w:shd w:val="clear" w:color="auto" w:fill="FFFFFF"/>
        </w:rPr>
        <w:t xml:space="preserve">Payment can only be made following satisfactory delivery of pre-agreed certified products and deliverables. </w:t>
      </w:r>
    </w:p>
    <w:p w14:paraId="08ED8BA7" w14:textId="77777777" w:rsidR="0036555C" w:rsidRPr="00DA4694" w:rsidRDefault="0036555C" w:rsidP="0081061A">
      <w:pPr>
        <w:pStyle w:val="Heading2"/>
        <w:rPr>
          <w:szCs w:val="22"/>
        </w:rPr>
      </w:pPr>
      <w:r w:rsidRPr="00DA4694">
        <w:rPr>
          <w:rFonts w:cs="Arial"/>
          <w:color w:val="000000"/>
          <w:szCs w:val="22"/>
          <w:shd w:val="clear" w:color="auto" w:fill="FFFFFF"/>
        </w:rPr>
        <w:t xml:space="preserve">Before payment can be considered, each invoice must include a detailed elemental breakdown of work completed and the associated costs. </w:t>
      </w:r>
    </w:p>
    <w:p w14:paraId="1C13333A" w14:textId="77777777"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8" w:name="_Toc444518885"/>
      <w:r>
        <w:rPr>
          <w:rFonts w:cs="Arial"/>
          <w:szCs w:val="22"/>
        </w:rPr>
        <w:t>additional information</w:t>
      </w:r>
      <w:bookmarkEnd w:id="47"/>
      <w:bookmarkEnd w:id="48"/>
      <w:r>
        <w:rPr>
          <w:rFonts w:cs="Arial"/>
          <w:szCs w:val="22"/>
        </w:rPr>
        <w:t xml:space="preserve"> </w:t>
      </w:r>
    </w:p>
    <w:p w14:paraId="27A0FC55" w14:textId="2E21025C" w:rsidR="00671798" w:rsidRPr="00DA4694" w:rsidRDefault="00DA4694">
      <w:pPr>
        <w:pStyle w:val="Heading2"/>
        <w:tabs>
          <w:tab w:val="clear" w:pos="720"/>
          <w:tab w:val="num" w:pos="709"/>
        </w:tabs>
        <w:spacing w:after="120"/>
        <w:ind w:left="709" w:hanging="709"/>
      </w:pPr>
      <w:r w:rsidRPr="00DA4694">
        <w:t>Not applicable.</w:t>
      </w:r>
    </w:p>
    <w:p w14:paraId="65FD0E8F" w14:textId="77777777" w:rsidR="00671798" w:rsidRDefault="00FE18AC">
      <w:pPr>
        <w:pStyle w:val="Heading1"/>
        <w:spacing w:after="120"/>
      </w:pPr>
      <w:bookmarkStart w:id="49" w:name="_Toc368573043"/>
      <w:bookmarkStart w:id="50" w:name="_Toc444518886"/>
      <w:bookmarkEnd w:id="24"/>
      <w:r>
        <w:t>Location</w:t>
      </w:r>
      <w:bookmarkEnd w:id="49"/>
      <w:bookmarkEnd w:id="50"/>
      <w:r>
        <w:t xml:space="preserve"> </w:t>
      </w:r>
    </w:p>
    <w:p w14:paraId="3824814E" w14:textId="1EDAC4D1" w:rsidR="00671798" w:rsidRDefault="00FE18AC">
      <w:pPr>
        <w:pStyle w:val="Heading2"/>
        <w:tabs>
          <w:tab w:val="clear" w:pos="720"/>
          <w:tab w:val="num" w:pos="709"/>
        </w:tabs>
        <w:spacing w:after="120"/>
        <w:ind w:left="709" w:hanging="709"/>
      </w:pPr>
      <w:r>
        <w:t>The location of the Services will be carried out at</w:t>
      </w:r>
      <w:r w:rsidR="00DA4694">
        <w:t xml:space="preserve"> the </w:t>
      </w:r>
      <w:r w:rsidR="00A760A4">
        <w:t>Supplier</w:t>
      </w:r>
      <w:r w:rsidR="00DA4694">
        <w:t>’s premises, with occasional visits to Cabinet Office and to CFDA Members’ offices in London.</w:t>
      </w:r>
    </w:p>
    <w:p w14:paraId="5DB662A6" w14:textId="77777777" w:rsidR="00926958" w:rsidRPr="00A74FE3" w:rsidRDefault="00926958" w:rsidP="00A47967">
      <w:pPr>
        <w:tabs>
          <w:tab w:val="left" w:pos="1392"/>
        </w:tabs>
        <w:rPr>
          <w:rFonts w:eastAsia="STZhongsong"/>
          <w:szCs w:val="20"/>
        </w:rPr>
      </w:pPr>
    </w:p>
    <w:sectPr w:rsidR="00926958" w:rsidRPr="00A74FE3" w:rsidSect="00985B4D">
      <w:headerReference w:type="default" r:id="rId11"/>
      <w:footerReference w:type="default" r:id="rId12"/>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369A7" w14:textId="77777777" w:rsidR="00D300DF" w:rsidRDefault="00D300DF">
      <w:pPr>
        <w:spacing w:line="20" w:lineRule="exact"/>
      </w:pPr>
    </w:p>
  </w:endnote>
  <w:endnote w:type="continuationSeparator" w:id="0">
    <w:p w14:paraId="2E93C9DF" w14:textId="77777777" w:rsidR="00D300DF" w:rsidRDefault="00D300DF">
      <w:pPr>
        <w:spacing w:line="20" w:lineRule="exact"/>
      </w:pPr>
      <w:r>
        <w:t xml:space="preserve"> </w:t>
      </w:r>
    </w:p>
  </w:endnote>
  <w:endnote w:type="continuationNotice" w:id="1">
    <w:p w14:paraId="7AB36232" w14:textId="77777777" w:rsidR="00D300DF" w:rsidRDefault="00D300DF">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14:paraId="22FD3930" w14:textId="77777777" w:rsidR="004442B4" w:rsidRDefault="004442B4"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74CBD7E4" wp14:editId="4B26298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w:pict>
                <v:line w14:anchorId="30BE10B8"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6787B7BC" w14:textId="77777777" w:rsidR="004442B4" w:rsidRPr="00985B4D" w:rsidRDefault="004442B4" w:rsidP="00985B4D">
        <w:pPr>
          <w:pStyle w:val="Footer"/>
          <w:jc w:val="center"/>
          <w:rPr>
            <w:sz w:val="20"/>
            <w:szCs w:val="20"/>
          </w:rPr>
        </w:pPr>
        <w:r w:rsidRPr="00985B4D">
          <w:rPr>
            <w:sz w:val="20"/>
            <w:szCs w:val="20"/>
          </w:rPr>
          <w:t>OFFICIAL</w:t>
        </w:r>
      </w:p>
      <w:p w14:paraId="5CA08435" w14:textId="77777777" w:rsidR="004442B4" w:rsidRPr="00985B4D" w:rsidRDefault="004442B4">
        <w:pPr>
          <w:pStyle w:val="Footer"/>
          <w:rPr>
            <w:sz w:val="20"/>
            <w:szCs w:val="20"/>
          </w:rPr>
        </w:pPr>
        <w:r w:rsidRPr="00985B4D">
          <w:rPr>
            <w:sz w:val="20"/>
            <w:szCs w:val="20"/>
          </w:rPr>
          <w:t>Appendix B – Statement of Requirements</w:t>
        </w:r>
      </w:p>
      <w:p w14:paraId="14FCC816" w14:textId="77777777" w:rsidR="004442B4" w:rsidRDefault="004442B4">
        <w:pPr>
          <w:pStyle w:val="Footer"/>
          <w:rPr>
            <w:sz w:val="20"/>
            <w:szCs w:val="20"/>
          </w:rPr>
        </w:pPr>
        <w:r>
          <w:rPr>
            <w:sz w:val="20"/>
            <w:szCs w:val="20"/>
          </w:rPr>
          <w:t>Cabinet Office</w:t>
        </w:r>
      </w:p>
      <w:p w14:paraId="4094BDDF" w14:textId="617D62C7" w:rsidR="004442B4" w:rsidRPr="00985B4D" w:rsidRDefault="0071083C">
        <w:pPr>
          <w:pStyle w:val="Footer"/>
          <w:rPr>
            <w:sz w:val="20"/>
            <w:szCs w:val="20"/>
          </w:rPr>
        </w:pPr>
        <w:r>
          <w:rPr>
            <w:rFonts w:cs="Arial"/>
            <w:color w:val="222222"/>
            <w:sz w:val="19"/>
            <w:szCs w:val="19"/>
            <w:shd w:val="clear" w:color="auto" w:fill="FFFFFF"/>
          </w:rPr>
          <w:t>© Crown C</w:t>
        </w:r>
        <w:r w:rsidR="004442B4">
          <w:rPr>
            <w:rFonts w:cs="Arial"/>
            <w:color w:val="222222"/>
            <w:sz w:val="19"/>
            <w:szCs w:val="19"/>
            <w:shd w:val="clear" w:color="auto" w:fill="FFFFFF"/>
          </w:rPr>
          <w:t xml:space="preserve">opyright </w:t>
        </w:r>
      </w:p>
      <w:p w14:paraId="60F54F66" w14:textId="29C1E53B" w:rsidR="004442B4" w:rsidRDefault="004442B4"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71083C">
          <w:rPr>
            <w:noProof/>
            <w:sz w:val="20"/>
            <w:szCs w:val="20"/>
          </w:rPr>
          <w:t>1</w:t>
        </w:r>
        <w:r w:rsidRPr="00985B4D">
          <w:rPr>
            <w:noProof/>
            <w:sz w:val="20"/>
            <w:szCs w:val="20"/>
          </w:rPr>
          <w:fldChar w:fldCharType="end"/>
        </w:r>
      </w:p>
    </w:sdtContent>
  </w:sdt>
  <w:p w14:paraId="3DF3ED92" w14:textId="77777777" w:rsidR="004442B4" w:rsidRPr="002933F8" w:rsidRDefault="004442B4" w:rsidP="00293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9ADA88" w14:textId="77777777" w:rsidR="00D300DF" w:rsidRDefault="00D300DF">
      <w:r>
        <w:separator/>
      </w:r>
    </w:p>
  </w:footnote>
  <w:footnote w:type="continuationSeparator" w:id="0">
    <w:p w14:paraId="52A8DB9F" w14:textId="77777777" w:rsidR="00D300DF" w:rsidRDefault="00D300DF">
      <w:r>
        <w:continuationSeparator/>
      </w:r>
    </w:p>
  </w:footnote>
  <w:footnote w:type="continuationNotice" w:id="1">
    <w:p w14:paraId="6102939D" w14:textId="77777777" w:rsidR="00D300DF" w:rsidRDefault="00D300D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F8539" w14:textId="749C1985" w:rsidR="004442B4" w:rsidRPr="00F44D62" w:rsidRDefault="0071083C" w:rsidP="0071083C">
    <w:pPr>
      <w:tabs>
        <w:tab w:val="center" w:pos="4153"/>
        <w:tab w:val="right" w:pos="8306"/>
      </w:tabs>
      <w:rPr>
        <w:sz w:val="20"/>
        <w:szCs w:val="20"/>
      </w:rPr>
    </w:pPr>
    <w:r>
      <w:rPr>
        <w:noProof/>
        <w:lang w:eastAsia="en-GB"/>
      </w:rPr>
      <w:drawing>
        <wp:inline distT="0" distB="0" distL="0" distR="0" wp14:anchorId="746E6D1A" wp14:editId="4B5C7F66">
          <wp:extent cx="1381125" cy="514350"/>
          <wp:effectExtent l="0" t="0" r="9525" b="0"/>
          <wp:docPr id="3" name="Picture 3" descr="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514350"/>
                  </a:xfrm>
                  <a:prstGeom prst="rect">
                    <a:avLst/>
                  </a:prstGeom>
                  <a:noFill/>
                  <a:ln>
                    <a:noFill/>
                  </a:ln>
                </pic:spPr>
              </pic:pic>
            </a:graphicData>
          </a:graphic>
        </wp:inline>
      </w:drawing>
    </w:r>
    <w:r>
      <w:rPr>
        <w:sz w:val="20"/>
        <w:szCs w:val="20"/>
      </w:rPr>
      <w:tab/>
      <w:t xml:space="preserve">                     </w:t>
    </w:r>
    <w:r w:rsidR="004442B4" w:rsidRPr="00F44D62">
      <w:rPr>
        <w:sz w:val="20"/>
        <w:szCs w:val="20"/>
      </w:rPr>
      <w:t>OFFICIAL</w:t>
    </w:r>
  </w:p>
  <w:p w14:paraId="3266B0D4" w14:textId="77777777" w:rsidR="004442B4" w:rsidRDefault="004442B4" w:rsidP="00985B4D">
    <w:pPr>
      <w:tabs>
        <w:tab w:val="center" w:pos="4153"/>
        <w:tab w:val="right" w:pos="8306"/>
      </w:tabs>
      <w:ind w:left="720"/>
      <w:jc w:val="center"/>
      <w:rPr>
        <w:sz w:val="20"/>
        <w:szCs w:val="20"/>
      </w:rPr>
    </w:pPr>
    <w:r w:rsidRPr="00F44D62">
      <w:rPr>
        <w:sz w:val="20"/>
        <w:szCs w:val="20"/>
      </w:rPr>
      <w:t>App</w:t>
    </w:r>
    <w:r>
      <w:rPr>
        <w:sz w:val="20"/>
        <w:szCs w:val="20"/>
      </w:rPr>
      <w:t>endix B – Statement of Requirements</w:t>
    </w:r>
  </w:p>
  <w:p w14:paraId="289A75AE" w14:textId="77777777" w:rsidR="004442B4" w:rsidRPr="00F07882" w:rsidRDefault="004442B4" w:rsidP="005334EA">
    <w:pPr>
      <w:tabs>
        <w:tab w:val="center" w:pos="4153"/>
        <w:tab w:val="right" w:pos="8306"/>
      </w:tabs>
      <w:ind w:left="720"/>
      <w:jc w:val="center"/>
      <w:rPr>
        <w:rFonts w:cs="Arial"/>
        <w:sz w:val="20"/>
        <w:szCs w:val="20"/>
      </w:rPr>
    </w:pPr>
    <w:r w:rsidRPr="00F07882">
      <w:rPr>
        <w:rFonts w:cs="Arial"/>
        <w:sz w:val="20"/>
        <w:szCs w:val="20"/>
      </w:rPr>
      <w:t>Counter Fraud Data Alliance</w:t>
    </w:r>
  </w:p>
  <w:p w14:paraId="48A164AF" w14:textId="2EB112AD" w:rsidR="004442B4" w:rsidRPr="005334EA" w:rsidRDefault="0071083C" w:rsidP="005334EA">
    <w:pPr>
      <w:tabs>
        <w:tab w:val="center" w:pos="4153"/>
        <w:tab w:val="right" w:pos="8306"/>
      </w:tabs>
      <w:ind w:left="720"/>
      <w:jc w:val="center"/>
      <w:rPr>
        <w:sz w:val="20"/>
        <w:szCs w:val="20"/>
      </w:rPr>
    </w:pPr>
    <w:r w:rsidRPr="0071083C">
      <w:rPr>
        <w:rFonts w:cs="Arial"/>
        <w:sz w:val="20"/>
        <w:szCs w:val="20"/>
      </w:rPr>
      <w:t>RM6030</w:t>
    </w:r>
  </w:p>
  <w:p w14:paraId="72A06A8F" w14:textId="77777777" w:rsidR="004442B4" w:rsidRPr="009D0EAE" w:rsidRDefault="004442B4" w:rsidP="00F946AC">
    <w:pPr>
      <w:pStyle w:val="Header"/>
      <w:jc w:val="center"/>
      <w:rPr>
        <w:rFonts w:cs="Arial"/>
        <w:sz w:val="20"/>
        <w:szCs w:val="20"/>
        <w:highlight w:val="yellow"/>
      </w:rPr>
    </w:pPr>
  </w:p>
  <w:p w14:paraId="0F24D9C0" w14:textId="77777777" w:rsidR="004442B4" w:rsidRPr="00074357" w:rsidRDefault="004442B4" w:rsidP="00074357">
    <w:pPr>
      <w:pStyle w:val="Header"/>
    </w:pPr>
    <w:r>
      <w:rPr>
        <w:noProof/>
        <w:lang w:eastAsia="en-GB"/>
      </w:rPr>
      <mc:AlternateContent>
        <mc:Choice Requires="wps">
          <w:drawing>
            <wp:anchor distT="0" distB="0" distL="114300" distR="114300" simplePos="0" relativeHeight="251658242" behindDoc="0" locked="0" layoutInCell="1" allowOverlap="1" wp14:anchorId="2E0DBC72" wp14:editId="60032C6A">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w:pict>
            <v:line w14:anchorId="7871C9E4"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0A60F70"/>
    <w:multiLevelType w:val="hybridMultilevel"/>
    <w:tmpl w:val="9022D4FC"/>
    <w:lvl w:ilvl="0" w:tplc="6CA67DF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4" w15:restartNumberingAfterBreak="0">
    <w:nsid w:val="260B29EE"/>
    <w:multiLevelType w:val="hybridMultilevel"/>
    <w:tmpl w:val="D1486720"/>
    <w:lvl w:ilvl="0" w:tplc="980234AC">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6"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7"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8"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9"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B6C2C5C"/>
    <w:multiLevelType w:val="multilevel"/>
    <w:tmpl w:val="1332CCD4"/>
    <w:name w:val="Plato Schedule Numbering List"/>
    <w:numStyleLink w:val="111111"/>
  </w:abstractNum>
  <w:abstractNum w:abstractNumId="22" w15:restartNumberingAfterBreak="0">
    <w:nsid w:val="4E182BF4"/>
    <w:multiLevelType w:val="hybridMultilevel"/>
    <w:tmpl w:val="7A022C68"/>
    <w:lvl w:ilvl="0" w:tplc="A58A52C0">
      <w:start w:val="1"/>
      <w:numFmt w:val="decimal"/>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965CCA"/>
    <w:multiLevelType w:val="multilevel"/>
    <w:tmpl w:val="1332CCD4"/>
    <w:name w:val="Appendicies Heading List"/>
    <w:numStyleLink w:val="111111"/>
  </w:abstractNum>
  <w:abstractNum w:abstractNumId="24" w15:restartNumberingAfterBreak="0">
    <w:nsid w:val="51200365"/>
    <w:multiLevelType w:val="multilevel"/>
    <w:tmpl w:val="BD8C55FA"/>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b w:val="0"/>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5"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6"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7" w15:restartNumberingAfterBreak="0">
    <w:nsid w:val="60A7334B"/>
    <w:multiLevelType w:val="hybridMultilevel"/>
    <w:tmpl w:val="FBFEF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3932583"/>
    <w:multiLevelType w:val="multilevel"/>
    <w:tmpl w:val="B99AC0E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0"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1"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7"/>
  </w:num>
  <w:num w:numId="2">
    <w:abstractNumId w:val="24"/>
  </w:num>
  <w:num w:numId="3">
    <w:abstractNumId w:val="15"/>
  </w:num>
  <w:num w:numId="4">
    <w:abstractNumId w:val="16"/>
  </w:num>
  <w:num w:numId="5">
    <w:abstractNumId w:val="6"/>
  </w:num>
  <w:num w:numId="6">
    <w:abstractNumId w:val="20"/>
  </w:num>
  <w:num w:numId="7">
    <w:abstractNumId w:val="18"/>
  </w:num>
  <w:num w:numId="8">
    <w:abstractNumId w:val="13"/>
  </w:num>
  <w:num w:numId="9">
    <w:abstractNumId w:val="4"/>
  </w:num>
  <w:num w:numId="10">
    <w:abstractNumId w:val="3"/>
  </w:num>
  <w:num w:numId="11">
    <w:abstractNumId w:val="2"/>
  </w:num>
  <w:num w:numId="12">
    <w:abstractNumId w:val="1"/>
  </w:num>
  <w:num w:numId="13">
    <w:abstractNumId w:val="0"/>
  </w:num>
  <w:num w:numId="14">
    <w:abstractNumId w:val="30"/>
  </w:num>
  <w:num w:numId="15">
    <w:abstractNumId w:val="10"/>
  </w:num>
  <w:num w:numId="16">
    <w:abstractNumId w:val="28"/>
  </w:num>
  <w:num w:numId="17">
    <w:abstractNumId w:val="9"/>
  </w:num>
  <w:num w:numId="18">
    <w:abstractNumId w:val="19"/>
  </w:num>
  <w:num w:numId="19">
    <w:abstractNumId w:val="17"/>
  </w:num>
  <w:num w:numId="20">
    <w:abstractNumId w:val="25"/>
  </w:num>
  <w:num w:numId="21">
    <w:abstractNumId w:val="12"/>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5"/>
  </w:num>
  <w:num w:numId="25">
    <w:abstractNumId w:val="14"/>
  </w:num>
  <w:num w:numId="26">
    <w:abstractNumId w:val="29"/>
  </w:num>
  <w:num w:numId="27">
    <w:abstractNumId w:val="5"/>
    <w:lvlOverride w:ilvl="0">
      <w:startOverride w:val="1"/>
    </w:lvlOverride>
  </w:num>
  <w:num w:numId="28">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2817"/>
    <w:rsid w:val="00002A5E"/>
    <w:rsid w:val="000033CA"/>
    <w:rsid w:val="00004DDC"/>
    <w:rsid w:val="00005911"/>
    <w:rsid w:val="0000639C"/>
    <w:rsid w:val="000067FA"/>
    <w:rsid w:val="00007A30"/>
    <w:rsid w:val="000110CC"/>
    <w:rsid w:val="00011988"/>
    <w:rsid w:val="00012987"/>
    <w:rsid w:val="0001386E"/>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3742"/>
    <w:rsid w:val="00035A45"/>
    <w:rsid w:val="00037CB6"/>
    <w:rsid w:val="00040A60"/>
    <w:rsid w:val="000459DD"/>
    <w:rsid w:val="00051303"/>
    <w:rsid w:val="00052A65"/>
    <w:rsid w:val="00053DF7"/>
    <w:rsid w:val="0005414E"/>
    <w:rsid w:val="00055571"/>
    <w:rsid w:val="00056F7F"/>
    <w:rsid w:val="00060D0E"/>
    <w:rsid w:val="000645CC"/>
    <w:rsid w:val="00066D70"/>
    <w:rsid w:val="0007040F"/>
    <w:rsid w:val="000717BE"/>
    <w:rsid w:val="0007280F"/>
    <w:rsid w:val="00072D38"/>
    <w:rsid w:val="00074357"/>
    <w:rsid w:val="00074D97"/>
    <w:rsid w:val="00074DC0"/>
    <w:rsid w:val="000763EA"/>
    <w:rsid w:val="00076448"/>
    <w:rsid w:val="000812AE"/>
    <w:rsid w:val="0008330B"/>
    <w:rsid w:val="0009075A"/>
    <w:rsid w:val="00090D6B"/>
    <w:rsid w:val="000910A7"/>
    <w:rsid w:val="00092145"/>
    <w:rsid w:val="00092C56"/>
    <w:rsid w:val="00094E2D"/>
    <w:rsid w:val="00096F76"/>
    <w:rsid w:val="00097EBA"/>
    <w:rsid w:val="000A0BB0"/>
    <w:rsid w:val="000A0C5F"/>
    <w:rsid w:val="000A0D22"/>
    <w:rsid w:val="000A1031"/>
    <w:rsid w:val="000A462F"/>
    <w:rsid w:val="000A5E95"/>
    <w:rsid w:val="000A65E5"/>
    <w:rsid w:val="000A72F8"/>
    <w:rsid w:val="000B12A9"/>
    <w:rsid w:val="000B1C66"/>
    <w:rsid w:val="000B29B2"/>
    <w:rsid w:val="000B4297"/>
    <w:rsid w:val="000B4955"/>
    <w:rsid w:val="000B5C9F"/>
    <w:rsid w:val="000B7E75"/>
    <w:rsid w:val="000C1D0A"/>
    <w:rsid w:val="000C2484"/>
    <w:rsid w:val="000C2E05"/>
    <w:rsid w:val="000C68BF"/>
    <w:rsid w:val="000C6BD6"/>
    <w:rsid w:val="000C7C2B"/>
    <w:rsid w:val="000D3719"/>
    <w:rsid w:val="000D4605"/>
    <w:rsid w:val="000E031B"/>
    <w:rsid w:val="000E4C53"/>
    <w:rsid w:val="000E566D"/>
    <w:rsid w:val="000E6052"/>
    <w:rsid w:val="000E713D"/>
    <w:rsid w:val="000F232D"/>
    <w:rsid w:val="000F3348"/>
    <w:rsid w:val="000F3500"/>
    <w:rsid w:val="000F3E1D"/>
    <w:rsid w:val="000F52E6"/>
    <w:rsid w:val="00100B77"/>
    <w:rsid w:val="0010318E"/>
    <w:rsid w:val="001040CE"/>
    <w:rsid w:val="0010453E"/>
    <w:rsid w:val="0010577C"/>
    <w:rsid w:val="00105FBC"/>
    <w:rsid w:val="00106F24"/>
    <w:rsid w:val="00110F67"/>
    <w:rsid w:val="00113459"/>
    <w:rsid w:val="00113CF2"/>
    <w:rsid w:val="001173D2"/>
    <w:rsid w:val="001223EC"/>
    <w:rsid w:val="00122891"/>
    <w:rsid w:val="00123E60"/>
    <w:rsid w:val="00123FAD"/>
    <w:rsid w:val="001245F5"/>
    <w:rsid w:val="001256D9"/>
    <w:rsid w:val="0012683D"/>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7DA6"/>
    <w:rsid w:val="001548AC"/>
    <w:rsid w:val="00156231"/>
    <w:rsid w:val="0015696A"/>
    <w:rsid w:val="00156E2F"/>
    <w:rsid w:val="00157D99"/>
    <w:rsid w:val="00161A2F"/>
    <w:rsid w:val="0016322B"/>
    <w:rsid w:val="0016383C"/>
    <w:rsid w:val="00166299"/>
    <w:rsid w:val="0017017C"/>
    <w:rsid w:val="00171417"/>
    <w:rsid w:val="0017225B"/>
    <w:rsid w:val="00173352"/>
    <w:rsid w:val="0017368C"/>
    <w:rsid w:val="00176CBE"/>
    <w:rsid w:val="00176DF8"/>
    <w:rsid w:val="00180029"/>
    <w:rsid w:val="0018020B"/>
    <w:rsid w:val="001802DD"/>
    <w:rsid w:val="00181D58"/>
    <w:rsid w:val="00181E75"/>
    <w:rsid w:val="00183DAF"/>
    <w:rsid w:val="00183EB0"/>
    <w:rsid w:val="001842F4"/>
    <w:rsid w:val="00184673"/>
    <w:rsid w:val="001863E6"/>
    <w:rsid w:val="001866C8"/>
    <w:rsid w:val="0018756A"/>
    <w:rsid w:val="00193FB5"/>
    <w:rsid w:val="001962E6"/>
    <w:rsid w:val="001A1780"/>
    <w:rsid w:val="001A3C4D"/>
    <w:rsid w:val="001A7AB1"/>
    <w:rsid w:val="001B0587"/>
    <w:rsid w:val="001B2EA8"/>
    <w:rsid w:val="001B3C1C"/>
    <w:rsid w:val="001B485F"/>
    <w:rsid w:val="001B4B79"/>
    <w:rsid w:val="001B52D8"/>
    <w:rsid w:val="001B62DA"/>
    <w:rsid w:val="001B7109"/>
    <w:rsid w:val="001B7657"/>
    <w:rsid w:val="001C210F"/>
    <w:rsid w:val="001C2D04"/>
    <w:rsid w:val="001C4CDC"/>
    <w:rsid w:val="001C609B"/>
    <w:rsid w:val="001C63F8"/>
    <w:rsid w:val="001D0473"/>
    <w:rsid w:val="001D0D12"/>
    <w:rsid w:val="001D1ADF"/>
    <w:rsid w:val="001D1C5A"/>
    <w:rsid w:val="001D3018"/>
    <w:rsid w:val="001D54F2"/>
    <w:rsid w:val="001D5C65"/>
    <w:rsid w:val="001D6212"/>
    <w:rsid w:val="001E13B3"/>
    <w:rsid w:val="001E1C73"/>
    <w:rsid w:val="001E378F"/>
    <w:rsid w:val="001E3BC9"/>
    <w:rsid w:val="001E49D6"/>
    <w:rsid w:val="001F0B69"/>
    <w:rsid w:val="001F13E1"/>
    <w:rsid w:val="001F2926"/>
    <w:rsid w:val="001F2F1C"/>
    <w:rsid w:val="001F300D"/>
    <w:rsid w:val="001F3343"/>
    <w:rsid w:val="001F3B05"/>
    <w:rsid w:val="001F4B65"/>
    <w:rsid w:val="002014DC"/>
    <w:rsid w:val="00202978"/>
    <w:rsid w:val="00202DAB"/>
    <w:rsid w:val="00204498"/>
    <w:rsid w:val="00205CD6"/>
    <w:rsid w:val="00206015"/>
    <w:rsid w:val="002136EC"/>
    <w:rsid w:val="00215015"/>
    <w:rsid w:val="0022047E"/>
    <w:rsid w:val="00220ACA"/>
    <w:rsid w:val="002222F1"/>
    <w:rsid w:val="002229A8"/>
    <w:rsid w:val="002235BF"/>
    <w:rsid w:val="00224FFC"/>
    <w:rsid w:val="0022513D"/>
    <w:rsid w:val="00225865"/>
    <w:rsid w:val="0022592F"/>
    <w:rsid w:val="002262A5"/>
    <w:rsid w:val="002268D4"/>
    <w:rsid w:val="0022721A"/>
    <w:rsid w:val="00233206"/>
    <w:rsid w:val="00234955"/>
    <w:rsid w:val="00235462"/>
    <w:rsid w:val="00241853"/>
    <w:rsid w:val="00242016"/>
    <w:rsid w:val="00243547"/>
    <w:rsid w:val="00245B30"/>
    <w:rsid w:val="00246795"/>
    <w:rsid w:val="00250446"/>
    <w:rsid w:val="00251900"/>
    <w:rsid w:val="00255F6A"/>
    <w:rsid w:val="00257039"/>
    <w:rsid w:val="00257F38"/>
    <w:rsid w:val="002600C6"/>
    <w:rsid w:val="002608F4"/>
    <w:rsid w:val="00260EF5"/>
    <w:rsid w:val="0026119D"/>
    <w:rsid w:val="002630FA"/>
    <w:rsid w:val="002634FE"/>
    <w:rsid w:val="002649FC"/>
    <w:rsid w:val="0027062E"/>
    <w:rsid w:val="002723EE"/>
    <w:rsid w:val="00273E03"/>
    <w:rsid w:val="00274391"/>
    <w:rsid w:val="00274416"/>
    <w:rsid w:val="00277524"/>
    <w:rsid w:val="00280B5B"/>
    <w:rsid w:val="002826D7"/>
    <w:rsid w:val="0028376A"/>
    <w:rsid w:val="002848C1"/>
    <w:rsid w:val="0028697F"/>
    <w:rsid w:val="00286F62"/>
    <w:rsid w:val="002876FE"/>
    <w:rsid w:val="00287C83"/>
    <w:rsid w:val="00291584"/>
    <w:rsid w:val="002933F8"/>
    <w:rsid w:val="00297D77"/>
    <w:rsid w:val="002A08BF"/>
    <w:rsid w:val="002A285E"/>
    <w:rsid w:val="002A5258"/>
    <w:rsid w:val="002A7D10"/>
    <w:rsid w:val="002A7DA6"/>
    <w:rsid w:val="002B1E1B"/>
    <w:rsid w:val="002B407C"/>
    <w:rsid w:val="002B43BE"/>
    <w:rsid w:val="002B4FD0"/>
    <w:rsid w:val="002B55ED"/>
    <w:rsid w:val="002B5AEB"/>
    <w:rsid w:val="002B5C29"/>
    <w:rsid w:val="002B6278"/>
    <w:rsid w:val="002B6FD7"/>
    <w:rsid w:val="002B744B"/>
    <w:rsid w:val="002C094B"/>
    <w:rsid w:val="002C1AF6"/>
    <w:rsid w:val="002C1DE8"/>
    <w:rsid w:val="002C2D54"/>
    <w:rsid w:val="002C3316"/>
    <w:rsid w:val="002C4729"/>
    <w:rsid w:val="002C519F"/>
    <w:rsid w:val="002C538F"/>
    <w:rsid w:val="002C671C"/>
    <w:rsid w:val="002D268A"/>
    <w:rsid w:val="002D2841"/>
    <w:rsid w:val="002D3A27"/>
    <w:rsid w:val="002D7AC9"/>
    <w:rsid w:val="002E05A6"/>
    <w:rsid w:val="002E5436"/>
    <w:rsid w:val="002E6400"/>
    <w:rsid w:val="002F13FD"/>
    <w:rsid w:val="002F1F7F"/>
    <w:rsid w:val="002F3129"/>
    <w:rsid w:val="002F42F4"/>
    <w:rsid w:val="002F799D"/>
    <w:rsid w:val="002F7AA1"/>
    <w:rsid w:val="0030038A"/>
    <w:rsid w:val="0030185A"/>
    <w:rsid w:val="0030285B"/>
    <w:rsid w:val="0030439A"/>
    <w:rsid w:val="003047E0"/>
    <w:rsid w:val="0030606A"/>
    <w:rsid w:val="0031369B"/>
    <w:rsid w:val="00315091"/>
    <w:rsid w:val="00315C76"/>
    <w:rsid w:val="0032065B"/>
    <w:rsid w:val="00323541"/>
    <w:rsid w:val="00323EAA"/>
    <w:rsid w:val="00330C5C"/>
    <w:rsid w:val="00331523"/>
    <w:rsid w:val="003316AA"/>
    <w:rsid w:val="00333D28"/>
    <w:rsid w:val="003341DC"/>
    <w:rsid w:val="00334EA6"/>
    <w:rsid w:val="00336059"/>
    <w:rsid w:val="0034369B"/>
    <w:rsid w:val="003438D3"/>
    <w:rsid w:val="00343C78"/>
    <w:rsid w:val="00346A23"/>
    <w:rsid w:val="00347685"/>
    <w:rsid w:val="00347DB3"/>
    <w:rsid w:val="00352261"/>
    <w:rsid w:val="00353191"/>
    <w:rsid w:val="00353EC0"/>
    <w:rsid w:val="003550DB"/>
    <w:rsid w:val="00357E6F"/>
    <w:rsid w:val="0036136C"/>
    <w:rsid w:val="003623FE"/>
    <w:rsid w:val="003627B1"/>
    <w:rsid w:val="00362A29"/>
    <w:rsid w:val="00362E9E"/>
    <w:rsid w:val="003631FE"/>
    <w:rsid w:val="00363D74"/>
    <w:rsid w:val="00364FCA"/>
    <w:rsid w:val="0036555C"/>
    <w:rsid w:val="0036563A"/>
    <w:rsid w:val="0036574F"/>
    <w:rsid w:val="003660F6"/>
    <w:rsid w:val="00366F85"/>
    <w:rsid w:val="003729F0"/>
    <w:rsid w:val="00373767"/>
    <w:rsid w:val="0037433E"/>
    <w:rsid w:val="0037496E"/>
    <w:rsid w:val="0037526E"/>
    <w:rsid w:val="00375AE9"/>
    <w:rsid w:val="00376922"/>
    <w:rsid w:val="00376FF7"/>
    <w:rsid w:val="003770F8"/>
    <w:rsid w:val="0038049D"/>
    <w:rsid w:val="003833FD"/>
    <w:rsid w:val="00386338"/>
    <w:rsid w:val="00386706"/>
    <w:rsid w:val="003874EB"/>
    <w:rsid w:val="00387D48"/>
    <w:rsid w:val="003908EB"/>
    <w:rsid w:val="00390BC3"/>
    <w:rsid w:val="0039166A"/>
    <w:rsid w:val="0039193D"/>
    <w:rsid w:val="00391A68"/>
    <w:rsid w:val="00394BB4"/>
    <w:rsid w:val="00396B62"/>
    <w:rsid w:val="003A0CDA"/>
    <w:rsid w:val="003A199A"/>
    <w:rsid w:val="003A21C8"/>
    <w:rsid w:val="003A2C48"/>
    <w:rsid w:val="003A2FA7"/>
    <w:rsid w:val="003A4DD7"/>
    <w:rsid w:val="003B0599"/>
    <w:rsid w:val="003B4727"/>
    <w:rsid w:val="003B4B25"/>
    <w:rsid w:val="003B74BC"/>
    <w:rsid w:val="003C1CB5"/>
    <w:rsid w:val="003C4135"/>
    <w:rsid w:val="003C54C9"/>
    <w:rsid w:val="003C7811"/>
    <w:rsid w:val="003D0625"/>
    <w:rsid w:val="003D0A36"/>
    <w:rsid w:val="003D1E1C"/>
    <w:rsid w:val="003D2039"/>
    <w:rsid w:val="003D2902"/>
    <w:rsid w:val="003D2F60"/>
    <w:rsid w:val="003D4366"/>
    <w:rsid w:val="003D4F07"/>
    <w:rsid w:val="003D52B7"/>
    <w:rsid w:val="003D6D0B"/>
    <w:rsid w:val="003E3E8C"/>
    <w:rsid w:val="003E4FA3"/>
    <w:rsid w:val="003E7509"/>
    <w:rsid w:val="003F06FF"/>
    <w:rsid w:val="003F1C5D"/>
    <w:rsid w:val="003F626A"/>
    <w:rsid w:val="00400B16"/>
    <w:rsid w:val="00400F7C"/>
    <w:rsid w:val="00401C86"/>
    <w:rsid w:val="00402F0D"/>
    <w:rsid w:val="0040339F"/>
    <w:rsid w:val="00404F9C"/>
    <w:rsid w:val="0040508D"/>
    <w:rsid w:val="00405A77"/>
    <w:rsid w:val="004126C0"/>
    <w:rsid w:val="004128DA"/>
    <w:rsid w:val="00413A43"/>
    <w:rsid w:val="004147A7"/>
    <w:rsid w:val="00415016"/>
    <w:rsid w:val="0041576D"/>
    <w:rsid w:val="00416045"/>
    <w:rsid w:val="00422823"/>
    <w:rsid w:val="0042602C"/>
    <w:rsid w:val="00426AB4"/>
    <w:rsid w:val="00427A64"/>
    <w:rsid w:val="00430054"/>
    <w:rsid w:val="004300D8"/>
    <w:rsid w:val="0043067F"/>
    <w:rsid w:val="004324B4"/>
    <w:rsid w:val="00433761"/>
    <w:rsid w:val="004401D5"/>
    <w:rsid w:val="00442EDE"/>
    <w:rsid w:val="004442B4"/>
    <w:rsid w:val="00447F11"/>
    <w:rsid w:val="004516D6"/>
    <w:rsid w:val="004518A0"/>
    <w:rsid w:val="0045279B"/>
    <w:rsid w:val="00453EE6"/>
    <w:rsid w:val="0045425C"/>
    <w:rsid w:val="00456D72"/>
    <w:rsid w:val="00461688"/>
    <w:rsid w:val="00462365"/>
    <w:rsid w:val="00462E6A"/>
    <w:rsid w:val="00463A86"/>
    <w:rsid w:val="00463DB8"/>
    <w:rsid w:val="00465792"/>
    <w:rsid w:val="004673DF"/>
    <w:rsid w:val="00470A2A"/>
    <w:rsid w:val="004722DA"/>
    <w:rsid w:val="00476F39"/>
    <w:rsid w:val="004771C4"/>
    <w:rsid w:val="00477C7D"/>
    <w:rsid w:val="00480506"/>
    <w:rsid w:val="00480E50"/>
    <w:rsid w:val="004900A1"/>
    <w:rsid w:val="004909B0"/>
    <w:rsid w:val="0049625F"/>
    <w:rsid w:val="00497D0E"/>
    <w:rsid w:val="004A225E"/>
    <w:rsid w:val="004A2D0B"/>
    <w:rsid w:val="004A2E7B"/>
    <w:rsid w:val="004A31F5"/>
    <w:rsid w:val="004A4371"/>
    <w:rsid w:val="004A48ED"/>
    <w:rsid w:val="004B4E34"/>
    <w:rsid w:val="004B6951"/>
    <w:rsid w:val="004B7B71"/>
    <w:rsid w:val="004C0636"/>
    <w:rsid w:val="004C1460"/>
    <w:rsid w:val="004C50CD"/>
    <w:rsid w:val="004C586E"/>
    <w:rsid w:val="004C5A51"/>
    <w:rsid w:val="004C5C6B"/>
    <w:rsid w:val="004C62BB"/>
    <w:rsid w:val="004D0392"/>
    <w:rsid w:val="004D0A59"/>
    <w:rsid w:val="004D1EED"/>
    <w:rsid w:val="004D22DF"/>
    <w:rsid w:val="004D267E"/>
    <w:rsid w:val="004D2D01"/>
    <w:rsid w:val="004D34B9"/>
    <w:rsid w:val="004D4D43"/>
    <w:rsid w:val="004D4E92"/>
    <w:rsid w:val="004D5500"/>
    <w:rsid w:val="004E1F9F"/>
    <w:rsid w:val="004E445C"/>
    <w:rsid w:val="004E6FB0"/>
    <w:rsid w:val="004E70A8"/>
    <w:rsid w:val="004E78BC"/>
    <w:rsid w:val="004F2229"/>
    <w:rsid w:val="004F2D68"/>
    <w:rsid w:val="004F4E7F"/>
    <w:rsid w:val="004F6B43"/>
    <w:rsid w:val="004F6EE0"/>
    <w:rsid w:val="0050062B"/>
    <w:rsid w:val="005009A0"/>
    <w:rsid w:val="0050116C"/>
    <w:rsid w:val="00502279"/>
    <w:rsid w:val="00502DB6"/>
    <w:rsid w:val="0050537E"/>
    <w:rsid w:val="00505473"/>
    <w:rsid w:val="005054EC"/>
    <w:rsid w:val="005147FE"/>
    <w:rsid w:val="00515D51"/>
    <w:rsid w:val="00517904"/>
    <w:rsid w:val="0052086C"/>
    <w:rsid w:val="00522AAC"/>
    <w:rsid w:val="0052365A"/>
    <w:rsid w:val="0052487A"/>
    <w:rsid w:val="00527040"/>
    <w:rsid w:val="00531417"/>
    <w:rsid w:val="0053220D"/>
    <w:rsid w:val="005334EA"/>
    <w:rsid w:val="00533F76"/>
    <w:rsid w:val="005364E3"/>
    <w:rsid w:val="0055006C"/>
    <w:rsid w:val="00551203"/>
    <w:rsid w:val="005512F4"/>
    <w:rsid w:val="00551397"/>
    <w:rsid w:val="005571B2"/>
    <w:rsid w:val="00561AE0"/>
    <w:rsid w:val="00561BB6"/>
    <w:rsid w:val="005622C0"/>
    <w:rsid w:val="005626FC"/>
    <w:rsid w:val="00563F76"/>
    <w:rsid w:val="00564CCA"/>
    <w:rsid w:val="0056660C"/>
    <w:rsid w:val="005750D7"/>
    <w:rsid w:val="005750F5"/>
    <w:rsid w:val="005759DD"/>
    <w:rsid w:val="00576C34"/>
    <w:rsid w:val="00581887"/>
    <w:rsid w:val="005821EF"/>
    <w:rsid w:val="0058297A"/>
    <w:rsid w:val="0058409F"/>
    <w:rsid w:val="00586640"/>
    <w:rsid w:val="00586886"/>
    <w:rsid w:val="00586CC2"/>
    <w:rsid w:val="00590FFC"/>
    <w:rsid w:val="005924FF"/>
    <w:rsid w:val="00593CFF"/>
    <w:rsid w:val="00597B02"/>
    <w:rsid w:val="005A137B"/>
    <w:rsid w:val="005A1F60"/>
    <w:rsid w:val="005A49EA"/>
    <w:rsid w:val="005A7D2F"/>
    <w:rsid w:val="005B228D"/>
    <w:rsid w:val="005B28B1"/>
    <w:rsid w:val="005B2BA5"/>
    <w:rsid w:val="005B466A"/>
    <w:rsid w:val="005B4A89"/>
    <w:rsid w:val="005C0826"/>
    <w:rsid w:val="005C2951"/>
    <w:rsid w:val="005C3B95"/>
    <w:rsid w:val="005C6291"/>
    <w:rsid w:val="005C6503"/>
    <w:rsid w:val="005C74FC"/>
    <w:rsid w:val="005D1196"/>
    <w:rsid w:val="005D2362"/>
    <w:rsid w:val="005E00DA"/>
    <w:rsid w:val="005E2029"/>
    <w:rsid w:val="005E29A1"/>
    <w:rsid w:val="005E4205"/>
    <w:rsid w:val="005E4793"/>
    <w:rsid w:val="005E4B73"/>
    <w:rsid w:val="005E4F6C"/>
    <w:rsid w:val="005E5DD9"/>
    <w:rsid w:val="005E77ED"/>
    <w:rsid w:val="005E7C19"/>
    <w:rsid w:val="005F03AB"/>
    <w:rsid w:val="005F041B"/>
    <w:rsid w:val="005F11AF"/>
    <w:rsid w:val="005F162D"/>
    <w:rsid w:val="005F2A14"/>
    <w:rsid w:val="005F2F66"/>
    <w:rsid w:val="005F3867"/>
    <w:rsid w:val="005F3E1B"/>
    <w:rsid w:val="005F52F5"/>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1772A"/>
    <w:rsid w:val="006231D2"/>
    <w:rsid w:val="00627B4B"/>
    <w:rsid w:val="00627D1B"/>
    <w:rsid w:val="00630CEF"/>
    <w:rsid w:val="0063134B"/>
    <w:rsid w:val="00631AE2"/>
    <w:rsid w:val="00632838"/>
    <w:rsid w:val="00632D0F"/>
    <w:rsid w:val="00635B31"/>
    <w:rsid w:val="00636209"/>
    <w:rsid w:val="00636E2D"/>
    <w:rsid w:val="006373DB"/>
    <w:rsid w:val="00641ACD"/>
    <w:rsid w:val="0064354C"/>
    <w:rsid w:val="00644149"/>
    <w:rsid w:val="006455A0"/>
    <w:rsid w:val="0064629E"/>
    <w:rsid w:val="00646588"/>
    <w:rsid w:val="00646B4C"/>
    <w:rsid w:val="006502CE"/>
    <w:rsid w:val="00650B3E"/>
    <w:rsid w:val="00653D40"/>
    <w:rsid w:val="00654173"/>
    <w:rsid w:val="006549BE"/>
    <w:rsid w:val="00657DE2"/>
    <w:rsid w:val="006600A8"/>
    <w:rsid w:val="00660E0B"/>
    <w:rsid w:val="006641E1"/>
    <w:rsid w:val="006645BF"/>
    <w:rsid w:val="00671798"/>
    <w:rsid w:val="00671C2E"/>
    <w:rsid w:val="006754B9"/>
    <w:rsid w:val="006772C0"/>
    <w:rsid w:val="00680C72"/>
    <w:rsid w:val="00682677"/>
    <w:rsid w:val="006826E3"/>
    <w:rsid w:val="00683380"/>
    <w:rsid w:val="006849F7"/>
    <w:rsid w:val="00684CF6"/>
    <w:rsid w:val="00684FF6"/>
    <w:rsid w:val="0068585D"/>
    <w:rsid w:val="00685E8D"/>
    <w:rsid w:val="0068678A"/>
    <w:rsid w:val="0069053C"/>
    <w:rsid w:val="0069239F"/>
    <w:rsid w:val="00693308"/>
    <w:rsid w:val="006940AD"/>
    <w:rsid w:val="0069520A"/>
    <w:rsid w:val="006968E6"/>
    <w:rsid w:val="006A0E9A"/>
    <w:rsid w:val="006A385C"/>
    <w:rsid w:val="006A3DBC"/>
    <w:rsid w:val="006A3F51"/>
    <w:rsid w:val="006A4316"/>
    <w:rsid w:val="006A4943"/>
    <w:rsid w:val="006B1F15"/>
    <w:rsid w:val="006B32CD"/>
    <w:rsid w:val="006B3676"/>
    <w:rsid w:val="006B4F77"/>
    <w:rsid w:val="006B556B"/>
    <w:rsid w:val="006B5A7E"/>
    <w:rsid w:val="006B62D2"/>
    <w:rsid w:val="006C0828"/>
    <w:rsid w:val="006C2069"/>
    <w:rsid w:val="006C3BF0"/>
    <w:rsid w:val="006C3FE6"/>
    <w:rsid w:val="006C466F"/>
    <w:rsid w:val="006C4778"/>
    <w:rsid w:val="006C7377"/>
    <w:rsid w:val="006D0B91"/>
    <w:rsid w:val="006D2324"/>
    <w:rsid w:val="006D3910"/>
    <w:rsid w:val="006D50D6"/>
    <w:rsid w:val="006D54C0"/>
    <w:rsid w:val="006D5BAD"/>
    <w:rsid w:val="006D6196"/>
    <w:rsid w:val="006D64A7"/>
    <w:rsid w:val="006D7362"/>
    <w:rsid w:val="006E13AE"/>
    <w:rsid w:val="006E28A2"/>
    <w:rsid w:val="006E5B51"/>
    <w:rsid w:val="006E5FFB"/>
    <w:rsid w:val="006F098A"/>
    <w:rsid w:val="006F0C06"/>
    <w:rsid w:val="006F299C"/>
    <w:rsid w:val="006F46DC"/>
    <w:rsid w:val="006F490F"/>
    <w:rsid w:val="006F5CE9"/>
    <w:rsid w:val="006F6878"/>
    <w:rsid w:val="006F6F85"/>
    <w:rsid w:val="007003CC"/>
    <w:rsid w:val="00702C1F"/>
    <w:rsid w:val="00704A4D"/>
    <w:rsid w:val="00706FCC"/>
    <w:rsid w:val="0071083C"/>
    <w:rsid w:val="007110A9"/>
    <w:rsid w:val="007145F1"/>
    <w:rsid w:val="0072081F"/>
    <w:rsid w:val="007217F8"/>
    <w:rsid w:val="00724885"/>
    <w:rsid w:val="00733ACF"/>
    <w:rsid w:val="0073540C"/>
    <w:rsid w:val="00735596"/>
    <w:rsid w:val="00735D7F"/>
    <w:rsid w:val="00740B2E"/>
    <w:rsid w:val="00740DF7"/>
    <w:rsid w:val="007411D4"/>
    <w:rsid w:val="007435B9"/>
    <w:rsid w:val="00743726"/>
    <w:rsid w:val="00745FE8"/>
    <w:rsid w:val="0075008F"/>
    <w:rsid w:val="00753744"/>
    <w:rsid w:val="00753ABE"/>
    <w:rsid w:val="0075444C"/>
    <w:rsid w:val="00755A73"/>
    <w:rsid w:val="00756064"/>
    <w:rsid w:val="007569B8"/>
    <w:rsid w:val="007603EE"/>
    <w:rsid w:val="00760E17"/>
    <w:rsid w:val="0076417D"/>
    <w:rsid w:val="007667BD"/>
    <w:rsid w:val="0077082E"/>
    <w:rsid w:val="00770F75"/>
    <w:rsid w:val="0077138F"/>
    <w:rsid w:val="00772062"/>
    <w:rsid w:val="007723BF"/>
    <w:rsid w:val="007734F9"/>
    <w:rsid w:val="007737A2"/>
    <w:rsid w:val="00773C5A"/>
    <w:rsid w:val="007742BD"/>
    <w:rsid w:val="0078132F"/>
    <w:rsid w:val="00781B53"/>
    <w:rsid w:val="00781F72"/>
    <w:rsid w:val="007838E0"/>
    <w:rsid w:val="00784548"/>
    <w:rsid w:val="00791568"/>
    <w:rsid w:val="00791F7F"/>
    <w:rsid w:val="00792660"/>
    <w:rsid w:val="00792A76"/>
    <w:rsid w:val="00792F41"/>
    <w:rsid w:val="00793CFE"/>
    <w:rsid w:val="007943D8"/>
    <w:rsid w:val="007957E7"/>
    <w:rsid w:val="00797375"/>
    <w:rsid w:val="007A1EDB"/>
    <w:rsid w:val="007A2FD0"/>
    <w:rsid w:val="007A4212"/>
    <w:rsid w:val="007A5C92"/>
    <w:rsid w:val="007A6776"/>
    <w:rsid w:val="007A7E53"/>
    <w:rsid w:val="007B22E8"/>
    <w:rsid w:val="007B3FCD"/>
    <w:rsid w:val="007B5019"/>
    <w:rsid w:val="007B52CD"/>
    <w:rsid w:val="007B7B17"/>
    <w:rsid w:val="007C33F9"/>
    <w:rsid w:val="007C389F"/>
    <w:rsid w:val="007C4A33"/>
    <w:rsid w:val="007C59BE"/>
    <w:rsid w:val="007C69BD"/>
    <w:rsid w:val="007C79FC"/>
    <w:rsid w:val="007D04CE"/>
    <w:rsid w:val="007D1C75"/>
    <w:rsid w:val="007D4124"/>
    <w:rsid w:val="007D431E"/>
    <w:rsid w:val="007D4AF7"/>
    <w:rsid w:val="007D5356"/>
    <w:rsid w:val="007D5C41"/>
    <w:rsid w:val="007D6207"/>
    <w:rsid w:val="007D7EEC"/>
    <w:rsid w:val="007E1C0F"/>
    <w:rsid w:val="007E3BEA"/>
    <w:rsid w:val="007E4D19"/>
    <w:rsid w:val="007E581E"/>
    <w:rsid w:val="007E5ED3"/>
    <w:rsid w:val="007E69D2"/>
    <w:rsid w:val="007F062B"/>
    <w:rsid w:val="007F255C"/>
    <w:rsid w:val="007F48F8"/>
    <w:rsid w:val="007F521C"/>
    <w:rsid w:val="007F78F3"/>
    <w:rsid w:val="007F7976"/>
    <w:rsid w:val="00800097"/>
    <w:rsid w:val="0080204D"/>
    <w:rsid w:val="00802735"/>
    <w:rsid w:val="00803909"/>
    <w:rsid w:val="00804229"/>
    <w:rsid w:val="008042A5"/>
    <w:rsid w:val="0080626B"/>
    <w:rsid w:val="00806CB2"/>
    <w:rsid w:val="00806DC0"/>
    <w:rsid w:val="00806E25"/>
    <w:rsid w:val="008073BC"/>
    <w:rsid w:val="0081061A"/>
    <w:rsid w:val="00811C30"/>
    <w:rsid w:val="0081457C"/>
    <w:rsid w:val="008174FC"/>
    <w:rsid w:val="00821734"/>
    <w:rsid w:val="00822196"/>
    <w:rsid w:val="008227FE"/>
    <w:rsid w:val="0082305E"/>
    <w:rsid w:val="0082468F"/>
    <w:rsid w:val="00825DD7"/>
    <w:rsid w:val="0082702F"/>
    <w:rsid w:val="00827E8F"/>
    <w:rsid w:val="00830EA9"/>
    <w:rsid w:val="008311F8"/>
    <w:rsid w:val="0083566B"/>
    <w:rsid w:val="008367F3"/>
    <w:rsid w:val="00842735"/>
    <w:rsid w:val="00842A7E"/>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356D"/>
    <w:rsid w:val="00867F30"/>
    <w:rsid w:val="00871033"/>
    <w:rsid w:val="00873E83"/>
    <w:rsid w:val="00874062"/>
    <w:rsid w:val="0087463E"/>
    <w:rsid w:val="00874B74"/>
    <w:rsid w:val="00874ED6"/>
    <w:rsid w:val="00877AA1"/>
    <w:rsid w:val="00880C0D"/>
    <w:rsid w:val="00881157"/>
    <w:rsid w:val="0088161D"/>
    <w:rsid w:val="00882465"/>
    <w:rsid w:val="00890886"/>
    <w:rsid w:val="008916A4"/>
    <w:rsid w:val="0089547A"/>
    <w:rsid w:val="00897DB5"/>
    <w:rsid w:val="008A004A"/>
    <w:rsid w:val="008A17B5"/>
    <w:rsid w:val="008A20B1"/>
    <w:rsid w:val="008A3F1A"/>
    <w:rsid w:val="008A3FCF"/>
    <w:rsid w:val="008A41ED"/>
    <w:rsid w:val="008A5EAC"/>
    <w:rsid w:val="008A74AE"/>
    <w:rsid w:val="008A7C5C"/>
    <w:rsid w:val="008B2760"/>
    <w:rsid w:val="008B3C71"/>
    <w:rsid w:val="008B3DC8"/>
    <w:rsid w:val="008B4EC5"/>
    <w:rsid w:val="008B5210"/>
    <w:rsid w:val="008B7859"/>
    <w:rsid w:val="008C05F1"/>
    <w:rsid w:val="008C218B"/>
    <w:rsid w:val="008C59EE"/>
    <w:rsid w:val="008C6917"/>
    <w:rsid w:val="008C6DD8"/>
    <w:rsid w:val="008C764B"/>
    <w:rsid w:val="008D01FD"/>
    <w:rsid w:val="008D0383"/>
    <w:rsid w:val="008D17C0"/>
    <w:rsid w:val="008D1AFC"/>
    <w:rsid w:val="008D1F53"/>
    <w:rsid w:val="008D28A6"/>
    <w:rsid w:val="008D66D4"/>
    <w:rsid w:val="008D752C"/>
    <w:rsid w:val="008D7794"/>
    <w:rsid w:val="008E0B8A"/>
    <w:rsid w:val="008E5B1C"/>
    <w:rsid w:val="008E5D54"/>
    <w:rsid w:val="008E6D8C"/>
    <w:rsid w:val="008E7734"/>
    <w:rsid w:val="008E7D6B"/>
    <w:rsid w:val="008F0B3A"/>
    <w:rsid w:val="008F0B5B"/>
    <w:rsid w:val="008F0F5B"/>
    <w:rsid w:val="008F3470"/>
    <w:rsid w:val="008F48B8"/>
    <w:rsid w:val="008F4F1E"/>
    <w:rsid w:val="008F7730"/>
    <w:rsid w:val="00900BFA"/>
    <w:rsid w:val="00900E71"/>
    <w:rsid w:val="009021F5"/>
    <w:rsid w:val="00903784"/>
    <w:rsid w:val="0090447A"/>
    <w:rsid w:val="00905BFB"/>
    <w:rsid w:val="009064EA"/>
    <w:rsid w:val="009066E0"/>
    <w:rsid w:val="0091017C"/>
    <w:rsid w:val="00910C56"/>
    <w:rsid w:val="00911C93"/>
    <w:rsid w:val="00912B1E"/>
    <w:rsid w:val="00912C42"/>
    <w:rsid w:val="009141BA"/>
    <w:rsid w:val="0091531E"/>
    <w:rsid w:val="00915583"/>
    <w:rsid w:val="009175F3"/>
    <w:rsid w:val="00922A4C"/>
    <w:rsid w:val="00923A8C"/>
    <w:rsid w:val="00923ACC"/>
    <w:rsid w:val="00926958"/>
    <w:rsid w:val="00926AFD"/>
    <w:rsid w:val="009317B0"/>
    <w:rsid w:val="00932346"/>
    <w:rsid w:val="0093247C"/>
    <w:rsid w:val="00932D6C"/>
    <w:rsid w:val="00934359"/>
    <w:rsid w:val="009372EF"/>
    <w:rsid w:val="00943815"/>
    <w:rsid w:val="009448C5"/>
    <w:rsid w:val="0094512F"/>
    <w:rsid w:val="00951437"/>
    <w:rsid w:val="00951FEC"/>
    <w:rsid w:val="00953FE8"/>
    <w:rsid w:val="009572E2"/>
    <w:rsid w:val="00964906"/>
    <w:rsid w:val="00964B61"/>
    <w:rsid w:val="00965F55"/>
    <w:rsid w:val="00970943"/>
    <w:rsid w:val="00970C86"/>
    <w:rsid w:val="00971A11"/>
    <w:rsid w:val="009738CD"/>
    <w:rsid w:val="0097525F"/>
    <w:rsid w:val="0097705B"/>
    <w:rsid w:val="0098237E"/>
    <w:rsid w:val="00983AEF"/>
    <w:rsid w:val="00985750"/>
    <w:rsid w:val="00985B4D"/>
    <w:rsid w:val="00986DDB"/>
    <w:rsid w:val="00990E3F"/>
    <w:rsid w:val="00991DB4"/>
    <w:rsid w:val="00993750"/>
    <w:rsid w:val="00995562"/>
    <w:rsid w:val="00995864"/>
    <w:rsid w:val="00996944"/>
    <w:rsid w:val="009979AD"/>
    <w:rsid w:val="00997A9A"/>
    <w:rsid w:val="009A041A"/>
    <w:rsid w:val="009A0DA6"/>
    <w:rsid w:val="009A28B5"/>
    <w:rsid w:val="009A37CD"/>
    <w:rsid w:val="009B059A"/>
    <w:rsid w:val="009B0A14"/>
    <w:rsid w:val="009B0A8A"/>
    <w:rsid w:val="009B0E63"/>
    <w:rsid w:val="009B7F2E"/>
    <w:rsid w:val="009C0C84"/>
    <w:rsid w:val="009C1684"/>
    <w:rsid w:val="009C2B62"/>
    <w:rsid w:val="009C3578"/>
    <w:rsid w:val="009C3DAF"/>
    <w:rsid w:val="009C3E01"/>
    <w:rsid w:val="009C426E"/>
    <w:rsid w:val="009D08E6"/>
    <w:rsid w:val="009D12CD"/>
    <w:rsid w:val="009D4394"/>
    <w:rsid w:val="009D737E"/>
    <w:rsid w:val="009D7801"/>
    <w:rsid w:val="009E1BA0"/>
    <w:rsid w:val="009E2289"/>
    <w:rsid w:val="009E22EF"/>
    <w:rsid w:val="009E2B2D"/>
    <w:rsid w:val="009E38B3"/>
    <w:rsid w:val="009E46E8"/>
    <w:rsid w:val="009E7CA6"/>
    <w:rsid w:val="009F0B88"/>
    <w:rsid w:val="009F0C3F"/>
    <w:rsid w:val="009F0C62"/>
    <w:rsid w:val="009F0DAB"/>
    <w:rsid w:val="009F44CA"/>
    <w:rsid w:val="00A04242"/>
    <w:rsid w:val="00A055F2"/>
    <w:rsid w:val="00A061A4"/>
    <w:rsid w:val="00A06EEA"/>
    <w:rsid w:val="00A07797"/>
    <w:rsid w:val="00A07BA2"/>
    <w:rsid w:val="00A11943"/>
    <w:rsid w:val="00A120C0"/>
    <w:rsid w:val="00A126CF"/>
    <w:rsid w:val="00A13177"/>
    <w:rsid w:val="00A150ED"/>
    <w:rsid w:val="00A163C2"/>
    <w:rsid w:val="00A203DA"/>
    <w:rsid w:val="00A2137F"/>
    <w:rsid w:val="00A2522F"/>
    <w:rsid w:val="00A26DB5"/>
    <w:rsid w:val="00A27A35"/>
    <w:rsid w:val="00A3180D"/>
    <w:rsid w:val="00A326AA"/>
    <w:rsid w:val="00A32EAE"/>
    <w:rsid w:val="00A33F0B"/>
    <w:rsid w:val="00A3630D"/>
    <w:rsid w:val="00A363DA"/>
    <w:rsid w:val="00A37384"/>
    <w:rsid w:val="00A4055F"/>
    <w:rsid w:val="00A425FC"/>
    <w:rsid w:val="00A46AE8"/>
    <w:rsid w:val="00A47967"/>
    <w:rsid w:val="00A520BB"/>
    <w:rsid w:val="00A53C90"/>
    <w:rsid w:val="00A544DF"/>
    <w:rsid w:val="00A54C8F"/>
    <w:rsid w:val="00A5594A"/>
    <w:rsid w:val="00A55D22"/>
    <w:rsid w:val="00A57890"/>
    <w:rsid w:val="00A57B4E"/>
    <w:rsid w:val="00A61283"/>
    <w:rsid w:val="00A6219D"/>
    <w:rsid w:val="00A63F3F"/>
    <w:rsid w:val="00A646DE"/>
    <w:rsid w:val="00A72352"/>
    <w:rsid w:val="00A72AE0"/>
    <w:rsid w:val="00A73E58"/>
    <w:rsid w:val="00A74FE3"/>
    <w:rsid w:val="00A750DD"/>
    <w:rsid w:val="00A760A4"/>
    <w:rsid w:val="00A81243"/>
    <w:rsid w:val="00A845EC"/>
    <w:rsid w:val="00A852B4"/>
    <w:rsid w:val="00A90772"/>
    <w:rsid w:val="00A913D3"/>
    <w:rsid w:val="00A91BED"/>
    <w:rsid w:val="00A93E74"/>
    <w:rsid w:val="00A949A8"/>
    <w:rsid w:val="00A959B8"/>
    <w:rsid w:val="00A9628B"/>
    <w:rsid w:val="00A96390"/>
    <w:rsid w:val="00A97BB0"/>
    <w:rsid w:val="00A97D6D"/>
    <w:rsid w:val="00AA03D7"/>
    <w:rsid w:val="00AA196D"/>
    <w:rsid w:val="00AA220C"/>
    <w:rsid w:val="00AA31FA"/>
    <w:rsid w:val="00AA341B"/>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28DE"/>
    <w:rsid w:val="00AC4A36"/>
    <w:rsid w:val="00AC5219"/>
    <w:rsid w:val="00AC6A1B"/>
    <w:rsid w:val="00AC6CBD"/>
    <w:rsid w:val="00AD047E"/>
    <w:rsid w:val="00AD3355"/>
    <w:rsid w:val="00AD376A"/>
    <w:rsid w:val="00AD54FB"/>
    <w:rsid w:val="00AD5F2B"/>
    <w:rsid w:val="00AD6003"/>
    <w:rsid w:val="00AD6C7F"/>
    <w:rsid w:val="00AE0361"/>
    <w:rsid w:val="00AE169A"/>
    <w:rsid w:val="00AE1C64"/>
    <w:rsid w:val="00AE2742"/>
    <w:rsid w:val="00AE2E10"/>
    <w:rsid w:val="00AE3547"/>
    <w:rsid w:val="00AE36E5"/>
    <w:rsid w:val="00AE3C65"/>
    <w:rsid w:val="00AF0BC0"/>
    <w:rsid w:val="00AF21E6"/>
    <w:rsid w:val="00AF2BB0"/>
    <w:rsid w:val="00AF5288"/>
    <w:rsid w:val="00AF5D31"/>
    <w:rsid w:val="00AF655B"/>
    <w:rsid w:val="00AF75E2"/>
    <w:rsid w:val="00AF7B04"/>
    <w:rsid w:val="00B008C0"/>
    <w:rsid w:val="00B0302C"/>
    <w:rsid w:val="00B06365"/>
    <w:rsid w:val="00B1155E"/>
    <w:rsid w:val="00B1289A"/>
    <w:rsid w:val="00B12987"/>
    <w:rsid w:val="00B13340"/>
    <w:rsid w:val="00B13763"/>
    <w:rsid w:val="00B238B0"/>
    <w:rsid w:val="00B240CE"/>
    <w:rsid w:val="00B25132"/>
    <w:rsid w:val="00B2520D"/>
    <w:rsid w:val="00B25BB6"/>
    <w:rsid w:val="00B262F8"/>
    <w:rsid w:val="00B27A67"/>
    <w:rsid w:val="00B316A1"/>
    <w:rsid w:val="00B319BF"/>
    <w:rsid w:val="00B344D6"/>
    <w:rsid w:val="00B35BFC"/>
    <w:rsid w:val="00B366A1"/>
    <w:rsid w:val="00B37052"/>
    <w:rsid w:val="00B40CCC"/>
    <w:rsid w:val="00B42707"/>
    <w:rsid w:val="00B432A0"/>
    <w:rsid w:val="00B46D5E"/>
    <w:rsid w:val="00B4720A"/>
    <w:rsid w:val="00B50716"/>
    <w:rsid w:val="00B50FC5"/>
    <w:rsid w:val="00B55F78"/>
    <w:rsid w:val="00B561E8"/>
    <w:rsid w:val="00B57549"/>
    <w:rsid w:val="00B60A7D"/>
    <w:rsid w:val="00B64C19"/>
    <w:rsid w:val="00B67970"/>
    <w:rsid w:val="00B67996"/>
    <w:rsid w:val="00B720D3"/>
    <w:rsid w:val="00B7286F"/>
    <w:rsid w:val="00B72C7B"/>
    <w:rsid w:val="00B7431E"/>
    <w:rsid w:val="00B74E47"/>
    <w:rsid w:val="00B768E2"/>
    <w:rsid w:val="00B769AD"/>
    <w:rsid w:val="00B81025"/>
    <w:rsid w:val="00B81D11"/>
    <w:rsid w:val="00B823FC"/>
    <w:rsid w:val="00B82F46"/>
    <w:rsid w:val="00B905EC"/>
    <w:rsid w:val="00B90C10"/>
    <w:rsid w:val="00B919C4"/>
    <w:rsid w:val="00B9252C"/>
    <w:rsid w:val="00B92A35"/>
    <w:rsid w:val="00B9498B"/>
    <w:rsid w:val="00B951B1"/>
    <w:rsid w:val="00B96277"/>
    <w:rsid w:val="00B979BD"/>
    <w:rsid w:val="00B97A23"/>
    <w:rsid w:val="00BA4A84"/>
    <w:rsid w:val="00BA4C9A"/>
    <w:rsid w:val="00BA53B5"/>
    <w:rsid w:val="00BA68DB"/>
    <w:rsid w:val="00BA7ABE"/>
    <w:rsid w:val="00BB0A71"/>
    <w:rsid w:val="00BB201E"/>
    <w:rsid w:val="00BB3E2D"/>
    <w:rsid w:val="00BB3E77"/>
    <w:rsid w:val="00BB5C1E"/>
    <w:rsid w:val="00BB6DF6"/>
    <w:rsid w:val="00BB7AA8"/>
    <w:rsid w:val="00BC0359"/>
    <w:rsid w:val="00BC1EBF"/>
    <w:rsid w:val="00BC2E68"/>
    <w:rsid w:val="00BC44B6"/>
    <w:rsid w:val="00BC5542"/>
    <w:rsid w:val="00BC79C0"/>
    <w:rsid w:val="00BD1D37"/>
    <w:rsid w:val="00BD212B"/>
    <w:rsid w:val="00BD42DB"/>
    <w:rsid w:val="00BD6245"/>
    <w:rsid w:val="00BE1049"/>
    <w:rsid w:val="00BE17A9"/>
    <w:rsid w:val="00BE21B5"/>
    <w:rsid w:val="00BE231E"/>
    <w:rsid w:val="00BE407A"/>
    <w:rsid w:val="00BF1413"/>
    <w:rsid w:val="00BF19C4"/>
    <w:rsid w:val="00BF3BAD"/>
    <w:rsid w:val="00BF3CBD"/>
    <w:rsid w:val="00BF411A"/>
    <w:rsid w:val="00BF423A"/>
    <w:rsid w:val="00BF4C2E"/>
    <w:rsid w:val="00C00B5F"/>
    <w:rsid w:val="00C00D58"/>
    <w:rsid w:val="00C02A15"/>
    <w:rsid w:val="00C02C4F"/>
    <w:rsid w:val="00C0327F"/>
    <w:rsid w:val="00C0387E"/>
    <w:rsid w:val="00C1747F"/>
    <w:rsid w:val="00C17C2E"/>
    <w:rsid w:val="00C20E79"/>
    <w:rsid w:val="00C226E8"/>
    <w:rsid w:val="00C233B8"/>
    <w:rsid w:val="00C25BEE"/>
    <w:rsid w:val="00C26F1C"/>
    <w:rsid w:val="00C27743"/>
    <w:rsid w:val="00C31A37"/>
    <w:rsid w:val="00C3280C"/>
    <w:rsid w:val="00C356C1"/>
    <w:rsid w:val="00C35E26"/>
    <w:rsid w:val="00C36C28"/>
    <w:rsid w:val="00C3701E"/>
    <w:rsid w:val="00C4233A"/>
    <w:rsid w:val="00C4415C"/>
    <w:rsid w:val="00C44DC2"/>
    <w:rsid w:val="00C50014"/>
    <w:rsid w:val="00C50E68"/>
    <w:rsid w:val="00C5443A"/>
    <w:rsid w:val="00C569A3"/>
    <w:rsid w:val="00C60FF1"/>
    <w:rsid w:val="00C613B7"/>
    <w:rsid w:val="00C61512"/>
    <w:rsid w:val="00C61ED0"/>
    <w:rsid w:val="00C644A6"/>
    <w:rsid w:val="00C64CE8"/>
    <w:rsid w:val="00C65E9D"/>
    <w:rsid w:val="00C67D1A"/>
    <w:rsid w:val="00C704B7"/>
    <w:rsid w:val="00C71D94"/>
    <w:rsid w:val="00C73155"/>
    <w:rsid w:val="00C7447E"/>
    <w:rsid w:val="00C74C5F"/>
    <w:rsid w:val="00C7547C"/>
    <w:rsid w:val="00C75B3B"/>
    <w:rsid w:val="00C76852"/>
    <w:rsid w:val="00C7767B"/>
    <w:rsid w:val="00C77D9C"/>
    <w:rsid w:val="00C81EC7"/>
    <w:rsid w:val="00C847AF"/>
    <w:rsid w:val="00C860DD"/>
    <w:rsid w:val="00C8752E"/>
    <w:rsid w:val="00C901B4"/>
    <w:rsid w:val="00C92F49"/>
    <w:rsid w:val="00C93230"/>
    <w:rsid w:val="00C944BE"/>
    <w:rsid w:val="00C959C7"/>
    <w:rsid w:val="00CA2595"/>
    <w:rsid w:val="00CA3052"/>
    <w:rsid w:val="00CA3130"/>
    <w:rsid w:val="00CA3806"/>
    <w:rsid w:val="00CA69F1"/>
    <w:rsid w:val="00CB0B3E"/>
    <w:rsid w:val="00CB14F9"/>
    <w:rsid w:val="00CB1680"/>
    <w:rsid w:val="00CB3318"/>
    <w:rsid w:val="00CB6C6D"/>
    <w:rsid w:val="00CC05D0"/>
    <w:rsid w:val="00CC1CF8"/>
    <w:rsid w:val="00CC2078"/>
    <w:rsid w:val="00CC5CB2"/>
    <w:rsid w:val="00CC6507"/>
    <w:rsid w:val="00CC6B83"/>
    <w:rsid w:val="00CD10B1"/>
    <w:rsid w:val="00CD13CF"/>
    <w:rsid w:val="00CD38F0"/>
    <w:rsid w:val="00CD3EE5"/>
    <w:rsid w:val="00CD4D5D"/>
    <w:rsid w:val="00CD5018"/>
    <w:rsid w:val="00CD7168"/>
    <w:rsid w:val="00CE0116"/>
    <w:rsid w:val="00CE0AE1"/>
    <w:rsid w:val="00CE0E02"/>
    <w:rsid w:val="00CE285C"/>
    <w:rsid w:val="00CE2942"/>
    <w:rsid w:val="00CE43E0"/>
    <w:rsid w:val="00CE44DA"/>
    <w:rsid w:val="00CE5D7B"/>
    <w:rsid w:val="00CF09E4"/>
    <w:rsid w:val="00CF0F7A"/>
    <w:rsid w:val="00CF199D"/>
    <w:rsid w:val="00CF53F5"/>
    <w:rsid w:val="00CF5885"/>
    <w:rsid w:val="00CF6BA0"/>
    <w:rsid w:val="00CF7A5C"/>
    <w:rsid w:val="00CF7B6A"/>
    <w:rsid w:val="00CF7DAD"/>
    <w:rsid w:val="00D01126"/>
    <w:rsid w:val="00D012D3"/>
    <w:rsid w:val="00D02587"/>
    <w:rsid w:val="00D03382"/>
    <w:rsid w:val="00D038AC"/>
    <w:rsid w:val="00D056A2"/>
    <w:rsid w:val="00D10BD3"/>
    <w:rsid w:val="00D12A9F"/>
    <w:rsid w:val="00D16593"/>
    <w:rsid w:val="00D178E0"/>
    <w:rsid w:val="00D20C5C"/>
    <w:rsid w:val="00D21E06"/>
    <w:rsid w:val="00D22AEC"/>
    <w:rsid w:val="00D23214"/>
    <w:rsid w:val="00D25E4D"/>
    <w:rsid w:val="00D26A0C"/>
    <w:rsid w:val="00D2700C"/>
    <w:rsid w:val="00D300DF"/>
    <w:rsid w:val="00D32B32"/>
    <w:rsid w:val="00D336B8"/>
    <w:rsid w:val="00D353B7"/>
    <w:rsid w:val="00D37365"/>
    <w:rsid w:val="00D3778B"/>
    <w:rsid w:val="00D37F0C"/>
    <w:rsid w:val="00D4133C"/>
    <w:rsid w:val="00D42A06"/>
    <w:rsid w:val="00D440C9"/>
    <w:rsid w:val="00D44A45"/>
    <w:rsid w:val="00D47B67"/>
    <w:rsid w:val="00D5114F"/>
    <w:rsid w:val="00D53F84"/>
    <w:rsid w:val="00D56944"/>
    <w:rsid w:val="00D56954"/>
    <w:rsid w:val="00D56F2F"/>
    <w:rsid w:val="00D62E47"/>
    <w:rsid w:val="00D70A58"/>
    <w:rsid w:val="00D7211C"/>
    <w:rsid w:val="00D74BF3"/>
    <w:rsid w:val="00D74C4C"/>
    <w:rsid w:val="00D75C1C"/>
    <w:rsid w:val="00D77F8C"/>
    <w:rsid w:val="00D80252"/>
    <w:rsid w:val="00D8251C"/>
    <w:rsid w:val="00D82A24"/>
    <w:rsid w:val="00D82DB4"/>
    <w:rsid w:val="00D83B95"/>
    <w:rsid w:val="00D846CA"/>
    <w:rsid w:val="00D84A3C"/>
    <w:rsid w:val="00D92179"/>
    <w:rsid w:val="00D94567"/>
    <w:rsid w:val="00D9647E"/>
    <w:rsid w:val="00DA4694"/>
    <w:rsid w:val="00DA5C32"/>
    <w:rsid w:val="00DA6D7B"/>
    <w:rsid w:val="00DA770E"/>
    <w:rsid w:val="00DB0BF5"/>
    <w:rsid w:val="00DB0CEC"/>
    <w:rsid w:val="00DB1185"/>
    <w:rsid w:val="00DB3C6E"/>
    <w:rsid w:val="00DB3D51"/>
    <w:rsid w:val="00DB4281"/>
    <w:rsid w:val="00DB7133"/>
    <w:rsid w:val="00DC0208"/>
    <w:rsid w:val="00DC1607"/>
    <w:rsid w:val="00DC465C"/>
    <w:rsid w:val="00DC4F6F"/>
    <w:rsid w:val="00DC6E1E"/>
    <w:rsid w:val="00DD4374"/>
    <w:rsid w:val="00DD6502"/>
    <w:rsid w:val="00DD6E07"/>
    <w:rsid w:val="00DD714C"/>
    <w:rsid w:val="00DE0CDD"/>
    <w:rsid w:val="00DE1254"/>
    <w:rsid w:val="00DE29D7"/>
    <w:rsid w:val="00DE3681"/>
    <w:rsid w:val="00DE4B4B"/>
    <w:rsid w:val="00DE4B85"/>
    <w:rsid w:val="00DF55DF"/>
    <w:rsid w:val="00DF5A32"/>
    <w:rsid w:val="00DF61D8"/>
    <w:rsid w:val="00E0083E"/>
    <w:rsid w:val="00E024D2"/>
    <w:rsid w:val="00E030C9"/>
    <w:rsid w:val="00E05439"/>
    <w:rsid w:val="00E05F1D"/>
    <w:rsid w:val="00E10534"/>
    <w:rsid w:val="00E10E97"/>
    <w:rsid w:val="00E13CFC"/>
    <w:rsid w:val="00E14310"/>
    <w:rsid w:val="00E17431"/>
    <w:rsid w:val="00E20D35"/>
    <w:rsid w:val="00E22084"/>
    <w:rsid w:val="00E22767"/>
    <w:rsid w:val="00E245A6"/>
    <w:rsid w:val="00E25C2D"/>
    <w:rsid w:val="00E2791D"/>
    <w:rsid w:val="00E32A1D"/>
    <w:rsid w:val="00E33788"/>
    <w:rsid w:val="00E3410E"/>
    <w:rsid w:val="00E34D12"/>
    <w:rsid w:val="00E4045B"/>
    <w:rsid w:val="00E41D60"/>
    <w:rsid w:val="00E420B0"/>
    <w:rsid w:val="00E42A3E"/>
    <w:rsid w:val="00E450B0"/>
    <w:rsid w:val="00E457EF"/>
    <w:rsid w:val="00E50B0C"/>
    <w:rsid w:val="00E53E5F"/>
    <w:rsid w:val="00E57A45"/>
    <w:rsid w:val="00E613F6"/>
    <w:rsid w:val="00E63261"/>
    <w:rsid w:val="00E63383"/>
    <w:rsid w:val="00E63412"/>
    <w:rsid w:val="00E6347A"/>
    <w:rsid w:val="00E63E21"/>
    <w:rsid w:val="00E66849"/>
    <w:rsid w:val="00E7010B"/>
    <w:rsid w:val="00E70BA3"/>
    <w:rsid w:val="00E7139A"/>
    <w:rsid w:val="00E7148B"/>
    <w:rsid w:val="00E71513"/>
    <w:rsid w:val="00E8003D"/>
    <w:rsid w:val="00E83567"/>
    <w:rsid w:val="00E84FBC"/>
    <w:rsid w:val="00E8578F"/>
    <w:rsid w:val="00E876BF"/>
    <w:rsid w:val="00E8798B"/>
    <w:rsid w:val="00E90397"/>
    <w:rsid w:val="00E90BDB"/>
    <w:rsid w:val="00E9160D"/>
    <w:rsid w:val="00E91B23"/>
    <w:rsid w:val="00E92407"/>
    <w:rsid w:val="00E9262A"/>
    <w:rsid w:val="00E927E9"/>
    <w:rsid w:val="00EA0A6E"/>
    <w:rsid w:val="00EA3CBF"/>
    <w:rsid w:val="00EA6A93"/>
    <w:rsid w:val="00EB1275"/>
    <w:rsid w:val="00EB3DA4"/>
    <w:rsid w:val="00EB512C"/>
    <w:rsid w:val="00EB5CE0"/>
    <w:rsid w:val="00EB6DB1"/>
    <w:rsid w:val="00EC1B98"/>
    <w:rsid w:val="00EC212C"/>
    <w:rsid w:val="00EC3A14"/>
    <w:rsid w:val="00EC6507"/>
    <w:rsid w:val="00ED08E0"/>
    <w:rsid w:val="00ED0A35"/>
    <w:rsid w:val="00ED0E52"/>
    <w:rsid w:val="00ED208B"/>
    <w:rsid w:val="00ED21D7"/>
    <w:rsid w:val="00ED3242"/>
    <w:rsid w:val="00ED3ECF"/>
    <w:rsid w:val="00ED6D4F"/>
    <w:rsid w:val="00EE2602"/>
    <w:rsid w:val="00EE2DA4"/>
    <w:rsid w:val="00EE3490"/>
    <w:rsid w:val="00EE3CAE"/>
    <w:rsid w:val="00EE4132"/>
    <w:rsid w:val="00EE6DC8"/>
    <w:rsid w:val="00EE7827"/>
    <w:rsid w:val="00EF0368"/>
    <w:rsid w:val="00EF1231"/>
    <w:rsid w:val="00EF14C7"/>
    <w:rsid w:val="00EF5B11"/>
    <w:rsid w:val="00F00060"/>
    <w:rsid w:val="00F000D3"/>
    <w:rsid w:val="00F015C6"/>
    <w:rsid w:val="00F0204A"/>
    <w:rsid w:val="00F072DE"/>
    <w:rsid w:val="00F07323"/>
    <w:rsid w:val="00F0772F"/>
    <w:rsid w:val="00F07882"/>
    <w:rsid w:val="00F10B2A"/>
    <w:rsid w:val="00F10E1E"/>
    <w:rsid w:val="00F110FB"/>
    <w:rsid w:val="00F1110B"/>
    <w:rsid w:val="00F1392B"/>
    <w:rsid w:val="00F15160"/>
    <w:rsid w:val="00F16205"/>
    <w:rsid w:val="00F1633B"/>
    <w:rsid w:val="00F172D8"/>
    <w:rsid w:val="00F17D6E"/>
    <w:rsid w:val="00F2043B"/>
    <w:rsid w:val="00F21DC2"/>
    <w:rsid w:val="00F242C1"/>
    <w:rsid w:val="00F26236"/>
    <w:rsid w:val="00F26367"/>
    <w:rsid w:val="00F267CA"/>
    <w:rsid w:val="00F2778E"/>
    <w:rsid w:val="00F30696"/>
    <w:rsid w:val="00F34D03"/>
    <w:rsid w:val="00F3576A"/>
    <w:rsid w:val="00F35B2B"/>
    <w:rsid w:val="00F37B26"/>
    <w:rsid w:val="00F40B47"/>
    <w:rsid w:val="00F439AD"/>
    <w:rsid w:val="00F44D62"/>
    <w:rsid w:val="00F45A2A"/>
    <w:rsid w:val="00F4664B"/>
    <w:rsid w:val="00F468FE"/>
    <w:rsid w:val="00F476A1"/>
    <w:rsid w:val="00F533A3"/>
    <w:rsid w:val="00F576F1"/>
    <w:rsid w:val="00F60675"/>
    <w:rsid w:val="00F62DC9"/>
    <w:rsid w:val="00F645FF"/>
    <w:rsid w:val="00F6463B"/>
    <w:rsid w:val="00F656D5"/>
    <w:rsid w:val="00F65C1B"/>
    <w:rsid w:val="00F70872"/>
    <w:rsid w:val="00F718BA"/>
    <w:rsid w:val="00F71D56"/>
    <w:rsid w:val="00F722CD"/>
    <w:rsid w:val="00F7526B"/>
    <w:rsid w:val="00F80355"/>
    <w:rsid w:val="00F8366A"/>
    <w:rsid w:val="00F8387B"/>
    <w:rsid w:val="00F85C06"/>
    <w:rsid w:val="00F87597"/>
    <w:rsid w:val="00F946AC"/>
    <w:rsid w:val="00F94F85"/>
    <w:rsid w:val="00F950A3"/>
    <w:rsid w:val="00F95C50"/>
    <w:rsid w:val="00F979BA"/>
    <w:rsid w:val="00FA0C0A"/>
    <w:rsid w:val="00FA0E10"/>
    <w:rsid w:val="00FA11A4"/>
    <w:rsid w:val="00FA27DB"/>
    <w:rsid w:val="00FA27DF"/>
    <w:rsid w:val="00FA43B4"/>
    <w:rsid w:val="00FA5C55"/>
    <w:rsid w:val="00FA79DC"/>
    <w:rsid w:val="00FB1A3D"/>
    <w:rsid w:val="00FB1E81"/>
    <w:rsid w:val="00FB2431"/>
    <w:rsid w:val="00FC0100"/>
    <w:rsid w:val="00FC02C0"/>
    <w:rsid w:val="00FC0D7C"/>
    <w:rsid w:val="00FC1A5A"/>
    <w:rsid w:val="00FC38BB"/>
    <w:rsid w:val="00FC3A1F"/>
    <w:rsid w:val="00FC60B1"/>
    <w:rsid w:val="00FC7CF2"/>
    <w:rsid w:val="00FD0FBD"/>
    <w:rsid w:val="00FD330F"/>
    <w:rsid w:val="00FD4289"/>
    <w:rsid w:val="00FD4669"/>
    <w:rsid w:val="00FD4AF9"/>
    <w:rsid w:val="00FD5489"/>
    <w:rsid w:val="00FD65AD"/>
    <w:rsid w:val="00FD67FF"/>
    <w:rsid w:val="00FD6F08"/>
    <w:rsid w:val="00FE008E"/>
    <w:rsid w:val="00FE038C"/>
    <w:rsid w:val="00FE0D7E"/>
    <w:rsid w:val="00FE18AC"/>
    <w:rsid w:val="00FE2F95"/>
    <w:rsid w:val="00FE591B"/>
    <w:rsid w:val="00FE7B9A"/>
    <w:rsid w:val="00FE7D76"/>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0B2293"/>
  <w15:docId w15:val="{1993934A-001F-4E4B-B155-D7087937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A37"/>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uiPriority w:val="99"/>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3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uiPriority w:val="99"/>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paragraph" w:customStyle="1" w:styleId="pub-c-lead-paragraph">
    <w:name w:val="pub-c-lead-paragraph"/>
    <w:basedOn w:val="Normal"/>
    <w:rsid w:val="00C31A37"/>
    <w:pPr>
      <w:spacing w:before="100" w:beforeAutospacing="1" w:after="100" w:afterAutospacing="1"/>
    </w:pPr>
    <w:rPr>
      <w:rFonts w:ascii="Times New Roman" w:eastAsia="Times New Roman" w:hAnsi="Times New Roman"/>
      <w:sz w:val="24"/>
      <w:lang w:eastAsia="en-GB"/>
    </w:rPr>
  </w:style>
  <w:style w:type="paragraph" w:customStyle="1" w:styleId="TableText">
    <w:name w:val="Table Text"/>
    <w:basedOn w:val="Normal"/>
    <w:qFormat/>
    <w:rsid w:val="005622C0"/>
    <w:rPr>
      <w:rFonts w:eastAsiaTheme="minorEastAsia" w:cs="Arial"/>
      <w:lang w:val="en-US" w:eastAsia="en-US"/>
    </w:rPr>
  </w:style>
  <w:style w:type="paragraph" w:customStyle="1" w:styleId="TableNumber">
    <w:name w:val="Table Number"/>
    <w:basedOn w:val="ListParagraph"/>
    <w:qFormat/>
    <w:rsid w:val="00334EA6"/>
    <w:pPr>
      <w:ind w:hanging="360"/>
      <w:contextualSpacing/>
    </w:pPr>
    <w:rPr>
      <w:rFonts w:eastAsiaTheme="minorEastAsia" w:cs="Arial"/>
      <w:lang w:val="en-US" w:eastAsia="en-US"/>
    </w:rPr>
  </w:style>
  <w:style w:type="paragraph" w:customStyle="1" w:styleId="TableBullet">
    <w:name w:val="Table Bullet"/>
    <w:basedOn w:val="ListParagraph"/>
    <w:qFormat/>
    <w:rsid w:val="000E566D"/>
    <w:pPr>
      <w:numPr>
        <w:numId w:val="25"/>
      </w:numPr>
      <w:overflowPunct w:val="0"/>
      <w:autoSpaceDE w:val="0"/>
      <w:autoSpaceDN w:val="0"/>
      <w:adjustRightInd w:val="0"/>
      <w:ind w:left="304" w:hanging="284"/>
      <w:contextualSpacing/>
      <w:jc w:val="both"/>
      <w:textAlignment w:val="baseline"/>
    </w:pPr>
    <w:rPr>
      <w:rFonts w:cs="Arial"/>
    </w:rPr>
  </w:style>
  <w:style w:type="paragraph" w:customStyle="1" w:styleId="BodyTextClose">
    <w:name w:val="Body Text Close"/>
    <w:basedOn w:val="BodyText"/>
    <w:qFormat/>
    <w:rsid w:val="005512F4"/>
    <w:pPr>
      <w:overflowPunct/>
      <w:autoSpaceDE/>
      <w:autoSpaceDN/>
      <w:adjustRightInd/>
      <w:spacing w:after="0"/>
      <w:jc w:val="left"/>
      <w:textAlignment w:val="auto"/>
    </w:pPr>
    <w:rPr>
      <w:rFonts w:eastAsiaTheme="minorEastAsia" w:cstheme="minorBidi"/>
      <w:szCs w:val="24"/>
      <w:lang w:val="en-US"/>
    </w:rPr>
  </w:style>
  <w:style w:type="paragraph" w:customStyle="1" w:styleId="TableHeading">
    <w:name w:val="Table Heading"/>
    <w:basedOn w:val="TableText"/>
    <w:qFormat/>
    <w:rsid w:val="005512F4"/>
    <w:pPr>
      <w:spacing w:before="40" w:after="40"/>
    </w:pPr>
    <w:rPr>
      <w:rFonts w:eastAsia="Times New Roman"/>
      <w:b/>
      <w:lang w:val="en-GB" w:eastAsia="en-GB"/>
    </w:rPr>
  </w:style>
  <w:style w:type="paragraph" w:customStyle="1" w:styleId="TableTextBold">
    <w:name w:val="Table Text Bold"/>
    <w:basedOn w:val="TableText"/>
    <w:qFormat/>
    <w:rsid w:val="005512F4"/>
    <w:rPr>
      <w:rFonts w:eastAsia="Times New Roman"/>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887645">
      <w:bodyDiv w:val="1"/>
      <w:marLeft w:val="0"/>
      <w:marRight w:val="0"/>
      <w:marTop w:val="0"/>
      <w:marBottom w:val="0"/>
      <w:divBdr>
        <w:top w:val="none" w:sz="0" w:space="0" w:color="auto"/>
        <w:left w:val="none" w:sz="0" w:space="0" w:color="auto"/>
        <w:bottom w:val="none" w:sz="0" w:space="0" w:color="auto"/>
        <w:right w:val="none" w:sz="0" w:space="0" w:color="auto"/>
      </w:divBdr>
      <w:divsChild>
        <w:div w:id="1451625500">
          <w:marLeft w:val="0"/>
          <w:marRight w:val="0"/>
          <w:marTop w:val="0"/>
          <w:marBottom w:val="0"/>
          <w:divBdr>
            <w:top w:val="none" w:sz="0" w:space="0" w:color="auto"/>
            <w:left w:val="none" w:sz="0" w:space="0" w:color="auto"/>
            <w:bottom w:val="none" w:sz="0" w:space="0" w:color="auto"/>
            <w:right w:val="none" w:sz="0" w:space="0" w:color="auto"/>
          </w:divBdr>
          <w:divsChild>
            <w:div w:id="723721083">
              <w:marLeft w:val="0"/>
              <w:marRight w:val="0"/>
              <w:marTop w:val="0"/>
              <w:marBottom w:val="0"/>
              <w:divBdr>
                <w:top w:val="none" w:sz="0" w:space="0" w:color="auto"/>
                <w:left w:val="none" w:sz="0" w:space="0" w:color="auto"/>
                <w:bottom w:val="none" w:sz="0" w:space="0" w:color="auto"/>
                <w:right w:val="none" w:sz="0" w:space="0" w:color="auto"/>
              </w:divBdr>
              <w:divsChild>
                <w:div w:id="1874926627">
                  <w:marLeft w:val="0"/>
                  <w:marRight w:val="0"/>
                  <w:marTop w:val="0"/>
                  <w:marBottom w:val="0"/>
                  <w:divBdr>
                    <w:top w:val="none" w:sz="0" w:space="0" w:color="auto"/>
                    <w:left w:val="none" w:sz="0" w:space="0" w:color="auto"/>
                    <w:bottom w:val="none" w:sz="0" w:space="0" w:color="auto"/>
                    <w:right w:val="none" w:sz="0" w:space="0" w:color="auto"/>
                  </w:divBdr>
                </w:div>
                <w:div w:id="323514640">
                  <w:marLeft w:val="0"/>
                  <w:marRight w:val="0"/>
                  <w:marTop w:val="0"/>
                  <w:marBottom w:val="0"/>
                  <w:divBdr>
                    <w:top w:val="none" w:sz="0" w:space="0" w:color="auto"/>
                    <w:left w:val="none" w:sz="0" w:space="0" w:color="auto"/>
                    <w:bottom w:val="none" w:sz="0" w:space="0" w:color="auto"/>
                    <w:right w:val="none" w:sz="0" w:space="0" w:color="auto"/>
                  </w:divBdr>
                  <w:divsChild>
                    <w:div w:id="425273938">
                      <w:marLeft w:val="0"/>
                      <w:marRight w:val="0"/>
                      <w:marTop w:val="0"/>
                      <w:marBottom w:val="0"/>
                      <w:divBdr>
                        <w:top w:val="none" w:sz="0" w:space="0" w:color="auto"/>
                        <w:left w:val="none" w:sz="0" w:space="0" w:color="auto"/>
                        <w:bottom w:val="none" w:sz="0" w:space="0" w:color="auto"/>
                        <w:right w:val="none" w:sz="0" w:space="0" w:color="auto"/>
                      </w:divBdr>
                      <w:divsChild>
                        <w:div w:id="180966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40158307">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uk/government/publications/hmg-personnel-security-controls" TargetMode="External"/><Relationship Id="rId4" Type="http://schemas.openxmlformats.org/officeDocument/2006/relationships/settings" Target="settings.xml"/><Relationship Id="rId9" Type="http://schemas.openxmlformats.org/officeDocument/2006/relationships/hyperlink" Target="https://urldefense.proofpoint.com/v2/url?u=https-3A__www.ncsc.gov.uk_guidance_security-2Doperations-2Dcentre-2Dsoc-2Dbuyers-2Dguide&amp;d=DwMFaQ&amp;c=cUkzcZGZt-E3UgRE832-4A&amp;r=ckcPamptTkUeQLipUvrAVv7P9w_f1qf8dQlQtr-oE8o&amp;m=sx5oAhCeHg2V07q1Sf5Mvtn_rAp1Oh4PmhGivoRSXyw&amp;s=DWTsii_DN9hXCCQyM5zKdZkAsGRrnkKpE5Vj2MUWL4w&amp;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A3363-FE17-4B38-8142-9208A3A85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3784</Words>
  <Characters>21573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25307</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Bergin</dc:creator>
  <cp:lastModifiedBy>Gavin Scott</cp:lastModifiedBy>
  <cp:revision>2</cp:revision>
  <dcterms:created xsi:type="dcterms:W3CDTF">2017-12-29T10:56:00Z</dcterms:created>
  <dcterms:modified xsi:type="dcterms:W3CDTF">2017-12-29T10:56:00Z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