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FB" w:rsidRPr="00CD0A65" w:rsidRDefault="00CD0A65" w:rsidP="00CD0A65">
      <w:pPr>
        <w:pStyle w:val="Heading1"/>
        <w:rPr>
          <w:rFonts w:ascii="Arial" w:hAnsi="Arial" w:cs="Arial"/>
        </w:rPr>
      </w:pPr>
      <w:r w:rsidRPr="00CD0A65">
        <w:rPr>
          <w:rFonts w:ascii="Arial" w:hAnsi="Arial" w:cs="Arial"/>
        </w:rPr>
        <w:t>Provider Engagement Event – 23</w:t>
      </w:r>
      <w:r w:rsidRPr="00CD0A65">
        <w:rPr>
          <w:rFonts w:ascii="Arial" w:hAnsi="Arial" w:cs="Arial"/>
          <w:vertAlign w:val="superscript"/>
        </w:rPr>
        <w:t>rd</w:t>
      </w:r>
      <w:r w:rsidR="00DC20E7">
        <w:rPr>
          <w:rFonts w:ascii="Arial" w:hAnsi="Arial" w:cs="Arial"/>
        </w:rPr>
        <w:t xml:space="preserve"> June 2017</w:t>
      </w:r>
      <w:bookmarkStart w:id="0" w:name="_GoBack"/>
      <w:bookmarkEnd w:id="0"/>
    </w:p>
    <w:p w:rsidR="00CD0A65" w:rsidRDefault="00CD0A65" w:rsidP="00CD0A65">
      <w:pPr>
        <w:pStyle w:val="Heading2"/>
        <w:spacing w:after="240"/>
        <w:rPr>
          <w:rFonts w:ascii="Arial" w:hAnsi="Arial" w:cs="Arial"/>
        </w:rPr>
      </w:pPr>
      <w:r w:rsidRPr="00CD0A65">
        <w:rPr>
          <w:rFonts w:ascii="Arial" w:hAnsi="Arial" w:cs="Arial"/>
        </w:rPr>
        <w:t>Question &amp; Answer Log</w:t>
      </w:r>
    </w:p>
    <w:tbl>
      <w:tblPr>
        <w:tblStyle w:val="TableGrid"/>
        <w:tblW w:w="0" w:type="auto"/>
        <w:tblLook w:val="04A0" w:firstRow="1" w:lastRow="0" w:firstColumn="1" w:lastColumn="0" w:noHBand="0" w:noVBand="1"/>
      </w:tblPr>
      <w:tblGrid>
        <w:gridCol w:w="4621"/>
        <w:gridCol w:w="4621"/>
      </w:tblGrid>
      <w:tr w:rsidR="00CD0A65" w:rsidRPr="00B338DA" w:rsidTr="00CD0A65">
        <w:tc>
          <w:tcPr>
            <w:tcW w:w="4621" w:type="dxa"/>
          </w:tcPr>
          <w:p w:rsidR="00CD0A65" w:rsidRPr="00B338DA" w:rsidRDefault="00CD0A65" w:rsidP="00CD0A65">
            <w:pPr>
              <w:rPr>
                <w:rFonts w:ascii="Arial" w:hAnsi="Arial" w:cs="Arial"/>
                <w:b/>
              </w:rPr>
            </w:pPr>
            <w:r w:rsidRPr="00B338DA">
              <w:rPr>
                <w:rFonts w:ascii="Arial" w:hAnsi="Arial" w:cs="Arial"/>
                <w:b/>
              </w:rPr>
              <w:t>Question</w:t>
            </w:r>
          </w:p>
        </w:tc>
        <w:tc>
          <w:tcPr>
            <w:tcW w:w="4621" w:type="dxa"/>
          </w:tcPr>
          <w:p w:rsidR="00CD0A65" w:rsidRPr="00B338DA" w:rsidRDefault="00CD0A65" w:rsidP="00CD0A65">
            <w:pPr>
              <w:rPr>
                <w:rFonts w:ascii="Arial" w:hAnsi="Arial" w:cs="Arial"/>
                <w:b/>
              </w:rPr>
            </w:pPr>
            <w:r w:rsidRPr="00B338DA">
              <w:rPr>
                <w:rFonts w:ascii="Arial" w:hAnsi="Arial" w:cs="Arial"/>
                <w:b/>
              </w:rPr>
              <w:t>Answer</w:t>
            </w:r>
          </w:p>
        </w:tc>
      </w:tr>
      <w:tr w:rsidR="00CD0A65" w:rsidRPr="00B338DA" w:rsidTr="00CD0A65">
        <w:tc>
          <w:tcPr>
            <w:tcW w:w="4621" w:type="dxa"/>
          </w:tcPr>
          <w:p w:rsidR="00CD0A65" w:rsidRPr="00B338DA" w:rsidRDefault="00544B02" w:rsidP="007862D9">
            <w:pPr>
              <w:jc w:val="both"/>
              <w:rPr>
                <w:rFonts w:ascii="Arial" w:hAnsi="Arial" w:cs="Arial"/>
              </w:rPr>
            </w:pPr>
            <w:r w:rsidRPr="00B338DA">
              <w:rPr>
                <w:rFonts w:ascii="Arial" w:hAnsi="Arial" w:cs="Arial"/>
              </w:rPr>
              <w:t>Is there a budget envelope and was the £100k figure in the Market Engagement Notice</w:t>
            </w:r>
            <w:r w:rsidR="00BE0F5C" w:rsidRPr="00B338DA">
              <w:rPr>
                <w:rFonts w:ascii="Arial" w:hAnsi="Arial" w:cs="Arial"/>
              </w:rPr>
              <w:t xml:space="preserve"> indicative</w:t>
            </w:r>
            <w:r w:rsidR="00112D4F" w:rsidRPr="00B338DA">
              <w:rPr>
                <w:rFonts w:ascii="Arial" w:hAnsi="Arial" w:cs="Arial"/>
              </w:rPr>
              <w:t xml:space="preserve"> of the expected tender pricing?</w:t>
            </w:r>
          </w:p>
        </w:tc>
        <w:tc>
          <w:tcPr>
            <w:tcW w:w="4621" w:type="dxa"/>
          </w:tcPr>
          <w:p w:rsidR="00CD0A65" w:rsidRPr="00B338DA" w:rsidRDefault="001309E3" w:rsidP="007862D9">
            <w:pPr>
              <w:jc w:val="both"/>
              <w:rPr>
                <w:rFonts w:ascii="Arial" w:hAnsi="Arial" w:cs="Arial"/>
              </w:rPr>
            </w:pPr>
            <w:r w:rsidRPr="00B338DA">
              <w:rPr>
                <w:rFonts w:ascii="Arial" w:hAnsi="Arial" w:cs="Arial"/>
              </w:rPr>
              <w:t xml:space="preserve">The £100k figure was used in the Market Engagement Notice to indicate the financial scale of the </w:t>
            </w:r>
            <w:r w:rsidR="007862D9" w:rsidRPr="00B338DA">
              <w:rPr>
                <w:rFonts w:ascii="Arial" w:hAnsi="Arial" w:cs="Arial"/>
              </w:rPr>
              <w:t>tender;</w:t>
            </w:r>
            <w:r w:rsidR="00EA5033" w:rsidRPr="00B338DA">
              <w:rPr>
                <w:rFonts w:ascii="Arial" w:hAnsi="Arial" w:cs="Arial"/>
              </w:rPr>
              <w:t xml:space="preserve"> </w:t>
            </w:r>
            <w:r w:rsidRPr="00B338DA">
              <w:rPr>
                <w:rFonts w:ascii="Arial" w:hAnsi="Arial" w:cs="Arial"/>
              </w:rPr>
              <w:t xml:space="preserve">it is neither an upper or lower budget envelope </w:t>
            </w:r>
            <w:r w:rsidR="00EA5033" w:rsidRPr="00B338DA">
              <w:rPr>
                <w:rFonts w:ascii="Arial" w:hAnsi="Arial" w:cs="Arial"/>
              </w:rPr>
              <w:t>limit</w:t>
            </w:r>
            <w:r w:rsidRPr="00B338DA">
              <w:rPr>
                <w:rFonts w:ascii="Arial" w:hAnsi="Arial" w:cs="Arial"/>
              </w:rPr>
              <w:t xml:space="preserve">. We expect to see a range of tender prices </w:t>
            </w:r>
            <w:r w:rsidR="00EA5033" w:rsidRPr="00B338DA">
              <w:rPr>
                <w:rFonts w:ascii="Arial" w:hAnsi="Arial" w:cs="Arial"/>
              </w:rPr>
              <w:t xml:space="preserve">reflecting individual providers models based on the delivery of the essential specification items. Given the service requirements we would expect to see prices up to </w:t>
            </w:r>
            <w:r w:rsidR="007862D9" w:rsidRPr="00B338DA">
              <w:rPr>
                <w:rFonts w:ascii="Arial" w:hAnsi="Arial" w:cs="Arial"/>
              </w:rPr>
              <w:t>approximately 25</w:t>
            </w:r>
            <w:r w:rsidR="00EA5033" w:rsidRPr="00B338DA">
              <w:rPr>
                <w:rFonts w:ascii="Arial" w:hAnsi="Arial" w:cs="Arial"/>
              </w:rPr>
              <w:t>% above the Market Engagement Event figure.</w:t>
            </w:r>
          </w:p>
        </w:tc>
      </w:tr>
      <w:tr w:rsidR="00AE2EA6" w:rsidRPr="00B338DA" w:rsidTr="00CD0A65">
        <w:tc>
          <w:tcPr>
            <w:tcW w:w="4621" w:type="dxa"/>
          </w:tcPr>
          <w:p w:rsidR="00AE2EA6" w:rsidRPr="00B338DA" w:rsidRDefault="00AE2EA6" w:rsidP="007862D9">
            <w:pPr>
              <w:jc w:val="both"/>
              <w:rPr>
                <w:rFonts w:ascii="Arial" w:hAnsi="Arial" w:cs="Arial"/>
              </w:rPr>
            </w:pPr>
            <w:r>
              <w:rPr>
                <w:rFonts w:ascii="Arial" w:hAnsi="Arial" w:cs="Arial"/>
              </w:rPr>
              <w:t>Will we be penalised if we do not achieve the service lead time?</w:t>
            </w:r>
          </w:p>
        </w:tc>
        <w:tc>
          <w:tcPr>
            <w:tcW w:w="4621" w:type="dxa"/>
          </w:tcPr>
          <w:p w:rsidR="00AE2EA6" w:rsidRPr="00B338DA" w:rsidRDefault="00AE2EA6" w:rsidP="007862D9">
            <w:pPr>
              <w:jc w:val="both"/>
              <w:rPr>
                <w:rFonts w:ascii="Arial" w:hAnsi="Arial" w:cs="Arial"/>
              </w:rPr>
            </w:pPr>
            <w:r>
              <w:rPr>
                <w:rFonts w:ascii="Arial" w:hAnsi="Arial" w:cs="Arial"/>
              </w:rPr>
              <w:t>We expect providers to show how they will mobilise to achieve the required service timescales.</w:t>
            </w:r>
          </w:p>
        </w:tc>
      </w:tr>
      <w:tr w:rsidR="00CD0A65" w:rsidRPr="00B338DA" w:rsidTr="00CD0A65">
        <w:tc>
          <w:tcPr>
            <w:tcW w:w="4621" w:type="dxa"/>
          </w:tcPr>
          <w:p w:rsidR="00CD0A65" w:rsidRPr="00B338DA" w:rsidRDefault="00DC5268" w:rsidP="007862D9">
            <w:pPr>
              <w:jc w:val="both"/>
              <w:rPr>
                <w:rFonts w:ascii="Arial" w:hAnsi="Arial" w:cs="Arial"/>
              </w:rPr>
            </w:pPr>
            <w:r w:rsidRPr="00B338DA">
              <w:rPr>
                <w:rFonts w:ascii="Arial" w:hAnsi="Arial" w:cs="Arial"/>
              </w:rPr>
              <w:t>Given what appears to be a very tight lead time i</w:t>
            </w:r>
            <w:r w:rsidR="00EA5033" w:rsidRPr="00B338DA">
              <w:rPr>
                <w:rFonts w:ascii="Arial" w:hAnsi="Arial" w:cs="Arial"/>
              </w:rPr>
              <w:t>s a soft launch an option?</w:t>
            </w:r>
          </w:p>
        </w:tc>
        <w:tc>
          <w:tcPr>
            <w:tcW w:w="4621" w:type="dxa"/>
          </w:tcPr>
          <w:p w:rsidR="00CD0A65" w:rsidRPr="00B338DA" w:rsidRDefault="00112D4F" w:rsidP="007862D9">
            <w:pPr>
              <w:jc w:val="both"/>
              <w:rPr>
                <w:rFonts w:ascii="Arial" w:hAnsi="Arial" w:cs="Arial"/>
              </w:rPr>
            </w:pPr>
            <w:r w:rsidRPr="00B338DA">
              <w:rPr>
                <w:rFonts w:ascii="Arial" w:hAnsi="Arial" w:cs="Arial"/>
              </w:rPr>
              <w:t>We are evaluating the potential for a soft launch of the service and the outcome will be reflected in the specification document within the ITT.</w:t>
            </w:r>
          </w:p>
        </w:tc>
      </w:tr>
      <w:tr w:rsidR="00CD0A65" w:rsidRPr="00B338DA" w:rsidTr="00CD0A65">
        <w:tc>
          <w:tcPr>
            <w:tcW w:w="4621" w:type="dxa"/>
          </w:tcPr>
          <w:p w:rsidR="00CD0A65" w:rsidRPr="00B338DA" w:rsidRDefault="00112D4F" w:rsidP="007862D9">
            <w:pPr>
              <w:jc w:val="both"/>
              <w:rPr>
                <w:rFonts w:ascii="Arial" w:hAnsi="Arial" w:cs="Arial"/>
              </w:rPr>
            </w:pPr>
            <w:r w:rsidRPr="00B338DA">
              <w:rPr>
                <w:rFonts w:ascii="Arial" w:hAnsi="Arial" w:cs="Arial"/>
              </w:rPr>
              <w:t>Are their Performance Indicators for the service that we could provide?</w:t>
            </w:r>
          </w:p>
        </w:tc>
        <w:tc>
          <w:tcPr>
            <w:tcW w:w="4621" w:type="dxa"/>
          </w:tcPr>
          <w:p w:rsidR="00CD0A65" w:rsidRPr="00B338DA" w:rsidRDefault="00643FAB" w:rsidP="007862D9">
            <w:pPr>
              <w:jc w:val="both"/>
              <w:rPr>
                <w:rFonts w:ascii="Arial" w:hAnsi="Arial" w:cs="Arial"/>
              </w:rPr>
            </w:pPr>
            <w:r w:rsidRPr="00B338DA">
              <w:rPr>
                <w:rFonts w:ascii="Arial" w:hAnsi="Arial" w:cs="Arial"/>
              </w:rPr>
              <w:t>Performance indicators will be provided within the specification</w:t>
            </w:r>
            <w:r w:rsidR="00B338DA" w:rsidRPr="00B338DA">
              <w:rPr>
                <w:rFonts w:ascii="Arial" w:hAnsi="Arial" w:cs="Arial"/>
              </w:rPr>
              <w:t xml:space="preserve"> included in the ITT.</w:t>
            </w:r>
          </w:p>
        </w:tc>
      </w:tr>
      <w:tr w:rsidR="00CD0A65" w:rsidRPr="00B338DA" w:rsidTr="00CD0A65">
        <w:tc>
          <w:tcPr>
            <w:tcW w:w="4621" w:type="dxa"/>
          </w:tcPr>
          <w:p w:rsidR="00CD0A65" w:rsidRPr="00B338DA" w:rsidRDefault="00112D4F" w:rsidP="007862D9">
            <w:pPr>
              <w:jc w:val="both"/>
              <w:rPr>
                <w:rFonts w:ascii="Arial" w:hAnsi="Arial" w:cs="Arial"/>
              </w:rPr>
            </w:pPr>
            <w:r w:rsidRPr="00B338DA">
              <w:rPr>
                <w:rFonts w:ascii="Arial" w:hAnsi="Arial" w:cs="Arial"/>
              </w:rPr>
              <w:t>Does the service provider have to be CQC registered?</w:t>
            </w:r>
          </w:p>
        </w:tc>
        <w:tc>
          <w:tcPr>
            <w:tcW w:w="4621" w:type="dxa"/>
          </w:tcPr>
          <w:p w:rsidR="00CD0A65" w:rsidRPr="00B338DA" w:rsidRDefault="00112D4F" w:rsidP="007862D9">
            <w:pPr>
              <w:jc w:val="both"/>
              <w:rPr>
                <w:rFonts w:ascii="Arial" w:hAnsi="Arial" w:cs="Arial"/>
              </w:rPr>
            </w:pPr>
            <w:r w:rsidRPr="00B338DA">
              <w:rPr>
                <w:rFonts w:ascii="Arial" w:hAnsi="Arial" w:cs="Arial"/>
              </w:rPr>
              <w:t>No</w:t>
            </w:r>
          </w:p>
        </w:tc>
      </w:tr>
      <w:tr w:rsidR="00CD0A65" w:rsidRPr="00B338DA" w:rsidTr="00CD0A65">
        <w:tc>
          <w:tcPr>
            <w:tcW w:w="4621" w:type="dxa"/>
          </w:tcPr>
          <w:p w:rsidR="00CD0A65" w:rsidRPr="00B338DA" w:rsidRDefault="00814F5E" w:rsidP="007862D9">
            <w:pPr>
              <w:jc w:val="both"/>
              <w:rPr>
                <w:rFonts w:ascii="Arial" w:hAnsi="Arial" w:cs="Arial"/>
              </w:rPr>
            </w:pPr>
            <w:r w:rsidRPr="00B338DA">
              <w:rPr>
                <w:rFonts w:ascii="Arial" w:hAnsi="Arial" w:cs="Arial"/>
              </w:rPr>
              <w:t>Where did the service hours of 6pm to 11pm come from?</w:t>
            </w:r>
          </w:p>
        </w:tc>
        <w:tc>
          <w:tcPr>
            <w:tcW w:w="4621" w:type="dxa"/>
          </w:tcPr>
          <w:p w:rsidR="00CD0A65" w:rsidRPr="00B338DA" w:rsidRDefault="00814F5E" w:rsidP="007862D9">
            <w:pPr>
              <w:jc w:val="both"/>
              <w:rPr>
                <w:rFonts w:ascii="Arial" w:hAnsi="Arial" w:cs="Arial"/>
              </w:rPr>
            </w:pPr>
            <w:r w:rsidRPr="00B338DA">
              <w:rPr>
                <w:rFonts w:ascii="Arial" w:hAnsi="Arial" w:cs="Arial"/>
              </w:rPr>
              <w:t>The pro</w:t>
            </w:r>
            <w:r w:rsidR="00B338DA" w:rsidRPr="00B338DA">
              <w:rPr>
                <w:rFonts w:ascii="Arial" w:hAnsi="Arial" w:cs="Arial"/>
              </w:rPr>
              <w:t>po</w:t>
            </w:r>
            <w:r w:rsidRPr="00B338DA">
              <w:rPr>
                <w:rFonts w:ascii="Arial" w:hAnsi="Arial" w:cs="Arial"/>
              </w:rPr>
              <w:t xml:space="preserve">sed service hours where agreed through the service steering group taking in to account the need for an out of </w:t>
            </w:r>
            <w:r w:rsidR="007862D9" w:rsidRPr="00B338DA">
              <w:rPr>
                <w:rFonts w:ascii="Arial" w:hAnsi="Arial" w:cs="Arial"/>
              </w:rPr>
              <w:t>hour’s</w:t>
            </w:r>
            <w:r w:rsidRPr="00B338DA">
              <w:rPr>
                <w:rFonts w:ascii="Arial" w:hAnsi="Arial" w:cs="Arial"/>
              </w:rPr>
              <w:t xml:space="preserve"> service that is targeted at those people that would benefit most from the service.</w:t>
            </w:r>
          </w:p>
        </w:tc>
      </w:tr>
      <w:tr w:rsidR="00CD0A65" w:rsidRPr="00B338DA" w:rsidTr="00CD0A65">
        <w:tc>
          <w:tcPr>
            <w:tcW w:w="4621" w:type="dxa"/>
          </w:tcPr>
          <w:p w:rsidR="00CD0A65" w:rsidRPr="00B338DA" w:rsidRDefault="00814F5E" w:rsidP="007862D9">
            <w:pPr>
              <w:jc w:val="both"/>
              <w:rPr>
                <w:rFonts w:ascii="Arial" w:hAnsi="Arial" w:cs="Arial"/>
              </w:rPr>
            </w:pPr>
            <w:r w:rsidRPr="00B338DA">
              <w:rPr>
                <w:rFonts w:ascii="Arial" w:hAnsi="Arial" w:cs="Arial"/>
              </w:rPr>
              <w:t>Could we include the Rehabilitation and Recovery model document in the ITT?</w:t>
            </w:r>
          </w:p>
        </w:tc>
        <w:tc>
          <w:tcPr>
            <w:tcW w:w="4621" w:type="dxa"/>
          </w:tcPr>
          <w:p w:rsidR="00CD0A65" w:rsidRPr="00B338DA" w:rsidRDefault="00814F5E" w:rsidP="007862D9">
            <w:pPr>
              <w:jc w:val="both"/>
              <w:rPr>
                <w:rFonts w:ascii="Arial" w:hAnsi="Arial" w:cs="Arial"/>
              </w:rPr>
            </w:pPr>
            <w:r w:rsidRPr="00B338DA">
              <w:rPr>
                <w:rFonts w:ascii="Arial" w:hAnsi="Arial" w:cs="Arial"/>
              </w:rPr>
              <w:t>The Reh</w:t>
            </w:r>
            <w:r w:rsidR="00DA4C86">
              <w:rPr>
                <w:rFonts w:ascii="Arial" w:hAnsi="Arial" w:cs="Arial"/>
              </w:rPr>
              <w:t xml:space="preserve">abilitation and Recovery model </w:t>
            </w:r>
            <w:r w:rsidRPr="00B338DA">
              <w:rPr>
                <w:rFonts w:ascii="Arial" w:hAnsi="Arial" w:cs="Arial"/>
              </w:rPr>
              <w:t>will be made available to potential providers.</w:t>
            </w:r>
          </w:p>
        </w:tc>
      </w:tr>
      <w:tr w:rsidR="00814F5E" w:rsidRPr="00B338DA" w:rsidTr="00CD0A65">
        <w:tc>
          <w:tcPr>
            <w:tcW w:w="4621" w:type="dxa"/>
          </w:tcPr>
          <w:p w:rsidR="00814F5E" w:rsidRPr="00B338DA" w:rsidRDefault="00814F5E" w:rsidP="007862D9">
            <w:pPr>
              <w:jc w:val="both"/>
              <w:rPr>
                <w:rFonts w:ascii="Arial" w:hAnsi="Arial" w:cs="Arial"/>
              </w:rPr>
            </w:pPr>
            <w:r w:rsidRPr="00B338DA">
              <w:rPr>
                <w:rFonts w:ascii="Arial" w:hAnsi="Arial" w:cs="Arial"/>
              </w:rPr>
              <w:t>Why will there be a requirement for an RMN to be on duty at all times when service users will be pre-crisis?</w:t>
            </w:r>
          </w:p>
        </w:tc>
        <w:tc>
          <w:tcPr>
            <w:tcW w:w="4621" w:type="dxa"/>
          </w:tcPr>
          <w:p w:rsidR="00814F5E" w:rsidRPr="00B338DA" w:rsidRDefault="005958E7" w:rsidP="007862D9">
            <w:pPr>
              <w:jc w:val="both"/>
              <w:rPr>
                <w:rFonts w:ascii="Arial" w:hAnsi="Arial" w:cs="Arial"/>
              </w:rPr>
            </w:pPr>
            <w:r w:rsidRPr="00B338DA">
              <w:rPr>
                <w:rFonts w:ascii="Arial" w:hAnsi="Arial" w:cs="Arial"/>
              </w:rPr>
              <w:t>There will be no mandatory requirement for providers to ensure a qualified RMH is on duty throughout service operation hours. The provider will be expected to show within their response how their staffing model complies with the specification and appropriate standards and legislation.</w:t>
            </w:r>
          </w:p>
        </w:tc>
      </w:tr>
      <w:tr w:rsidR="005958E7" w:rsidRPr="00B338DA" w:rsidTr="00CD0A65">
        <w:tc>
          <w:tcPr>
            <w:tcW w:w="4621" w:type="dxa"/>
          </w:tcPr>
          <w:p w:rsidR="005958E7" w:rsidRPr="00B338DA" w:rsidRDefault="00DD44B5" w:rsidP="007862D9">
            <w:pPr>
              <w:jc w:val="both"/>
              <w:rPr>
                <w:rFonts w:ascii="Arial" w:hAnsi="Arial" w:cs="Arial"/>
              </w:rPr>
            </w:pPr>
            <w:r w:rsidRPr="00B338DA">
              <w:rPr>
                <w:rFonts w:ascii="Arial" w:hAnsi="Arial" w:cs="Arial"/>
              </w:rPr>
              <w:t xml:space="preserve">Is the purpose of the Safe Haven not just to be a drop in centre but to contribute to a service </w:t>
            </w:r>
            <w:r w:rsidR="007862D9" w:rsidRPr="00B338DA">
              <w:rPr>
                <w:rFonts w:ascii="Arial" w:hAnsi="Arial" w:cs="Arial"/>
              </w:rPr>
              <w:t>user’s</w:t>
            </w:r>
            <w:r w:rsidRPr="00B338DA">
              <w:rPr>
                <w:rFonts w:ascii="Arial" w:hAnsi="Arial" w:cs="Arial"/>
              </w:rPr>
              <w:t xml:space="preserve"> recovery?</w:t>
            </w:r>
          </w:p>
        </w:tc>
        <w:tc>
          <w:tcPr>
            <w:tcW w:w="4621" w:type="dxa"/>
          </w:tcPr>
          <w:p w:rsidR="005958E7" w:rsidRPr="00B338DA" w:rsidRDefault="00DD44B5" w:rsidP="007862D9">
            <w:pPr>
              <w:jc w:val="both"/>
              <w:rPr>
                <w:rFonts w:ascii="Arial" w:hAnsi="Arial" w:cs="Arial"/>
              </w:rPr>
            </w:pPr>
            <w:r w:rsidRPr="00B338DA">
              <w:rPr>
                <w:rFonts w:ascii="Arial" w:hAnsi="Arial" w:cs="Arial"/>
              </w:rPr>
              <w:t>Yes – this will be reflected in the specification</w:t>
            </w:r>
          </w:p>
        </w:tc>
      </w:tr>
      <w:tr w:rsidR="00DD44B5" w:rsidRPr="00B338DA" w:rsidTr="00CD0A65">
        <w:tc>
          <w:tcPr>
            <w:tcW w:w="4621" w:type="dxa"/>
          </w:tcPr>
          <w:p w:rsidR="00DD44B5" w:rsidRPr="00B338DA" w:rsidRDefault="00DD44B5" w:rsidP="007862D9">
            <w:pPr>
              <w:jc w:val="both"/>
              <w:rPr>
                <w:rFonts w:ascii="Arial" w:hAnsi="Arial" w:cs="Arial"/>
              </w:rPr>
            </w:pPr>
            <w:r w:rsidRPr="00B338DA">
              <w:rPr>
                <w:rFonts w:ascii="Arial" w:hAnsi="Arial" w:cs="Arial"/>
              </w:rPr>
              <w:t>Can you indicate the level of support required?</w:t>
            </w:r>
          </w:p>
        </w:tc>
        <w:tc>
          <w:tcPr>
            <w:tcW w:w="4621" w:type="dxa"/>
          </w:tcPr>
          <w:p w:rsidR="00DD44B5" w:rsidRPr="00B338DA" w:rsidRDefault="00DD44B5" w:rsidP="007862D9">
            <w:pPr>
              <w:jc w:val="both"/>
              <w:rPr>
                <w:rFonts w:ascii="Arial" w:hAnsi="Arial" w:cs="Arial"/>
              </w:rPr>
            </w:pPr>
            <w:r w:rsidRPr="00B338DA">
              <w:rPr>
                <w:rFonts w:ascii="Arial" w:hAnsi="Arial" w:cs="Arial"/>
              </w:rPr>
              <w:t>This will be reflected in the specification and supported by a Service Pathway</w:t>
            </w:r>
            <w:r w:rsidR="00866022" w:rsidRPr="00B338DA">
              <w:rPr>
                <w:rFonts w:ascii="Arial" w:hAnsi="Arial" w:cs="Arial"/>
              </w:rPr>
              <w:t xml:space="preserve"> flowchart.</w:t>
            </w:r>
          </w:p>
        </w:tc>
      </w:tr>
      <w:tr w:rsidR="00866022" w:rsidRPr="00B338DA" w:rsidTr="00CD0A65">
        <w:tc>
          <w:tcPr>
            <w:tcW w:w="4621" w:type="dxa"/>
          </w:tcPr>
          <w:p w:rsidR="00866022" w:rsidRPr="00B338DA" w:rsidRDefault="00EF411F" w:rsidP="007862D9">
            <w:pPr>
              <w:jc w:val="both"/>
              <w:rPr>
                <w:rFonts w:ascii="Arial" w:hAnsi="Arial" w:cs="Arial"/>
              </w:rPr>
            </w:pPr>
            <w:r w:rsidRPr="00B338DA">
              <w:rPr>
                <w:rFonts w:ascii="Arial" w:hAnsi="Arial" w:cs="Arial"/>
              </w:rPr>
              <w:t xml:space="preserve">If demand for the service exceeds what the provider can manage can the budget be increased? </w:t>
            </w:r>
          </w:p>
        </w:tc>
        <w:tc>
          <w:tcPr>
            <w:tcW w:w="4621" w:type="dxa"/>
          </w:tcPr>
          <w:p w:rsidR="00866022" w:rsidRPr="00B338DA" w:rsidRDefault="00B338DA" w:rsidP="007862D9">
            <w:pPr>
              <w:jc w:val="both"/>
              <w:rPr>
                <w:rFonts w:ascii="Arial" w:hAnsi="Arial" w:cs="Arial"/>
              </w:rPr>
            </w:pPr>
            <w:r w:rsidRPr="00B338DA">
              <w:rPr>
                <w:rFonts w:ascii="Arial" w:hAnsi="Arial" w:cs="Arial"/>
              </w:rPr>
              <w:t xml:space="preserve">No. </w:t>
            </w:r>
            <w:r w:rsidR="00EF411F" w:rsidRPr="00B338DA">
              <w:rPr>
                <w:rFonts w:ascii="Arial" w:hAnsi="Arial" w:cs="Arial"/>
              </w:rPr>
              <w:t xml:space="preserve">The budget is fixed for the contract term. The specification will include eligibility and exclusion criteria to assist in managing access. </w:t>
            </w:r>
          </w:p>
        </w:tc>
      </w:tr>
    </w:tbl>
    <w:p w:rsidR="00CD0A65" w:rsidRPr="00CD0A65" w:rsidRDefault="00CD0A65" w:rsidP="00CD0A65"/>
    <w:sectPr w:rsidR="00CD0A65" w:rsidRPr="00CD0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65"/>
    <w:rsid w:val="00112D4F"/>
    <w:rsid w:val="001309E3"/>
    <w:rsid w:val="00544B02"/>
    <w:rsid w:val="005958E7"/>
    <w:rsid w:val="00643FAB"/>
    <w:rsid w:val="007862D9"/>
    <w:rsid w:val="00814F5E"/>
    <w:rsid w:val="00866022"/>
    <w:rsid w:val="00AE2EA6"/>
    <w:rsid w:val="00B338DA"/>
    <w:rsid w:val="00BE0F5C"/>
    <w:rsid w:val="00CD0A65"/>
    <w:rsid w:val="00DA4C86"/>
    <w:rsid w:val="00DC20E7"/>
    <w:rsid w:val="00DC5268"/>
    <w:rsid w:val="00DD44B5"/>
    <w:rsid w:val="00EA5033"/>
    <w:rsid w:val="00EF411F"/>
    <w:rsid w:val="00F51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0A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0A6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D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A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0A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6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0A65"/>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D0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Tees, Esk and Wear Valleys NHS Foundation Trust</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Hay</dc:creator>
  <cp:lastModifiedBy>Hughes Mark (RXP) Senior Procurement Officer</cp:lastModifiedBy>
  <cp:revision>3</cp:revision>
  <dcterms:created xsi:type="dcterms:W3CDTF">2017-06-29T13:26:00Z</dcterms:created>
  <dcterms:modified xsi:type="dcterms:W3CDTF">2017-06-29T13:26:00Z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daac42ce-099f-44ef-bea5-80d5cc5d2c7e</vt:lpwstr>
  </property>
</Properties>
</file>