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D9" w:rsidRPr="007148D9" w:rsidRDefault="007148D9" w:rsidP="007148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This Framework Agreement RM6313 is for use by Contracting Authorities in the United Kingdom, British Overseas Territories, and Crown Dependencies that exist on 27</w:t>
      </w:r>
      <w:r>
        <w:rPr>
          <w:rFonts w:ascii="Calibri" w:eastAsia="Times New Roman" w:hAnsi="Calibri" w:cs="Calibri"/>
          <w:b/>
          <w:bCs/>
          <w:color w:val="1F497D"/>
          <w:vertAlign w:val="superscript"/>
          <w:lang w:eastAsia="en-GB"/>
        </w:rPr>
        <w:t>th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September</w:t>
      </w:r>
      <w:r w:rsidRPr="007148D9">
        <w:rPr>
          <w:rFonts w:ascii="Calibri" w:eastAsia="Times New Roman" w:hAnsi="Calibri" w:cs="Calibri"/>
          <w:b/>
          <w:bCs/>
          <w:color w:val="1F497D"/>
          <w:shd w:val="clear" w:color="auto" w:fill="FFFF00"/>
          <w:lang w:eastAsia="en-GB"/>
        </w:rPr>
        <w:t xml:space="preserve">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2022 and which fall into one or more of the following categories:</w:t>
      </w:r>
      <w:bookmarkStart w:id="0" w:name="_GoBack"/>
      <w:bookmarkEnd w:id="0"/>
    </w:p>
    <w:p w:rsidR="007148D9" w:rsidRPr="007148D9" w:rsidRDefault="007148D9" w:rsidP="007148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1.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Any of the following: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(a)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Ministerial government departments;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(b)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proofErr w:type="gramStart"/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Non ministerial</w:t>
      </w:r>
      <w:proofErr w:type="gramEnd"/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government departments;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(c)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Executive agencies of government;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(d)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Non-Departmental Public Bodies (NDPBs), including advisory NDPBs, executive NDPBs, and tribunal NDPBs;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(e)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Assembly Sponsored Public Bodies (ASPBs);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(f)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Police forces;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(g)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Fire and rescue services;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(h)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Ambulance services;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</w:t>
      </w:r>
      <w:proofErr w:type="spellStart"/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i</w:t>
      </w:r>
      <w:proofErr w:type="spellEnd"/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Maritime and coastguard agency services;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(j)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NHS bodies;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(k)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(l)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Hospices;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(m)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National Parks;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(n)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Housing associations, including registered social landlords;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(o)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Third sector and charities;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(p)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Citizens advice bodies;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(q)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Councils, including county councils, district councils, county borough councils, community councils, London borough councils, unitary councils, metropolitan councils, parish councils;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(r)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Public corporations;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(s)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Public financial bodies or institutions;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(t)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Public pension funds;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(u)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Central banks; and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(v)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Civil service bodies, including public sector buying organisations.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2.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Those listed and maintained by the Government on their website at </w:t>
      </w:r>
      <w:hyperlink r:id="rId4" w:history="1">
        <w:r w:rsidRPr="007148D9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https://www.gov.uk/government/organisations</w:t>
        </w:r>
      </w:hyperlink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or any replacement or updated web-link.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3.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Those listed and maintained by the Office of National Statistics (ONS) at </w:t>
      </w:r>
      <w:hyperlink r:id="rId5" w:history="1">
        <w:r w:rsidRPr="007148D9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https://www.ons.gov.uk/economy/nationalaccounts/uksectoraccounts/datasets/publicsectorclassificationguide</w:t>
        </w:r>
      </w:hyperlink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or any replacement or updated web-link.</w:t>
      </w:r>
    </w:p>
    <w:p w:rsidR="007148D9" w:rsidRPr="007148D9" w:rsidRDefault="007148D9" w:rsidP="007148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2626B8" w:rsidRDefault="007148D9" w:rsidP="007148D9"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4.</w:t>
      </w:r>
      <w:r w:rsidRPr="007148D9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7148D9">
        <w:rPr>
          <w:rFonts w:ascii="Calibri" w:eastAsia="Times New Roman" w:hAnsi="Calibri" w:cs="Calibri"/>
          <w:b/>
          <w:bCs/>
          <w:color w:val="1F497D"/>
          <w:lang w:eastAsia="en-GB"/>
        </w:rPr>
        <w:t>Those bodies in England, Wales or Northern Ireland which are within the scope of  the definition of “Contracting Authority” in regulation 2(1) of the Public Contracts Regulations 2015 (PCR) and/or Schedule 1 PCR.</w:t>
      </w:r>
    </w:p>
    <w:sectPr w:rsidR="00262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D9"/>
    <w:rsid w:val="002626B8"/>
    <w:rsid w:val="007148D9"/>
    <w:rsid w:val="00C3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A05C"/>
  <w15:chartTrackingRefBased/>
  <w15:docId w15:val="{D86CA44F-84EF-43B6-B12A-8337C49F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Scott</dc:creator>
  <cp:keywords/>
  <dc:description/>
  <cp:lastModifiedBy>Gavin Scott</cp:lastModifiedBy>
  <cp:revision>2</cp:revision>
  <dcterms:created xsi:type="dcterms:W3CDTF">2022-09-26T22:06:00Z</dcterms:created>
  <dcterms:modified xsi:type="dcterms:W3CDTF">2022-09-26T22:06:00Z</dcterms:modified>
</cp:coreProperties>
</file>