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BD" w:rsidRDefault="005F2894">
      <w:bookmarkStart w:id="0" w:name="_heading=h.gjdgxs" w:colFirst="0" w:colLast="0"/>
      <w:bookmarkEnd w:id="0"/>
      <w:r>
        <w:rPr>
          <w:noProof/>
        </w:rPr>
        <w:drawing>
          <wp:inline distT="0" distB="0" distL="0" distR="0">
            <wp:extent cx="1645920" cy="137160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rsidR="00AA47BD" w:rsidRDefault="00AA47BD"/>
    <w:p w:rsidR="00AA47BD" w:rsidRDefault="005F2894">
      <w:pPr>
        <w:rPr>
          <w:b/>
          <w:sz w:val="20"/>
          <w:szCs w:val="20"/>
        </w:rPr>
      </w:pPr>
      <w:r>
        <w:rPr>
          <w:b/>
          <w:sz w:val="20"/>
          <w:szCs w:val="20"/>
        </w:rPr>
        <w:t xml:space="preserve">Bid Pack </w:t>
      </w:r>
    </w:p>
    <w:p w:rsidR="00AA47BD" w:rsidRDefault="00AA47BD">
      <w:pPr>
        <w:rPr>
          <w:b/>
          <w:sz w:val="20"/>
          <w:szCs w:val="20"/>
        </w:rPr>
      </w:pPr>
    </w:p>
    <w:p w:rsidR="00AA47BD" w:rsidRDefault="005F2894">
      <w:pPr>
        <w:shd w:val="clear" w:color="auto" w:fill="FFFFFF"/>
        <w:rPr>
          <w:b/>
          <w:sz w:val="20"/>
          <w:szCs w:val="20"/>
        </w:rPr>
      </w:pPr>
      <w:bookmarkStart w:id="1" w:name="_heading=h.30j0zll" w:colFirst="0" w:colLast="0"/>
      <w:bookmarkEnd w:id="1"/>
      <w:r>
        <w:rPr>
          <w:b/>
          <w:sz w:val="20"/>
          <w:szCs w:val="20"/>
        </w:rPr>
        <w:t>Attachment 3 – Statement of Requirements</w:t>
      </w:r>
    </w:p>
    <w:p w:rsidR="00AA47BD" w:rsidRDefault="00AA47BD">
      <w:pPr>
        <w:shd w:val="clear" w:color="auto" w:fill="FFFFFF"/>
        <w:rPr>
          <w:b/>
          <w:sz w:val="20"/>
          <w:szCs w:val="20"/>
        </w:rPr>
      </w:pPr>
    </w:p>
    <w:p w:rsidR="00AA47BD" w:rsidRDefault="005F2894">
      <w:pPr>
        <w:shd w:val="clear" w:color="auto" w:fill="FFFFFF"/>
        <w:rPr>
          <w:sz w:val="20"/>
          <w:szCs w:val="20"/>
          <w:shd w:val="clear" w:color="auto" w:fill="FFFF99"/>
        </w:rPr>
      </w:pPr>
      <w:bookmarkStart w:id="2" w:name="_heading=h.1fob9te" w:colFirst="0" w:colLast="0"/>
      <w:bookmarkEnd w:id="2"/>
      <w:r>
        <w:rPr>
          <w:b/>
          <w:sz w:val="20"/>
          <w:szCs w:val="20"/>
        </w:rPr>
        <w:t>Contract Reference:</w:t>
      </w:r>
      <w:r>
        <w:rPr>
          <w:sz w:val="20"/>
          <w:szCs w:val="20"/>
        </w:rPr>
        <w:t xml:space="preserve"> CCS Triage Lead to Cabinet Office Digital Provision of Data Visualisation Tool</w:t>
      </w:r>
    </w:p>
    <w:p w:rsidR="00AA47BD" w:rsidRDefault="00AA47BD">
      <w:pPr>
        <w:shd w:val="clear" w:color="auto" w:fill="FFFFFF"/>
        <w:rPr>
          <w:sz w:val="20"/>
          <w:szCs w:val="20"/>
          <w:shd w:val="clear" w:color="auto" w:fill="FFFF99"/>
        </w:rPr>
      </w:pPr>
    </w:p>
    <w:p w:rsidR="00AA47BD" w:rsidRDefault="005F2894">
      <w:pPr>
        <w:shd w:val="clear" w:color="auto" w:fill="FFFFFF"/>
        <w:rPr>
          <w:sz w:val="20"/>
          <w:szCs w:val="20"/>
        </w:rPr>
      </w:pPr>
      <w:r>
        <w:rPr>
          <w:b/>
          <w:sz w:val="20"/>
          <w:szCs w:val="20"/>
        </w:rPr>
        <w:t>Procurement / Contract Title</w:t>
      </w:r>
      <w:r>
        <w:rPr>
          <w:sz w:val="20"/>
          <w:szCs w:val="20"/>
        </w:rPr>
        <w:t>:  CO Digital 20 - Tableau Service Procurement</w:t>
      </w:r>
    </w:p>
    <w:p w:rsidR="00AA47BD" w:rsidRDefault="00AA47BD">
      <w:pPr>
        <w:shd w:val="clear" w:color="auto" w:fill="FFFFFF"/>
        <w:rPr>
          <w:sz w:val="20"/>
          <w:szCs w:val="20"/>
        </w:rPr>
      </w:pPr>
    </w:p>
    <w:p w:rsidR="00AA47BD" w:rsidRDefault="00AA47BD">
      <w:pPr>
        <w:shd w:val="clear" w:color="auto" w:fill="FFFFFF"/>
        <w:rPr>
          <w:b/>
          <w:sz w:val="20"/>
          <w:szCs w:val="20"/>
        </w:rPr>
      </w:pPr>
    </w:p>
    <w:p w:rsidR="00AA47BD" w:rsidRDefault="00AA47BD">
      <w:pPr>
        <w:shd w:val="clear" w:color="auto" w:fill="FFFFFF"/>
        <w:rPr>
          <w:b/>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AA47BD"/>
    <w:p w:rsidR="00AA47BD" w:rsidRDefault="00AA47BD">
      <w:pPr>
        <w:shd w:val="clear" w:color="auto" w:fill="FFFFFF"/>
        <w:ind w:left="567"/>
        <w:rPr>
          <w:sz w:val="20"/>
          <w:szCs w:val="20"/>
        </w:rPr>
      </w:pPr>
    </w:p>
    <w:p w:rsidR="00AA47BD" w:rsidRDefault="00AA47BD">
      <w:pPr>
        <w:shd w:val="clear" w:color="auto" w:fill="FFFFFF"/>
        <w:ind w:left="567"/>
        <w:rPr>
          <w:sz w:val="20"/>
          <w:szCs w:val="20"/>
        </w:rPr>
      </w:pPr>
    </w:p>
    <w:p w:rsidR="00AA47BD" w:rsidRDefault="005F2894">
      <w:pPr>
        <w:shd w:val="clear" w:color="auto" w:fill="FFFFFF"/>
        <w:ind w:left="567"/>
        <w:rPr>
          <w:b/>
          <w:color w:val="000000"/>
          <w:sz w:val="20"/>
          <w:szCs w:val="20"/>
        </w:rPr>
      </w:pPr>
      <w:bookmarkStart w:id="3" w:name="_heading=h.1pxezwc" w:colFirst="0" w:colLast="0"/>
      <w:bookmarkEnd w:id="3"/>
      <w:r>
        <w:rPr>
          <w:b/>
          <w:color w:val="000000"/>
          <w:sz w:val="20"/>
          <w:szCs w:val="20"/>
        </w:rPr>
        <w:t>CONTENTS</w:t>
      </w:r>
    </w:p>
    <w:p w:rsidR="00AA47BD" w:rsidRDefault="00AA47BD">
      <w:pPr>
        <w:rPr>
          <w:sz w:val="20"/>
          <w:szCs w:val="20"/>
        </w:rPr>
      </w:pPr>
    </w:p>
    <w:sdt>
      <w:sdtPr>
        <w:id w:val="1871598680"/>
        <w:docPartObj>
          <w:docPartGallery w:val="Table of Contents"/>
          <w:docPartUnique/>
        </w:docPartObj>
      </w:sdtPr>
      <w:sdtEndPr/>
      <w:sdtContent>
        <w:p w:rsidR="00AA47BD" w:rsidRDefault="005F2894">
          <w:pPr>
            <w:widowControl w:val="0"/>
            <w:tabs>
              <w:tab w:val="right" w:pos="12000"/>
            </w:tabs>
            <w:spacing w:before="60"/>
            <w:rPr>
              <w:b/>
              <w:color w:val="000000"/>
            </w:rPr>
          </w:pPr>
          <w:r>
            <w:fldChar w:fldCharType="begin"/>
          </w:r>
          <w:r>
            <w:instrText xml:space="preserve"> TOC \h \u \z \t "Heading 1,1,"</w:instrText>
          </w:r>
          <w:r>
            <w:fldChar w:fldCharType="separate"/>
          </w:r>
          <w:hyperlink w:anchor="_heading=h.2p2csry">
            <w:r>
              <w:rPr>
                <w:smallCaps/>
                <w:color w:val="000000"/>
              </w:rPr>
              <w:t>1. PURPOSE AND OVERVIEW OF THE REQUIREMENT</w:t>
            </w:r>
            <w:r>
              <w:rPr>
                <w:smallCaps/>
                <w:color w:val="000000"/>
              </w:rPr>
              <w:tab/>
              <w:t>4</w:t>
            </w:r>
          </w:hyperlink>
        </w:p>
        <w:p w:rsidR="00AA47BD" w:rsidRDefault="001C0E14">
          <w:pPr>
            <w:widowControl w:val="0"/>
            <w:tabs>
              <w:tab w:val="right" w:pos="12000"/>
            </w:tabs>
            <w:spacing w:before="60"/>
            <w:rPr>
              <w:b/>
              <w:color w:val="000000"/>
            </w:rPr>
          </w:pPr>
          <w:hyperlink w:anchor="_heading=h.147n2zr">
            <w:r w:rsidR="005F2894">
              <w:rPr>
                <w:smallCaps/>
                <w:color w:val="000000"/>
              </w:rPr>
              <w:t>2. BACKGROUND TO THE BUYER</w:t>
            </w:r>
            <w:r w:rsidR="005F2894">
              <w:rPr>
                <w:smallCaps/>
                <w:color w:val="000000"/>
              </w:rPr>
              <w:tab/>
              <w:t>4</w:t>
            </w:r>
          </w:hyperlink>
        </w:p>
        <w:p w:rsidR="00AA47BD" w:rsidRDefault="001C0E14">
          <w:pPr>
            <w:widowControl w:val="0"/>
            <w:tabs>
              <w:tab w:val="right" w:pos="12000"/>
            </w:tabs>
            <w:spacing w:before="60"/>
            <w:rPr>
              <w:b/>
              <w:color w:val="000000"/>
            </w:rPr>
          </w:pPr>
          <w:hyperlink w:anchor="_heading=h.3o7alnk">
            <w:r w:rsidR="005F2894">
              <w:rPr>
                <w:smallCaps/>
                <w:color w:val="000000"/>
              </w:rPr>
              <w:t>3. BACKGROUND TO THE REQUIREMENT</w:t>
            </w:r>
            <w:r w:rsidR="005F2894">
              <w:rPr>
                <w:smallCaps/>
                <w:color w:val="000000"/>
              </w:rPr>
              <w:tab/>
              <w:t>4</w:t>
            </w:r>
          </w:hyperlink>
        </w:p>
        <w:p w:rsidR="00AA47BD" w:rsidRDefault="001C0E14">
          <w:pPr>
            <w:widowControl w:val="0"/>
            <w:tabs>
              <w:tab w:val="right" w:pos="12000"/>
            </w:tabs>
            <w:spacing w:before="60"/>
            <w:rPr>
              <w:b/>
              <w:color w:val="000000"/>
            </w:rPr>
          </w:pPr>
          <w:hyperlink w:anchor="_heading=h.23ckvvd">
            <w:r w:rsidR="005F2894">
              <w:rPr>
                <w:smallCaps/>
                <w:color w:val="000000"/>
              </w:rPr>
              <w:t>4. DEFINITIONS (GUIDANCE – PLEASE ADD ADDITIONAL ROWS IF NEEDED)</w:t>
            </w:r>
            <w:r w:rsidR="005F2894">
              <w:rPr>
                <w:smallCaps/>
                <w:color w:val="000000"/>
              </w:rPr>
              <w:tab/>
              <w:t>4</w:t>
            </w:r>
          </w:hyperlink>
        </w:p>
        <w:p w:rsidR="00AA47BD" w:rsidRDefault="001C0E14">
          <w:pPr>
            <w:widowControl w:val="0"/>
            <w:tabs>
              <w:tab w:val="right" w:pos="12000"/>
            </w:tabs>
            <w:spacing w:before="60"/>
            <w:rPr>
              <w:b/>
              <w:color w:val="000000"/>
            </w:rPr>
          </w:pPr>
          <w:hyperlink w:anchor="_heading=h.ihv636">
            <w:r w:rsidR="005F2894">
              <w:rPr>
                <w:smallCaps/>
                <w:color w:val="000000"/>
              </w:rPr>
              <w:t>5. SCOPE OF THE REQUIREMENT</w:t>
            </w:r>
            <w:r w:rsidR="005F2894">
              <w:rPr>
                <w:smallCaps/>
                <w:color w:val="000000"/>
              </w:rPr>
              <w:tab/>
              <w:t>4</w:t>
            </w:r>
          </w:hyperlink>
        </w:p>
        <w:p w:rsidR="00AA47BD" w:rsidRDefault="001C0E14">
          <w:pPr>
            <w:widowControl w:val="0"/>
            <w:tabs>
              <w:tab w:val="right" w:pos="12000"/>
            </w:tabs>
            <w:spacing w:before="60"/>
            <w:rPr>
              <w:b/>
              <w:color w:val="000000"/>
            </w:rPr>
          </w:pPr>
          <w:hyperlink w:anchor="_heading=h.32hioqz">
            <w:r w:rsidR="005F2894">
              <w:rPr>
                <w:smallCaps/>
                <w:color w:val="000000"/>
              </w:rPr>
              <w:t>6. MANDATORY DELIVERABLES (SUPPLIER RESPONSIBILITIES)</w:t>
            </w:r>
            <w:r w:rsidR="005F2894">
              <w:rPr>
                <w:smallCaps/>
                <w:color w:val="000000"/>
              </w:rPr>
              <w:tab/>
              <w:t>5</w:t>
            </w:r>
          </w:hyperlink>
        </w:p>
        <w:p w:rsidR="00AA47BD" w:rsidRDefault="001C0E14">
          <w:pPr>
            <w:widowControl w:val="0"/>
            <w:tabs>
              <w:tab w:val="right" w:pos="12000"/>
            </w:tabs>
            <w:spacing w:before="60"/>
            <w:rPr>
              <w:b/>
              <w:color w:val="000000"/>
              <w:sz w:val="20"/>
              <w:szCs w:val="20"/>
            </w:rPr>
          </w:pPr>
          <w:hyperlink w:anchor="_heading=h.1hmsyys">
            <w:r w:rsidR="005F2894">
              <w:rPr>
                <w:smallCaps/>
                <w:color w:val="000000"/>
              </w:rPr>
              <w:t xml:space="preserve">7. </w:t>
            </w:r>
          </w:hyperlink>
          <w:hyperlink w:anchor="_heading=h.1hmsyys">
            <w:r w:rsidR="005F2894">
              <w:rPr>
                <w:smallCaps/>
                <w:color w:val="000000"/>
                <w:sz w:val="20"/>
                <w:szCs w:val="20"/>
              </w:rPr>
              <w:t>NON-MANDATORY AND OPTIONAL DELIVERABLES (SUPPLIER RESPONSIBILITIES)</w:t>
            </w:r>
            <w:r w:rsidR="005F2894">
              <w:rPr>
                <w:smallCaps/>
                <w:color w:val="000000"/>
                <w:sz w:val="20"/>
                <w:szCs w:val="20"/>
              </w:rPr>
              <w:tab/>
              <w:t>5</w:t>
            </w:r>
          </w:hyperlink>
        </w:p>
        <w:p w:rsidR="00AA47BD" w:rsidRDefault="001C0E14">
          <w:pPr>
            <w:widowControl w:val="0"/>
            <w:tabs>
              <w:tab w:val="right" w:pos="12000"/>
            </w:tabs>
            <w:spacing w:before="60"/>
            <w:rPr>
              <w:b/>
              <w:color w:val="000000"/>
            </w:rPr>
          </w:pPr>
          <w:hyperlink w:anchor="_heading=h.41mghml">
            <w:r w:rsidR="005F2894">
              <w:rPr>
                <w:smallCaps/>
                <w:color w:val="000000"/>
              </w:rPr>
              <w:t>8. POTENTIAL, ACTUAL OR EXPECTED DELIVERY VOLUMES (IF APPLICABLE)</w:t>
            </w:r>
            <w:r w:rsidR="005F2894">
              <w:rPr>
                <w:smallCaps/>
                <w:color w:val="000000"/>
              </w:rPr>
              <w:tab/>
              <w:t>5</w:t>
            </w:r>
          </w:hyperlink>
        </w:p>
        <w:p w:rsidR="00AA47BD" w:rsidRDefault="001C0E14">
          <w:pPr>
            <w:widowControl w:val="0"/>
            <w:tabs>
              <w:tab w:val="right" w:pos="12000"/>
            </w:tabs>
            <w:spacing w:before="60"/>
            <w:rPr>
              <w:b/>
              <w:color w:val="000000"/>
            </w:rPr>
          </w:pPr>
          <w:hyperlink w:anchor="_heading=h.2grqrue">
            <w:r w:rsidR="005F2894">
              <w:rPr>
                <w:smallCaps/>
                <w:color w:val="000000"/>
              </w:rPr>
              <w:t>9. LOCATION</w:t>
            </w:r>
            <w:r w:rsidR="005F2894">
              <w:rPr>
                <w:smallCaps/>
                <w:color w:val="000000"/>
              </w:rPr>
              <w:tab/>
              <w:t>6</w:t>
            </w:r>
          </w:hyperlink>
        </w:p>
        <w:p w:rsidR="00AA47BD" w:rsidRDefault="001C0E14">
          <w:pPr>
            <w:widowControl w:val="0"/>
            <w:tabs>
              <w:tab w:val="right" w:pos="12000"/>
            </w:tabs>
            <w:spacing w:before="60"/>
            <w:rPr>
              <w:b/>
              <w:color w:val="000000"/>
            </w:rPr>
          </w:pPr>
          <w:hyperlink w:anchor="_heading=h.vx1227">
            <w:r w:rsidR="005F2894">
              <w:rPr>
                <w:smallCaps/>
                <w:color w:val="000000"/>
              </w:rPr>
              <w:t>10. BUYER RESPONSIBILITIES</w:t>
            </w:r>
            <w:r w:rsidR="005F2894">
              <w:rPr>
                <w:smallCaps/>
                <w:color w:val="000000"/>
              </w:rPr>
              <w:tab/>
              <w:t>6</w:t>
            </w:r>
          </w:hyperlink>
        </w:p>
        <w:p w:rsidR="00AA47BD" w:rsidRDefault="001C0E14">
          <w:pPr>
            <w:widowControl w:val="0"/>
            <w:tabs>
              <w:tab w:val="right" w:pos="12000"/>
            </w:tabs>
            <w:spacing w:before="60"/>
            <w:rPr>
              <w:b/>
              <w:color w:val="000000"/>
            </w:rPr>
          </w:pPr>
          <w:hyperlink w:anchor="_heading=h.3fwokq0">
            <w:r w:rsidR="005F2894">
              <w:rPr>
                <w:smallCaps/>
                <w:color w:val="000000"/>
              </w:rPr>
              <w:t>11. KEY MILESTONES AND DELIVERABLES</w:t>
            </w:r>
            <w:r w:rsidR="005F2894">
              <w:rPr>
                <w:smallCaps/>
                <w:color w:val="000000"/>
              </w:rPr>
              <w:tab/>
              <w:t>6</w:t>
            </w:r>
          </w:hyperlink>
        </w:p>
        <w:p w:rsidR="00AA47BD" w:rsidRDefault="001C0E14">
          <w:pPr>
            <w:widowControl w:val="0"/>
            <w:tabs>
              <w:tab w:val="right" w:pos="12000"/>
            </w:tabs>
            <w:spacing w:before="60"/>
            <w:rPr>
              <w:b/>
              <w:color w:val="000000"/>
            </w:rPr>
          </w:pPr>
          <w:hyperlink w:anchor="_heading=h.1v1yuxt">
            <w:r w:rsidR="005F2894">
              <w:rPr>
                <w:smallCaps/>
                <w:color w:val="000000"/>
              </w:rPr>
              <w:t>12. SUSTAINABILITY AND CARBON NET ZERO</w:t>
            </w:r>
            <w:r w:rsidR="005F2894">
              <w:rPr>
                <w:smallCaps/>
                <w:color w:val="000000"/>
              </w:rPr>
              <w:tab/>
              <w:t>6</w:t>
            </w:r>
          </w:hyperlink>
        </w:p>
        <w:p w:rsidR="00AA47BD" w:rsidRDefault="001C0E14">
          <w:pPr>
            <w:widowControl w:val="0"/>
            <w:tabs>
              <w:tab w:val="right" w:pos="12000"/>
            </w:tabs>
            <w:spacing w:before="60"/>
            <w:rPr>
              <w:b/>
              <w:color w:val="000000"/>
            </w:rPr>
          </w:pPr>
          <w:hyperlink w:anchor="_heading=h.plhr2bchbfb2">
            <w:r w:rsidR="005F2894">
              <w:rPr>
                <w:color w:val="000000"/>
              </w:rPr>
              <w:t>13. SOCIAL VALUE</w:t>
            </w:r>
            <w:r w:rsidR="005F2894">
              <w:rPr>
                <w:color w:val="000000"/>
              </w:rPr>
              <w:tab/>
              <w:t>6</w:t>
            </w:r>
          </w:hyperlink>
        </w:p>
        <w:p w:rsidR="00AA47BD" w:rsidRDefault="001C0E14">
          <w:pPr>
            <w:widowControl w:val="0"/>
            <w:tabs>
              <w:tab w:val="right" w:pos="12000"/>
            </w:tabs>
            <w:spacing w:before="60"/>
            <w:rPr>
              <w:b/>
              <w:color w:val="000000"/>
            </w:rPr>
          </w:pPr>
          <w:hyperlink w:anchor="_heading=h.2u6wntf">
            <w:r w:rsidR="005F2894">
              <w:rPr>
                <w:smallCaps/>
                <w:color w:val="000000"/>
              </w:rPr>
              <w:t>14. STAFF AND CUSTOMER SERVICE</w:t>
            </w:r>
            <w:r w:rsidR="005F2894">
              <w:rPr>
                <w:smallCaps/>
                <w:color w:val="000000"/>
              </w:rPr>
              <w:tab/>
              <w:t>7</w:t>
            </w:r>
          </w:hyperlink>
        </w:p>
        <w:p w:rsidR="00AA47BD" w:rsidRDefault="001C0E14">
          <w:pPr>
            <w:widowControl w:val="0"/>
            <w:tabs>
              <w:tab w:val="right" w:pos="12000"/>
            </w:tabs>
            <w:spacing w:before="60"/>
            <w:rPr>
              <w:b/>
              <w:color w:val="000000"/>
            </w:rPr>
          </w:pPr>
          <w:hyperlink w:anchor="_heading=h.19c6y18">
            <w:r w:rsidR="005F2894">
              <w:rPr>
                <w:smallCaps/>
                <w:color w:val="000000"/>
              </w:rPr>
              <w:t>15. CONTINUOUS IMPROVEMENT</w:t>
            </w:r>
            <w:r w:rsidR="005F2894">
              <w:rPr>
                <w:smallCaps/>
                <w:color w:val="000000"/>
              </w:rPr>
              <w:tab/>
              <w:t>7</w:t>
            </w:r>
          </w:hyperlink>
        </w:p>
        <w:p w:rsidR="00AA47BD" w:rsidRDefault="001C0E14">
          <w:pPr>
            <w:widowControl w:val="0"/>
            <w:tabs>
              <w:tab w:val="right" w:pos="12000"/>
            </w:tabs>
            <w:spacing w:before="60"/>
            <w:rPr>
              <w:b/>
              <w:color w:val="000000"/>
            </w:rPr>
          </w:pPr>
          <w:hyperlink w:anchor="_heading=h.3tbugp1">
            <w:r w:rsidR="005F2894">
              <w:rPr>
                <w:smallCaps/>
                <w:color w:val="000000"/>
              </w:rPr>
              <w:t>16. SECURITY AND CONFIDENTIALITY REQUIREMENTS</w:t>
            </w:r>
            <w:r w:rsidR="005F2894">
              <w:rPr>
                <w:smallCaps/>
                <w:color w:val="000000"/>
              </w:rPr>
              <w:tab/>
              <w:t>7</w:t>
            </w:r>
          </w:hyperlink>
        </w:p>
        <w:p w:rsidR="00AA47BD" w:rsidRDefault="001C0E14">
          <w:pPr>
            <w:widowControl w:val="0"/>
            <w:tabs>
              <w:tab w:val="right" w:pos="12000"/>
            </w:tabs>
            <w:spacing w:before="60"/>
            <w:rPr>
              <w:b/>
              <w:color w:val="000000"/>
            </w:rPr>
          </w:pPr>
          <w:hyperlink w:anchor="_heading=h.28h4qwu">
            <w:r w:rsidR="005F2894">
              <w:rPr>
                <w:smallCaps/>
                <w:color w:val="000000"/>
              </w:rPr>
              <w:t>17. PRICING MECHANISM</w:t>
            </w:r>
            <w:r w:rsidR="005F2894">
              <w:rPr>
                <w:smallCaps/>
                <w:color w:val="000000"/>
              </w:rPr>
              <w:tab/>
              <w:t>8</w:t>
            </w:r>
          </w:hyperlink>
        </w:p>
        <w:p w:rsidR="00AA47BD" w:rsidRDefault="001C0E14">
          <w:pPr>
            <w:widowControl w:val="0"/>
            <w:tabs>
              <w:tab w:val="right" w:pos="12000"/>
            </w:tabs>
            <w:spacing w:before="60"/>
            <w:rPr>
              <w:b/>
              <w:color w:val="000000"/>
            </w:rPr>
          </w:pPr>
          <w:hyperlink w:anchor="_heading=h.nmf14n">
            <w:r w:rsidR="005F2894">
              <w:rPr>
                <w:smallCaps/>
                <w:color w:val="000000"/>
              </w:rPr>
              <w:t>18. PAYMENT AND INVOICING</w:t>
            </w:r>
            <w:r w:rsidR="005F2894">
              <w:rPr>
                <w:smallCaps/>
                <w:color w:val="000000"/>
              </w:rPr>
              <w:tab/>
              <w:t>8</w:t>
            </w:r>
          </w:hyperlink>
        </w:p>
        <w:p w:rsidR="00AA47BD" w:rsidRDefault="001C0E14">
          <w:pPr>
            <w:widowControl w:val="0"/>
            <w:tabs>
              <w:tab w:val="right" w:pos="12000"/>
            </w:tabs>
            <w:spacing w:before="60"/>
            <w:rPr>
              <w:b/>
              <w:color w:val="000000"/>
            </w:rPr>
          </w:pPr>
          <w:hyperlink w:anchor="_heading=h.37m2jsg">
            <w:r w:rsidR="005F2894">
              <w:rPr>
                <w:smallCaps/>
                <w:color w:val="000000"/>
              </w:rPr>
              <w:t>19. CONTRACT MANAGEMENT AND KEY PERFORMANCE INDICATORS</w:t>
            </w:r>
            <w:r w:rsidR="005F2894">
              <w:rPr>
                <w:smallCaps/>
                <w:color w:val="000000"/>
              </w:rPr>
              <w:tab/>
              <w:t>8</w:t>
            </w:r>
          </w:hyperlink>
          <w:r w:rsidR="005F2894">
            <w:fldChar w:fldCharType="end"/>
          </w:r>
        </w:p>
      </w:sdtContent>
    </w:sdt>
    <w:p w:rsidR="00AA47BD" w:rsidRDefault="005F2894">
      <w:pPr>
        <w:pStyle w:val="Heading1"/>
        <w:numPr>
          <w:ilvl w:val="0"/>
          <w:numId w:val="1"/>
        </w:numPr>
        <w:spacing w:after="0"/>
        <w:ind w:firstLine="720"/>
        <w:jc w:val="left"/>
        <w:rPr>
          <w:sz w:val="20"/>
          <w:szCs w:val="20"/>
        </w:rPr>
      </w:pPr>
      <w:r>
        <w:br w:type="page"/>
      </w:r>
    </w:p>
    <w:p w:rsidR="00AA47BD" w:rsidRDefault="005F2894">
      <w:pPr>
        <w:pStyle w:val="Heading1"/>
        <w:numPr>
          <w:ilvl w:val="0"/>
          <w:numId w:val="2"/>
        </w:numPr>
        <w:spacing w:after="0"/>
        <w:ind w:left="709" w:hanging="709"/>
        <w:jc w:val="left"/>
        <w:rPr>
          <w:sz w:val="20"/>
          <w:szCs w:val="20"/>
        </w:rPr>
      </w:pPr>
      <w:bookmarkStart w:id="4" w:name="_heading=h.2p2csry" w:colFirst="0" w:colLast="0"/>
      <w:bookmarkEnd w:id="4"/>
      <w:r>
        <w:rPr>
          <w:sz w:val="20"/>
          <w:szCs w:val="20"/>
        </w:rPr>
        <w:lastRenderedPageBreak/>
        <w:t>PURPOSE AND OVERVIEW OF THE REQUIREMENT</w:t>
      </w:r>
    </w:p>
    <w:p w:rsidR="00AA47BD" w:rsidRDefault="00AA47BD"/>
    <w:p w:rsidR="00AA47BD" w:rsidRDefault="001C0E14">
      <w:pPr>
        <w:widowControl w:val="0"/>
        <w:numPr>
          <w:ilvl w:val="1"/>
          <w:numId w:val="2"/>
        </w:numPr>
        <w:tabs>
          <w:tab w:val="right" w:pos="12000"/>
        </w:tabs>
        <w:spacing w:before="60"/>
        <w:rPr>
          <w:sz w:val="20"/>
          <w:szCs w:val="20"/>
        </w:rPr>
      </w:pPr>
      <w:hyperlink r:id="rId9" w:anchor="heading=h.2et92p0">
        <w:r w:rsidR="005F2894">
          <w:rPr>
            <w:sz w:val="20"/>
            <w:szCs w:val="20"/>
          </w:rPr>
          <w:t>This bid is for the procurement of Tableau Data Visualisation tool so that departments in the Cabinet Office can continue to use Tableau to meet their data visualisation needs. Cabinet Office runs a Tableau shared service to reduce costs, accelerate adoption and connect people within the Cabinet Office so that knowledge can be shared across business units.</w:t>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r:id="rId10" w:anchor="heading=h.s4078mjg6053">
        <w:r w:rsidR="005F2894">
          <w:rPr>
            <w:sz w:val="20"/>
            <w:szCs w:val="20"/>
          </w:rPr>
          <w:t>A key tenet of the Data Strategy within the Cabinet Office is to provide access to data so that it is readily available and can be used by colleagues to aid decision making. By providing the Tableau Shared Service we aim to “democratise data” and in doing so accelerate data visualisation across the Cabinet Office.</w:t>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r:id="rId11" w:anchor="heading=h.8xazn9ovn9z4">
        <w:r w:rsidR="005F2894">
          <w:rPr>
            <w:sz w:val="20"/>
            <w:szCs w:val="20"/>
          </w:rPr>
          <w:t>Mission 3 of the Government Data Strategy involves harnessing data to make government more efficient and to offer better public services. The Cabinet Office Tableau shared service supports mission 3 of the Government Data Strategy. https://www.gov.uk/government/publications/uk-national-data-strategy/national-data-strategy</w:t>
        </w:r>
      </w:hyperlink>
    </w:p>
    <w:p w:rsidR="00AA47BD" w:rsidRDefault="00AA47BD"/>
    <w:p w:rsidR="00AA47BD" w:rsidRDefault="005F2894">
      <w:pPr>
        <w:pStyle w:val="Heading1"/>
        <w:numPr>
          <w:ilvl w:val="0"/>
          <w:numId w:val="2"/>
        </w:numPr>
        <w:spacing w:after="0"/>
        <w:ind w:left="709" w:hanging="709"/>
        <w:jc w:val="left"/>
        <w:rPr>
          <w:sz w:val="20"/>
          <w:szCs w:val="20"/>
        </w:rPr>
      </w:pPr>
      <w:bookmarkStart w:id="5" w:name="_heading=h.147n2zr" w:colFirst="0" w:colLast="0"/>
      <w:bookmarkEnd w:id="5"/>
      <w:r>
        <w:rPr>
          <w:sz w:val="20"/>
          <w:szCs w:val="20"/>
        </w:rPr>
        <w:t>BACKGROUND TO THE BUYER</w:t>
      </w:r>
    </w:p>
    <w:p w:rsidR="00AA47BD" w:rsidRDefault="00AA47BD"/>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The Cabinet Office supports the Prime Minister and ensures the effective running of government. We are also the corporate headquarters for the government, in partnership with HM Treasury, and we take the lead in certain critical policy areas.</w:t>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r:id="rId12" w:anchor="heading=h.ejhbt8qwhy9o">
        <w:r w:rsidR="005F2894">
          <w:rPr>
            <w:sz w:val="20"/>
            <w:szCs w:val="20"/>
          </w:rPr>
          <w:t>The Cabinet Office is Responsible for</w:t>
        </w:r>
      </w:hyperlink>
      <w:r w:rsidR="005F2894">
        <w:t xml:space="preserve"> </w:t>
      </w:r>
      <w:hyperlink w:anchor="_heading=">
        <w:r w:rsidR="005F2894">
          <w:rPr>
            <w:sz w:val="20"/>
            <w:szCs w:val="20"/>
          </w:rPr>
          <w:t>supporting collective government, helping to ensure the effective development, coordination and implementation of policy.</w:t>
        </w:r>
        <w:r w:rsidR="005F2894">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S</w:t>
      </w:r>
      <w:hyperlink w:anchor="_heading=">
        <w:r>
          <w:rPr>
            <w:sz w:val="20"/>
            <w:szCs w:val="20"/>
          </w:rPr>
          <w:t>upporting the National Security Council and the Joint Intelligence Organisation, coordinating the government’s response to crises and managing the UK’s cyber security</w:t>
        </w:r>
        <w:r>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P</w:t>
      </w:r>
      <w:hyperlink w:anchor="_heading=">
        <w:r>
          <w:rPr>
            <w:sz w:val="20"/>
            <w:szCs w:val="20"/>
          </w:rPr>
          <w:t>romoting efficiency and reform across government through innovation, better procurement and project management, and by transforming the delivery of services.</w:t>
        </w:r>
        <w:r>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P</w:t>
      </w:r>
      <w:hyperlink w:anchor="_heading=">
        <w:r>
          <w:rPr>
            <w:sz w:val="20"/>
            <w:szCs w:val="20"/>
          </w:rPr>
          <w:t>romoting the release of government data, and making the way government works more transparent</w:t>
        </w:r>
        <w:r>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C</w:t>
      </w:r>
      <w:hyperlink w:anchor="_heading=">
        <w:r>
          <w:rPr>
            <w:sz w:val="20"/>
            <w:szCs w:val="20"/>
          </w:rPr>
          <w:t>reating an exceptional Civil Service, improving its capability and effectiveness</w:t>
        </w:r>
        <w:r>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P</w:t>
      </w:r>
      <w:hyperlink w:anchor="_heading=">
        <w:r>
          <w:rPr>
            <w:sz w:val="20"/>
            <w:szCs w:val="20"/>
          </w:rPr>
          <w:t>olitical and constitutional reform</w:t>
        </w:r>
      </w:hyperlink>
    </w:p>
    <w:p w:rsidR="00AA47BD" w:rsidRDefault="00AA47BD"/>
    <w:p w:rsidR="00AA47BD" w:rsidRDefault="005F2894">
      <w:pPr>
        <w:pStyle w:val="Heading1"/>
        <w:numPr>
          <w:ilvl w:val="0"/>
          <w:numId w:val="2"/>
        </w:numPr>
        <w:spacing w:after="0"/>
        <w:ind w:left="709" w:hanging="709"/>
        <w:jc w:val="left"/>
        <w:rPr>
          <w:sz w:val="20"/>
          <w:szCs w:val="20"/>
        </w:rPr>
      </w:pPr>
      <w:bookmarkStart w:id="6" w:name="_heading=h.3o7alnk" w:colFirst="0" w:colLast="0"/>
      <w:bookmarkEnd w:id="6"/>
      <w:r>
        <w:rPr>
          <w:sz w:val="20"/>
          <w:szCs w:val="20"/>
        </w:rPr>
        <w:t>BACKGROUND TO THE REQUIREMENT</w:t>
      </w:r>
    </w:p>
    <w:p w:rsidR="00AA47BD" w:rsidRDefault="00AA47BD"/>
    <w:p w:rsidR="00AA47BD" w:rsidRDefault="001C0E14">
      <w:pPr>
        <w:widowControl w:val="0"/>
        <w:numPr>
          <w:ilvl w:val="1"/>
          <w:numId w:val="2"/>
        </w:numPr>
        <w:tabs>
          <w:tab w:val="right" w:pos="12000"/>
        </w:tabs>
        <w:spacing w:before="60"/>
        <w:rPr>
          <w:sz w:val="20"/>
          <w:szCs w:val="20"/>
        </w:rPr>
      </w:pPr>
      <w:hyperlink r:id="rId13" w:anchor="heading=h.rlnsp41x3kz9">
        <w:r w:rsidR="005F2894">
          <w:rPr>
            <w:sz w:val="20"/>
            <w:szCs w:val="20"/>
          </w:rPr>
          <w:t>Cabinet Office business units use Tableau today as a tool for presenting, analysing and sharing data with their stakeholders. Departments would not be able to continue their normal operations without continuing access to Tableau.</w:t>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r:id="rId14" w:anchor="heading=h.1t3h5sf">
        <w:r w:rsidR="005F2894">
          <w:rPr>
            <w:sz w:val="20"/>
            <w:szCs w:val="20"/>
          </w:rPr>
          <w:t>Tableau is a strategically important Data Visualisation Tool and it is not practical or desirable at this time to migrate to another competitor tool. Moving to another tool would be expensive, requiring redevelopment work of Tableau assets (data sources, workbooks, reports and dashboards), staff retraining and knowledge building.</w:t>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The provision of the Tableau shared service is in support of The Government Data Strategy mission 3, the Tory Party Manifesto from the last election committing to improve government through the better use of Data and the Cabinet Office Strategy to improve efficiency through the use of data.</w:t>
        </w:r>
      </w:hyperlink>
    </w:p>
    <w:p w:rsidR="00AA47BD" w:rsidRDefault="00AA47BD">
      <w:pPr>
        <w:widowControl w:val="0"/>
        <w:tabs>
          <w:tab w:val="right" w:pos="12000"/>
        </w:tabs>
        <w:spacing w:before="60"/>
        <w:ind w:left="720"/>
        <w:rPr>
          <w:sz w:val="20"/>
          <w:szCs w:val="20"/>
        </w:rPr>
      </w:pPr>
    </w:p>
    <w:p w:rsidR="00AA47BD" w:rsidRDefault="00AA47BD">
      <w:pPr>
        <w:widowControl w:val="0"/>
        <w:tabs>
          <w:tab w:val="right" w:pos="12000"/>
        </w:tabs>
        <w:spacing w:before="60"/>
        <w:ind w:left="720"/>
        <w:rPr>
          <w:sz w:val="20"/>
          <w:szCs w:val="20"/>
        </w:rPr>
      </w:pPr>
    </w:p>
    <w:p w:rsidR="00AA47BD" w:rsidRDefault="00AA47BD">
      <w:pPr>
        <w:widowControl w:val="0"/>
        <w:tabs>
          <w:tab w:val="right" w:pos="12000"/>
        </w:tabs>
        <w:spacing w:before="60"/>
        <w:ind w:left="720"/>
        <w:rPr>
          <w:sz w:val="20"/>
          <w:szCs w:val="20"/>
        </w:rPr>
      </w:pPr>
    </w:p>
    <w:p w:rsidR="00AA47BD" w:rsidRDefault="00AA47BD">
      <w:pPr>
        <w:widowControl w:val="0"/>
        <w:tabs>
          <w:tab w:val="right" w:pos="12000"/>
        </w:tabs>
        <w:spacing w:before="60"/>
        <w:ind w:left="720"/>
        <w:rPr>
          <w:sz w:val="20"/>
          <w:szCs w:val="20"/>
        </w:rPr>
      </w:pPr>
    </w:p>
    <w:p w:rsidR="00AA47BD" w:rsidRDefault="00AA47BD"/>
    <w:p w:rsidR="00AA47BD" w:rsidRDefault="005F2894">
      <w:pPr>
        <w:pStyle w:val="Heading1"/>
        <w:numPr>
          <w:ilvl w:val="0"/>
          <w:numId w:val="2"/>
        </w:numPr>
        <w:spacing w:after="0"/>
        <w:ind w:left="709" w:hanging="709"/>
        <w:jc w:val="left"/>
        <w:rPr>
          <w:b w:val="0"/>
          <w:sz w:val="20"/>
          <w:szCs w:val="20"/>
        </w:rPr>
      </w:pPr>
      <w:bookmarkStart w:id="7" w:name="_heading=h.23ckvvd" w:colFirst="0" w:colLast="0"/>
      <w:bookmarkEnd w:id="7"/>
      <w:r>
        <w:rPr>
          <w:sz w:val="20"/>
          <w:szCs w:val="20"/>
        </w:rPr>
        <w:lastRenderedPageBreak/>
        <w:t xml:space="preserve">DEFINITIONS </w:t>
      </w:r>
    </w:p>
    <w:p w:rsidR="00AA47BD" w:rsidRDefault="00AA47BD"/>
    <w:p w:rsidR="00AA47BD" w:rsidRDefault="00AA47BD"/>
    <w:p w:rsidR="00AA47BD" w:rsidRDefault="00AA47BD"/>
    <w:p w:rsidR="00AA47BD" w:rsidRDefault="00AA47BD"/>
    <w:tbl>
      <w:tblPr>
        <w:tblStyle w:val="af4"/>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AA47BD">
        <w:trPr>
          <w:trHeight w:val="375"/>
        </w:trPr>
        <w:tc>
          <w:tcPr>
            <w:tcW w:w="2773" w:type="dxa"/>
            <w:shd w:val="clear" w:color="auto" w:fill="B8CCE4"/>
          </w:tcPr>
          <w:p w:rsidR="00AA47BD" w:rsidRDefault="005F2894">
            <w:pPr>
              <w:pBdr>
                <w:top w:val="nil"/>
                <w:left w:val="nil"/>
                <w:bottom w:val="nil"/>
                <w:right w:val="nil"/>
                <w:between w:val="nil"/>
              </w:pBdr>
              <w:ind w:left="709" w:hanging="709"/>
              <w:jc w:val="left"/>
              <w:rPr>
                <w:color w:val="000000"/>
                <w:sz w:val="20"/>
                <w:szCs w:val="20"/>
                <w:highlight w:val="yellow"/>
              </w:rPr>
            </w:pPr>
            <w:r>
              <w:rPr>
                <w:color w:val="000000"/>
                <w:sz w:val="20"/>
                <w:szCs w:val="20"/>
              </w:rPr>
              <w:t>Expression or Acronym</w:t>
            </w:r>
          </w:p>
        </w:tc>
        <w:tc>
          <w:tcPr>
            <w:tcW w:w="6251" w:type="dxa"/>
            <w:shd w:val="clear" w:color="auto" w:fill="B8CCE4"/>
          </w:tcPr>
          <w:p w:rsidR="00AA47BD" w:rsidRDefault="005F2894">
            <w:pPr>
              <w:pBdr>
                <w:top w:val="nil"/>
                <w:left w:val="nil"/>
                <w:bottom w:val="nil"/>
                <w:right w:val="nil"/>
                <w:between w:val="nil"/>
              </w:pBdr>
              <w:ind w:left="709" w:hanging="709"/>
              <w:jc w:val="left"/>
              <w:rPr>
                <w:color w:val="000000"/>
                <w:sz w:val="20"/>
                <w:szCs w:val="20"/>
                <w:highlight w:val="yellow"/>
              </w:rPr>
            </w:pPr>
            <w:r>
              <w:rPr>
                <w:color w:val="000000"/>
                <w:sz w:val="20"/>
                <w:szCs w:val="20"/>
              </w:rPr>
              <w:t>Definition</w:t>
            </w:r>
          </w:p>
        </w:tc>
      </w:tr>
      <w:tr w:rsidR="00AA47BD">
        <w:tc>
          <w:tcPr>
            <w:tcW w:w="2773" w:type="dxa"/>
          </w:tcPr>
          <w:p w:rsidR="00AA47BD" w:rsidRDefault="001C0E14">
            <w:pPr>
              <w:widowControl w:val="0"/>
              <w:tabs>
                <w:tab w:val="right" w:pos="12000"/>
              </w:tabs>
              <w:spacing w:before="60"/>
              <w:ind w:left="360"/>
              <w:jc w:val="left"/>
              <w:rPr>
                <w:b w:val="0"/>
                <w:color w:val="000000"/>
                <w:sz w:val="20"/>
                <w:szCs w:val="20"/>
                <w:highlight w:val="yellow"/>
              </w:rPr>
            </w:pPr>
            <w:hyperlink w:anchor="_heading=">
              <w:r w:rsidR="005F2894">
                <w:rPr>
                  <w:b w:val="0"/>
                  <w:color w:val="000000"/>
                  <w:sz w:val="20"/>
                  <w:szCs w:val="20"/>
                </w:rPr>
                <w:t>Tableau Creator</w:t>
              </w:r>
            </w:hyperlink>
          </w:p>
          <w:p w:rsidR="00AA47BD" w:rsidRDefault="00AA47BD">
            <w:pPr>
              <w:pBdr>
                <w:top w:val="nil"/>
                <w:left w:val="nil"/>
                <w:bottom w:val="nil"/>
                <w:right w:val="nil"/>
                <w:between w:val="nil"/>
              </w:pBdr>
              <w:ind w:left="709" w:hanging="709"/>
              <w:jc w:val="left"/>
              <w:rPr>
                <w:b w:val="0"/>
                <w:color w:val="000000"/>
                <w:sz w:val="20"/>
                <w:szCs w:val="20"/>
                <w:shd w:val="clear" w:color="auto" w:fill="FFFF99"/>
              </w:rPr>
            </w:pPr>
          </w:p>
        </w:tc>
        <w:tc>
          <w:tcPr>
            <w:tcW w:w="6251" w:type="dxa"/>
          </w:tcPr>
          <w:p w:rsidR="00AA47BD" w:rsidRDefault="001C0E14">
            <w:pPr>
              <w:widowControl w:val="0"/>
              <w:tabs>
                <w:tab w:val="right" w:pos="12000"/>
              </w:tabs>
              <w:spacing w:before="60"/>
              <w:ind w:left="360"/>
              <w:jc w:val="left"/>
              <w:rPr>
                <w:b w:val="0"/>
                <w:color w:val="000000"/>
                <w:sz w:val="20"/>
                <w:szCs w:val="20"/>
                <w:highlight w:val="yellow"/>
              </w:rPr>
            </w:pPr>
            <w:hyperlink w:anchor="_heading=">
              <w:r w:rsidR="005F2894">
                <w:rPr>
                  <w:b w:val="0"/>
                  <w:color w:val="000000"/>
                  <w:sz w:val="20"/>
                  <w:szCs w:val="20"/>
                </w:rPr>
                <w:t>The Creator licence is designed for users who create content. This can include the design, cleaning and curation of data sources, which others will use to analyse governed data, or the creation of visualisations and dashboards with which other users will interact. It also includes designing governance and permissions models that control which information users may find.</w:t>
              </w:r>
            </w:hyperlink>
          </w:p>
        </w:tc>
      </w:tr>
      <w:tr w:rsidR="00AA47BD">
        <w:tc>
          <w:tcPr>
            <w:tcW w:w="2773" w:type="dxa"/>
          </w:tcPr>
          <w:p w:rsidR="00AA47BD" w:rsidRDefault="001C0E14">
            <w:pPr>
              <w:widowControl w:val="0"/>
              <w:tabs>
                <w:tab w:val="right" w:pos="12000"/>
              </w:tabs>
              <w:spacing w:before="60"/>
              <w:ind w:left="360"/>
              <w:jc w:val="left"/>
              <w:rPr>
                <w:b w:val="0"/>
                <w:color w:val="000000"/>
                <w:sz w:val="20"/>
                <w:szCs w:val="20"/>
                <w:shd w:val="clear" w:color="auto" w:fill="FFFF99"/>
              </w:rPr>
            </w:pPr>
            <w:hyperlink w:anchor="_heading=">
              <w:r w:rsidR="005F2894">
                <w:rPr>
                  <w:b w:val="0"/>
                  <w:color w:val="000000"/>
                  <w:sz w:val="20"/>
                  <w:szCs w:val="20"/>
                </w:rPr>
                <w:t>Tableau Viewer</w:t>
              </w:r>
            </w:hyperlink>
          </w:p>
        </w:tc>
        <w:tc>
          <w:tcPr>
            <w:tcW w:w="6251" w:type="dxa"/>
          </w:tcPr>
          <w:p w:rsidR="00AA47BD" w:rsidRDefault="001C0E14">
            <w:pPr>
              <w:widowControl w:val="0"/>
              <w:tabs>
                <w:tab w:val="right" w:pos="12000"/>
              </w:tabs>
              <w:spacing w:before="60"/>
              <w:ind w:left="360"/>
              <w:jc w:val="left"/>
              <w:rPr>
                <w:b w:val="0"/>
                <w:color w:val="000000"/>
                <w:sz w:val="20"/>
                <w:szCs w:val="20"/>
              </w:rPr>
            </w:pPr>
            <w:hyperlink w:anchor="_heading=">
              <w:r w:rsidR="005F2894">
                <w:rPr>
                  <w:b w:val="0"/>
                  <w:color w:val="000000"/>
                  <w:sz w:val="20"/>
                  <w:szCs w:val="20"/>
                </w:rPr>
                <w:t>Tableau Viewers can view and interact with published visualisations and dashboards. These users can be given permission to access published content and interact with guided drill paths and filters. They can also subscribe to dashboards to get periodic updates and receive data-driven alerts.</w:t>
              </w:r>
            </w:hyperlink>
          </w:p>
        </w:tc>
      </w:tr>
      <w:tr w:rsidR="00AA47BD">
        <w:tc>
          <w:tcPr>
            <w:tcW w:w="2773" w:type="dxa"/>
          </w:tcPr>
          <w:p w:rsidR="00AA47BD" w:rsidRDefault="001C0E14">
            <w:pPr>
              <w:widowControl w:val="0"/>
              <w:tabs>
                <w:tab w:val="right" w:pos="12000"/>
              </w:tabs>
              <w:spacing w:before="60"/>
              <w:ind w:left="360"/>
              <w:jc w:val="left"/>
              <w:rPr>
                <w:b w:val="0"/>
                <w:color w:val="000000"/>
                <w:sz w:val="20"/>
                <w:szCs w:val="20"/>
                <w:shd w:val="clear" w:color="auto" w:fill="FFFF99"/>
              </w:rPr>
            </w:pPr>
            <w:hyperlink w:anchor="_heading=">
              <w:r w:rsidR="005F2894">
                <w:rPr>
                  <w:b w:val="0"/>
                  <w:color w:val="000000"/>
                  <w:sz w:val="20"/>
                  <w:szCs w:val="20"/>
                </w:rPr>
                <w:t>Tableau Server</w:t>
              </w:r>
            </w:hyperlink>
          </w:p>
          <w:p w:rsidR="00AA47BD" w:rsidRDefault="00AA47BD">
            <w:pPr>
              <w:pBdr>
                <w:top w:val="nil"/>
                <w:left w:val="nil"/>
                <w:bottom w:val="nil"/>
                <w:right w:val="nil"/>
                <w:between w:val="nil"/>
              </w:pBdr>
              <w:ind w:left="709" w:hanging="709"/>
              <w:jc w:val="left"/>
              <w:rPr>
                <w:b w:val="0"/>
                <w:color w:val="000000"/>
                <w:sz w:val="20"/>
                <w:szCs w:val="20"/>
                <w:highlight w:val="yellow"/>
              </w:rPr>
            </w:pPr>
          </w:p>
        </w:tc>
        <w:tc>
          <w:tcPr>
            <w:tcW w:w="6251" w:type="dxa"/>
          </w:tcPr>
          <w:p w:rsidR="00AA47BD" w:rsidRDefault="001C0E14">
            <w:pPr>
              <w:widowControl w:val="0"/>
              <w:tabs>
                <w:tab w:val="right" w:pos="12000"/>
              </w:tabs>
              <w:spacing w:before="60"/>
              <w:ind w:left="360"/>
              <w:jc w:val="left"/>
              <w:rPr>
                <w:b w:val="0"/>
                <w:color w:val="000000"/>
                <w:sz w:val="20"/>
                <w:szCs w:val="20"/>
                <w:highlight w:val="yellow"/>
              </w:rPr>
            </w:pPr>
            <w:hyperlink w:anchor="_heading=">
              <w:r w:rsidR="005F2894">
                <w:rPr>
                  <w:b w:val="0"/>
                  <w:color w:val="000000"/>
                  <w:sz w:val="20"/>
                  <w:szCs w:val="20"/>
                </w:rPr>
                <w:t>Tableau Server is the software required to run a multi-user environment to host and manage Tableau data sources, workbooks, reports, and dashboards in a private cloud environment.</w:t>
              </w:r>
            </w:hyperlink>
          </w:p>
        </w:tc>
      </w:tr>
      <w:tr w:rsidR="00AA47BD">
        <w:tc>
          <w:tcPr>
            <w:tcW w:w="2773" w:type="dxa"/>
          </w:tcPr>
          <w:p w:rsidR="00AA47BD" w:rsidRDefault="001C0E14">
            <w:pPr>
              <w:widowControl w:val="0"/>
              <w:tabs>
                <w:tab w:val="right" w:pos="12000"/>
              </w:tabs>
              <w:spacing w:before="60"/>
              <w:ind w:left="360"/>
              <w:jc w:val="left"/>
              <w:rPr>
                <w:b w:val="0"/>
                <w:color w:val="000000"/>
                <w:sz w:val="20"/>
                <w:szCs w:val="20"/>
              </w:rPr>
            </w:pPr>
            <w:hyperlink w:anchor="_heading=">
              <w:r w:rsidR="005F2894">
                <w:rPr>
                  <w:b w:val="0"/>
                  <w:color w:val="000000"/>
                  <w:sz w:val="20"/>
                  <w:szCs w:val="20"/>
                </w:rPr>
                <w:t>Tableau Data Management Option</w:t>
              </w:r>
            </w:hyperlink>
          </w:p>
        </w:tc>
        <w:tc>
          <w:tcPr>
            <w:tcW w:w="6251" w:type="dxa"/>
          </w:tcPr>
          <w:p w:rsidR="00AA47BD" w:rsidRDefault="001C0E14">
            <w:pPr>
              <w:widowControl w:val="0"/>
              <w:tabs>
                <w:tab w:val="right" w:pos="12000"/>
              </w:tabs>
              <w:spacing w:before="60"/>
              <w:ind w:left="360"/>
              <w:jc w:val="left"/>
              <w:rPr>
                <w:b w:val="0"/>
                <w:color w:val="000000"/>
                <w:sz w:val="20"/>
                <w:szCs w:val="20"/>
              </w:rPr>
            </w:pPr>
            <w:hyperlink w:anchor="_heading=">
              <w:r w:rsidR="005F2894">
                <w:rPr>
                  <w:b w:val="0"/>
                  <w:color w:val="000000"/>
                  <w:sz w:val="20"/>
                  <w:szCs w:val="20"/>
                </w:rPr>
                <w:t>A collection of features including Virtual Connections that allow the secure sharing of data sources between Tableau users.</w:t>
              </w:r>
            </w:hyperlink>
          </w:p>
        </w:tc>
      </w:tr>
      <w:tr w:rsidR="00AA47BD">
        <w:tc>
          <w:tcPr>
            <w:tcW w:w="2773"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IPA</w:t>
            </w:r>
          </w:p>
        </w:tc>
        <w:tc>
          <w:tcPr>
            <w:tcW w:w="6251"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Infrastructure  and Project Authority</w:t>
            </w:r>
          </w:p>
        </w:tc>
      </w:tr>
      <w:tr w:rsidR="00AA47BD">
        <w:tc>
          <w:tcPr>
            <w:tcW w:w="2773"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IBCA</w:t>
            </w:r>
          </w:p>
        </w:tc>
        <w:tc>
          <w:tcPr>
            <w:tcW w:w="6251"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Infected Blood Compensation Authority</w:t>
            </w:r>
          </w:p>
        </w:tc>
      </w:tr>
      <w:tr w:rsidR="00AA47BD">
        <w:tc>
          <w:tcPr>
            <w:tcW w:w="2773"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Sitsen</w:t>
            </w:r>
          </w:p>
        </w:tc>
        <w:tc>
          <w:tcPr>
            <w:tcW w:w="6251"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Situation Centre</w:t>
            </w:r>
          </w:p>
        </w:tc>
      </w:tr>
      <w:tr w:rsidR="00AA47BD">
        <w:tc>
          <w:tcPr>
            <w:tcW w:w="2773"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CDIO</w:t>
            </w:r>
          </w:p>
        </w:tc>
        <w:tc>
          <w:tcPr>
            <w:tcW w:w="6251" w:type="dxa"/>
          </w:tcPr>
          <w:p w:rsidR="00AA47BD" w:rsidRDefault="005F2894">
            <w:pPr>
              <w:widowControl w:val="0"/>
              <w:tabs>
                <w:tab w:val="right" w:pos="12000"/>
              </w:tabs>
              <w:spacing w:before="60"/>
              <w:ind w:left="360"/>
              <w:jc w:val="left"/>
              <w:rPr>
                <w:b w:val="0"/>
                <w:color w:val="000000"/>
                <w:sz w:val="20"/>
                <w:szCs w:val="20"/>
              </w:rPr>
            </w:pPr>
            <w:r>
              <w:rPr>
                <w:b w:val="0"/>
                <w:color w:val="000000"/>
                <w:sz w:val="20"/>
                <w:szCs w:val="20"/>
              </w:rPr>
              <w:t>Central Data Information Office</w:t>
            </w:r>
          </w:p>
        </w:tc>
      </w:tr>
    </w:tbl>
    <w:p w:rsidR="00AA47BD" w:rsidRDefault="00AA47BD"/>
    <w:p w:rsidR="00AA47BD" w:rsidRDefault="005F2894">
      <w:pPr>
        <w:pStyle w:val="Heading1"/>
        <w:numPr>
          <w:ilvl w:val="0"/>
          <w:numId w:val="2"/>
        </w:numPr>
        <w:spacing w:after="0"/>
        <w:ind w:left="709" w:hanging="709"/>
        <w:jc w:val="left"/>
        <w:rPr>
          <w:sz w:val="20"/>
          <w:szCs w:val="20"/>
        </w:rPr>
      </w:pPr>
      <w:bookmarkStart w:id="8" w:name="_heading=h.ihv636" w:colFirst="0" w:colLast="0"/>
      <w:bookmarkEnd w:id="8"/>
      <w:r>
        <w:rPr>
          <w:sz w:val="20"/>
          <w:szCs w:val="20"/>
        </w:rPr>
        <w:t>SCOPE OF THE REQUIREMENT</w:t>
      </w:r>
    </w:p>
    <w:p w:rsidR="00AA47BD" w:rsidRDefault="00AA47BD"/>
    <w:p w:rsidR="00AA47BD" w:rsidRDefault="001C0E14">
      <w:pPr>
        <w:pStyle w:val="Heading2"/>
        <w:numPr>
          <w:ilvl w:val="1"/>
          <w:numId w:val="2"/>
        </w:numPr>
        <w:spacing w:after="0"/>
        <w:ind w:left="709" w:hanging="709"/>
        <w:jc w:val="left"/>
        <w:rPr>
          <w:sz w:val="20"/>
          <w:szCs w:val="20"/>
        </w:rPr>
      </w:pPr>
      <w:hyperlink w:anchor="_heading=">
        <w:r w:rsidR="005F2894">
          <w:rPr>
            <w:sz w:val="20"/>
            <w:szCs w:val="20"/>
          </w:rPr>
          <w:t>To provide Tableau Creator and Viewer licences to be used for development and hosting of Tableau assets including data sources, workbooks, reports and dashboards.</w:t>
        </w:r>
      </w:hyperlink>
      <w:r w:rsidR="005F2894">
        <w:rPr>
          <w:sz w:val="20"/>
          <w:szCs w:val="20"/>
        </w:rPr>
        <w:t xml:space="preserve">  </w:t>
      </w:r>
      <w:r w:rsidR="005F2894">
        <w:rPr>
          <w:sz w:val="20"/>
          <w:szCs w:val="20"/>
        </w:rPr>
        <w:br/>
      </w:r>
    </w:p>
    <w:p w:rsidR="00AA47BD" w:rsidRDefault="005F2894">
      <w:pPr>
        <w:numPr>
          <w:ilvl w:val="1"/>
          <w:numId w:val="2"/>
        </w:numPr>
        <w:rPr>
          <w:sz w:val="20"/>
          <w:szCs w:val="20"/>
        </w:rPr>
      </w:pPr>
      <w:r>
        <w:rPr>
          <w:sz w:val="20"/>
          <w:szCs w:val="20"/>
        </w:rPr>
        <w:t>To provide additional Tableau Servers if required.</w:t>
      </w:r>
      <w:r>
        <w:rPr>
          <w:sz w:val="20"/>
          <w:szCs w:val="20"/>
        </w:rPr>
        <w:br/>
      </w:r>
    </w:p>
    <w:p w:rsidR="00AA47BD" w:rsidRDefault="005F2894">
      <w:pPr>
        <w:numPr>
          <w:ilvl w:val="1"/>
          <w:numId w:val="2"/>
        </w:numPr>
        <w:rPr>
          <w:sz w:val="20"/>
          <w:szCs w:val="20"/>
        </w:rPr>
      </w:pPr>
      <w:r>
        <w:rPr>
          <w:color w:val="444746"/>
          <w:sz w:val="20"/>
          <w:szCs w:val="20"/>
        </w:rPr>
        <w:t>To provide Tableau licences to be used for development, interrogation of business data and hosting of Tableau assets including data sources, workbooks, reports and dashboards.</w:t>
      </w:r>
      <w:r>
        <w:rPr>
          <w:color w:val="444746"/>
          <w:sz w:val="20"/>
          <w:szCs w:val="20"/>
        </w:rPr>
        <w:br/>
      </w:r>
    </w:p>
    <w:p w:rsidR="00AA47BD" w:rsidRDefault="005F2894">
      <w:pPr>
        <w:numPr>
          <w:ilvl w:val="1"/>
          <w:numId w:val="2"/>
        </w:numPr>
        <w:rPr>
          <w:color w:val="444746"/>
          <w:sz w:val="20"/>
          <w:szCs w:val="20"/>
        </w:rPr>
      </w:pPr>
      <w:r>
        <w:rPr>
          <w:color w:val="444746"/>
          <w:sz w:val="20"/>
          <w:szCs w:val="20"/>
        </w:rPr>
        <w:t>To provide solution engineers available for technical support when required.</w:t>
      </w:r>
      <w:r>
        <w:rPr>
          <w:color w:val="444746"/>
          <w:sz w:val="20"/>
          <w:szCs w:val="20"/>
        </w:rPr>
        <w:br/>
      </w:r>
    </w:p>
    <w:p w:rsidR="00AA47BD" w:rsidRDefault="005F2894">
      <w:pPr>
        <w:numPr>
          <w:ilvl w:val="1"/>
          <w:numId w:val="2"/>
        </w:numPr>
        <w:rPr>
          <w:color w:val="444746"/>
          <w:sz w:val="20"/>
          <w:szCs w:val="20"/>
        </w:rPr>
      </w:pPr>
      <w:r>
        <w:rPr>
          <w:color w:val="444746"/>
          <w:sz w:val="20"/>
          <w:szCs w:val="20"/>
        </w:rPr>
        <w:t>To provide knowledge sharing options (training, webinars and support).</w:t>
      </w:r>
    </w:p>
    <w:p w:rsidR="00AA47BD" w:rsidRDefault="00AA47BD"/>
    <w:p w:rsidR="00AA47BD" w:rsidRDefault="005F2894">
      <w:pPr>
        <w:pStyle w:val="Heading1"/>
        <w:numPr>
          <w:ilvl w:val="0"/>
          <w:numId w:val="2"/>
        </w:numPr>
        <w:spacing w:after="0"/>
        <w:ind w:left="709" w:hanging="709"/>
        <w:jc w:val="left"/>
        <w:rPr>
          <w:sz w:val="20"/>
          <w:szCs w:val="20"/>
        </w:rPr>
      </w:pPr>
      <w:bookmarkStart w:id="9" w:name="_heading=h.32hioqz" w:colFirst="0" w:colLast="0"/>
      <w:bookmarkEnd w:id="9"/>
      <w:r>
        <w:rPr>
          <w:sz w:val="20"/>
          <w:szCs w:val="20"/>
        </w:rPr>
        <w:t>MANDATORY DELIVERABLES (SUPPLIER RESPONSIBILITIES)</w:t>
      </w:r>
    </w:p>
    <w:p w:rsidR="00AA47BD" w:rsidRDefault="00AA47BD"/>
    <w:p w:rsidR="00AA47BD" w:rsidRDefault="00AA47BD">
      <w:pPr>
        <w:pBdr>
          <w:top w:val="nil"/>
          <w:left w:val="nil"/>
          <w:bottom w:val="nil"/>
          <w:right w:val="nil"/>
          <w:between w:val="nil"/>
        </w:pBdr>
        <w:ind w:left="709" w:hanging="709"/>
        <w:rPr>
          <w:color w:val="000000"/>
          <w:sz w:val="20"/>
          <w:szCs w:val="20"/>
        </w:rPr>
      </w:pPr>
    </w:p>
    <w:p w:rsidR="00AA47BD" w:rsidRDefault="005F2894">
      <w:pPr>
        <w:pStyle w:val="Heading2"/>
        <w:numPr>
          <w:ilvl w:val="1"/>
          <w:numId w:val="2"/>
        </w:numPr>
        <w:spacing w:after="120"/>
        <w:rPr>
          <w:sz w:val="20"/>
          <w:szCs w:val="20"/>
        </w:rPr>
      </w:pPr>
      <w:bookmarkStart w:id="10" w:name="_heading=h.u146bo2v7ik5" w:colFirst="0" w:colLast="0"/>
      <w:bookmarkEnd w:id="10"/>
      <w:r>
        <w:rPr>
          <w:sz w:val="20"/>
          <w:szCs w:val="20"/>
        </w:rPr>
        <w:t>To provide Tableau Creator and Viewer licences to be used for development and hosting of Tableau assets including data sources, workbooks, reports and dashboards.</w:t>
      </w:r>
    </w:p>
    <w:p w:rsidR="00AA47BD" w:rsidRDefault="005F2894">
      <w:pPr>
        <w:numPr>
          <w:ilvl w:val="1"/>
          <w:numId w:val="2"/>
        </w:numPr>
        <w:rPr>
          <w:sz w:val="20"/>
          <w:szCs w:val="20"/>
        </w:rPr>
      </w:pPr>
      <w:r>
        <w:rPr>
          <w:sz w:val="20"/>
          <w:szCs w:val="20"/>
        </w:rPr>
        <w:t>To provide two core based (8 physical cores) Tableau Server License, to be used by the GBS GRID team and IBCA.</w:t>
      </w:r>
    </w:p>
    <w:p w:rsidR="00AA47BD" w:rsidRDefault="00AA47BD">
      <w:pPr>
        <w:ind w:left="720"/>
        <w:rPr>
          <w:sz w:val="20"/>
          <w:szCs w:val="20"/>
        </w:rPr>
      </w:pPr>
    </w:p>
    <w:p w:rsidR="00AA47BD" w:rsidRDefault="005F2894">
      <w:pPr>
        <w:numPr>
          <w:ilvl w:val="1"/>
          <w:numId w:val="2"/>
        </w:numPr>
        <w:rPr>
          <w:sz w:val="20"/>
          <w:szCs w:val="20"/>
        </w:rPr>
      </w:pPr>
      <w:r>
        <w:rPr>
          <w:sz w:val="20"/>
          <w:szCs w:val="20"/>
        </w:rPr>
        <w:t xml:space="preserve">To provide the Tableau Data Management option. </w:t>
      </w:r>
    </w:p>
    <w:p w:rsidR="00AA47BD" w:rsidRDefault="00AA47BD">
      <w:pPr>
        <w:ind w:left="720"/>
        <w:rPr>
          <w:sz w:val="20"/>
          <w:szCs w:val="20"/>
        </w:rPr>
      </w:pPr>
    </w:p>
    <w:p w:rsidR="00AA47BD" w:rsidRDefault="005F2894">
      <w:pPr>
        <w:numPr>
          <w:ilvl w:val="1"/>
          <w:numId w:val="2"/>
        </w:numPr>
        <w:rPr>
          <w:sz w:val="20"/>
          <w:szCs w:val="20"/>
        </w:rPr>
      </w:pPr>
      <w:r>
        <w:rPr>
          <w:sz w:val="20"/>
          <w:szCs w:val="20"/>
        </w:rPr>
        <w:t>To provide the multi-site Tableau Online option to support at least 4 Cabinet Office Tableau Online Sites.</w:t>
      </w:r>
    </w:p>
    <w:p w:rsidR="00AA47BD" w:rsidRDefault="00AA47BD">
      <w:pPr>
        <w:ind w:left="720"/>
        <w:rPr>
          <w:sz w:val="20"/>
          <w:szCs w:val="20"/>
        </w:rPr>
      </w:pPr>
    </w:p>
    <w:p w:rsidR="00AA47BD" w:rsidRDefault="005F2894">
      <w:pPr>
        <w:numPr>
          <w:ilvl w:val="1"/>
          <w:numId w:val="2"/>
        </w:numPr>
        <w:rPr>
          <w:sz w:val="20"/>
          <w:szCs w:val="20"/>
        </w:rPr>
      </w:pPr>
      <w:r>
        <w:rPr>
          <w:sz w:val="20"/>
          <w:szCs w:val="20"/>
        </w:rPr>
        <w:t>Option to add an additional Core-based Tableau Server License when required.</w:t>
      </w:r>
    </w:p>
    <w:p w:rsidR="00AA47BD" w:rsidRDefault="00AA47BD">
      <w:pPr>
        <w:ind w:left="720"/>
        <w:rPr>
          <w:sz w:val="20"/>
          <w:szCs w:val="20"/>
        </w:rPr>
      </w:pPr>
    </w:p>
    <w:p w:rsidR="00AA47BD" w:rsidRDefault="005F2894">
      <w:pPr>
        <w:numPr>
          <w:ilvl w:val="1"/>
          <w:numId w:val="2"/>
        </w:numPr>
        <w:rPr>
          <w:sz w:val="20"/>
          <w:szCs w:val="20"/>
        </w:rPr>
      </w:pPr>
      <w:r>
        <w:rPr>
          <w:sz w:val="20"/>
          <w:szCs w:val="20"/>
        </w:rPr>
        <w:t>Option to add a 1 year extension under the agreed terms.</w:t>
      </w:r>
    </w:p>
    <w:p w:rsidR="00AA47BD" w:rsidRDefault="00AA47BD">
      <w:pPr>
        <w:pStyle w:val="Heading2"/>
        <w:numPr>
          <w:ilvl w:val="1"/>
          <w:numId w:val="2"/>
        </w:numPr>
        <w:spacing w:after="0"/>
        <w:ind w:firstLine="0"/>
        <w:jc w:val="left"/>
        <w:rPr>
          <w:sz w:val="20"/>
          <w:szCs w:val="20"/>
          <w:shd w:val="clear" w:color="auto" w:fill="FFFF99"/>
        </w:rPr>
      </w:pPr>
    </w:p>
    <w:p w:rsidR="00AA47BD" w:rsidRDefault="005F2894">
      <w:pPr>
        <w:pStyle w:val="Heading2"/>
        <w:numPr>
          <w:ilvl w:val="1"/>
          <w:numId w:val="2"/>
        </w:numPr>
        <w:spacing w:after="120"/>
        <w:rPr>
          <w:sz w:val="20"/>
          <w:szCs w:val="20"/>
        </w:rPr>
      </w:pPr>
      <w:bookmarkStart w:id="11" w:name="_heading=h.yg2vsz4edm7m" w:colFirst="0" w:colLast="0"/>
      <w:bookmarkEnd w:id="11"/>
      <w:r>
        <w:rPr>
          <w:sz w:val="20"/>
          <w:szCs w:val="20"/>
        </w:rPr>
        <w:t>Supplier to run a monthly service review to include</w:t>
      </w:r>
    </w:p>
    <w:p w:rsidR="00AA47BD" w:rsidRDefault="005F2894">
      <w:pPr>
        <w:numPr>
          <w:ilvl w:val="2"/>
          <w:numId w:val="2"/>
        </w:numPr>
        <w:rPr>
          <w:sz w:val="20"/>
          <w:szCs w:val="20"/>
        </w:rPr>
      </w:pPr>
      <w:r>
        <w:rPr>
          <w:sz w:val="20"/>
          <w:szCs w:val="20"/>
        </w:rPr>
        <w:t>Report showing licence usages by Tableau site</w:t>
      </w:r>
    </w:p>
    <w:p w:rsidR="00AA47BD" w:rsidRDefault="005F2894">
      <w:pPr>
        <w:numPr>
          <w:ilvl w:val="2"/>
          <w:numId w:val="2"/>
        </w:numPr>
        <w:rPr>
          <w:sz w:val="20"/>
          <w:szCs w:val="20"/>
        </w:rPr>
      </w:pPr>
      <w:r>
        <w:rPr>
          <w:sz w:val="20"/>
          <w:szCs w:val="20"/>
        </w:rPr>
        <w:t>Financial report</w:t>
      </w:r>
    </w:p>
    <w:p w:rsidR="00AA47BD" w:rsidRDefault="005F2894">
      <w:pPr>
        <w:numPr>
          <w:ilvl w:val="2"/>
          <w:numId w:val="2"/>
        </w:numPr>
        <w:rPr>
          <w:sz w:val="20"/>
          <w:szCs w:val="20"/>
        </w:rPr>
      </w:pPr>
      <w:r>
        <w:rPr>
          <w:sz w:val="20"/>
          <w:szCs w:val="20"/>
        </w:rPr>
        <w:t>Summary of support tickets and actions taken</w:t>
      </w:r>
    </w:p>
    <w:p w:rsidR="00AA47BD" w:rsidRDefault="005F2894">
      <w:pPr>
        <w:numPr>
          <w:ilvl w:val="2"/>
          <w:numId w:val="2"/>
        </w:numPr>
        <w:rPr>
          <w:sz w:val="20"/>
          <w:szCs w:val="20"/>
        </w:rPr>
      </w:pPr>
      <w:r>
        <w:rPr>
          <w:sz w:val="20"/>
          <w:szCs w:val="20"/>
        </w:rPr>
        <w:t>User sentiment review</w:t>
      </w:r>
    </w:p>
    <w:p w:rsidR="00AA47BD" w:rsidRDefault="005F2894">
      <w:pPr>
        <w:numPr>
          <w:ilvl w:val="2"/>
          <w:numId w:val="2"/>
        </w:numPr>
        <w:rPr>
          <w:sz w:val="20"/>
          <w:szCs w:val="20"/>
        </w:rPr>
      </w:pPr>
      <w:r>
        <w:rPr>
          <w:sz w:val="20"/>
          <w:szCs w:val="20"/>
        </w:rPr>
        <w:t>Stakeholder sentiment review</w:t>
      </w:r>
    </w:p>
    <w:p w:rsidR="00AA47BD" w:rsidRDefault="00AA47BD">
      <w:pPr>
        <w:ind w:left="1800"/>
        <w:rPr>
          <w:sz w:val="20"/>
          <w:szCs w:val="20"/>
        </w:rPr>
      </w:pPr>
    </w:p>
    <w:p w:rsidR="00AA47BD" w:rsidRDefault="005F2894">
      <w:pPr>
        <w:pStyle w:val="Heading2"/>
        <w:numPr>
          <w:ilvl w:val="1"/>
          <w:numId w:val="2"/>
        </w:numPr>
        <w:spacing w:after="120"/>
        <w:rPr>
          <w:sz w:val="20"/>
          <w:szCs w:val="20"/>
        </w:rPr>
      </w:pPr>
      <w:bookmarkStart w:id="12" w:name="_heading=h.69lp50ki26o6" w:colFirst="0" w:colLast="0"/>
      <w:bookmarkEnd w:id="12"/>
      <w:r>
        <w:rPr>
          <w:sz w:val="20"/>
          <w:szCs w:val="20"/>
        </w:rPr>
        <w:t>Option to add another 1 x Core-based Tableau Server (8 Physical Cores)</w:t>
      </w:r>
    </w:p>
    <w:p w:rsidR="00AA47BD" w:rsidRDefault="005F2894">
      <w:pPr>
        <w:pStyle w:val="Heading2"/>
        <w:numPr>
          <w:ilvl w:val="1"/>
          <w:numId w:val="2"/>
        </w:numPr>
        <w:spacing w:after="120"/>
        <w:rPr>
          <w:sz w:val="20"/>
          <w:szCs w:val="20"/>
        </w:rPr>
      </w:pPr>
      <w:bookmarkStart w:id="13" w:name="_heading=h.gvyz3xfzsnux" w:colFirst="0" w:colLast="0"/>
      <w:bookmarkEnd w:id="13"/>
      <w:r>
        <w:rPr>
          <w:sz w:val="20"/>
          <w:szCs w:val="20"/>
        </w:rPr>
        <w:t>Option to extend on the agreed terms for 3 months</w:t>
      </w:r>
    </w:p>
    <w:p w:rsidR="00AA47BD" w:rsidRDefault="005F2894">
      <w:pPr>
        <w:numPr>
          <w:ilvl w:val="1"/>
          <w:numId w:val="2"/>
        </w:numPr>
        <w:rPr>
          <w:sz w:val="20"/>
          <w:szCs w:val="20"/>
        </w:rPr>
      </w:pPr>
      <w:r>
        <w:rPr>
          <w:sz w:val="20"/>
          <w:szCs w:val="20"/>
        </w:rPr>
        <w:t xml:space="preserve">Contract Start Date: 26-Jul-2025, Contract End Date: 31-Mar-2027 </w:t>
      </w:r>
    </w:p>
    <w:p w:rsidR="00AA47BD" w:rsidRDefault="00AA47BD">
      <w:pPr>
        <w:ind w:left="1800"/>
        <w:rPr>
          <w:sz w:val="20"/>
          <w:szCs w:val="20"/>
        </w:rPr>
      </w:pPr>
    </w:p>
    <w:p w:rsidR="00AA47BD" w:rsidRDefault="005F2894">
      <w:pPr>
        <w:numPr>
          <w:ilvl w:val="1"/>
          <w:numId w:val="2"/>
        </w:numPr>
        <w:rPr>
          <w:sz w:val="20"/>
          <w:szCs w:val="20"/>
        </w:rPr>
      </w:pPr>
      <w:r>
        <w:rPr>
          <w:sz w:val="20"/>
          <w:szCs w:val="20"/>
        </w:rPr>
        <w:t>Procure Tableau products and services on a 12 month term as follows</w:t>
      </w:r>
    </w:p>
    <w:p w:rsidR="00AA47BD" w:rsidRDefault="00AA47BD">
      <w:pPr>
        <w:rPr>
          <w:sz w:val="20"/>
          <w:szCs w:val="20"/>
        </w:rPr>
      </w:pPr>
    </w:p>
    <w:sdt>
      <w:sdtPr>
        <w:tag w:val="goog_rdk_0"/>
        <w:id w:val="-2036092084"/>
        <w:lock w:val="contentLocked"/>
      </w:sdtPr>
      <w:sdtEndPr/>
      <w:sdtContent>
        <w:tbl>
          <w:tblPr>
            <w:tblStyle w:val="af5"/>
            <w:tblW w:w="6645" w:type="dxa"/>
            <w:tblInd w:w="720" w:type="dxa"/>
            <w:tblBorders>
              <w:top w:val="nil"/>
              <w:left w:val="nil"/>
              <w:bottom w:val="nil"/>
              <w:right w:val="nil"/>
              <w:insideH w:val="nil"/>
              <w:insideV w:val="nil"/>
            </w:tblBorders>
            <w:tblLayout w:type="fixed"/>
            <w:tblLook w:val="0600" w:firstRow="0" w:lastRow="0" w:firstColumn="0" w:lastColumn="0" w:noHBand="1" w:noVBand="1"/>
          </w:tblPr>
          <w:tblGrid>
            <w:gridCol w:w="5625"/>
            <w:gridCol w:w="1020"/>
          </w:tblGrid>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b/>
                    <w:sz w:val="20"/>
                    <w:szCs w:val="20"/>
                  </w:rPr>
                  <w:t>Order Details</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b/>
                    <w:sz w:val="20"/>
                    <w:szCs w:val="20"/>
                  </w:rPr>
                  <w:t>Quantity</w:t>
                </w:r>
              </w:p>
            </w:tc>
          </w:tr>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Tableau Creator Licence</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r>
                  <w:rPr>
                    <w:sz w:val="20"/>
                    <w:szCs w:val="20"/>
                  </w:rPr>
                  <w:t>197</w:t>
                </w:r>
              </w:p>
            </w:tc>
          </w:tr>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Tableau Creator Server Licence (embedded)</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bookmarkStart w:id="14" w:name="_heading=h.6y3bvfs4nfzn" w:colFirst="0" w:colLast="0"/>
                <w:bookmarkEnd w:id="14"/>
                <w:r>
                  <w:rPr>
                    <w:sz w:val="20"/>
                    <w:szCs w:val="20"/>
                  </w:rPr>
                  <w:t>70</w:t>
                </w:r>
              </w:p>
            </w:tc>
          </w:tr>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Tableau Viewer Licence</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r>
                  <w:rPr>
                    <w:sz w:val="20"/>
                    <w:szCs w:val="20"/>
                  </w:rPr>
                  <w:t>1172</w:t>
                </w:r>
              </w:p>
            </w:tc>
          </w:tr>
          <w:tr w:rsidR="00AA47BD">
            <w:trPr>
              <w:trHeight w:val="330"/>
            </w:trPr>
            <w:tc>
              <w:tcPr>
                <w:tcW w:w="5625" w:type="dxa"/>
                <w:tcBorders>
                  <w:top w:val="single" w:sz="7" w:space="0" w:color="CCCCCC"/>
                  <w:left w:val="single" w:sz="6" w:space="0" w:color="000000"/>
                  <w:bottom w:val="single" w:sz="7" w:space="0" w:color="CCCCCC"/>
                  <w:right w:val="single" w:sz="7" w:space="0" w:color="CCCCCC"/>
                </w:tcBorders>
                <w:shd w:val="clear" w:color="auto" w:fill="FFFFFF"/>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2 x Core-based Tableau Server (8 Physical Cores)</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r>
                  <w:rPr>
                    <w:sz w:val="20"/>
                    <w:szCs w:val="20"/>
                  </w:rPr>
                  <w:t>2</w:t>
                </w:r>
              </w:p>
            </w:tc>
          </w:tr>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Data Management Option</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r>
                  <w:rPr>
                    <w:sz w:val="20"/>
                    <w:szCs w:val="20"/>
                  </w:rPr>
                  <w:t>1</w:t>
                </w:r>
              </w:p>
            </w:tc>
          </w:tr>
          <w:tr w:rsidR="00AA47BD">
            <w:trPr>
              <w:trHeight w:val="315"/>
            </w:trPr>
            <w:tc>
              <w:tcPr>
                <w:tcW w:w="5625"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rPr>
                    <w:sz w:val="20"/>
                    <w:szCs w:val="20"/>
                  </w:rPr>
                </w:pPr>
                <w:r>
                  <w:rPr>
                    <w:sz w:val="20"/>
                    <w:szCs w:val="20"/>
                  </w:rPr>
                  <w:t xml:space="preserve">Tableau Online Multi-Site Support </w:t>
                </w:r>
              </w:p>
              <w:p w:rsidR="00AA47BD" w:rsidRDefault="00AA47BD">
                <w:pPr>
                  <w:widowControl w:val="0"/>
                  <w:spacing w:line="276" w:lineRule="auto"/>
                  <w:rPr>
                    <w:sz w:val="20"/>
                    <w:szCs w:val="20"/>
                  </w:rPr>
                </w:pPr>
              </w:p>
              <w:p w:rsidR="00AA47BD" w:rsidRDefault="005F2894">
                <w:pPr>
                  <w:widowControl w:val="0"/>
                  <w:spacing w:line="276" w:lineRule="auto"/>
                  <w:rPr>
                    <w:sz w:val="20"/>
                    <w:szCs w:val="20"/>
                  </w:rPr>
                </w:pPr>
                <w:r>
                  <w:rPr>
                    <w:sz w:val="20"/>
                    <w:szCs w:val="20"/>
                  </w:rPr>
                  <w:t>To allow for 4 Sites in Tableau Online</w:t>
                </w:r>
              </w:p>
            </w:tc>
            <w:tc>
              <w:tcPr>
                <w:tcW w:w="10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rsidR="00AA47BD" w:rsidRDefault="005F2894">
                <w:pPr>
                  <w:widowControl w:val="0"/>
                  <w:spacing w:line="276" w:lineRule="auto"/>
                  <w:jc w:val="right"/>
                  <w:rPr>
                    <w:sz w:val="20"/>
                    <w:szCs w:val="20"/>
                  </w:rPr>
                </w:pPr>
                <w:r>
                  <w:rPr>
                    <w:sz w:val="20"/>
                    <w:szCs w:val="20"/>
                  </w:rPr>
                  <w:t>1</w:t>
                </w:r>
              </w:p>
            </w:tc>
          </w:tr>
        </w:tbl>
      </w:sdtContent>
    </w:sdt>
    <w:p w:rsidR="00AA47BD" w:rsidRDefault="00AA47BD">
      <w:pPr>
        <w:rPr>
          <w:sz w:val="20"/>
          <w:szCs w:val="20"/>
        </w:rPr>
      </w:pPr>
    </w:p>
    <w:p w:rsidR="00AA47BD" w:rsidRDefault="00AA47BD">
      <w:pPr>
        <w:pBdr>
          <w:top w:val="nil"/>
          <w:left w:val="nil"/>
          <w:bottom w:val="nil"/>
          <w:right w:val="nil"/>
          <w:between w:val="nil"/>
        </w:pBdr>
        <w:ind w:left="709" w:hanging="709"/>
        <w:rPr>
          <w:sz w:val="20"/>
          <w:szCs w:val="20"/>
        </w:rPr>
      </w:pPr>
    </w:p>
    <w:p w:rsidR="00AA47BD" w:rsidRDefault="00AA47BD">
      <w:pPr>
        <w:pBdr>
          <w:top w:val="nil"/>
          <w:left w:val="nil"/>
          <w:bottom w:val="nil"/>
          <w:right w:val="nil"/>
          <w:between w:val="nil"/>
        </w:pBdr>
        <w:rPr>
          <w:sz w:val="20"/>
          <w:szCs w:val="20"/>
        </w:rPr>
      </w:pPr>
    </w:p>
    <w:p w:rsidR="00AA47BD" w:rsidRDefault="005F2894">
      <w:pPr>
        <w:pStyle w:val="Heading1"/>
        <w:numPr>
          <w:ilvl w:val="0"/>
          <w:numId w:val="2"/>
        </w:numPr>
        <w:spacing w:after="0"/>
        <w:ind w:left="709" w:hanging="709"/>
        <w:jc w:val="left"/>
        <w:rPr>
          <w:sz w:val="20"/>
          <w:szCs w:val="20"/>
        </w:rPr>
      </w:pPr>
      <w:bookmarkStart w:id="15" w:name="_heading=h.1hmsyys" w:colFirst="0" w:colLast="0"/>
      <w:bookmarkEnd w:id="15"/>
      <w:r>
        <w:rPr>
          <w:sz w:val="20"/>
          <w:szCs w:val="20"/>
        </w:rPr>
        <w:t>NON-MANDATORY AND OPTIONAL DELIVERABLES (SUPPLIER RESPONSIBILITIES)</w:t>
      </w:r>
    </w:p>
    <w:p w:rsidR="00AA47BD" w:rsidRDefault="00AA47BD"/>
    <w:p w:rsidR="00AA47BD" w:rsidRDefault="005F2894">
      <w:pPr>
        <w:pStyle w:val="Heading2"/>
        <w:numPr>
          <w:ilvl w:val="1"/>
          <w:numId w:val="2"/>
        </w:numPr>
        <w:spacing w:after="0"/>
        <w:ind w:left="709" w:hanging="709"/>
        <w:jc w:val="left"/>
      </w:pPr>
      <w:r>
        <w:rPr>
          <w:sz w:val="20"/>
          <w:szCs w:val="20"/>
        </w:rPr>
        <w:t>Limit contract to entire Tableau Product set.</w:t>
      </w:r>
    </w:p>
    <w:p w:rsidR="00AA47BD" w:rsidRDefault="00AA47BD">
      <w:pPr>
        <w:pBdr>
          <w:top w:val="nil"/>
          <w:left w:val="nil"/>
          <w:bottom w:val="nil"/>
          <w:right w:val="nil"/>
          <w:between w:val="nil"/>
        </w:pBdr>
        <w:ind w:left="709" w:hanging="709"/>
        <w:rPr>
          <w:color w:val="000000"/>
          <w:sz w:val="20"/>
          <w:szCs w:val="20"/>
        </w:rPr>
      </w:pPr>
    </w:p>
    <w:p w:rsidR="00AA47BD" w:rsidRDefault="005F2894">
      <w:pPr>
        <w:pStyle w:val="Heading1"/>
        <w:numPr>
          <w:ilvl w:val="0"/>
          <w:numId w:val="2"/>
        </w:numPr>
        <w:spacing w:after="0"/>
        <w:ind w:left="709" w:hanging="709"/>
        <w:jc w:val="left"/>
        <w:rPr>
          <w:sz w:val="20"/>
          <w:szCs w:val="20"/>
        </w:rPr>
      </w:pPr>
      <w:bookmarkStart w:id="16" w:name="_heading=h.41mghml" w:colFirst="0" w:colLast="0"/>
      <w:bookmarkEnd w:id="16"/>
      <w:r>
        <w:rPr>
          <w:sz w:val="20"/>
          <w:szCs w:val="20"/>
        </w:rPr>
        <w:t>POTENTIAL, ACTUAL OR EXPECTED DELIVERY VOLUMES (IF APPLICABLE)</w:t>
      </w:r>
    </w:p>
    <w:p w:rsidR="00AA47BD" w:rsidRDefault="00AA47BD"/>
    <w:p w:rsidR="00AA47BD" w:rsidRDefault="005F2894">
      <w:pPr>
        <w:pStyle w:val="Heading2"/>
        <w:numPr>
          <w:ilvl w:val="1"/>
          <w:numId w:val="2"/>
        </w:numPr>
        <w:rPr>
          <w:sz w:val="20"/>
          <w:szCs w:val="20"/>
        </w:rPr>
      </w:pPr>
      <w:bookmarkStart w:id="17" w:name="_heading=h.1ksv4uv" w:colFirst="0" w:colLast="0"/>
      <w:bookmarkEnd w:id="17"/>
      <w:r>
        <w:rPr>
          <w:sz w:val="20"/>
          <w:szCs w:val="20"/>
        </w:rPr>
        <w:t>Current Licence Usage</w:t>
      </w:r>
    </w:p>
    <w:p w:rsidR="00AA47BD" w:rsidRDefault="005F2894">
      <w:pPr>
        <w:numPr>
          <w:ilvl w:val="2"/>
          <w:numId w:val="2"/>
        </w:numPr>
        <w:rPr>
          <w:sz w:val="20"/>
          <w:szCs w:val="20"/>
        </w:rPr>
      </w:pPr>
      <w:r>
        <w:rPr>
          <w:sz w:val="20"/>
          <w:szCs w:val="20"/>
        </w:rPr>
        <w:t>This request combines existing usage under the CO Digital Tableau Shared Service, a standalone contract owned by Government People Group used for the GRID digital analysis platform and a contract owned by IBCA.</w:t>
      </w:r>
    </w:p>
    <w:p w:rsidR="00AA47BD" w:rsidRDefault="005F2894">
      <w:pPr>
        <w:numPr>
          <w:ilvl w:val="2"/>
          <w:numId w:val="2"/>
        </w:numPr>
        <w:rPr>
          <w:sz w:val="20"/>
          <w:szCs w:val="20"/>
        </w:rPr>
      </w:pPr>
      <w:r>
        <w:rPr>
          <w:sz w:val="20"/>
          <w:szCs w:val="20"/>
        </w:rPr>
        <w:lastRenderedPageBreak/>
        <w:t>The contracts are being combined in this request to reduce government Buyer to confirmadministration costs and gain access to additional volume discounts.</w:t>
      </w:r>
    </w:p>
    <w:p w:rsidR="00AA47BD" w:rsidRDefault="00AA47BD">
      <w:pPr>
        <w:rPr>
          <w:sz w:val="20"/>
          <w:szCs w:val="20"/>
        </w:rPr>
      </w:pPr>
    </w:p>
    <w:p w:rsidR="00AA47BD" w:rsidRDefault="005F2894">
      <w:pPr>
        <w:numPr>
          <w:ilvl w:val="1"/>
          <w:numId w:val="2"/>
        </w:numPr>
        <w:rPr>
          <w:sz w:val="20"/>
          <w:szCs w:val="20"/>
        </w:rPr>
      </w:pPr>
      <w:r>
        <w:rPr>
          <w:sz w:val="20"/>
          <w:szCs w:val="20"/>
        </w:rPr>
        <w:t>CO Digital Tableau Shared Service</w:t>
      </w:r>
    </w:p>
    <w:p w:rsidR="00AA47BD" w:rsidRDefault="005F2894">
      <w:pPr>
        <w:numPr>
          <w:ilvl w:val="2"/>
          <w:numId w:val="2"/>
        </w:numPr>
        <w:rPr>
          <w:sz w:val="20"/>
          <w:szCs w:val="20"/>
        </w:rPr>
      </w:pPr>
      <w:r>
        <w:rPr>
          <w:sz w:val="20"/>
          <w:szCs w:val="20"/>
        </w:rPr>
        <w:t>At present 17 business units use Tableau licences under the current agreement, served from 4 Tableau online sites.</w:t>
      </w:r>
    </w:p>
    <w:p w:rsidR="00AA47BD" w:rsidRDefault="00AA47BD">
      <w:pPr>
        <w:ind w:left="1800"/>
        <w:rPr>
          <w:sz w:val="20"/>
          <w:szCs w:val="20"/>
        </w:rPr>
      </w:pPr>
    </w:p>
    <w:p w:rsidR="00AA47BD" w:rsidRDefault="005F2894">
      <w:pPr>
        <w:numPr>
          <w:ilvl w:val="2"/>
          <w:numId w:val="2"/>
        </w:numPr>
      </w:pPr>
      <w:r>
        <w:rPr>
          <w:sz w:val="20"/>
          <w:szCs w:val="20"/>
        </w:rPr>
        <w:t>There is one general purpose site for Cabinet Office (CDIO) and 3 dedicated sites serving The National Situation Centre (SitCen), Infrastructure and Projects Authority (IPA) and Government Communication Services (GCS).</w:t>
      </w:r>
      <w:r>
        <w:br/>
      </w:r>
    </w:p>
    <w:p w:rsidR="00AA47BD" w:rsidRDefault="005F2894">
      <w:pPr>
        <w:pStyle w:val="Heading1"/>
        <w:numPr>
          <w:ilvl w:val="0"/>
          <w:numId w:val="2"/>
        </w:numPr>
        <w:spacing w:after="0"/>
        <w:ind w:left="709" w:hanging="709"/>
        <w:jc w:val="left"/>
        <w:rPr>
          <w:sz w:val="20"/>
          <w:szCs w:val="20"/>
        </w:rPr>
      </w:pPr>
      <w:bookmarkStart w:id="18" w:name="_heading=h.dqza39z784lf" w:colFirst="0" w:colLast="0"/>
      <w:bookmarkEnd w:id="18"/>
      <w:r>
        <w:rPr>
          <w:sz w:val="20"/>
          <w:szCs w:val="20"/>
        </w:rPr>
        <w:t xml:space="preserve">LOCATION </w:t>
      </w:r>
    </w:p>
    <w:p w:rsidR="00AA47BD" w:rsidRDefault="00AA47BD"/>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The location of the Services will be online. Occasional face-to-face meetings will be attended by mutual agreement during the contract term.</w:t>
        </w:r>
      </w:hyperlink>
    </w:p>
    <w:p w:rsidR="00AA47BD" w:rsidRDefault="005F2894">
      <w:pPr>
        <w:widowControl w:val="0"/>
        <w:numPr>
          <w:ilvl w:val="1"/>
          <w:numId w:val="2"/>
        </w:numPr>
        <w:tabs>
          <w:tab w:val="right" w:pos="12000"/>
        </w:tabs>
        <w:spacing w:before="60"/>
        <w:rPr>
          <w:sz w:val="20"/>
          <w:szCs w:val="20"/>
        </w:rPr>
      </w:pPr>
      <w:r>
        <w:rPr>
          <w:sz w:val="20"/>
          <w:szCs w:val="20"/>
        </w:rPr>
        <w:t>Any travel to the location of the face-to-face meetings will be at the supplier's own  expense.</w:t>
      </w:r>
    </w:p>
    <w:p w:rsidR="00AA47BD" w:rsidRDefault="00AA47BD"/>
    <w:p w:rsidR="00AA47BD" w:rsidRDefault="005F2894">
      <w:pPr>
        <w:pStyle w:val="Heading1"/>
        <w:numPr>
          <w:ilvl w:val="0"/>
          <w:numId w:val="2"/>
        </w:numPr>
        <w:spacing w:after="0"/>
        <w:ind w:left="709" w:hanging="709"/>
        <w:jc w:val="left"/>
        <w:rPr>
          <w:sz w:val="20"/>
          <w:szCs w:val="20"/>
        </w:rPr>
      </w:pPr>
      <w:bookmarkStart w:id="19" w:name="_heading=h.vx1227" w:colFirst="0" w:colLast="0"/>
      <w:bookmarkEnd w:id="19"/>
      <w:r>
        <w:rPr>
          <w:sz w:val="20"/>
          <w:szCs w:val="20"/>
        </w:rPr>
        <w:t>BUYER RESPONSIBILITIES</w:t>
      </w:r>
    </w:p>
    <w:p w:rsidR="00AA47BD" w:rsidRDefault="00AA47BD"/>
    <w:p w:rsidR="00AA47BD" w:rsidRDefault="005F2894">
      <w:pPr>
        <w:pStyle w:val="Heading2"/>
        <w:numPr>
          <w:ilvl w:val="1"/>
          <w:numId w:val="2"/>
        </w:numPr>
        <w:shd w:val="clear" w:color="auto" w:fill="FFFFFF"/>
        <w:spacing w:after="0"/>
        <w:ind w:right="-220"/>
        <w:rPr>
          <w:sz w:val="20"/>
          <w:szCs w:val="20"/>
        </w:rPr>
      </w:pPr>
      <w:r>
        <w:rPr>
          <w:sz w:val="20"/>
          <w:szCs w:val="20"/>
        </w:rPr>
        <w:t>Supporting collective government, helping to ensure the effective development, coordination and implementation of policy.</w:t>
      </w:r>
    </w:p>
    <w:p w:rsidR="00AA47BD" w:rsidRDefault="005F2894">
      <w:pPr>
        <w:pStyle w:val="Heading2"/>
        <w:numPr>
          <w:ilvl w:val="1"/>
          <w:numId w:val="2"/>
        </w:numPr>
        <w:shd w:val="clear" w:color="auto" w:fill="FFFFFF"/>
        <w:spacing w:after="0"/>
        <w:ind w:right="-220"/>
        <w:rPr>
          <w:sz w:val="20"/>
          <w:szCs w:val="20"/>
        </w:rPr>
      </w:pPr>
      <w:r>
        <w:rPr>
          <w:sz w:val="20"/>
          <w:szCs w:val="20"/>
        </w:rPr>
        <w:t>Supporting the National Security Council and the Joint Intelligence Organisation, coordinating the government’s response to crises and managing the UK’s cyber security.</w:t>
      </w:r>
    </w:p>
    <w:p w:rsidR="00AA47BD" w:rsidRDefault="005F2894">
      <w:pPr>
        <w:pStyle w:val="Heading2"/>
        <w:numPr>
          <w:ilvl w:val="1"/>
          <w:numId w:val="2"/>
        </w:numPr>
        <w:shd w:val="clear" w:color="auto" w:fill="FFFFFF"/>
        <w:spacing w:after="0"/>
        <w:ind w:right="-220"/>
        <w:rPr>
          <w:sz w:val="20"/>
          <w:szCs w:val="20"/>
        </w:rPr>
      </w:pPr>
      <w:r>
        <w:rPr>
          <w:sz w:val="20"/>
          <w:szCs w:val="20"/>
        </w:rPr>
        <w:t>Promoting efficiency and reform across government through innovation, better procurement and project management, and by transforming the delivery of services.</w:t>
      </w:r>
    </w:p>
    <w:p w:rsidR="00AA47BD" w:rsidRDefault="005F2894">
      <w:pPr>
        <w:pStyle w:val="Heading2"/>
        <w:numPr>
          <w:ilvl w:val="1"/>
          <w:numId w:val="2"/>
        </w:numPr>
        <w:shd w:val="clear" w:color="auto" w:fill="FFFFFF"/>
        <w:spacing w:after="0"/>
        <w:ind w:right="-220"/>
        <w:rPr>
          <w:sz w:val="20"/>
          <w:szCs w:val="20"/>
        </w:rPr>
      </w:pPr>
      <w:r>
        <w:rPr>
          <w:sz w:val="20"/>
          <w:szCs w:val="20"/>
        </w:rPr>
        <w:t>Promoting the release of government data, and making the way government works more transparent.</w:t>
      </w:r>
    </w:p>
    <w:p w:rsidR="00AA47BD" w:rsidRDefault="005F2894">
      <w:pPr>
        <w:pStyle w:val="Heading2"/>
        <w:numPr>
          <w:ilvl w:val="1"/>
          <w:numId w:val="2"/>
        </w:numPr>
        <w:shd w:val="clear" w:color="auto" w:fill="FFFFFF"/>
        <w:spacing w:after="0"/>
        <w:ind w:right="-220"/>
        <w:rPr>
          <w:sz w:val="20"/>
          <w:szCs w:val="20"/>
        </w:rPr>
      </w:pPr>
      <w:bookmarkStart w:id="20" w:name="_heading=h.1unvwar2ycyu" w:colFirst="0" w:colLast="0"/>
      <w:bookmarkEnd w:id="20"/>
      <w:r>
        <w:rPr>
          <w:sz w:val="20"/>
          <w:szCs w:val="20"/>
        </w:rPr>
        <w:t>Creating an exceptional Civil Service, improving its capability and effectiveness political and constitutional reform.</w:t>
      </w:r>
    </w:p>
    <w:p w:rsidR="00AA47BD" w:rsidRDefault="00AA47BD"/>
    <w:p w:rsidR="00AA47BD" w:rsidRDefault="005F2894">
      <w:pPr>
        <w:pStyle w:val="Heading1"/>
        <w:numPr>
          <w:ilvl w:val="0"/>
          <w:numId w:val="2"/>
        </w:numPr>
        <w:spacing w:after="0"/>
        <w:ind w:left="709" w:hanging="709"/>
        <w:jc w:val="left"/>
        <w:rPr>
          <w:sz w:val="20"/>
          <w:szCs w:val="20"/>
        </w:rPr>
      </w:pPr>
      <w:bookmarkStart w:id="21" w:name="_heading=h.3fwokq0" w:colFirst="0" w:colLast="0"/>
      <w:bookmarkEnd w:id="21"/>
      <w:r>
        <w:rPr>
          <w:sz w:val="20"/>
          <w:szCs w:val="20"/>
        </w:rPr>
        <w:t>KEY MILESTONES AND DELIVERABLES</w:t>
      </w:r>
    </w:p>
    <w:p w:rsidR="00AA47BD" w:rsidRDefault="00AA47BD"/>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The following Contract milestones/deliverables shall apply: The contract is required to be in effect by 26-Jul-2025.</w:t>
        </w:r>
        <w:r w:rsidR="005F2894">
          <w:rPr>
            <w:sz w:val="20"/>
            <w:szCs w:val="20"/>
          </w:rPr>
          <w:tab/>
        </w:r>
      </w:hyperlink>
    </w:p>
    <w:p w:rsidR="00AA47BD" w:rsidRDefault="005F2894">
      <w:pPr>
        <w:widowControl w:val="0"/>
        <w:numPr>
          <w:ilvl w:val="1"/>
          <w:numId w:val="2"/>
        </w:numPr>
        <w:tabs>
          <w:tab w:val="right" w:pos="12000"/>
        </w:tabs>
        <w:spacing w:before="60"/>
        <w:rPr>
          <w:sz w:val="20"/>
          <w:szCs w:val="20"/>
        </w:rPr>
      </w:pPr>
      <w:r>
        <w:rPr>
          <w:sz w:val="20"/>
          <w:szCs w:val="20"/>
        </w:rPr>
        <w:t>Management Information</w:t>
      </w:r>
      <w:hyperlink w:anchor="_heading=">
        <w:r>
          <w:rPr>
            <w:sz w:val="20"/>
            <w:szCs w:val="20"/>
          </w:rPr>
          <w:t>/reporting</w:t>
        </w:r>
        <w:r>
          <w:rPr>
            <w:sz w:val="20"/>
            <w:szCs w:val="20"/>
          </w:rPr>
          <w:tab/>
        </w:r>
      </w:hyperlink>
    </w:p>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Supplier to run a monthly service review to include</w:t>
        </w:r>
      </w:hyperlink>
    </w:p>
    <w:p w:rsidR="00AA47BD" w:rsidRDefault="005F2894">
      <w:pPr>
        <w:numPr>
          <w:ilvl w:val="2"/>
          <w:numId w:val="2"/>
        </w:numPr>
        <w:rPr>
          <w:sz w:val="20"/>
          <w:szCs w:val="20"/>
        </w:rPr>
      </w:pPr>
      <w:r>
        <w:rPr>
          <w:sz w:val="20"/>
          <w:szCs w:val="20"/>
        </w:rPr>
        <w:t>Report showing licence usages by Tableau site</w:t>
      </w:r>
    </w:p>
    <w:p w:rsidR="00AA47BD" w:rsidRDefault="005F2894">
      <w:pPr>
        <w:numPr>
          <w:ilvl w:val="2"/>
          <w:numId w:val="2"/>
        </w:numPr>
        <w:rPr>
          <w:sz w:val="20"/>
          <w:szCs w:val="20"/>
        </w:rPr>
      </w:pPr>
      <w:r>
        <w:rPr>
          <w:sz w:val="20"/>
          <w:szCs w:val="20"/>
        </w:rPr>
        <w:t>Financial report</w:t>
      </w:r>
    </w:p>
    <w:p w:rsidR="00AA47BD" w:rsidRDefault="005F2894">
      <w:pPr>
        <w:numPr>
          <w:ilvl w:val="2"/>
          <w:numId w:val="2"/>
        </w:numPr>
        <w:rPr>
          <w:sz w:val="20"/>
          <w:szCs w:val="20"/>
        </w:rPr>
      </w:pPr>
      <w:r>
        <w:rPr>
          <w:sz w:val="20"/>
          <w:szCs w:val="20"/>
        </w:rPr>
        <w:t>Summary of support tickets and actions taken</w:t>
      </w:r>
    </w:p>
    <w:p w:rsidR="00AA47BD" w:rsidRDefault="005F2894">
      <w:pPr>
        <w:numPr>
          <w:ilvl w:val="2"/>
          <w:numId w:val="2"/>
        </w:numPr>
        <w:rPr>
          <w:sz w:val="20"/>
          <w:szCs w:val="20"/>
        </w:rPr>
      </w:pPr>
      <w:r>
        <w:rPr>
          <w:sz w:val="20"/>
          <w:szCs w:val="20"/>
        </w:rPr>
        <w:t>User sentiment review</w:t>
      </w:r>
    </w:p>
    <w:p w:rsidR="00AA47BD" w:rsidRDefault="005F2894">
      <w:pPr>
        <w:numPr>
          <w:ilvl w:val="2"/>
          <w:numId w:val="2"/>
        </w:numPr>
        <w:rPr>
          <w:sz w:val="20"/>
          <w:szCs w:val="20"/>
        </w:rPr>
      </w:pPr>
      <w:r>
        <w:rPr>
          <w:sz w:val="20"/>
          <w:szCs w:val="20"/>
        </w:rPr>
        <w:t>Stakeholder sentiment review</w:t>
      </w:r>
    </w:p>
    <w:p w:rsidR="00AA47BD" w:rsidRDefault="00AA47BD"/>
    <w:p w:rsidR="00AA47BD" w:rsidRDefault="00AA47BD">
      <w:bookmarkStart w:id="22" w:name="_heading=h.lnxbz9" w:colFirst="0" w:colLast="0"/>
      <w:bookmarkEnd w:id="22"/>
    </w:p>
    <w:p w:rsidR="00AA47BD" w:rsidRDefault="005F2894">
      <w:pPr>
        <w:pStyle w:val="Heading1"/>
        <w:numPr>
          <w:ilvl w:val="0"/>
          <w:numId w:val="2"/>
        </w:numPr>
        <w:spacing w:after="0"/>
        <w:ind w:left="709" w:hanging="709"/>
        <w:jc w:val="left"/>
        <w:rPr>
          <w:sz w:val="20"/>
          <w:szCs w:val="20"/>
        </w:rPr>
      </w:pPr>
      <w:bookmarkStart w:id="23" w:name="_heading=h.1v1yuxt" w:colFirst="0" w:colLast="0"/>
      <w:bookmarkEnd w:id="23"/>
      <w:r>
        <w:rPr>
          <w:sz w:val="20"/>
          <w:szCs w:val="20"/>
        </w:rPr>
        <w:t>SUSTAINABILITY AND CARBON NET ZERO</w:t>
      </w:r>
    </w:p>
    <w:p w:rsidR="00AA47BD" w:rsidRDefault="00AA47BD"/>
    <w:p w:rsidR="00AA47BD" w:rsidRDefault="005F2894">
      <w:pPr>
        <w:pStyle w:val="Heading2"/>
        <w:numPr>
          <w:ilvl w:val="1"/>
          <w:numId w:val="2"/>
        </w:numPr>
        <w:spacing w:after="0"/>
        <w:ind w:left="709" w:hanging="709"/>
        <w:jc w:val="left"/>
        <w:rPr>
          <w:sz w:val="20"/>
          <w:szCs w:val="20"/>
        </w:rPr>
      </w:pPr>
      <w:r>
        <w:rPr>
          <w:sz w:val="20"/>
          <w:szCs w:val="20"/>
          <w:highlight w:val="white"/>
        </w:rPr>
        <w:t>The supplier must provide details of their sustainability policies, including any net zero commitments when requested throughout the life of the contract.</w:t>
      </w:r>
    </w:p>
    <w:p w:rsidR="00AA47BD" w:rsidRDefault="00AA47BD">
      <w:pPr>
        <w:ind w:left="720"/>
      </w:pPr>
    </w:p>
    <w:p w:rsidR="00AA47BD" w:rsidRDefault="005F2894">
      <w:pPr>
        <w:pStyle w:val="Heading1"/>
        <w:numPr>
          <w:ilvl w:val="0"/>
          <w:numId w:val="2"/>
        </w:numPr>
        <w:spacing w:after="0"/>
        <w:ind w:left="709" w:hanging="709"/>
        <w:jc w:val="left"/>
        <w:rPr>
          <w:sz w:val="20"/>
          <w:szCs w:val="20"/>
        </w:rPr>
      </w:pPr>
      <w:bookmarkStart w:id="24" w:name="_heading=h.plhr2bchbfb2" w:colFirst="0" w:colLast="0"/>
      <w:bookmarkEnd w:id="24"/>
      <w:r>
        <w:rPr>
          <w:sz w:val="20"/>
          <w:szCs w:val="20"/>
        </w:rPr>
        <w:t>SOCIAL VALUE</w:t>
      </w:r>
    </w:p>
    <w:p w:rsidR="00AA47BD" w:rsidRDefault="00AA47BD">
      <w:pPr>
        <w:pBdr>
          <w:top w:val="nil"/>
          <w:left w:val="nil"/>
          <w:bottom w:val="nil"/>
          <w:right w:val="nil"/>
          <w:between w:val="nil"/>
        </w:pBdr>
        <w:ind w:left="709" w:hanging="709"/>
        <w:rPr>
          <w:sz w:val="20"/>
          <w:szCs w:val="20"/>
        </w:rPr>
      </w:pPr>
    </w:p>
    <w:p w:rsidR="00AA47BD" w:rsidRDefault="005F2894">
      <w:pPr>
        <w:numPr>
          <w:ilvl w:val="1"/>
          <w:numId w:val="2"/>
        </w:numPr>
        <w:pBdr>
          <w:top w:val="nil"/>
          <w:left w:val="nil"/>
          <w:bottom w:val="nil"/>
          <w:right w:val="nil"/>
          <w:between w:val="nil"/>
        </w:pBdr>
        <w:ind w:left="709" w:hanging="709"/>
      </w:pPr>
      <w:r>
        <w:rPr>
          <w:rFonts w:ascii="Roboto" w:eastAsia="Roboto" w:hAnsi="Roboto" w:cs="Roboto"/>
          <w:sz w:val="21"/>
          <w:szCs w:val="21"/>
          <w:highlight w:val="white"/>
        </w:rPr>
        <w:t xml:space="preserve">The supplier must demonstrate how they will deliver social value throughout the contract, including and not limited to skills development and training, support for disadvantaged </w:t>
      </w:r>
      <w:r>
        <w:rPr>
          <w:rFonts w:ascii="Roboto" w:eastAsia="Roboto" w:hAnsi="Roboto" w:cs="Roboto"/>
          <w:sz w:val="21"/>
          <w:szCs w:val="21"/>
          <w:highlight w:val="white"/>
        </w:rPr>
        <w:lastRenderedPageBreak/>
        <w:t>underrepresented groups, ethical work practices, and contributions to local community initiatives and wellbeing. Social value delivery will be monitored and reported as part of the contract performance.</w:t>
      </w:r>
      <w:r>
        <w:rPr>
          <w:rFonts w:ascii="Roboto" w:eastAsia="Roboto" w:hAnsi="Roboto" w:cs="Roboto"/>
          <w:sz w:val="21"/>
          <w:szCs w:val="21"/>
          <w:highlight w:val="white"/>
        </w:rPr>
        <w:br/>
      </w:r>
    </w:p>
    <w:p w:rsidR="00AA47BD" w:rsidRDefault="005F2894">
      <w:pPr>
        <w:numPr>
          <w:ilvl w:val="1"/>
          <w:numId w:val="2"/>
        </w:numPr>
        <w:rPr>
          <w:rFonts w:ascii="Roboto" w:eastAsia="Roboto" w:hAnsi="Roboto" w:cs="Roboto"/>
          <w:sz w:val="21"/>
          <w:szCs w:val="21"/>
          <w:highlight w:val="white"/>
        </w:rPr>
      </w:pPr>
      <w:r>
        <w:rPr>
          <w:rFonts w:ascii="Roboto" w:eastAsia="Roboto" w:hAnsi="Roboto" w:cs="Roboto"/>
          <w:sz w:val="21"/>
          <w:szCs w:val="21"/>
          <w:highlight w:val="white"/>
        </w:rPr>
        <w:t>Provide details of initiatives supporting local employment or diversity</w:t>
      </w:r>
    </w:p>
    <w:p w:rsidR="00AA47BD" w:rsidRDefault="00AA47BD">
      <w:pPr>
        <w:ind w:left="720"/>
        <w:rPr>
          <w:rFonts w:ascii="Roboto" w:eastAsia="Roboto" w:hAnsi="Roboto" w:cs="Roboto"/>
          <w:color w:val="444746"/>
          <w:sz w:val="21"/>
          <w:szCs w:val="21"/>
          <w:highlight w:val="white"/>
        </w:rPr>
      </w:pPr>
    </w:p>
    <w:p w:rsidR="00AA47BD" w:rsidRDefault="005F2894">
      <w:pPr>
        <w:numPr>
          <w:ilvl w:val="1"/>
          <w:numId w:val="2"/>
        </w:numPr>
        <w:rPr>
          <w:rFonts w:ascii="Roboto" w:eastAsia="Roboto" w:hAnsi="Roboto" w:cs="Roboto"/>
          <w:color w:val="444746"/>
          <w:sz w:val="21"/>
          <w:szCs w:val="21"/>
          <w:highlight w:val="white"/>
        </w:rPr>
      </w:pPr>
      <w:r>
        <w:rPr>
          <w:rFonts w:ascii="Roboto" w:eastAsia="Roboto" w:hAnsi="Roboto" w:cs="Roboto"/>
          <w:color w:val="444746"/>
          <w:sz w:val="21"/>
          <w:szCs w:val="21"/>
          <w:highlight w:val="white"/>
        </w:rPr>
        <w:t>Provide details of demonstrating action to support health and wellbeing, including physical and mental health, in the contract workforce.</w:t>
      </w:r>
      <w:r>
        <w:rPr>
          <w:rFonts w:ascii="Roboto" w:eastAsia="Roboto" w:hAnsi="Roboto" w:cs="Roboto"/>
          <w:color w:val="444746"/>
          <w:sz w:val="21"/>
          <w:szCs w:val="21"/>
          <w:highlight w:val="white"/>
        </w:rPr>
        <w:br/>
      </w:r>
    </w:p>
    <w:p w:rsidR="00AA47BD" w:rsidRDefault="005F2894">
      <w:pPr>
        <w:numPr>
          <w:ilvl w:val="1"/>
          <w:numId w:val="2"/>
        </w:numPr>
        <w:pBdr>
          <w:top w:val="nil"/>
          <w:left w:val="nil"/>
          <w:bottom w:val="nil"/>
          <w:right w:val="nil"/>
          <w:between w:val="nil"/>
        </w:pBdr>
        <w:ind w:left="709" w:hanging="709"/>
        <w:rPr>
          <w:rFonts w:ascii="Roboto" w:eastAsia="Roboto" w:hAnsi="Roboto" w:cs="Roboto"/>
          <w:color w:val="444746"/>
          <w:sz w:val="21"/>
          <w:szCs w:val="21"/>
          <w:highlight w:val="white"/>
        </w:rPr>
      </w:pPr>
      <w:r>
        <w:rPr>
          <w:rFonts w:ascii="Roboto" w:eastAsia="Roboto" w:hAnsi="Roboto" w:cs="Roboto"/>
          <w:color w:val="444746"/>
          <w:sz w:val="21"/>
          <w:szCs w:val="21"/>
          <w:highlight w:val="white"/>
        </w:rPr>
        <w:t>Explain the provisions in place for users with disabilities for using Tableau</w:t>
      </w:r>
    </w:p>
    <w:p w:rsidR="00AA47BD" w:rsidRDefault="00AA47BD">
      <w:pPr>
        <w:rPr>
          <w:sz w:val="20"/>
          <w:szCs w:val="20"/>
        </w:rPr>
      </w:pPr>
    </w:p>
    <w:p w:rsidR="00AA47BD" w:rsidRDefault="00AA47BD"/>
    <w:p w:rsidR="00AA47BD" w:rsidRDefault="005F2894">
      <w:pPr>
        <w:pStyle w:val="Heading1"/>
        <w:numPr>
          <w:ilvl w:val="0"/>
          <w:numId w:val="2"/>
        </w:numPr>
        <w:spacing w:after="0"/>
        <w:ind w:left="709" w:hanging="709"/>
        <w:jc w:val="left"/>
        <w:rPr>
          <w:sz w:val="20"/>
          <w:szCs w:val="20"/>
        </w:rPr>
      </w:pPr>
      <w:bookmarkStart w:id="25" w:name="_heading=h.2u6wntf" w:colFirst="0" w:colLast="0"/>
      <w:bookmarkEnd w:id="25"/>
      <w:r>
        <w:rPr>
          <w:sz w:val="20"/>
          <w:szCs w:val="20"/>
        </w:rPr>
        <w:t>STAFF AND CUSTOMER SERVICE</w:t>
      </w:r>
    </w:p>
    <w:p w:rsidR="00AA47BD" w:rsidRDefault="00AA47BD"/>
    <w:p w:rsidR="00AA47BD" w:rsidRDefault="005F2894">
      <w:pPr>
        <w:pStyle w:val="Heading2"/>
        <w:numPr>
          <w:ilvl w:val="1"/>
          <w:numId w:val="2"/>
        </w:numPr>
        <w:spacing w:after="0"/>
        <w:ind w:left="709" w:hanging="709"/>
        <w:jc w:val="left"/>
      </w:pPr>
      <w:r>
        <w:rPr>
          <w:sz w:val="20"/>
          <w:szCs w:val="20"/>
        </w:rPr>
        <w:t>The Supplier shall provide a sufficient level of resource throughout the duration of the Contract in order to consistently deliver a quality service.</w:t>
      </w:r>
    </w:p>
    <w:p w:rsidR="00AA47BD" w:rsidRDefault="00AA47BD"/>
    <w:p w:rsidR="00AA47BD" w:rsidRDefault="005F2894">
      <w:pPr>
        <w:pStyle w:val="Heading2"/>
        <w:numPr>
          <w:ilvl w:val="1"/>
          <w:numId w:val="2"/>
        </w:numPr>
        <w:spacing w:after="0"/>
        <w:ind w:left="709" w:hanging="709"/>
        <w:jc w:val="left"/>
      </w:pPr>
      <w:r>
        <w:rPr>
          <w:sz w:val="20"/>
          <w:szCs w:val="20"/>
        </w:rPr>
        <w:t xml:space="preserve">The Supplier’s staff assigned to the Contract shall have the relevant qualifications and experience (as detailed in the Mandatory Requirements Section) to deliver the Contract to the required standard. </w:t>
      </w:r>
    </w:p>
    <w:p w:rsidR="00AA47BD" w:rsidRDefault="00AA47BD"/>
    <w:p w:rsidR="00AA47BD" w:rsidRDefault="005F2894">
      <w:pPr>
        <w:pStyle w:val="Heading2"/>
        <w:numPr>
          <w:ilvl w:val="1"/>
          <w:numId w:val="2"/>
        </w:numPr>
        <w:spacing w:after="0"/>
        <w:ind w:left="709" w:hanging="709"/>
        <w:jc w:val="left"/>
      </w:pPr>
      <w:r>
        <w:rPr>
          <w:sz w:val="20"/>
          <w:szCs w:val="20"/>
        </w:rPr>
        <w:t xml:space="preserve">The Supplier shall ensure that staff understand the Buyer’s vision and objectives and will provide excellent customer service to the Buyer throughout the duration of the Contract.  </w:t>
      </w:r>
    </w:p>
    <w:p w:rsidR="00AA47BD" w:rsidRDefault="00AA47BD"/>
    <w:p w:rsidR="00AA47BD" w:rsidRDefault="005F2894">
      <w:pPr>
        <w:pStyle w:val="Heading1"/>
        <w:numPr>
          <w:ilvl w:val="0"/>
          <w:numId w:val="2"/>
        </w:numPr>
        <w:spacing w:after="0"/>
        <w:ind w:left="709" w:hanging="709"/>
        <w:jc w:val="left"/>
        <w:rPr>
          <w:sz w:val="20"/>
          <w:szCs w:val="20"/>
        </w:rPr>
      </w:pPr>
      <w:bookmarkStart w:id="26" w:name="_heading=h.19c6y18" w:colFirst="0" w:colLast="0"/>
      <w:bookmarkEnd w:id="26"/>
      <w:r>
        <w:rPr>
          <w:sz w:val="20"/>
          <w:szCs w:val="20"/>
        </w:rPr>
        <w:t>CONTINUOUS IMPROVEMENT</w:t>
      </w:r>
    </w:p>
    <w:p w:rsidR="00AA47BD" w:rsidRDefault="00AA47BD"/>
    <w:p w:rsidR="00AA47BD" w:rsidRDefault="005F2894">
      <w:pPr>
        <w:pStyle w:val="Heading2"/>
        <w:numPr>
          <w:ilvl w:val="1"/>
          <w:numId w:val="2"/>
        </w:numPr>
        <w:spacing w:after="0"/>
        <w:ind w:left="709" w:hanging="709"/>
        <w:jc w:val="left"/>
      </w:pPr>
      <w:r>
        <w:rPr>
          <w:sz w:val="20"/>
          <w:szCs w:val="20"/>
        </w:rPr>
        <w:t>The Supplier will be expected to continually improve the way in which the required services are to be delivered throughout the Contract duration.</w:t>
      </w:r>
    </w:p>
    <w:p w:rsidR="00AA47BD" w:rsidRDefault="00AA47BD"/>
    <w:p w:rsidR="00AA47BD" w:rsidRDefault="005F2894">
      <w:pPr>
        <w:pStyle w:val="Heading2"/>
        <w:numPr>
          <w:ilvl w:val="1"/>
          <w:numId w:val="2"/>
        </w:numPr>
        <w:spacing w:after="0"/>
        <w:ind w:left="709" w:hanging="709"/>
        <w:jc w:val="left"/>
      </w:pPr>
      <w:r>
        <w:rPr>
          <w:sz w:val="20"/>
          <w:szCs w:val="20"/>
        </w:rPr>
        <w:t xml:space="preserve">The Supplier should present new ways of working to the Buyer during monthly Contract review meetings. </w:t>
      </w:r>
    </w:p>
    <w:p w:rsidR="00AA47BD" w:rsidRDefault="00AA47BD"/>
    <w:p w:rsidR="00AA47BD" w:rsidRDefault="005F2894">
      <w:pPr>
        <w:pStyle w:val="Heading2"/>
        <w:numPr>
          <w:ilvl w:val="1"/>
          <w:numId w:val="2"/>
        </w:numPr>
        <w:spacing w:after="0"/>
        <w:ind w:left="709" w:hanging="709"/>
        <w:jc w:val="left"/>
      </w:pPr>
      <w:r>
        <w:rPr>
          <w:sz w:val="20"/>
          <w:szCs w:val="20"/>
        </w:rPr>
        <w:t>Changes to the way in which the Services are to be delivered must be brought to the Buyer’s attention and agreed prior to any changes being implemented.</w:t>
      </w:r>
    </w:p>
    <w:p w:rsidR="00AA47BD" w:rsidRDefault="00AA47BD"/>
    <w:p w:rsidR="00AA47BD" w:rsidRDefault="005F2894">
      <w:pPr>
        <w:pStyle w:val="Heading1"/>
        <w:numPr>
          <w:ilvl w:val="0"/>
          <w:numId w:val="2"/>
        </w:numPr>
        <w:spacing w:after="0"/>
        <w:ind w:left="709" w:hanging="709"/>
        <w:jc w:val="left"/>
        <w:rPr>
          <w:sz w:val="20"/>
          <w:szCs w:val="20"/>
        </w:rPr>
      </w:pPr>
      <w:bookmarkStart w:id="27" w:name="_heading=h.3tbugp1" w:colFirst="0" w:colLast="0"/>
      <w:bookmarkEnd w:id="27"/>
      <w:r>
        <w:rPr>
          <w:sz w:val="20"/>
          <w:szCs w:val="20"/>
        </w:rPr>
        <w:t>SECURITY AND CONFIDENTIALITY REQUIREMENTS</w:t>
      </w:r>
    </w:p>
    <w:p w:rsidR="00AA47BD" w:rsidRDefault="00AA47BD"/>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Tableau is working to SOX, SOC and ISAE compliance standards. Audit reports are available to demonstrate conformance.</w:t>
        </w:r>
        <w:r w:rsidR="005F2894">
          <w:rPr>
            <w:sz w:val="20"/>
            <w:szCs w:val="20"/>
          </w:rPr>
          <w:br/>
        </w:r>
        <w:r w:rsidR="005F2894">
          <w:rPr>
            <w:sz w:val="20"/>
            <w:szCs w:val="20"/>
          </w:rPr>
          <w:tab/>
        </w:r>
      </w:hyperlink>
    </w:p>
    <w:p w:rsidR="00AA47BD" w:rsidRDefault="001C0E14">
      <w:pPr>
        <w:widowControl w:val="0"/>
        <w:numPr>
          <w:ilvl w:val="1"/>
          <w:numId w:val="2"/>
        </w:numPr>
        <w:tabs>
          <w:tab w:val="right" w:pos="12000"/>
        </w:tabs>
        <w:spacing w:before="60"/>
        <w:rPr>
          <w:sz w:val="20"/>
          <w:szCs w:val="20"/>
        </w:rPr>
      </w:pPr>
      <w:hyperlink w:anchor="_heading=">
        <w:r w:rsidR="005F2894">
          <w:rPr>
            <w:sz w:val="20"/>
            <w:szCs w:val="20"/>
          </w:rPr>
          <w:t>Data to be encrypted at rest.</w:t>
        </w:r>
      </w:hyperlink>
      <w:r w:rsidR="005F2894">
        <w:rPr>
          <w:sz w:val="20"/>
          <w:szCs w:val="20"/>
        </w:rPr>
        <w:br/>
      </w:r>
    </w:p>
    <w:p w:rsidR="00AA47BD" w:rsidRDefault="005F2894">
      <w:pPr>
        <w:widowControl w:val="0"/>
        <w:numPr>
          <w:ilvl w:val="1"/>
          <w:numId w:val="2"/>
        </w:numPr>
        <w:tabs>
          <w:tab w:val="right" w:pos="12000"/>
        </w:tabs>
        <w:spacing w:before="60"/>
        <w:rPr>
          <w:sz w:val="20"/>
          <w:szCs w:val="20"/>
        </w:rPr>
      </w:pPr>
      <w:r>
        <w:rPr>
          <w:sz w:val="20"/>
          <w:szCs w:val="20"/>
        </w:rPr>
        <w:t>Cyber Essentials is required along with details of certification.</w:t>
      </w:r>
    </w:p>
    <w:p w:rsidR="00AA47BD" w:rsidRDefault="00AA47BD"/>
    <w:p w:rsidR="00AA47BD" w:rsidRDefault="005F2894">
      <w:pPr>
        <w:pStyle w:val="Heading1"/>
        <w:numPr>
          <w:ilvl w:val="0"/>
          <w:numId w:val="2"/>
        </w:numPr>
        <w:spacing w:after="0"/>
        <w:ind w:left="709" w:hanging="709"/>
        <w:jc w:val="left"/>
        <w:rPr>
          <w:sz w:val="20"/>
          <w:szCs w:val="20"/>
        </w:rPr>
      </w:pPr>
      <w:bookmarkStart w:id="28" w:name="_heading=h.28h4qwu" w:colFirst="0" w:colLast="0"/>
      <w:bookmarkEnd w:id="28"/>
      <w:r>
        <w:rPr>
          <w:sz w:val="20"/>
          <w:szCs w:val="20"/>
        </w:rPr>
        <w:t>PRICING MECHANISM</w:t>
      </w:r>
    </w:p>
    <w:p w:rsidR="00AA47BD" w:rsidRDefault="00AA47BD">
      <w:pPr>
        <w:pStyle w:val="Heading2"/>
        <w:numPr>
          <w:ilvl w:val="1"/>
          <w:numId w:val="2"/>
        </w:numPr>
        <w:spacing w:after="0"/>
        <w:ind w:left="0" w:firstLine="0"/>
        <w:jc w:val="left"/>
      </w:pPr>
    </w:p>
    <w:p w:rsidR="00AA47BD" w:rsidRDefault="005F2894">
      <w:pPr>
        <w:pStyle w:val="Heading2"/>
        <w:numPr>
          <w:ilvl w:val="1"/>
          <w:numId w:val="2"/>
        </w:numPr>
        <w:spacing w:after="0"/>
        <w:ind w:left="709" w:hanging="709"/>
        <w:jc w:val="left"/>
      </w:pPr>
      <w:r>
        <w:rPr>
          <w:sz w:val="20"/>
          <w:szCs w:val="20"/>
        </w:rPr>
        <w:t>All prices are excluding VAT</w:t>
      </w:r>
    </w:p>
    <w:p w:rsidR="00AA47BD" w:rsidRDefault="00AA47BD">
      <w:pPr>
        <w:pBdr>
          <w:top w:val="nil"/>
          <w:left w:val="nil"/>
          <w:bottom w:val="nil"/>
          <w:right w:val="nil"/>
          <w:between w:val="nil"/>
        </w:pBdr>
        <w:ind w:left="709" w:hanging="709"/>
        <w:rPr>
          <w:color w:val="000000"/>
          <w:sz w:val="20"/>
          <w:szCs w:val="20"/>
        </w:rPr>
      </w:pPr>
    </w:p>
    <w:p w:rsidR="00AA47BD" w:rsidRDefault="005F2894">
      <w:pPr>
        <w:pStyle w:val="Heading2"/>
        <w:numPr>
          <w:ilvl w:val="1"/>
          <w:numId w:val="2"/>
        </w:numPr>
        <w:spacing w:after="0"/>
        <w:ind w:left="709" w:hanging="709"/>
        <w:jc w:val="left"/>
        <w:rPr>
          <w:smallCaps/>
        </w:rPr>
      </w:pPr>
      <w:r>
        <w:rPr>
          <w:sz w:val="20"/>
          <w:szCs w:val="20"/>
        </w:rPr>
        <w:t>All prices are inclusive of expenses, such as travel and subsistence.</w:t>
      </w:r>
    </w:p>
    <w:p w:rsidR="00AA47BD" w:rsidRDefault="005F2894">
      <w:r>
        <w:t xml:space="preserve"> </w:t>
      </w:r>
    </w:p>
    <w:p w:rsidR="00AA47BD" w:rsidRDefault="005F2894">
      <w:pPr>
        <w:pStyle w:val="Heading1"/>
        <w:numPr>
          <w:ilvl w:val="0"/>
          <w:numId w:val="2"/>
        </w:numPr>
        <w:spacing w:after="0"/>
        <w:ind w:left="709" w:hanging="709"/>
        <w:jc w:val="left"/>
        <w:rPr>
          <w:sz w:val="20"/>
          <w:szCs w:val="20"/>
        </w:rPr>
      </w:pPr>
      <w:bookmarkStart w:id="29" w:name="_heading=h.nmf14n" w:colFirst="0" w:colLast="0"/>
      <w:bookmarkEnd w:id="29"/>
      <w:r>
        <w:rPr>
          <w:sz w:val="20"/>
          <w:szCs w:val="20"/>
        </w:rPr>
        <w:lastRenderedPageBreak/>
        <w:t xml:space="preserve">PAYMENT AND INVOICING </w:t>
      </w:r>
    </w:p>
    <w:p w:rsidR="00AA47BD" w:rsidRDefault="00AA47BD"/>
    <w:p w:rsidR="00AA47BD" w:rsidRDefault="005F2894">
      <w:pPr>
        <w:pStyle w:val="Heading2"/>
        <w:numPr>
          <w:ilvl w:val="1"/>
          <w:numId w:val="2"/>
        </w:numPr>
        <w:spacing w:after="0"/>
        <w:ind w:left="709" w:hanging="709"/>
        <w:jc w:val="left"/>
      </w:pPr>
      <w:r>
        <w:rPr>
          <w:sz w:val="20"/>
          <w:szCs w:val="20"/>
          <w:highlight w:val="white"/>
        </w:rPr>
        <w:t xml:space="preserve">Payment can only be made following satisfactory delivery of pre-agreed certified products and deliverables. </w:t>
      </w:r>
    </w:p>
    <w:p w:rsidR="00AA47BD" w:rsidRDefault="00AA47BD"/>
    <w:p w:rsidR="00AA47BD" w:rsidRDefault="005F2894">
      <w:pPr>
        <w:pStyle w:val="Heading2"/>
        <w:numPr>
          <w:ilvl w:val="1"/>
          <w:numId w:val="2"/>
        </w:numPr>
        <w:spacing w:after="0"/>
        <w:ind w:left="709" w:hanging="709"/>
        <w:jc w:val="left"/>
      </w:pPr>
      <w:r>
        <w:rPr>
          <w:sz w:val="20"/>
          <w:szCs w:val="20"/>
          <w:highlight w:val="white"/>
        </w:rPr>
        <w:t xml:space="preserve">Before payment can be considered, each invoice must include a detailed elemental breakdown of work completed and the associated costs. </w:t>
      </w:r>
    </w:p>
    <w:p w:rsidR="00AA47BD" w:rsidRDefault="00AA47BD"/>
    <w:p w:rsidR="00FA7F45" w:rsidRPr="00FA7F45" w:rsidRDefault="00FA7F45" w:rsidP="00FA7F45">
      <w:pPr>
        <w:pStyle w:val="Heading2"/>
        <w:numPr>
          <w:ilvl w:val="1"/>
          <w:numId w:val="2"/>
        </w:numPr>
        <w:spacing w:after="0"/>
        <w:ind w:left="709" w:hanging="709"/>
        <w:jc w:val="left"/>
        <w:rPr>
          <w:rFonts w:ascii="Roboto" w:eastAsia="Roboto" w:hAnsi="Roboto" w:cs="Roboto"/>
          <w:color w:val="1155CC"/>
          <w:sz w:val="21"/>
          <w:szCs w:val="21"/>
          <w:u w:val="single"/>
        </w:rPr>
      </w:pPr>
      <w:r w:rsidRPr="00FA7F45">
        <w:rPr>
          <w:rFonts w:ascii="Times" w:hAnsi="Times" w:cs="Times"/>
          <w:color w:val="FF0000"/>
          <w:sz w:val="27"/>
          <w:szCs w:val="27"/>
        </w:rPr>
        <w:t>REDACTED TEXT under FOIA Section 40, Personal Information</w:t>
      </w:r>
    </w:p>
    <w:p w:rsidR="00FA7F45" w:rsidRPr="00FA7F45" w:rsidRDefault="00FA7F45" w:rsidP="00FA7F45"/>
    <w:p w:rsidR="00AA47BD" w:rsidRDefault="00AA47BD">
      <w:pPr>
        <w:ind w:left="720"/>
      </w:pPr>
    </w:p>
    <w:p w:rsidR="00AA47BD" w:rsidRDefault="005F2894" w:rsidP="00FA7F45">
      <w:pPr>
        <w:numPr>
          <w:ilvl w:val="1"/>
          <w:numId w:val="2"/>
        </w:numPr>
        <w:ind w:hanging="862"/>
      </w:pPr>
      <w:bookmarkStart w:id="30" w:name="_GoBack"/>
      <w:bookmarkEnd w:id="30"/>
      <w:r>
        <w:rPr>
          <w:sz w:val="20"/>
          <w:szCs w:val="20"/>
        </w:rPr>
        <w:t>Any invoices not sent to the email address as at 18.3 will not be paid</w:t>
      </w:r>
      <w:r>
        <w:rPr>
          <w:sz w:val="24"/>
          <w:szCs w:val="24"/>
        </w:rPr>
        <w:t>.</w:t>
      </w:r>
    </w:p>
    <w:p w:rsidR="00AA47BD" w:rsidRDefault="00AA47BD"/>
    <w:p w:rsidR="00AA47BD" w:rsidRDefault="00AA47BD"/>
    <w:p w:rsidR="00AA47BD" w:rsidRDefault="005F2894">
      <w:pPr>
        <w:pStyle w:val="Heading1"/>
        <w:numPr>
          <w:ilvl w:val="0"/>
          <w:numId w:val="2"/>
        </w:numPr>
        <w:spacing w:after="0"/>
        <w:ind w:left="709" w:hanging="709"/>
        <w:jc w:val="left"/>
        <w:rPr>
          <w:sz w:val="20"/>
          <w:szCs w:val="20"/>
        </w:rPr>
      </w:pPr>
      <w:bookmarkStart w:id="31" w:name="_heading=h.37m2jsg" w:colFirst="0" w:colLast="0"/>
      <w:bookmarkEnd w:id="31"/>
      <w:r>
        <w:rPr>
          <w:sz w:val="20"/>
          <w:szCs w:val="20"/>
        </w:rPr>
        <w:t>CONTRACT MANAGEMENT AND KEY PERFORMANCE INDICATORS</w:t>
      </w:r>
    </w:p>
    <w:p w:rsidR="00AA47BD" w:rsidRDefault="00AA47BD"/>
    <w:p w:rsidR="00AA47BD" w:rsidRDefault="005F2894">
      <w:pPr>
        <w:pStyle w:val="Heading2"/>
        <w:numPr>
          <w:ilvl w:val="1"/>
          <w:numId w:val="2"/>
        </w:numPr>
        <w:spacing w:after="0"/>
        <w:ind w:left="709" w:hanging="709"/>
        <w:jc w:val="left"/>
        <w:rPr>
          <w:sz w:val="20"/>
          <w:szCs w:val="20"/>
        </w:rPr>
      </w:pPr>
      <w:r>
        <w:rPr>
          <w:sz w:val="20"/>
          <w:szCs w:val="20"/>
        </w:rPr>
        <w:t>The Buyer will measure the quality of the Supplier’s delivery by:</w:t>
      </w:r>
      <w:r>
        <w:rPr>
          <w:sz w:val="20"/>
          <w:szCs w:val="20"/>
        </w:rPr>
        <w:br/>
      </w:r>
    </w:p>
    <w:p w:rsidR="00AA47BD" w:rsidRDefault="005F2894">
      <w:pPr>
        <w:pStyle w:val="Heading2"/>
        <w:numPr>
          <w:ilvl w:val="2"/>
          <w:numId w:val="2"/>
        </w:numPr>
        <w:spacing w:after="0"/>
        <w:jc w:val="left"/>
        <w:rPr>
          <w:sz w:val="20"/>
          <w:szCs w:val="20"/>
        </w:rPr>
      </w:pPr>
      <w:r>
        <w:rPr>
          <w:sz w:val="20"/>
          <w:szCs w:val="20"/>
        </w:rPr>
        <w:t>Quotes for additional licences or services to be provided within 5 business days</w:t>
      </w:r>
      <w:r>
        <w:rPr>
          <w:sz w:val="20"/>
          <w:szCs w:val="20"/>
        </w:rPr>
        <w:br/>
      </w:r>
    </w:p>
    <w:p w:rsidR="00AA47BD" w:rsidRDefault="005F2894">
      <w:pPr>
        <w:pStyle w:val="Heading2"/>
        <w:numPr>
          <w:ilvl w:val="2"/>
          <w:numId w:val="2"/>
        </w:numPr>
        <w:spacing w:after="0"/>
        <w:jc w:val="left"/>
        <w:rPr>
          <w:sz w:val="20"/>
          <w:szCs w:val="20"/>
        </w:rPr>
      </w:pPr>
      <w:r>
        <w:rPr>
          <w:sz w:val="20"/>
          <w:szCs w:val="20"/>
        </w:rPr>
        <w:t>Licences to be provided within 48 hours once the order is agreed by both parties</w:t>
      </w:r>
      <w:r>
        <w:rPr>
          <w:sz w:val="20"/>
          <w:szCs w:val="20"/>
        </w:rPr>
        <w:br/>
      </w:r>
    </w:p>
    <w:p w:rsidR="00AA47BD" w:rsidRDefault="005F2894">
      <w:pPr>
        <w:pStyle w:val="Heading2"/>
        <w:numPr>
          <w:ilvl w:val="2"/>
          <w:numId w:val="2"/>
        </w:numPr>
        <w:spacing w:after="0"/>
        <w:jc w:val="left"/>
        <w:rPr>
          <w:sz w:val="20"/>
          <w:szCs w:val="20"/>
        </w:rPr>
      </w:pPr>
      <w:r>
        <w:rPr>
          <w:sz w:val="20"/>
          <w:szCs w:val="20"/>
        </w:rPr>
        <w:t>Evidence of value added to the Cabinet Office due to knowledge transfer, community events and promotion of best practice. Examples include: webinar sessions focusing on skills, in person Tableau events, highlighting improvements that can be made to our Tableau usage and configuration. These benefits will be captured in narrative form including measurements where possible. These will be reviewed at the monthly service review meeting.</w:t>
      </w:r>
      <w:r>
        <w:rPr>
          <w:sz w:val="20"/>
          <w:szCs w:val="20"/>
        </w:rPr>
        <w:br/>
      </w:r>
    </w:p>
    <w:p w:rsidR="00AA47BD" w:rsidRDefault="005F2894">
      <w:pPr>
        <w:pStyle w:val="Heading2"/>
        <w:numPr>
          <w:ilvl w:val="1"/>
          <w:numId w:val="2"/>
        </w:numPr>
        <w:spacing w:after="0"/>
        <w:ind w:left="0" w:firstLine="0"/>
        <w:jc w:val="left"/>
        <w:rPr>
          <w:sz w:val="20"/>
          <w:szCs w:val="20"/>
        </w:rPr>
      </w:pPr>
      <w:r>
        <w:rPr>
          <w:sz w:val="20"/>
          <w:szCs w:val="20"/>
        </w:rPr>
        <w:t xml:space="preserve">19.2 </w:t>
      </w:r>
      <w:r>
        <w:rPr>
          <w:sz w:val="20"/>
          <w:szCs w:val="20"/>
        </w:rPr>
        <w:tab/>
        <w:t>If the reseller does not perform to the expected level then a new reseller can be identified through a procurement process.</w:t>
      </w:r>
    </w:p>
    <w:p w:rsidR="00AA47BD" w:rsidRDefault="00AA47BD">
      <w:pPr>
        <w:rPr>
          <w:sz w:val="20"/>
          <w:szCs w:val="20"/>
        </w:rPr>
      </w:pPr>
    </w:p>
    <w:p w:rsidR="00AA47BD" w:rsidRDefault="005F2894">
      <w:pPr>
        <w:rPr>
          <w:sz w:val="20"/>
          <w:szCs w:val="20"/>
        </w:rPr>
      </w:pPr>
      <w:r>
        <w:rPr>
          <w:sz w:val="20"/>
          <w:szCs w:val="20"/>
        </w:rPr>
        <w:t>19.3</w:t>
      </w:r>
      <w:r>
        <w:rPr>
          <w:sz w:val="20"/>
          <w:szCs w:val="20"/>
        </w:rPr>
        <w:tab/>
        <w:t>Key Performance Indicators</w:t>
      </w:r>
    </w:p>
    <w:p w:rsidR="00AA47BD" w:rsidRDefault="00AA47BD">
      <w:pPr>
        <w:ind w:left="720"/>
      </w:pPr>
    </w:p>
    <w:p w:rsidR="00AA47BD" w:rsidRDefault="00FA7F45">
      <w:pPr>
        <w:ind w:left="720"/>
        <w:rPr>
          <w:rFonts w:ascii="Times" w:hAnsi="Times" w:cs="Times"/>
          <w:color w:val="FF0000"/>
          <w:sz w:val="27"/>
          <w:szCs w:val="27"/>
        </w:rPr>
      </w:pPr>
      <w:r>
        <w:rPr>
          <w:rFonts w:ascii="Times" w:hAnsi="Times" w:cs="Times"/>
          <w:color w:val="FF0000"/>
          <w:sz w:val="27"/>
          <w:szCs w:val="27"/>
        </w:rPr>
        <w:t>REDACTED TEXT under FOIA Section 43, Commercial Interests</w:t>
      </w:r>
    </w:p>
    <w:p w:rsidR="00FA7F45" w:rsidRDefault="00FA7F45">
      <w:pPr>
        <w:ind w:left="720"/>
        <w:rPr>
          <w:rFonts w:ascii="Times" w:hAnsi="Times" w:cs="Times"/>
          <w:color w:val="FF0000"/>
          <w:sz w:val="27"/>
          <w:szCs w:val="27"/>
        </w:rPr>
      </w:pPr>
      <w:r>
        <w:rPr>
          <w:rFonts w:ascii="Times" w:hAnsi="Times" w:cs="Times"/>
          <w:color w:val="FF0000"/>
          <w:sz w:val="27"/>
          <w:szCs w:val="27"/>
        </w:rPr>
        <w:t>REDACTED TEXT under FOIA Section 43, Commercial Interests</w:t>
      </w:r>
    </w:p>
    <w:p w:rsidR="00FA7F45" w:rsidRDefault="00FA7F45">
      <w:pPr>
        <w:ind w:left="720"/>
        <w:rPr>
          <w:rFonts w:ascii="Times" w:hAnsi="Times" w:cs="Times"/>
          <w:color w:val="FF0000"/>
          <w:sz w:val="27"/>
          <w:szCs w:val="27"/>
        </w:rPr>
      </w:pPr>
      <w:r>
        <w:rPr>
          <w:rFonts w:ascii="Times" w:hAnsi="Times" w:cs="Times"/>
          <w:color w:val="FF0000"/>
          <w:sz w:val="27"/>
          <w:szCs w:val="27"/>
        </w:rPr>
        <w:t>REDACTED TEXT under FOIA Section 43, Commercial Interests</w:t>
      </w:r>
    </w:p>
    <w:p w:rsidR="00FA7F45" w:rsidRDefault="00FA7F45">
      <w:pPr>
        <w:ind w:left="720"/>
        <w:rPr>
          <w:sz w:val="20"/>
          <w:szCs w:val="20"/>
        </w:rPr>
      </w:pPr>
      <w:r>
        <w:rPr>
          <w:rFonts w:ascii="Times" w:hAnsi="Times" w:cs="Times"/>
          <w:color w:val="FF0000"/>
          <w:sz w:val="27"/>
          <w:szCs w:val="27"/>
        </w:rPr>
        <w:t>REDACTED TEXT under FOIA Section 43, Commercial Interests</w:t>
      </w:r>
    </w:p>
    <w:sectPr w:rsidR="00FA7F45">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E14" w:rsidRDefault="001C0E14">
      <w:r>
        <w:separator/>
      </w:r>
    </w:p>
  </w:endnote>
  <w:endnote w:type="continuationSeparator" w:id="0">
    <w:p w:rsidR="001C0E14" w:rsidRDefault="001C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default"/>
  </w:font>
  <w:font w:name="Arial Bold">
    <w:panose1 w:val="020B0704020202020204"/>
    <w:charset w:val="00"/>
    <w:family w:val="roman"/>
    <w:notTrueType/>
    <w:pitch w:val="default"/>
  </w:font>
  <w:font w:name="Roboto">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jc w:val="center"/>
      <w:rPr>
        <w:color w:val="000000"/>
      </w:rPr>
    </w:pPr>
  </w:p>
  <w:p w:rsidR="00AA47BD" w:rsidRDefault="005F289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AA47BD" w:rsidRDefault="005F289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CO Digital - Tableau Service Procurement </w:t>
    </w:r>
  </w:p>
  <w:p w:rsidR="00AA47BD" w:rsidRDefault="005F289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Cabinet Office Digital 20 - Tableau Shared Service                            Page </w:t>
    </w:r>
    <w:r>
      <w:rPr>
        <w:sz w:val="20"/>
        <w:szCs w:val="20"/>
      </w:rPr>
      <w:fldChar w:fldCharType="begin"/>
    </w:r>
    <w:r>
      <w:rPr>
        <w:sz w:val="20"/>
        <w:szCs w:val="20"/>
      </w:rPr>
      <w:instrText>PAGE</w:instrText>
    </w:r>
    <w:r>
      <w:rPr>
        <w:sz w:val="20"/>
        <w:szCs w:val="20"/>
      </w:rPr>
      <w:fldChar w:fldCharType="separate"/>
    </w:r>
    <w:r w:rsidR="00FA7F45">
      <w:rPr>
        <w:noProof/>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FA7F45">
      <w:rPr>
        <w:noProof/>
        <w:sz w:val="20"/>
        <w:szCs w:val="20"/>
      </w:rPr>
      <w:t>8</w:t>
    </w:r>
    <w:r>
      <w:rPr>
        <w:sz w:val="20"/>
        <w:szCs w:val="20"/>
      </w:rPr>
      <w:fldChar w:fldCharType="end"/>
    </w:r>
    <w:r>
      <w:rPr>
        <w:sz w:val="20"/>
        <w:szCs w:val="20"/>
      </w:rPr>
      <w:t xml:space="preserve"> </w:t>
    </w:r>
    <w:r w:rsidR="00DA521F">
      <w:rPr>
        <w:sz w:val="20"/>
        <w:szCs w:val="20"/>
      </w:rPr>
      <w:t>25</w:t>
    </w:r>
    <w:r w:rsidR="00DA521F" w:rsidRPr="00DA521F">
      <w:rPr>
        <w:sz w:val="20"/>
        <w:szCs w:val="20"/>
        <w:vertAlign w:val="superscript"/>
      </w:rPr>
      <w:t>th</w:t>
    </w:r>
    <w:r w:rsidR="00DA521F">
      <w:rPr>
        <w:sz w:val="20"/>
        <w:szCs w:val="20"/>
      </w:rPr>
      <w:t xml:space="preserve"> July </w:t>
    </w:r>
    <w:r>
      <w:rPr>
        <w:sz w:val="20"/>
        <w:szCs w:val="20"/>
      </w:rPr>
      <w:t>2025</w:t>
    </w:r>
  </w:p>
  <w:p w:rsidR="00AA47BD" w:rsidRDefault="005F2894">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2024</w:t>
    </w:r>
  </w:p>
  <w:p w:rsidR="00AA47BD" w:rsidRDefault="005F2894">
    <w:pPr>
      <w:pBdr>
        <w:top w:val="nil"/>
        <w:left w:val="nil"/>
        <w:bottom w:val="nil"/>
        <w:right w:val="nil"/>
        <w:between w:val="nil"/>
      </w:pBdr>
      <w:tabs>
        <w:tab w:val="center" w:pos="4153"/>
        <w:tab w:val="right" w:pos="8306"/>
      </w:tabs>
      <w:rPr>
        <w:color w:val="000000"/>
        <w:sz w:val="20"/>
        <w:szCs w:val="20"/>
      </w:rPr>
    </w:pPr>
    <w:r>
      <w:rPr>
        <w:color w:val="000000"/>
        <w:sz w:val="20"/>
        <w:szCs w:val="20"/>
      </w:rPr>
      <w:tab/>
    </w:r>
  </w:p>
  <w:p w:rsidR="00AA47BD" w:rsidRDefault="00AA47BD">
    <w:pPr>
      <w:pBdr>
        <w:top w:val="nil"/>
        <w:left w:val="nil"/>
        <w:bottom w:val="nil"/>
        <w:right w:val="nil"/>
        <w:between w:val="nil"/>
      </w:pBdr>
      <w:tabs>
        <w:tab w:val="center" w:pos="4153"/>
        <w:tab w:val="right" w:pos="8306"/>
      </w:tabs>
      <w:jc w:val="center"/>
      <w:rPr>
        <w:color w:val="000000"/>
      </w:rPr>
    </w:pPr>
  </w:p>
  <w:p w:rsidR="00AA47BD" w:rsidRDefault="00AA47BD">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E14" w:rsidRDefault="001C0E14">
      <w:r>
        <w:separator/>
      </w:r>
    </w:p>
  </w:footnote>
  <w:footnote w:type="continuationSeparator" w:id="0">
    <w:p w:rsidR="001C0E14" w:rsidRDefault="001C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jc w:val="center"/>
      <w:rPr>
        <w:color w:val="000000"/>
        <w:sz w:val="20"/>
        <w:szCs w:val="20"/>
        <w:highlight w:val="yellow"/>
      </w:rPr>
    </w:pPr>
  </w:p>
  <w:p w:rsidR="00AA47BD" w:rsidRDefault="00AA47BD">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7BD" w:rsidRDefault="00AA47B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A4F0B"/>
    <w:multiLevelType w:val="multilevel"/>
    <w:tmpl w:val="4EE29162"/>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 w15:restartNumberingAfterBreak="0">
    <w:nsid w:val="7D0037EC"/>
    <w:multiLevelType w:val="multilevel"/>
    <w:tmpl w:val="4322D446"/>
    <w:lvl w:ilvl="0">
      <w:start w:val="1"/>
      <w:numFmt w:val="decimal"/>
      <w:lvlText w:val="%1."/>
      <w:lvlJc w:val="left"/>
      <w:pPr>
        <w:ind w:left="720" w:hanging="720"/>
      </w:pPr>
      <w:rPr>
        <w:smallCaps w:val="0"/>
      </w:rPr>
    </w:lvl>
    <w:lvl w:ilvl="1">
      <w:start w:val="1"/>
      <w:numFmt w:val="decimal"/>
      <w:lvlText w:val="%1.%2"/>
      <w:lvlJc w:val="left"/>
      <w:pPr>
        <w:ind w:left="862" w:hanging="720"/>
      </w:pPr>
      <w:rPr>
        <w:rFonts w:ascii="Arial" w:hAnsi="Arial" w:cs="Arial" w:hint="default"/>
        <w:smallCaps w:val="0"/>
        <w:color w:val="auto"/>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2" w15:restartNumberingAfterBreak="0">
    <w:nsid w:val="7D9221DA"/>
    <w:multiLevelType w:val="multilevel"/>
    <w:tmpl w:val="CBE21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BD"/>
    <w:rsid w:val="001C0E14"/>
    <w:rsid w:val="0031120A"/>
    <w:rsid w:val="005F2894"/>
    <w:rsid w:val="0073348E"/>
    <w:rsid w:val="00AA47BD"/>
    <w:rsid w:val="00DA521F"/>
    <w:rsid w:val="00E158C3"/>
    <w:rsid w:val="00FA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BC70"/>
  <w15:docId w15:val="{B45F1F10-AE50-43BE-A31C-31E12BAA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link w:val="Heading2Char"/>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link w:val="Heading3Char"/>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link w:val="Heading4Char"/>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link w:val="Heading5Char"/>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link w:val="Heading6Char"/>
    <w:pPr>
      <w:pBdr>
        <w:top w:val="nil"/>
        <w:left w:val="nil"/>
        <w:bottom w:val="nil"/>
        <w:right w:val="nil"/>
        <w:between w:val="nil"/>
      </w:pBdr>
      <w:spacing w:after="240"/>
      <w:ind w:left="4320" w:hanging="720"/>
      <w:jc w:val="both"/>
      <w:outlineLvl w:val="5"/>
    </w:pPr>
    <w:rPr>
      <w:color w:val="000000"/>
    </w:r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before="240" w:after="60"/>
      <w:jc w:val="center"/>
    </w:pPr>
    <w:rPr>
      <w:b/>
      <w:sz w:val="32"/>
      <w:szCs w:val="32"/>
    </w:rPr>
  </w:style>
  <w:style w:type="table" w:customStyle="1" w:styleId="TableNormal1">
    <w:name w:val="TableNormal"/>
    <w:tblPr>
      <w:tblCellMar>
        <w:top w:w="0" w:type="dxa"/>
        <w:left w:w="0" w:type="dxa"/>
        <w:bottom w:w="0" w:type="dxa"/>
        <w:right w:w="0" w:type="dxa"/>
      </w:tblCellMar>
    </w:tbl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3"/>
      </w:numPr>
      <w:outlineLvl w:val="0"/>
    </w:pPr>
  </w:style>
  <w:style w:type="paragraph" w:customStyle="1" w:styleId="DefinitionNumbering2">
    <w:name w:val="Definition Numbering 2"/>
    <w:basedOn w:val="HouseStyleBase"/>
    <w:rsid w:val="00AA7115"/>
    <w:pPr>
      <w:numPr>
        <w:ilvl w:val="3"/>
        <w:numId w:val="3"/>
      </w:numPr>
      <w:outlineLvl w:val="1"/>
    </w:pPr>
  </w:style>
  <w:style w:type="paragraph" w:customStyle="1" w:styleId="DefinitionNumbering3">
    <w:name w:val="Definition Numbering 3"/>
    <w:basedOn w:val="HouseStyleBase"/>
    <w:rsid w:val="00AA7115"/>
    <w:pPr>
      <w:numPr>
        <w:ilvl w:val="4"/>
        <w:numId w:val="3"/>
      </w:numPr>
      <w:outlineLvl w:val="2"/>
    </w:pPr>
  </w:style>
  <w:style w:type="paragraph" w:customStyle="1" w:styleId="DefinitionNumbering4">
    <w:name w:val="Definition Numbering 4"/>
    <w:basedOn w:val="HouseStyleBase"/>
    <w:rsid w:val="00AA7115"/>
    <w:pPr>
      <w:numPr>
        <w:ilvl w:val="5"/>
        <w:numId w:val="3"/>
      </w:numPr>
      <w:outlineLvl w:val="3"/>
    </w:pPr>
  </w:style>
  <w:style w:type="paragraph" w:customStyle="1" w:styleId="DefinitionNumbering5">
    <w:name w:val="Definition Numbering 5"/>
    <w:basedOn w:val="HouseStyleBase"/>
    <w:rsid w:val="00AA7115"/>
    <w:pPr>
      <w:numPr>
        <w:ilvl w:val="6"/>
        <w:numId w:val="3"/>
      </w:numPr>
      <w:outlineLvl w:val="4"/>
    </w:pPr>
  </w:style>
  <w:style w:type="paragraph" w:customStyle="1" w:styleId="DefinitionNumbering6">
    <w:name w:val="Definition Numbering 6"/>
    <w:basedOn w:val="HouseStyleBase"/>
    <w:rsid w:val="00AA7115"/>
    <w:pPr>
      <w:numPr>
        <w:ilvl w:val="7"/>
        <w:numId w:val="3"/>
      </w:numPr>
      <w:outlineLvl w:val="5"/>
    </w:pPr>
  </w:style>
  <w:style w:type="paragraph" w:customStyle="1" w:styleId="DefinitionNumbering7">
    <w:name w:val="Definition Numbering 7"/>
    <w:basedOn w:val="HouseStyleBase"/>
    <w:rsid w:val="00AA7115"/>
    <w:pPr>
      <w:numPr>
        <w:ilvl w:val="8"/>
        <w:numId w:val="3"/>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basedOn w:val="DefaultParagraphFont"/>
    <w:link w:val="Heading5"/>
    <w:rsid w:val="00AA7115"/>
    <w:rPr>
      <w:rFonts w:ascii="Arial" w:eastAsia="STZhongsong" w:hAnsi="Arial"/>
      <w:sz w:val="22"/>
      <w:lang w:eastAsia="zh-CN"/>
    </w:rPr>
  </w:style>
  <w:style w:type="character" w:customStyle="1" w:styleId="Heading6Char">
    <w:name w:val="Heading 6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tabs>
        <w:tab w:val="num" w:pos="720"/>
      </w:tabs>
      <w:spacing w:after="120"/>
    </w:pPr>
    <w:rPr>
      <w:rFonts w:eastAsia="Times New Roman"/>
      <w:bCs/>
      <w:kern w:val="32"/>
      <w:sz w:val="28"/>
      <w:szCs w:val="32"/>
    </w:rPr>
  </w:style>
  <w:style w:type="paragraph" w:customStyle="1" w:styleId="HeadC">
    <w:name w:val="Head C"/>
    <w:basedOn w:val="Heading3"/>
    <w:next w:val="Normal"/>
    <w:rsid w:val="00AA7115"/>
    <w:pPr>
      <w:keepNext/>
      <w:tabs>
        <w:tab w:val="left" w:pos="180"/>
        <w:tab w:val="num" w:pos="2160"/>
      </w:tabs>
      <w:spacing w:after="120"/>
      <w:ind w:left="2160" w:hanging="720"/>
    </w:pPr>
    <w:rPr>
      <w:rFonts w:eastAsia="Times New Roman"/>
      <w:bCs/>
      <w:szCs w:val="26"/>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9">
    <w:name w:val="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8">
    <w:name w:val="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7">
    <w:name w:val="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6">
    <w:name w:val="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2">
    <w:name w:val="1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1">
    <w:name w:val="1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0">
    <w:name w:val="1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5">
    <w:name w:val="1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4">
    <w:name w:val="1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3">
    <w:name w:val="1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character" w:customStyle="1" w:styleId="UnresolvedMention">
    <w:name w:val="Unresolved Mention"/>
    <w:basedOn w:val="DefaultParagraphFont"/>
    <w:uiPriority w:val="99"/>
    <w:semiHidden/>
    <w:unhideWhenUsed/>
    <w:rsid w:val="00476088"/>
    <w:rPr>
      <w:color w:val="605E5C"/>
      <w:shd w:val="clear" w:color="auto" w:fill="E1DFDD"/>
    </w:r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spacing w:after="60"/>
      <w:jc w:val="center"/>
    </w:pPr>
    <w:rPr>
      <w:sz w:val="24"/>
      <w:szCs w:val="24"/>
    </w:rPr>
  </w:style>
  <w:style w:type="table" w:customStyle="1" w:styleId="a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_xclnog8A8dlPVSegoSkvhUx4c8IA6uC/e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document/d/1_xclnog8A8dlPVSegoSkvhUx4c8IA6uC/e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_xclnog8A8dlPVSegoSkvhUx4c8IA6uC/e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document/d/1_xclnog8A8dlPVSegoSkvhUx4c8IA6uC/ed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google.com/document/d/1_xclnog8A8dlPVSegoSkvhUx4c8IA6uC/edit" TargetMode="External"/><Relationship Id="rId14" Type="http://schemas.openxmlformats.org/officeDocument/2006/relationships/hyperlink" Target="https://docs.google.com/document/d/1_xclnog8A8dlPVSegoSkvhUx4c8IA6uC/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d9vpXhg5vBAfkFAGFFpdRXO2w==">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Damian Johnston</cp:lastModifiedBy>
  <cp:revision>2</cp:revision>
  <dcterms:created xsi:type="dcterms:W3CDTF">2025-07-28T12:06:00Z</dcterms:created>
  <dcterms:modified xsi:type="dcterms:W3CDTF">2025-07-28T12:06:00Z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gFAA9xAl/vizjZh2amNVTvCEkMT4+J4rpOL3F0BlA66IB7fpjhxJnonbv3KfUD8nwyvzKd3luDa2PGoo_x000d_Wo+8cPfeyTmBCqiLGl1yrQITBHU7KCV9AkD464N433+WWuzViGb+cML8r371dRHIjBR1tYV9wkHJ_x000d_SVOnqqhvP9GKryAlhPGWU/DJSmwDKJlgo9DCWqSQhJZZcT+vQSn4MK3UWUvw1VYO+yJFReGzH3Yt_x000d_O83XsYcMX1JNcR+wD</vt:lpwstr>
  </property>
  <property fmtid="{D5CDD505-2E9C-101B-9397-08002B2CF9AE}" pid="3" name="MAIL_MSG_ID2">
    <vt:lpwstr>bZAr3zXkshjZdXt5s7fZ+CbAXPK1XWjsrn01cOvHfRhbLg/146YcL4FtlqF_x000d_ZEMmt9wsb1CxDiYwHteSqDx+qs+Ch5K95VZs+w==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