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A28E" w14:textId="77777777" w:rsidR="007D1B39" w:rsidRDefault="007D1B39" w:rsidP="00F61B2D">
      <w:pPr>
        <w:widowControl w:val="0"/>
        <w:autoSpaceDE w:val="0"/>
        <w:autoSpaceDN w:val="0"/>
        <w:spacing w:after="0" w:line="240" w:lineRule="auto"/>
        <w:ind w:left="225"/>
        <w:jc w:val="center"/>
        <w:outlineLvl w:val="0"/>
        <w:rPr>
          <w:rFonts w:ascii="Calibri" w:eastAsia="Calibri" w:hAnsi="Calibri" w:cs="Calibri"/>
          <w:spacing w:val="11"/>
          <w:sz w:val="50"/>
          <w:szCs w:val="50"/>
          <w:lang w:val="en-US"/>
        </w:rPr>
      </w:pPr>
    </w:p>
    <w:p w14:paraId="2BCA0E15" w14:textId="77777777" w:rsidR="007D1B39" w:rsidRPr="00876122" w:rsidRDefault="007D1B39" w:rsidP="00F61B2D">
      <w:pPr>
        <w:widowControl w:val="0"/>
        <w:autoSpaceDE w:val="0"/>
        <w:autoSpaceDN w:val="0"/>
        <w:spacing w:after="0" w:line="240" w:lineRule="auto"/>
        <w:ind w:left="225"/>
        <w:jc w:val="center"/>
        <w:outlineLvl w:val="0"/>
        <w:rPr>
          <w:rFonts w:ascii="Calibri" w:eastAsia="Calibri" w:hAnsi="Calibri" w:cs="Calibri"/>
          <w:b/>
          <w:spacing w:val="11"/>
          <w:sz w:val="50"/>
          <w:szCs w:val="50"/>
          <w:lang w:val="en-US"/>
        </w:rPr>
      </w:pPr>
    </w:p>
    <w:p w14:paraId="018B1612" w14:textId="406ACFDE" w:rsidR="007D1B39" w:rsidRPr="002A1068" w:rsidRDefault="00850BB5" w:rsidP="00F61B2D">
      <w:pPr>
        <w:spacing w:after="0" w:line="240" w:lineRule="auto"/>
        <w:jc w:val="center"/>
        <w:rPr>
          <w:b/>
          <w:sz w:val="50"/>
          <w:szCs w:val="50"/>
          <w:lang w:val="en-US"/>
        </w:rPr>
      </w:pPr>
      <w:r>
        <w:rPr>
          <w:b/>
          <w:spacing w:val="11"/>
          <w:sz w:val="50"/>
          <w:szCs w:val="50"/>
          <w:lang w:val="en-US"/>
        </w:rPr>
        <w:t>IN</w:t>
      </w:r>
      <w:r w:rsidR="004C43F9">
        <w:rPr>
          <w:b/>
          <w:spacing w:val="11"/>
          <w:sz w:val="50"/>
          <w:szCs w:val="50"/>
          <w:lang w:val="en-US"/>
        </w:rPr>
        <w:t xml:space="preserve">VITATION </w:t>
      </w:r>
      <w:r>
        <w:rPr>
          <w:b/>
          <w:spacing w:val="11"/>
          <w:sz w:val="50"/>
          <w:szCs w:val="50"/>
          <w:lang w:val="en-US"/>
        </w:rPr>
        <w:t>TO TENDER</w:t>
      </w:r>
      <w:r w:rsidR="007D1B39" w:rsidRPr="002A1068">
        <w:rPr>
          <w:b/>
          <w:sz w:val="50"/>
          <w:szCs w:val="50"/>
          <w:lang w:val="en-US"/>
        </w:rPr>
        <w:t xml:space="preserve"> (ITT)</w:t>
      </w:r>
    </w:p>
    <w:p w14:paraId="4FDA6D3B" w14:textId="77777777" w:rsidR="00CC25AA" w:rsidRPr="002A1068" w:rsidRDefault="00CC25AA" w:rsidP="00F61B2D">
      <w:pPr>
        <w:spacing w:after="0" w:line="240" w:lineRule="auto"/>
        <w:rPr>
          <w:b/>
          <w:sz w:val="50"/>
          <w:szCs w:val="50"/>
          <w:lang w:val="en-US"/>
        </w:rPr>
      </w:pPr>
    </w:p>
    <w:p w14:paraId="099D4F39" w14:textId="77777777" w:rsidR="007D1B39" w:rsidRPr="002A1068" w:rsidRDefault="007D1B39" w:rsidP="00F61B2D">
      <w:pPr>
        <w:spacing w:after="0" w:line="240" w:lineRule="auto"/>
        <w:jc w:val="center"/>
        <w:rPr>
          <w:b/>
          <w:spacing w:val="9"/>
          <w:sz w:val="50"/>
          <w:szCs w:val="50"/>
          <w:lang w:val="en-US"/>
        </w:rPr>
      </w:pPr>
      <w:r w:rsidRPr="002A1068">
        <w:rPr>
          <w:b/>
          <w:spacing w:val="9"/>
          <w:sz w:val="50"/>
          <w:szCs w:val="50"/>
          <w:lang w:val="en-US"/>
        </w:rPr>
        <w:t>FOR</w:t>
      </w:r>
    </w:p>
    <w:p w14:paraId="72F4F407" w14:textId="77777777" w:rsidR="007D1B39" w:rsidRDefault="007D1B39" w:rsidP="00F61B2D">
      <w:pPr>
        <w:widowControl w:val="0"/>
        <w:autoSpaceDE w:val="0"/>
        <w:autoSpaceDN w:val="0"/>
        <w:spacing w:after="0" w:line="240" w:lineRule="auto"/>
        <w:ind w:left="225"/>
        <w:jc w:val="center"/>
        <w:outlineLvl w:val="0"/>
        <w:rPr>
          <w:rFonts w:ascii="Calibri" w:eastAsia="Calibri" w:hAnsi="Calibri" w:cs="Calibri"/>
          <w:b/>
          <w:spacing w:val="9"/>
          <w:sz w:val="50"/>
          <w:szCs w:val="50"/>
          <w:lang w:val="en-US"/>
        </w:rPr>
      </w:pPr>
    </w:p>
    <w:p w14:paraId="3A42A4D5" w14:textId="6DB8C40F" w:rsidR="00CC25AA" w:rsidRPr="00876122" w:rsidRDefault="00CC25AA" w:rsidP="00F61B2D">
      <w:pPr>
        <w:widowControl w:val="0"/>
        <w:autoSpaceDE w:val="0"/>
        <w:autoSpaceDN w:val="0"/>
        <w:spacing w:after="0" w:line="240" w:lineRule="auto"/>
        <w:ind w:left="225"/>
        <w:jc w:val="center"/>
        <w:outlineLvl w:val="0"/>
        <w:rPr>
          <w:rFonts w:ascii="Calibri" w:eastAsia="Calibri" w:hAnsi="Calibri" w:cs="Calibri"/>
          <w:b/>
          <w:spacing w:val="9"/>
          <w:sz w:val="50"/>
          <w:szCs w:val="50"/>
          <w:lang w:val="en-US"/>
        </w:rPr>
      </w:pPr>
    </w:p>
    <w:p w14:paraId="29BA55A0" w14:textId="231283F3" w:rsidR="00866E86" w:rsidRPr="002A1068" w:rsidRDefault="007D1B39" w:rsidP="00F61B2D">
      <w:pPr>
        <w:spacing w:after="0" w:line="240" w:lineRule="auto"/>
        <w:jc w:val="center"/>
        <w:rPr>
          <w:b/>
          <w:sz w:val="50"/>
          <w:szCs w:val="50"/>
          <w:lang w:val="en-US"/>
        </w:rPr>
      </w:pPr>
      <w:r w:rsidRPr="002A1068">
        <w:rPr>
          <w:b/>
          <w:sz w:val="50"/>
          <w:szCs w:val="50"/>
          <w:lang w:val="en-US"/>
        </w:rPr>
        <w:t xml:space="preserve">THE PROVISION OF </w:t>
      </w:r>
      <w:r w:rsidR="007A09C4">
        <w:rPr>
          <w:b/>
          <w:sz w:val="50"/>
          <w:szCs w:val="50"/>
          <w:lang w:val="en-US"/>
        </w:rPr>
        <w:t xml:space="preserve">THE </w:t>
      </w:r>
      <w:bookmarkStart w:id="0" w:name="_Hlk110427308"/>
      <w:r w:rsidR="007A09C4">
        <w:rPr>
          <w:b/>
          <w:sz w:val="50"/>
          <w:szCs w:val="50"/>
          <w:lang w:val="en-US"/>
        </w:rPr>
        <w:t>NATIONAL</w:t>
      </w:r>
      <w:r w:rsidR="00924A19" w:rsidRPr="00924A19">
        <w:rPr>
          <w:b/>
          <w:sz w:val="50"/>
          <w:szCs w:val="50"/>
          <w:lang w:val="en-US"/>
        </w:rPr>
        <w:t xml:space="preserve"> RESPIRATORY AUDIT PROGRAMME (NRAP)</w:t>
      </w:r>
      <w:r w:rsidR="00924A19" w:rsidRPr="002A1068">
        <w:rPr>
          <w:b/>
          <w:sz w:val="50"/>
          <w:szCs w:val="50"/>
          <w:lang w:val="en-US"/>
        </w:rPr>
        <w:t xml:space="preserve"> </w:t>
      </w:r>
      <w:bookmarkEnd w:id="0"/>
    </w:p>
    <w:p w14:paraId="6C739139" w14:textId="750C842A" w:rsidR="00335D82" w:rsidRPr="00111765" w:rsidRDefault="00975082" w:rsidP="00111765">
      <w:pPr>
        <w:jc w:val="center"/>
        <w:rPr>
          <w:b/>
          <w:sz w:val="50"/>
          <w:szCs w:val="50"/>
          <w:lang w:val="en-US"/>
        </w:rPr>
      </w:pPr>
      <w:r>
        <w:rPr>
          <w:b/>
          <w:sz w:val="50"/>
          <w:szCs w:val="50"/>
          <w:lang w:val="en-US"/>
        </w:rPr>
        <w:t xml:space="preserve">HQIP </w:t>
      </w:r>
      <w:r w:rsidR="00E97EF0" w:rsidRPr="00111765">
        <w:rPr>
          <w:b/>
          <w:sz w:val="50"/>
          <w:szCs w:val="50"/>
          <w:lang w:val="en-US"/>
        </w:rPr>
        <w:t>NCA -</w:t>
      </w:r>
      <w:r w:rsidR="00924A19">
        <w:rPr>
          <w:b/>
          <w:sz w:val="50"/>
          <w:szCs w:val="50"/>
          <w:lang w:val="en-US"/>
        </w:rPr>
        <w:t xml:space="preserve"> 2145</w:t>
      </w:r>
    </w:p>
    <w:p w14:paraId="28971718" w14:textId="77777777" w:rsidR="00F82944" w:rsidRDefault="00F82944" w:rsidP="00F61B2D">
      <w:pPr>
        <w:widowControl w:val="0"/>
        <w:autoSpaceDE w:val="0"/>
        <w:autoSpaceDN w:val="0"/>
        <w:spacing w:after="0" w:line="240" w:lineRule="auto"/>
        <w:ind w:left="225" w:right="7309"/>
        <w:rPr>
          <w:rFonts w:ascii="Calibri" w:eastAsia="Calibri" w:hAnsi="Calibri" w:cs="Calibri"/>
          <w:b/>
          <w:sz w:val="16"/>
          <w:szCs w:val="16"/>
          <w:lang w:val="en-US"/>
        </w:rPr>
      </w:pPr>
    </w:p>
    <w:p w14:paraId="475DB009" w14:textId="77777777" w:rsidR="00CC25AA" w:rsidRPr="002A1068" w:rsidRDefault="00CC25AA" w:rsidP="00F61B2D">
      <w:pPr>
        <w:widowControl w:val="0"/>
        <w:autoSpaceDE w:val="0"/>
        <w:autoSpaceDN w:val="0"/>
        <w:spacing w:after="0" w:line="240" w:lineRule="auto"/>
        <w:ind w:left="225" w:right="7309"/>
        <w:rPr>
          <w:rFonts w:ascii="Calibri" w:eastAsia="Calibri" w:hAnsi="Calibri" w:cs="Calibri"/>
          <w:b/>
          <w:sz w:val="50"/>
          <w:szCs w:val="50"/>
          <w:lang w:val="en-US"/>
        </w:rPr>
      </w:pPr>
    </w:p>
    <w:p w14:paraId="0F8F8C3C" w14:textId="6E76888E" w:rsidR="005435E0" w:rsidRPr="002A1068" w:rsidRDefault="004C43F9" w:rsidP="00F61B2D">
      <w:pPr>
        <w:spacing w:after="0" w:line="240" w:lineRule="auto"/>
        <w:jc w:val="center"/>
        <w:rPr>
          <w:b/>
          <w:sz w:val="50"/>
          <w:szCs w:val="50"/>
          <w:lang w:val="en-US"/>
        </w:rPr>
      </w:pPr>
      <w:r>
        <w:rPr>
          <w:b/>
          <w:sz w:val="50"/>
          <w:szCs w:val="50"/>
          <w:lang w:val="en-US"/>
        </w:rPr>
        <w:t>INSTRUCTION TO BIDDERS</w:t>
      </w:r>
    </w:p>
    <w:p w14:paraId="11038795" w14:textId="77777777" w:rsidR="005435E0" w:rsidRPr="002A1068" w:rsidRDefault="005435E0" w:rsidP="00F61B2D">
      <w:pPr>
        <w:spacing w:after="0" w:line="240" w:lineRule="auto"/>
        <w:jc w:val="center"/>
        <w:rPr>
          <w:b/>
          <w:sz w:val="50"/>
          <w:szCs w:val="50"/>
          <w:lang w:val="en-US"/>
        </w:rPr>
      </w:pPr>
    </w:p>
    <w:p w14:paraId="4F7511EE" w14:textId="77777777" w:rsidR="005435E0" w:rsidRPr="002A1068" w:rsidRDefault="005435E0" w:rsidP="00F61B2D">
      <w:pPr>
        <w:spacing w:after="0" w:line="240" w:lineRule="auto"/>
        <w:jc w:val="center"/>
        <w:rPr>
          <w:b/>
          <w:sz w:val="50"/>
          <w:szCs w:val="50"/>
          <w:lang w:val="en-US"/>
        </w:rPr>
      </w:pPr>
      <w:r w:rsidRPr="002A1068">
        <w:rPr>
          <w:b/>
          <w:sz w:val="50"/>
          <w:szCs w:val="50"/>
          <w:lang w:val="en-US"/>
        </w:rPr>
        <w:t>Deadline for Tender Submission</w:t>
      </w:r>
      <w:r w:rsidR="007212B8" w:rsidRPr="002A1068">
        <w:rPr>
          <w:b/>
          <w:sz w:val="50"/>
          <w:szCs w:val="50"/>
          <w:lang w:val="en-US"/>
        </w:rPr>
        <w:t>:</w:t>
      </w:r>
    </w:p>
    <w:p w14:paraId="593DB725" w14:textId="77777777" w:rsidR="007212B8" w:rsidRPr="002A1068" w:rsidRDefault="007212B8" w:rsidP="00F61B2D">
      <w:pPr>
        <w:spacing w:after="0" w:line="240" w:lineRule="auto"/>
        <w:jc w:val="center"/>
        <w:rPr>
          <w:b/>
          <w:sz w:val="50"/>
          <w:szCs w:val="50"/>
          <w:lang w:val="en-US"/>
        </w:rPr>
      </w:pPr>
    </w:p>
    <w:p w14:paraId="2FA7DE8F" w14:textId="5F3AFD19" w:rsidR="007212B8" w:rsidRDefault="00321896" w:rsidP="00F61B2D">
      <w:pPr>
        <w:spacing w:after="0" w:line="240" w:lineRule="auto"/>
        <w:jc w:val="center"/>
        <w:rPr>
          <w:b/>
          <w:sz w:val="50"/>
          <w:szCs w:val="50"/>
          <w:lang w:val="en-US"/>
        </w:rPr>
      </w:pPr>
      <w:r w:rsidRPr="00552366">
        <w:rPr>
          <w:b/>
          <w:sz w:val="50"/>
          <w:szCs w:val="50"/>
          <w:lang w:val="en-US"/>
        </w:rPr>
        <w:t xml:space="preserve">12noon, </w:t>
      </w:r>
      <w:r w:rsidR="00924A19" w:rsidRPr="00924A19">
        <w:rPr>
          <w:b/>
          <w:sz w:val="50"/>
          <w:szCs w:val="50"/>
          <w:lang w:val="en-US"/>
        </w:rPr>
        <w:t>16 September 2022</w:t>
      </w:r>
    </w:p>
    <w:p w14:paraId="5561FD77" w14:textId="77777777" w:rsidR="00B13DD0" w:rsidRPr="002A1068" w:rsidRDefault="00B13DD0" w:rsidP="00F61B2D">
      <w:pPr>
        <w:spacing w:after="0" w:line="240" w:lineRule="auto"/>
        <w:jc w:val="center"/>
        <w:rPr>
          <w:b/>
          <w:sz w:val="50"/>
          <w:szCs w:val="50"/>
          <w:lang w:val="en-US"/>
        </w:rPr>
      </w:pPr>
    </w:p>
    <w:p w14:paraId="5611DECD" w14:textId="77777777" w:rsidR="002A1068" w:rsidRDefault="002A1068" w:rsidP="00F61B2D">
      <w:pPr>
        <w:pStyle w:val="Body"/>
        <w:spacing w:after="0"/>
        <w:rPr>
          <w:rFonts w:eastAsia="Times New Roman" w:cstheme="minorHAnsi"/>
          <w:color w:val="000000"/>
          <w:sz w:val="24"/>
          <w:szCs w:val="24"/>
        </w:rPr>
      </w:pPr>
    </w:p>
    <w:sdt>
      <w:sdtPr>
        <w:rPr>
          <w:rFonts w:asciiTheme="minorHAnsi" w:eastAsiaTheme="minorHAnsi" w:hAnsiTheme="minorHAnsi" w:cstheme="minorBidi"/>
          <w:color w:val="auto"/>
          <w:sz w:val="22"/>
          <w:szCs w:val="22"/>
          <w:lang w:val="en-GB"/>
        </w:rPr>
        <w:id w:val="1329632181"/>
        <w:docPartObj>
          <w:docPartGallery w:val="Table of Contents"/>
          <w:docPartUnique/>
        </w:docPartObj>
      </w:sdtPr>
      <w:sdtEndPr>
        <w:rPr>
          <w:b/>
          <w:bCs/>
          <w:noProof/>
        </w:rPr>
      </w:sdtEndPr>
      <w:sdtContent>
        <w:p w14:paraId="1DF5C1CA" w14:textId="77777777" w:rsidR="00111765" w:rsidRDefault="00111765" w:rsidP="003D6A3A">
          <w:pPr>
            <w:pStyle w:val="TOCHeading"/>
            <w:rPr>
              <w:rFonts w:eastAsiaTheme="minorHAnsi"/>
            </w:rPr>
          </w:pPr>
        </w:p>
        <w:p w14:paraId="534439F7" w14:textId="77777777" w:rsidR="00111765" w:rsidRDefault="00111765">
          <w:r>
            <w:br w:type="page"/>
          </w:r>
        </w:p>
        <w:p w14:paraId="069D49EC" w14:textId="719158D3" w:rsidR="00C65091" w:rsidRDefault="00C65091" w:rsidP="003D6A3A">
          <w:pPr>
            <w:pStyle w:val="TOCHeading"/>
          </w:pPr>
          <w:r w:rsidRPr="00F35D7A">
            <w:lastRenderedPageBreak/>
            <w:t>Contents</w:t>
          </w:r>
        </w:p>
        <w:p w14:paraId="70097D9A" w14:textId="77777777" w:rsidR="00F276ED" w:rsidRPr="00F276ED" w:rsidRDefault="00F276ED" w:rsidP="00F276ED">
          <w:pPr>
            <w:rPr>
              <w:lang w:val="en-US"/>
            </w:rPr>
          </w:pPr>
        </w:p>
        <w:p w14:paraId="226DCDD2" w14:textId="329193EB" w:rsidR="001E3842" w:rsidRDefault="00C65091">
          <w:pPr>
            <w:pStyle w:val="TOC1"/>
            <w:rPr>
              <w:rFonts w:asciiTheme="minorHAnsi" w:eastAsiaTheme="minorEastAsia" w:hAnsiTheme="minorHAnsi" w:cstheme="minorBidi"/>
              <w:noProof/>
              <w:szCs w:val="22"/>
              <w:lang w:bidi="ar-SA"/>
            </w:rPr>
          </w:pPr>
          <w:r>
            <w:fldChar w:fldCharType="begin"/>
          </w:r>
          <w:r>
            <w:instrText xml:space="preserve"> TOC \o "1-3" \h \z \u </w:instrText>
          </w:r>
          <w:r>
            <w:fldChar w:fldCharType="separate"/>
          </w:r>
          <w:hyperlink w:anchor="_Toc110425055" w:history="1">
            <w:r w:rsidR="001E3842" w:rsidRPr="004E6BFC">
              <w:rPr>
                <w:rStyle w:val="Hyperlink"/>
                <w:noProof/>
              </w:rPr>
              <w:t>1. INTRODUCTION AND BACKGROUND</w:t>
            </w:r>
            <w:r w:rsidR="001E3842">
              <w:rPr>
                <w:noProof/>
                <w:webHidden/>
              </w:rPr>
              <w:tab/>
            </w:r>
            <w:r w:rsidR="001E3842">
              <w:rPr>
                <w:noProof/>
                <w:webHidden/>
              </w:rPr>
              <w:fldChar w:fldCharType="begin"/>
            </w:r>
            <w:r w:rsidR="001E3842">
              <w:rPr>
                <w:noProof/>
                <w:webHidden/>
              </w:rPr>
              <w:instrText xml:space="preserve"> PAGEREF _Toc110425055 \h </w:instrText>
            </w:r>
            <w:r w:rsidR="001E3842">
              <w:rPr>
                <w:noProof/>
                <w:webHidden/>
              </w:rPr>
            </w:r>
            <w:r w:rsidR="001E3842">
              <w:rPr>
                <w:noProof/>
                <w:webHidden/>
              </w:rPr>
              <w:fldChar w:fldCharType="separate"/>
            </w:r>
            <w:r w:rsidR="001E3842">
              <w:rPr>
                <w:noProof/>
                <w:webHidden/>
              </w:rPr>
              <w:t>5</w:t>
            </w:r>
            <w:r w:rsidR="001E3842">
              <w:rPr>
                <w:noProof/>
                <w:webHidden/>
              </w:rPr>
              <w:fldChar w:fldCharType="end"/>
            </w:r>
          </w:hyperlink>
        </w:p>
        <w:p w14:paraId="697DB672" w14:textId="505D0345" w:rsidR="001E3842" w:rsidRDefault="001E3842">
          <w:pPr>
            <w:pStyle w:val="TOC2"/>
            <w:rPr>
              <w:rFonts w:asciiTheme="minorHAnsi" w:eastAsiaTheme="minorEastAsia" w:hAnsiTheme="minorHAnsi" w:cstheme="minorBidi"/>
              <w:noProof/>
              <w:szCs w:val="22"/>
              <w:lang w:bidi="ar-SA"/>
            </w:rPr>
          </w:pPr>
          <w:hyperlink w:anchor="_Toc110425056" w:history="1">
            <w:r w:rsidRPr="004E6BFC">
              <w:rPr>
                <w:rStyle w:val="Hyperlink"/>
                <w:rFonts w:eastAsia="Calibri"/>
                <w:noProof/>
              </w:rPr>
              <w:t>1.1 Introduction and context to the procurement</w:t>
            </w:r>
            <w:r>
              <w:rPr>
                <w:noProof/>
                <w:webHidden/>
              </w:rPr>
              <w:tab/>
            </w:r>
            <w:r>
              <w:rPr>
                <w:noProof/>
                <w:webHidden/>
              </w:rPr>
              <w:fldChar w:fldCharType="begin"/>
            </w:r>
            <w:r>
              <w:rPr>
                <w:noProof/>
                <w:webHidden/>
              </w:rPr>
              <w:instrText xml:space="preserve"> PAGEREF _Toc110425056 \h </w:instrText>
            </w:r>
            <w:r>
              <w:rPr>
                <w:noProof/>
                <w:webHidden/>
              </w:rPr>
            </w:r>
            <w:r>
              <w:rPr>
                <w:noProof/>
                <w:webHidden/>
              </w:rPr>
              <w:fldChar w:fldCharType="separate"/>
            </w:r>
            <w:r>
              <w:rPr>
                <w:noProof/>
                <w:webHidden/>
              </w:rPr>
              <w:t>5</w:t>
            </w:r>
            <w:r>
              <w:rPr>
                <w:noProof/>
                <w:webHidden/>
              </w:rPr>
              <w:fldChar w:fldCharType="end"/>
            </w:r>
          </w:hyperlink>
        </w:p>
        <w:p w14:paraId="16CD265B" w14:textId="090F5FD6" w:rsidR="001E3842" w:rsidRDefault="001E3842">
          <w:pPr>
            <w:pStyle w:val="TOC2"/>
            <w:rPr>
              <w:rFonts w:asciiTheme="minorHAnsi" w:eastAsiaTheme="minorEastAsia" w:hAnsiTheme="minorHAnsi" w:cstheme="minorBidi"/>
              <w:noProof/>
              <w:szCs w:val="22"/>
              <w:lang w:bidi="ar-SA"/>
            </w:rPr>
          </w:pPr>
          <w:hyperlink w:anchor="_Toc110425057" w:history="1">
            <w:r w:rsidRPr="004E6BFC">
              <w:rPr>
                <w:rStyle w:val="Hyperlink"/>
                <w:noProof/>
              </w:rPr>
              <w:t>1.2 Rules that apply to this procurement</w:t>
            </w:r>
            <w:r>
              <w:rPr>
                <w:noProof/>
                <w:webHidden/>
              </w:rPr>
              <w:tab/>
            </w:r>
            <w:r>
              <w:rPr>
                <w:noProof/>
                <w:webHidden/>
              </w:rPr>
              <w:fldChar w:fldCharType="begin"/>
            </w:r>
            <w:r>
              <w:rPr>
                <w:noProof/>
                <w:webHidden/>
              </w:rPr>
              <w:instrText xml:space="preserve"> PAGEREF _Toc110425057 \h </w:instrText>
            </w:r>
            <w:r>
              <w:rPr>
                <w:noProof/>
                <w:webHidden/>
              </w:rPr>
            </w:r>
            <w:r>
              <w:rPr>
                <w:noProof/>
                <w:webHidden/>
              </w:rPr>
              <w:fldChar w:fldCharType="separate"/>
            </w:r>
            <w:r>
              <w:rPr>
                <w:noProof/>
                <w:webHidden/>
              </w:rPr>
              <w:t>5</w:t>
            </w:r>
            <w:r>
              <w:rPr>
                <w:noProof/>
                <w:webHidden/>
              </w:rPr>
              <w:fldChar w:fldCharType="end"/>
            </w:r>
          </w:hyperlink>
        </w:p>
        <w:p w14:paraId="57453CF6" w14:textId="756DB984" w:rsidR="001E3842" w:rsidRDefault="001E3842">
          <w:pPr>
            <w:pStyle w:val="TOC2"/>
            <w:rPr>
              <w:rFonts w:asciiTheme="minorHAnsi" w:eastAsiaTheme="minorEastAsia" w:hAnsiTheme="minorHAnsi" w:cstheme="minorBidi"/>
              <w:noProof/>
              <w:szCs w:val="22"/>
              <w:lang w:bidi="ar-SA"/>
            </w:rPr>
          </w:pPr>
          <w:hyperlink w:anchor="_Toc110425058" w:history="1">
            <w:r w:rsidRPr="004E6BFC">
              <w:rPr>
                <w:rStyle w:val="Hyperlink"/>
                <w:noProof/>
              </w:rPr>
              <w:t>1.3 Small and medium-sized enterprises</w:t>
            </w:r>
            <w:r>
              <w:rPr>
                <w:noProof/>
                <w:webHidden/>
              </w:rPr>
              <w:tab/>
            </w:r>
            <w:r>
              <w:rPr>
                <w:noProof/>
                <w:webHidden/>
              </w:rPr>
              <w:fldChar w:fldCharType="begin"/>
            </w:r>
            <w:r>
              <w:rPr>
                <w:noProof/>
                <w:webHidden/>
              </w:rPr>
              <w:instrText xml:space="preserve"> PAGEREF _Toc110425058 \h </w:instrText>
            </w:r>
            <w:r>
              <w:rPr>
                <w:noProof/>
                <w:webHidden/>
              </w:rPr>
            </w:r>
            <w:r>
              <w:rPr>
                <w:noProof/>
                <w:webHidden/>
              </w:rPr>
              <w:fldChar w:fldCharType="separate"/>
            </w:r>
            <w:r>
              <w:rPr>
                <w:noProof/>
                <w:webHidden/>
              </w:rPr>
              <w:t>5</w:t>
            </w:r>
            <w:r>
              <w:rPr>
                <w:noProof/>
                <w:webHidden/>
              </w:rPr>
              <w:fldChar w:fldCharType="end"/>
            </w:r>
          </w:hyperlink>
        </w:p>
        <w:p w14:paraId="16408349" w14:textId="3F86A4E0" w:rsidR="001E3842" w:rsidRDefault="001E3842">
          <w:pPr>
            <w:pStyle w:val="TOC2"/>
            <w:rPr>
              <w:rFonts w:asciiTheme="minorHAnsi" w:eastAsiaTheme="minorEastAsia" w:hAnsiTheme="minorHAnsi" w:cstheme="minorBidi"/>
              <w:noProof/>
              <w:szCs w:val="22"/>
              <w:lang w:bidi="ar-SA"/>
            </w:rPr>
          </w:pPr>
          <w:hyperlink w:anchor="_Toc110425059" w:history="1">
            <w:r w:rsidRPr="004E6BFC">
              <w:rPr>
                <w:rStyle w:val="Hyperlink"/>
                <w:noProof/>
              </w:rPr>
              <w:t>1.4 Purpose and structure of this ITT</w:t>
            </w:r>
            <w:r>
              <w:rPr>
                <w:noProof/>
                <w:webHidden/>
              </w:rPr>
              <w:tab/>
            </w:r>
            <w:r>
              <w:rPr>
                <w:noProof/>
                <w:webHidden/>
              </w:rPr>
              <w:fldChar w:fldCharType="begin"/>
            </w:r>
            <w:r>
              <w:rPr>
                <w:noProof/>
                <w:webHidden/>
              </w:rPr>
              <w:instrText xml:space="preserve"> PAGEREF _Toc110425059 \h </w:instrText>
            </w:r>
            <w:r>
              <w:rPr>
                <w:noProof/>
                <w:webHidden/>
              </w:rPr>
            </w:r>
            <w:r>
              <w:rPr>
                <w:noProof/>
                <w:webHidden/>
              </w:rPr>
              <w:fldChar w:fldCharType="separate"/>
            </w:r>
            <w:r>
              <w:rPr>
                <w:noProof/>
                <w:webHidden/>
              </w:rPr>
              <w:t>5</w:t>
            </w:r>
            <w:r>
              <w:rPr>
                <w:noProof/>
                <w:webHidden/>
              </w:rPr>
              <w:fldChar w:fldCharType="end"/>
            </w:r>
          </w:hyperlink>
        </w:p>
        <w:p w14:paraId="43F939CC" w14:textId="55D46A61" w:rsidR="001E3842" w:rsidRDefault="001E3842">
          <w:pPr>
            <w:pStyle w:val="TOC2"/>
            <w:rPr>
              <w:rFonts w:asciiTheme="minorHAnsi" w:eastAsiaTheme="minorEastAsia" w:hAnsiTheme="minorHAnsi" w:cstheme="minorBidi"/>
              <w:noProof/>
              <w:szCs w:val="22"/>
              <w:lang w:bidi="ar-SA"/>
            </w:rPr>
          </w:pPr>
          <w:hyperlink w:anchor="_Toc110425060" w:history="1">
            <w:r w:rsidRPr="004E6BFC">
              <w:rPr>
                <w:rStyle w:val="Hyperlink"/>
                <w:noProof/>
              </w:rPr>
              <w:t>1.5 Definitions</w:t>
            </w:r>
            <w:r>
              <w:rPr>
                <w:noProof/>
                <w:webHidden/>
              </w:rPr>
              <w:tab/>
            </w:r>
            <w:r>
              <w:rPr>
                <w:noProof/>
                <w:webHidden/>
              </w:rPr>
              <w:fldChar w:fldCharType="begin"/>
            </w:r>
            <w:r>
              <w:rPr>
                <w:noProof/>
                <w:webHidden/>
              </w:rPr>
              <w:instrText xml:space="preserve"> PAGEREF _Toc110425060 \h </w:instrText>
            </w:r>
            <w:r>
              <w:rPr>
                <w:noProof/>
                <w:webHidden/>
              </w:rPr>
            </w:r>
            <w:r>
              <w:rPr>
                <w:noProof/>
                <w:webHidden/>
              </w:rPr>
              <w:fldChar w:fldCharType="separate"/>
            </w:r>
            <w:r>
              <w:rPr>
                <w:noProof/>
                <w:webHidden/>
              </w:rPr>
              <w:t>5</w:t>
            </w:r>
            <w:r>
              <w:rPr>
                <w:noProof/>
                <w:webHidden/>
              </w:rPr>
              <w:fldChar w:fldCharType="end"/>
            </w:r>
          </w:hyperlink>
        </w:p>
        <w:p w14:paraId="4B2B1C61" w14:textId="6FEBE79C" w:rsidR="001E3842" w:rsidRDefault="001E3842">
          <w:pPr>
            <w:pStyle w:val="TOC1"/>
            <w:rPr>
              <w:rFonts w:asciiTheme="minorHAnsi" w:eastAsiaTheme="minorEastAsia" w:hAnsiTheme="minorHAnsi" w:cstheme="minorBidi"/>
              <w:noProof/>
              <w:szCs w:val="22"/>
              <w:lang w:bidi="ar-SA"/>
            </w:rPr>
          </w:pPr>
          <w:hyperlink w:anchor="_Toc110425061" w:history="1">
            <w:r w:rsidRPr="004E6BFC">
              <w:rPr>
                <w:rStyle w:val="Hyperlink"/>
                <w:rFonts w:eastAsia="Calibri"/>
                <w:noProof/>
                <w:spacing w:val="11"/>
                <w:w w:val="105"/>
                <w:lang w:val="en-US"/>
              </w:rPr>
              <w:t>2. TENDER</w:t>
            </w:r>
            <w:r w:rsidRPr="004E6BFC">
              <w:rPr>
                <w:rStyle w:val="Hyperlink"/>
                <w:rFonts w:eastAsia="Calibri"/>
                <w:noProof/>
                <w:spacing w:val="-48"/>
                <w:w w:val="105"/>
                <w:lang w:val="en-US"/>
              </w:rPr>
              <w:t xml:space="preserve"> </w:t>
            </w:r>
            <w:r w:rsidRPr="004E6BFC">
              <w:rPr>
                <w:rStyle w:val="Hyperlink"/>
                <w:rFonts w:eastAsia="Calibri"/>
                <w:noProof/>
                <w:w w:val="105"/>
                <w:lang w:val="en-US"/>
              </w:rPr>
              <w:t>TIMETABLE</w:t>
            </w:r>
            <w:r>
              <w:rPr>
                <w:noProof/>
                <w:webHidden/>
              </w:rPr>
              <w:tab/>
            </w:r>
            <w:r>
              <w:rPr>
                <w:noProof/>
                <w:webHidden/>
              </w:rPr>
              <w:fldChar w:fldCharType="begin"/>
            </w:r>
            <w:r>
              <w:rPr>
                <w:noProof/>
                <w:webHidden/>
              </w:rPr>
              <w:instrText xml:space="preserve"> PAGEREF _Toc110425061 \h </w:instrText>
            </w:r>
            <w:r>
              <w:rPr>
                <w:noProof/>
                <w:webHidden/>
              </w:rPr>
            </w:r>
            <w:r>
              <w:rPr>
                <w:noProof/>
                <w:webHidden/>
              </w:rPr>
              <w:fldChar w:fldCharType="separate"/>
            </w:r>
            <w:r>
              <w:rPr>
                <w:noProof/>
                <w:webHidden/>
              </w:rPr>
              <w:t>6</w:t>
            </w:r>
            <w:r>
              <w:rPr>
                <w:noProof/>
                <w:webHidden/>
              </w:rPr>
              <w:fldChar w:fldCharType="end"/>
            </w:r>
          </w:hyperlink>
        </w:p>
        <w:p w14:paraId="4FEC83D6" w14:textId="5856B0C6" w:rsidR="001E3842" w:rsidRDefault="001E3842">
          <w:pPr>
            <w:pStyle w:val="TOC2"/>
            <w:rPr>
              <w:rFonts w:asciiTheme="minorHAnsi" w:eastAsiaTheme="minorEastAsia" w:hAnsiTheme="minorHAnsi" w:cstheme="minorBidi"/>
              <w:noProof/>
              <w:szCs w:val="22"/>
              <w:lang w:bidi="ar-SA"/>
            </w:rPr>
          </w:pPr>
          <w:hyperlink w:anchor="_Toc110425062" w:history="1">
            <w:r w:rsidRPr="004E6BFC">
              <w:rPr>
                <w:rStyle w:val="Hyperlink"/>
                <w:noProof/>
              </w:rPr>
              <w:t>2.1 Key dates</w:t>
            </w:r>
            <w:r>
              <w:rPr>
                <w:noProof/>
                <w:webHidden/>
              </w:rPr>
              <w:tab/>
            </w:r>
            <w:r>
              <w:rPr>
                <w:noProof/>
                <w:webHidden/>
              </w:rPr>
              <w:fldChar w:fldCharType="begin"/>
            </w:r>
            <w:r>
              <w:rPr>
                <w:noProof/>
                <w:webHidden/>
              </w:rPr>
              <w:instrText xml:space="preserve"> PAGEREF _Toc110425062 \h </w:instrText>
            </w:r>
            <w:r>
              <w:rPr>
                <w:noProof/>
                <w:webHidden/>
              </w:rPr>
            </w:r>
            <w:r>
              <w:rPr>
                <w:noProof/>
                <w:webHidden/>
              </w:rPr>
              <w:fldChar w:fldCharType="separate"/>
            </w:r>
            <w:r>
              <w:rPr>
                <w:noProof/>
                <w:webHidden/>
              </w:rPr>
              <w:t>6</w:t>
            </w:r>
            <w:r>
              <w:rPr>
                <w:noProof/>
                <w:webHidden/>
              </w:rPr>
              <w:fldChar w:fldCharType="end"/>
            </w:r>
          </w:hyperlink>
        </w:p>
        <w:p w14:paraId="3F8A9756" w14:textId="4E6D26B8" w:rsidR="001E3842" w:rsidRDefault="001E3842">
          <w:pPr>
            <w:pStyle w:val="TOC2"/>
            <w:rPr>
              <w:rFonts w:asciiTheme="minorHAnsi" w:eastAsiaTheme="minorEastAsia" w:hAnsiTheme="minorHAnsi" w:cstheme="minorBidi"/>
              <w:noProof/>
              <w:szCs w:val="22"/>
              <w:lang w:bidi="ar-SA"/>
            </w:rPr>
          </w:pPr>
          <w:hyperlink w:anchor="_Toc110425063" w:history="1">
            <w:r w:rsidRPr="004E6BFC">
              <w:rPr>
                <w:rStyle w:val="Hyperlink"/>
                <w:rFonts w:eastAsia="Arial Narrow"/>
                <w:noProof/>
                <w:w w:val="105"/>
                <w:lang w:val="en-US"/>
              </w:rPr>
              <w:t xml:space="preserve">2.2 Deadline for receipt </w:t>
            </w:r>
            <w:r w:rsidRPr="004E6BFC">
              <w:rPr>
                <w:rStyle w:val="Hyperlink"/>
                <w:rFonts w:eastAsia="Arial Narrow"/>
                <w:noProof/>
                <w:spacing w:val="6"/>
                <w:w w:val="105"/>
                <w:lang w:val="en-US"/>
              </w:rPr>
              <w:t xml:space="preserve">of </w:t>
            </w:r>
            <w:r w:rsidRPr="004E6BFC">
              <w:rPr>
                <w:rStyle w:val="Hyperlink"/>
                <w:rFonts w:eastAsia="Arial Narrow"/>
                <w:noProof/>
                <w:spacing w:val="13"/>
                <w:w w:val="105"/>
                <w:lang w:val="en-US"/>
              </w:rPr>
              <w:t>Tenders</w:t>
            </w:r>
            <w:r>
              <w:rPr>
                <w:noProof/>
                <w:webHidden/>
              </w:rPr>
              <w:tab/>
            </w:r>
            <w:r>
              <w:rPr>
                <w:noProof/>
                <w:webHidden/>
              </w:rPr>
              <w:fldChar w:fldCharType="begin"/>
            </w:r>
            <w:r>
              <w:rPr>
                <w:noProof/>
                <w:webHidden/>
              </w:rPr>
              <w:instrText xml:space="preserve"> PAGEREF _Toc110425063 \h </w:instrText>
            </w:r>
            <w:r>
              <w:rPr>
                <w:noProof/>
                <w:webHidden/>
              </w:rPr>
            </w:r>
            <w:r>
              <w:rPr>
                <w:noProof/>
                <w:webHidden/>
              </w:rPr>
              <w:fldChar w:fldCharType="separate"/>
            </w:r>
            <w:r>
              <w:rPr>
                <w:noProof/>
                <w:webHidden/>
              </w:rPr>
              <w:t>6</w:t>
            </w:r>
            <w:r>
              <w:rPr>
                <w:noProof/>
                <w:webHidden/>
              </w:rPr>
              <w:fldChar w:fldCharType="end"/>
            </w:r>
          </w:hyperlink>
        </w:p>
        <w:p w14:paraId="42DC9BFA" w14:textId="59A31302" w:rsidR="001E3842" w:rsidRDefault="001E3842">
          <w:pPr>
            <w:pStyle w:val="TOC2"/>
            <w:rPr>
              <w:rFonts w:asciiTheme="minorHAnsi" w:eastAsiaTheme="minorEastAsia" w:hAnsiTheme="minorHAnsi" w:cstheme="minorBidi"/>
              <w:noProof/>
              <w:szCs w:val="22"/>
              <w:lang w:bidi="ar-SA"/>
            </w:rPr>
          </w:pPr>
          <w:hyperlink w:anchor="_Toc110425064" w:history="1">
            <w:r w:rsidRPr="004E6BFC">
              <w:rPr>
                <w:rStyle w:val="Hyperlink"/>
                <w:noProof/>
              </w:rPr>
              <w:t>2.3 Contract award</w:t>
            </w:r>
            <w:r>
              <w:rPr>
                <w:noProof/>
                <w:webHidden/>
              </w:rPr>
              <w:tab/>
            </w:r>
            <w:r>
              <w:rPr>
                <w:noProof/>
                <w:webHidden/>
              </w:rPr>
              <w:fldChar w:fldCharType="begin"/>
            </w:r>
            <w:r>
              <w:rPr>
                <w:noProof/>
                <w:webHidden/>
              </w:rPr>
              <w:instrText xml:space="preserve"> PAGEREF _Toc110425064 \h </w:instrText>
            </w:r>
            <w:r>
              <w:rPr>
                <w:noProof/>
                <w:webHidden/>
              </w:rPr>
            </w:r>
            <w:r>
              <w:rPr>
                <w:noProof/>
                <w:webHidden/>
              </w:rPr>
              <w:fldChar w:fldCharType="separate"/>
            </w:r>
            <w:r>
              <w:rPr>
                <w:noProof/>
                <w:webHidden/>
              </w:rPr>
              <w:t>6</w:t>
            </w:r>
            <w:r>
              <w:rPr>
                <w:noProof/>
                <w:webHidden/>
              </w:rPr>
              <w:fldChar w:fldCharType="end"/>
            </w:r>
          </w:hyperlink>
        </w:p>
        <w:p w14:paraId="2458A894" w14:textId="7DE52681" w:rsidR="001E3842" w:rsidRDefault="001E3842">
          <w:pPr>
            <w:pStyle w:val="TOC1"/>
            <w:rPr>
              <w:rFonts w:asciiTheme="minorHAnsi" w:eastAsiaTheme="minorEastAsia" w:hAnsiTheme="minorHAnsi" w:cstheme="minorBidi"/>
              <w:noProof/>
              <w:szCs w:val="22"/>
              <w:lang w:bidi="ar-SA"/>
            </w:rPr>
          </w:pPr>
          <w:hyperlink w:anchor="_Toc110425065" w:history="1">
            <w:r w:rsidRPr="004E6BFC">
              <w:rPr>
                <w:rStyle w:val="Hyperlink"/>
                <w:noProof/>
              </w:rPr>
              <w:t>3. CONTRACT AND SPECIFICATION</w:t>
            </w:r>
            <w:r>
              <w:rPr>
                <w:noProof/>
                <w:webHidden/>
              </w:rPr>
              <w:tab/>
            </w:r>
            <w:r>
              <w:rPr>
                <w:noProof/>
                <w:webHidden/>
              </w:rPr>
              <w:fldChar w:fldCharType="begin"/>
            </w:r>
            <w:r>
              <w:rPr>
                <w:noProof/>
                <w:webHidden/>
              </w:rPr>
              <w:instrText xml:space="preserve"> PAGEREF _Toc110425065 \h </w:instrText>
            </w:r>
            <w:r>
              <w:rPr>
                <w:noProof/>
                <w:webHidden/>
              </w:rPr>
            </w:r>
            <w:r>
              <w:rPr>
                <w:noProof/>
                <w:webHidden/>
              </w:rPr>
              <w:fldChar w:fldCharType="separate"/>
            </w:r>
            <w:r>
              <w:rPr>
                <w:noProof/>
                <w:webHidden/>
              </w:rPr>
              <w:t>6</w:t>
            </w:r>
            <w:r>
              <w:rPr>
                <w:noProof/>
                <w:webHidden/>
              </w:rPr>
              <w:fldChar w:fldCharType="end"/>
            </w:r>
          </w:hyperlink>
        </w:p>
        <w:p w14:paraId="7847F8AC" w14:textId="5B72B1D1" w:rsidR="001E3842" w:rsidRDefault="001E3842">
          <w:pPr>
            <w:pStyle w:val="TOC2"/>
            <w:rPr>
              <w:rFonts w:asciiTheme="minorHAnsi" w:eastAsiaTheme="minorEastAsia" w:hAnsiTheme="minorHAnsi" w:cstheme="minorBidi"/>
              <w:noProof/>
              <w:szCs w:val="22"/>
              <w:lang w:bidi="ar-SA"/>
            </w:rPr>
          </w:pPr>
          <w:hyperlink w:anchor="_Toc110425066" w:history="1">
            <w:r w:rsidRPr="004E6BFC">
              <w:rPr>
                <w:rStyle w:val="Hyperlink"/>
                <w:noProof/>
              </w:rPr>
              <w:t>3.1 Contract</w:t>
            </w:r>
            <w:r>
              <w:rPr>
                <w:noProof/>
                <w:webHidden/>
              </w:rPr>
              <w:tab/>
            </w:r>
            <w:r>
              <w:rPr>
                <w:noProof/>
                <w:webHidden/>
              </w:rPr>
              <w:fldChar w:fldCharType="begin"/>
            </w:r>
            <w:r>
              <w:rPr>
                <w:noProof/>
                <w:webHidden/>
              </w:rPr>
              <w:instrText xml:space="preserve"> PAGEREF _Toc110425066 \h </w:instrText>
            </w:r>
            <w:r>
              <w:rPr>
                <w:noProof/>
                <w:webHidden/>
              </w:rPr>
            </w:r>
            <w:r>
              <w:rPr>
                <w:noProof/>
                <w:webHidden/>
              </w:rPr>
              <w:fldChar w:fldCharType="separate"/>
            </w:r>
            <w:r>
              <w:rPr>
                <w:noProof/>
                <w:webHidden/>
              </w:rPr>
              <w:t>6</w:t>
            </w:r>
            <w:r>
              <w:rPr>
                <w:noProof/>
                <w:webHidden/>
              </w:rPr>
              <w:fldChar w:fldCharType="end"/>
            </w:r>
          </w:hyperlink>
        </w:p>
        <w:p w14:paraId="7C1BE68D" w14:textId="14B03DD8" w:rsidR="001E3842" w:rsidRDefault="001E3842">
          <w:pPr>
            <w:pStyle w:val="TOC2"/>
            <w:rPr>
              <w:rFonts w:asciiTheme="minorHAnsi" w:eastAsiaTheme="minorEastAsia" w:hAnsiTheme="minorHAnsi" w:cstheme="minorBidi"/>
              <w:noProof/>
              <w:szCs w:val="22"/>
              <w:lang w:bidi="ar-SA"/>
            </w:rPr>
          </w:pPr>
          <w:hyperlink w:anchor="_Toc110425067" w:history="1">
            <w:r w:rsidRPr="004E6BFC">
              <w:rPr>
                <w:rStyle w:val="Hyperlink"/>
                <w:noProof/>
              </w:rPr>
              <w:t>3.2 Specification</w:t>
            </w:r>
            <w:r>
              <w:rPr>
                <w:noProof/>
                <w:webHidden/>
              </w:rPr>
              <w:tab/>
            </w:r>
            <w:r>
              <w:rPr>
                <w:noProof/>
                <w:webHidden/>
              </w:rPr>
              <w:fldChar w:fldCharType="begin"/>
            </w:r>
            <w:r>
              <w:rPr>
                <w:noProof/>
                <w:webHidden/>
              </w:rPr>
              <w:instrText xml:space="preserve"> PAGEREF _Toc110425067 \h </w:instrText>
            </w:r>
            <w:r>
              <w:rPr>
                <w:noProof/>
                <w:webHidden/>
              </w:rPr>
            </w:r>
            <w:r>
              <w:rPr>
                <w:noProof/>
                <w:webHidden/>
              </w:rPr>
              <w:fldChar w:fldCharType="separate"/>
            </w:r>
            <w:r>
              <w:rPr>
                <w:noProof/>
                <w:webHidden/>
              </w:rPr>
              <w:t>6</w:t>
            </w:r>
            <w:r>
              <w:rPr>
                <w:noProof/>
                <w:webHidden/>
              </w:rPr>
              <w:fldChar w:fldCharType="end"/>
            </w:r>
          </w:hyperlink>
        </w:p>
        <w:p w14:paraId="5568AA07" w14:textId="3106E0B5" w:rsidR="001E3842" w:rsidRDefault="001E3842">
          <w:pPr>
            <w:pStyle w:val="TOC2"/>
            <w:rPr>
              <w:rFonts w:asciiTheme="minorHAnsi" w:eastAsiaTheme="minorEastAsia" w:hAnsiTheme="minorHAnsi" w:cstheme="minorBidi"/>
              <w:noProof/>
              <w:szCs w:val="22"/>
              <w:lang w:bidi="ar-SA"/>
            </w:rPr>
          </w:pPr>
          <w:hyperlink w:anchor="_Toc110425068" w:history="1">
            <w:r w:rsidRPr="004E6BFC">
              <w:rPr>
                <w:rStyle w:val="Hyperlink"/>
                <w:noProof/>
              </w:rPr>
              <w:t>3.3 Contract value and duration</w:t>
            </w:r>
            <w:r>
              <w:rPr>
                <w:noProof/>
                <w:webHidden/>
              </w:rPr>
              <w:tab/>
            </w:r>
            <w:r>
              <w:rPr>
                <w:noProof/>
                <w:webHidden/>
              </w:rPr>
              <w:fldChar w:fldCharType="begin"/>
            </w:r>
            <w:r>
              <w:rPr>
                <w:noProof/>
                <w:webHidden/>
              </w:rPr>
              <w:instrText xml:space="preserve"> PAGEREF _Toc110425068 \h </w:instrText>
            </w:r>
            <w:r>
              <w:rPr>
                <w:noProof/>
                <w:webHidden/>
              </w:rPr>
            </w:r>
            <w:r>
              <w:rPr>
                <w:noProof/>
                <w:webHidden/>
              </w:rPr>
              <w:fldChar w:fldCharType="separate"/>
            </w:r>
            <w:r>
              <w:rPr>
                <w:noProof/>
                <w:webHidden/>
              </w:rPr>
              <w:t>7</w:t>
            </w:r>
            <w:r>
              <w:rPr>
                <w:noProof/>
                <w:webHidden/>
              </w:rPr>
              <w:fldChar w:fldCharType="end"/>
            </w:r>
          </w:hyperlink>
        </w:p>
        <w:p w14:paraId="2B4FC3A8" w14:textId="287B8F94" w:rsidR="001E3842" w:rsidRDefault="001E3842">
          <w:pPr>
            <w:pStyle w:val="TOC2"/>
            <w:rPr>
              <w:rFonts w:asciiTheme="minorHAnsi" w:eastAsiaTheme="minorEastAsia" w:hAnsiTheme="minorHAnsi" w:cstheme="minorBidi"/>
              <w:noProof/>
              <w:szCs w:val="22"/>
              <w:lang w:bidi="ar-SA"/>
            </w:rPr>
          </w:pPr>
          <w:hyperlink w:anchor="_Toc110425069" w:history="1">
            <w:r w:rsidRPr="004E6BFC">
              <w:rPr>
                <w:rStyle w:val="Hyperlink"/>
                <w:rFonts w:eastAsia="Times New Roman"/>
                <w:noProof/>
              </w:rPr>
              <w:t>3.4 Potential future aspirational intent</w:t>
            </w:r>
            <w:r>
              <w:rPr>
                <w:noProof/>
                <w:webHidden/>
              </w:rPr>
              <w:tab/>
            </w:r>
            <w:r>
              <w:rPr>
                <w:noProof/>
                <w:webHidden/>
              </w:rPr>
              <w:fldChar w:fldCharType="begin"/>
            </w:r>
            <w:r>
              <w:rPr>
                <w:noProof/>
                <w:webHidden/>
              </w:rPr>
              <w:instrText xml:space="preserve"> PAGEREF _Toc110425069 \h </w:instrText>
            </w:r>
            <w:r>
              <w:rPr>
                <w:noProof/>
                <w:webHidden/>
              </w:rPr>
            </w:r>
            <w:r>
              <w:rPr>
                <w:noProof/>
                <w:webHidden/>
              </w:rPr>
              <w:fldChar w:fldCharType="separate"/>
            </w:r>
            <w:r>
              <w:rPr>
                <w:noProof/>
                <w:webHidden/>
              </w:rPr>
              <w:t>7</w:t>
            </w:r>
            <w:r>
              <w:rPr>
                <w:noProof/>
                <w:webHidden/>
              </w:rPr>
              <w:fldChar w:fldCharType="end"/>
            </w:r>
          </w:hyperlink>
        </w:p>
        <w:p w14:paraId="2E11DA33" w14:textId="3BA8890B" w:rsidR="001E3842" w:rsidRDefault="001E3842">
          <w:pPr>
            <w:pStyle w:val="TOC2"/>
            <w:rPr>
              <w:rFonts w:asciiTheme="minorHAnsi" w:eastAsiaTheme="minorEastAsia" w:hAnsiTheme="minorHAnsi" w:cstheme="minorBidi"/>
              <w:noProof/>
              <w:szCs w:val="22"/>
              <w:lang w:bidi="ar-SA"/>
            </w:rPr>
          </w:pPr>
          <w:hyperlink w:anchor="_Toc110425070" w:history="1">
            <w:r w:rsidRPr="004E6BFC">
              <w:rPr>
                <w:rStyle w:val="Hyperlink"/>
                <w:noProof/>
              </w:rPr>
              <w:t>3.5 Terms and conditions</w:t>
            </w:r>
            <w:r>
              <w:rPr>
                <w:noProof/>
                <w:webHidden/>
              </w:rPr>
              <w:tab/>
            </w:r>
            <w:r>
              <w:rPr>
                <w:noProof/>
                <w:webHidden/>
              </w:rPr>
              <w:fldChar w:fldCharType="begin"/>
            </w:r>
            <w:r>
              <w:rPr>
                <w:noProof/>
                <w:webHidden/>
              </w:rPr>
              <w:instrText xml:space="preserve"> PAGEREF _Toc110425070 \h </w:instrText>
            </w:r>
            <w:r>
              <w:rPr>
                <w:noProof/>
                <w:webHidden/>
              </w:rPr>
            </w:r>
            <w:r>
              <w:rPr>
                <w:noProof/>
                <w:webHidden/>
              </w:rPr>
              <w:fldChar w:fldCharType="separate"/>
            </w:r>
            <w:r>
              <w:rPr>
                <w:noProof/>
                <w:webHidden/>
              </w:rPr>
              <w:t>7</w:t>
            </w:r>
            <w:r>
              <w:rPr>
                <w:noProof/>
                <w:webHidden/>
              </w:rPr>
              <w:fldChar w:fldCharType="end"/>
            </w:r>
          </w:hyperlink>
        </w:p>
        <w:p w14:paraId="7DECAC04" w14:textId="1F1B049C" w:rsidR="001E3842" w:rsidRDefault="001E3842">
          <w:pPr>
            <w:pStyle w:val="TOC2"/>
            <w:rPr>
              <w:rFonts w:asciiTheme="minorHAnsi" w:eastAsiaTheme="minorEastAsia" w:hAnsiTheme="minorHAnsi" w:cstheme="minorBidi"/>
              <w:noProof/>
              <w:szCs w:val="22"/>
              <w:lang w:bidi="ar-SA"/>
            </w:rPr>
          </w:pPr>
          <w:hyperlink w:anchor="_Toc110425071" w:history="1">
            <w:r w:rsidRPr="004E6BFC">
              <w:rPr>
                <w:rStyle w:val="Hyperlink"/>
                <w:noProof/>
              </w:rPr>
              <w:t>3.6 Transfer of Undertakings (Protection of Employment) Regulations 2006 ("TUPE")</w:t>
            </w:r>
            <w:r>
              <w:rPr>
                <w:noProof/>
                <w:webHidden/>
              </w:rPr>
              <w:tab/>
            </w:r>
            <w:r>
              <w:rPr>
                <w:noProof/>
                <w:webHidden/>
              </w:rPr>
              <w:fldChar w:fldCharType="begin"/>
            </w:r>
            <w:r>
              <w:rPr>
                <w:noProof/>
                <w:webHidden/>
              </w:rPr>
              <w:instrText xml:space="preserve"> PAGEREF _Toc110425071 \h </w:instrText>
            </w:r>
            <w:r>
              <w:rPr>
                <w:noProof/>
                <w:webHidden/>
              </w:rPr>
            </w:r>
            <w:r>
              <w:rPr>
                <w:noProof/>
                <w:webHidden/>
              </w:rPr>
              <w:fldChar w:fldCharType="separate"/>
            </w:r>
            <w:r>
              <w:rPr>
                <w:noProof/>
                <w:webHidden/>
              </w:rPr>
              <w:t>7</w:t>
            </w:r>
            <w:r>
              <w:rPr>
                <w:noProof/>
                <w:webHidden/>
              </w:rPr>
              <w:fldChar w:fldCharType="end"/>
            </w:r>
          </w:hyperlink>
        </w:p>
        <w:p w14:paraId="7B901F51" w14:textId="0F5E5A06" w:rsidR="001E3842" w:rsidRDefault="001E3842">
          <w:pPr>
            <w:pStyle w:val="TOC2"/>
            <w:rPr>
              <w:rFonts w:asciiTheme="minorHAnsi" w:eastAsiaTheme="minorEastAsia" w:hAnsiTheme="minorHAnsi" w:cstheme="minorBidi"/>
              <w:noProof/>
              <w:szCs w:val="22"/>
              <w:lang w:bidi="ar-SA"/>
            </w:rPr>
          </w:pPr>
          <w:hyperlink w:anchor="_Toc110425072" w:history="1">
            <w:r w:rsidRPr="004E6BFC">
              <w:rPr>
                <w:rStyle w:val="Hyperlink"/>
                <w:noProof/>
              </w:rPr>
              <w:t>3.7 Consortia and sub-contractors</w:t>
            </w:r>
            <w:r>
              <w:rPr>
                <w:noProof/>
                <w:webHidden/>
              </w:rPr>
              <w:tab/>
            </w:r>
            <w:r>
              <w:rPr>
                <w:noProof/>
                <w:webHidden/>
              </w:rPr>
              <w:fldChar w:fldCharType="begin"/>
            </w:r>
            <w:r>
              <w:rPr>
                <w:noProof/>
                <w:webHidden/>
              </w:rPr>
              <w:instrText xml:space="preserve"> PAGEREF _Toc110425072 \h </w:instrText>
            </w:r>
            <w:r>
              <w:rPr>
                <w:noProof/>
                <w:webHidden/>
              </w:rPr>
            </w:r>
            <w:r>
              <w:rPr>
                <w:noProof/>
                <w:webHidden/>
              </w:rPr>
              <w:fldChar w:fldCharType="separate"/>
            </w:r>
            <w:r>
              <w:rPr>
                <w:noProof/>
                <w:webHidden/>
              </w:rPr>
              <w:t>7</w:t>
            </w:r>
            <w:r>
              <w:rPr>
                <w:noProof/>
                <w:webHidden/>
              </w:rPr>
              <w:fldChar w:fldCharType="end"/>
            </w:r>
          </w:hyperlink>
        </w:p>
        <w:p w14:paraId="630E6F05" w14:textId="01CF3573" w:rsidR="001E3842" w:rsidRDefault="001E3842">
          <w:pPr>
            <w:pStyle w:val="TOC2"/>
            <w:rPr>
              <w:rFonts w:asciiTheme="minorHAnsi" w:eastAsiaTheme="minorEastAsia" w:hAnsiTheme="minorHAnsi" w:cstheme="minorBidi"/>
              <w:noProof/>
              <w:szCs w:val="22"/>
              <w:lang w:bidi="ar-SA"/>
            </w:rPr>
          </w:pPr>
          <w:hyperlink w:anchor="_Toc110425073" w:history="1">
            <w:r w:rsidRPr="004E6BFC">
              <w:rPr>
                <w:rStyle w:val="Hyperlink"/>
                <w:noProof/>
              </w:rPr>
              <w:t>3.8 Termination / extension / variation of Tender Process</w:t>
            </w:r>
            <w:r>
              <w:rPr>
                <w:noProof/>
                <w:webHidden/>
              </w:rPr>
              <w:tab/>
            </w:r>
            <w:r>
              <w:rPr>
                <w:noProof/>
                <w:webHidden/>
              </w:rPr>
              <w:fldChar w:fldCharType="begin"/>
            </w:r>
            <w:r>
              <w:rPr>
                <w:noProof/>
                <w:webHidden/>
              </w:rPr>
              <w:instrText xml:space="preserve"> PAGEREF _Toc110425073 \h </w:instrText>
            </w:r>
            <w:r>
              <w:rPr>
                <w:noProof/>
                <w:webHidden/>
              </w:rPr>
            </w:r>
            <w:r>
              <w:rPr>
                <w:noProof/>
                <w:webHidden/>
              </w:rPr>
              <w:fldChar w:fldCharType="separate"/>
            </w:r>
            <w:r>
              <w:rPr>
                <w:noProof/>
                <w:webHidden/>
              </w:rPr>
              <w:t>8</w:t>
            </w:r>
            <w:r>
              <w:rPr>
                <w:noProof/>
                <w:webHidden/>
              </w:rPr>
              <w:fldChar w:fldCharType="end"/>
            </w:r>
          </w:hyperlink>
        </w:p>
        <w:p w14:paraId="3BC5F1C0" w14:textId="1D6FFD40" w:rsidR="001E3842" w:rsidRDefault="001E3842">
          <w:pPr>
            <w:pStyle w:val="TOC1"/>
            <w:rPr>
              <w:rFonts w:asciiTheme="minorHAnsi" w:eastAsiaTheme="minorEastAsia" w:hAnsiTheme="minorHAnsi" w:cstheme="minorBidi"/>
              <w:noProof/>
              <w:szCs w:val="22"/>
              <w:lang w:bidi="ar-SA"/>
            </w:rPr>
          </w:pPr>
          <w:hyperlink w:anchor="_Toc110425074" w:history="1">
            <w:r w:rsidRPr="004E6BFC">
              <w:rPr>
                <w:rStyle w:val="Hyperlink"/>
                <w:rFonts w:eastAsia="Times New Roman"/>
                <w:noProof/>
              </w:rPr>
              <w:t>4. Submission of Responses</w:t>
            </w:r>
            <w:r>
              <w:rPr>
                <w:noProof/>
                <w:webHidden/>
              </w:rPr>
              <w:tab/>
            </w:r>
            <w:r>
              <w:rPr>
                <w:noProof/>
                <w:webHidden/>
              </w:rPr>
              <w:fldChar w:fldCharType="begin"/>
            </w:r>
            <w:r>
              <w:rPr>
                <w:noProof/>
                <w:webHidden/>
              </w:rPr>
              <w:instrText xml:space="preserve"> PAGEREF _Toc110425074 \h </w:instrText>
            </w:r>
            <w:r>
              <w:rPr>
                <w:noProof/>
                <w:webHidden/>
              </w:rPr>
            </w:r>
            <w:r>
              <w:rPr>
                <w:noProof/>
                <w:webHidden/>
              </w:rPr>
              <w:fldChar w:fldCharType="separate"/>
            </w:r>
            <w:r>
              <w:rPr>
                <w:noProof/>
                <w:webHidden/>
              </w:rPr>
              <w:t>8</w:t>
            </w:r>
            <w:r>
              <w:rPr>
                <w:noProof/>
                <w:webHidden/>
              </w:rPr>
              <w:fldChar w:fldCharType="end"/>
            </w:r>
          </w:hyperlink>
        </w:p>
        <w:p w14:paraId="33D831E9" w14:textId="0744381C" w:rsidR="001E3842" w:rsidRDefault="001E3842">
          <w:pPr>
            <w:pStyle w:val="TOC2"/>
            <w:rPr>
              <w:rFonts w:asciiTheme="minorHAnsi" w:eastAsiaTheme="minorEastAsia" w:hAnsiTheme="minorHAnsi" w:cstheme="minorBidi"/>
              <w:noProof/>
              <w:szCs w:val="22"/>
              <w:lang w:bidi="ar-SA"/>
            </w:rPr>
          </w:pPr>
          <w:hyperlink w:anchor="_Toc110425075" w:history="1">
            <w:r w:rsidRPr="004E6BFC">
              <w:rPr>
                <w:rStyle w:val="Hyperlink"/>
                <w:noProof/>
              </w:rPr>
              <w:t>4.1 Response instructions</w:t>
            </w:r>
            <w:r>
              <w:rPr>
                <w:noProof/>
                <w:webHidden/>
              </w:rPr>
              <w:tab/>
            </w:r>
            <w:r>
              <w:rPr>
                <w:noProof/>
                <w:webHidden/>
              </w:rPr>
              <w:fldChar w:fldCharType="begin"/>
            </w:r>
            <w:r>
              <w:rPr>
                <w:noProof/>
                <w:webHidden/>
              </w:rPr>
              <w:instrText xml:space="preserve"> PAGEREF _Toc110425075 \h </w:instrText>
            </w:r>
            <w:r>
              <w:rPr>
                <w:noProof/>
                <w:webHidden/>
              </w:rPr>
            </w:r>
            <w:r>
              <w:rPr>
                <w:noProof/>
                <w:webHidden/>
              </w:rPr>
              <w:fldChar w:fldCharType="separate"/>
            </w:r>
            <w:r>
              <w:rPr>
                <w:noProof/>
                <w:webHidden/>
              </w:rPr>
              <w:t>8</w:t>
            </w:r>
            <w:r>
              <w:rPr>
                <w:noProof/>
                <w:webHidden/>
              </w:rPr>
              <w:fldChar w:fldCharType="end"/>
            </w:r>
          </w:hyperlink>
        </w:p>
        <w:p w14:paraId="07FF8559" w14:textId="4346A250" w:rsidR="001E3842" w:rsidRDefault="001E3842">
          <w:pPr>
            <w:pStyle w:val="TOC2"/>
            <w:rPr>
              <w:rFonts w:asciiTheme="minorHAnsi" w:eastAsiaTheme="minorEastAsia" w:hAnsiTheme="minorHAnsi" w:cstheme="minorBidi"/>
              <w:noProof/>
              <w:szCs w:val="22"/>
              <w:lang w:bidi="ar-SA"/>
            </w:rPr>
          </w:pPr>
          <w:hyperlink w:anchor="_Toc110425076" w:history="1">
            <w:r w:rsidRPr="004E6BFC">
              <w:rPr>
                <w:rStyle w:val="Hyperlink"/>
                <w:rFonts w:eastAsia="Times New Roman"/>
                <w:noProof/>
              </w:rPr>
              <w:t>4.2 Format of response</w:t>
            </w:r>
            <w:r>
              <w:rPr>
                <w:noProof/>
                <w:webHidden/>
              </w:rPr>
              <w:tab/>
            </w:r>
            <w:r>
              <w:rPr>
                <w:noProof/>
                <w:webHidden/>
              </w:rPr>
              <w:fldChar w:fldCharType="begin"/>
            </w:r>
            <w:r>
              <w:rPr>
                <w:noProof/>
                <w:webHidden/>
              </w:rPr>
              <w:instrText xml:space="preserve"> PAGEREF _Toc110425076 \h </w:instrText>
            </w:r>
            <w:r>
              <w:rPr>
                <w:noProof/>
                <w:webHidden/>
              </w:rPr>
            </w:r>
            <w:r>
              <w:rPr>
                <w:noProof/>
                <w:webHidden/>
              </w:rPr>
              <w:fldChar w:fldCharType="separate"/>
            </w:r>
            <w:r>
              <w:rPr>
                <w:noProof/>
                <w:webHidden/>
              </w:rPr>
              <w:t>8</w:t>
            </w:r>
            <w:r>
              <w:rPr>
                <w:noProof/>
                <w:webHidden/>
              </w:rPr>
              <w:fldChar w:fldCharType="end"/>
            </w:r>
          </w:hyperlink>
        </w:p>
        <w:p w14:paraId="70AB68AB" w14:textId="00E04F10" w:rsidR="001E3842" w:rsidRDefault="001E3842">
          <w:pPr>
            <w:pStyle w:val="TOC2"/>
            <w:rPr>
              <w:rFonts w:asciiTheme="minorHAnsi" w:eastAsiaTheme="minorEastAsia" w:hAnsiTheme="minorHAnsi" w:cstheme="minorBidi"/>
              <w:noProof/>
              <w:szCs w:val="22"/>
              <w:lang w:bidi="ar-SA"/>
            </w:rPr>
          </w:pPr>
          <w:hyperlink w:anchor="_Toc110425077" w:history="1">
            <w:r w:rsidRPr="004E6BFC">
              <w:rPr>
                <w:rStyle w:val="Hyperlink"/>
                <w:rFonts w:eastAsia="Times New Roman"/>
                <w:noProof/>
              </w:rPr>
              <w:t>4.3 Information provided in bids</w:t>
            </w:r>
            <w:r>
              <w:rPr>
                <w:noProof/>
                <w:webHidden/>
              </w:rPr>
              <w:tab/>
            </w:r>
            <w:r>
              <w:rPr>
                <w:noProof/>
                <w:webHidden/>
              </w:rPr>
              <w:fldChar w:fldCharType="begin"/>
            </w:r>
            <w:r>
              <w:rPr>
                <w:noProof/>
                <w:webHidden/>
              </w:rPr>
              <w:instrText xml:space="preserve"> PAGEREF _Toc110425077 \h </w:instrText>
            </w:r>
            <w:r>
              <w:rPr>
                <w:noProof/>
                <w:webHidden/>
              </w:rPr>
            </w:r>
            <w:r>
              <w:rPr>
                <w:noProof/>
                <w:webHidden/>
              </w:rPr>
              <w:fldChar w:fldCharType="separate"/>
            </w:r>
            <w:r>
              <w:rPr>
                <w:noProof/>
                <w:webHidden/>
              </w:rPr>
              <w:t>9</w:t>
            </w:r>
            <w:r>
              <w:rPr>
                <w:noProof/>
                <w:webHidden/>
              </w:rPr>
              <w:fldChar w:fldCharType="end"/>
            </w:r>
          </w:hyperlink>
        </w:p>
        <w:p w14:paraId="7ADB50F1" w14:textId="008146CB" w:rsidR="001E3842" w:rsidRDefault="001E3842">
          <w:pPr>
            <w:pStyle w:val="TOC1"/>
            <w:rPr>
              <w:rFonts w:asciiTheme="minorHAnsi" w:eastAsiaTheme="minorEastAsia" w:hAnsiTheme="minorHAnsi" w:cstheme="minorBidi"/>
              <w:noProof/>
              <w:szCs w:val="22"/>
              <w:lang w:bidi="ar-SA"/>
            </w:rPr>
          </w:pPr>
          <w:hyperlink w:anchor="_Toc110425078" w:history="1">
            <w:r w:rsidRPr="004E6BFC">
              <w:rPr>
                <w:rStyle w:val="Hyperlink"/>
                <w:noProof/>
              </w:rPr>
              <w:t>4.4 Bidders clarification questions</w:t>
            </w:r>
            <w:r>
              <w:rPr>
                <w:noProof/>
                <w:webHidden/>
              </w:rPr>
              <w:tab/>
            </w:r>
            <w:r>
              <w:rPr>
                <w:noProof/>
                <w:webHidden/>
              </w:rPr>
              <w:fldChar w:fldCharType="begin"/>
            </w:r>
            <w:r>
              <w:rPr>
                <w:noProof/>
                <w:webHidden/>
              </w:rPr>
              <w:instrText xml:space="preserve"> PAGEREF _Toc110425078 \h </w:instrText>
            </w:r>
            <w:r>
              <w:rPr>
                <w:noProof/>
                <w:webHidden/>
              </w:rPr>
            </w:r>
            <w:r>
              <w:rPr>
                <w:noProof/>
                <w:webHidden/>
              </w:rPr>
              <w:fldChar w:fldCharType="separate"/>
            </w:r>
            <w:r>
              <w:rPr>
                <w:noProof/>
                <w:webHidden/>
              </w:rPr>
              <w:t>9</w:t>
            </w:r>
            <w:r>
              <w:rPr>
                <w:noProof/>
                <w:webHidden/>
              </w:rPr>
              <w:fldChar w:fldCharType="end"/>
            </w:r>
          </w:hyperlink>
        </w:p>
        <w:p w14:paraId="4ABD3240" w14:textId="2DD8DB75" w:rsidR="001E3842" w:rsidRDefault="001E3842">
          <w:pPr>
            <w:pStyle w:val="TOC2"/>
            <w:rPr>
              <w:rFonts w:asciiTheme="minorHAnsi" w:eastAsiaTheme="minorEastAsia" w:hAnsiTheme="minorHAnsi" w:cstheme="minorBidi"/>
              <w:noProof/>
              <w:szCs w:val="22"/>
              <w:lang w:bidi="ar-SA"/>
            </w:rPr>
          </w:pPr>
          <w:hyperlink w:anchor="_Toc110425079" w:history="1">
            <w:r w:rsidRPr="004E6BFC">
              <w:rPr>
                <w:rStyle w:val="Hyperlink"/>
                <w:noProof/>
              </w:rPr>
              <w:t>4.5 Bid clarification from the Authority</w:t>
            </w:r>
            <w:r>
              <w:rPr>
                <w:noProof/>
                <w:webHidden/>
              </w:rPr>
              <w:tab/>
            </w:r>
            <w:r>
              <w:rPr>
                <w:noProof/>
                <w:webHidden/>
              </w:rPr>
              <w:fldChar w:fldCharType="begin"/>
            </w:r>
            <w:r>
              <w:rPr>
                <w:noProof/>
                <w:webHidden/>
              </w:rPr>
              <w:instrText xml:space="preserve"> PAGEREF _Toc110425079 \h </w:instrText>
            </w:r>
            <w:r>
              <w:rPr>
                <w:noProof/>
                <w:webHidden/>
              </w:rPr>
            </w:r>
            <w:r>
              <w:rPr>
                <w:noProof/>
                <w:webHidden/>
              </w:rPr>
              <w:fldChar w:fldCharType="separate"/>
            </w:r>
            <w:r>
              <w:rPr>
                <w:noProof/>
                <w:webHidden/>
              </w:rPr>
              <w:t>10</w:t>
            </w:r>
            <w:r>
              <w:rPr>
                <w:noProof/>
                <w:webHidden/>
              </w:rPr>
              <w:fldChar w:fldCharType="end"/>
            </w:r>
          </w:hyperlink>
        </w:p>
        <w:p w14:paraId="573D8F19" w14:textId="46B500A9" w:rsidR="001E3842" w:rsidRDefault="001E3842">
          <w:pPr>
            <w:pStyle w:val="TOC2"/>
            <w:rPr>
              <w:rFonts w:asciiTheme="minorHAnsi" w:eastAsiaTheme="minorEastAsia" w:hAnsiTheme="minorHAnsi" w:cstheme="minorBidi"/>
              <w:noProof/>
              <w:szCs w:val="22"/>
              <w:lang w:bidi="ar-SA"/>
            </w:rPr>
          </w:pPr>
          <w:hyperlink w:anchor="_Toc110425080" w:history="1">
            <w:r w:rsidRPr="004E6BFC">
              <w:rPr>
                <w:rStyle w:val="Hyperlink"/>
                <w:noProof/>
              </w:rPr>
              <w:t>4.6 Modifications and withdrawal of tender</w:t>
            </w:r>
            <w:r>
              <w:rPr>
                <w:noProof/>
                <w:webHidden/>
              </w:rPr>
              <w:tab/>
            </w:r>
            <w:r>
              <w:rPr>
                <w:noProof/>
                <w:webHidden/>
              </w:rPr>
              <w:fldChar w:fldCharType="begin"/>
            </w:r>
            <w:r>
              <w:rPr>
                <w:noProof/>
                <w:webHidden/>
              </w:rPr>
              <w:instrText xml:space="preserve"> PAGEREF _Toc110425080 \h </w:instrText>
            </w:r>
            <w:r>
              <w:rPr>
                <w:noProof/>
                <w:webHidden/>
              </w:rPr>
            </w:r>
            <w:r>
              <w:rPr>
                <w:noProof/>
                <w:webHidden/>
              </w:rPr>
              <w:fldChar w:fldCharType="separate"/>
            </w:r>
            <w:r>
              <w:rPr>
                <w:noProof/>
                <w:webHidden/>
              </w:rPr>
              <w:t>10</w:t>
            </w:r>
            <w:r>
              <w:rPr>
                <w:noProof/>
                <w:webHidden/>
              </w:rPr>
              <w:fldChar w:fldCharType="end"/>
            </w:r>
          </w:hyperlink>
        </w:p>
        <w:p w14:paraId="6FA7A7B8" w14:textId="1FD880D8" w:rsidR="001E3842" w:rsidRDefault="001E3842">
          <w:pPr>
            <w:pStyle w:val="TOC2"/>
            <w:rPr>
              <w:rFonts w:asciiTheme="minorHAnsi" w:eastAsiaTheme="minorEastAsia" w:hAnsiTheme="minorHAnsi" w:cstheme="minorBidi"/>
              <w:noProof/>
              <w:szCs w:val="22"/>
              <w:lang w:bidi="ar-SA"/>
            </w:rPr>
          </w:pPr>
          <w:hyperlink w:anchor="_Toc110425081" w:history="1">
            <w:r w:rsidRPr="004E6BFC">
              <w:rPr>
                <w:rStyle w:val="Hyperlink"/>
                <w:noProof/>
              </w:rPr>
              <w:t>4.7 Variant Bids</w:t>
            </w:r>
            <w:r>
              <w:rPr>
                <w:noProof/>
                <w:webHidden/>
              </w:rPr>
              <w:tab/>
            </w:r>
            <w:r>
              <w:rPr>
                <w:noProof/>
                <w:webHidden/>
              </w:rPr>
              <w:fldChar w:fldCharType="begin"/>
            </w:r>
            <w:r>
              <w:rPr>
                <w:noProof/>
                <w:webHidden/>
              </w:rPr>
              <w:instrText xml:space="preserve"> PAGEREF _Toc110425081 \h </w:instrText>
            </w:r>
            <w:r>
              <w:rPr>
                <w:noProof/>
                <w:webHidden/>
              </w:rPr>
            </w:r>
            <w:r>
              <w:rPr>
                <w:noProof/>
                <w:webHidden/>
              </w:rPr>
              <w:fldChar w:fldCharType="separate"/>
            </w:r>
            <w:r>
              <w:rPr>
                <w:noProof/>
                <w:webHidden/>
              </w:rPr>
              <w:t>10</w:t>
            </w:r>
            <w:r>
              <w:rPr>
                <w:noProof/>
                <w:webHidden/>
              </w:rPr>
              <w:fldChar w:fldCharType="end"/>
            </w:r>
          </w:hyperlink>
        </w:p>
        <w:p w14:paraId="0DDA1E6E" w14:textId="2D04F4AA" w:rsidR="001E3842" w:rsidRDefault="001E3842">
          <w:pPr>
            <w:pStyle w:val="TOC1"/>
            <w:rPr>
              <w:rFonts w:asciiTheme="minorHAnsi" w:eastAsiaTheme="minorEastAsia" w:hAnsiTheme="minorHAnsi" w:cstheme="minorBidi"/>
              <w:noProof/>
              <w:szCs w:val="22"/>
              <w:lang w:bidi="ar-SA"/>
            </w:rPr>
          </w:pPr>
          <w:hyperlink w:anchor="_Toc110425082" w:history="1">
            <w:r w:rsidRPr="004E6BFC">
              <w:rPr>
                <w:rStyle w:val="Hyperlink"/>
                <w:rFonts w:eastAsia="Times New Roman"/>
                <w:noProof/>
              </w:rPr>
              <w:t xml:space="preserve">5. </w:t>
            </w:r>
            <w:r w:rsidRPr="004E6BFC">
              <w:rPr>
                <w:rStyle w:val="Hyperlink"/>
                <w:noProof/>
              </w:rPr>
              <w:t>TENDER EVALUATION METHODOLOGY AND CRITERIA</w:t>
            </w:r>
            <w:r>
              <w:rPr>
                <w:noProof/>
                <w:webHidden/>
              </w:rPr>
              <w:tab/>
            </w:r>
            <w:r>
              <w:rPr>
                <w:noProof/>
                <w:webHidden/>
              </w:rPr>
              <w:fldChar w:fldCharType="begin"/>
            </w:r>
            <w:r>
              <w:rPr>
                <w:noProof/>
                <w:webHidden/>
              </w:rPr>
              <w:instrText xml:space="preserve"> PAGEREF _Toc110425082 \h </w:instrText>
            </w:r>
            <w:r>
              <w:rPr>
                <w:noProof/>
                <w:webHidden/>
              </w:rPr>
            </w:r>
            <w:r>
              <w:rPr>
                <w:noProof/>
                <w:webHidden/>
              </w:rPr>
              <w:fldChar w:fldCharType="separate"/>
            </w:r>
            <w:r>
              <w:rPr>
                <w:noProof/>
                <w:webHidden/>
              </w:rPr>
              <w:t>10</w:t>
            </w:r>
            <w:r>
              <w:rPr>
                <w:noProof/>
                <w:webHidden/>
              </w:rPr>
              <w:fldChar w:fldCharType="end"/>
            </w:r>
          </w:hyperlink>
        </w:p>
        <w:p w14:paraId="03CE1AB0" w14:textId="0C04CB49" w:rsidR="001E3842" w:rsidRDefault="001E3842">
          <w:pPr>
            <w:pStyle w:val="TOC2"/>
            <w:rPr>
              <w:rFonts w:asciiTheme="minorHAnsi" w:eastAsiaTheme="minorEastAsia" w:hAnsiTheme="minorHAnsi" w:cstheme="minorBidi"/>
              <w:noProof/>
              <w:szCs w:val="22"/>
              <w:lang w:bidi="ar-SA"/>
            </w:rPr>
          </w:pPr>
          <w:hyperlink w:anchor="_Toc110425083" w:history="1">
            <w:r w:rsidRPr="004E6BFC">
              <w:rPr>
                <w:rStyle w:val="Hyperlink"/>
                <w:noProof/>
              </w:rPr>
              <w:t>5.1 Overview</w:t>
            </w:r>
            <w:r>
              <w:rPr>
                <w:noProof/>
                <w:webHidden/>
              </w:rPr>
              <w:tab/>
            </w:r>
            <w:r>
              <w:rPr>
                <w:noProof/>
                <w:webHidden/>
              </w:rPr>
              <w:fldChar w:fldCharType="begin"/>
            </w:r>
            <w:r>
              <w:rPr>
                <w:noProof/>
                <w:webHidden/>
              </w:rPr>
              <w:instrText xml:space="preserve"> PAGEREF _Toc110425083 \h </w:instrText>
            </w:r>
            <w:r>
              <w:rPr>
                <w:noProof/>
                <w:webHidden/>
              </w:rPr>
            </w:r>
            <w:r>
              <w:rPr>
                <w:noProof/>
                <w:webHidden/>
              </w:rPr>
              <w:fldChar w:fldCharType="separate"/>
            </w:r>
            <w:r>
              <w:rPr>
                <w:noProof/>
                <w:webHidden/>
              </w:rPr>
              <w:t>10</w:t>
            </w:r>
            <w:r>
              <w:rPr>
                <w:noProof/>
                <w:webHidden/>
              </w:rPr>
              <w:fldChar w:fldCharType="end"/>
            </w:r>
          </w:hyperlink>
        </w:p>
        <w:p w14:paraId="14E2724F" w14:textId="7198284C" w:rsidR="001E3842" w:rsidRDefault="001E3842">
          <w:pPr>
            <w:pStyle w:val="TOC2"/>
            <w:rPr>
              <w:rFonts w:asciiTheme="minorHAnsi" w:eastAsiaTheme="minorEastAsia" w:hAnsiTheme="minorHAnsi" w:cstheme="minorBidi"/>
              <w:noProof/>
              <w:szCs w:val="22"/>
              <w:lang w:bidi="ar-SA"/>
            </w:rPr>
          </w:pPr>
          <w:hyperlink w:anchor="_Toc110425084" w:history="1">
            <w:r w:rsidRPr="004E6BFC">
              <w:rPr>
                <w:rStyle w:val="Hyperlink"/>
                <w:rFonts w:eastAsia="Times New Roman"/>
                <w:noProof/>
              </w:rPr>
              <w:t>5.2 Scored Questions</w:t>
            </w:r>
            <w:r>
              <w:rPr>
                <w:noProof/>
                <w:webHidden/>
              </w:rPr>
              <w:tab/>
            </w:r>
            <w:r>
              <w:rPr>
                <w:noProof/>
                <w:webHidden/>
              </w:rPr>
              <w:fldChar w:fldCharType="begin"/>
            </w:r>
            <w:r>
              <w:rPr>
                <w:noProof/>
                <w:webHidden/>
              </w:rPr>
              <w:instrText xml:space="preserve"> PAGEREF _Toc110425084 \h </w:instrText>
            </w:r>
            <w:r>
              <w:rPr>
                <w:noProof/>
                <w:webHidden/>
              </w:rPr>
            </w:r>
            <w:r>
              <w:rPr>
                <w:noProof/>
                <w:webHidden/>
              </w:rPr>
              <w:fldChar w:fldCharType="separate"/>
            </w:r>
            <w:r>
              <w:rPr>
                <w:noProof/>
                <w:webHidden/>
              </w:rPr>
              <w:t>10</w:t>
            </w:r>
            <w:r>
              <w:rPr>
                <w:noProof/>
                <w:webHidden/>
              </w:rPr>
              <w:fldChar w:fldCharType="end"/>
            </w:r>
          </w:hyperlink>
        </w:p>
        <w:p w14:paraId="4E480628" w14:textId="7253C2ED" w:rsidR="001E3842" w:rsidRDefault="001E3842">
          <w:pPr>
            <w:pStyle w:val="TOC2"/>
            <w:rPr>
              <w:rFonts w:asciiTheme="minorHAnsi" w:eastAsiaTheme="minorEastAsia" w:hAnsiTheme="minorHAnsi" w:cstheme="minorBidi"/>
              <w:noProof/>
              <w:szCs w:val="22"/>
              <w:lang w:bidi="ar-SA"/>
            </w:rPr>
          </w:pPr>
          <w:hyperlink w:anchor="_Toc110425085" w:history="1">
            <w:r w:rsidRPr="004E6BFC">
              <w:rPr>
                <w:rStyle w:val="Hyperlink"/>
                <w:noProof/>
              </w:rPr>
              <w:t>5.3 ITT Questions and Scoring Criteria</w:t>
            </w:r>
            <w:r>
              <w:rPr>
                <w:noProof/>
                <w:webHidden/>
              </w:rPr>
              <w:tab/>
            </w:r>
            <w:r>
              <w:rPr>
                <w:noProof/>
                <w:webHidden/>
              </w:rPr>
              <w:fldChar w:fldCharType="begin"/>
            </w:r>
            <w:r>
              <w:rPr>
                <w:noProof/>
                <w:webHidden/>
              </w:rPr>
              <w:instrText xml:space="preserve"> PAGEREF _Toc110425085 \h </w:instrText>
            </w:r>
            <w:r>
              <w:rPr>
                <w:noProof/>
                <w:webHidden/>
              </w:rPr>
            </w:r>
            <w:r>
              <w:rPr>
                <w:noProof/>
                <w:webHidden/>
              </w:rPr>
              <w:fldChar w:fldCharType="separate"/>
            </w:r>
            <w:r>
              <w:rPr>
                <w:noProof/>
                <w:webHidden/>
              </w:rPr>
              <w:t>11</w:t>
            </w:r>
            <w:r>
              <w:rPr>
                <w:noProof/>
                <w:webHidden/>
              </w:rPr>
              <w:fldChar w:fldCharType="end"/>
            </w:r>
          </w:hyperlink>
        </w:p>
        <w:p w14:paraId="3C2114FB" w14:textId="35FF6ADF" w:rsidR="001E3842" w:rsidRDefault="001E3842">
          <w:pPr>
            <w:pStyle w:val="TOC2"/>
            <w:rPr>
              <w:rFonts w:asciiTheme="minorHAnsi" w:eastAsiaTheme="minorEastAsia" w:hAnsiTheme="minorHAnsi" w:cstheme="minorBidi"/>
              <w:noProof/>
              <w:szCs w:val="22"/>
              <w:lang w:bidi="ar-SA"/>
            </w:rPr>
          </w:pPr>
          <w:hyperlink w:anchor="_Toc110425086" w:history="1">
            <w:r w:rsidRPr="004E6BFC">
              <w:rPr>
                <w:rStyle w:val="Hyperlink"/>
                <w:noProof/>
              </w:rPr>
              <w:t>5.4 Moderation and Application of Weightings</w:t>
            </w:r>
            <w:r>
              <w:rPr>
                <w:noProof/>
                <w:webHidden/>
              </w:rPr>
              <w:tab/>
            </w:r>
            <w:r>
              <w:rPr>
                <w:noProof/>
                <w:webHidden/>
              </w:rPr>
              <w:fldChar w:fldCharType="begin"/>
            </w:r>
            <w:r>
              <w:rPr>
                <w:noProof/>
                <w:webHidden/>
              </w:rPr>
              <w:instrText xml:space="preserve"> PAGEREF _Toc110425086 \h </w:instrText>
            </w:r>
            <w:r>
              <w:rPr>
                <w:noProof/>
                <w:webHidden/>
              </w:rPr>
            </w:r>
            <w:r>
              <w:rPr>
                <w:noProof/>
                <w:webHidden/>
              </w:rPr>
              <w:fldChar w:fldCharType="separate"/>
            </w:r>
            <w:r>
              <w:rPr>
                <w:noProof/>
                <w:webHidden/>
              </w:rPr>
              <w:t>12</w:t>
            </w:r>
            <w:r>
              <w:rPr>
                <w:noProof/>
                <w:webHidden/>
              </w:rPr>
              <w:fldChar w:fldCharType="end"/>
            </w:r>
          </w:hyperlink>
        </w:p>
        <w:p w14:paraId="5C2EC2F7" w14:textId="394E2699" w:rsidR="001E3842" w:rsidRDefault="001E3842">
          <w:pPr>
            <w:pStyle w:val="TOC2"/>
            <w:rPr>
              <w:rFonts w:asciiTheme="minorHAnsi" w:eastAsiaTheme="minorEastAsia" w:hAnsiTheme="minorHAnsi" w:cstheme="minorBidi"/>
              <w:noProof/>
              <w:szCs w:val="22"/>
              <w:lang w:bidi="ar-SA"/>
            </w:rPr>
          </w:pPr>
          <w:hyperlink w:anchor="_Toc110425087" w:history="1">
            <w:r w:rsidRPr="004E6BFC">
              <w:rPr>
                <w:rStyle w:val="Hyperlink"/>
                <w:noProof/>
              </w:rPr>
              <w:t>5.5 Price</w:t>
            </w:r>
            <w:r>
              <w:rPr>
                <w:noProof/>
                <w:webHidden/>
              </w:rPr>
              <w:tab/>
            </w:r>
            <w:r>
              <w:rPr>
                <w:noProof/>
                <w:webHidden/>
              </w:rPr>
              <w:fldChar w:fldCharType="begin"/>
            </w:r>
            <w:r>
              <w:rPr>
                <w:noProof/>
                <w:webHidden/>
              </w:rPr>
              <w:instrText xml:space="preserve"> PAGEREF _Toc110425087 \h </w:instrText>
            </w:r>
            <w:r>
              <w:rPr>
                <w:noProof/>
                <w:webHidden/>
              </w:rPr>
            </w:r>
            <w:r>
              <w:rPr>
                <w:noProof/>
                <w:webHidden/>
              </w:rPr>
              <w:fldChar w:fldCharType="separate"/>
            </w:r>
            <w:r>
              <w:rPr>
                <w:noProof/>
                <w:webHidden/>
              </w:rPr>
              <w:t>12</w:t>
            </w:r>
            <w:r>
              <w:rPr>
                <w:noProof/>
                <w:webHidden/>
              </w:rPr>
              <w:fldChar w:fldCharType="end"/>
            </w:r>
          </w:hyperlink>
        </w:p>
        <w:p w14:paraId="08FA5926" w14:textId="4AB71C5C" w:rsidR="001E3842" w:rsidRDefault="001E3842">
          <w:pPr>
            <w:pStyle w:val="TOC2"/>
            <w:rPr>
              <w:rFonts w:asciiTheme="minorHAnsi" w:eastAsiaTheme="minorEastAsia" w:hAnsiTheme="minorHAnsi" w:cstheme="minorBidi"/>
              <w:noProof/>
              <w:szCs w:val="22"/>
              <w:lang w:bidi="ar-SA"/>
            </w:rPr>
          </w:pPr>
          <w:hyperlink w:anchor="_Toc110425088" w:history="1">
            <w:r w:rsidRPr="004E6BFC">
              <w:rPr>
                <w:rStyle w:val="Hyperlink"/>
                <w:noProof/>
              </w:rPr>
              <w:t>5.6 The winning Tender response</w:t>
            </w:r>
            <w:r>
              <w:rPr>
                <w:noProof/>
                <w:webHidden/>
              </w:rPr>
              <w:tab/>
            </w:r>
            <w:r>
              <w:rPr>
                <w:noProof/>
                <w:webHidden/>
              </w:rPr>
              <w:fldChar w:fldCharType="begin"/>
            </w:r>
            <w:r>
              <w:rPr>
                <w:noProof/>
                <w:webHidden/>
              </w:rPr>
              <w:instrText xml:space="preserve"> PAGEREF _Toc110425088 \h </w:instrText>
            </w:r>
            <w:r>
              <w:rPr>
                <w:noProof/>
                <w:webHidden/>
              </w:rPr>
            </w:r>
            <w:r>
              <w:rPr>
                <w:noProof/>
                <w:webHidden/>
              </w:rPr>
              <w:fldChar w:fldCharType="separate"/>
            </w:r>
            <w:r>
              <w:rPr>
                <w:noProof/>
                <w:webHidden/>
              </w:rPr>
              <w:t>13</w:t>
            </w:r>
            <w:r>
              <w:rPr>
                <w:noProof/>
                <w:webHidden/>
              </w:rPr>
              <w:fldChar w:fldCharType="end"/>
            </w:r>
          </w:hyperlink>
        </w:p>
        <w:p w14:paraId="073AAB00" w14:textId="4C1ABE66" w:rsidR="001E3842" w:rsidRDefault="001E3842">
          <w:pPr>
            <w:pStyle w:val="TOC1"/>
            <w:rPr>
              <w:rFonts w:asciiTheme="minorHAnsi" w:eastAsiaTheme="minorEastAsia" w:hAnsiTheme="minorHAnsi" w:cstheme="minorBidi"/>
              <w:noProof/>
              <w:szCs w:val="22"/>
              <w:lang w:bidi="ar-SA"/>
            </w:rPr>
          </w:pPr>
          <w:hyperlink w:anchor="_Toc110425089" w:history="1">
            <w:r w:rsidRPr="004E6BFC">
              <w:rPr>
                <w:rStyle w:val="Hyperlink"/>
                <w:rFonts w:eastAsia="Times New Roman"/>
                <w:noProof/>
              </w:rPr>
              <w:t>6. Procurement Rules</w:t>
            </w:r>
            <w:r>
              <w:rPr>
                <w:noProof/>
                <w:webHidden/>
              </w:rPr>
              <w:tab/>
            </w:r>
            <w:r>
              <w:rPr>
                <w:noProof/>
                <w:webHidden/>
              </w:rPr>
              <w:fldChar w:fldCharType="begin"/>
            </w:r>
            <w:r>
              <w:rPr>
                <w:noProof/>
                <w:webHidden/>
              </w:rPr>
              <w:instrText xml:space="preserve"> PAGEREF _Toc110425089 \h </w:instrText>
            </w:r>
            <w:r>
              <w:rPr>
                <w:noProof/>
                <w:webHidden/>
              </w:rPr>
            </w:r>
            <w:r>
              <w:rPr>
                <w:noProof/>
                <w:webHidden/>
              </w:rPr>
              <w:fldChar w:fldCharType="separate"/>
            </w:r>
            <w:r>
              <w:rPr>
                <w:noProof/>
                <w:webHidden/>
              </w:rPr>
              <w:t>13</w:t>
            </w:r>
            <w:r>
              <w:rPr>
                <w:noProof/>
                <w:webHidden/>
              </w:rPr>
              <w:fldChar w:fldCharType="end"/>
            </w:r>
          </w:hyperlink>
        </w:p>
        <w:p w14:paraId="70BEC835" w14:textId="17E77935" w:rsidR="001E3842" w:rsidRDefault="001E3842">
          <w:pPr>
            <w:pStyle w:val="TOC2"/>
            <w:rPr>
              <w:rFonts w:asciiTheme="minorHAnsi" w:eastAsiaTheme="minorEastAsia" w:hAnsiTheme="minorHAnsi" w:cstheme="minorBidi"/>
              <w:noProof/>
              <w:szCs w:val="22"/>
              <w:lang w:bidi="ar-SA"/>
            </w:rPr>
          </w:pPr>
          <w:hyperlink w:anchor="_Toc110425090" w:history="1">
            <w:r w:rsidRPr="004E6BFC">
              <w:rPr>
                <w:rStyle w:val="Hyperlink"/>
                <w:noProof/>
              </w:rPr>
              <w:t>6.1 Publicity</w:t>
            </w:r>
            <w:r>
              <w:rPr>
                <w:noProof/>
                <w:webHidden/>
              </w:rPr>
              <w:tab/>
            </w:r>
            <w:r>
              <w:rPr>
                <w:noProof/>
                <w:webHidden/>
              </w:rPr>
              <w:fldChar w:fldCharType="begin"/>
            </w:r>
            <w:r>
              <w:rPr>
                <w:noProof/>
                <w:webHidden/>
              </w:rPr>
              <w:instrText xml:space="preserve"> PAGEREF _Toc110425090 \h </w:instrText>
            </w:r>
            <w:r>
              <w:rPr>
                <w:noProof/>
                <w:webHidden/>
              </w:rPr>
            </w:r>
            <w:r>
              <w:rPr>
                <w:noProof/>
                <w:webHidden/>
              </w:rPr>
              <w:fldChar w:fldCharType="separate"/>
            </w:r>
            <w:r>
              <w:rPr>
                <w:noProof/>
                <w:webHidden/>
              </w:rPr>
              <w:t>13</w:t>
            </w:r>
            <w:r>
              <w:rPr>
                <w:noProof/>
                <w:webHidden/>
              </w:rPr>
              <w:fldChar w:fldCharType="end"/>
            </w:r>
          </w:hyperlink>
        </w:p>
        <w:p w14:paraId="621395B5" w14:textId="0A8477CD" w:rsidR="001E3842" w:rsidRDefault="001E3842">
          <w:pPr>
            <w:pStyle w:val="TOC2"/>
            <w:rPr>
              <w:rFonts w:asciiTheme="minorHAnsi" w:eastAsiaTheme="minorEastAsia" w:hAnsiTheme="minorHAnsi" w:cstheme="minorBidi"/>
              <w:noProof/>
              <w:szCs w:val="22"/>
              <w:lang w:bidi="ar-SA"/>
            </w:rPr>
          </w:pPr>
          <w:hyperlink w:anchor="_Toc110425091" w:history="1">
            <w:r w:rsidRPr="004E6BFC">
              <w:rPr>
                <w:rStyle w:val="Hyperlink"/>
                <w:noProof/>
              </w:rPr>
              <w:t>6.2 Bidder conduct and conflicts of interest</w:t>
            </w:r>
            <w:r>
              <w:rPr>
                <w:noProof/>
                <w:webHidden/>
              </w:rPr>
              <w:tab/>
            </w:r>
            <w:r>
              <w:rPr>
                <w:noProof/>
                <w:webHidden/>
              </w:rPr>
              <w:fldChar w:fldCharType="begin"/>
            </w:r>
            <w:r>
              <w:rPr>
                <w:noProof/>
                <w:webHidden/>
              </w:rPr>
              <w:instrText xml:space="preserve"> PAGEREF _Toc110425091 \h </w:instrText>
            </w:r>
            <w:r>
              <w:rPr>
                <w:noProof/>
                <w:webHidden/>
              </w:rPr>
            </w:r>
            <w:r>
              <w:rPr>
                <w:noProof/>
                <w:webHidden/>
              </w:rPr>
              <w:fldChar w:fldCharType="separate"/>
            </w:r>
            <w:r>
              <w:rPr>
                <w:noProof/>
                <w:webHidden/>
              </w:rPr>
              <w:t>13</w:t>
            </w:r>
            <w:r>
              <w:rPr>
                <w:noProof/>
                <w:webHidden/>
              </w:rPr>
              <w:fldChar w:fldCharType="end"/>
            </w:r>
          </w:hyperlink>
        </w:p>
        <w:p w14:paraId="246335B8" w14:textId="29F25F98" w:rsidR="001E3842" w:rsidRDefault="001E3842">
          <w:pPr>
            <w:pStyle w:val="TOC2"/>
            <w:rPr>
              <w:rFonts w:asciiTheme="minorHAnsi" w:eastAsiaTheme="minorEastAsia" w:hAnsiTheme="minorHAnsi" w:cstheme="minorBidi"/>
              <w:noProof/>
              <w:szCs w:val="22"/>
              <w:lang w:bidi="ar-SA"/>
            </w:rPr>
          </w:pPr>
          <w:hyperlink w:anchor="_Toc110425092" w:history="1">
            <w:r w:rsidRPr="004E6BFC">
              <w:rPr>
                <w:rStyle w:val="Hyperlink"/>
                <w:noProof/>
              </w:rPr>
              <w:t>6.3 Authority’s right</w:t>
            </w:r>
            <w:r>
              <w:rPr>
                <w:noProof/>
                <w:webHidden/>
              </w:rPr>
              <w:tab/>
            </w:r>
            <w:r>
              <w:rPr>
                <w:noProof/>
                <w:webHidden/>
              </w:rPr>
              <w:fldChar w:fldCharType="begin"/>
            </w:r>
            <w:r>
              <w:rPr>
                <w:noProof/>
                <w:webHidden/>
              </w:rPr>
              <w:instrText xml:space="preserve"> PAGEREF _Toc110425092 \h </w:instrText>
            </w:r>
            <w:r>
              <w:rPr>
                <w:noProof/>
                <w:webHidden/>
              </w:rPr>
            </w:r>
            <w:r>
              <w:rPr>
                <w:noProof/>
                <w:webHidden/>
              </w:rPr>
              <w:fldChar w:fldCharType="separate"/>
            </w:r>
            <w:r>
              <w:rPr>
                <w:noProof/>
                <w:webHidden/>
              </w:rPr>
              <w:t>14</w:t>
            </w:r>
            <w:r>
              <w:rPr>
                <w:noProof/>
                <w:webHidden/>
              </w:rPr>
              <w:fldChar w:fldCharType="end"/>
            </w:r>
          </w:hyperlink>
        </w:p>
        <w:p w14:paraId="0D109C14" w14:textId="7118CF3F" w:rsidR="001E3842" w:rsidRDefault="001E3842">
          <w:pPr>
            <w:pStyle w:val="TOC2"/>
            <w:rPr>
              <w:rFonts w:asciiTheme="minorHAnsi" w:eastAsiaTheme="minorEastAsia" w:hAnsiTheme="minorHAnsi" w:cstheme="minorBidi"/>
              <w:noProof/>
              <w:szCs w:val="22"/>
              <w:lang w:bidi="ar-SA"/>
            </w:rPr>
          </w:pPr>
          <w:hyperlink w:anchor="_Toc110425093" w:history="1">
            <w:r w:rsidRPr="004E6BFC">
              <w:rPr>
                <w:rStyle w:val="Hyperlink"/>
                <w:noProof/>
              </w:rPr>
              <w:t>6.4 Bid costs</w:t>
            </w:r>
            <w:r>
              <w:rPr>
                <w:noProof/>
                <w:webHidden/>
              </w:rPr>
              <w:tab/>
            </w:r>
            <w:r>
              <w:rPr>
                <w:noProof/>
                <w:webHidden/>
              </w:rPr>
              <w:fldChar w:fldCharType="begin"/>
            </w:r>
            <w:r>
              <w:rPr>
                <w:noProof/>
                <w:webHidden/>
              </w:rPr>
              <w:instrText xml:space="preserve"> PAGEREF _Toc110425093 \h </w:instrText>
            </w:r>
            <w:r>
              <w:rPr>
                <w:noProof/>
                <w:webHidden/>
              </w:rPr>
            </w:r>
            <w:r>
              <w:rPr>
                <w:noProof/>
                <w:webHidden/>
              </w:rPr>
              <w:fldChar w:fldCharType="separate"/>
            </w:r>
            <w:r>
              <w:rPr>
                <w:noProof/>
                <w:webHidden/>
              </w:rPr>
              <w:t>14</w:t>
            </w:r>
            <w:r>
              <w:rPr>
                <w:noProof/>
                <w:webHidden/>
              </w:rPr>
              <w:fldChar w:fldCharType="end"/>
            </w:r>
          </w:hyperlink>
        </w:p>
        <w:p w14:paraId="514062A3" w14:textId="345CF2C0" w:rsidR="001E3842" w:rsidRDefault="001E3842">
          <w:pPr>
            <w:pStyle w:val="TOC2"/>
            <w:rPr>
              <w:rFonts w:asciiTheme="minorHAnsi" w:eastAsiaTheme="minorEastAsia" w:hAnsiTheme="minorHAnsi" w:cstheme="minorBidi"/>
              <w:noProof/>
              <w:szCs w:val="22"/>
              <w:lang w:bidi="ar-SA"/>
            </w:rPr>
          </w:pPr>
          <w:hyperlink w:anchor="_Toc110425094" w:history="1">
            <w:r w:rsidRPr="004E6BFC">
              <w:rPr>
                <w:rStyle w:val="Hyperlink"/>
                <w:noProof/>
              </w:rPr>
              <w:t>6.5 Transparency</w:t>
            </w:r>
            <w:r>
              <w:rPr>
                <w:noProof/>
                <w:webHidden/>
              </w:rPr>
              <w:tab/>
            </w:r>
            <w:r>
              <w:rPr>
                <w:noProof/>
                <w:webHidden/>
              </w:rPr>
              <w:fldChar w:fldCharType="begin"/>
            </w:r>
            <w:r>
              <w:rPr>
                <w:noProof/>
                <w:webHidden/>
              </w:rPr>
              <w:instrText xml:space="preserve"> PAGEREF _Toc110425094 \h </w:instrText>
            </w:r>
            <w:r>
              <w:rPr>
                <w:noProof/>
                <w:webHidden/>
              </w:rPr>
            </w:r>
            <w:r>
              <w:rPr>
                <w:noProof/>
                <w:webHidden/>
              </w:rPr>
              <w:fldChar w:fldCharType="separate"/>
            </w:r>
            <w:r>
              <w:rPr>
                <w:noProof/>
                <w:webHidden/>
              </w:rPr>
              <w:t>14</w:t>
            </w:r>
            <w:r>
              <w:rPr>
                <w:noProof/>
                <w:webHidden/>
              </w:rPr>
              <w:fldChar w:fldCharType="end"/>
            </w:r>
          </w:hyperlink>
        </w:p>
        <w:p w14:paraId="2E14E9F9" w14:textId="60898C97" w:rsidR="001E3842" w:rsidRDefault="001E3842">
          <w:pPr>
            <w:pStyle w:val="TOC2"/>
            <w:rPr>
              <w:rFonts w:asciiTheme="minorHAnsi" w:eastAsiaTheme="minorEastAsia" w:hAnsiTheme="minorHAnsi" w:cstheme="minorBidi"/>
              <w:noProof/>
              <w:szCs w:val="22"/>
              <w:lang w:bidi="ar-SA"/>
            </w:rPr>
          </w:pPr>
          <w:hyperlink w:anchor="_Toc110425095" w:history="1">
            <w:r w:rsidRPr="004E6BFC">
              <w:rPr>
                <w:rStyle w:val="Hyperlink"/>
                <w:noProof/>
              </w:rPr>
              <w:t>6.6 Governing Law and Jurisdiction</w:t>
            </w:r>
            <w:r>
              <w:rPr>
                <w:noProof/>
                <w:webHidden/>
              </w:rPr>
              <w:tab/>
            </w:r>
            <w:r>
              <w:rPr>
                <w:noProof/>
                <w:webHidden/>
              </w:rPr>
              <w:fldChar w:fldCharType="begin"/>
            </w:r>
            <w:r>
              <w:rPr>
                <w:noProof/>
                <w:webHidden/>
              </w:rPr>
              <w:instrText xml:space="preserve"> PAGEREF _Toc110425095 \h </w:instrText>
            </w:r>
            <w:r>
              <w:rPr>
                <w:noProof/>
                <w:webHidden/>
              </w:rPr>
            </w:r>
            <w:r>
              <w:rPr>
                <w:noProof/>
                <w:webHidden/>
              </w:rPr>
              <w:fldChar w:fldCharType="separate"/>
            </w:r>
            <w:r>
              <w:rPr>
                <w:noProof/>
                <w:webHidden/>
              </w:rPr>
              <w:t>14</w:t>
            </w:r>
            <w:r>
              <w:rPr>
                <w:noProof/>
                <w:webHidden/>
              </w:rPr>
              <w:fldChar w:fldCharType="end"/>
            </w:r>
          </w:hyperlink>
        </w:p>
        <w:p w14:paraId="7360B85D" w14:textId="28F666FE" w:rsidR="001E3842" w:rsidRDefault="001E3842">
          <w:pPr>
            <w:pStyle w:val="TOC2"/>
            <w:rPr>
              <w:rFonts w:asciiTheme="minorHAnsi" w:eastAsiaTheme="minorEastAsia" w:hAnsiTheme="minorHAnsi" w:cstheme="minorBidi"/>
              <w:noProof/>
              <w:szCs w:val="22"/>
              <w:lang w:bidi="ar-SA"/>
            </w:rPr>
          </w:pPr>
          <w:hyperlink w:anchor="_Toc110425096" w:history="1">
            <w:r w:rsidRPr="004E6BFC">
              <w:rPr>
                <w:rStyle w:val="Hyperlink"/>
                <w:noProof/>
              </w:rPr>
              <w:t>6.7 Warnings and disclaimers</w:t>
            </w:r>
            <w:r>
              <w:rPr>
                <w:noProof/>
                <w:webHidden/>
              </w:rPr>
              <w:tab/>
            </w:r>
            <w:r>
              <w:rPr>
                <w:noProof/>
                <w:webHidden/>
              </w:rPr>
              <w:fldChar w:fldCharType="begin"/>
            </w:r>
            <w:r>
              <w:rPr>
                <w:noProof/>
                <w:webHidden/>
              </w:rPr>
              <w:instrText xml:space="preserve"> PAGEREF _Toc110425096 \h </w:instrText>
            </w:r>
            <w:r>
              <w:rPr>
                <w:noProof/>
                <w:webHidden/>
              </w:rPr>
            </w:r>
            <w:r>
              <w:rPr>
                <w:noProof/>
                <w:webHidden/>
              </w:rPr>
              <w:fldChar w:fldCharType="separate"/>
            </w:r>
            <w:r>
              <w:rPr>
                <w:noProof/>
                <w:webHidden/>
              </w:rPr>
              <w:t>14</w:t>
            </w:r>
            <w:r>
              <w:rPr>
                <w:noProof/>
                <w:webHidden/>
              </w:rPr>
              <w:fldChar w:fldCharType="end"/>
            </w:r>
          </w:hyperlink>
        </w:p>
        <w:p w14:paraId="608DCFDA" w14:textId="263E1776" w:rsidR="001E3842" w:rsidRDefault="001E3842">
          <w:pPr>
            <w:pStyle w:val="TOC2"/>
            <w:rPr>
              <w:rFonts w:asciiTheme="minorHAnsi" w:eastAsiaTheme="minorEastAsia" w:hAnsiTheme="minorHAnsi" w:cstheme="minorBidi"/>
              <w:noProof/>
              <w:szCs w:val="22"/>
              <w:lang w:bidi="ar-SA"/>
            </w:rPr>
          </w:pPr>
          <w:hyperlink w:anchor="_Toc110425097" w:history="1">
            <w:r w:rsidRPr="004E6BFC">
              <w:rPr>
                <w:rStyle w:val="Hyperlink"/>
                <w:noProof/>
              </w:rPr>
              <w:t>6.8 Freedom of Information Act 2000</w:t>
            </w:r>
            <w:r>
              <w:rPr>
                <w:noProof/>
                <w:webHidden/>
              </w:rPr>
              <w:tab/>
            </w:r>
            <w:r>
              <w:rPr>
                <w:noProof/>
                <w:webHidden/>
              </w:rPr>
              <w:fldChar w:fldCharType="begin"/>
            </w:r>
            <w:r>
              <w:rPr>
                <w:noProof/>
                <w:webHidden/>
              </w:rPr>
              <w:instrText xml:space="preserve"> PAGEREF _Toc110425097 \h </w:instrText>
            </w:r>
            <w:r>
              <w:rPr>
                <w:noProof/>
                <w:webHidden/>
              </w:rPr>
            </w:r>
            <w:r>
              <w:rPr>
                <w:noProof/>
                <w:webHidden/>
              </w:rPr>
              <w:fldChar w:fldCharType="separate"/>
            </w:r>
            <w:r>
              <w:rPr>
                <w:noProof/>
                <w:webHidden/>
              </w:rPr>
              <w:t>15</w:t>
            </w:r>
            <w:r>
              <w:rPr>
                <w:noProof/>
                <w:webHidden/>
              </w:rPr>
              <w:fldChar w:fldCharType="end"/>
            </w:r>
          </w:hyperlink>
        </w:p>
        <w:p w14:paraId="3B6BD901" w14:textId="23CFC9AA" w:rsidR="001E3842" w:rsidRDefault="001E3842">
          <w:pPr>
            <w:pStyle w:val="TOC2"/>
            <w:rPr>
              <w:rFonts w:asciiTheme="minorHAnsi" w:eastAsiaTheme="minorEastAsia" w:hAnsiTheme="minorHAnsi" w:cstheme="minorBidi"/>
              <w:noProof/>
              <w:szCs w:val="22"/>
              <w:lang w:bidi="ar-SA"/>
            </w:rPr>
          </w:pPr>
          <w:hyperlink w:anchor="_Toc110425098" w:history="1">
            <w:r w:rsidRPr="004E6BFC">
              <w:rPr>
                <w:rStyle w:val="Hyperlink"/>
                <w:noProof/>
              </w:rPr>
              <w:t>6.9 Validity Period</w:t>
            </w:r>
            <w:r>
              <w:rPr>
                <w:noProof/>
                <w:webHidden/>
              </w:rPr>
              <w:tab/>
            </w:r>
            <w:r>
              <w:rPr>
                <w:noProof/>
                <w:webHidden/>
              </w:rPr>
              <w:fldChar w:fldCharType="begin"/>
            </w:r>
            <w:r>
              <w:rPr>
                <w:noProof/>
                <w:webHidden/>
              </w:rPr>
              <w:instrText xml:space="preserve"> PAGEREF _Toc110425098 \h </w:instrText>
            </w:r>
            <w:r>
              <w:rPr>
                <w:noProof/>
                <w:webHidden/>
              </w:rPr>
            </w:r>
            <w:r>
              <w:rPr>
                <w:noProof/>
                <w:webHidden/>
              </w:rPr>
              <w:fldChar w:fldCharType="separate"/>
            </w:r>
            <w:r>
              <w:rPr>
                <w:noProof/>
                <w:webHidden/>
              </w:rPr>
              <w:t>15</w:t>
            </w:r>
            <w:r>
              <w:rPr>
                <w:noProof/>
                <w:webHidden/>
              </w:rPr>
              <w:fldChar w:fldCharType="end"/>
            </w:r>
          </w:hyperlink>
        </w:p>
        <w:p w14:paraId="3370CA0A" w14:textId="536AC39A" w:rsidR="001E3842" w:rsidRDefault="001E3842">
          <w:pPr>
            <w:pStyle w:val="TOC2"/>
            <w:rPr>
              <w:rFonts w:asciiTheme="minorHAnsi" w:eastAsiaTheme="minorEastAsia" w:hAnsiTheme="minorHAnsi" w:cstheme="minorBidi"/>
              <w:noProof/>
              <w:szCs w:val="22"/>
              <w:lang w:bidi="ar-SA"/>
            </w:rPr>
          </w:pPr>
          <w:hyperlink w:anchor="_Toc110425099" w:history="1">
            <w:r w:rsidRPr="004E6BFC">
              <w:rPr>
                <w:rStyle w:val="Hyperlink"/>
                <w:noProof/>
              </w:rPr>
              <w:t>6.10 Canvassing</w:t>
            </w:r>
            <w:r>
              <w:rPr>
                <w:noProof/>
                <w:webHidden/>
              </w:rPr>
              <w:tab/>
            </w:r>
            <w:r>
              <w:rPr>
                <w:noProof/>
                <w:webHidden/>
              </w:rPr>
              <w:fldChar w:fldCharType="begin"/>
            </w:r>
            <w:r>
              <w:rPr>
                <w:noProof/>
                <w:webHidden/>
              </w:rPr>
              <w:instrText xml:space="preserve"> PAGEREF _Toc110425099 \h </w:instrText>
            </w:r>
            <w:r>
              <w:rPr>
                <w:noProof/>
                <w:webHidden/>
              </w:rPr>
            </w:r>
            <w:r>
              <w:rPr>
                <w:noProof/>
                <w:webHidden/>
              </w:rPr>
              <w:fldChar w:fldCharType="separate"/>
            </w:r>
            <w:r>
              <w:rPr>
                <w:noProof/>
                <w:webHidden/>
              </w:rPr>
              <w:t>15</w:t>
            </w:r>
            <w:r>
              <w:rPr>
                <w:noProof/>
                <w:webHidden/>
              </w:rPr>
              <w:fldChar w:fldCharType="end"/>
            </w:r>
          </w:hyperlink>
        </w:p>
        <w:p w14:paraId="0903B0D6" w14:textId="16D9C26C" w:rsidR="001E3842" w:rsidRDefault="001E3842">
          <w:pPr>
            <w:pStyle w:val="TOC2"/>
            <w:rPr>
              <w:rFonts w:asciiTheme="minorHAnsi" w:eastAsiaTheme="minorEastAsia" w:hAnsiTheme="minorHAnsi" w:cstheme="minorBidi"/>
              <w:noProof/>
              <w:szCs w:val="22"/>
              <w:lang w:bidi="ar-SA"/>
            </w:rPr>
          </w:pPr>
          <w:hyperlink w:anchor="_Toc110425100" w:history="1">
            <w:r w:rsidRPr="004E6BFC">
              <w:rPr>
                <w:rStyle w:val="Hyperlink"/>
                <w:noProof/>
              </w:rPr>
              <w:t>6.11 Collusive Tendering</w:t>
            </w:r>
            <w:r>
              <w:rPr>
                <w:noProof/>
                <w:webHidden/>
              </w:rPr>
              <w:tab/>
            </w:r>
            <w:r>
              <w:rPr>
                <w:noProof/>
                <w:webHidden/>
              </w:rPr>
              <w:fldChar w:fldCharType="begin"/>
            </w:r>
            <w:r>
              <w:rPr>
                <w:noProof/>
                <w:webHidden/>
              </w:rPr>
              <w:instrText xml:space="preserve"> PAGEREF _Toc110425100 \h </w:instrText>
            </w:r>
            <w:r>
              <w:rPr>
                <w:noProof/>
                <w:webHidden/>
              </w:rPr>
            </w:r>
            <w:r>
              <w:rPr>
                <w:noProof/>
                <w:webHidden/>
              </w:rPr>
              <w:fldChar w:fldCharType="separate"/>
            </w:r>
            <w:r>
              <w:rPr>
                <w:noProof/>
                <w:webHidden/>
              </w:rPr>
              <w:t>15</w:t>
            </w:r>
            <w:r>
              <w:rPr>
                <w:noProof/>
                <w:webHidden/>
              </w:rPr>
              <w:fldChar w:fldCharType="end"/>
            </w:r>
          </w:hyperlink>
        </w:p>
        <w:p w14:paraId="6DA3B4FE" w14:textId="26448ACB" w:rsidR="001E3842" w:rsidRDefault="001E3842">
          <w:pPr>
            <w:pStyle w:val="TOC1"/>
            <w:rPr>
              <w:rFonts w:asciiTheme="minorHAnsi" w:eastAsiaTheme="minorEastAsia" w:hAnsiTheme="minorHAnsi" w:cstheme="minorBidi"/>
              <w:noProof/>
              <w:szCs w:val="22"/>
              <w:lang w:bidi="ar-SA"/>
            </w:rPr>
          </w:pPr>
          <w:hyperlink w:anchor="_Toc110425101" w:history="1">
            <w:r w:rsidRPr="004E6BFC">
              <w:rPr>
                <w:rStyle w:val="Hyperlink"/>
                <w:noProof/>
              </w:rPr>
              <w:t>Annexes</w:t>
            </w:r>
            <w:r>
              <w:rPr>
                <w:noProof/>
                <w:webHidden/>
              </w:rPr>
              <w:tab/>
            </w:r>
            <w:r>
              <w:rPr>
                <w:noProof/>
                <w:webHidden/>
              </w:rPr>
              <w:fldChar w:fldCharType="begin"/>
            </w:r>
            <w:r>
              <w:rPr>
                <w:noProof/>
                <w:webHidden/>
              </w:rPr>
              <w:instrText xml:space="preserve"> PAGEREF _Toc110425101 \h </w:instrText>
            </w:r>
            <w:r>
              <w:rPr>
                <w:noProof/>
                <w:webHidden/>
              </w:rPr>
            </w:r>
            <w:r>
              <w:rPr>
                <w:noProof/>
                <w:webHidden/>
              </w:rPr>
              <w:fldChar w:fldCharType="separate"/>
            </w:r>
            <w:r>
              <w:rPr>
                <w:noProof/>
                <w:webHidden/>
              </w:rPr>
              <w:t>16</w:t>
            </w:r>
            <w:r>
              <w:rPr>
                <w:noProof/>
                <w:webHidden/>
              </w:rPr>
              <w:fldChar w:fldCharType="end"/>
            </w:r>
          </w:hyperlink>
        </w:p>
        <w:p w14:paraId="3C635767" w14:textId="2BFD6E15" w:rsidR="001E3842" w:rsidRDefault="001E3842">
          <w:pPr>
            <w:pStyle w:val="TOC1"/>
            <w:rPr>
              <w:rFonts w:asciiTheme="minorHAnsi" w:eastAsiaTheme="minorEastAsia" w:hAnsiTheme="minorHAnsi" w:cstheme="minorBidi"/>
              <w:noProof/>
              <w:szCs w:val="22"/>
              <w:lang w:bidi="ar-SA"/>
            </w:rPr>
          </w:pPr>
          <w:hyperlink w:anchor="_Toc110425102" w:history="1">
            <w:r w:rsidRPr="004E6BFC">
              <w:rPr>
                <w:rStyle w:val="Hyperlink"/>
                <w:rFonts w:cstheme="minorHAnsi"/>
                <w:noProof/>
              </w:rPr>
              <w:t>Annex A: Service Specification</w:t>
            </w:r>
            <w:r>
              <w:rPr>
                <w:noProof/>
                <w:webHidden/>
              </w:rPr>
              <w:tab/>
            </w:r>
            <w:r>
              <w:rPr>
                <w:noProof/>
                <w:webHidden/>
              </w:rPr>
              <w:fldChar w:fldCharType="begin"/>
            </w:r>
            <w:r>
              <w:rPr>
                <w:noProof/>
                <w:webHidden/>
              </w:rPr>
              <w:instrText xml:space="preserve"> PAGEREF _Toc110425102 \h </w:instrText>
            </w:r>
            <w:r>
              <w:rPr>
                <w:noProof/>
                <w:webHidden/>
              </w:rPr>
            </w:r>
            <w:r>
              <w:rPr>
                <w:noProof/>
                <w:webHidden/>
              </w:rPr>
              <w:fldChar w:fldCharType="separate"/>
            </w:r>
            <w:r>
              <w:rPr>
                <w:noProof/>
                <w:webHidden/>
              </w:rPr>
              <w:t>16</w:t>
            </w:r>
            <w:r>
              <w:rPr>
                <w:noProof/>
                <w:webHidden/>
              </w:rPr>
              <w:fldChar w:fldCharType="end"/>
            </w:r>
          </w:hyperlink>
        </w:p>
        <w:p w14:paraId="4A1CF03F" w14:textId="7F2E1A14" w:rsidR="001E3842" w:rsidRDefault="001E3842">
          <w:pPr>
            <w:pStyle w:val="TOC1"/>
            <w:rPr>
              <w:rFonts w:asciiTheme="minorHAnsi" w:eastAsiaTheme="minorEastAsia" w:hAnsiTheme="minorHAnsi" w:cstheme="minorBidi"/>
              <w:noProof/>
              <w:szCs w:val="22"/>
              <w:lang w:bidi="ar-SA"/>
            </w:rPr>
          </w:pPr>
          <w:hyperlink w:anchor="_Toc110425103" w:history="1">
            <w:r w:rsidRPr="004E6BFC">
              <w:rPr>
                <w:rStyle w:val="Hyperlink"/>
                <w:rFonts w:cstheme="minorHAnsi"/>
                <w:noProof/>
              </w:rPr>
              <w:t>Annex B: Terms and Conditions</w:t>
            </w:r>
            <w:r>
              <w:rPr>
                <w:noProof/>
                <w:webHidden/>
              </w:rPr>
              <w:tab/>
            </w:r>
            <w:r>
              <w:rPr>
                <w:noProof/>
                <w:webHidden/>
              </w:rPr>
              <w:fldChar w:fldCharType="begin"/>
            </w:r>
            <w:r>
              <w:rPr>
                <w:noProof/>
                <w:webHidden/>
              </w:rPr>
              <w:instrText xml:space="preserve"> PAGEREF _Toc110425103 \h </w:instrText>
            </w:r>
            <w:r>
              <w:rPr>
                <w:noProof/>
                <w:webHidden/>
              </w:rPr>
            </w:r>
            <w:r>
              <w:rPr>
                <w:noProof/>
                <w:webHidden/>
              </w:rPr>
              <w:fldChar w:fldCharType="separate"/>
            </w:r>
            <w:r>
              <w:rPr>
                <w:noProof/>
                <w:webHidden/>
              </w:rPr>
              <w:t>16</w:t>
            </w:r>
            <w:r>
              <w:rPr>
                <w:noProof/>
                <w:webHidden/>
              </w:rPr>
              <w:fldChar w:fldCharType="end"/>
            </w:r>
          </w:hyperlink>
        </w:p>
        <w:p w14:paraId="533974F5" w14:textId="236B2926" w:rsidR="001E3842" w:rsidRDefault="001E3842">
          <w:pPr>
            <w:pStyle w:val="TOC1"/>
            <w:rPr>
              <w:rFonts w:asciiTheme="minorHAnsi" w:eastAsiaTheme="minorEastAsia" w:hAnsiTheme="minorHAnsi" w:cstheme="minorBidi"/>
              <w:noProof/>
              <w:szCs w:val="22"/>
              <w:lang w:bidi="ar-SA"/>
            </w:rPr>
          </w:pPr>
          <w:hyperlink w:anchor="_Toc110425104" w:history="1">
            <w:r w:rsidRPr="004E6BFC">
              <w:rPr>
                <w:rStyle w:val="Hyperlink"/>
                <w:rFonts w:cstheme="minorHAnsi"/>
                <w:noProof/>
              </w:rPr>
              <w:t>Annex C: Deliverables</w:t>
            </w:r>
            <w:r>
              <w:rPr>
                <w:noProof/>
                <w:webHidden/>
              </w:rPr>
              <w:tab/>
            </w:r>
            <w:r>
              <w:rPr>
                <w:noProof/>
                <w:webHidden/>
              </w:rPr>
              <w:fldChar w:fldCharType="begin"/>
            </w:r>
            <w:r>
              <w:rPr>
                <w:noProof/>
                <w:webHidden/>
              </w:rPr>
              <w:instrText xml:space="preserve"> PAGEREF _Toc110425104 \h </w:instrText>
            </w:r>
            <w:r>
              <w:rPr>
                <w:noProof/>
                <w:webHidden/>
              </w:rPr>
            </w:r>
            <w:r>
              <w:rPr>
                <w:noProof/>
                <w:webHidden/>
              </w:rPr>
              <w:fldChar w:fldCharType="separate"/>
            </w:r>
            <w:r>
              <w:rPr>
                <w:noProof/>
                <w:webHidden/>
              </w:rPr>
              <w:t>16</w:t>
            </w:r>
            <w:r>
              <w:rPr>
                <w:noProof/>
                <w:webHidden/>
              </w:rPr>
              <w:fldChar w:fldCharType="end"/>
            </w:r>
          </w:hyperlink>
        </w:p>
        <w:p w14:paraId="5E48AD33" w14:textId="38DFD30D" w:rsidR="001E3842" w:rsidRDefault="001E3842">
          <w:pPr>
            <w:pStyle w:val="TOC1"/>
            <w:rPr>
              <w:rFonts w:asciiTheme="minorHAnsi" w:eastAsiaTheme="minorEastAsia" w:hAnsiTheme="minorHAnsi" w:cstheme="minorBidi"/>
              <w:noProof/>
              <w:szCs w:val="22"/>
              <w:lang w:bidi="ar-SA"/>
            </w:rPr>
          </w:pPr>
          <w:hyperlink w:anchor="_Toc110425105" w:history="1">
            <w:r w:rsidRPr="004E6BFC">
              <w:rPr>
                <w:rStyle w:val="Hyperlink"/>
                <w:rFonts w:cstheme="minorHAnsi"/>
                <w:noProof/>
              </w:rPr>
              <w:t>Annex D: Assessing Unmet Payment Linked Deliverables</w:t>
            </w:r>
            <w:r>
              <w:rPr>
                <w:noProof/>
                <w:webHidden/>
              </w:rPr>
              <w:tab/>
            </w:r>
            <w:r>
              <w:rPr>
                <w:noProof/>
                <w:webHidden/>
              </w:rPr>
              <w:fldChar w:fldCharType="begin"/>
            </w:r>
            <w:r>
              <w:rPr>
                <w:noProof/>
                <w:webHidden/>
              </w:rPr>
              <w:instrText xml:space="preserve"> PAGEREF _Toc110425105 \h </w:instrText>
            </w:r>
            <w:r>
              <w:rPr>
                <w:noProof/>
                <w:webHidden/>
              </w:rPr>
            </w:r>
            <w:r>
              <w:rPr>
                <w:noProof/>
                <w:webHidden/>
              </w:rPr>
              <w:fldChar w:fldCharType="separate"/>
            </w:r>
            <w:r>
              <w:rPr>
                <w:noProof/>
                <w:webHidden/>
              </w:rPr>
              <w:t>16</w:t>
            </w:r>
            <w:r>
              <w:rPr>
                <w:noProof/>
                <w:webHidden/>
              </w:rPr>
              <w:fldChar w:fldCharType="end"/>
            </w:r>
          </w:hyperlink>
        </w:p>
        <w:p w14:paraId="25296155" w14:textId="012F0DE5" w:rsidR="001E3842" w:rsidRDefault="001E3842">
          <w:pPr>
            <w:pStyle w:val="TOC1"/>
            <w:rPr>
              <w:rFonts w:asciiTheme="minorHAnsi" w:eastAsiaTheme="minorEastAsia" w:hAnsiTheme="minorHAnsi" w:cstheme="minorBidi"/>
              <w:noProof/>
              <w:szCs w:val="22"/>
              <w:lang w:bidi="ar-SA"/>
            </w:rPr>
          </w:pPr>
          <w:hyperlink w:anchor="_Toc110425106" w:history="1">
            <w:r w:rsidRPr="004E6BFC">
              <w:rPr>
                <w:rStyle w:val="Hyperlink"/>
                <w:rFonts w:cstheme="minorHAnsi"/>
                <w:noProof/>
              </w:rPr>
              <w:t>Annex E: Applying the Process for Unmet Payment Linked Deliverables</w:t>
            </w:r>
            <w:r>
              <w:rPr>
                <w:noProof/>
                <w:webHidden/>
              </w:rPr>
              <w:tab/>
            </w:r>
            <w:r>
              <w:rPr>
                <w:noProof/>
                <w:webHidden/>
              </w:rPr>
              <w:fldChar w:fldCharType="begin"/>
            </w:r>
            <w:r>
              <w:rPr>
                <w:noProof/>
                <w:webHidden/>
              </w:rPr>
              <w:instrText xml:space="preserve"> PAGEREF _Toc110425106 \h </w:instrText>
            </w:r>
            <w:r>
              <w:rPr>
                <w:noProof/>
                <w:webHidden/>
              </w:rPr>
            </w:r>
            <w:r>
              <w:rPr>
                <w:noProof/>
                <w:webHidden/>
              </w:rPr>
              <w:fldChar w:fldCharType="separate"/>
            </w:r>
            <w:r>
              <w:rPr>
                <w:noProof/>
                <w:webHidden/>
              </w:rPr>
              <w:t>16</w:t>
            </w:r>
            <w:r>
              <w:rPr>
                <w:noProof/>
                <w:webHidden/>
              </w:rPr>
              <w:fldChar w:fldCharType="end"/>
            </w:r>
          </w:hyperlink>
        </w:p>
        <w:p w14:paraId="3F87D19F" w14:textId="69790511" w:rsidR="001E3842" w:rsidRDefault="001E3842">
          <w:pPr>
            <w:pStyle w:val="TOC1"/>
            <w:rPr>
              <w:rFonts w:asciiTheme="minorHAnsi" w:eastAsiaTheme="minorEastAsia" w:hAnsiTheme="minorHAnsi" w:cstheme="minorBidi"/>
              <w:noProof/>
              <w:szCs w:val="22"/>
              <w:lang w:bidi="ar-SA"/>
            </w:rPr>
          </w:pPr>
          <w:hyperlink w:anchor="_Toc110425107" w:history="1">
            <w:r w:rsidRPr="004E6BFC">
              <w:rPr>
                <w:rStyle w:val="Hyperlink"/>
                <w:rFonts w:cstheme="minorHAnsi"/>
                <w:noProof/>
              </w:rPr>
              <w:t>Annex F: Dispute Resolution Escalation Process</w:t>
            </w:r>
            <w:r>
              <w:rPr>
                <w:noProof/>
                <w:webHidden/>
              </w:rPr>
              <w:tab/>
            </w:r>
            <w:r>
              <w:rPr>
                <w:noProof/>
                <w:webHidden/>
              </w:rPr>
              <w:fldChar w:fldCharType="begin"/>
            </w:r>
            <w:r>
              <w:rPr>
                <w:noProof/>
                <w:webHidden/>
              </w:rPr>
              <w:instrText xml:space="preserve"> PAGEREF _Toc110425107 \h </w:instrText>
            </w:r>
            <w:r>
              <w:rPr>
                <w:noProof/>
                <w:webHidden/>
              </w:rPr>
            </w:r>
            <w:r>
              <w:rPr>
                <w:noProof/>
                <w:webHidden/>
              </w:rPr>
              <w:fldChar w:fldCharType="separate"/>
            </w:r>
            <w:r>
              <w:rPr>
                <w:noProof/>
                <w:webHidden/>
              </w:rPr>
              <w:t>16</w:t>
            </w:r>
            <w:r>
              <w:rPr>
                <w:noProof/>
                <w:webHidden/>
              </w:rPr>
              <w:fldChar w:fldCharType="end"/>
            </w:r>
          </w:hyperlink>
        </w:p>
        <w:p w14:paraId="58818F23" w14:textId="06EA5319" w:rsidR="001E3842" w:rsidRDefault="001E3842">
          <w:pPr>
            <w:pStyle w:val="TOC1"/>
            <w:rPr>
              <w:rFonts w:asciiTheme="minorHAnsi" w:eastAsiaTheme="minorEastAsia" w:hAnsiTheme="minorHAnsi" w:cstheme="minorBidi"/>
              <w:noProof/>
              <w:szCs w:val="22"/>
              <w:lang w:bidi="ar-SA"/>
            </w:rPr>
          </w:pPr>
          <w:hyperlink w:anchor="_Toc110425108" w:history="1">
            <w:r w:rsidRPr="004E6BFC">
              <w:rPr>
                <w:rStyle w:val="Hyperlink"/>
                <w:rFonts w:cstheme="minorHAnsi"/>
                <w:noProof/>
              </w:rPr>
              <w:t>Annex G: TUPE List of Transferring Employees</w:t>
            </w:r>
            <w:r>
              <w:rPr>
                <w:noProof/>
                <w:webHidden/>
              </w:rPr>
              <w:tab/>
            </w:r>
            <w:r>
              <w:rPr>
                <w:noProof/>
                <w:webHidden/>
              </w:rPr>
              <w:fldChar w:fldCharType="begin"/>
            </w:r>
            <w:r>
              <w:rPr>
                <w:noProof/>
                <w:webHidden/>
              </w:rPr>
              <w:instrText xml:space="preserve"> PAGEREF _Toc110425108 \h </w:instrText>
            </w:r>
            <w:r>
              <w:rPr>
                <w:noProof/>
                <w:webHidden/>
              </w:rPr>
            </w:r>
            <w:r>
              <w:rPr>
                <w:noProof/>
                <w:webHidden/>
              </w:rPr>
              <w:fldChar w:fldCharType="separate"/>
            </w:r>
            <w:r>
              <w:rPr>
                <w:noProof/>
                <w:webHidden/>
              </w:rPr>
              <w:t>16</w:t>
            </w:r>
            <w:r>
              <w:rPr>
                <w:noProof/>
                <w:webHidden/>
              </w:rPr>
              <w:fldChar w:fldCharType="end"/>
            </w:r>
          </w:hyperlink>
        </w:p>
        <w:p w14:paraId="7D5D0B67" w14:textId="2AF7511F" w:rsidR="001E3842" w:rsidRDefault="001E3842">
          <w:pPr>
            <w:pStyle w:val="TOC1"/>
            <w:rPr>
              <w:rFonts w:asciiTheme="minorHAnsi" w:eastAsiaTheme="minorEastAsia" w:hAnsiTheme="minorHAnsi" w:cstheme="minorBidi"/>
              <w:noProof/>
              <w:szCs w:val="22"/>
              <w:lang w:bidi="ar-SA"/>
            </w:rPr>
          </w:pPr>
          <w:hyperlink w:anchor="_Toc110425109" w:history="1">
            <w:r w:rsidRPr="004E6BFC">
              <w:rPr>
                <w:rStyle w:val="Hyperlink"/>
                <w:rFonts w:cstheme="minorHAnsi"/>
                <w:noProof/>
              </w:rPr>
              <w:t>Annex H: Form of Tender</w:t>
            </w:r>
            <w:r>
              <w:rPr>
                <w:noProof/>
                <w:webHidden/>
              </w:rPr>
              <w:tab/>
            </w:r>
            <w:r>
              <w:rPr>
                <w:noProof/>
                <w:webHidden/>
              </w:rPr>
              <w:fldChar w:fldCharType="begin"/>
            </w:r>
            <w:r>
              <w:rPr>
                <w:noProof/>
                <w:webHidden/>
              </w:rPr>
              <w:instrText xml:space="preserve"> PAGEREF _Toc110425109 \h </w:instrText>
            </w:r>
            <w:r>
              <w:rPr>
                <w:noProof/>
                <w:webHidden/>
              </w:rPr>
            </w:r>
            <w:r>
              <w:rPr>
                <w:noProof/>
                <w:webHidden/>
              </w:rPr>
              <w:fldChar w:fldCharType="separate"/>
            </w:r>
            <w:r>
              <w:rPr>
                <w:noProof/>
                <w:webHidden/>
              </w:rPr>
              <w:t>16</w:t>
            </w:r>
            <w:r>
              <w:rPr>
                <w:noProof/>
                <w:webHidden/>
              </w:rPr>
              <w:fldChar w:fldCharType="end"/>
            </w:r>
          </w:hyperlink>
        </w:p>
        <w:p w14:paraId="758B5883" w14:textId="5C731435" w:rsidR="001E3842" w:rsidRDefault="001E3842">
          <w:pPr>
            <w:pStyle w:val="TOC1"/>
            <w:rPr>
              <w:rFonts w:asciiTheme="minorHAnsi" w:eastAsiaTheme="minorEastAsia" w:hAnsiTheme="minorHAnsi" w:cstheme="minorBidi"/>
              <w:noProof/>
              <w:szCs w:val="22"/>
              <w:lang w:bidi="ar-SA"/>
            </w:rPr>
          </w:pPr>
          <w:hyperlink w:anchor="_Toc110425110" w:history="1">
            <w:r w:rsidRPr="004E6BFC">
              <w:rPr>
                <w:rStyle w:val="Hyperlink"/>
                <w:rFonts w:cstheme="minorHAnsi"/>
                <w:noProof/>
              </w:rPr>
              <w:t>Annex I: Canvassing Declaration</w:t>
            </w:r>
            <w:r>
              <w:rPr>
                <w:noProof/>
                <w:webHidden/>
              </w:rPr>
              <w:tab/>
            </w:r>
            <w:r>
              <w:rPr>
                <w:noProof/>
                <w:webHidden/>
              </w:rPr>
              <w:fldChar w:fldCharType="begin"/>
            </w:r>
            <w:r>
              <w:rPr>
                <w:noProof/>
                <w:webHidden/>
              </w:rPr>
              <w:instrText xml:space="preserve"> PAGEREF _Toc110425110 \h </w:instrText>
            </w:r>
            <w:r>
              <w:rPr>
                <w:noProof/>
                <w:webHidden/>
              </w:rPr>
            </w:r>
            <w:r>
              <w:rPr>
                <w:noProof/>
                <w:webHidden/>
              </w:rPr>
              <w:fldChar w:fldCharType="separate"/>
            </w:r>
            <w:r>
              <w:rPr>
                <w:noProof/>
                <w:webHidden/>
              </w:rPr>
              <w:t>16</w:t>
            </w:r>
            <w:r>
              <w:rPr>
                <w:noProof/>
                <w:webHidden/>
              </w:rPr>
              <w:fldChar w:fldCharType="end"/>
            </w:r>
          </w:hyperlink>
        </w:p>
        <w:p w14:paraId="7DCFA195" w14:textId="537EC8E6" w:rsidR="001E3842" w:rsidRDefault="001E3842">
          <w:pPr>
            <w:pStyle w:val="TOC1"/>
            <w:rPr>
              <w:rFonts w:asciiTheme="minorHAnsi" w:eastAsiaTheme="minorEastAsia" w:hAnsiTheme="minorHAnsi" w:cstheme="minorBidi"/>
              <w:noProof/>
              <w:szCs w:val="22"/>
              <w:lang w:bidi="ar-SA"/>
            </w:rPr>
          </w:pPr>
          <w:hyperlink w:anchor="_Toc110425111" w:history="1">
            <w:r w:rsidRPr="004E6BFC">
              <w:rPr>
                <w:rStyle w:val="Hyperlink"/>
                <w:rFonts w:cstheme="minorHAnsi"/>
                <w:noProof/>
              </w:rPr>
              <w:t>Annex J: Collusive Tendering Declaration</w:t>
            </w:r>
            <w:r>
              <w:rPr>
                <w:noProof/>
                <w:webHidden/>
              </w:rPr>
              <w:tab/>
            </w:r>
            <w:r>
              <w:rPr>
                <w:noProof/>
                <w:webHidden/>
              </w:rPr>
              <w:fldChar w:fldCharType="begin"/>
            </w:r>
            <w:r>
              <w:rPr>
                <w:noProof/>
                <w:webHidden/>
              </w:rPr>
              <w:instrText xml:space="preserve"> PAGEREF _Toc110425111 \h </w:instrText>
            </w:r>
            <w:r>
              <w:rPr>
                <w:noProof/>
                <w:webHidden/>
              </w:rPr>
            </w:r>
            <w:r>
              <w:rPr>
                <w:noProof/>
                <w:webHidden/>
              </w:rPr>
              <w:fldChar w:fldCharType="separate"/>
            </w:r>
            <w:r>
              <w:rPr>
                <w:noProof/>
                <w:webHidden/>
              </w:rPr>
              <w:t>16</w:t>
            </w:r>
            <w:r>
              <w:rPr>
                <w:noProof/>
                <w:webHidden/>
              </w:rPr>
              <w:fldChar w:fldCharType="end"/>
            </w:r>
          </w:hyperlink>
        </w:p>
        <w:p w14:paraId="2176C50C" w14:textId="5BD29EBD" w:rsidR="001E3842" w:rsidRDefault="001E3842">
          <w:pPr>
            <w:pStyle w:val="TOC1"/>
            <w:rPr>
              <w:rFonts w:asciiTheme="minorHAnsi" w:eastAsiaTheme="minorEastAsia" w:hAnsiTheme="minorHAnsi" w:cstheme="minorBidi"/>
              <w:noProof/>
              <w:szCs w:val="22"/>
              <w:lang w:bidi="ar-SA"/>
            </w:rPr>
          </w:pPr>
          <w:hyperlink w:anchor="_Toc110425112" w:history="1">
            <w:r w:rsidRPr="004E6BFC">
              <w:rPr>
                <w:rStyle w:val="Hyperlink"/>
                <w:rFonts w:cstheme="minorHAnsi"/>
                <w:noProof/>
              </w:rPr>
              <w:t>Annex K: Conflict of Interest Declaration</w:t>
            </w:r>
            <w:r>
              <w:rPr>
                <w:noProof/>
                <w:webHidden/>
              </w:rPr>
              <w:tab/>
            </w:r>
            <w:r>
              <w:rPr>
                <w:noProof/>
                <w:webHidden/>
              </w:rPr>
              <w:fldChar w:fldCharType="begin"/>
            </w:r>
            <w:r>
              <w:rPr>
                <w:noProof/>
                <w:webHidden/>
              </w:rPr>
              <w:instrText xml:space="preserve"> PAGEREF _Toc110425112 \h </w:instrText>
            </w:r>
            <w:r>
              <w:rPr>
                <w:noProof/>
                <w:webHidden/>
              </w:rPr>
            </w:r>
            <w:r>
              <w:rPr>
                <w:noProof/>
                <w:webHidden/>
              </w:rPr>
              <w:fldChar w:fldCharType="separate"/>
            </w:r>
            <w:r>
              <w:rPr>
                <w:noProof/>
                <w:webHidden/>
              </w:rPr>
              <w:t>16</w:t>
            </w:r>
            <w:r>
              <w:rPr>
                <w:noProof/>
                <w:webHidden/>
              </w:rPr>
              <w:fldChar w:fldCharType="end"/>
            </w:r>
          </w:hyperlink>
        </w:p>
        <w:p w14:paraId="647210D5" w14:textId="4993D061" w:rsidR="001E3842" w:rsidRDefault="001E3842">
          <w:pPr>
            <w:pStyle w:val="TOC1"/>
            <w:rPr>
              <w:rFonts w:asciiTheme="minorHAnsi" w:eastAsiaTheme="minorEastAsia" w:hAnsiTheme="minorHAnsi" w:cstheme="minorBidi"/>
              <w:noProof/>
              <w:szCs w:val="22"/>
              <w:lang w:bidi="ar-SA"/>
            </w:rPr>
          </w:pPr>
          <w:hyperlink w:anchor="_Toc110425113" w:history="1">
            <w:r w:rsidRPr="004E6BFC">
              <w:rPr>
                <w:rStyle w:val="Hyperlink"/>
                <w:rFonts w:cstheme="minorHAnsi"/>
                <w:noProof/>
              </w:rPr>
              <w:t>Annex L: Confidential and Commercially Sensitive Information</w:t>
            </w:r>
            <w:r>
              <w:rPr>
                <w:noProof/>
                <w:webHidden/>
              </w:rPr>
              <w:tab/>
            </w:r>
            <w:r>
              <w:rPr>
                <w:noProof/>
                <w:webHidden/>
              </w:rPr>
              <w:fldChar w:fldCharType="begin"/>
            </w:r>
            <w:r>
              <w:rPr>
                <w:noProof/>
                <w:webHidden/>
              </w:rPr>
              <w:instrText xml:space="preserve"> PAGEREF _Toc110425113 \h </w:instrText>
            </w:r>
            <w:r>
              <w:rPr>
                <w:noProof/>
                <w:webHidden/>
              </w:rPr>
            </w:r>
            <w:r>
              <w:rPr>
                <w:noProof/>
                <w:webHidden/>
              </w:rPr>
              <w:fldChar w:fldCharType="separate"/>
            </w:r>
            <w:r>
              <w:rPr>
                <w:noProof/>
                <w:webHidden/>
              </w:rPr>
              <w:t>16</w:t>
            </w:r>
            <w:r>
              <w:rPr>
                <w:noProof/>
                <w:webHidden/>
              </w:rPr>
              <w:fldChar w:fldCharType="end"/>
            </w:r>
          </w:hyperlink>
        </w:p>
        <w:p w14:paraId="06FCB36B" w14:textId="14F3F2AC" w:rsidR="001E3842" w:rsidRDefault="001E3842">
          <w:pPr>
            <w:pStyle w:val="TOC1"/>
            <w:rPr>
              <w:rFonts w:asciiTheme="minorHAnsi" w:eastAsiaTheme="minorEastAsia" w:hAnsiTheme="minorHAnsi" w:cstheme="minorBidi"/>
              <w:noProof/>
              <w:szCs w:val="22"/>
              <w:lang w:bidi="ar-SA"/>
            </w:rPr>
          </w:pPr>
          <w:hyperlink w:anchor="_Toc110425114" w:history="1">
            <w:r w:rsidRPr="004E6BFC">
              <w:rPr>
                <w:rStyle w:val="Hyperlink"/>
                <w:rFonts w:cstheme="minorHAnsi"/>
                <w:noProof/>
              </w:rPr>
              <w:t>Annex M: Sub-Contractor Form</w:t>
            </w:r>
            <w:r>
              <w:rPr>
                <w:noProof/>
                <w:webHidden/>
              </w:rPr>
              <w:tab/>
            </w:r>
            <w:r>
              <w:rPr>
                <w:noProof/>
                <w:webHidden/>
              </w:rPr>
              <w:fldChar w:fldCharType="begin"/>
            </w:r>
            <w:r>
              <w:rPr>
                <w:noProof/>
                <w:webHidden/>
              </w:rPr>
              <w:instrText xml:space="preserve"> PAGEREF _Toc110425114 \h </w:instrText>
            </w:r>
            <w:r>
              <w:rPr>
                <w:noProof/>
                <w:webHidden/>
              </w:rPr>
            </w:r>
            <w:r>
              <w:rPr>
                <w:noProof/>
                <w:webHidden/>
              </w:rPr>
              <w:fldChar w:fldCharType="separate"/>
            </w:r>
            <w:r>
              <w:rPr>
                <w:noProof/>
                <w:webHidden/>
              </w:rPr>
              <w:t>16</w:t>
            </w:r>
            <w:r>
              <w:rPr>
                <w:noProof/>
                <w:webHidden/>
              </w:rPr>
              <w:fldChar w:fldCharType="end"/>
            </w:r>
          </w:hyperlink>
        </w:p>
        <w:p w14:paraId="277BC2E6" w14:textId="21F8AFE4" w:rsidR="001E3842" w:rsidRDefault="001E3842">
          <w:pPr>
            <w:pStyle w:val="TOC1"/>
            <w:rPr>
              <w:rFonts w:asciiTheme="minorHAnsi" w:eastAsiaTheme="minorEastAsia" w:hAnsiTheme="minorHAnsi" w:cstheme="minorBidi"/>
              <w:noProof/>
              <w:szCs w:val="22"/>
              <w:lang w:bidi="ar-SA"/>
            </w:rPr>
          </w:pPr>
          <w:hyperlink w:anchor="_Toc110425115" w:history="1">
            <w:r w:rsidRPr="004E6BFC">
              <w:rPr>
                <w:rStyle w:val="Hyperlink"/>
                <w:rFonts w:cstheme="minorHAnsi"/>
                <w:noProof/>
              </w:rPr>
              <w:t>Annex N: Guide to Writing a NCAPOP QI Plan</w:t>
            </w:r>
            <w:r>
              <w:rPr>
                <w:noProof/>
                <w:webHidden/>
              </w:rPr>
              <w:tab/>
            </w:r>
            <w:r>
              <w:rPr>
                <w:noProof/>
                <w:webHidden/>
              </w:rPr>
              <w:fldChar w:fldCharType="begin"/>
            </w:r>
            <w:r>
              <w:rPr>
                <w:noProof/>
                <w:webHidden/>
              </w:rPr>
              <w:instrText xml:space="preserve"> PAGEREF _Toc110425115 \h </w:instrText>
            </w:r>
            <w:r>
              <w:rPr>
                <w:noProof/>
                <w:webHidden/>
              </w:rPr>
            </w:r>
            <w:r>
              <w:rPr>
                <w:noProof/>
                <w:webHidden/>
              </w:rPr>
              <w:fldChar w:fldCharType="separate"/>
            </w:r>
            <w:r>
              <w:rPr>
                <w:noProof/>
                <w:webHidden/>
              </w:rPr>
              <w:t>16</w:t>
            </w:r>
            <w:r>
              <w:rPr>
                <w:noProof/>
                <w:webHidden/>
              </w:rPr>
              <w:fldChar w:fldCharType="end"/>
            </w:r>
          </w:hyperlink>
        </w:p>
        <w:p w14:paraId="7907DB26" w14:textId="51F0BFC7" w:rsidR="00D75ED3" w:rsidRPr="00F276ED" w:rsidRDefault="00C65091" w:rsidP="00F61B2D">
          <w:pPr>
            <w:spacing w:after="0" w:line="240" w:lineRule="auto"/>
          </w:pPr>
          <w:r>
            <w:rPr>
              <w:b/>
              <w:bCs/>
              <w:noProof/>
            </w:rPr>
            <w:fldChar w:fldCharType="end"/>
          </w:r>
        </w:p>
      </w:sdtContent>
    </w:sdt>
    <w:p w14:paraId="3D6F4072" w14:textId="77777777" w:rsidR="00F82944" w:rsidRDefault="00F82944" w:rsidP="00F61B2D">
      <w:pPr>
        <w:spacing w:after="0" w:line="240" w:lineRule="auto"/>
        <w:rPr>
          <w:rFonts w:eastAsia="Calibri"/>
        </w:rPr>
      </w:pPr>
    </w:p>
    <w:p w14:paraId="70082C67" w14:textId="77777777" w:rsidR="00BF7DBB" w:rsidRDefault="00BF7DBB" w:rsidP="00F61B2D">
      <w:pPr>
        <w:spacing w:after="0" w:line="240" w:lineRule="auto"/>
        <w:rPr>
          <w:rFonts w:eastAsia="Calibri"/>
        </w:rPr>
      </w:pPr>
    </w:p>
    <w:p w14:paraId="049C6734" w14:textId="77777777" w:rsidR="002050A7" w:rsidRDefault="002050A7" w:rsidP="00F61B2D">
      <w:pPr>
        <w:spacing w:after="0" w:line="240" w:lineRule="auto"/>
        <w:rPr>
          <w:rFonts w:eastAsia="Calibri"/>
        </w:rPr>
      </w:pPr>
    </w:p>
    <w:p w14:paraId="5052985F" w14:textId="77777777" w:rsidR="00DD21F1" w:rsidRDefault="00DD21F1" w:rsidP="00F61B2D">
      <w:pPr>
        <w:spacing w:after="0" w:line="240" w:lineRule="auto"/>
        <w:rPr>
          <w:rFonts w:asciiTheme="majorHAnsi" w:eastAsiaTheme="majorEastAsia" w:hAnsiTheme="majorHAnsi" w:cstheme="majorBidi"/>
          <w:sz w:val="32"/>
          <w:szCs w:val="32"/>
        </w:rPr>
      </w:pPr>
      <w:r>
        <w:br w:type="page"/>
      </w:r>
    </w:p>
    <w:p w14:paraId="7572F315" w14:textId="759FD7E3" w:rsidR="00F61B2D" w:rsidRPr="00F61B2D" w:rsidRDefault="001152B9" w:rsidP="003D6A3A">
      <w:pPr>
        <w:pStyle w:val="Heading1"/>
      </w:pPr>
      <w:bookmarkStart w:id="1" w:name="_Toc110425055"/>
      <w:r w:rsidRPr="00E3458A">
        <w:lastRenderedPageBreak/>
        <w:t xml:space="preserve">1. </w:t>
      </w:r>
      <w:r w:rsidR="00BF7DBB" w:rsidRPr="00E3458A">
        <w:t>INTR</w:t>
      </w:r>
      <w:r w:rsidR="006F1740" w:rsidRPr="00E3458A">
        <w:t>ODUCTION AND BACKGROUND</w:t>
      </w:r>
      <w:bookmarkEnd w:id="1"/>
    </w:p>
    <w:p w14:paraId="44F9CD1E" w14:textId="2484C712" w:rsidR="00F61B2D" w:rsidRPr="00F61B2D" w:rsidRDefault="00111765" w:rsidP="00111765">
      <w:pPr>
        <w:pStyle w:val="Heading2"/>
        <w:spacing w:before="0" w:line="240" w:lineRule="auto"/>
        <w:rPr>
          <w:rFonts w:eastAsia="Calibri"/>
        </w:rPr>
      </w:pPr>
      <w:bookmarkStart w:id="2" w:name="_Toc110425056"/>
      <w:r>
        <w:rPr>
          <w:rFonts w:eastAsia="Calibri"/>
        </w:rPr>
        <w:t xml:space="preserve">1.1 </w:t>
      </w:r>
      <w:r w:rsidR="00F61B2D">
        <w:rPr>
          <w:rFonts w:eastAsia="Calibri"/>
        </w:rPr>
        <w:t>Introduction and context to the p</w:t>
      </w:r>
      <w:r w:rsidR="006F1740" w:rsidRPr="00E3458A">
        <w:rPr>
          <w:rFonts w:eastAsia="Calibri"/>
        </w:rPr>
        <w:t>rocurement</w:t>
      </w:r>
      <w:bookmarkEnd w:id="2"/>
      <w:r w:rsidR="006F1740" w:rsidRPr="00E3458A">
        <w:rPr>
          <w:rFonts w:eastAsia="Calibri"/>
        </w:rPr>
        <w:t xml:space="preserve"> </w:t>
      </w:r>
    </w:p>
    <w:p w14:paraId="06C611E5" w14:textId="3CED76A9" w:rsidR="00BC0EB1" w:rsidRDefault="00BC0EB1" w:rsidP="00F61B2D">
      <w:pPr>
        <w:spacing w:after="0" w:line="240" w:lineRule="auto"/>
        <w:jc w:val="both"/>
      </w:pPr>
      <w:r w:rsidRPr="009C0C66">
        <w:t>Healthcare Quality</w:t>
      </w:r>
      <w:r w:rsidR="00314E8D" w:rsidRPr="009C0C66">
        <w:t xml:space="preserve"> Improvement Partnership (HQIP)</w:t>
      </w:r>
      <w:r w:rsidR="006C6ED8">
        <w:t xml:space="preserve"> is</w:t>
      </w:r>
      <w:r w:rsidRPr="009C0C66">
        <w:t xml:space="preserve"> a Company Limited by Guarantee with company number 06498947 and a Registered Charity in England and Wales</w:t>
      </w:r>
      <w:r w:rsidR="007B47E8">
        <w:t xml:space="preserve">. HQIP commissions national data projects funded by </w:t>
      </w:r>
      <w:r w:rsidRPr="009C0C66">
        <w:t>NHS England and the Health Departments of the UK Devolved Nations</w:t>
      </w:r>
      <w:r w:rsidR="007B47E8">
        <w:t xml:space="preserve"> and other bodies</w:t>
      </w:r>
      <w:r w:rsidRPr="009C0C66">
        <w:t xml:space="preserve"> who wish to participate</w:t>
      </w:r>
      <w:r w:rsidR="007B47E8">
        <w:t xml:space="preserve">. HQIP </w:t>
      </w:r>
      <w:r w:rsidRPr="009C0C66">
        <w:t>(the "Authority") is issuing this invitation to tender ("ITT") in connection with the competitive proc</w:t>
      </w:r>
      <w:r w:rsidR="000F1F16" w:rsidRPr="009C0C66">
        <w:t xml:space="preserve">urement for </w:t>
      </w:r>
      <w:r w:rsidRPr="009C0C66">
        <w:t xml:space="preserve">the </w:t>
      </w:r>
      <w:r w:rsidR="00AB03F0" w:rsidRPr="00AB03F0">
        <w:t>National Respiratory Audit Programme (NRAP)</w:t>
      </w:r>
      <w:r w:rsidR="00AB03F0">
        <w:t>.</w:t>
      </w:r>
    </w:p>
    <w:p w14:paraId="233E3AD8" w14:textId="77777777" w:rsidR="00F61B2D" w:rsidRPr="00BC0EB1" w:rsidRDefault="00F61B2D" w:rsidP="00F61B2D">
      <w:pPr>
        <w:spacing w:after="0" w:line="240" w:lineRule="auto"/>
        <w:jc w:val="both"/>
      </w:pPr>
    </w:p>
    <w:p w14:paraId="5110D676" w14:textId="31B23A30" w:rsidR="00BC0EB1" w:rsidRDefault="0046396E" w:rsidP="00F61B2D">
      <w:pPr>
        <w:spacing w:after="0" w:line="240" w:lineRule="auto"/>
        <w:jc w:val="both"/>
      </w:pPr>
      <w:r>
        <w:t xml:space="preserve">This ITT contains information about the </w:t>
      </w:r>
      <w:r w:rsidR="006C6ED8">
        <w:t>p</w:t>
      </w:r>
      <w:r>
        <w:t xml:space="preserve">rocurement </w:t>
      </w:r>
      <w:r w:rsidR="006C6ED8">
        <w:t>p</w:t>
      </w:r>
      <w:r>
        <w:t>rocess</w:t>
      </w:r>
      <w:r w:rsidR="00015A38">
        <w:t>.</w:t>
      </w:r>
      <w:r>
        <w:t xml:space="preserve"> Each Bidder’s response (“Tender”) should be detailed enough to allow the Authority to make </w:t>
      </w:r>
      <w:r w:rsidR="006C6ED8">
        <w:t xml:space="preserve">an </w:t>
      </w:r>
      <w:r>
        <w:t>informed award decision</w:t>
      </w:r>
      <w:r w:rsidR="003B4FD1">
        <w:t xml:space="preserve">. </w:t>
      </w:r>
      <w:r w:rsidR="00BC0EB1" w:rsidRPr="00BC0EB1">
        <w:t xml:space="preserve">The Authority </w:t>
      </w:r>
      <w:r w:rsidR="00A22FE8">
        <w:t>uses</w:t>
      </w:r>
      <w:r w:rsidR="00BC0EB1" w:rsidRPr="00BC0EB1">
        <w:t xml:space="preserve"> the Wax Digital e-tendering portal to conduct the procurement process ("the e-Tendering Portal"). All communications (including submission of Tenders) </w:t>
      </w:r>
      <w:r w:rsidR="003431F9">
        <w:t xml:space="preserve">must </w:t>
      </w:r>
      <w:r w:rsidR="003431F9" w:rsidRPr="00BC0EB1">
        <w:t>be</w:t>
      </w:r>
      <w:r w:rsidR="00BC0EB1" w:rsidRPr="00BC0EB1">
        <w:t xml:space="preserve"> carried out via the e-Tender</w:t>
      </w:r>
      <w:r w:rsidR="00BC0EB1" w:rsidRPr="00701442">
        <w:t>ing Portal.</w:t>
      </w:r>
      <w:r w:rsidR="000739CE" w:rsidRPr="00701442">
        <w:t xml:space="preserve"> Full details</w:t>
      </w:r>
      <w:r w:rsidR="000739CE" w:rsidRPr="00361FF2">
        <w:t xml:space="preserve"> of HQIP’s requirements are set out in the </w:t>
      </w:r>
      <w:r w:rsidR="00EB1626">
        <w:t xml:space="preserve">service </w:t>
      </w:r>
      <w:r w:rsidR="000739CE" w:rsidRPr="00361FF2">
        <w:t>specification document.</w:t>
      </w:r>
    </w:p>
    <w:p w14:paraId="6D365F7A" w14:textId="77777777" w:rsidR="00F61B2D" w:rsidRPr="00F61B2D" w:rsidRDefault="00F61B2D" w:rsidP="00F61B2D">
      <w:pPr>
        <w:spacing w:after="0" w:line="240" w:lineRule="auto"/>
        <w:jc w:val="both"/>
        <w:rPr>
          <w:highlight w:val="yellow"/>
        </w:rPr>
      </w:pPr>
    </w:p>
    <w:p w14:paraId="0E004CA1" w14:textId="77777777" w:rsidR="00A87397" w:rsidRPr="009C5AB8" w:rsidRDefault="00A87397" w:rsidP="00F61B2D">
      <w:pPr>
        <w:pStyle w:val="Heading2"/>
        <w:spacing w:before="0" w:line="240" w:lineRule="auto"/>
      </w:pPr>
      <w:bookmarkStart w:id="3" w:name="_Toc110425057"/>
      <w:r w:rsidRPr="009C5AB8">
        <w:t>1.</w:t>
      </w:r>
      <w:r w:rsidR="00BD5155" w:rsidRPr="009C5AB8">
        <w:t xml:space="preserve">2 </w:t>
      </w:r>
      <w:r w:rsidR="000739CE" w:rsidRPr="009C5AB8">
        <w:t>Rules that apply to this procurement</w:t>
      </w:r>
      <w:bookmarkEnd w:id="3"/>
      <w:r w:rsidR="000739CE" w:rsidRPr="009C5AB8">
        <w:t xml:space="preserve"> </w:t>
      </w:r>
      <w:r w:rsidRPr="009C5AB8">
        <w:t xml:space="preserve"> </w:t>
      </w:r>
    </w:p>
    <w:p w14:paraId="791C64D0" w14:textId="59B46E91" w:rsidR="00F61B2D" w:rsidRPr="00865E7B" w:rsidRDefault="006A63FE" w:rsidP="00343E30">
      <w:pPr>
        <w:jc w:val="both"/>
      </w:pPr>
      <w:r w:rsidRPr="00D564D3">
        <w:t>This procurement is for clinical ser</w:t>
      </w:r>
      <w:r>
        <w:t>vices which are part of the ‘Public Contract Regulations (PCR2015)</w:t>
      </w:r>
      <w:r w:rsidRPr="00D564D3">
        <w:t>’ for th</w:t>
      </w:r>
      <w:r w:rsidR="00F87935">
        <w:t xml:space="preserve">e purpose of the Regulations. </w:t>
      </w:r>
      <w:r w:rsidRPr="00D564D3">
        <w:t xml:space="preserve">The procedure that the Authority is following is as set out in this ITT. </w:t>
      </w:r>
    </w:p>
    <w:p w14:paraId="5A055F59" w14:textId="72F64B3D" w:rsidR="003E4D05" w:rsidRPr="009C5AB8" w:rsidRDefault="000E4B55" w:rsidP="00F61B2D">
      <w:pPr>
        <w:pStyle w:val="Heading2"/>
        <w:spacing w:before="0" w:line="240" w:lineRule="auto"/>
      </w:pPr>
      <w:bookmarkStart w:id="4" w:name="_Toc110425058"/>
      <w:r w:rsidRPr="009C5AB8">
        <w:t>1.</w:t>
      </w:r>
      <w:r w:rsidR="004600A3" w:rsidRPr="009C5AB8">
        <w:t>3</w:t>
      </w:r>
      <w:r w:rsidRPr="009C5AB8">
        <w:t xml:space="preserve"> </w:t>
      </w:r>
      <w:r w:rsidR="00875964">
        <w:t>S</w:t>
      </w:r>
      <w:r w:rsidR="0087259F">
        <w:t>mall and medium-sized enterprises</w:t>
      </w:r>
      <w:bookmarkEnd w:id="4"/>
    </w:p>
    <w:p w14:paraId="5FC3519E" w14:textId="1D6A234B" w:rsidR="00A97D7E" w:rsidRDefault="00787FB5" w:rsidP="00496801">
      <w:pPr>
        <w:spacing w:after="0" w:line="240" w:lineRule="auto"/>
        <w:jc w:val="both"/>
      </w:pPr>
      <w:r>
        <w:t>HQIP is committed to supporting the Government's small and medium-sized enterprise (SME) initiative; its aspiration is that 25% of public sector spend, direct and through the supply chain, goes to SMEs. Providers are encouraged to work with HQIP to support the wider SME initiative.</w:t>
      </w:r>
      <w:r w:rsidR="00496801">
        <w:t xml:space="preserve"> </w:t>
      </w:r>
      <w:r>
        <w:t xml:space="preserve">The link below to the Cabinet Office website provides information on the Government's Crown Representative for SMEs, a link to the definition of an SME and details on  the SME initiative </w:t>
      </w:r>
      <w:hyperlink r:id="rId8" w:history="1">
        <w:r w:rsidR="00A97D7E" w:rsidRPr="00EE59EB">
          <w:rPr>
            <w:rStyle w:val="Hyperlink"/>
          </w:rPr>
          <w:t>https://www.gov.uk/government/policies/buying-and-managing-government-goods-and-services-more-efficiently-and-effectively/supporting-pages/making-sure-government-gets-full-value-from-small-and-medium-sized-enterprises</w:t>
        </w:r>
      </w:hyperlink>
      <w:r w:rsidR="00A97D7E">
        <w:t xml:space="preserve"> </w:t>
      </w:r>
    </w:p>
    <w:p w14:paraId="1040F367" w14:textId="77777777" w:rsidR="00F61B2D" w:rsidRDefault="00F61B2D" w:rsidP="00F61B2D">
      <w:pPr>
        <w:spacing w:after="0" w:line="240" w:lineRule="auto"/>
        <w:jc w:val="both"/>
      </w:pPr>
    </w:p>
    <w:p w14:paraId="631EFC2E" w14:textId="77777777" w:rsidR="003E4D05" w:rsidRPr="00D81FFA" w:rsidRDefault="001152B9" w:rsidP="00F61B2D">
      <w:pPr>
        <w:pStyle w:val="Heading2"/>
        <w:spacing w:before="0" w:line="240" w:lineRule="auto"/>
      </w:pPr>
      <w:bookmarkStart w:id="5" w:name="_Toc110425059"/>
      <w:r w:rsidRPr="00D81FFA">
        <w:t xml:space="preserve">1.4 </w:t>
      </w:r>
      <w:r w:rsidR="000E4B55" w:rsidRPr="00D81FFA">
        <w:t>Purpose and structure</w:t>
      </w:r>
      <w:r w:rsidR="00A97D7E" w:rsidRPr="00D81FFA">
        <w:t xml:space="preserve"> of </w:t>
      </w:r>
      <w:r w:rsidR="00115E65" w:rsidRPr="00D81FFA">
        <w:t>this ITT</w:t>
      </w:r>
      <w:bookmarkEnd w:id="5"/>
    </w:p>
    <w:p w14:paraId="36BD4C20" w14:textId="77777777" w:rsidR="00A97D7E" w:rsidRDefault="00115E65" w:rsidP="00F61B2D">
      <w:pPr>
        <w:spacing w:after="0" w:line="240" w:lineRule="auto"/>
        <w:jc w:val="both"/>
      </w:pPr>
      <w:r>
        <w:t xml:space="preserve">This </w:t>
      </w:r>
      <w:proofErr w:type="gramStart"/>
      <w:r>
        <w:t>ITT;</w:t>
      </w:r>
      <w:proofErr w:type="gramEnd"/>
    </w:p>
    <w:p w14:paraId="171E322E" w14:textId="77777777" w:rsidR="00A97D7E" w:rsidRPr="00865E7B" w:rsidRDefault="00A97D7E" w:rsidP="00F61B2D">
      <w:pPr>
        <w:pStyle w:val="ListParagraph"/>
        <w:numPr>
          <w:ilvl w:val="0"/>
          <w:numId w:val="1"/>
        </w:numPr>
        <w:spacing w:after="0" w:line="240" w:lineRule="auto"/>
        <w:jc w:val="both"/>
      </w:pPr>
      <w:r w:rsidRPr="00865E7B">
        <w:t xml:space="preserve">invites Bidders to submit their Tenders in accordance with the instructions set out in the remainder of this </w:t>
      </w:r>
      <w:proofErr w:type="gramStart"/>
      <w:r w:rsidRPr="00865E7B">
        <w:t>ITT;</w:t>
      </w:r>
      <w:proofErr w:type="gramEnd"/>
      <w:r w:rsidRPr="00865E7B">
        <w:t xml:space="preserve">    </w:t>
      </w:r>
    </w:p>
    <w:p w14:paraId="7C77DE48" w14:textId="611CAF70" w:rsidR="00A97D7E" w:rsidRPr="00865E7B" w:rsidRDefault="00A97D7E" w:rsidP="00F61B2D">
      <w:pPr>
        <w:pStyle w:val="ListParagraph"/>
        <w:numPr>
          <w:ilvl w:val="0"/>
          <w:numId w:val="1"/>
        </w:numPr>
        <w:spacing w:after="0" w:line="240" w:lineRule="auto"/>
        <w:jc w:val="both"/>
      </w:pPr>
      <w:r w:rsidRPr="00865E7B">
        <w:t xml:space="preserve">sets out the overall </w:t>
      </w:r>
      <w:r w:rsidR="00D30FA1" w:rsidRPr="00865E7B">
        <w:t xml:space="preserve">indicative </w:t>
      </w:r>
      <w:r w:rsidRPr="00865E7B">
        <w:t xml:space="preserve">timetable and </w:t>
      </w:r>
      <w:r w:rsidR="00EF1088" w:rsidRPr="00865E7B">
        <w:t xml:space="preserve">the </w:t>
      </w:r>
      <w:r w:rsidRPr="00865E7B">
        <w:t>procurement</w:t>
      </w:r>
      <w:r w:rsidR="00EF1088" w:rsidRPr="00865E7B">
        <w:t xml:space="preserve"> </w:t>
      </w:r>
      <w:proofErr w:type="gramStart"/>
      <w:r w:rsidR="00EF1088" w:rsidRPr="00865E7B">
        <w:t>process</w:t>
      </w:r>
      <w:r w:rsidRPr="00865E7B">
        <w:t>;</w:t>
      </w:r>
      <w:proofErr w:type="gramEnd"/>
    </w:p>
    <w:p w14:paraId="1D976C9D" w14:textId="4D73A1F3" w:rsidR="00A97D7E" w:rsidRPr="00865E7B" w:rsidRDefault="00A97D7E" w:rsidP="00F61B2D">
      <w:pPr>
        <w:pStyle w:val="ListParagraph"/>
        <w:numPr>
          <w:ilvl w:val="0"/>
          <w:numId w:val="1"/>
        </w:numPr>
        <w:spacing w:after="0" w:line="240" w:lineRule="auto"/>
        <w:jc w:val="both"/>
      </w:pPr>
      <w:r w:rsidRPr="00865E7B">
        <w:t xml:space="preserve">provides Bidders with </w:t>
      </w:r>
      <w:r w:rsidR="00EF1088" w:rsidRPr="00865E7B">
        <w:t>the</w:t>
      </w:r>
      <w:r w:rsidRPr="00865E7B">
        <w:t xml:space="preserve"> i</w:t>
      </w:r>
      <w:r w:rsidR="00EF1088" w:rsidRPr="00865E7B">
        <w:t>nformation required to</w:t>
      </w:r>
      <w:r w:rsidRPr="00865E7B">
        <w:t xml:space="preserve"> enable them to submit a compliant </w:t>
      </w:r>
      <w:proofErr w:type="gramStart"/>
      <w:r w:rsidRPr="00865E7B">
        <w:t>Tender;</w:t>
      </w:r>
      <w:proofErr w:type="gramEnd"/>
    </w:p>
    <w:p w14:paraId="0E48061E" w14:textId="4E0A3CCD" w:rsidR="00384030" w:rsidRPr="00865E7B" w:rsidRDefault="000E4B55" w:rsidP="00F61B2D">
      <w:pPr>
        <w:pStyle w:val="ListParagraph"/>
        <w:numPr>
          <w:ilvl w:val="0"/>
          <w:numId w:val="1"/>
        </w:numPr>
        <w:spacing w:after="0" w:line="240" w:lineRule="auto"/>
        <w:jc w:val="both"/>
      </w:pPr>
      <w:r w:rsidRPr="00865E7B">
        <w:t xml:space="preserve">sets out </w:t>
      </w:r>
      <w:r w:rsidR="00EF1088" w:rsidRPr="00865E7B">
        <w:t>the Award Criteria and e</w:t>
      </w:r>
      <w:r w:rsidRPr="00865E7B">
        <w:t xml:space="preserve">valuation model that will be used to evaluate the </w:t>
      </w:r>
      <w:proofErr w:type="gramStart"/>
      <w:r w:rsidRPr="00865E7B">
        <w:t xml:space="preserve">Tender </w:t>
      </w:r>
      <w:r w:rsidR="00A97D7E" w:rsidRPr="00865E7B">
        <w:t xml:space="preserve"> and</w:t>
      </w:r>
      <w:proofErr w:type="gramEnd"/>
      <w:r w:rsidR="00EF1088" w:rsidRPr="00865E7B">
        <w:t>;</w:t>
      </w:r>
      <w:r w:rsidR="00A97D7E" w:rsidRPr="00865E7B">
        <w:t xml:space="preserve">    </w:t>
      </w:r>
    </w:p>
    <w:p w14:paraId="7BDB8DB5" w14:textId="06D3490C" w:rsidR="00384030" w:rsidRPr="00865E7B" w:rsidRDefault="00A97D7E" w:rsidP="00F61B2D">
      <w:pPr>
        <w:pStyle w:val="ListParagraph"/>
        <w:numPr>
          <w:ilvl w:val="0"/>
          <w:numId w:val="1"/>
        </w:numPr>
        <w:spacing w:after="0" w:line="240" w:lineRule="auto"/>
        <w:jc w:val="both"/>
      </w:pPr>
      <w:r w:rsidRPr="00865E7B">
        <w:t xml:space="preserve">explains the administrative arrangements for the receipt </w:t>
      </w:r>
      <w:r w:rsidR="000E4B55" w:rsidRPr="00865E7B">
        <w:t>of Tenders</w:t>
      </w:r>
      <w:r w:rsidRPr="00865E7B">
        <w:t>.</w:t>
      </w:r>
    </w:p>
    <w:p w14:paraId="679D8BB0" w14:textId="45268A99" w:rsidR="0060328F" w:rsidRDefault="0060328F" w:rsidP="00F61B2D">
      <w:pPr>
        <w:pStyle w:val="ListParagraph"/>
        <w:spacing w:after="0" w:line="240" w:lineRule="auto"/>
        <w:jc w:val="both"/>
      </w:pPr>
    </w:p>
    <w:p w14:paraId="4DB3F68E" w14:textId="6C2016A9" w:rsidR="00790D2E" w:rsidRPr="006F081F" w:rsidRDefault="00790D2E" w:rsidP="00F61B2D">
      <w:pPr>
        <w:pStyle w:val="Heading2"/>
        <w:spacing w:before="0" w:line="240" w:lineRule="auto"/>
      </w:pPr>
      <w:bookmarkStart w:id="6" w:name="_Toc110425060"/>
      <w:r w:rsidRPr="006F081F">
        <w:t>1.5 Definitions</w:t>
      </w:r>
      <w:bookmarkEnd w:id="6"/>
      <w:r w:rsidRPr="006F081F">
        <w:t xml:space="preserve"> </w:t>
      </w:r>
    </w:p>
    <w:p w14:paraId="5DBCC726" w14:textId="7F2F1E6E" w:rsidR="00790D2E" w:rsidRDefault="00790D2E" w:rsidP="00F61B2D">
      <w:pPr>
        <w:spacing w:after="0" w:line="240" w:lineRule="auto"/>
        <w:jc w:val="both"/>
        <w:rPr>
          <w:rFonts w:cstheme="minorHAnsi"/>
        </w:rPr>
      </w:pPr>
      <w:r w:rsidRPr="00790D2E">
        <w:rPr>
          <w:rFonts w:cstheme="minorHAnsi"/>
        </w:rPr>
        <w:t>The "Authority" means the contracting authority, or anyone acting on behalf of the contracting authority, that is seeking to invite suitable candidates to participate in this procurement process.</w:t>
      </w:r>
      <w:r w:rsidR="00D209DC">
        <w:rPr>
          <w:rFonts w:cstheme="minorHAnsi"/>
        </w:rPr>
        <w:t xml:space="preserve"> </w:t>
      </w:r>
      <w:r w:rsidRPr="00790D2E">
        <w:rPr>
          <w:rFonts w:cstheme="minorHAnsi"/>
        </w:rPr>
        <w:t xml:space="preserve">"You"/ "Your" or "Bidder" refers to the potential supplier completing these questions </w:t>
      </w:r>
      <w:proofErr w:type="gramStart"/>
      <w:r w:rsidRPr="00790D2E">
        <w:rPr>
          <w:rFonts w:cstheme="minorHAnsi"/>
        </w:rPr>
        <w:t>i.e.</w:t>
      </w:r>
      <w:proofErr w:type="gramEnd"/>
      <w:r w:rsidRPr="00790D2E">
        <w:rPr>
          <w:rFonts w:cstheme="minorHAnsi"/>
        </w:rPr>
        <w:t xml:space="preserve"> the legal entity r</w:t>
      </w:r>
      <w:r w:rsidRPr="009669BB">
        <w:rPr>
          <w:rFonts w:cstheme="minorHAnsi"/>
        </w:rPr>
        <w:t>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14:paraId="4DD2C95D" w14:textId="77777777" w:rsidR="00F61B2D" w:rsidRPr="00865E7B" w:rsidRDefault="00F61B2D" w:rsidP="00F61B2D">
      <w:pPr>
        <w:spacing w:after="0" w:line="240" w:lineRule="auto"/>
        <w:jc w:val="both"/>
        <w:rPr>
          <w:rFonts w:cstheme="minorHAnsi"/>
        </w:rPr>
      </w:pPr>
    </w:p>
    <w:p w14:paraId="30219BD0" w14:textId="7C92677F" w:rsidR="00DD2CA4" w:rsidRPr="00731C23" w:rsidRDefault="00F31BF5" w:rsidP="003D6A3A">
      <w:pPr>
        <w:pStyle w:val="Heading1"/>
        <w:rPr>
          <w:rFonts w:eastAsia="Calibri"/>
          <w:lang w:val="en-US"/>
        </w:rPr>
      </w:pPr>
      <w:bookmarkStart w:id="7" w:name="_Toc110425061"/>
      <w:r w:rsidRPr="00E3458A">
        <w:rPr>
          <w:rFonts w:eastAsia="Calibri"/>
          <w:spacing w:val="11"/>
          <w:w w:val="105"/>
          <w:lang w:val="en-US"/>
        </w:rPr>
        <w:lastRenderedPageBreak/>
        <w:t xml:space="preserve">2. </w:t>
      </w:r>
      <w:r w:rsidR="00016855" w:rsidRPr="00E3458A">
        <w:rPr>
          <w:rFonts w:eastAsia="Calibri"/>
          <w:spacing w:val="11"/>
          <w:w w:val="105"/>
          <w:lang w:val="en-US"/>
        </w:rPr>
        <w:t>TENDER</w:t>
      </w:r>
      <w:r w:rsidR="00016855" w:rsidRPr="00E3458A">
        <w:rPr>
          <w:rFonts w:eastAsia="Calibri"/>
          <w:spacing w:val="-48"/>
          <w:w w:val="105"/>
          <w:lang w:val="en-US"/>
        </w:rPr>
        <w:t xml:space="preserve"> </w:t>
      </w:r>
      <w:r w:rsidR="00016855" w:rsidRPr="00E3458A">
        <w:rPr>
          <w:rFonts w:eastAsia="Calibri"/>
          <w:w w:val="105"/>
          <w:lang w:val="en-US"/>
        </w:rPr>
        <w:t>TIMETABLE</w:t>
      </w:r>
      <w:bookmarkEnd w:id="7"/>
    </w:p>
    <w:p w14:paraId="712587A8" w14:textId="430535E9" w:rsidR="00F61B2D" w:rsidRPr="00F61B2D" w:rsidRDefault="00DD2CA4" w:rsidP="00F61B2D">
      <w:pPr>
        <w:pStyle w:val="Heading2"/>
        <w:spacing w:before="0" w:line="240" w:lineRule="auto"/>
      </w:pPr>
      <w:bookmarkStart w:id="8" w:name="_Toc110425062"/>
      <w:r w:rsidRPr="00E3458A">
        <w:t xml:space="preserve">2.1 </w:t>
      </w:r>
      <w:r w:rsidR="00F5244E" w:rsidRPr="00E3458A">
        <w:t>Key dates</w:t>
      </w:r>
      <w:bookmarkEnd w:id="8"/>
    </w:p>
    <w:p w14:paraId="2187813A" w14:textId="7C24F2C8" w:rsidR="00F5244E" w:rsidRDefault="00F5244E" w:rsidP="00F61B2D">
      <w:pPr>
        <w:spacing w:after="0" w:line="240" w:lineRule="auto"/>
        <w:jc w:val="both"/>
      </w:pPr>
      <w:r w:rsidRPr="00F5244E">
        <w:t xml:space="preserve">The procurement will follow a clear, </w:t>
      </w:r>
      <w:proofErr w:type="gramStart"/>
      <w:r w:rsidRPr="00F5244E">
        <w:t>structured</w:t>
      </w:r>
      <w:proofErr w:type="gramEnd"/>
      <w:r w:rsidRPr="00F5244E">
        <w:t xml:space="preserve"> and transparent process to ensure a fair and level playing field so that all </w:t>
      </w:r>
      <w:r w:rsidR="00B90BE0">
        <w:t xml:space="preserve">Bidders are treated equally. </w:t>
      </w:r>
      <w:r w:rsidRPr="00F5244E">
        <w:t xml:space="preserve">The </w:t>
      </w:r>
      <w:r w:rsidR="00290389">
        <w:t xml:space="preserve">indicative </w:t>
      </w:r>
      <w:r w:rsidRPr="00F5244E">
        <w:t>key dates for this procurement are currently anticipated to be as follows:</w:t>
      </w:r>
    </w:p>
    <w:p w14:paraId="3481EDB4" w14:textId="77777777" w:rsidR="00F61B2D" w:rsidRPr="00F5244E" w:rsidRDefault="00F61B2D" w:rsidP="00F61B2D">
      <w:pPr>
        <w:spacing w:after="0" w:line="240" w:lineRule="auto"/>
        <w:jc w:val="both"/>
      </w:pPr>
    </w:p>
    <w:tbl>
      <w:tblPr>
        <w:tblStyle w:val="TableGrid"/>
        <w:tblW w:w="0" w:type="auto"/>
        <w:tblInd w:w="-5" w:type="dxa"/>
        <w:tblLook w:val="04A0" w:firstRow="1" w:lastRow="0" w:firstColumn="1" w:lastColumn="0" w:noHBand="0" w:noVBand="1"/>
      </w:tblPr>
      <w:tblGrid>
        <w:gridCol w:w="5670"/>
        <w:gridCol w:w="3351"/>
      </w:tblGrid>
      <w:tr w:rsidR="00F5244E" w14:paraId="27ACFF2A" w14:textId="77777777" w:rsidTr="00F5244E">
        <w:tc>
          <w:tcPr>
            <w:tcW w:w="5670" w:type="dxa"/>
            <w:shd w:val="clear" w:color="auto" w:fill="D9D9D9" w:themeFill="background1" w:themeFillShade="D9"/>
          </w:tcPr>
          <w:p w14:paraId="6675510E" w14:textId="526ED6E0" w:rsidR="00F5244E" w:rsidRPr="00F5244E" w:rsidRDefault="00F5244E" w:rsidP="00F61B2D">
            <w:pPr>
              <w:jc w:val="center"/>
              <w:rPr>
                <w:b/>
              </w:rPr>
            </w:pPr>
            <w:r w:rsidRPr="00F5244E">
              <w:rPr>
                <w:b/>
              </w:rPr>
              <w:t>Event</w:t>
            </w:r>
          </w:p>
        </w:tc>
        <w:tc>
          <w:tcPr>
            <w:tcW w:w="3351" w:type="dxa"/>
            <w:shd w:val="clear" w:color="auto" w:fill="D9D9D9" w:themeFill="background1" w:themeFillShade="D9"/>
          </w:tcPr>
          <w:p w14:paraId="174DA3D8" w14:textId="77777777" w:rsidR="00F5244E" w:rsidRDefault="00F5244E" w:rsidP="00F61B2D">
            <w:pPr>
              <w:jc w:val="center"/>
              <w:rPr>
                <w:b/>
              </w:rPr>
            </w:pPr>
            <w:r w:rsidRPr="00F5244E">
              <w:rPr>
                <w:b/>
              </w:rPr>
              <w:t>Date</w:t>
            </w:r>
          </w:p>
          <w:p w14:paraId="3DB36EC3" w14:textId="013632F5" w:rsidR="0028486C" w:rsidRPr="00F5244E" w:rsidRDefault="0028486C" w:rsidP="00F61B2D">
            <w:pPr>
              <w:jc w:val="center"/>
              <w:rPr>
                <w:b/>
              </w:rPr>
            </w:pPr>
          </w:p>
        </w:tc>
      </w:tr>
      <w:tr w:rsidR="00F5244E" w14:paraId="160B8EE5" w14:textId="77777777" w:rsidTr="00F5244E">
        <w:tc>
          <w:tcPr>
            <w:tcW w:w="5670" w:type="dxa"/>
          </w:tcPr>
          <w:p w14:paraId="32C5BD4F" w14:textId="77777777" w:rsidR="00F5244E" w:rsidRDefault="00F5244E" w:rsidP="00F61B2D">
            <w:pPr>
              <w:jc w:val="both"/>
            </w:pPr>
            <w:r>
              <w:t xml:space="preserve">ITT issued </w:t>
            </w:r>
          </w:p>
        </w:tc>
        <w:tc>
          <w:tcPr>
            <w:tcW w:w="3351" w:type="dxa"/>
          </w:tcPr>
          <w:p w14:paraId="77E48D3F" w14:textId="54091E17" w:rsidR="00DD2CA4" w:rsidRPr="00AB03F0" w:rsidRDefault="00AB03F0" w:rsidP="00975082">
            <w:pPr>
              <w:jc w:val="center"/>
            </w:pPr>
            <w:r w:rsidRPr="00AB03F0">
              <w:t>15 August 2022</w:t>
            </w:r>
          </w:p>
        </w:tc>
      </w:tr>
      <w:tr w:rsidR="00F5244E" w14:paraId="61980987" w14:textId="77777777" w:rsidTr="00F5244E">
        <w:tc>
          <w:tcPr>
            <w:tcW w:w="5670" w:type="dxa"/>
          </w:tcPr>
          <w:p w14:paraId="547594F9" w14:textId="7F6F698D" w:rsidR="00F5244E" w:rsidRDefault="00F5244E" w:rsidP="00F61B2D">
            <w:pPr>
              <w:jc w:val="both"/>
            </w:pPr>
            <w:r>
              <w:t xml:space="preserve">Deadline for the receipt of </w:t>
            </w:r>
            <w:r w:rsidR="008977C8">
              <w:t xml:space="preserve">ITT </w:t>
            </w:r>
            <w:r>
              <w:t xml:space="preserve">clarification questions </w:t>
            </w:r>
            <w:r w:rsidR="008977C8">
              <w:t>from Bidders</w:t>
            </w:r>
          </w:p>
        </w:tc>
        <w:tc>
          <w:tcPr>
            <w:tcW w:w="3351" w:type="dxa"/>
          </w:tcPr>
          <w:p w14:paraId="7908CC71" w14:textId="40C485F2" w:rsidR="00F5244E" w:rsidRPr="00AB03F0" w:rsidRDefault="00AB03F0" w:rsidP="00975082">
            <w:pPr>
              <w:jc w:val="center"/>
            </w:pPr>
            <w:r w:rsidRPr="00AB03F0">
              <w:t>5 September 2022</w:t>
            </w:r>
          </w:p>
        </w:tc>
      </w:tr>
      <w:tr w:rsidR="00F5244E" w14:paraId="02294C5B" w14:textId="77777777" w:rsidTr="00F5244E">
        <w:tc>
          <w:tcPr>
            <w:tcW w:w="5670" w:type="dxa"/>
          </w:tcPr>
          <w:p w14:paraId="20B27143" w14:textId="77777777" w:rsidR="00F5244E" w:rsidRDefault="00F5244E" w:rsidP="00F61B2D">
            <w:pPr>
              <w:jc w:val="both"/>
            </w:pPr>
            <w:r>
              <w:t xml:space="preserve">Deadline for receipt of Tender </w:t>
            </w:r>
          </w:p>
        </w:tc>
        <w:tc>
          <w:tcPr>
            <w:tcW w:w="3351" w:type="dxa"/>
          </w:tcPr>
          <w:p w14:paraId="0DA80736" w14:textId="3B8040B7" w:rsidR="00F5244E" w:rsidRPr="00AB03F0" w:rsidRDefault="00AB03F0" w:rsidP="00975082">
            <w:pPr>
              <w:jc w:val="center"/>
            </w:pPr>
            <w:r w:rsidRPr="00AB03F0">
              <w:t>16 September 2022</w:t>
            </w:r>
          </w:p>
        </w:tc>
      </w:tr>
      <w:tr w:rsidR="00F5244E" w14:paraId="3A7BFE9C" w14:textId="77777777" w:rsidTr="00F5244E">
        <w:tc>
          <w:tcPr>
            <w:tcW w:w="5670" w:type="dxa"/>
          </w:tcPr>
          <w:p w14:paraId="0562F935" w14:textId="77777777" w:rsidR="00F5244E" w:rsidRDefault="00F5244E" w:rsidP="00F61B2D">
            <w:pPr>
              <w:jc w:val="both"/>
            </w:pPr>
            <w:r>
              <w:t>Evaluation of Tenders</w:t>
            </w:r>
          </w:p>
        </w:tc>
        <w:tc>
          <w:tcPr>
            <w:tcW w:w="3351" w:type="dxa"/>
          </w:tcPr>
          <w:p w14:paraId="154606B5" w14:textId="24AE067D" w:rsidR="00F5244E" w:rsidRPr="00AB03F0" w:rsidRDefault="00AB03F0" w:rsidP="00975082">
            <w:pPr>
              <w:jc w:val="center"/>
            </w:pPr>
            <w:r w:rsidRPr="00AB03F0">
              <w:t>September – November 2022</w:t>
            </w:r>
          </w:p>
        </w:tc>
      </w:tr>
      <w:tr w:rsidR="00F5244E" w14:paraId="14E6A76D" w14:textId="77777777" w:rsidTr="00F5244E">
        <w:tc>
          <w:tcPr>
            <w:tcW w:w="5670" w:type="dxa"/>
          </w:tcPr>
          <w:p w14:paraId="7E2F46E6" w14:textId="77777777" w:rsidR="00F5244E" w:rsidRPr="00290389" w:rsidRDefault="00F5244E" w:rsidP="00F61B2D">
            <w:pPr>
              <w:jc w:val="both"/>
              <w:rPr>
                <w:rFonts w:cstheme="minorHAnsi"/>
              </w:rPr>
            </w:pPr>
            <w:r w:rsidRPr="00290389">
              <w:rPr>
                <w:rFonts w:cstheme="minorHAnsi"/>
              </w:rPr>
              <w:t xml:space="preserve">Notification of contract award decision </w:t>
            </w:r>
          </w:p>
        </w:tc>
        <w:tc>
          <w:tcPr>
            <w:tcW w:w="3351" w:type="dxa"/>
          </w:tcPr>
          <w:p w14:paraId="37D8D816" w14:textId="349B16E8" w:rsidR="00F5244E" w:rsidRPr="00AB03F0" w:rsidRDefault="00AB03F0" w:rsidP="00975082">
            <w:pPr>
              <w:jc w:val="center"/>
              <w:rPr>
                <w:rFonts w:cstheme="minorHAnsi"/>
              </w:rPr>
            </w:pPr>
            <w:r w:rsidRPr="00AB03F0">
              <w:rPr>
                <w:rFonts w:cstheme="minorHAnsi"/>
              </w:rPr>
              <w:t>January 2023</w:t>
            </w:r>
          </w:p>
        </w:tc>
      </w:tr>
      <w:tr w:rsidR="00F5244E" w14:paraId="67AA6BB1" w14:textId="77777777" w:rsidTr="00F5244E">
        <w:tc>
          <w:tcPr>
            <w:tcW w:w="5670" w:type="dxa"/>
          </w:tcPr>
          <w:p w14:paraId="6FB1B57F" w14:textId="77777777" w:rsidR="00F5244E" w:rsidRDefault="00F5244E" w:rsidP="00F61B2D">
            <w:pPr>
              <w:jc w:val="both"/>
            </w:pPr>
            <w:r>
              <w:t xml:space="preserve">Contract award </w:t>
            </w:r>
          </w:p>
        </w:tc>
        <w:tc>
          <w:tcPr>
            <w:tcW w:w="3351" w:type="dxa"/>
          </w:tcPr>
          <w:p w14:paraId="22B3D2CB" w14:textId="3F193D03" w:rsidR="00F5244E" w:rsidRPr="00AB03F0" w:rsidRDefault="00AB03F0" w:rsidP="00975082">
            <w:pPr>
              <w:jc w:val="center"/>
            </w:pPr>
            <w:r w:rsidRPr="00AB03F0">
              <w:t>February – March 2023</w:t>
            </w:r>
          </w:p>
        </w:tc>
      </w:tr>
      <w:tr w:rsidR="00F5244E" w14:paraId="4925E869" w14:textId="77777777" w:rsidTr="00F5244E">
        <w:tc>
          <w:tcPr>
            <w:tcW w:w="5670" w:type="dxa"/>
          </w:tcPr>
          <w:p w14:paraId="0FF25D1D" w14:textId="77777777" w:rsidR="00F5244E" w:rsidRDefault="00F5244E" w:rsidP="00F61B2D">
            <w:pPr>
              <w:jc w:val="both"/>
            </w:pPr>
            <w:r>
              <w:t xml:space="preserve">Contract commences </w:t>
            </w:r>
          </w:p>
        </w:tc>
        <w:tc>
          <w:tcPr>
            <w:tcW w:w="3351" w:type="dxa"/>
          </w:tcPr>
          <w:p w14:paraId="51872867" w14:textId="7F1133D7" w:rsidR="00DA211E" w:rsidRPr="00AB03F0" w:rsidRDefault="00AB03F0" w:rsidP="00975082">
            <w:pPr>
              <w:jc w:val="center"/>
            </w:pPr>
            <w:r w:rsidRPr="00AB03F0">
              <w:t>01 June 2023</w:t>
            </w:r>
          </w:p>
        </w:tc>
      </w:tr>
    </w:tbl>
    <w:p w14:paraId="4E51DAB0" w14:textId="77777777" w:rsidR="00F5244E" w:rsidRDefault="00F5244E" w:rsidP="00F61B2D">
      <w:pPr>
        <w:spacing w:after="0" w:line="240" w:lineRule="auto"/>
        <w:jc w:val="both"/>
      </w:pPr>
    </w:p>
    <w:p w14:paraId="353F63E9" w14:textId="1A4D6375" w:rsidR="00290389" w:rsidRDefault="00F5244E" w:rsidP="00F61B2D">
      <w:pPr>
        <w:spacing w:after="0" w:line="240" w:lineRule="auto"/>
        <w:jc w:val="both"/>
      </w:pPr>
      <w:r w:rsidRPr="00F5244E">
        <w:t>Whilst the Authority does not currently intend to depart from the timetable, it reserves the right to do so at any stage. Any changes to the timetable will be notified to all Bidders.</w:t>
      </w:r>
    </w:p>
    <w:p w14:paraId="25ED3AC6" w14:textId="77777777" w:rsidR="00F61B2D" w:rsidRDefault="00F61B2D" w:rsidP="00F61B2D">
      <w:pPr>
        <w:spacing w:after="0" w:line="240" w:lineRule="auto"/>
        <w:jc w:val="both"/>
      </w:pPr>
    </w:p>
    <w:p w14:paraId="5BE8B08B" w14:textId="6C495B79" w:rsidR="00B01B14" w:rsidRPr="00837DA6" w:rsidRDefault="00F31BF5" w:rsidP="00F61B2D">
      <w:pPr>
        <w:pStyle w:val="Heading2"/>
        <w:spacing w:before="0" w:line="240" w:lineRule="auto"/>
      </w:pPr>
      <w:bookmarkStart w:id="9" w:name="_Toc110425063"/>
      <w:r w:rsidRPr="00837DA6">
        <w:rPr>
          <w:rFonts w:eastAsia="Arial Narrow"/>
          <w:w w:val="105"/>
          <w:lang w:val="en-US"/>
        </w:rPr>
        <w:t xml:space="preserve">2.2 </w:t>
      </w:r>
      <w:r w:rsidR="00F5244E" w:rsidRPr="00837DA6">
        <w:rPr>
          <w:rFonts w:eastAsia="Arial Narrow"/>
          <w:w w:val="105"/>
          <w:lang w:val="en-US"/>
        </w:rPr>
        <w:t xml:space="preserve">Deadline </w:t>
      </w:r>
      <w:r w:rsidR="00C90BBA" w:rsidRPr="00837DA6">
        <w:rPr>
          <w:rFonts w:eastAsia="Arial Narrow"/>
          <w:w w:val="105"/>
          <w:lang w:val="en-US"/>
        </w:rPr>
        <w:t>for receipt</w:t>
      </w:r>
      <w:r w:rsidR="00F5244E" w:rsidRPr="00837DA6">
        <w:rPr>
          <w:rFonts w:eastAsia="Arial Narrow"/>
          <w:w w:val="105"/>
          <w:lang w:val="en-US"/>
        </w:rPr>
        <w:t xml:space="preserve"> </w:t>
      </w:r>
      <w:r w:rsidR="00384030" w:rsidRPr="00837DA6">
        <w:rPr>
          <w:rFonts w:eastAsia="Arial Narrow"/>
          <w:spacing w:val="6"/>
          <w:w w:val="105"/>
          <w:lang w:val="en-US"/>
        </w:rPr>
        <w:t xml:space="preserve">of </w:t>
      </w:r>
      <w:r w:rsidR="00384030" w:rsidRPr="00837DA6">
        <w:rPr>
          <w:rFonts w:eastAsia="Arial Narrow"/>
          <w:spacing w:val="13"/>
          <w:w w:val="105"/>
          <w:lang w:val="en-US"/>
        </w:rPr>
        <w:t>Tenders</w:t>
      </w:r>
      <w:bookmarkEnd w:id="9"/>
    </w:p>
    <w:p w14:paraId="3B55E932" w14:textId="0BA081A9" w:rsidR="00B01B14" w:rsidRPr="00C90BBA" w:rsidRDefault="00F5244E" w:rsidP="00F61B2D">
      <w:pPr>
        <w:widowControl w:val="0"/>
        <w:tabs>
          <w:tab w:val="left" w:pos="564"/>
        </w:tabs>
        <w:autoSpaceDE w:val="0"/>
        <w:autoSpaceDN w:val="0"/>
        <w:spacing w:after="0" w:line="240" w:lineRule="auto"/>
        <w:jc w:val="both"/>
        <w:outlineLvl w:val="4"/>
        <w:rPr>
          <w:rFonts w:ascii="Calibri" w:eastAsia="Calibri" w:hAnsi="Calibri" w:cs="Calibri"/>
          <w:w w:val="105"/>
          <w:sz w:val="16"/>
          <w:szCs w:val="16"/>
          <w:lang w:val="en-US"/>
        </w:rPr>
      </w:pPr>
      <w:r w:rsidRPr="00C90BBA">
        <w:rPr>
          <w:rFonts w:ascii="Calibri" w:eastAsia="Calibri" w:hAnsi="Calibri" w:cs="Calibri"/>
          <w:w w:val="105"/>
          <w:lang w:val="en-US"/>
        </w:rPr>
        <w:t>Bidders</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must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submit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their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Tenders</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in</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manner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prescribed</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in</w:t>
      </w:r>
      <w:r w:rsidRPr="00C90BBA">
        <w:rPr>
          <w:rFonts w:ascii="Calibri" w:eastAsia="Calibri" w:hAnsi="Calibri" w:cs="Calibri"/>
          <w:spacing w:val="-14"/>
          <w:w w:val="105"/>
          <w:lang w:val="en-US"/>
        </w:rPr>
        <w:t xml:space="preserve"> </w:t>
      </w:r>
      <w:r w:rsidR="00AF45BB">
        <w:rPr>
          <w:rFonts w:ascii="Calibri" w:eastAsia="Calibri" w:hAnsi="Calibri" w:cs="Calibri"/>
          <w:w w:val="105"/>
          <w:lang w:val="en-US"/>
        </w:rPr>
        <w:t>this document,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no</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later</w:t>
      </w:r>
      <w:r w:rsidR="00B01B14"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than</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deadline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for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receipt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of</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Tenders</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specified</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on</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front cover</w:t>
      </w:r>
      <w:r w:rsidRPr="00C90BBA">
        <w:rPr>
          <w:rFonts w:ascii="Calibri" w:eastAsia="Calibri" w:hAnsi="Calibri" w:cs="Calibri"/>
          <w:spacing w:val="-18"/>
          <w:w w:val="105"/>
          <w:lang w:val="en-US"/>
        </w:rPr>
        <w:t xml:space="preserve"> </w:t>
      </w:r>
      <w:r w:rsidRPr="00C90BBA">
        <w:rPr>
          <w:rFonts w:ascii="Calibri" w:eastAsia="Calibri" w:hAnsi="Calibri" w:cs="Calibri"/>
          <w:w w:val="105"/>
          <w:lang w:val="en-US"/>
        </w:rPr>
        <w:t>of</w:t>
      </w:r>
      <w:r w:rsidRPr="00C90BBA">
        <w:rPr>
          <w:rFonts w:ascii="Calibri" w:eastAsia="Calibri" w:hAnsi="Calibri" w:cs="Calibri"/>
          <w:spacing w:val="-18"/>
          <w:w w:val="105"/>
          <w:lang w:val="en-US"/>
        </w:rPr>
        <w:t xml:space="preserve"> </w:t>
      </w:r>
      <w:r w:rsidRPr="00C90BBA">
        <w:rPr>
          <w:rFonts w:ascii="Calibri" w:eastAsia="Calibri" w:hAnsi="Calibri" w:cs="Calibri"/>
          <w:w w:val="105"/>
          <w:lang w:val="en-US"/>
        </w:rPr>
        <w:t>this</w:t>
      </w:r>
      <w:r w:rsidRPr="00C90BBA">
        <w:rPr>
          <w:rFonts w:ascii="Calibri" w:eastAsia="Calibri" w:hAnsi="Calibri" w:cs="Calibri"/>
          <w:spacing w:val="-18"/>
          <w:w w:val="105"/>
          <w:lang w:val="en-US"/>
        </w:rPr>
        <w:t xml:space="preserve"> </w:t>
      </w:r>
      <w:r w:rsidRPr="00C90BBA">
        <w:rPr>
          <w:rFonts w:ascii="Calibri" w:eastAsia="Calibri" w:hAnsi="Calibri" w:cs="Calibri"/>
          <w:w w:val="105"/>
          <w:lang w:val="en-US"/>
        </w:rPr>
        <w:t>ITT.</w:t>
      </w:r>
    </w:p>
    <w:p w14:paraId="69E0076A" w14:textId="77777777" w:rsidR="00B01B14" w:rsidRPr="00B01B14" w:rsidRDefault="00B01B14" w:rsidP="00F61B2D">
      <w:pPr>
        <w:pStyle w:val="ListParagraph"/>
        <w:widowControl w:val="0"/>
        <w:tabs>
          <w:tab w:val="left" w:pos="564"/>
        </w:tabs>
        <w:autoSpaceDE w:val="0"/>
        <w:autoSpaceDN w:val="0"/>
        <w:spacing w:after="0" w:line="240" w:lineRule="auto"/>
        <w:jc w:val="both"/>
        <w:outlineLvl w:val="4"/>
        <w:rPr>
          <w:rFonts w:eastAsia="Arial Narrow" w:cstheme="minorHAnsi"/>
          <w:b/>
          <w:bCs/>
          <w:lang w:val="en-US"/>
        </w:rPr>
      </w:pPr>
    </w:p>
    <w:p w14:paraId="52896F0F" w14:textId="07E3C23F" w:rsidR="00F5244E" w:rsidRPr="00C90BBA" w:rsidRDefault="00F5244E" w:rsidP="00F61B2D">
      <w:pPr>
        <w:widowControl w:val="0"/>
        <w:tabs>
          <w:tab w:val="left" w:pos="564"/>
        </w:tabs>
        <w:autoSpaceDE w:val="0"/>
        <w:autoSpaceDN w:val="0"/>
        <w:spacing w:after="0" w:line="240" w:lineRule="auto"/>
        <w:jc w:val="both"/>
        <w:outlineLvl w:val="4"/>
        <w:rPr>
          <w:rFonts w:eastAsia="Arial Narrow" w:cstheme="minorHAnsi"/>
          <w:b/>
          <w:bCs/>
          <w:lang w:val="en-US"/>
        </w:rPr>
      </w:pPr>
      <w:r w:rsidRPr="00C90BBA">
        <w:rPr>
          <w:rFonts w:ascii="Calibri" w:eastAsia="Calibri" w:hAnsi="Calibri" w:cs="Calibri"/>
          <w:w w:val="105"/>
          <w:lang w:val="en-US"/>
        </w:rPr>
        <w:t>Any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Tender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received</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after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deadline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or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by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any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method</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other</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than</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via</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e-Tendering</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Portal</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may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not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be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considered.</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Authority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may</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at</w:t>
      </w:r>
      <w:r w:rsidRPr="00C90BBA">
        <w:rPr>
          <w:rFonts w:ascii="Calibri" w:eastAsia="Calibri" w:hAnsi="Calibri" w:cs="Calibri"/>
          <w:spacing w:val="-14"/>
          <w:w w:val="105"/>
          <w:lang w:val="en-US"/>
        </w:rPr>
        <w:t xml:space="preserve"> </w:t>
      </w:r>
      <w:r w:rsidRPr="00C90BBA">
        <w:rPr>
          <w:rFonts w:ascii="Calibri" w:eastAsia="Calibri" w:hAnsi="Calibri" w:cs="Calibri"/>
          <w:w w:val="105"/>
          <w:lang w:val="en-US"/>
        </w:rPr>
        <w:t>its</w:t>
      </w:r>
      <w:r w:rsidRPr="00C90BBA">
        <w:rPr>
          <w:rFonts w:ascii="Calibri" w:eastAsia="Calibri" w:hAnsi="Calibri" w:cs="Calibri"/>
          <w:spacing w:val="-14"/>
          <w:w w:val="105"/>
          <w:lang w:val="en-US"/>
        </w:rPr>
        <w:t xml:space="preserve"> </w:t>
      </w:r>
      <w:r w:rsidR="00A02125">
        <w:rPr>
          <w:rFonts w:ascii="Calibri" w:eastAsia="Calibri" w:hAnsi="Calibri" w:cs="Calibri"/>
          <w:spacing w:val="-14"/>
          <w:w w:val="105"/>
          <w:lang w:val="en-US"/>
        </w:rPr>
        <w:t xml:space="preserve">absolute </w:t>
      </w:r>
      <w:r w:rsidRPr="00C90BBA">
        <w:rPr>
          <w:rFonts w:ascii="Calibri" w:eastAsia="Calibri" w:hAnsi="Calibri" w:cs="Calibri"/>
          <w:w w:val="105"/>
          <w:lang w:val="en-US"/>
        </w:rPr>
        <w:t>discretion extend</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deadline</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and</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in</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such</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circumstances</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the</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Authority</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will</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notify</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all</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Bidders</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of</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any</w:t>
      </w:r>
      <w:r w:rsidRPr="00C90BBA">
        <w:rPr>
          <w:rFonts w:ascii="Calibri" w:eastAsia="Calibri" w:hAnsi="Calibri" w:cs="Calibri"/>
          <w:spacing w:val="-13"/>
          <w:w w:val="105"/>
          <w:lang w:val="en-US"/>
        </w:rPr>
        <w:t xml:space="preserve"> </w:t>
      </w:r>
      <w:r w:rsidRPr="00C90BBA">
        <w:rPr>
          <w:rFonts w:ascii="Calibri" w:eastAsia="Calibri" w:hAnsi="Calibri" w:cs="Calibri"/>
          <w:w w:val="105"/>
          <w:lang w:val="en-US"/>
        </w:rPr>
        <w:t>change.</w:t>
      </w:r>
    </w:p>
    <w:p w14:paraId="7D766E75" w14:textId="77777777" w:rsidR="00B01B14" w:rsidRPr="00B01B14" w:rsidRDefault="00B01B14" w:rsidP="00F61B2D">
      <w:pPr>
        <w:widowControl w:val="0"/>
        <w:tabs>
          <w:tab w:val="left" w:pos="564"/>
        </w:tabs>
        <w:autoSpaceDE w:val="0"/>
        <w:autoSpaceDN w:val="0"/>
        <w:spacing w:after="0" w:line="240" w:lineRule="auto"/>
        <w:jc w:val="both"/>
        <w:outlineLvl w:val="4"/>
        <w:rPr>
          <w:rFonts w:eastAsia="Arial Narrow" w:cstheme="minorHAnsi"/>
          <w:b/>
          <w:bCs/>
          <w:sz w:val="28"/>
          <w:szCs w:val="28"/>
          <w:lang w:val="en-US"/>
        </w:rPr>
      </w:pPr>
    </w:p>
    <w:p w14:paraId="04403B7B" w14:textId="3E9A0555" w:rsidR="0078766D" w:rsidRPr="00B514E4" w:rsidRDefault="00EA06AD" w:rsidP="00F61B2D">
      <w:pPr>
        <w:pStyle w:val="Heading2"/>
        <w:spacing w:before="0" w:line="240" w:lineRule="auto"/>
      </w:pPr>
      <w:bookmarkStart w:id="10" w:name="_Toc110425064"/>
      <w:r>
        <w:t>2.3</w:t>
      </w:r>
      <w:r w:rsidR="0078766D" w:rsidRPr="00E3458A">
        <w:t xml:space="preserve"> </w:t>
      </w:r>
      <w:r w:rsidR="00AF0F16" w:rsidRPr="00E3458A">
        <w:t>Cont</w:t>
      </w:r>
      <w:r w:rsidR="00F61B2D">
        <w:t>ract a</w:t>
      </w:r>
      <w:r w:rsidR="00AF0F16" w:rsidRPr="00E3458A">
        <w:t>ward</w:t>
      </w:r>
      <w:bookmarkEnd w:id="10"/>
      <w:r w:rsidR="00AF0F16" w:rsidRPr="00E3458A">
        <w:t xml:space="preserve"> </w:t>
      </w:r>
    </w:p>
    <w:p w14:paraId="4949ACCA" w14:textId="45CA16A0" w:rsidR="0078766D" w:rsidRDefault="00D02457" w:rsidP="00F61B2D">
      <w:pPr>
        <w:spacing w:after="0" w:line="240" w:lineRule="auto"/>
        <w:jc w:val="both"/>
        <w:rPr>
          <w:rFonts w:cstheme="minorHAnsi"/>
        </w:rPr>
      </w:pPr>
      <w:r w:rsidRPr="00D02457">
        <w:rPr>
          <w:rFonts w:cstheme="minorHAnsi"/>
        </w:rPr>
        <w:t xml:space="preserve">Contract award is subject to the formal approval process of the Authority. Until all necessary approvals are </w:t>
      </w:r>
      <w:proofErr w:type="gramStart"/>
      <w:r w:rsidRPr="00D02457">
        <w:rPr>
          <w:rFonts w:cstheme="minorHAnsi"/>
        </w:rPr>
        <w:t>obtained</w:t>
      </w:r>
      <w:proofErr w:type="gramEnd"/>
      <w:r w:rsidRPr="00D02457">
        <w:rPr>
          <w:rFonts w:cstheme="minorHAnsi"/>
        </w:rPr>
        <w:t xml:space="preserve"> and the standstill period completed, no contract(s) will be entered into.</w:t>
      </w:r>
      <w:r w:rsidR="00D209DC">
        <w:rPr>
          <w:rFonts w:cstheme="minorHAnsi"/>
        </w:rPr>
        <w:t xml:space="preserve"> </w:t>
      </w:r>
      <w:r w:rsidRPr="00D02457">
        <w:rPr>
          <w:rFonts w:cstheme="minorHAnsi"/>
        </w:rPr>
        <w:t xml:space="preserve">Once the Authority has reached a decision in respect of a contract award, it will notify all Bidders of that decision and provide for a standstill period in accordance with the Public Contracts Regulations 2015 before </w:t>
      </w:r>
      <w:proofErr w:type="gramStart"/>
      <w:r w:rsidRPr="00D02457">
        <w:rPr>
          <w:rFonts w:cstheme="minorHAnsi"/>
        </w:rPr>
        <w:t>entering into</w:t>
      </w:r>
      <w:proofErr w:type="gramEnd"/>
      <w:r w:rsidRPr="00D02457">
        <w:rPr>
          <w:rFonts w:cstheme="minorHAnsi"/>
        </w:rPr>
        <w:t xml:space="preserve"> any contract(s).</w:t>
      </w:r>
    </w:p>
    <w:p w14:paraId="7FAFE09C" w14:textId="77777777" w:rsidR="00F61B2D" w:rsidRPr="00B514E4" w:rsidRDefault="00F61B2D" w:rsidP="00F61B2D">
      <w:pPr>
        <w:spacing w:after="0" w:line="240" w:lineRule="auto"/>
        <w:jc w:val="both"/>
        <w:rPr>
          <w:rFonts w:cstheme="minorHAnsi"/>
        </w:rPr>
      </w:pPr>
    </w:p>
    <w:p w14:paraId="20F764DC" w14:textId="3E4434C6" w:rsidR="0078766D" w:rsidRPr="00B514E4" w:rsidRDefault="0078766D" w:rsidP="003D6A3A">
      <w:pPr>
        <w:pStyle w:val="Heading1"/>
      </w:pPr>
      <w:bookmarkStart w:id="11" w:name="_Toc110425065"/>
      <w:r w:rsidRPr="00E3458A">
        <w:t xml:space="preserve">3. </w:t>
      </w:r>
      <w:r w:rsidR="00573299" w:rsidRPr="00E3458A">
        <w:t>CONTRACT AND SPECIFICATION</w:t>
      </w:r>
      <w:bookmarkEnd w:id="11"/>
      <w:r w:rsidR="00573299" w:rsidRPr="00E3458A">
        <w:t xml:space="preserve"> </w:t>
      </w:r>
    </w:p>
    <w:p w14:paraId="660413C4" w14:textId="77130FDE" w:rsidR="0078766D" w:rsidRPr="00146FCD" w:rsidRDefault="00573299" w:rsidP="00F61B2D">
      <w:pPr>
        <w:pStyle w:val="Heading2"/>
        <w:spacing w:before="0" w:line="240" w:lineRule="auto"/>
      </w:pPr>
      <w:bookmarkStart w:id="12" w:name="_Toc110425066"/>
      <w:r w:rsidRPr="00E3458A">
        <w:t>3.1 Contract</w:t>
      </w:r>
      <w:bookmarkEnd w:id="12"/>
      <w:r w:rsidRPr="00E3458A">
        <w:t xml:space="preserve"> </w:t>
      </w:r>
    </w:p>
    <w:p w14:paraId="092BA263" w14:textId="7D4655A8" w:rsidR="0028623C" w:rsidRDefault="00573299" w:rsidP="00F61B2D">
      <w:pPr>
        <w:spacing w:after="0" w:line="240" w:lineRule="auto"/>
        <w:jc w:val="both"/>
        <w:rPr>
          <w:rFonts w:cstheme="minorHAnsi"/>
        </w:rPr>
      </w:pPr>
      <w:r>
        <w:rPr>
          <w:rFonts w:cstheme="minorHAnsi"/>
        </w:rPr>
        <w:t>The Authority includes any subsidiary companies and other organisations that control or are controlled by the Authority from time to time.</w:t>
      </w:r>
      <w:r w:rsidR="001C1F69">
        <w:rPr>
          <w:rFonts w:cstheme="minorHAnsi"/>
        </w:rPr>
        <w:t xml:space="preserve"> </w:t>
      </w:r>
      <w:r w:rsidR="0028623C">
        <w:rPr>
          <w:rFonts w:cstheme="minorHAnsi"/>
        </w:rPr>
        <w:t>By submitting a Tender response, you are agreeing to be bound by the Terms of this ITT and contract without further negotiation or amendment.</w:t>
      </w:r>
    </w:p>
    <w:p w14:paraId="5E82E86E" w14:textId="5A1B4961" w:rsidR="001C1F69" w:rsidRDefault="001C1F69" w:rsidP="00F61B2D">
      <w:pPr>
        <w:pStyle w:val="Heading2"/>
        <w:spacing w:before="0" w:line="240" w:lineRule="auto"/>
      </w:pPr>
    </w:p>
    <w:p w14:paraId="1AF49202" w14:textId="44E9F5AE" w:rsidR="002C030B" w:rsidRPr="00146FCD" w:rsidRDefault="0006275F" w:rsidP="00F61B2D">
      <w:pPr>
        <w:pStyle w:val="Heading2"/>
        <w:spacing w:before="0" w:line="240" w:lineRule="auto"/>
      </w:pPr>
      <w:bookmarkStart w:id="13" w:name="_Toc110425067"/>
      <w:r w:rsidRPr="00E3458A">
        <w:t>3.2 Specification</w:t>
      </w:r>
      <w:bookmarkEnd w:id="13"/>
      <w:r w:rsidRPr="00E3458A">
        <w:t xml:space="preserve"> </w:t>
      </w:r>
    </w:p>
    <w:p w14:paraId="06FFA326" w14:textId="10E7F7CC" w:rsidR="00FB363F" w:rsidRDefault="006D551F" w:rsidP="00F61B2D">
      <w:pPr>
        <w:spacing w:after="0" w:line="240" w:lineRule="auto"/>
        <w:jc w:val="both"/>
        <w:rPr>
          <w:rFonts w:cstheme="minorHAnsi"/>
        </w:rPr>
      </w:pPr>
      <w:r>
        <w:rPr>
          <w:rFonts w:cstheme="minorHAnsi"/>
        </w:rPr>
        <w:t>The Authority’s detailed contract specification for the service is set out at Annex A (“</w:t>
      </w:r>
      <w:r w:rsidR="00AE7762">
        <w:rPr>
          <w:rFonts w:cstheme="minorHAnsi"/>
        </w:rPr>
        <w:t xml:space="preserve">Service </w:t>
      </w:r>
      <w:r>
        <w:rPr>
          <w:rFonts w:cstheme="minorHAnsi"/>
        </w:rPr>
        <w:t>Specification”).</w:t>
      </w:r>
      <w:r w:rsidR="0032579D">
        <w:rPr>
          <w:rFonts w:cstheme="minorHAnsi"/>
        </w:rPr>
        <w:t xml:space="preserve"> </w:t>
      </w:r>
      <w:proofErr w:type="gramStart"/>
      <w:r w:rsidR="00FB363F">
        <w:rPr>
          <w:rFonts w:cstheme="minorHAnsi"/>
        </w:rPr>
        <w:t>In the event that</w:t>
      </w:r>
      <w:proofErr w:type="gramEnd"/>
      <w:r w:rsidR="00FB363F">
        <w:rPr>
          <w:rFonts w:cstheme="minorHAnsi"/>
        </w:rPr>
        <w:t xml:space="preserve"> you have any concerns or queries in relation to</w:t>
      </w:r>
      <w:r w:rsidR="00AB03F0">
        <w:rPr>
          <w:rFonts w:cstheme="minorHAnsi"/>
        </w:rPr>
        <w:t xml:space="preserve"> </w:t>
      </w:r>
      <w:r w:rsidR="00376735">
        <w:rPr>
          <w:rFonts w:cstheme="minorHAnsi"/>
        </w:rPr>
        <w:t>the service s</w:t>
      </w:r>
      <w:r w:rsidR="00FB363F">
        <w:rPr>
          <w:rFonts w:cstheme="minorHAnsi"/>
        </w:rPr>
        <w:t>pecification, you should sub</w:t>
      </w:r>
      <w:r w:rsidR="007947BB">
        <w:rPr>
          <w:rFonts w:cstheme="minorHAnsi"/>
        </w:rPr>
        <w:t xml:space="preserve">mit a Clarification Question as stipulated in </w:t>
      </w:r>
      <w:r w:rsidR="00FB363F">
        <w:rPr>
          <w:rFonts w:cstheme="minorHAnsi"/>
        </w:rPr>
        <w:t>this ITT by the deadline</w:t>
      </w:r>
      <w:r w:rsidR="00D43242">
        <w:rPr>
          <w:rFonts w:cstheme="minorHAnsi"/>
        </w:rPr>
        <w:t xml:space="preserve"> set out in this ITT</w:t>
      </w:r>
      <w:r w:rsidR="00FB363F">
        <w:rPr>
          <w:rFonts w:cstheme="minorHAnsi"/>
        </w:rPr>
        <w:t xml:space="preserve">. Following such </w:t>
      </w:r>
      <w:r w:rsidR="00AA0A57">
        <w:rPr>
          <w:rFonts w:cstheme="minorHAnsi"/>
        </w:rPr>
        <w:t>C</w:t>
      </w:r>
      <w:r w:rsidR="00FB363F">
        <w:rPr>
          <w:rFonts w:cstheme="minorHAnsi"/>
        </w:rPr>
        <w:t xml:space="preserve">larification Question, the Authority may issue a clarification change to the ITT and/or Contract that will apply </w:t>
      </w:r>
      <w:r w:rsidR="00E91A38">
        <w:rPr>
          <w:rFonts w:cstheme="minorHAnsi"/>
        </w:rPr>
        <w:t>to all Bidders submitting a Tender response.</w:t>
      </w:r>
      <w:r w:rsidR="00993C5A">
        <w:rPr>
          <w:rFonts w:cstheme="minorHAnsi"/>
        </w:rPr>
        <w:t xml:space="preserve"> </w:t>
      </w:r>
    </w:p>
    <w:p w14:paraId="682EB6ED" w14:textId="77777777" w:rsidR="00F61B2D" w:rsidRPr="006D551F" w:rsidRDefault="00F61B2D" w:rsidP="00F61B2D">
      <w:pPr>
        <w:spacing w:after="0" w:line="240" w:lineRule="auto"/>
        <w:jc w:val="both"/>
        <w:rPr>
          <w:rFonts w:cstheme="minorHAnsi"/>
        </w:rPr>
      </w:pPr>
    </w:p>
    <w:p w14:paraId="040E799B" w14:textId="05210447" w:rsidR="002C030B" w:rsidRPr="00146FCD" w:rsidRDefault="002C030B" w:rsidP="00F61B2D">
      <w:pPr>
        <w:pStyle w:val="Heading2"/>
        <w:spacing w:before="0" w:line="240" w:lineRule="auto"/>
      </w:pPr>
      <w:bookmarkStart w:id="14" w:name="_Toc110425068"/>
      <w:r w:rsidRPr="00146FCD">
        <w:lastRenderedPageBreak/>
        <w:t xml:space="preserve">3.3 </w:t>
      </w:r>
      <w:r w:rsidR="00F61B2D">
        <w:t>Contract value and d</w:t>
      </w:r>
      <w:r w:rsidR="00471ACB" w:rsidRPr="00146FCD">
        <w:t>uration</w:t>
      </w:r>
      <w:bookmarkEnd w:id="14"/>
      <w:r w:rsidR="00471ACB" w:rsidRPr="00146FCD">
        <w:t xml:space="preserve"> </w:t>
      </w:r>
    </w:p>
    <w:p w14:paraId="3A5BE961" w14:textId="4AC0A82B" w:rsidR="00471ACB" w:rsidRDefault="00471ACB" w:rsidP="00F61B2D">
      <w:pPr>
        <w:spacing w:after="0" w:line="240" w:lineRule="auto"/>
        <w:jc w:val="both"/>
        <w:rPr>
          <w:rFonts w:cstheme="minorHAnsi"/>
        </w:rPr>
      </w:pPr>
      <w:r w:rsidRPr="00865E7B">
        <w:rPr>
          <w:rFonts w:cstheme="minorHAnsi"/>
        </w:rPr>
        <w:t xml:space="preserve">The contract for the </w:t>
      </w:r>
      <w:r w:rsidR="00AB03F0" w:rsidRPr="00AB03F0">
        <w:rPr>
          <w:rFonts w:cstheme="minorHAnsi"/>
        </w:rPr>
        <w:t>National Respiratory Audit Programme (NRAP)</w:t>
      </w:r>
      <w:r w:rsidR="00AB03F0">
        <w:rPr>
          <w:rFonts w:cstheme="minorHAnsi"/>
        </w:rPr>
        <w:t xml:space="preserve"> </w:t>
      </w:r>
      <w:r w:rsidRPr="00865E7B">
        <w:rPr>
          <w:rFonts w:cstheme="minorHAnsi"/>
        </w:rPr>
        <w:t>will initially be delivered for NHS-funded care in E</w:t>
      </w:r>
      <w:r w:rsidR="004A3831" w:rsidRPr="00865E7B">
        <w:rPr>
          <w:rFonts w:cstheme="minorHAnsi"/>
        </w:rPr>
        <w:t>ngland and Wales</w:t>
      </w:r>
      <w:r w:rsidRPr="00865E7B">
        <w:rPr>
          <w:rFonts w:cstheme="minorHAnsi"/>
        </w:rPr>
        <w:t xml:space="preserve"> for a period of three years, at a maximum total budget of up to </w:t>
      </w:r>
      <w:r w:rsidR="000501D5" w:rsidRPr="00865E7B">
        <w:rPr>
          <w:rFonts w:cstheme="minorHAnsi"/>
          <w:b/>
        </w:rPr>
        <w:t>£</w:t>
      </w:r>
      <w:r w:rsidR="00AB03F0">
        <w:rPr>
          <w:rFonts w:cstheme="minorHAnsi"/>
          <w:b/>
        </w:rPr>
        <w:t>2,748,000</w:t>
      </w:r>
      <w:r w:rsidR="00975082">
        <w:rPr>
          <w:rFonts w:cstheme="minorHAnsi"/>
          <w:b/>
        </w:rPr>
        <w:t xml:space="preserve"> </w:t>
      </w:r>
      <w:r w:rsidRPr="00865E7B">
        <w:rPr>
          <w:rFonts w:cstheme="minorHAnsi"/>
          <w:b/>
        </w:rPr>
        <w:t>GBP</w:t>
      </w:r>
      <w:r w:rsidR="00E43DF1" w:rsidRPr="00865E7B">
        <w:rPr>
          <w:rFonts w:cstheme="minorHAnsi"/>
        </w:rPr>
        <w:t xml:space="preserve"> excluding VAT</w:t>
      </w:r>
      <w:r w:rsidR="008112FF">
        <w:rPr>
          <w:rFonts w:cstheme="minorHAnsi"/>
        </w:rPr>
        <w:t>.</w:t>
      </w:r>
      <w:r w:rsidR="00E43DF1" w:rsidRPr="00865E7B">
        <w:rPr>
          <w:rFonts w:cstheme="minorHAnsi"/>
        </w:rPr>
        <w:t xml:space="preserve"> </w:t>
      </w:r>
      <w:r w:rsidR="008112FF">
        <w:rPr>
          <w:rFonts w:cstheme="minorHAnsi"/>
        </w:rPr>
        <w:t>B</w:t>
      </w:r>
      <w:r w:rsidRPr="00865E7B">
        <w:rPr>
          <w:rFonts w:cstheme="minorHAnsi"/>
        </w:rPr>
        <w:t>ids exceeding this limit may be rejected.</w:t>
      </w:r>
    </w:p>
    <w:p w14:paraId="36C96228" w14:textId="40E02D7B" w:rsidR="00F61B2D" w:rsidRDefault="00F61B2D" w:rsidP="00F61B2D">
      <w:pPr>
        <w:spacing w:after="0" w:line="240" w:lineRule="auto"/>
        <w:jc w:val="both"/>
        <w:rPr>
          <w:rFonts w:cstheme="minorHAnsi"/>
        </w:rPr>
      </w:pPr>
    </w:p>
    <w:p w14:paraId="59DB137A" w14:textId="77777777" w:rsidR="0041341D" w:rsidRPr="00146FCD" w:rsidRDefault="0041341D" w:rsidP="0041341D">
      <w:pPr>
        <w:spacing w:after="0" w:line="240" w:lineRule="auto"/>
        <w:jc w:val="both"/>
        <w:rPr>
          <w:rFonts w:cstheme="minorHAnsi"/>
        </w:rPr>
      </w:pPr>
      <w:r w:rsidRPr="00715F1B">
        <w:rPr>
          <w:rFonts w:cstheme="minorHAnsi"/>
        </w:rPr>
        <w:t>The contract awarded will be for the duration of 3 years</w:t>
      </w:r>
      <w:r>
        <w:rPr>
          <w:rFonts w:cstheme="minorHAnsi"/>
        </w:rPr>
        <w:t xml:space="preserve"> a</w:t>
      </w:r>
      <w:r w:rsidRPr="00715F1B">
        <w:rPr>
          <w:rFonts w:cstheme="minorHAnsi"/>
        </w:rPr>
        <w:t>lthough there is an option to extend the c</w:t>
      </w:r>
      <w:r>
        <w:rPr>
          <w:rFonts w:cstheme="minorHAnsi"/>
        </w:rPr>
        <w:t>ontract to a further 2 years.</w:t>
      </w:r>
      <w:r w:rsidRPr="00715F1B">
        <w:rPr>
          <w:rFonts w:cstheme="minorHAnsi"/>
        </w:rPr>
        <w:t xml:space="preserve"> Bidders are asked to submit their financial offer for the initial 3 years.</w:t>
      </w:r>
      <w:r>
        <w:rPr>
          <w:rFonts w:cstheme="minorHAnsi"/>
        </w:rPr>
        <w:t xml:space="preserve"> </w:t>
      </w:r>
    </w:p>
    <w:p w14:paraId="733D9EAC" w14:textId="77777777" w:rsidR="0041341D" w:rsidRPr="00865E7B" w:rsidRDefault="0041341D" w:rsidP="00F61B2D">
      <w:pPr>
        <w:spacing w:after="0" w:line="240" w:lineRule="auto"/>
        <w:jc w:val="both"/>
        <w:rPr>
          <w:rFonts w:cstheme="minorHAnsi"/>
        </w:rPr>
      </w:pPr>
    </w:p>
    <w:p w14:paraId="59F4EA35" w14:textId="030BFD43" w:rsidR="00DA77CF" w:rsidRPr="00BF3D5F" w:rsidRDefault="00471ACB" w:rsidP="00F61B2D">
      <w:pPr>
        <w:spacing w:after="0" w:line="240" w:lineRule="auto"/>
        <w:jc w:val="both"/>
        <w:rPr>
          <w:rFonts w:cstheme="minorHAnsi"/>
        </w:rPr>
      </w:pPr>
      <w:r w:rsidRPr="00865E7B">
        <w:rPr>
          <w:rFonts w:cstheme="minorHAnsi"/>
        </w:rPr>
        <w:t xml:space="preserve">Any contract award will include performance-related key contract deliverables (payment linked deliverables). Deliverables will be </w:t>
      </w:r>
      <w:r w:rsidR="008112FF">
        <w:rPr>
          <w:rFonts w:cstheme="minorHAnsi"/>
        </w:rPr>
        <w:t xml:space="preserve">finalised </w:t>
      </w:r>
      <w:r w:rsidRPr="00865E7B">
        <w:rPr>
          <w:rFonts w:cstheme="minorHAnsi"/>
        </w:rPr>
        <w:t>with the successful bidder prior to signing of the contract.</w:t>
      </w:r>
      <w:r w:rsidR="00BF3D5F">
        <w:rPr>
          <w:rFonts w:cstheme="minorHAnsi"/>
        </w:rPr>
        <w:t xml:space="preserve"> </w:t>
      </w:r>
      <w:r w:rsidR="0027190B" w:rsidRPr="00ED11B9">
        <w:rPr>
          <w:iCs/>
        </w:rPr>
        <w:t>HQIP’s intention</w:t>
      </w:r>
      <w:r w:rsidR="0027190B" w:rsidRPr="00130688">
        <w:rPr>
          <w:iCs/>
        </w:rPr>
        <w:t xml:space="preserve"> is to sustain continuous programme delivery, with efficient and seamless transition between contract periods. If the contract is awarded to a new supplier, HQIP will engage with both the outgoing and incoming suppliers after contract award to identify and agree transition tasks. </w:t>
      </w:r>
      <w:r w:rsidR="0027190B" w:rsidRPr="0006083D">
        <w:rPr>
          <w:iCs/>
        </w:rPr>
        <w:t xml:space="preserve">Transition would be estimated to take place over a period of </w:t>
      </w:r>
      <w:r w:rsidR="000D2177">
        <w:rPr>
          <w:iCs/>
        </w:rPr>
        <w:t>four to eight</w:t>
      </w:r>
      <w:r w:rsidR="000D2177" w:rsidRPr="0006083D">
        <w:rPr>
          <w:iCs/>
        </w:rPr>
        <w:t xml:space="preserve"> </w:t>
      </w:r>
      <w:r w:rsidR="0027190B" w:rsidRPr="0006083D">
        <w:rPr>
          <w:iCs/>
        </w:rPr>
        <w:t xml:space="preserve">weeks immediately prior to 31 </w:t>
      </w:r>
      <w:proofErr w:type="gramStart"/>
      <w:r w:rsidR="0027190B" w:rsidRPr="0006083D">
        <w:rPr>
          <w:iCs/>
        </w:rPr>
        <w:t>January,</w:t>
      </w:r>
      <w:proofErr w:type="gramEnd"/>
      <w:r w:rsidR="0027190B" w:rsidRPr="0006083D">
        <w:rPr>
          <w:iCs/>
        </w:rPr>
        <w:t xml:space="preserve"> 2022. Bidders </w:t>
      </w:r>
      <w:r w:rsidR="0027190B" w:rsidRPr="00130688">
        <w:rPr>
          <w:iCs/>
        </w:rPr>
        <w:t xml:space="preserve">are invited to </w:t>
      </w:r>
      <w:r w:rsidR="00ED11B9">
        <w:rPr>
          <w:iCs/>
        </w:rPr>
        <w:t>explain clearly and comprehensively how they would</w:t>
      </w:r>
      <w:r w:rsidR="0027190B" w:rsidRPr="00130688">
        <w:rPr>
          <w:iCs/>
        </w:rPr>
        <w:t xml:space="preserve"> meet the scope of work described in this specification, excluding specific transition activities.</w:t>
      </w:r>
    </w:p>
    <w:p w14:paraId="0D4794D8" w14:textId="77777777" w:rsidR="00F61B2D" w:rsidRPr="00DF4A34" w:rsidRDefault="00F61B2D" w:rsidP="00F61B2D">
      <w:pPr>
        <w:spacing w:after="0" w:line="240" w:lineRule="auto"/>
        <w:jc w:val="both"/>
        <w:rPr>
          <w:iCs/>
        </w:rPr>
      </w:pPr>
    </w:p>
    <w:p w14:paraId="23C9E4B3" w14:textId="56F1F699" w:rsidR="00DA77CF" w:rsidRPr="00DF4A34" w:rsidRDefault="00917D23" w:rsidP="00F61B2D">
      <w:pPr>
        <w:pStyle w:val="Heading2"/>
        <w:spacing w:before="0" w:line="240" w:lineRule="auto"/>
        <w:rPr>
          <w:rFonts w:eastAsia="Times New Roman"/>
          <w:lang w:eastAsia="en-GB"/>
        </w:rPr>
      </w:pPr>
      <w:bookmarkStart w:id="15" w:name="_Toc110425069"/>
      <w:r w:rsidRPr="00DF4A34">
        <w:rPr>
          <w:rFonts w:eastAsia="Times New Roman"/>
          <w:lang w:eastAsia="en-GB"/>
        </w:rPr>
        <w:t xml:space="preserve">3.4 </w:t>
      </w:r>
      <w:r w:rsidR="00DA77CF" w:rsidRPr="00DF4A34">
        <w:rPr>
          <w:rFonts w:eastAsia="Times New Roman"/>
          <w:lang w:eastAsia="en-GB"/>
        </w:rPr>
        <w:t>Potential future aspirational intent</w:t>
      </w:r>
      <w:bookmarkEnd w:id="15"/>
    </w:p>
    <w:p w14:paraId="31555531" w14:textId="77777777" w:rsidR="00C6327E" w:rsidRDefault="00C6327E" w:rsidP="00C6327E">
      <w:pPr>
        <w:rPr>
          <w:lang w:eastAsia="en-GB"/>
        </w:rPr>
      </w:pPr>
      <w:r>
        <w:rPr>
          <w:lang w:eastAsia="en-GB"/>
        </w:rPr>
        <w:t>Aspirational intent is set out at section 1.3.1 of the Specification (Annex A)</w:t>
      </w:r>
    </w:p>
    <w:p w14:paraId="31B21989" w14:textId="35904A37" w:rsidR="00C6327E" w:rsidRPr="00B93036" w:rsidRDefault="00C6327E" w:rsidP="00C6327E">
      <w:pPr>
        <w:rPr>
          <w:rFonts w:cstheme="minorHAnsi"/>
          <w:sz w:val="28"/>
          <w:szCs w:val="28"/>
          <w:lang w:eastAsia="en-GB"/>
        </w:rPr>
      </w:pPr>
      <w:r>
        <w:rPr>
          <w:rFonts w:cstheme="minorHAnsi"/>
          <w:color w:val="000000"/>
          <w:shd w:val="clear" w:color="auto" w:fill="FFFFFF"/>
        </w:rPr>
        <w:t>T</w:t>
      </w:r>
      <w:r w:rsidRPr="00B93036">
        <w:rPr>
          <w:rFonts w:cstheme="minorHAnsi"/>
          <w:color w:val="000000"/>
          <w:shd w:val="clear" w:color="auto" w:fill="FFFFFF"/>
        </w:rPr>
        <w:t>he total contract value is £</w:t>
      </w:r>
      <w:r w:rsidR="00AB03F0">
        <w:rPr>
          <w:rFonts w:cstheme="minorHAnsi"/>
          <w:color w:val="000000"/>
          <w:shd w:val="clear" w:color="auto" w:fill="FFFFFF"/>
        </w:rPr>
        <w:t>2,748,000</w:t>
      </w:r>
      <w:r w:rsidRPr="00B93036">
        <w:rPr>
          <w:rFonts w:cstheme="minorHAnsi"/>
          <w:color w:val="000000"/>
          <w:shd w:val="clear" w:color="auto" w:fill="FFFFFF"/>
        </w:rPr>
        <w:t xml:space="preserve"> excluding VAT for the duration of three years with potential to extend the contract for up to two additional years at a value of </w:t>
      </w:r>
      <w:r w:rsidR="00704295" w:rsidRPr="00B93036">
        <w:rPr>
          <w:rFonts w:cstheme="minorHAnsi"/>
          <w:color w:val="000000"/>
          <w:shd w:val="clear" w:color="auto" w:fill="FFFFFF"/>
        </w:rPr>
        <w:t>£</w:t>
      </w:r>
      <w:r w:rsidR="00704295">
        <w:rPr>
          <w:rFonts w:cstheme="minorHAnsi"/>
          <w:color w:val="000000"/>
          <w:shd w:val="clear" w:color="auto" w:fill="FFFFFF"/>
        </w:rPr>
        <w:t xml:space="preserve">916,000 </w:t>
      </w:r>
      <w:r w:rsidRPr="00B93036">
        <w:rPr>
          <w:rFonts w:cstheme="minorHAnsi"/>
          <w:color w:val="000000"/>
          <w:shd w:val="clear" w:color="auto" w:fill="FFFFFF"/>
        </w:rPr>
        <w:t>per year. The aspiration</w:t>
      </w:r>
      <w:r w:rsidR="00704295">
        <w:rPr>
          <w:rFonts w:cstheme="minorHAnsi"/>
          <w:color w:val="000000"/>
          <w:shd w:val="clear" w:color="auto" w:fill="FFFFFF"/>
        </w:rPr>
        <w:t>al</w:t>
      </w:r>
      <w:r w:rsidRPr="00B93036">
        <w:rPr>
          <w:rFonts w:cstheme="minorHAnsi"/>
          <w:color w:val="000000"/>
          <w:shd w:val="clear" w:color="auto" w:fill="FFFFFF"/>
        </w:rPr>
        <w:t xml:space="preserve"> intent as defined in the specification of this ITT has an anticipated value of up to £</w:t>
      </w:r>
      <w:r w:rsidR="00704295">
        <w:rPr>
          <w:rFonts w:cstheme="minorHAnsi"/>
          <w:color w:val="000000"/>
          <w:shd w:val="clear" w:color="auto" w:fill="FFFFFF"/>
        </w:rPr>
        <w:t>2,043,939 per year</w:t>
      </w:r>
      <w:r w:rsidRPr="00B93036">
        <w:rPr>
          <w:rFonts w:cstheme="minorHAnsi"/>
          <w:color w:val="000000"/>
          <w:shd w:val="clear" w:color="auto" w:fill="FFFFFF"/>
        </w:rPr>
        <w:t>. Based on the potential extension funding of up to 2 years and the aspiration</w:t>
      </w:r>
      <w:r w:rsidR="00D972E4">
        <w:rPr>
          <w:rFonts w:cstheme="minorHAnsi"/>
          <w:color w:val="000000"/>
          <w:shd w:val="clear" w:color="auto" w:fill="FFFFFF"/>
        </w:rPr>
        <w:t>al</w:t>
      </w:r>
      <w:r w:rsidRPr="00B93036">
        <w:rPr>
          <w:rFonts w:cstheme="minorHAnsi"/>
          <w:color w:val="000000"/>
          <w:shd w:val="clear" w:color="auto" w:fill="FFFFFF"/>
        </w:rPr>
        <w:t xml:space="preserve"> intent, this contract has a potential ceiling value of up to £</w:t>
      </w:r>
      <w:r w:rsidR="00704295" w:rsidRPr="00704295">
        <w:rPr>
          <w:rFonts w:cstheme="minorHAnsi"/>
          <w:color w:val="000000"/>
          <w:shd w:val="clear" w:color="auto" w:fill="FFFFFF"/>
        </w:rPr>
        <w:t>14,799,695</w:t>
      </w:r>
      <w:r w:rsidR="00704295">
        <w:rPr>
          <w:rFonts w:cstheme="minorHAnsi"/>
          <w:color w:val="000000"/>
          <w:shd w:val="clear" w:color="auto" w:fill="FFFFFF"/>
        </w:rPr>
        <w:t xml:space="preserve"> GBP excluding VAT.</w:t>
      </w:r>
    </w:p>
    <w:p w14:paraId="188A635B" w14:textId="7B7BFE89" w:rsidR="00C6327E" w:rsidRDefault="00C6327E" w:rsidP="00C6327E">
      <w:pPr>
        <w:spacing w:after="0" w:line="240" w:lineRule="auto"/>
        <w:jc w:val="both"/>
        <w:rPr>
          <w:rFonts w:ascii="Calibri" w:eastAsia="Times New Roman" w:hAnsi="Calibri" w:cs="Times New Roman"/>
          <w:lang w:eastAsia="en-GB"/>
        </w:rPr>
      </w:pPr>
      <w:r w:rsidRPr="00DF4A34">
        <w:rPr>
          <w:rFonts w:ascii="Calibri" w:eastAsia="Times New Roman" w:hAnsi="Calibri" w:cs="Times New Roman"/>
          <w:lang w:eastAsia="en-GB"/>
        </w:rPr>
        <w:t xml:space="preserve">Please note, there is no commitment by the Authority at this stage to include any </w:t>
      </w:r>
      <w:r>
        <w:rPr>
          <w:rFonts w:ascii="Calibri" w:eastAsia="Times New Roman" w:hAnsi="Calibri" w:cs="Times New Roman"/>
          <w:lang w:eastAsia="en-GB"/>
        </w:rPr>
        <w:t>aspirational intent</w:t>
      </w:r>
      <w:r w:rsidRPr="00DF4A34">
        <w:rPr>
          <w:rFonts w:ascii="Calibri" w:eastAsia="Times New Roman" w:hAnsi="Calibri" w:cs="Times New Roman"/>
          <w:lang w:eastAsia="en-GB"/>
        </w:rPr>
        <w:t xml:space="preserve">. </w:t>
      </w:r>
    </w:p>
    <w:p w14:paraId="48AC6954" w14:textId="77777777" w:rsidR="00F61B2D" w:rsidRPr="00DA77CF" w:rsidRDefault="00F61B2D" w:rsidP="00F61B2D">
      <w:pPr>
        <w:spacing w:after="0" w:line="240" w:lineRule="auto"/>
        <w:jc w:val="both"/>
        <w:rPr>
          <w:rFonts w:ascii="Calibri" w:eastAsia="Times New Roman" w:hAnsi="Calibri" w:cs="Times New Roman"/>
          <w:lang w:eastAsia="en-GB"/>
        </w:rPr>
      </w:pPr>
    </w:p>
    <w:p w14:paraId="4CB3DD81" w14:textId="072E591E" w:rsidR="00191E69" w:rsidRPr="006E3253" w:rsidRDefault="00917D23" w:rsidP="00F61B2D">
      <w:pPr>
        <w:pStyle w:val="Heading2"/>
        <w:spacing w:before="0" w:line="240" w:lineRule="auto"/>
      </w:pPr>
      <w:bookmarkStart w:id="16" w:name="_Toc110425070"/>
      <w:r>
        <w:t>3.</w:t>
      </w:r>
      <w:r w:rsidR="007E4431">
        <w:t>5</w:t>
      </w:r>
      <w:r w:rsidR="008253BE" w:rsidRPr="006E3253">
        <w:t xml:space="preserve"> </w:t>
      </w:r>
      <w:r w:rsidR="00191E69" w:rsidRPr="006E3253">
        <w:t>Terms and conditions</w:t>
      </w:r>
      <w:bookmarkEnd w:id="16"/>
      <w:r w:rsidR="00191E69" w:rsidRPr="006E3253">
        <w:t xml:space="preserve"> </w:t>
      </w:r>
    </w:p>
    <w:p w14:paraId="24DCD13E" w14:textId="354F9CDC" w:rsidR="00191E69" w:rsidRDefault="00191E69" w:rsidP="00F61B2D">
      <w:pPr>
        <w:spacing w:after="0" w:line="240" w:lineRule="auto"/>
        <w:jc w:val="both"/>
        <w:rPr>
          <w:rFonts w:cstheme="minorHAnsi"/>
        </w:rPr>
      </w:pPr>
      <w:r w:rsidRPr="00D07E9F">
        <w:rPr>
          <w:rFonts w:cstheme="minorHAnsi"/>
        </w:rPr>
        <w:t xml:space="preserve">The contract will </w:t>
      </w:r>
      <w:r w:rsidR="008C6633">
        <w:rPr>
          <w:rFonts w:cstheme="minorHAnsi"/>
        </w:rPr>
        <w:t xml:space="preserve">be </w:t>
      </w:r>
      <w:r w:rsidRPr="00D07E9F">
        <w:rPr>
          <w:rFonts w:cstheme="minorHAnsi"/>
        </w:rPr>
        <w:t>based on the HQIP Terms and Conditi</w:t>
      </w:r>
      <w:r>
        <w:rPr>
          <w:rFonts w:cstheme="minorHAnsi"/>
        </w:rPr>
        <w:t xml:space="preserve">ons. These can be found </w:t>
      </w:r>
      <w:r w:rsidR="008C6633">
        <w:rPr>
          <w:rFonts w:cstheme="minorHAnsi"/>
        </w:rPr>
        <w:t>in</w:t>
      </w:r>
      <w:r w:rsidR="009C5A9F">
        <w:rPr>
          <w:rFonts w:cstheme="minorHAnsi"/>
        </w:rPr>
        <w:t xml:space="preserve"> </w:t>
      </w:r>
      <w:r w:rsidR="00540B8E">
        <w:rPr>
          <w:rFonts w:cstheme="minorHAnsi"/>
        </w:rPr>
        <w:t>Annex B</w:t>
      </w:r>
      <w:r w:rsidRPr="000D78DA">
        <w:rPr>
          <w:rFonts w:cstheme="minorHAnsi"/>
          <w:b/>
        </w:rPr>
        <w:t>.</w:t>
      </w:r>
      <w:r w:rsidR="009C5A9F">
        <w:rPr>
          <w:rFonts w:cstheme="minorHAnsi"/>
        </w:rPr>
        <w:t xml:space="preserve"> </w:t>
      </w:r>
      <w:r w:rsidRPr="0089294D">
        <w:rPr>
          <w:rFonts w:cstheme="minorHAnsi"/>
        </w:rPr>
        <w:t xml:space="preserve">It is vital that the Bidder reviews these </w:t>
      </w:r>
      <w:proofErr w:type="gramStart"/>
      <w:r w:rsidRPr="0089294D">
        <w:rPr>
          <w:rFonts w:cstheme="minorHAnsi"/>
        </w:rPr>
        <w:t>carefully, and</w:t>
      </w:r>
      <w:proofErr w:type="gramEnd"/>
      <w:r w:rsidRPr="0089294D">
        <w:rPr>
          <w:rFonts w:cstheme="minorHAnsi"/>
        </w:rPr>
        <w:t xml:space="preserve"> takes account of all information</w:t>
      </w:r>
      <w:r w:rsidR="00101FEA">
        <w:rPr>
          <w:rFonts w:cstheme="minorHAnsi"/>
        </w:rPr>
        <w:t xml:space="preserve">. </w:t>
      </w:r>
      <w:r w:rsidRPr="0089294D">
        <w:rPr>
          <w:rFonts w:cstheme="minorHAnsi"/>
        </w:rPr>
        <w:t>By submitting a Tender, Bidders are agreeing to be bound by the terms of this ITT and the HQIP Terms and Conditions</w:t>
      </w:r>
      <w:r w:rsidR="00AA0A57">
        <w:rPr>
          <w:rFonts w:cstheme="minorHAnsi"/>
        </w:rPr>
        <w:t xml:space="preserve"> as written</w:t>
      </w:r>
      <w:r w:rsidRPr="0089294D">
        <w:rPr>
          <w:rFonts w:cstheme="minorHAnsi"/>
        </w:rPr>
        <w:t>.</w:t>
      </w:r>
    </w:p>
    <w:p w14:paraId="17A0D637" w14:textId="77777777" w:rsidR="00F61B2D" w:rsidRDefault="00F61B2D" w:rsidP="00F61B2D">
      <w:pPr>
        <w:spacing w:after="0" w:line="240" w:lineRule="auto"/>
        <w:jc w:val="both"/>
        <w:rPr>
          <w:rFonts w:cstheme="minorHAnsi"/>
        </w:rPr>
      </w:pPr>
    </w:p>
    <w:p w14:paraId="100C7F09" w14:textId="2F0B1999" w:rsidR="007E4431" w:rsidRPr="00E3458A" w:rsidRDefault="007E4431" w:rsidP="00F61B2D">
      <w:pPr>
        <w:pStyle w:val="Heading2"/>
        <w:spacing w:before="0" w:line="240" w:lineRule="auto"/>
      </w:pPr>
      <w:bookmarkStart w:id="17" w:name="_Toc110425071"/>
      <w:r w:rsidRPr="00E3458A">
        <w:rPr>
          <w:sz w:val="28"/>
          <w:szCs w:val="28"/>
        </w:rPr>
        <w:t>3.</w:t>
      </w:r>
      <w:r>
        <w:t>6</w:t>
      </w:r>
      <w:r w:rsidRPr="00E3458A">
        <w:t xml:space="preserve"> Transfer of Undertakings (Protection of Employment) Regulations 2006 ("TUPE")</w:t>
      </w:r>
      <w:bookmarkEnd w:id="17"/>
      <w:r w:rsidRPr="00E3458A">
        <w:t xml:space="preserve"> </w:t>
      </w:r>
    </w:p>
    <w:p w14:paraId="1E739FDD" w14:textId="729DCBF1" w:rsidR="007E4431" w:rsidRDefault="007E4431" w:rsidP="00F61B2D">
      <w:pPr>
        <w:spacing w:after="0" w:line="240" w:lineRule="auto"/>
        <w:jc w:val="both"/>
        <w:rPr>
          <w:rFonts w:cstheme="minorHAnsi"/>
        </w:rPr>
      </w:pPr>
      <w:r>
        <w:rPr>
          <w:rFonts w:cstheme="minorHAnsi"/>
        </w:rPr>
        <w:t>Bidders’ attention is drawn to the staff transf</w:t>
      </w:r>
      <w:r w:rsidR="00540B8E">
        <w:rPr>
          <w:rFonts w:cstheme="minorHAnsi"/>
        </w:rPr>
        <w:t xml:space="preserve">er provisions set out in </w:t>
      </w:r>
      <w:r w:rsidR="00540B8E" w:rsidRPr="00D972E4">
        <w:rPr>
          <w:rFonts w:cstheme="minorHAnsi"/>
        </w:rPr>
        <w:t xml:space="preserve">Annex </w:t>
      </w:r>
      <w:r w:rsidR="00D972E4" w:rsidRPr="00D972E4">
        <w:rPr>
          <w:rFonts w:cstheme="minorHAnsi"/>
        </w:rPr>
        <w:t>G</w:t>
      </w:r>
      <w:r>
        <w:rPr>
          <w:rFonts w:cstheme="minorHAnsi"/>
        </w:rPr>
        <w:t>.</w:t>
      </w:r>
    </w:p>
    <w:p w14:paraId="53FC259D" w14:textId="77777777" w:rsidR="00F61B2D" w:rsidRDefault="00F61B2D" w:rsidP="00F61B2D">
      <w:pPr>
        <w:spacing w:after="0" w:line="240" w:lineRule="auto"/>
        <w:jc w:val="both"/>
        <w:rPr>
          <w:rFonts w:cstheme="minorHAnsi"/>
        </w:rPr>
      </w:pPr>
    </w:p>
    <w:p w14:paraId="46540599" w14:textId="56E68A25" w:rsidR="00191E69" w:rsidRPr="006E3253" w:rsidRDefault="00917D23" w:rsidP="00F61B2D">
      <w:pPr>
        <w:pStyle w:val="Heading2"/>
        <w:spacing w:before="0" w:line="240" w:lineRule="auto"/>
      </w:pPr>
      <w:bookmarkStart w:id="18" w:name="_Toc110425072"/>
      <w:r>
        <w:t>3.7</w:t>
      </w:r>
      <w:r w:rsidR="008253BE" w:rsidRPr="006E3253">
        <w:t xml:space="preserve"> </w:t>
      </w:r>
      <w:r w:rsidR="00191E69" w:rsidRPr="006E3253">
        <w:t>Consortia and sub-contractors</w:t>
      </w:r>
      <w:bookmarkEnd w:id="18"/>
    </w:p>
    <w:p w14:paraId="2067A2C3" w14:textId="376D13BC" w:rsidR="00191E69" w:rsidRDefault="00191E69" w:rsidP="00F61B2D">
      <w:pPr>
        <w:spacing w:after="0" w:line="240" w:lineRule="auto"/>
        <w:jc w:val="both"/>
        <w:rPr>
          <w:rFonts w:cstheme="minorHAnsi"/>
        </w:rPr>
      </w:pPr>
      <w:r w:rsidRPr="00DF4A34">
        <w:rPr>
          <w:rFonts w:cstheme="minorHAnsi"/>
        </w:rPr>
        <w:t>The Authority recognises that arrangements in relation to a group of economic operators (for example, a consortium) and/or use of sub-contractors, may be subject to change and will, therefore, not be finalised until a later date. The lead contact should notify the Authority immediately of any change in the proposed arrangements</w:t>
      </w:r>
      <w:r w:rsidR="004A3831" w:rsidRPr="00DF4A34">
        <w:rPr>
          <w:rFonts w:cstheme="minorHAnsi"/>
        </w:rPr>
        <w:t>.</w:t>
      </w:r>
      <w:r w:rsidRPr="00DF4A34">
        <w:rPr>
          <w:rFonts w:cstheme="minorHAnsi"/>
        </w:rPr>
        <w:t xml:space="preserve"> The Authority will make a revised assessment of the submission based on the updated information.</w:t>
      </w:r>
    </w:p>
    <w:p w14:paraId="6E9AD335" w14:textId="77777777" w:rsidR="00F61B2D" w:rsidRPr="00DF4A34" w:rsidRDefault="00F61B2D" w:rsidP="00F61B2D">
      <w:pPr>
        <w:spacing w:after="0" w:line="240" w:lineRule="auto"/>
        <w:jc w:val="both"/>
        <w:rPr>
          <w:rFonts w:cstheme="minorHAnsi"/>
        </w:rPr>
      </w:pPr>
    </w:p>
    <w:p w14:paraId="093C0A96" w14:textId="6FA9985D" w:rsidR="00191E69" w:rsidRPr="00DF4A34" w:rsidRDefault="00191E69" w:rsidP="00F61B2D">
      <w:pPr>
        <w:spacing w:after="0" w:line="240" w:lineRule="auto"/>
        <w:jc w:val="both"/>
        <w:rPr>
          <w:rFonts w:cstheme="minorHAnsi"/>
        </w:rPr>
      </w:pPr>
      <w:r w:rsidRPr="00DF4A34">
        <w:rPr>
          <w:rFonts w:cstheme="minorHAnsi"/>
        </w:rPr>
        <w:t>Every organisation that is being relied on to meet the selection must complete a</w:t>
      </w:r>
      <w:r w:rsidR="00F61B2D">
        <w:rPr>
          <w:rFonts w:cstheme="minorHAnsi"/>
        </w:rPr>
        <w:t xml:space="preserve">nd submit the self-declaration. </w:t>
      </w:r>
      <w:r w:rsidRPr="00DF4A34">
        <w:rPr>
          <w:rFonts w:cstheme="minorHAnsi"/>
        </w:rPr>
        <w:t>If the Bidder is a consortium or will rely on sub-contractors to deliver the contract, it must explain in its Tender precisely which entities will supply which parts of the contract.</w:t>
      </w:r>
    </w:p>
    <w:p w14:paraId="5F6ED1B1" w14:textId="77777777" w:rsidR="00191E69" w:rsidRPr="00DF4A34" w:rsidRDefault="00191E69" w:rsidP="00F61B2D">
      <w:pPr>
        <w:spacing w:after="0" w:line="240" w:lineRule="auto"/>
        <w:jc w:val="both"/>
        <w:rPr>
          <w:rFonts w:cstheme="minorHAnsi"/>
        </w:rPr>
      </w:pPr>
      <w:r w:rsidRPr="00DF4A34">
        <w:rPr>
          <w:rFonts w:cstheme="minorHAnsi"/>
        </w:rPr>
        <w:t>For the purposes of this ITT, the following terms apply:</w:t>
      </w:r>
    </w:p>
    <w:p w14:paraId="396F4BCB" w14:textId="77777777" w:rsidR="00191E69" w:rsidRPr="00DF4A34" w:rsidRDefault="00191E69" w:rsidP="00F61B2D">
      <w:pPr>
        <w:pStyle w:val="ListParagraph"/>
        <w:numPr>
          <w:ilvl w:val="0"/>
          <w:numId w:val="6"/>
        </w:numPr>
        <w:spacing w:after="0" w:line="240" w:lineRule="auto"/>
        <w:jc w:val="both"/>
        <w:rPr>
          <w:rFonts w:cstheme="minorHAnsi"/>
        </w:rPr>
      </w:pPr>
      <w:r w:rsidRPr="00DF4A34">
        <w:rPr>
          <w:rFonts w:cstheme="minorHAnsi"/>
        </w:rPr>
        <w:t>Consortium arrangement - Groups of companies come together specifically for the purpose of bidding for appointment as the supplier and envisage that they will establish a special purpose vehicle as the prime contracting party with the Authority.</w:t>
      </w:r>
    </w:p>
    <w:p w14:paraId="7DBB7213" w14:textId="31FD9753" w:rsidR="00191E69" w:rsidRDefault="00191E69" w:rsidP="00F61B2D">
      <w:pPr>
        <w:pStyle w:val="ListParagraph"/>
        <w:numPr>
          <w:ilvl w:val="0"/>
          <w:numId w:val="6"/>
        </w:numPr>
        <w:spacing w:after="0" w:line="240" w:lineRule="auto"/>
        <w:jc w:val="both"/>
        <w:rPr>
          <w:rFonts w:cstheme="minorHAnsi"/>
        </w:rPr>
      </w:pPr>
      <w:r w:rsidRPr="00DF4A34">
        <w:rPr>
          <w:rFonts w:cstheme="minorHAnsi"/>
        </w:rPr>
        <w:lastRenderedPageBreak/>
        <w:t xml:space="preserve">Subcontracting arrangement - Groups of companies come together specifically for the purpose of bidding for appointment as the supplier, but envisage that one </w:t>
      </w:r>
      <w:proofErr w:type="gramStart"/>
      <w:r w:rsidRPr="00DF4A34">
        <w:rPr>
          <w:rFonts w:cstheme="minorHAnsi"/>
        </w:rPr>
        <w:t>of  their</w:t>
      </w:r>
      <w:proofErr w:type="gramEnd"/>
      <w:r w:rsidRPr="00DF4A34">
        <w:rPr>
          <w:rFonts w:cstheme="minorHAnsi"/>
        </w:rPr>
        <w:t xml:space="preserve"> number will be the supplier, the remaining members of that group will be subcontractors to the supplier.</w:t>
      </w:r>
    </w:p>
    <w:p w14:paraId="68A32A75" w14:textId="77777777" w:rsidR="00F61B2D" w:rsidRPr="00F61B2D" w:rsidRDefault="00F61B2D" w:rsidP="00F61B2D">
      <w:pPr>
        <w:spacing w:after="0" w:line="240" w:lineRule="auto"/>
        <w:ind w:left="360"/>
        <w:jc w:val="both"/>
        <w:rPr>
          <w:rFonts w:cstheme="minorHAnsi"/>
        </w:rPr>
      </w:pPr>
    </w:p>
    <w:p w14:paraId="72EC39BA" w14:textId="13C0F7BE" w:rsidR="00DC641E" w:rsidRDefault="00191E69" w:rsidP="00F61B2D">
      <w:pPr>
        <w:spacing w:after="0" w:line="240" w:lineRule="auto"/>
        <w:jc w:val="both"/>
        <w:rPr>
          <w:rFonts w:cstheme="minorHAnsi"/>
        </w:rPr>
      </w:pPr>
      <w:r w:rsidRPr="00DF4A34">
        <w:rPr>
          <w:rFonts w:cstheme="minorHAnsi"/>
        </w:rPr>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r w:rsidR="00B514E4" w:rsidRPr="00DF4A34">
        <w:rPr>
          <w:rFonts w:cstheme="minorHAnsi"/>
        </w:rPr>
        <w:t>.</w:t>
      </w:r>
    </w:p>
    <w:p w14:paraId="6CED0338" w14:textId="77777777" w:rsidR="00F61B2D" w:rsidRDefault="00F61B2D" w:rsidP="00F61B2D">
      <w:pPr>
        <w:spacing w:after="0" w:line="240" w:lineRule="auto"/>
        <w:jc w:val="both"/>
        <w:rPr>
          <w:rFonts w:cstheme="minorHAnsi"/>
        </w:rPr>
      </w:pPr>
    </w:p>
    <w:p w14:paraId="19B7634A" w14:textId="794B1A02" w:rsidR="00B514E4" w:rsidRPr="00256F33" w:rsidRDefault="00B514E4" w:rsidP="00F61B2D">
      <w:pPr>
        <w:pStyle w:val="Heading2"/>
        <w:spacing w:before="0" w:line="240" w:lineRule="auto"/>
      </w:pPr>
      <w:bookmarkStart w:id="19" w:name="_Toc110425073"/>
      <w:r>
        <w:t>3</w:t>
      </w:r>
      <w:r w:rsidRPr="00E3458A">
        <w:t>.</w:t>
      </w:r>
      <w:r w:rsidR="00917D23">
        <w:t>8</w:t>
      </w:r>
      <w:r w:rsidRPr="00E3458A">
        <w:t xml:space="preserve"> Termination / extension / variation of Tender Process</w:t>
      </w:r>
      <w:bookmarkEnd w:id="19"/>
      <w:r w:rsidRPr="00E3458A">
        <w:t xml:space="preserve"> </w:t>
      </w:r>
    </w:p>
    <w:p w14:paraId="2B68D67D" w14:textId="6E2E5CCB" w:rsidR="00B514E4" w:rsidRPr="0036267C" w:rsidRDefault="000900B1" w:rsidP="00F61B2D">
      <w:pPr>
        <w:spacing w:after="0" w:line="240" w:lineRule="auto"/>
        <w:jc w:val="both"/>
        <w:rPr>
          <w:rFonts w:cstheme="minorHAnsi"/>
        </w:rPr>
      </w:pPr>
      <w:r w:rsidRPr="000900B1">
        <w:rPr>
          <w:rFonts w:cstheme="minorHAnsi"/>
        </w:rPr>
        <w:t xml:space="preserve">The Authority </w:t>
      </w:r>
      <w:r w:rsidR="00B514E4" w:rsidRPr="0036267C">
        <w:rPr>
          <w:rFonts w:cstheme="minorHAnsi"/>
        </w:rPr>
        <w:t>reserve</w:t>
      </w:r>
      <w:r>
        <w:rPr>
          <w:rFonts w:cstheme="minorHAnsi"/>
        </w:rPr>
        <w:t>s</w:t>
      </w:r>
      <w:r w:rsidR="00B514E4" w:rsidRPr="0036267C">
        <w:rPr>
          <w:rFonts w:cstheme="minorHAnsi"/>
        </w:rPr>
        <w:t xml:space="preserve"> the right, subject to the provisions of Public Contract Regulations 2015, to change without notice the basis of, or the procedures for, the competitive tendering process or to terminate the process at any time and where appropriate re-advertise the procurement. Under no circumstances shall </w:t>
      </w:r>
      <w:r>
        <w:rPr>
          <w:rFonts w:cstheme="minorHAnsi"/>
        </w:rPr>
        <w:t xml:space="preserve">the Authority </w:t>
      </w:r>
      <w:r w:rsidR="00B514E4" w:rsidRPr="0036267C">
        <w:rPr>
          <w:rFonts w:cstheme="minorHAnsi"/>
        </w:rPr>
        <w:t xml:space="preserve">incur any liability in respect of this ITT or any supporting documentation. </w:t>
      </w:r>
      <w:r>
        <w:rPr>
          <w:rFonts w:cstheme="minorHAnsi"/>
        </w:rPr>
        <w:t xml:space="preserve">The Authority </w:t>
      </w:r>
      <w:r w:rsidR="00B514E4" w:rsidRPr="0036267C">
        <w:rPr>
          <w:rFonts w:cstheme="minorHAnsi"/>
        </w:rPr>
        <w:t>will not reimburse any costs incurred by you in connection with preparation and submission of your completed ITT.</w:t>
      </w:r>
    </w:p>
    <w:p w14:paraId="0838E4F9" w14:textId="155A4694" w:rsidR="00B514E4" w:rsidRPr="00E356EA" w:rsidRDefault="00B514E4" w:rsidP="00F61B2D">
      <w:pPr>
        <w:spacing w:after="0" w:line="240" w:lineRule="auto"/>
        <w:jc w:val="both"/>
        <w:rPr>
          <w:rFonts w:cstheme="minorHAnsi"/>
        </w:rPr>
      </w:pPr>
    </w:p>
    <w:p w14:paraId="4BAC42BD" w14:textId="21FA9570" w:rsidR="00754C7C" w:rsidRPr="00E356EA" w:rsidRDefault="00DC641E" w:rsidP="003D6A3A">
      <w:pPr>
        <w:pStyle w:val="Heading1"/>
        <w:rPr>
          <w:rFonts w:eastAsia="Times New Roman"/>
        </w:rPr>
      </w:pPr>
      <w:bookmarkStart w:id="20" w:name="_Ref469295538"/>
      <w:bookmarkStart w:id="21" w:name="_Toc110425074"/>
      <w:r w:rsidRPr="00E3458A">
        <w:rPr>
          <w:rFonts w:eastAsia="Times New Roman"/>
        </w:rPr>
        <w:t xml:space="preserve">4. </w:t>
      </w:r>
      <w:r w:rsidR="007566FC" w:rsidRPr="007566FC">
        <w:rPr>
          <w:rFonts w:eastAsia="Times New Roman"/>
        </w:rPr>
        <w:t>Submission of Responses</w:t>
      </w:r>
      <w:bookmarkEnd w:id="21"/>
      <w:r w:rsidR="007566FC">
        <w:rPr>
          <w:rFonts w:eastAsia="Times New Roman"/>
        </w:rPr>
        <w:t xml:space="preserve"> </w:t>
      </w:r>
      <w:bookmarkEnd w:id="20"/>
    </w:p>
    <w:p w14:paraId="5AF5FFC3" w14:textId="2FBBC5E2" w:rsidR="00191E69" w:rsidRPr="00754C7C" w:rsidRDefault="00307435" w:rsidP="00F61B2D">
      <w:pPr>
        <w:pStyle w:val="Heading2"/>
        <w:spacing w:before="0" w:line="240" w:lineRule="auto"/>
      </w:pPr>
      <w:bookmarkStart w:id="22" w:name="_Toc110425075"/>
      <w:r w:rsidRPr="00E3458A">
        <w:t xml:space="preserve">4.1 </w:t>
      </w:r>
      <w:r w:rsidR="00F61B2D">
        <w:t>Response instruction</w:t>
      </w:r>
      <w:r w:rsidR="00175DF4">
        <w:t>s</w:t>
      </w:r>
      <w:bookmarkEnd w:id="22"/>
    </w:p>
    <w:p w14:paraId="2A61CCE9" w14:textId="54994D8E" w:rsidR="001E3CFF" w:rsidRDefault="001E3CFF" w:rsidP="00F61B2D">
      <w:pPr>
        <w:spacing w:after="0" w:line="240" w:lineRule="auto"/>
        <w:jc w:val="both"/>
        <w:rPr>
          <w:rFonts w:cstheme="minorHAnsi"/>
        </w:rPr>
      </w:pPr>
      <w:r w:rsidRPr="000D1F7D">
        <w:rPr>
          <w:rFonts w:cstheme="minorHAnsi"/>
        </w:rPr>
        <w:t>Bidder</w:t>
      </w:r>
      <w:r w:rsidR="00307435" w:rsidRPr="000D1F7D">
        <w:rPr>
          <w:rFonts w:cstheme="minorHAnsi"/>
        </w:rPr>
        <w:t>s must submit their Tenders by responding to</w:t>
      </w:r>
      <w:r w:rsidRPr="000D1F7D">
        <w:rPr>
          <w:rFonts w:cstheme="minorHAnsi"/>
        </w:rPr>
        <w:t xml:space="preserve"> the ITT</w:t>
      </w:r>
      <w:r w:rsidR="00794127" w:rsidRPr="000D1F7D">
        <w:rPr>
          <w:rFonts w:cstheme="minorHAnsi"/>
        </w:rPr>
        <w:t xml:space="preserve"> questions</w:t>
      </w:r>
      <w:r w:rsidR="00F361BB" w:rsidRPr="000D1F7D">
        <w:rPr>
          <w:rFonts w:cstheme="minorHAnsi"/>
        </w:rPr>
        <w:t xml:space="preserve"> online</w:t>
      </w:r>
      <w:r w:rsidRPr="000D1F7D">
        <w:rPr>
          <w:rFonts w:cstheme="minorHAnsi"/>
        </w:rPr>
        <w:t>. Completed Tenders must be submitted u</w:t>
      </w:r>
      <w:r w:rsidR="002D3901" w:rsidRPr="000D1F7D">
        <w:rPr>
          <w:rFonts w:cstheme="minorHAnsi"/>
        </w:rPr>
        <w:t xml:space="preserve">sing the e-Tendering Portal. </w:t>
      </w:r>
      <w:r w:rsidRPr="000D1F7D">
        <w:rPr>
          <w:rFonts w:cstheme="minorHAnsi"/>
        </w:rPr>
        <w:t>Bidders should ensure that they allow plenty of time to upload the Tender.</w:t>
      </w:r>
    </w:p>
    <w:p w14:paraId="184135ED" w14:textId="77777777" w:rsidR="00F61B2D" w:rsidRPr="000D1F7D" w:rsidRDefault="00F61B2D" w:rsidP="00F61B2D">
      <w:pPr>
        <w:spacing w:after="0" w:line="240" w:lineRule="auto"/>
        <w:jc w:val="both"/>
        <w:rPr>
          <w:rFonts w:cstheme="minorHAnsi"/>
        </w:rPr>
      </w:pPr>
    </w:p>
    <w:p w14:paraId="3BC3E299" w14:textId="0E88B5CC" w:rsidR="001E3CFF" w:rsidRDefault="001E3CFF" w:rsidP="00F61B2D">
      <w:pPr>
        <w:spacing w:after="0" w:line="240" w:lineRule="auto"/>
        <w:jc w:val="both"/>
        <w:rPr>
          <w:rFonts w:cstheme="minorHAnsi"/>
        </w:rPr>
      </w:pPr>
      <w:r w:rsidRPr="000D1F7D">
        <w:rPr>
          <w:rFonts w:cstheme="minorHAnsi"/>
        </w:rPr>
        <w:t xml:space="preserve">If Bidders have any problems with the e-Tendering Portal, </w:t>
      </w:r>
      <w:r w:rsidR="00F51A53" w:rsidRPr="000D1F7D">
        <w:rPr>
          <w:rFonts w:cstheme="minorHAnsi"/>
        </w:rPr>
        <w:t xml:space="preserve">please </w:t>
      </w:r>
      <w:r w:rsidRPr="000D1F7D">
        <w:rPr>
          <w:rFonts w:cstheme="minorHAnsi"/>
        </w:rPr>
        <w:t xml:space="preserve">contact the helpdesk via email </w:t>
      </w:r>
      <w:hyperlink r:id="rId9" w:history="1">
        <w:r w:rsidR="00307435" w:rsidRPr="000D1F7D">
          <w:rPr>
            <w:rStyle w:val="Hyperlink"/>
            <w:rFonts w:cstheme="minorHAnsi"/>
          </w:rPr>
          <w:t>helpdesk@waxdigital.com</w:t>
        </w:r>
      </w:hyperlink>
      <w:r w:rsidR="00307435" w:rsidRPr="000D1F7D">
        <w:rPr>
          <w:rFonts w:cstheme="minorHAnsi"/>
        </w:rPr>
        <w:t xml:space="preserve"> </w:t>
      </w:r>
      <w:r w:rsidRPr="000D1F7D">
        <w:rPr>
          <w:rFonts w:cstheme="minorHAnsi"/>
        </w:rPr>
        <w:t xml:space="preserve"> (at any time) or call 0161 367 2739 (9am – 5.30pm, Monday - Friday UK time).</w:t>
      </w:r>
      <w:r w:rsidR="00F61B2D">
        <w:rPr>
          <w:rFonts w:cstheme="minorHAnsi"/>
        </w:rPr>
        <w:t xml:space="preserve"> </w:t>
      </w:r>
      <w:r w:rsidRPr="000D1F7D">
        <w:rPr>
          <w:rFonts w:cstheme="minorHAnsi"/>
        </w:rPr>
        <w:t>As noted above, any Tender received afte</w:t>
      </w:r>
      <w:r w:rsidR="00F361BB" w:rsidRPr="000D1F7D">
        <w:rPr>
          <w:rFonts w:cstheme="minorHAnsi"/>
        </w:rPr>
        <w:t xml:space="preserve">r the deadline may not be </w:t>
      </w:r>
      <w:r w:rsidRPr="000D1F7D">
        <w:rPr>
          <w:rFonts w:cstheme="minorHAnsi"/>
        </w:rPr>
        <w:t>considered.</w:t>
      </w:r>
    </w:p>
    <w:p w14:paraId="317A53FD" w14:textId="77777777" w:rsidR="00F61B2D" w:rsidRPr="000D1F7D" w:rsidRDefault="00F61B2D" w:rsidP="00F61B2D">
      <w:pPr>
        <w:spacing w:after="0" w:line="240" w:lineRule="auto"/>
        <w:jc w:val="both"/>
        <w:rPr>
          <w:rFonts w:cstheme="minorHAnsi"/>
        </w:rPr>
      </w:pPr>
    </w:p>
    <w:p w14:paraId="1B328FC3" w14:textId="2DCB3BBB" w:rsidR="00790D2E" w:rsidRDefault="000D1F7D" w:rsidP="00F61B2D">
      <w:pPr>
        <w:spacing w:after="0" w:line="240" w:lineRule="auto"/>
        <w:jc w:val="both"/>
        <w:rPr>
          <w:rFonts w:cstheme="minorHAnsi"/>
        </w:rPr>
      </w:pPr>
      <w:r w:rsidRPr="000D1F7D">
        <w:rPr>
          <w:rFonts w:cstheme="minorHAnsi"/>
        </w:rPr>
        <w:t xml:space="preserve">The Bidder must upload a duly executed Form of Tender as set out </w:t>
      </w:r>
      <w:r w:rsidRPr="00D972E4">
        <w:rPr>
          <w:rFonts w:cstheme="minorHAnsi"/>
        </w:rPr>
        <w:t xml:space="preserve">in </w:t>
      </w:r>
      <w:r w:rsidR="00540B8E" w:rsidRPr="00D972E4">
        <w:rPr>
          <w:rFonts w:cstheme="minorHAnsi"/>
        </w:rPr>
        <w:t xml:space="preserve">Annex </w:t>
      </w:r>
      <w:r w:rsidR="00D972E4" w:rsidRPr="00D972E4">
        <w:rPr>
          <w:rFonts w:cstheme="minorHAnsi"/>
        </w:rPr>
        <w:t>H</w:t>
      </w:r>
      <w:r w:rsidRPr="000D1F7D">
        <w:rPr>
          <w:rFonts w:cstheme="minorHAnsi"/>
        </w:rPr>
        <w:t xml:space="preserve">. Where the Bidder is a company, </w:t>
      </w:r>
      <w:r w:rsidR="00492745">
        <w:rPr>
          <w:rFonts w:cstheme="minorHAnsi"/>
        </w:rPr>
        <w:t>t</w:t>
      </w:r>
      <w:r w:rsidRPr="000D1F7D">
        <w:rPr>
          <w:rFonts w:cstheme="minorHAnsi"/>
        </w:rPr>
        <w:t xml:space="preserve">he Tender must be signed by a duly authorised representative of that company. Where the Bidder is a consortium, the Tender must be signed by the lead authorised representative of the organisation </w:t>
      </w:r>
      <w:r w:rsidR="00492745">
        <w:rPr>
          <w:rFonts w:cstheme="minorHAnsi"/>
        </w:rPr>
        <w:t xml:space="preserve">that </w:t>
      </w:r>
      <w:r w:rsidRPr="000D1F7D">
        <w:rPr>
          <w:rFonts w:cstheme="minorHAnsi"/>
        </w:rPr>
        <w:t>shall be responsible for the performance of the Contract. In the case of a partnership, all the partners should sign or, alternatively, one only may sign, in which case (s)he must have and should state that (s)he has authority to sign on behalf of the other partner(s). The names of all the partners should be given in full together with the trading name of the partnership. In the case of the sole trader, (s) he should sign and give his name in full together with the name under which (s)he is trading.</w:t>
      </w:r>
    </w:p>
    <w:p w14:paraId="6F49D199" w14:textId="77777777" w:rsidR="00C75141" w:rsidRPr="00790D2E" w:rsidRDefault="00C75141" w:rsidP="00F61B2D">
      <w:pPr>
        <w:spacing w:after="0" w:line="240" w:lineRule="auto"/>
        <w:jc w:val="both"/>
        <w:rPr>
          <w:rFonts w:cstheme="minorHAnsi"/>
        </w:rPr>
      </w:pPr>
    </w:p>
    <w:p w14:paraId="1F57ECED" w14:textId="26BE56FD" w:rsidR="00E23207" w:rsidRPr="00F61B2D" w:rsidRDefault="00E23207" w:rsidP="00F61B2D">
      <w:pPr>
        <w:pStyle w:val="Heading2"/>
        <w:spacing w:before="0" w:line="240" w:lineRule="auto"/>
        <w:rPr>
          <w:rFonts w:eastAsia="Times New Roman"/>
        </w:rPr>
      </w:pPr>
      <w:bookmarkStart w:id="23" w:name="_Toc110425076"/>
      <w:r w:rsidRPr="006418BC">
        <w:rPr>
          <w:rFonts w:eastAsia="Times New Roman"/>
        </w:rPr>
        <w:t>4.2 Format of response</w:t>
      </w:r>
      <w:bookmarkEnd w:id="23"/>
    </w:p>
    <w:p w14:paraId="5676C5F1" w14:textId="113F7BDE" w:rsidR="00E6087B" w:rsidRPr="00E02ADA" w:rsidRDefault="00E6087B" w:rsidP="00F61B2D">
      <w:pPr>
        <w:spacing w:after="0" w:line="240" w:lineRule="auto"/>
        <w:jc w:val="both"/>
        <w:rPr>
          <w:rFonts w:eastAsia="Times New Roman" w:cstheme="minorHAnsi"/>
        </w:rPr>
      </w:pPr>
      <w:r w:rsidRPr="00E02ADA">
        <w:rPr>
          <w:rFonts w:eastAsia="Times New Roman" w:cstheme="minorHAnsi"/>
        </w:rPr>
        <w:t xml:space="preserve">Responses should be submitted using the </w:t>
      </w:r>
      <w:r w:rsidR="006418BC" w:rsidRPr="00E02ADA">
        <w:rPr>
          <w:rFonts w:eastAsia="Times New Roman" w:cstheme="minorHAnsi"/>
        </w:rPr>
        <w:t>WAX</w:t>
      </w:r>
      <w:r w:rsidRPr="00E02ADA">
        <w:rPr>
          <w:rFonts w:eastAsia="Times New Roman" w:cstheme="minorHAnsi"/>
        </w:rPr>
        <w:t xml:space="preserve"> Portal.  Any supporting documentation provided must be clearly titled to identify the Bidder, which Section and Question number it </w:t>
      </w:r>
      <w:r w:rsidR="006418BC" w:rsidRPr="00E02ADA">
        <w:rPr>
          <w:rFonts w:eastAsia="Times New Roman" w:cstheme="minorHAnsi"/>
        </w:rPr>
        <w:t>relates to.  [</w:t>
      </w:r>
      <w:proofErr w:type="gramStart"/>
      <w:r w:rsidR="006418BC" w:rsidRPr="00E02ADA">
        <w:rPr>
          <w:rFonts w:eastAsia="Times New Roman" w:cstheme="minorHAnsi"/>
        </w:rPr>
        <w:t>e.g.</w:t>
      </w:r>
      <w:proofErr w:type="gramEnd"/>
      <w:r w:rsidR="006418BC" w:rsidRPr="00E02ADA">
        <w:rPr>
          <w:rFonts w:eastAsia="Times New Roman" w:cstheme="minorHAnsi"/>
        </w:rPr>
        <w:t xml:space="preserve"> Bidder A, Q1</w:t>
      </w:r>
      <w:r w:rsidRPr="00E02ADA">
        <w:rPr>
          <w:rFonts w:eastAsia="Times New Roman" w:cstheme="minorHAnsi"/>
        </w:rPr>
        <w:t>.1 bid response]</w:t>
      </w:r>
    </w:p>
    <w:p w14:paraId="25948086" w14:textId="77777777" w:rsidR="00E6087B" w:rsidRPr="00E02ADA" w:rsidRDefault="00E6087B" w:rsidP="00F61B2D">
      <w:pPr>
        <w:spacing w:after="0" w:line="240" w:lineRule="auto"/>
        <w:jc w:val="both"/>
        <w:rPr>
          <w:rFonts w:eastAsia="Times New Roman" w:cstheme="minorHAnsi"/>
        </w:rPr>
      </w:pPr>
    </w:p>
    <w:p w14:paraId="4D136394" w14:textId="5E0A7A67" w:rsidR="00E6087B" w:rsidRPr="00E02ADA" w:rsidRDefault="00E6087B" w:rsidP="00F61B2D">
      <w:pPr>
        <w:spacing w:after="0" w:line="240" w:lineRule="auto"/>
        <w:jc w:val="both"/>
        <w:rPr>
          <w:rFonts w:eastAsia="Times New Roman" w:cstheme="minorHAnsi"/>
        </w:rPr>
      </w:pPr>
      <w:r w:rsidRPr="00E02ADA">
        <w:rPr>
          <w:rFonts w:eastAsia="Times New Roman" w:cstheme="minorHAnsi"/>
        </w:rPr>
        <w:t xml:space="preserve">There is a </w:t>
      </w:r>
      <w:r w:rsidR="00492745">
        <w:rPr>
          <w:rFonts w:eastAsia="Times New Roman" w:cstheme="minorHAnsi"/>
        </w:rPr>
        <w:t xml:space="preserve">maximum </w:t>
      </w:r>
      <w:r w:rsidRPr="00E02ADA">
        <w:rPr>
          <w:rFonts w:eastAsia="Times New Roman" w:cstheme="minorHAnsi"/>
        </w:rPr>
        <w:t>word count to each question, it should be noted that:</w:t>
      </w:r>
    </w:p>
    <w:p w14:paraId="7BE008DE" w14:textId="77777777" w:rsidR="00E6087B" w:rsidRPr="00E02ADA" w:rsidRDefault="00E6087B" w:rsidP="00F61B2D">
      <w:pPr>
        <w:numPr>
          <w:ilvl w:val="0"/>
          <w:numId w:val="54"/>
        </w:numPr>
        <w:spacing w:after="0" w:line="240" w:lineRule="auto"/>
        <w:ind w:left="851" w:hanging="284"/>
        <w:contextualSpacing/>
        <w:jc w:val="both"/>
        <w:rPr>
          <w:rFonts w:eastAsia="Times New Roman" w:cstheme="minorHAnsi"/>
        </w:rPr>
      </w:pPr>
      <w:r w:rsidRPr="00E02ADA">
        <w:rPr>
          <w:rFonts w:eastAsia="Times New Roman" w:cstheme="minorHAnsi"/>
        </w:rPr>
        <w:t xml:space="preserve">The word count is intended to give an indication to the Bidder as to the depth of the response required for each of the </w:t>
      </w:r>
      <w:proofErr w:type="gramStart"/>
      <w:r w:rsidRPr="00E02ADA">
        <w:rPr>
          <w:rFonts w:eastAsia="Times New Roman" w:cstheme="minorHAnsi"/>
        </w:rPr>
        <w:t>questions;</w:t>
      </w:r>
      <w:proofErr w:type="gramEnd"/>
    </w:p>
    <w:p w14:paraId="5CC12043" w14:textId="5306B3D5" w:rsidR="00E6087B" w:rsidRPr="00E02ADA" w:rsidRDefault="00E6087B" w:rsidP="00F61B2D">
      <w:pPr>
        <w:numPr>
          <w:ilvl w:val="0"/>
          <w:numId w:val="54"/>
        </w:numPr>
        <w:spacing w:after="0" w:line="240" w:lineRule="auto"/>
        <w:ind w:left="851" w:hanging="284"/>
        <w:contextualSpacing/>
        <w:jc w:val="both"/>
        <w:rPr>
          <w:rFonts w:eastAsia="Times New Roman" w:cstheme="minorHAnsi"/>
        </w:rPr>
      </w:pPr>
      <w:r w:rsidRPr="00E02ADA">
        <w:rPr>
          <w:rFonts w:eastAsia="Times New Roman" w:cstheme="minorHAnsi"/>
        </w:rPr>
        <w:t>There is no obligation to utilise the</w:t>
      </w:r>
      <w:r w:rsidR="00492745">
        <w:rPr>
          <w:rFonts w:eastAsia="Times New Roman" w:cstheme="minorHAnsi"/>
        </w:rPr>
        <w:t xml:space="preserve"> full</w:t>
      </w:r>
      <w:r w:rsidRPr="00E02ADA">
        <w:rPr>
          <w:rFonts w:eastAsia="Times New Roman" w:cstheme="minorHAnsi"/>
        </w:rPr>
        <w:t xml:space="preserve"> word count.</w:t>
      </w:r>
    </w:p>
    <w:p w14:paraId="77FF8EAA" w14:textId="77777777" w:rsidR="00E6087B" w:rsidRPr="00E02ADA" w:rsidRDefault="00E6087B" w:rsidP="00F61B2D">
      <w:pPr>
        <w:spacing w:after="0" w:line="240" w:lineRule="auto"/>
        <w:jc w:val="both"/>
        <w:rPr>
          <w:rFonts w:eastAsia="Times New Roman" w:cstheme="minorHAnsi"/>
        </w:rPr>
      </w:pPr>
    </w:p>
    <w:p w14:paraId="04DD33D6" w14:textId="22A038D3" w:rsidR="00E6087B" w:rsidRDefault="00B15E10" w:rsidP="00F61B2D">
      <w:pPr>
        <w:spacing w:after="0" w:line="240" w:lineRule="auto"/>
        <w:jc w:val="both"/>
        <w:rPr>
          <w:rFonts w:eastAsia="Times New Roman" w:cstheme="minorHAnsi"/>
        </w:rPr>
      </w:pPr>
      <w:r w:rsidRPr="00D972E4">
        <w:rPr>
          <w:rFonts w:eastAsia="Times New Roman" w:cstheme="minorHAnsi"/>
        </w:rPr>
        <w:t xml:space="preserve">Each section of the tender question has a stated word limit which must be adhered to. Where certain attachments are specifically requested within the question prompt, the attachment should be </w:t>
      </w:r>
      <w:r w:rsidRPr="00D972E4">
        <w:rPr>
          <w:rFonts w:eastAsia="Times New Roman" w:cstheme="minorHAnsi"/>
        </w:rPr>
        <w:lastRenderedPageBreak/>
        <w:t>uploaded and will not contribute to the overall word limit for this question. Any attachments uploaded which have not been specifically requested, will not be evaluated.</w:t>
      </w:r>
    </w:p>
    <w:p w14:paraId="77B0B870" w14:textId="77777777" w:rsidR="00B15E10" w:rsidRPr="00E02ADA" w:rsidRDefault="00B15E10" w:rsidP="00F61B2D">
      <w:pPr>
        <w:spacing w:after="0" w:line="240" w:lineRule="auto"/>
        <w:jc w:val="both"/>
        <w:rPr>
          <w:rFonts w:eastAsia="Times New Roman" w:cstheme="minorHAnsi"/>
        </w:rPr>
      </w:pPr>
    </w:p>
    <w:p w14:paraId="351A5CA1" w14:textId="48848E9C" w:rsidR="00E6087B" w:rsidRPr="00E02ADA" w:rsidRDefault="00E6087B" w:rsidP="00F61B2D">
      <w:pPr>
        <w:spacing w:after="0" w:line="240" w:lineRule="auto"/>
        <w:jc w:val="both"/>
        <w:rPr>
          <w:rFonts w:eastAsia="Times New Roman" w:cstheme="minorHAnsi"/>
          <w:i/>
        </w:rPr>
      </w:pPr>
      <w:r w:rsidRPr="00E02ADA">
        <w:rPr>
          <w:rFonts w:eastAsia="Times New Roman" w:cstheme="minorHAnsi"/>
        </w:rPr>
        <w:t xml:space="preserve">Generic sales and marketing materials which do not directly contribute towards the illustration or evidencing of the response </w:t>
      </w:r>
      <w:r w:rsidR="00492745">
        <w:rPr>
          <w:rFonts w:eastAsia="Times New Roman" w:cstheme="minorHAnsi"/>
        </w:rPr>
        <w:t>to</w:t>
      </w:r>
      <w:r w:rsidRPr="00E02ADA">
        <w:rPr>
          <w:rFonts w:eastAsia="Times New Roman" w:cstheme="minorHAnsi"/>
        </w:rPr>
        <w:t xml:space="preserve"> a </w:t>
      </w:r>
      <w:r w:rsidR="00492745">
        <w:rPr>
          <w:rFonts w:eastAsia="Times New Roman" w:cstheme="minorHAnsi"/>
        </w:rPr>
        <w:t xml:space="preserve">tender </w:t>
      </w:r>
      <w:r w:rsidRPr="00E02ADA">
        <w:rPr>
          <w:rFonts w:eastAsia="Times New Roman" w:cstheme="minorHAnsi"/>
        </w:rPr>
        <w:t xml:space="preserve">question, will not be considered as part of the scoring of the bid.   </w:t>
      </w:r>
    </w:p>
    <w:p w14:paraId="4F6055B1" w14:textId="6AEA42E1" w:rsidR="00E6087B" w:rsidRDefault="00E6087B" w:rsidP="00F61B2D">
      <w:pPr>
        <w:spacing w:after="0" w:line="240" w:lineRule="auto"/>
        <w:jc w:val="both"/>
        <w:rPr>
          <w:rFonts w:eastAsia="Times New Roman" w:cstheme="minorHAnsi"/>
          <w:color w:val="000000"/>
          <w:sz w:val="20"/>
          <w:szCs w:val="20"/>
        </w:rPr>
      </w:pPr>
    </w:p>
    <w:p w14:paraId="70EEF147" w14:textId="11FEACA9" w:rsidR="00E02ADA" w:rsidRDefault="00E02ADA" w:rsidP="00F61B2D">
      <w:pPr>
        <w:spacing w:after="0" w:line="240" w:lineRule="auto"/>
        <w:jc w:val="both"/>
        <w:rPr>
          <w:rFonts w:cstheme="minorHAnsi"/>
        </w:rPr>
      </w:pPr>
      <w:r w:rsidRPr="00E02ADA">
        <w:rPr>
          <w:rFonts w:cstheme="minorHAnsi"/>
        </w:rPr>
        <w:t xml:space="preserve">The maximum file size for uploading documents is 38mb per document. The Authority does not guarantee that you will be able to upload files up to the maximum size, particularly at busy times. For this </w:t>
      </w:r>
      <w:proofErr w:type="gramStart"/>
      <w:r w:rsidRPr="00E02ADA">
        <w:rPr>
          <w:rFonts w:cstheme="minorHAnsi"/>
        </w:rPr>
        <w:t>reason</w:t>
      </w:r>
      <w:proofErr w:type="gramEnd"/>
      <w:r w:rsidRPr="00E02ADA">
        <w:rPr>
          <w:rFonts w:cstheme="minorHAnsi"/>
        </w:rPr>
        <w:t xml:space="preserve"> it is recommended that Bidders should ensure files are well below the maximum stated and allow plenty of time to upload, so they have enough time to resolve any technical difficulties before the deadline</w:t>
      </w:r>
      <w:r w:rsidR="00F61B2D">
        <w:rPr>
          <w:rFonts w:cstheme="minorHAnsi"/>
        </w:rPr>
        <w:t>.</w:t>
      </w:r>
    </w:p>
    <w:p w14:paraId="723288DD" w14:textId="77777777" w:rsidR="00F61B2D" w:rsidRPr="00E02ADA" w:rsidRDefault="00F61B2D" w:rsidP="00F61B2D">
      <w:pPr>
        <w:spacing w:after="0" w:line="240" w:lineRule="auto"/>
        <w:jc w:val="both"/>
        <w:rPr>
          <w:rFonts w:cstheme="minorHAnsi"/>
        </w:rPr>
      </w:pPr>
    </w:p>
    <w:p w14:paraId="19AB17F9" w14:textId="2720E385" w:rsidR="00E02ADA" w:rsidRDefault="00E02ADA" w:rsidP="00F61B2D">
      <w:pPr>
        <w:spacing w:after="0" w:line="240" w:lineRule="auto"/>
        <w:jc w:val="both"/>
        <w:rPr>
          <w:rFonts w:cstheme="minorHAnsi"/>
        </w:rPr>
      </w:pPr>
      <w:r w:rsidRPr="00E02ADA">
        <w:rPr>
          <w:rFonts w:cstheme="minorHAnsi"/>
        </w:rPr>
        <w:t xml:space="preserve">Do not embed documents within other documents. Instead provide separate electronic copies of the documents, clearly </w:t>
      </w:r>
      <w:proofErr w:type="gramStart"/>
      <w:r w:rsidRPr="00E02ADA">
        <w:rPr>
          <w:rFonts w:cstheme="minorHAnsi"/>
        </w:rPr>
        <w:t>labelled</w:t>
      </w:r>
      <w:proofErr w:type="gramEnd"/>
      <w:r w:rsidRPr="00E02ADA">
        <w:rPr>
          <w:rFonts w:cstheme="minorHAnsi"/>
        </w:rPr>
        <w:t xml:space="preserve"> and referenced.    </w:t>
      </w:r>
    </w:p>
    <w:p w14:paraId="33C52156" w14:textId="77777777" w:rsidR="00F61B2D" w:rsidRPr="00E02ADA" w:rsidRDefault="00F61B2D" w:rsidP="00F61B2D">
      <w:pPr>
        <w:spacing w:after="0" w:line="240" w:lineRule="auto"/>
        <w:jc w:val="both"/>
        <w:rPr>
          <w:rFonts w:cstheme="minorHAnsi"/>
        </w:rPr>
      </w:pPr>
    </w:p>
    <w:p w14:paraId="53C36394" w14:textId="77777777" w:rsidR="00E02ADA" w:rsidRPr="00E6087B" w:rsidRDefault="00E02ADA" w:rsidP="00F61B2D">
      <w:pPr>
        <w:spacing w:after="0" w:line="240" w:lineRule="auto"/>
        <w:jc w:val="both"/>
        <w:rPr>
          <w:rFonts w:cstheme="minorHAnsi"/>
        </w:rPr>
      </w:pPr>
      <w:r w:rsidRPr="0077009E">
        <w:rPr>
          <w:rFonts w:cstheme="minorHAnsi"/>
        </w:rPr>
        <w:t>The Tender must be in English and drafted in accordance with the drafting guidance set out in this ITT</w:t>
      </w:r>
    </w:p>
    <w:p w14:paraId="1F00F2EE" w14:textId="558C257A" w:rsidR="00E02ADA" w:rsidRPr="006418BC" w:rsidRDefault="00E02ADA" w:rsidP="00F61B2D">
      <w:pPr>
        <w:spacing w:after="0" w:line="240" w:lineRule="auto"/>
        <w:jc w:val="both"/>
        <w:rPr>
          <w:rFonts w:eastAsia="Times New Roman" w:cstheme="minorHAnsi"/>
          <w:color w:val="000000"/>
          <w:sz w:val="20"/>
          <w:szCs w:val="20"/>
        </w:rPr>
      </w:pPr>
    </w:p>
    <w:p w14:paraId="3DC452E6" w14:textId="170E2775" w:rsidR="00E6087B" w:rsidRPr="006418BC" w:rsidRDefault="008877B3" w:rsidP="00F61B2D">
      <w:pPr>
        <w:pStyle w:val="Heading2"/>
        <w:spacing w:before="0" w:line="240" w:lineRule="auto"/>
        <w:rPr>
          <w:rFonts w:eastAsia="Times New Roman"/>
          <w:b/>
          <w:lang w:eastAsia="en-GB"/>
        </w:rPr>
      </w:pPr>
      <w:bookmarkStart w:id="24" w:name="_Ref172451177"/>
      <w:bookmarkStart w:id="25" w:name="_Toc110425077"/>
      <w:r>
        <w:rPr>
          <w:rFonts w:eastAsia="Times New Roman"/>
          <w:lang w:eastAsia="en-GB"/>
        </w:rPr>
        <w:t xml:space="preserve">4.3 </w:t>
      </w:r>
      <w:r w:rsidR="00F61B2D">
        <w:rPr>
          <w:rFonts w:eastAsia="Times New Roman"/>
          <w:lang w:eastAsia="en-GB"/>
        </w:rPr>
        <w:t>Information provided in b</w:t>
      </w:r>
      <w:r w:rsidR="00E6087B" w:rsidRPr="008877B3">
        <w:rPr>
          <w:rFonts w:eastAsia="Times New Roman"/>
          <w:lang w:eastAsia="en-GB"/>
        </w:rPr>
        <w:t>ids</w:t>
      </w:r>
      <w:bookmarkEnd w:id="25"/>
    </w:p>
    <w:p w14:paraId="2FAD151A" w14:textId="0F20E1DE" w:rsidR="00E6087B" w:rsidRPr="00E02ADA" w:rsidRDefault="00E6087B" w:rsidP="00F61B2D">
      <w:pPr>
        <w:spacing w:after="0" w:line="240" w:lineRule="auto"/>
        <w:jc w:val="both"/>
        <w:rPr>
          <w:rFonts w:eastAsia="Times New Roman" w:cstheme="minorHAnsi"/>
          <w:color w:val="000000"/>
          <w:lang w:eastAsia="en-GB"/>
        </w:rPr>
      </w:pPr>
      <w:r w:rsidRPr="00E02ADA">
        <w:rPr>
          <w:rFonts w:eastAsia="Times New Roman" w:cstheme="minorHAnsi"/>
          <w:color w:val="000000"/>
          <w:lang w:eastAsia="en-GB"/>
        </w:rPr>
        <w:t>In evaluating Bids, the Contracting Authority will only consider information provided in response to this IT</w:t>
      </w:r>
      <w:r w:rsidR="008877B3" w:rsidRPr="00E02ADA">
        <w:rPr>
          <w:rFonts w:eastAsia="Times New Roman" w:cstheme="minorHAnsi"/>
          <w:color w:val="000000"/>
          <w:lang w:eastAsia="en-GB"/>
        </w:rPr>
        <w:t>T</w:t>
      </w:r>
      <w:r w:rsidRPr="00E02ADA">
        <w:rPr>
          <w:rFonts w:eastAsia="Times New Roman" w:cstheme="minorHAnsi"/>
          <w:color w:val="000000"/>
          <w:lang w:eastAsia="en-GB"/>
        </w:rPr>
        <w:t xml:space="preserve">. Bidders should not assume that the Contracting Authority has any prior knowledge of the Bidder, its practice or reputation, or its involvement in existing services, </w:t>
      </w:r>
      <w:proofErr w:type="gramStart"/>
      <w:r w:rsidRPr="00E02ADA">
        <w:rPr>
          <w:rFonts w:eastAsia="Times New Roman" w:cstheme="minorHAnsi"/>
          <w:color w:val="000000"/>
          <w:lang w:eastAsia="en-GB"/>
        </w:rPr>
        <w:t>projects</w:t>
      </w:r>
      <w:proofErr w:type="gramEnd"/>
      <w:r w:rsidRPr="00E02ADA">
        <w:rPr>
          <w:rFonts w:eastAsia="Times New Roman" w:cstheme="minorHAnsi"/>
          <w:color w:val="000000"/>
          <w:lang w:eastAsia="en-GB"/>
        </w:rPr>
        <w:t xml:space="preserve"> or procurements.</w:t>
      </w:r>
    </w:p>
    <w:p w14:paraId="1E0F4E3B" w14:textId="77777777" w:rsidR="00E6087B" w:rsidRPr="00E02ADA" w:rsidRDefault="00E6087B" w:rsidP="00F61B2D">
      <w:pPr>
        <w:spacing w:after="0" w:line="240" w:lineRule="auto"/>
        <w:ind w:left="709"/>
        <w:jc w:val="both"/>
        <w:rPr>
          <w:rFonts w:eastAsia="Times New Roman" w:cstheme="minorHAnsi"/>
          <w:color w:val="000000"/>
          <w:lang w:eastAsia="en-GB"/>
        </w:rPr>
      </w:pPr>
    </w:p>
    <w:p w14:paraId="4C38E15C" w14:textId="205FE26C" w:rsidR="00E6087B" w:rsidRPr="00E02ADA" w:rsidRDefault="00E6087B" w:rsidP="00F61B2D">
      <w:pPr>
        <w:spacing w:after="0" w:line="240" w:lineRule="auto"/>
        <w:jc w:val="both"/>
        <w:rPr>
          <w:rFonts w:eastAsia="Times New Roman" w:cstheme="minorHAnsi"/>
          <w:color w:val="000000"/>
          <w:lang w:eastAsia="en-GB"/>
        </w:rPr>
      </w:pPr>
      <w:r w:rsidRPr="00E02ADA">
        <w:rPr>
          <w:rFonts w:eastAsia="Times New Roman" w:cstheme="minorHAnsi"/>
          <w:color w:val="000000"/>
          <w:lang w:eastAsia="en-GB"/>
        </w:rPr>
        <w:t xml:space="preserve">All relevant information required to support the Bid should be included in the Bidder’s response. Cross-referencing of responses is not </w:t>
      </w:r>
      <w:proofErr w:type="gramStart"/>
      <w:r w:rsidRPr="00E02ADA">
        <w:rPr>
          <w:rFonts w:eastAsia="Times New Roman" w:cstheme="minorHAnsi"/>
          <w:color w:val="000000"/>
          <w:lang w:eastAsia="en-GB"/>
        </w:rPr>
        <w:t>permitted</w:t>
      </w:r>
      <w:proofErr w:type="gramEnd"/>
      <w:r w:rsidRPr="00E02ADA">
        <w:rPr>
          <w:rFonts w:eastAsia="Times New Roman" w:cstheme="minorHAnsi"/>
          <w:color w:val="000000"/>
          <w:lang w:eastAsia="en-GB"/>
        </w:rPr>
        <w:t xml:space="preserve"> and each question will be evaluated taking into account only the response to the </w:t>
      </w:r>
      <w:r w:rsidR="00492745">
        <w:rPr>
          <w:rFonts w:eastAsia="Times New Roman" w:cstheme="minorHAnsi"/>
          <w:color w:val="000000"/>
          <w:lang w:eastAsia="en-GB"/>
        </w:rPr>
        <w:t xml:space="preserve">associated </w:t>
      </w:r>
      <w:r w:rsidRPr="00E02ADA">
        <w:rPr>
          <w:rFonts w:eastAsia="Times New Roman" w:cstheme="minorHAnsi"/>
          <w:color w:val="000000"/>
          <w:lang w:eastAsia="en-GB"/>
        </w:rPr>
        <w:t xml:space="preserve">question (unless otherwise stated in the evaluation criteria).  Evaluators are assigned on a </w:t>
      </w:r>
      <w:proofErr w:type="gramStart"/>
      <w:r w:rsidRPr="00E02ADA">
        <w:rPr>
          <w:rFonts w:eastAsia="Times New Roman" w:cstheme="minorHAnsi"/>
          <w:color w:val="000000"/>
          <w:lang w:eastAsia="en-GB"/>
        </w:rPr>
        <w:t>section by section</w:t>
      </w:r>
      <w:proofErr w:type="gramEnd"/>
      <w:r w:rsidRPr="00E02ADA">
        <w:rPr>
          <w:rFonts w:eastAsia="Times New Roman" w:cstheme="minorHAnsi"/>
          <w:color w:val="000000"/>
          <w:lang w:eastAsia="en-GB"/>
        </w:rPr>
        <w:t xml:space="preserve"> basis and they may not have access to the information provided in other sections of your bid. </w:t>
      </w:r>
    </w:p>
    <w:p w14:paraId="3D2A5B8A" w14:textId="77777777" w:rsidR="00E6087B" w:rsidRPr="00E02ADA" w:rsidRDefault="00E6087B" w:rsidP="00F61B2D">
      <w:pPr>
        <w:spacing w:after="0" w:line="240" w:lineRule="auto"/>
        <w:ind w:left="709"/>
        <w:jc w:val="both"/>
        <w:rPr>
          <w:rFonts w:eastAsia="Times New Roman" w:cstheme="minorHAnsi"/>
          <w:color w:val="000000"/>
          <w:lang w:eastAsia="en-GB"/>
        </w:rPr>
      </w:pPr>
    </w:p>
    <w:p w14:paraId="1D06A429" w14:textId="1279D69A" w:rsidR="00E6087B" w:rsidRDefault="00E6087B" w:rsidP="00F61B2D">
      <w:pPr>
        <w:spacing w:after="0" w:line="240" w:lineRule="auto"/>
        <w:jc w:val="both"/>
        <w:rPr>
          <w:rFonts w:eastAsia="Times New Roman" w:cstheme="minorHAnsi"/>
          <w:color w:val="000000"/>
          <w:lang w:eastAsia="en-GB"/>
        </w:rPr>
      </w:pPr>
      <w:r w:rsidRPr="00E02ADA">
        <w:rPr>
          <w:rFonts w:eastAsia="Times New Roman" w:cstheme="minorHAnsi"/>
          <w:color w:val="000000"/>
          <w:lang w:eastAsia="en-GB"/>
        </w:rPr>
        <w:t xml:space="preserve">Bidders are responsible for the accuracy of all information concerning </w:t>
      </w:r>
      <w:r w:rsidR="00492745">
        <w:rPr>
          <w:rFonts w:eastAsia="Times New Roman" w:cstheme="minorHAnsi"/>
          <w:color w:val="000000"/>
          <w:lang w:eastAsia="en-GB"/>
        </w:rPr>
        <w:t>r</w:t>
      </w:r>
      <w:r w:rsidRPr="00E02ADA">
        <w:rPr>
          <w:rFonts w:eastAsia="Times New Roman" w:cstheme="minorHAnsi"/>
          <w:color w:val="000000"/>
          <w:lang w:eastAsia="en-GB"/>
        </w:rPr>
        <w:t xml:space="preserve">elevant </w:t>
      </w:r>
      <w:r w:rsidR="00492745">
        <w:rPr>
          <w:rFonts w:eastAsia="Times New Roman" w:cstheme="minorHAnsi"/>
          <w:color w:val="000000"/>
          <w:lang w:eastAsia="en-GB"/>
        </w:rPr>
        <w:t>o</w:t>
      </w:r>
      <w:r w:rsidRPr="00E02ADA">
        <w:rPr>
          <w:rFonts w:eastAsia="Times New Roman" w:cstheme="minorHAnsi"/>
          <w:color w:val="000000"/>
          <w:lang w:eastAsia="en-GB"/>
        </w:rPr>
        <w:t>rganisations submitted within their Bids.</w:t>
      </w:r>
    </w:p>
    <w:p w14:paraId="5457931E" w14:textId="77777777" w:rsidR="00DF4A34" w:rsidRPr="00E02ADA" w:rsidRDefault="00DF4A34" w:rsidP="00F61B2D">
      <w:pPr>
        <w:spacing w:after="0" w:line="240" w:lineRule="auto"/>
        <w:jc w:val="both"/>
        <w:rPr>
          <w:rFonts w:eastAsia="Times New Roman" w:cstheme="minorHAnsi"/>
          <w:color w:val="000000"/>
          <w:lang w:eastAsia="en-GB"/>
        </w:rPr>
      </w:pPr>
    </w:p>
    <w:bookmarkEnd w:id="24"/>
    <w:p w14:paraId="097FD51C" w14:textId="14B195A4" w:rsidR="007566FC" w:rsidRDefault="00E02ADA" w:rsidP="00F61B2D">
      <w:pPr>
        <w:spacing w:after="0" w:line="240" w:lineRule="auto"/>
        <w:jc w:val="both"/>
        <w:rPr>
          <w:rFonts w:cstheme="minorHAnsi"/>
        </w:rPr>
      </w:pPr>
      <w:r w:rsidRPr="00E02ADA">
        <w:rPr>
          <w:rFonts w:cstheme="minorHAnsi"/>
        </w:rPr>
        <w:t xml:space="preserve">The Tender must be clear, </w:t>
      </w:r>
      <w:proofErr w:type="gramStart"/>
      <w:r w:rsidRPr="00E02ADA">
        <w:rPr>
          <w:rFonts w:cstheme="minorHAnsi"/>
        </w:rPr>
        <w:t>concise</w:t>
      </w:r>
      <w:proofErr w:type="gramEnd"/>
      <w:r w:rsidRPr="00E02ADA">
        <w:rPr>
          <w:rFonts w:cstheme="minorHAnsi"/>
        </w:rPr>
        <w:t xml:space="preserve"> and complete. The Authority reserves the right to mark Bidders down or exclude them from the procurement if their Tenders are ambiguous or lack clarity. Bidders should submit only such information as is necessary to respond effectively to this ITT. Unless specifically requested, do not include </w:t>
      </w:r>
      <w:r>
        <w:rPr>
          <w:rFonts w:cstheme="minorHAnsi"/>
        </w:rPr>
        <w:t>any attachments</w:t>
      </w:r>
      <w:r w:rsidRPr="00E02ADA">
        <w:rPr>
          <w:rFonts w:cstheme="minorHAnsi"/>
        </w:rPr>
        <w:t>.</w:t>
      </w:r>
    </w:p>
    <w:p w14:paraId="7BC67E88" w14:textId="77777777" w:rsidR="00C75141" w:rsidRPr="00DF4A34" w:rsidRDefault="00C75141" w:rsidP="00F61B2D">
      <w:pPr>
        <w:spacing w:after="0" w:line="240" w:lineRule="auto"/>
        <w:jc w:val="both"/>
        <w:rPr>
          <w:rFonts w:cstheme="minorHAnsi"/>
        </w:rPr>
      </w:pPr>
    </w:p>
    <w:p w14:paraId="081F3A10" w14:textId="702B1820" w:rsidR="007566FC" w:rsidRPr="00D7186E" w:rsidRDefault="007566FC" w:rsidP="003D6A3A">
      <w:pPr>
        <w:pStyle w:val="Heading1"/>
      </w:pPr>
      <w:bookmarkStart w:id="26" w:name="_Toc110425078"/>
      <w:r>
        <w:t>4.4</w:t>
      </w:r>
      <w:r w:rsidRPr="00D7186E">
        <w:t xml:space="preserve"> Bidders clarification questions</w:t>
      </w:r>
      <w:bookmarkEnd w:id="26"/>
      <w:r w:rsidRPr="00D7186E">
        <w:t xml:space="preserve"> </w:t>
      </w:r>
    </w:p>
    <w:p w14:paraId="63301594" w14:textId="07830B9A" w:rsidR="007566FC" w:rsidRDefault="007566FC" w:rsidP="00F61B2D">
      <w:pPr>
        <w:pStyle w:val="ITTnormal"/>
        <w:spacing w:before="0" w:after="0"/>
        <w:ind w:left="0"/>
        <w:jc w:val="both"/>
        <w:rPr>
          <w:rFonts w:asciiTheme="minorHAnsi" w:hAnsiTheme="minorHAnsi" w:cstheme="minorHAnsi"/>
        </w:rPr>
      </w:pPr>
      <w:r w:rsidRPr="006D1AD0">
        <w:rPr>
          <w:rFonts w:asciiTheme="minorHAnsi" w:hAnsiTheme="minorHAnsi" w:cstheme="minorHAnsi"/>
        </w:rPr>
        <w:t>Once the ITT has been published, Bidders may wish to conduct due diligence on certain aspects of the information provided in the ITT. The objective of the Bidder clarification stage is to give Bidders the opportunity to submit questions to the Authority where they require clarification on the information contained in the ITT.</w:t>
      </w:r>
    </w:p>
    <w:p w14:paraId="46B8AAC7" w14:textId="77777777" w:rsidR="007566FC" w:rsidRPr="006D1AD0" w:rsidRDefault="007566FC" w:rsidP="00F61B2D">
      <w:pPr>
        <w:pStyle w:val="ITTnormal"/>
        <w:spacing w:before="0" w:after="0"/>
        <w:ind w:left="0"/>
        <w:jc w:val="both"/>
        <w:rPr>
          <w:rFonts w:asciiTheme="minorHAnsi" w:hAnsiTheme="minorHAnsi" w:cstheme="minorHAnsi"/>
        </w:rPr>
      </w:pPr>
    </w:p>
    <w:p w14:paraId="357C703B" w14:textId="29E08BB4" w:rsidR="007566FC" w:rsidRPr="006D1AD0" w:rsidRDefault="007566FC" w:rsidP="00F61B2D">
      <w:pPr>
        <w:pStyle w:val="ITTnormal"/>
        <w:spacing w:before="0" w:after="0"/>
        <w:ind w:left="0"/>
        <w:jc w:val="both"/>
        <w:rPr>
          <w:rFonts w:asciiTheme="minorHAnsi" w:hAnsiTheme="minorHAnsi" w:cstheme="minorHAnsi"/>
        </w:rPr>
      </w:pPr>
      <w:r w:rsidRPr="006D1AD0">
        <w:rPr>
          <w:rFonts w:asciiTheme="minorHAnsi" w:hAnsiTheme="minorHAnsi" w:cstheme="minorHAnsi"/>
        </w:rPr>
        <w:t>The Bidder clarification stage will take place</w:t>
      </w:r>
      <w:r>
        <w:rPr>
          <w:rFonts w:asciiTheme="minorHAnsi" w:hAnsiTheme="minorHAnsi" w:cstheme="minorHAnsi"/>
        </w:rPr>
        <w:t>,</w:t>
      </w:r>
      <w:r w:rsidRPr="006D1AD0">
        <w:rPr>
          <w:rFonts w:asciiTheme="minorHAnsi" w:hAnsiTheme="minorHAnsi" w:cstheme="minorHAnsi"/>
        </w:rPr>
        <w:t xml:space="preserve"> between</w:t>
      </w:r>
      <w:r>
        <w:rPr>
          <w:rFonts w:asciiTheme="minorHAnsi" w:hAnsiTheme="minorHAnsi" w:cstheme="minorHAnsi"/>
        </w:rPr>
        <w:t xml:space="preserve"> </w:t>
      </w:r>
      <w:r w:rsidR="00D972E4">
        <w:rPr>
          <w:rFonts w:asciiTheme="minorHAnsi" w:hAnsiTheme="minorHAnsi" w:cstheme="minorHAnsi"/>
          <w:b/>
        </w:rPr>
        <w:t xml:space="preserve">15 August 2022 </w:t>
      </w:r>
      <w:r w:rsidR="005D1827">
        <w:rPr>
          <w:rFonts w:asciiTheme="minorHAnsi" w:hAnsiTheme="minorHAnsi" w:cstheme="minorHAnsi"/>
          <w:b/>
        </w:rPr>
        <w:t>–</w:t>
      </w:r>
      <w:r w:rsidR="00D972E4">
        <w:rPr>
          <w:rFonts w:asciiTheme="minorHAnsi" w:hAnsiTheme="minorHAnsi" w:cstheme="minorHAnsi"/>
          <w:b/>
        </w:rPr>
        <w:t xml:space="preserve"> </w:t>
      </w:r>
      <w:r w:rsidR="005D1827">
        <w:rPr>
          <w:rFonts w:asciiTheme="minorHAnsi" w:hAnsiTheme="minorHAnsi" w:cstheme="minorHAnsi"/>
          <w:b/>
        </w:rPr>
        <w:t>5 September 2022</w:t>
      </w:r>
      <w:r w:rsidRPr="002B4830">
        <w:rPr>
          <w:rFonts w:asciiTheme="minorHAnsi" w:hAnsiTheme="minorHAnsi" w:cstheme="minorHAnsi"/>
          <w:b/>
          <w:lang w:eastAsia="en-US"/>
        </w:rPr>
        <w:t xml:space="preserve">, </w:t>
      </w:r>
      <w:r w:rsidRPr="002B4830">
        <w:rPr>
          <w:rFonts w:asciiTheme="minorHAnsi" w:hAnsiTheme="minorHAnsi" w:cstheme="minorHAnsi"/>
        </w:rPr>
        <w:t>inclusive</w:t>
      </w:r>
      <w:r>
        <w:rPr>
          <w:rFonts w:asciiTheme="minorHAnsi" w:hAnsiTheme="minorHAnsi" w:cstheme="minorHAnsi"/>
        </w:rPr>
        <w:t xml:space="preserve">. </w:t>
      </w:r>
      <w:r w:rsidRPr="006D1AD0">
        <w:rPr>
          <w:rFonts w:asciiTheme="minorHAnsi" w:hAnsiTheme="minorHAnsi" w:cstheme="minorHAnsi"/>
        </w:rPr>
        <w:t>The Authority will not respond to clarification questions received after the expiry of this period.</w:t>
      </w:r>
    </w:p>
    <w:p w14:paraId="01EA5C68" w14:textId="77777777" w:rsidR="007566FC" w:rsidRDefault="007566FC" w:rsidP="00F61B2D">
      <w:pPr>
        <w:pStyle w:val="ITTnormal"/>
        <w:spacing w:before="0" w:after="0"/>
        <w:ind w:left="0"/>
        <w:jc w:val="both"/>
        <w:rPr>
          <w:rFonts w:asciiTheme="minorHAnsi" w:hAnsiTheme="minorHAnsi" w:cstheme="minorHAnsi"/>
        </w:rPr>
      </w:pPr>
      <w:r w:rsidRPr="006D1AD0">
        <w:rPr>
          <w:rFonts w:asciiTheme="minorHAnsi" w:hAnsiTheme="minorHAnsi" w:cstheme="minorHAnsi"/>
        </w:rPr>
        <w:t>Bidders must submit any clarification questions via the Portal messaging</w:t>
      </w:r>
      <w:r>
        <w:rPr>
          <w:rFonts w:asciiTheme="minorHAnsi" w:hAnsiTheme="minorHAnsi" w:cstheme="minorHAnsi"/>
        </w:rPr>
        <w:t xml:space="preserve"> facility for this Procurement. </w:t>
      </w:r>
      <w:r w:rsidRPr="006D1AD0">
        <w:rPr>
          <w:rFonts w:asciiTheme="minorHAnsi" w:hAnsiTheme="minorHAnsi" w:cstheme="minorHAnsi"/>
        </w:rPr>
        <w:t xml:space="preserve">The Authority will distribute </w:t>
      </w:r>
      <w:r w:rsidRPr="006D1AD0">
        <w:rPr>
          <w:rFonts w:asciiTheme="minorHAnsi" w:hAnsiTheme="minorHAnsi" w:cstheme="minorHAnsi"/>
          <w:u w:val="single"/>
        </w:rPr>
        <w:t>all</w:t>
      </w:r>
      <w:r w:rsidRPr="006D1AD0">
        <w:rPr>
          <w:rFonts w:asciiTheme="minorHAnsi" w:hAnsiTheme="minorHAnsi" w:cstheme="minorHAnsi"/>
        </w:rPr>
        <w:t xml:space="preserve"> clarification questions raised by Bidders, and corresponding Authority responses, to all other Bidders on a rolling basis during the ITT Bidder c</w:t>
      </w:r>
      <w:r>
        <w:rPr>
          <w:rFonts w:asciiTheme="minorHAnsi" w:hAnsiTheme="minorHAnsi" w:cstheme="minorHAnsi"/>
        </w:rPr>
        <w:t>larification stage unless it is commercially sensitive information. The decision will be made at the Authority’s discretion.</w:t>
      </w:r>
    </w:p>
    <w:p w14:paraId="443B5C4B" w14:textId="77777777" w:rsidR="007566FC" w:rsidRDefault="007566FC" w:rsidP="00F61B2D">
      <w:pPr>
        <w:pStyle w:val="Heading2"/>
        <w:spacing w:before="0" w:line="240" w:lineRule="auto"/>
        <w:rPr>
          <w:rFonts w:eastAsia="Times New Roman"/>
          <w:lang w:eastAsia="en-GB"/>
        </w:rPr>
      </w:pPr>
    </w:p>
    <w:p w14:paraId="5204B7F1" w14:textId="71EC91AD" w:rsidR="007566FC" w:rsidRPr="00C65091" w:rsidRDefault="00A250C7" w:rsidP="00F61B2D">
      <w:pPr>
        <w:pStyle w:val="Heading2"/>
        <w:spacing w:before="0" w:line="240" w:lineRule="auto"/>
      </w:pPr>
      <w:bookmarkStart w:id="27" w:name="_Toc110425079"/>
      <w:r>
        <w:t>4.5</w:t>
      </w:r>
      <w:r w:rsidR="007566FC" w:rsidRPr="00D8378D">
        <w:t xml:space="preserve"> </w:t>
      </w:r>
      <w:r w:rsidR="007566FC">
        <w:t>Bid clarification from the Authority</w:t>
      </w:r>
      <w:bookmarkEnd w:id="27"/>
      <w:r w:rsidR="007566FC" w:rsidRPr="0060328F">
        <w:t xml:space="preserve"> </w:t>
      </w:r>
    </w:p>
    <w:p w14:paraId="02B26249" w14:textId="3F91C80E" w:rsidR="00546F3F" w:rsidRPr="00865E7B" w:rsidRDefault="00546F3F" w:rsidP="00F61B2D">
      <w:pPr>
        <w:autoSpaceDE w:val="0"/>
        <w:autoSpaceDN w:val="0"/>
        <w:adjustRightInd w:val="0"/>
        <w:spacing w:after="0" w:line="240" w:lineRule="auto"/>
        <w:jc w:val="both"/>
        <w:rPr>
          <w:rFonts w:eastAsia="Times New Roman" w:cstheme="minorHAnsi"/>
          <w:lang w:eastAsia="en-GB"/>
        </w:rPr>
      </w:pPr>
      <w:r w:rsidRPr="00865E7B">
        <w:rPr>
          <w:rFonts w:eastAsia="Times New Roman" w:cstheme="minorHAnsi"/>
          <w:lang w:eastAsia="en-GB"/>
        </w:rPr>
        <w:t>During the Bidder evaluation period the Authority may (but is not obliged to) request written clarification from Bidders on their Bid. Any request by the Contracting Authority for clarification on Bids shall be made in writing via the Portal to the relevant Authorised Representative. Bidders’ responses must be in writing via the Portal and within the timescales stipulated by the Authority at the time of the request.</w:t>
      </w:r>
    </w:p>
    <w:p w14:paraId="1071493D" w14:textId="77777777" w:rsidR="00546F3F" w:rsidRPr="00865E7B" w:rsidRDefault="00546F3F" w:rsidP="00F61B2D">
      <w:pPr>
        <w:autoSpaceDE w:val="0"/>
        <w:autoSpaceDN w:val="0"/>
        <w:adjustRightInd w:val="0"/>
        <w:spacing w:after="0" w:line="240" w:lineRule="auto"/>
        <w:ind w:left="1701"/>
        <w:jc w:val="both"/>
        <w:rPr>
          <w:rFonts w:eastAsia="Times New Roman" w:cstheme="minorHAnsi"/>
          <w:lang w:eastAsia="en-GB"/>
        </w:rPr>
      </w:pPr>
    </w:p>
    <w:p w14:paraId="65135DE9" w14:textId="3396E322" w:rsidR="00546F3F" w:rsidRPr="00865E7B" w:rsidRDefault="00546F3F" w:rsidP="00F61B2D">
      <w:pPr>
        <w:autoSpaceDE w:val="0"/>
        <w:autoSpaceDN w:val="0"/>
        <w:adjustRightInd w:val="0"/>
        <w:spacing w:after="0" w:line="240" w:lineRule="auto"/>
        <w:jc w:val="both"/>
        <w:rPr>
          <w:rFonts w:eastAsia="Times New Roman" w:cstheme="minorHAnsi"/>
          <w:lang w:eastAsia="en-GB"/>
        </w:rPr>
      </w:pPr>
      <w:r w:rsidRPr="00865E7B">
        <w:rPr>
          <w:rFonts w:eastAsia="Times New Roman" w:cstheme="minorHAnsi"/>
          <w:lang w:eastAsia="en-GB"/>
        </w:rPr>
        <w:t>Failure to respond adequately or before the stipulated deadline will be reflected in the evaluation of the Bid and may result in exclusion of the Bidder from further participation in the Procurement process.</w:t>
      </w:r>
    </w:p>
    <w:p w14:paraId="6C8A3476" w14:textId="77777777" w:rsidR="007566FC" w:rsidRPr="007566FC" w:rsidRDefault="007566FC" w:rsidP="00F61B2D">
      <w:pPr>
        <w:spacing w:after="0" w:line="240" w:lineRule="auto"/>
        <w:jc w:val="both"/>
        <w:rPr>
          <w:rFonts w:cstheme="minorHAnsi"/>
        </w:rPr>
      </w:pPr>
    </w:p>
    <w:p w14:paraId="3C86A23A" w14:textId="131DD615" w:rsidR="00F974E5" w:rsidRPr="0080284C" w:rsidRDefault="00794127" w:rsidP="00F61B2D">
      <w:pPr>
        <w:pStyle w:val="Heading2"/>
        <w:spacing w:before="0" w:line="240" w:lineRule="auto"/>
      </w:pPr>
      <w:bookmarkStart w:id="28" w:name="_Toc110425080"/>
      <w:r w:rsidRPr="0080284C">
        <w:t>4</w:t>
      </w:r>
      <w:r w:rsidR="00D07E9F" w:rsidRPr="0080284C">
        <w:t>.</w:t>
      </w:r>
      <w:r w:rsidR="00A250C7">
        <w:t>6</w:t>
      </w:r>
      <w:r w:rsidR="0089294D" w:rsidRPr="0080284C">
        <w:t xml:space="preserve"> Modifications and withdrawal of tender</w:t>
      </w:r>
      <w:bookmarkEnd w:id="28"/>
      <w:r w:rsidR="0089294D" w:rsidRPr="0080284C">
        <w:t xml:space="preserve"> </w:t>
      </w:r>
    </w:p>
    <w:p w14:paraId="140A57A6" w14:textId="77777777" w:rsidR="0089294D" w:rsidRPr="0089294D" w:rsidRDefault="0089294D" w:rsidP="00F61B2D">
      <w:pPr>
        <w:pStyle w:val="ListParagraph"/>
        <w:numPr>
          <w:ilvl w:val="0"/>
          <w:numId w:val="5"/>
        </w:numPr>
        <w:spacing w:after="0" w:line="240" w:lineRule="auto"/>
        <w:jc w:val="both"/>
        <w:rPr>
          <w:rFonts w:cstheme="minorHAnsi"/>
        </w:rPr>
      </w:pPr>
      <w:r w:rsidRPr="0089294D">
        <w:rPr>
          <w:rFonts w:cstheme="minorHAnsi"/>
        </w:rPr>
        <w:t xml:space="preserve">Except as set out in </w:t>
      </w:r>
      <w:r w:rsidR="00794127">
        <w:rPr>
          <w:rFonts w:cstheme="minorHAnsi"/>
        </w:rPr>
        <w:t>this ITT</w:t>
      </w:r>
      <w:r w:rsidRPr="0089294D">
        <w:rPr>
          <w:rFonts w:cstheme="minorHAnsi"/>
        </w:rPr>
        <w:t>, no Tender may be modified after the deadline for receipt of Tenders.</w:t>
      </w:r>
    </w:p>
    <w:p w14:paraId="56A5962B" w14:textId="3B5CD73B" w:rsidR="00AE4D6D" w:rsidRDefault="0089294D" w:rsidP="00F61B2D">
      <w:pPr>
        <w:pStyle w:val="ListParagraph"/>
        <w:numPr>
          <w:ilvl w:val="0"/>
          <w:numId w:val="5"/>
        </w:numPr>
        <w:spacing w:after="0" w:line="240" w:lineRule="auto"/>
        <w:jc w:val="both"/>
        <w:rPr>
          <w:rFonts w:cstheme="minorHAnsi"/>
        </w:rPr>
      </w:pPr>
      <w:r w:rsidRPr="0089294D">
        <w:rPr>
          <w:rFonts w:cstheme="minorHAnsi"/>
        </w:rPr>
        <w:t>Tenders may be withdrawn by Bidder at any time before the deadline for receipt of Tenders. Revised Tenders may be submitted up until the deadline for receipt of Tenders, provided such intention is notified to the Authority using the e-Tendering Portal.</w:t>
      </w:r>
    </w:p>
    <w:p w14:paraId="73B9D244" w14:textId="77777777" w:rsidR="00F61B2D" w:rsidRPr="00F61B2D" w:rsidRDefault="00F61B2D" w:rsidP="00F61B2D">
      <w:pPr>
        <w:spacing w:after="0" w:line="240" w:lineRule="auto"/>
        <w:jc w:val="both"/>
        <w:rPr>
          <w:rFonts w:cstheme="minorHAnsi"/>
        </w:rPr>
      </w:pPr>
    </w:p>
    <w:p w14:paraId="297EC843" w14:textId="7AAA9DB2" w:rsidR="00D07E9F" w:rsidRPr="00256F33" w:rsidRDefault="00A85387" w:rsidP="00F61B2D">
      <w:pPr>
        <w:pStyle w:val="Heading2"/>
        <w:spacing w:before="0" w:line="240" w:lineRule="auto"/>
      </w:pPr>
      <w:bookmarkStart w:id="29" w:name="_Toc110425081"/>
      <w:r>
        <w:t>4.</w:t>
      </w:r>
      <w:r w:rsidR="00A250C7">
        <w:t>7</w:t>
      </w:r>
      <w:r w:rsidR="0092789F" w:rsidRPr="00256F33">
        <w:t xml:space="preserve"> </w:t>
      </w:r>
      <w:r w:rsidR="0089294D" w:rsidRPr="00256F33">
        <w:t>Variant Bids</w:t>
      </w:r>
      <w:bookmarkEnd w:id="29"/>
      <w:r w:rsidR="0089294D" w:rsidRPr="00256F33">
        <w:t xml:space="preserve"> </w:t>
      </w:r>
    </w:p>
    <w:p w14:paraId="3DC03A46" w14:textId="65C9C5F0" w:rsidR="00D07E9F" w:rsidRDefault="00282A61" w:rsidP="00F61B2D">
      <w:pPr>
        <w:pStyle w:val="ListParagraph"/>
        <w:spacing w:after="0" w:line="240" w:lineRule="auto"/>
        <w:jc w:val="both"/>
        <w:rPr>
          <w:rFonts w:cstheme="minorHAnsi"/>
        </w:rPr>
      </w:pPr>
      <w:r>
        <w:rPr>
          <w:rFonts w:cstheme="minorHAnsi"/>
        </w:rPr>
        <w:t xml:space="preserve">Variant bids are not accepted. </w:t>
      </w:r>
    </w:p>
    <w:p w14:paraId="08BB7CDB" w14:textId="77777777" w:rsidR="00F61B2D" w:rsidRDefault="00F61B2D" w:rsidP="00F61B2D">
      <w:pPr>
        <w:pStyle w:val="ListParagraph"/>
        <w:spacing w:after="0" w:line="240" w:lineRule="auto"/>
        <w:jc w:val="both"/>
        <w:rPr>
          <w:rFonts w:cstheme="minorHAnsi"/>
        </w:rPr>
      </w:pPr>
    </w:p>
    <w:p w14:paraId="1675ECE1" w14:textId="1FE6906A" w:rsidR="009F5193" w:rsidRPr="00584AE7" w:rsidRDefault="00A16085" w:rsidP="003D6A3A">
      <w:pPr>
        <w:pStyle w:val="Heading1"/>
        <w:rPr>
          <w:rFonts w:eastAsia="Times New Roman"/>
        </w:rPr>
      </w:pPr>
      <w:bookmarkStart w:id="30" w:name="_Toc110425082"/>
      <w:r>
        <w:rPr>
          <w:rFonts w:eastAsia="Times New Roman"/>
        </w:rPr>
        <w:t>5</w:t>
      </w:r>
      <w:r w:rsidR="0036267C" w:rsidRPr="00E3458A">
        <w:rPr>
          <w:rFonts w:eastAsia="Times New Roman"/>
        </w:rPr>
        <w:t xml:space="preserve">. </w:t>
      </w:r>
      <w:r w:rsidR="00970172" w:rsidRPr="00E3458A">
        <w:t>TENDER EVALUATION METHODOLOGY AND CRITERIA</w:t>
      </w:r>
      <w:bookmarkEnd w:id="30"/>
    </w:p>
    <w:p w14:paraId="4F836A84" w14:textId="193001AF" w:rsidR="00584AE7" w:rsidRPr="00DF4A34" w:rsidRDefault="006F081F" w:rsidP="00F61B2D">
      <w:pPr>
        <w:pStyle w:val="Heading2"/>
        <w:spacing w:before="0" w:line="240" w:lineRule="auto"/>
      </w:pPr>
      <w:bookmarkStart w:id="31" w:name="_Toc110425083"/>
      <w:r>
        <w:t xml:space="preserve">5.1 </w:t>
      </w:r>
      <w:r w:rsidR="003160DE" w:rsidRPr="00DF4A34">
        <w:t>Overview</w:t>
      </w:r>
      <w:bookmarkEnd w:id="31"/>
      <w:r w:rsidR="003160DE" w:rsidRPr="00DF4A34">
        <w:t xml:space="preserve"> </w:t>
      </w:r>
    </w:p>
    <w:p w14:paraId="2CA9A4E2" w14:textId="77777777" w:rsidR="00066A1C" w:rsidRDefault="00101139" w:rsidP="00F61B2D">
      <w:pPr>
        <w:spacing w:after="0" w:line="240" w:lineRule="auto"/>
        <w:jc w:val="both"/>
        <w:rPr>
          <w:rFonts w:ascii="Arial" w:hAnsi="Arial" w:cs="Arial"/>
          <w:b/>
          <w:sz w:val="20"/>
        </w:rPr>
      </w:pPr>
      <w:r w:rsidRPr="00860DB4">
        <w:rPr>
          <w:rFonts w:cstheme="minorHAnsi"/>
        </w:rPr>
        <w:t xml:space="preserve">This section sets out the criteria that the Authority will use to evaluate Bids. </w:t>
      </w:r>
      <w:bookmarkStart w:id="32" w:name="_Ref478650014"/>
      <w:r w:rsidR="005708D4" w:rsidRPr="00865E7B">
        <w:rPr>
          <w:rFonts w:eastAsia="Times New Roman" w:cstheme="minorHAnsi"/>
          <w:lang w:eastAsia="en-GB"/>
        </w:rPr>
        <w:t xml:space="preserve">The contract will be awarded to the Bidder submitting the most economically advantageous tender (MEAT).  In this procurement MEAT is identified on the basis </w:t>
      </w:r>
      <w:proofErr w:type="gramStart"/>
      <w:r w:rsidR="005708D4" w:rsidRPr="00865E7B">
        <w:rPr>
          <w:rFonts w:eastAsia="Times New Roman" w:cstheme="minorHAnsi"/>
          <w:lang w:eastAsia="en-GB"/>
        </w:rPr>
        <w:t>of</w:t>
      </w:r>
      <w:bookmarkEnd w:id="32"/>
      <w:r w:rsidR="005708D4" w:rsidRPr="00865E7B">
        <w:rPr>
          <w:rFonts w:eastAsia="Times New Roman" w:cstheme="minorHAnsi"/>
          <w:lang w:eastAsia="en-GB"/>
        </w:rPr>
        <w:t>:</w:t>
      </w:r>
      <w:proofErr w:type="gramEnd"/>
      <w:r w:rsidR="005708D4" w:rsidRPr="00865E7B">
        <w:rPr>
          <w:rFonts w:eastAsia="Times New Roman" w:cstheme="minorHAnsi"/>
          <w:lang w:eastAsia="en-GB"/>
        </w:rPr>
        <w:t xml:space="preserve"> best price-quality ratio.</w:t>
      </w:r>
      <w:r w:rsidR="005708D4">
        <w:rPr>
          <w:rFonts w:eastAsia="Times New Roman" w:cstheme="minorHAnsi"/>
          <w:lang w:eastAsia="en-GB"/>
        </w:rPr>
        <w:t xml:space="preserve"> </w:t>
      </w:r>
      <w:r w:rsidRPr="00860DB4">
        <w:rPr>
          <w:rFonts w:cstheme="minorHAnsi"/>
        </w:rPr>
        <w:t>Evaluation will be carried out as follows:</w:t>
      </w:r>
      <w:r w:rsidRPr="004A7B73">
        <w:rPr>
          <w:rFonts w:ascii="Arial" w:hAnsi="Arial" w:cs="Arial"/>
          <w:b/>
          <w:sz w:val="20"/>
        </w:rPr>
        <w:t xml:space="preserve"> </w:t>
      </w:r>
    </w:p>
    <w:p w14:paraId="047D7236" w14:textId="350C1C62" w:rsidR="007B1CC1" w:rsidRPr="00066A1C" w:rsidRDefault="007B1CC1" w:rsidP="00540B8E">
      <w:pPr>
        <w:pStyle w:val="ListParagraph"/>
        <w:numPr>
          <w:ilvl w:val="0"/>
          <w:numId w:val="61"/>
        </w:numPr>
        <w:spacing w:after="0" w:line="240" w:lineRule="auto"/>
        <w:jc w:val="both"/>
        <w:rPr>
          <w:rFonts w:cstheme="minorHAnsi"/>
        </w:rPr>
      </w:pPr>
      <w:r w:rsidRPr="00540B8E">
        <w:rPr>
          <w:rFonts w:eastAsia="Times New Roman" w:cstheme="minorHAnsi"/>
        </w:rPr>
        <w:t xml:space="preserve">Compliance stage:  Bids will be checked to ensure that they have been completed correctly and all necessary </w:t>
      </w:r>
      <w:r w:rsidR="00D537A2" w:rsidRPr="00540B8E">
        <w:rPr>
          <w:rFonts w:eastAsia="Times New Roman" w:cstheme="minorHAnsi"/>
        </w:rPr>
        <w:t xml:space="preserve">information has been provided. </w:t>
      </w:r>
      <w:r w:rsidRPr="00540B8E">
        <w:rPr>
          <w:rFonts w:eastAsia="Times New Roman" w:cstheme="minorHAnsi"/>
        </w:rPr>
        <w:t>Bid responses correctly completed with all relevant information being provided will proceed to the Evaluation stage.  Any Bid not correctly completed in accordance w</w:t>
      </w:r>
      <w:r w:rsidR="00D537A2" w:rsidRPr="00540B8E">
        <w:rPr>
          <w:rFonts w:eastAsia="Times New Roman" w:cstheme="minorHAnsi"/>
        </w:rPr>
        <w:t>ith the requirements of this ITT</w:t>
      </w:r>
      <w:r w:rsidRPr="00540B8E">
        <w:rPr>
          <w:rFonts w:eastAsia="Times New Roman" w:cstheme="minorHAnsi"/>
        </w:rPr>
        <w:t xml:space="preserve"> and/or containing omissions may be rejected at this point.  Where a Bid is rejected at this point it will automatically be disqualified and will not be further evaluated. </w:t>
      </w:r>
    </w:p>
    <w:p w14:paraId="5B9340A1" w14:textId="256C6420" w:rsidR="007B1CC1" w:rsidRPr="00540B8E" w:rsidRDefault="007B1CC1" w:rsidP="00540B8E">
      <w:pPr>
        <w:pStyle w:val="ListParagraph"/>
        <w:keepNext/>
        <w:keepLines/>
        <w:numPr>
          <w:ilvl w:val="0"/>
          <w:numId w:val="61"/>
        </w:numPr>
        <w:spacing w:after="0" w:line="240" w:lineRule="auto"/>
        <w:jc w:val="both"/>
        <w:rPr>
          <w:rFonts w:eastAsia="Times New Roman" w:cstheme="minorHAnsi"/>
        </w:rPr>
      </w:pPr>
      <w:r w:rsidRPr="00540B8E">
        <w:rPr>
          <w:rFonts w:eastAsia="Times New Roman" w:cstheme="minorHAnsi"/>
        </w:rPr>
        <w:t>Evaluation stage:  If a Bidder succeeds in passing the compliance stage, then it will have its Bid evaluated in accordance with the evaluation methodology set out below.</w:t>
      </w:r>
    </w:p>
    <w:p w14:paraId="3B23577A" w14:textId="3593BFCC" w:rsidR="007B1CC1" w:rsidRDefault="007B1CC1" w:rsidP="00540B8E">
      <w:pPr>
        <w:keepNext/>
        <w:keepLines/>
        <w:spacing w:after="0" w:line="240" w:lineRule="auto"/>
        <w:ind w:left="720"/>
        <w:jc w:val="both"/>
        <w:rPr>
          <w:rFonts w:eastAsia="Times New Roman" w:cstheme="minorHAnsi"/>
          <w:lang w:eastAsia="en-GB"/>
        </w:rPr>
      </w:pPr>
      <w:r w:rsidRPr="00586130">
        <w:rPr>
          <w:rFonts w:eastAsia="Times New Roman" w:cstheme="minorHAnsi"/>
          <w:lang w:eastAsia="en-GB"/>
        </w:rPr>
        <w:t>•</w:t>
      </w:r>
      <w:r w:rsidRPr="00586130">
        <w:rPr>
          <w:rFonts w:eastAsia="Times New Roman" w:cstheme="minorHAnsi"/>
          <w:lang w:eastAsia="en-GB"/>
        </w:rPr>
        <w:tab/>
      </w:r>
      <w:r w:rsidRPr="006D6419">
        <w:rPr>
          <w:rFonts w:eastAsia="Times New Roman" w:cstheme="minorHAnsi"/>
          <w:lang w:eastAsia="en-GB"/>
        </w:rPr>
        <w:t xml:space="preserve">The Authority will evaluate response to the </w:t>
      </w:r>
      <w:r w:rsidR="00EF62CD">
        <w:rPr>
          <w:rFonts w:eastAsia="Times New Roman" w:cstheme="minorHAnsi"/>
          <w:lang w:eastAsia="en-GB"/>
        </w:rPr>
        <w:t>Pric</w:t>
      </w:r>
      <w:r w:rsidR="00BF3D5F">
        <w:rPr>
          <w:rFonts w:eastAsia="Times New Roman" w:cstheme="minorHAnsi"/>
          <w:lang w:eastAsia="en-GB"/>
        </w:rPr>
        <w:t>ing</w:t>
      </w:r>
      <w:r w:rsidR="00EF62CD">
        <w:rPr>
          <w:rFonts w:eastAsia="Times New Roman" w:cstheme="minorHAnsi"/>
          <w:lang w:eastAsia="en-GB"/>
        </w:rPr>
        <w:t xml:space="preserve"> Schedule</w:t>
      </w:r>
      <w:r w:rsidR="00EF62CD" w:rsidRPr="006D6419">
        <w:rPr>
          <w:rFonts w:eastAsia="Times New Roman" w:cstheme="minorHAnsi"/>
          <w:lang w:eastAsia="en-GB"/>
        </w:rPr>
        <w:t xml:space="preserve"> </w:t>
      </w:r>
      <w:r w:rsidRPr="006D6419">
        <w:rPr>
          <w:rFonts w:eastAsia="Times New Roman" w:cstheme="minorHAnsi"/>
          <w:lang w:eastAsia="en-GB"/>
        </w:rPr>
        <w:t>in accordance with the evaluation methodology set out</w:t>
      </w:r>
      <w:r w:rsidR="000D0EB3" w:rsidRPr="006D6419">
        <w:rPr>
          <w:rFonts w:eastAsia="Times New Roman" w:cstheme="minorHAnsi"/>
          <w:lang w:eastAsia="en-GB"/>
        </w:rPr>
        <w:t xml:space="preserve"> in this document. </w:t>
      </w:r>
      <w:r w:rsidRPr="006D6419">
        <w:rPr>
          <w:rFonts w:eastAsia="Times New Roman" w:cstheme="minorHAnsi"/>
          <w:lang w:eastAsia="en-GB"/>
        </w:rPr>
        <w:t xml:space="preserve">Any Bidder whose Bid is above the </w:t>
      </w:r>
      <w:r w:rsidR="006D6419">
        <w:rPr>
          <w:rFonts w:eastAsia="Times New Roman" w:cstheme="minorHAnsi"/>
          <w:lang w:eastAsia="en-GB"/>
        </w:rPr>
        <w:t>maximum total budget</w:t>
      </w:r>
      <w:r w:rsidRPr="006D6419">
        <w:rPr>
          <w:rFonts w:eastAsia="Times New Roman" w:cstheme="minorHAnsi"/>
          <w:lang w:eastAsia="en-GB"/>
        </w:rPr>
        <w:t xml:space="preserve"> will go no further in this Procurement process and the remainder of their Bid will not be evaluated.</w:t>
      </w:r>
    </w:p>
    <w:p w14:paraId="3A83E6D3" w14:textId="6D382A19" w:rsidR="00586130" w:rsidRPr="006D6419" w:rsidRDefault="00586130" w:rsidP="00540B8E">
      <w:pPr>
        <w:keepNext/>
        <w:keepLines/>
        <w:spacing w:after="0" w:line="240" w:lineRule="auto"/>
        <w:ind w:left="720"/>
        <w:jc w:val="both"/>
        <w:rPr>
          <w:rFonts w:eastAsia="Times New Roman" w:cstheme="minorHAnsi"/>
          <w:lang w:eastAsia="en-GB"/>
        </w:rPr>
      </w:pPr>
      <w:r w:rsidRPr="00586130">
        <w:rPr>
          <w:rFonts w:eastAsia="Times New Roman" w:cstheme="minorHAnsi"/>
          <w:lang w:eastAsia="en-GB"/>
        </w:rPr>
        <w:t>•</w:t>
      </w:r>
      <w:r w:rsidRPr="00586130">
        <w:rPr>
          <w:rFonts w:eastAsia="Times New Roman" w:cstheme="minorHAnsi"/>
          <w:lang w:eastAsia="en-GB"/>
        </w:rPr>
        <w:tab/>
      </w:r>
      <w:r>
        <w:rPr>
          <w:rFonts w:eastAsia="Times New Roman" w:cstheme="minorHAnsi"/>
          <w:lang w:eastAsia="en-GB"/>
        </w:rPr>
        <w:t xml:space="preserve">The Bidder must accept the Authority’s terms and conditions. </w:t>
      </w:r>
      <w:r w:rsidRPr="006D6419">
        <w:rPr>
          <w:rFonts w:eastAsia="Times New Roman" w:cstheme="minorHAnsi"/>
          <w:lang w:eastAsia="en-GB"/>
        </w:rPr>
        <w:t xml:space="preserve">Any Bidder </w:t>
      </w:r>
      <w:r>
        <w:rPr>
          <w:rFonts w:eastAsia="Times New Roman" w:cstheme="minorHAnsi"/>
          <w:lang w:eastAsia="en-GB"/>
        </w:rPr>
        <w:t>who does not accept the terms and conditions</w:t>
      </w:r>
      <w:r w:rsidRPr="006D6419">
        <w:rPr>
          <w:rFonts w:eastAsia="Times New Roman" w:cstheme="minorHAnsi"/>
          <w:lang w:eastAsia="en-GB"/>
        </w:rPr>
        <w:t xml:space="preserve"> will go no further in this Procurement process and the remainder of their Bid will not be evaluated.</w:t>
      </w:r>
    </w:p>
    <w:p w14:paraId="5A8FE322" w14:textId="20D5CF56" w:rsidR="007B1CC1" w:rsidRPr="004933D7" w:rsidRDefault="007B1CC1" w:rsidP="00540B8E">
      <w:pPr>
        <w:keepNext/>
        <w:keepLines/>
        <w:spacing w:after="0" w:line="240" w:lineRule="auto"/>
        <w:ind w:left="720"/>
        <w:jc w:val="both"/>
        <w:rPr>
          <w:rFonts w:eastAsia="Times New Roman" w:cstheme="minorHAnsi"/>
          <w:lang w:eastAsia="en-GB"/>
        </w:rPr>
      </w:pPr>
      <w:r w:rsidRPr="006D6419">
        <w:rPr>
          <w:rFonts w:eastAsia="Times New Roman" w:cstheme="minorHAnsi"/>
          <w:lang w:eastAsia="en-GB"/>
        </w:rPr>
        <w:t>•</w:t>
      </w:r>
      <w:r w:rsidRPr="006D6419">
        <w:rPr>
          <w:rFonts w:eastAsia="Times New Roman" w:cstheme="minorHAnsi"/>
          <w:lang w:eastAsia="en-GB"/>
        </w:rPr>
        <w:tab/>
        <w:t xml:space="preserve">The Authority will then evaluate the Bidder’s response to the questions in Sections </w:t>
      </w:r>
      <w:r w:rsidR="006D6419">
        <w:rPr>
          <w:rFonts w:eastAsia="Times New Roman" w:cstheme="minorHAnsi"/>
          <w:lang w:eastAsia="en-GB"/>
        </w:rPr>
        <w:t>1</w:t>
      </w:r>
      <w:r w:rsidRPr="006D6419">
        <w:rPr>
          <w:rFonts w:eastAsia="Times New Roman" w:cstheme="minorHAnsi"/>
          <w:lang w:eastAsia="en-GB"/>
        </w:rPr>
        <w:t xml:space="preserve"> to </w:t>
      </w:r>
      <w:r w:rsidR="006D6419">
        <w:rPr>
          <w:rFonts w:eastAsia="Times New Roman" w:cstheme="minorHAnsi"/>
          <w:lang w:eastAsia="en-GB"/>
        </w:rPr>
        <w:t>11</w:t>
      </w:r>
      <w:r w:rsidRPr="006D6419">
        <w:rPr>
          <w:rFonts w:eastAsia="Times New Roman" w:cstheme="minorHAnsi"/>
          <w:lang w:eastAsia="en-GB"/>
        </w:rPr>
        <w:t xml:space="preserve"> of the Online Questionnaire (the "Scored Questions"). The Authority will mark the Scored Questions as described in </w:t>
      </w:r>
      <w:r w:rsidR="006D6419">
        <w:rPr>
          <w:rFonts w:eastAsia="Times New Roman" w:cstheme="minorHAnsi"/>
          <w:lang w:eastAsia="en-GB"/>
        </w:rPr>
        <w:t>the scoring criteria</w:t>
      </w:r>
      <w:r w:rsidRPr="006D6419">
        <w:rPr>
          <w:rFonts w:eastAsia="Times New Roman" w:cstheme="minorHAnsi"/>
          <w:lang w:eastAsia="en-GB"/>
        </w:rPr>
        <w:t xml:space="preserve"> </w:t>
      </w:r>
      <w:r w:rsidR="006D6419">
        <w:rPr>
          <w:rFonts w:eastAsia="Times New Roman" w:cstheme="minorHAnsi"/>
          <w:lang w:eastAsia="en-GB"/>
        </w:rPr>
        <w:t>in</w:t>
      </w:r>
      <w:r w:rsidRPr="006D6419">
        <w:rPr>
          <w:rFonts w:eastAsia="Times New Roman" w:cstheme="minorHAnsi"/>
          <w:lang w:eastAsia="en-GB"/>
        </w:rPr>
        <w:t xml:space="preserve"> this document. </w:t>
      </w:r>
    </w:p>
    <w:p w14:paraId="3536C6B2" w14:textId="77777777" w:rsidR="007B1CC1" w:rsidRPr="00584AE7" w:rsidRDefault="007B1CC1" w:rsidP="00F61B2D">
      <w:pPr>
        <w:spacing w:after="0" w:line="240" w:lineRule="auto"/>
        <w:jc w:val="both"/>
        <w:rPr>
          <w:rFonts w:cstheme="minorHAnsi"/>
        </w:rPr>
      </w:pPr>
    </w:p>
    <w:p w14:paraId="4D6C54E3" w14:textId="2C10E3FC" w:rsidR="002050A7" w:rsidRPr="00146FCD" w:rsidRDefault="00A16085" w:rsidP="00F61B2D">
      <w:pPr>
        <w:pStyle w:val="Heading2"/>
        <w:spacing w:before="0" w:line="240" w:lineRule="auto"/>
        <w:rPr>
          <w:rFonts w:eastAsia="Times New Roman"/>
        </w:rPr>
      </w:pPr>
      <w:bookmarkStart w:id="33" w:name="_Toc110425084"/>
      <w:r>
        <w:rPr>
          <w:rFonts w:eastAsia="Times New Roman"/>
        </w:rPr>
        <w:t>5</w:t>
      </w:r>
      <w:r w:rsidR="00DF4A34">
        <w:rPr>
          <w:rFonts w:eastAsia="Times New Roman"/>
        </w:rPr>
        <w:t>.</w:t>
      </w:r>
      <w:r w:rsidR="00B065D1" w:rsidRPr="001B0049">
        <w:rPr>
          <w:rFonts w:eastAsia="Times New Roman"/>
        </w:rPr>
        <w:t>2</w:t>
      </w:r>
      <w:r w:rsidR="00721D1C" w:rsidRPr="001B0049">
        <w:rPr>
          <w:rFonts w:eastAsia="Times New Roman"/>
        </w:rPr>
        <w:t xml:space="preserve"> </w:t>
      </w:r>
      <w:r w:rsidR="007441EF">
        <w:rPr>
          <w:rFonts w:eastAsia="Times New Roman"/>
        </w:rPr>
        <w:t>Scored Questions</w:t>
      </w:r>
      <w:bookmarkEnd w:id="33"/>
      <w:r w:rsidR="007441EF">
        <w:rPr>
          <w:rFonts w:eastAsia="Times New Roman"/>
        </w:rPr>
        <w:t xml:space="preserve"> </w:t>
      </w:r>
    </w:p>
    <w:p w14:paraId="17259A89" w14:textId="77777777" w:rsidR="00AA77D2" w:rsidRDefault="00AA77D2" w:rsidP="00AA77D2">
      <w:pPr>
        <w:spacing w:after="0" w:line="240" w:lineRule="auto"/>
        <w:jc w:val="both"/>
        <w:rPr>
          <w:rFonts w:cstheme="minorHAnsi"/>
        </w:rPr>
      </w:pPr>
      <w:r w:rsidRPr="0055541D">
        <w:rPr>
          <w:rFonts w:cstheme="minorHAnsi"/>
        </w:rPr>
        <w:t xml:space="preserve">The technical </w:t>
      </w:r>
      <w:r>
        <w:rPr>
          <w:rFonts w:cstheme="minorHAnsi"/>
        </w:rPr>
        <w:t>tender responses</w:t>
      </w:r>
      <w:r w:rsidRPr="0055541D">
        <w:rPr>
          <w:rFonts w:cstheme="minorHAnsi"/>
        </w:rPr>
        <w:t xml:space="preserve"> will be scored</w:t>
      </w:r>
      <w:r>
        <w:rPr>
          <w:rFonts w:cstheme="minorHAnsi"/>
        </w:rPr>
        <w:t xml:space="preserve"> by an evaluation panel appointed by the Authority. </w:t>
      </w:r>
    </w:p>
    <w:p w14:paraId="4D310A81" w14:textId="20C3B4D8" w:rsidR="00F61B2D" w:rsidRDefault="00F61B2D" w:rsidP="00F61B2D">
      <w:pPr>
        <w:spacing w:after="0" w:line="240" w:lineRule="auto"/>
        <w:jc w:val="both"/>
      </w:pPr>
    </w:p>
    <w:p w14:paraId="79614F5E" w14:textId="0031D3AD" w:rsidR="00FE668F" w:rsidRDefault="00B065D1" w:rsidP="00F61B2D">
      <w:pPr>
        <w:spacing w:after="0" w:line="240" w:lineRule="auto"/>
        <w:jc w:val="both"/>
      </w:pPr>
      <w:r w:rsidRPr="00B065D1">
        <w:lastRenderedPageBreak/>
        <w:t>Each response will be assessed in accordance with the steps detailed below.  The Authority may decide to undertake these assessment steps in any order or to undertake on</w:t>
      </w:r>
      <w:r w:rsidR="00AF5CA9">
        <w:t xml:space="preserve">e or more steps concurrently.  </w:t>
      </w:r>
    </w:p>
    <w:p w14:paraId="5214898D" w14:textId="77777777" w:rsidR="00F61B2D" w:rsidRPr="00AF5CA9" w:rsidRDefault="00F61B2D" w:rsidP="00F61B2D">
      <w:pPr>
        <w:spacing w:after="0" w:line="240" w:lineRule="auto"/>
        <w:jc w:val="both"/>
      </w:pPr>
    </w:p>
    <w:p w14:paraId="2C40EF22" w14:textId="6E4336CA" w:rsidR="00286068" w:rsidRPr="0056538A" w:rsidRDefault="00A16085" w:rsidP="00F61B2D">
      <w:pPr>
        <w:pStyle w:val="Heading2"/>
        <w:spacing w:before="0" w:line="240" w:lineRule="auto"/>
      </w:pPr>
      <w:bookmarkStart w:id="34" w:name="_Toc110425085"/>
      <w:r>
        <w:t>5</w:t>
      </w:r>
      <w:r w:rsidR="00CA2E94" w:rsidRPr="0056538A">
        <w:t xml:space="preserve">.3 </w:t>
      </w:r>
      <w:r w:rsidR="00B51CBC">
        <w:t xml:space="preserve">ITT Questions and </w:t>
      </w:r>
      <w:r w:rsidR="00286068" w:rsidRPr="0056538A">
        <w:t>Scoring Criteria</w:t>
      </w:r>
      <w:bookmarkEnd w:id="34"/>
      <w:r w:rsidR="00286068" w:rsidRPr="0056538A">
        <w:t xml:space="preserve"> </w:t>
      </w:r>
    </w:p>
    <w:p w14:paraId="5222C0EB" w14:textId="04BF68D1" w:rsidR="00286068" w:rsidRDefault="00DF4A34" w:rsidP="00F61B2D">
      <w:pPr>
        <w:spacing w:after="0" w:line="240" w:lineRule="auto"/>
        <w:jc w:val="both"/>
        <w:rPr>
          <w:rFonts w:cstheme="minorHAnsi"/>
        </w:rPr>
      </w:pPr>
      <w:r>
        <w:rPr>
          <w:rFonts w:cstheme="minorHAnsi"/>
        </w:rPr>
        <w:t>Bidders</w:t>
      </w:r>
      <w:r w:rsidRPr="00286068">
        <w:rPr>
          <w:rFonts w:cstheme="minorHAnsi"/>
        </w:rPr>
        <w:t xml:space="preserve"> should</w:t>
      </w:r>
      <w:r w:rsidR="00286068" w:rsidRPr="00286068">
        <w:rPr>
          <w:rFonts w:cstheme="minorHAnsi"/>
        </w:rPr>
        <w:t xml:space="preserve"> clearly demonstrate in this Invitation to Tender, how they meet each of the criteria questions. Questions are organised under the following section headings with section sub weightings indicated.</w:t>
      </w:r>
    </w:p>
    <w:p w14:paraId="3E24CD2D" w14:textId="77777777" w:rsidR="00F61B2D" w:rsidRDefault="00F61B2D" w:rsidP="00F61B2D">
      <w:pPr>
        <w:spacing w:after="0" w:line="240" w:lineRule="auto"/>
        <w:jc w:val="both"/>
        <w:rPr>
          <w:rFonts w:cstheme="minorHAnsi"/>
        </w:rPr>
      </w:pPr>
    </w:p>
    <w:tbl>
      <w:tblPr>
        <w:tblStyle w:val="TableGrid"/>
        <w:tblW w:w="9747" w:type="dxa"/>
        <w:tblInd w:w="-113" w:type="dxa"/>
        <w:tblLook w:val="04A0" w:firstRow="1" w:lastRow="0" w:firstColumn="1" w:lastColumn="0" w:noHBand="0" w:noVBand="1"/>
      </w:tblPr>
      <w:tblGrid>
        <w:gridCol w:w="959"/>
        <w:gridCol w:w="3118"/>
        <w:gridCol w:w="1134"/>
        <w:gridCol w:w="1844"/>
        <w:gridCol w:w="1417"/>
        <w:gridCol w:w="1275"/>
      </w:tblGrid>
      <w:tr w:rsidR="00451F6A" w:rsidRPr="002B4830" w14:paraId="324E8200" w14:textId="793BBD14" w:rsidTr="00B70803">
        <w:tc>
          <w:tcPr>
            <w:tcW w:w="959" w:type="dxa"/>
            <w:shd w:val="clear" w:color="auto" w:fill="D9D9D9" w:themeFill="background1" w:themeFillShade="D9"/>
          </w:tcPr>
          <w:p w14:paraId="3A5A8350" w14:textId="77777777" w:rsidR="00451F6A" w:rsidRPr="003B0D5A" w:rsidRDefault="00451F6A" w:rsidP="00F61B2D">
            <w:pPr>
              <w:contextualSpacing/>
              <w:jc w:val="center"/>
              <w:rPr>
                <w:rFonts w:cstheme="minorHAnsi"/>
                <w:b/>
              </w:rPr>
            </w:pPr>
          </w:p>
        </w:tc>
        <w:tc>
          <w:tcPr>
            <w:tcW w:w="3118" w:type="dxa"/>
            <w:shd w:val="clear" w:color="auto" w:fill="D9D9D9" w:themeFill="background1" w:themeFillShade="D9"/>
          </w:tcPr>
          <w:p w14:paraId="1A4FE1D9" w14:textId="3D2B1F3F" w:rsidR="00451F6A" w:rsidRPr="003B0D5A" w:rsidRDefault="00451F6A" w:rsidP="00F61B2D">
            <w:pPr>
              <w:contextualSpacing/>
              <w:jc w:val="center"/>
              <w:rPr>
                <w:rFonts w:cstheme="minorHAnsi"/>
                <w:b/>
              </w:rPr>
            </w:pPr>
            <w:r w:rsidRPr="003B0D5A">
              <w:rPr>
                <w:rFonts w:cstheme="minorHAnsi"/>
                <w:b/>
              </w:rPr>
              <w:t>Section Heading</w:t>
            </w:r>
          </w:p>
        </w:tc>
        <w:tc>
          <w:tcPr>
            <w:tcW w:w="1134" w:type="dxa"/>
            <w:shd w:val="clear" w:color="auto" w:fill="D9D9D9" w:themeFill="background1" w:themeFillShade="D9"/>
          </w:tcPr>
          <w:p w14:paraId="6AC0DC4C" w14:textId="31DDDC1A" w:rsidR="00451F6A" w:rsidRPr="00B70803" w:rsidRDefault="00451F6A" w:rsidP="00F61B2D">
            <w:pPr>
              <w:contextualSpacing/>
              <w:jc w:val="center"/>
              <w:rPr>
                <w:rFonts w:cstheme="minorHAnsi"/>
                <w:b/>
              </w:rPr>
            </w:pPr>
            <w:r w:rsidRPr="00B70803">
              <w:rPr>
                <w:b/>
              </w:rPr>
              <w:t>Question</w:t>
            </w:r>
          </w:p>
        </w:tc>
        <w:tc>
          <w:tcPr>
            <w:tcW w:w="1844" w:type="dxa"/>
            <w:shd w:val="clear" w:color="auto" w:fill="D9D9D9" w:themeFill="background1" w:themeFillShade="D9"/>
          </w:tcPr>
          <w:p w14:paraId="4986E6C4" w14:textId="477B92F0" w:rsidR="00451F6A" w:rsidRPr="003B0D5A" w:rsidRDefault="00451F6A" w:rsidP="00F61B2D">
            <w:pPr>
              <w:contextualSpacing/>
              <w:jc w:val="center"/>
              <w:rPr>
                <w:rFonts w:cstheme="minorHAnsi"/>
                <w:b/>
              </w:rPr>
            </w:pPr>
            <w:r w:rsidRPr="003B0D5A">
              <w:rPr>
                <w:rFonts w:cstheme="minorHAnsi"/>
                <w:b/>
              </w:rPr>
              <w:t>Section Weighting</w:t>
            </w:r>
          </w:p>
        </w:tc>
        <w:tc>
          <w:tcPr>
            <w:tcW w:w="1417" w:type="dxa"/>
            <w:shd w:val="clear" w:color="auto" w:fill="D9D9D9" w:themeFill="background1" w:themeFillShade="D9"/>
          </w:tcPr>
          <w:p w14:paraId="421A79DF" w14:textId="0B5B52DF" w:rsidR="00451F6A" w:rsidRPr="002B4830" w:rsidRDefault="00451F6A" w:rsidP="00F61B2D">
            <w:pPr>
              <w:contextualSpacing/>
              <w:jc w:val="center"/>
              <w:rPr>
                <w:rFonts w:cstheme="minorHAnsi"/>
                <w:b/>
              </w:rPr>
            </w:pPr>
            <w:r w:rsidRPr="002B4830">
              <w:rPr>
                <w:rFonts w:cstheme="minorHAnsi"/>
                <w:b/>
              </w:rPr>
              <w:t>Question Weighting</w:t>
            </w:r>
          </w:p>
        </w:tc>
        <w:tc>
          <w:tcPr>
            <w:tcW w:w="1275" w:type="dxa"/>
            <w:shd w:val="clear" w:color="auto" w:fill="D9D9D9" w:themeFill="background1" w:themeFillShade="D9"/>
          </w:tcPr>
          <w:p w14:paraId="03D19777" w14:textId="16607D90" w:rsidR="00451F6A" w:rsidRPr="002B4830" w:rsidRDefault="00451F6A" w:rsidP="00F61B2D">
            <w:pPr>
              <w:contextualSpacing/>
              <w:jc w:val="center"/>
              <w:rPr>
                <w:rFonts w:cstheme="minorHAnsi"/>
                <w:b/>
              </w:rPr>
            </w:pPr>
            <w:r w:rsidRPr="002B4830">
              <w:rPr>
                <w:rFonts w:cstheme="minorHAnsi"/>
                <w:b/>
              </w:rPr>
              <w:t>Maximum word limit</w:t>
            </w:r>
          </w:p>
        </w:tc>
      </w:tr>
      <w:tr w:rsidR="00451F6A" w:rsidRPr="002B4830" w14:paraId="0CA6F8D0" w14:textId="1AAC52A0" w:rsidTr="00B70803">
        <w:tc>
          <w:tcPr>
            <w:tcW w:w="959" w:type="dxa"/>
            <w:vMerge w:val="restart"/>
          </w:tcPr>
          <w:p w14:paraId="011AA71D" w14:textId="58C89C61" w:rsidR="00451F6A" w:rsidRPr="00CC2E27" w:rsidRDefault="00451F6A" w:rsidP="00F61B2D">
            <w:pPr>
              <w:jc w:val="both"/>
              <w:rPr>
                <w:rFonts w:cstheme="minorHAnsi"/>
              </w:rPr>
            </w:pPr>
            <w:r w:rsidRPr="00CC2E27">
              <w:rPr>
                <w:rFonts w:cstheme="minorHAnsi"/>
              </w:rPr>
              <w:t>Quality Section</w:t>
            </w:r>
          </w:p>
        </w:tc>
        <w:tc>
          <w:tcPr>
            <w:tcW w:w="3118" w:type="dxa"/>
          </w:tcPr>
          <w:p w14:paraId="08DE0EAC" w14:textId="3D6C5C38" w:rsidR="00451F6A" w:rsidRPr="00CC2E27" w:rsidRDefault="00451F6A" w:rsidP="00F61B2D">
            <w:pPr>
              <w:pStyle w:val="ListParagraph"/>
              <w:numPr>
                <w:ilvl w:val="0"/>
                <w:numId w:val="49"/>
              </w:numPr>
              <w:ind w:left="315"/>
              <w:jc w:val="both"/>
              <w:rPr>
                <w:rFonts w:cstheme="minorHAnsi"/>
              </w:rPr>
            </w:pPr>
            <w:r w:rsidRPr="00CC2E27">
              <w:rPr>
                <w:rFonts w:cstheme="minorHAnsi"/>
              </w:rPr>
              <w:t>ABSTRACT</w:t>
            </w:r>
          </w:p>
        </w:tc>
        <w:tc>
          <w:tcPr>
            <w:tcW w:w="1134" w:type="dxa"/>
          </w:tcPr>
          <w:p w14:paraId="68DAB882" w14:textId="27519AE0" w:rsidR="00451F6A" w:rsidRPr="00CC2E27" w:rsidRDefault="00451F6A" w:rsidP="00F61B2D">
            <w:pPr>
              <w:contextualSpacing/>
              <w:jc w:val="center"/>
              <w:rPr>
                <w:rFonts w:cstheme="minorHAnsi"/>
              </w:rPr>
            </w:pPr>
            <w:r w:rsidRPr="00CC2E27">
              <w:t>1.1</w:t>
            </w:r>
          </w:p>
        </w:tc>
        <w:tc>
          <w:tcPr>
            <w:tcW w:w="1844" w:type="dxa"/>
          </w:tcPr>
          <w:p w14:paraId="2854DC89" w14:textId="03D04B05" w:rsidR="00451F6A" w:rsidRPr="00CC2E27" w:rsidRDefault="00451F6A" w:rsidP="00F61B2D">
            <w:pPr>
              <w:contextualSpacing/>
              <w:jc w:val="center"/>
              <w:rPr>
                <w:rFonts w:cstheme="minorHAnsi"/>
              </w:rPr>
            </w:pPr>
            <w:r w:rsidRPr="00CC2E27">
              <w:rPr>
                <w:rFonts w:cstheme="minorHAnsi"/>
              </w:rPr>
              <w:t>for information only</w:t>
            </w:r>
          </w:p>
        </w:tc>
        <w:tc>
          <w:tcPr>
            <w:tcW w:w="1417" w:type="dxa"/>
          </w:tcPr>
          <w:p w14:paraId="1191391D" w14:textId="574FB80E" w:rsidR="00451F6A" w:rsidRPr="00CC2E27" w:rsidRDefault="00451F6A" w:rsidP="00F61B2D">
            <w:pPr>
              <w:contextualSpacing/>
              <w:jc w:val="center"/>
              <w:rPr>
                <w:rFonts w:cstheme="minorHAnsi"/>
              </w:rPr>
            </w:pPr>
            <w:r w:rsidRPr="00CC2E27">
              <w:rPr>
                <w:rFonts w:cstheme="minorHAnsi"/>
              </w:rPr>
              <w:t>N/A</w:t>
            </w:r>
          </w:p>
        </w:tc>
        <w:tc>
          <w:tcPr>
            <w:tcW w:w="1275" w:type="dxa"/>
          </w:tcPr>
          <w:p w14:paraId="5FEA85E9" w14:textId="1A933E4A" w:rsidR="00451F6A" w:rsidRPr="00CC2E27" w:rsidRDefault="00451F6A" w:rsidP="00F61B2D">
            <w:pPr>
              <w:contextualSpacing/>
              <w:jc w:val="center"/>
              <w:rPr>
                <w:rFonts w:cstheme="minorHAnsi"/>
              </w:rPr>
            </w:pPr>
            <w:r w:rsidRPr="00CC2E27">
              <w:rPr>
                <w:rFonts w:cstheme="minorHAnsi"/>
              </w:rPr>
              <w:t>500</w:t>
            </w:r>
          </w:p>
        </w:tc>
      </w:tr>
      <w:tr w:rsidR="00451F6A" w:rsidRPr="002B4830" w14:paraId="3B906B38" w14:textId="432027EB" w:rsidTr="00B70803">
        <w:tc>
          <w:tcPr>
            <w:tcW w:w="959" w:type="dxa"/>
            <w:vMerge/>
          </w:tcPr>
          <w:p w14:paraId="1E32E943" w14:textId="77777777" w:rsidR="00451F6A" w:rsidRPr="00CC2E27" w:rsidRDefault="00451F6A" w:rsidP="00F61B2D">
            <w:pPr>
              <w:rPr>
                <w:rFonts w:cstheme="minorHAnsi"/>
              </w:rPr>
            </w:pPr>
          </w:p>
        </w:tc>
        <w:tc>
          <w:tcPr>
            <w:tcW w:w="3118" w:type="dxa"/>
          </w:tcPr>
          <w:p w14:paraId="7CA3F5C3" w14:textId="7689C40C" w:rsidR="00451F6A" w:rsidRPr="00CC2E27" w:rsidRDefault="00451F6A" w:rsidP="00F61B2D">
            <w:pPr>
              <w:pStyle w:val="ListParagraph"/>
              <w:numPr>
                <w:ilvl w:val="0"/>
                <w:numId w:val="49"/>
              </w:numPr>
              <w:ind w:left="315"/>
              <w:rPr>
                <w:rFonts w:cstheme="minorHAnsi"/>
              </w:rPr>
            </w:pPr>
            <w:r w:rsidRPr="00CC2E27">
              <w:rPr>
                <w:rFonts w:cstheme="minorHAnsi"/>
              </w:rPr>
              <w:t>STIMULATING HEALTHCARE IMPROVEMENT</w:t>
            </w:r>
          </w:p>
        </w:tc>
        <w:tc>
          <w:tcPr>
            <w:tcW w:w="1134" w:type="dxa"/>
          </w:tcPr>
          <w:p w14:paraId="5CF53DAF" w14:textId="00AF5D85" w:rsidR="00451F6A" w:rsidRPr="00CC2E27" w:rsidRDefault="00451F6A" w:rsidP="00F61B2D">
            <w:pPr>
              <w:contextualSpacing/>
              <w:jc w:val="center"/>
              <w:rPr>
                <w:rFonts w:cstheme="minorHAnsi"/>
              </w:rPr>
            </w:pPr>
            <w:r w:rsidRPr="00CC2E27">
              <w:t>2.1</w:t>
            </w:r>
          </w:p>
        </w:tc>
        <w:tc>
          <w:tcPr>
            <w:tcW w:w="1844" w:type="dxa"/>
          </w:tcPr>
          <w:p w14:paraId="1BD278FC" w14:textId="77777777" w:rsidR="00451F6A" w:rsidRPr="00CC2E27" w:rsidRDefault="00451F6A" w:rsidP="00F61B2D">
            <w:pPr>
              <w:contextualSpacing/>
              <w:jc w:val="center"/>
              <w:rPr>
                <w:rFonts w:cstheme="minorHAnsi"/>
              </w:rPr>
            </w:pPr>
          </w:p>
          <w:p w14:paraId="5CAF0E43" w14:textId="1382CBD5" w:rsidR="00451F6A" w:rsidRPr="00CC2E27" w:rsidRDefault="00451F6A" w:rsidP="00F61B2D">
            <w:pPr>
              <w:contextualSpacing/>
              <w:jc w:val="center"/>
              <w:rPr>
                <w:rFonts w:cstheme="minorHAnsi"/>
              </w:rPr>
            </w:pPr>
            <w:r w:rsidRPr="00CC2E27">
              <w:rPr>
                <w:rFonts w:cstheme="minorHAnsi"/>
              </w:rPr>
              <w:t>10%</w:t>
            </w:r>
          </w:p>
        </w:tc>
        <w:tc>
          <w:tcPr>
            <w:tcW w:w="1417" w:type="dxa"/>
          </w:tcPr>
          <w:p w14:paraId="01272182" w14:textId="5A9D3960" w:rsidR="00451F6A" w:rsidRPr="00CC2E27" w:rsidRDefault="00451F6A" w:rsidP="00F61B2D">
            <w:pPr>
              <w:contextualSpacing/>
              <w:jc w:val="center"/>
              <w:rPr>
                <w:rFonts w:cstheme="minorHAnsi"/>
              </w:rPr>
            </w:pPr>
            <w:r w:rsidRPr="00CC2E27">
              <w:rPr>
                <w:rFonts w:cstheme="minorHAnsi"/>
              </w:rPr>
              <w:t>10%</w:t>
            </w:r>
          </w:p>
        </w:tc>
        <w:tc>
          <w:tcPr>
            <w:tcW w:w="1275" w:type="dxa"/>
          </w:tcPr>
          <w:p w14:paraId="43A827E8" w14:textId="103A57C6" w:rsidR="00451F6A" w:rsidRPr="00CC2E27" w:rsidRDefault="00451F6A" w:rsidP="00F61B2D">
            <w:pPr>
              <w:contextualSpacing/>
              <w:jc w:val="center"/>
              <w:rPr>
                <w:rFonts w:cstheme="minorHAnsi"/>
              </w:rPr>
            </w:pPr>
            <w:r w:rsidRPr="00CC2E27">
              <w:rPr>
                <w:rFonts w:cstheme="minorHAnsi"/>
              </w:rPr>
              <w:t>500</w:t>
            </w:r>
          </w:p>
        </w:tc>
      </w:tr>
      <w:tr w:rsidR="00451F6A" w:rsidRPr="002B4830" w14:paraId="17FB4E71" w14:textId="250FB857" w:rsidTr="00B70803">
        <w:tc>
          <w:tcPr>
            <w:tcW w:w="959" w:type="dxa"/>
            <w:vMerge/>
          </w:tcPr>
          <w:p w14:paraId="78EA5605" w14:textId="77777777" w:rsidR="00451F6A" w:rsidRPr="00CC2E27" w:rsidRDefault="00451F6A" w:rsidP="00F61B2D">
            <w:pPr>
              <w:jc w:val="both"/>
              <w:rPr>
                <w:rFonts w:cstheme="minorHAnsi"/>
              </w:rPr>
            </w:pPr>
          </w:p>
        </w:tc>
        <w:tc>
          <w:tcPr>
            <w:tcW w:w="3118" w:type="dxa"/>
            <w:vMerge w:val="restart"/>
          </w:tcPr>
          <w:p w14:paraId="2E6E207B" w14:textId="222B79BF" w:rsidR="00451F6A" w:rsidRPr="00CC2E27" w:rsidRDefault="00451F6A" w:rsidP="00F61B2D">
            <w:pPr>
              <w:pStyle w:val="ListParagraph"/>
              <w:numPr>
                <w:ilvl w:val="0"/>
                <w:numId w:val="49"/>
              </w:numPr>
              <w:ind w:left="315"/>
              <w:jc w:val="both"/>
              <w:rPr>
                <w:rFonts w:cstheme="minorHAnsi"/>
              </w:rPr>
            </w:pPr>
            <w:r w:rsidRPr="00CC2E27">
              <w:rPr>
                <w:rFonts w:cstheme="minorHAnsi"/>
              </w:rPr>
              <w:t>LEADERSHIP AND GOVERNANCE</w:t>
            </w:r>
          </w:p>
        </w:tc>
        <w:tc>
          <w:tcPr>
            <w:tcW w:w="1134" w:type="dxa"/>
          </w:tcPr>
          <w:p w14:paraId="55A1DE8E" w14:textId="62A35822" w:rsidR="00451F6A" w:rsidRPr="00CC2E27" w:rsidRDefault="00451F6A" w:rsidP="00F61B2D">
            <w:pPr>
              <w:contextualSpacing/>
              <w:jc w:val="center"/>
              <w:rPr>
                <w:rFonts w:cstheme="minorHAnsi"/>
              </w:rPr>
            </w:pPr>
            <w:r w:rsidRPr="00CC2E27">
              <w:t>3.1</w:t>
            </w:r>
          </w:p>
        </w:tc>
        <w:tc>
          <w:tcPr>
            <w:tcW w:w="1844" w:type="dxa"/>
            <w:vMerge w:val="restart"/>
          </w:tcPr>
          <w:p w14:paraId="034F47D1" w14:textId="77777777" w:rsidR="00451F6A" w:rsidRPr="00CC2E27" w:rsidRDefault="00451F6A" w:rsidP="00F61B2D">
            <w:pPr>
              <w:contextualSpacing/>
              <w:jc w:val="center"/>
              <w:rPr>
                <w:rFonts w:cstheme="minorHAnsi"/>
              </w:rPr>
            </w:pPr>
          </w:p>
          <w:p w14:paraId="4CF908E6" w14:textId="1B39611D" w:rsidR="00451F6A" w:rsidRPr="00CC2E27" w:rsidRDefault="00451F6A" w:rsidP="00F61B2D">
            <w:pPr>
              <w:contextualSpacing/>
              <w:jc w:val="center"/>
              <w:rPr>
                <w:rFonts w:cstheme="minorHAnsi"/>
              </w:rPr>
            </w:pPr>
            <w:r w:rsidRPr="00CC2E27">
              <w:rPr>
                <w:rFonts w:cstheme="minorHAnsi"/>
              </w:rPr>
              <w:t>12%</w:t>
            </w:r>
          </w:p>
        </w:tc>
        <w:tc>
          <w:tcPr>
            <w:tcW w:w="1417" w:type="dxa"/>
          </w:tcPr>
          <w:p w14:paraId="2574F911" w14:textId="42C2F9E1" w:rsidR="00451F6A" w:rsidRPr="00CC2E27" w:rsidRDefault="00451F6A" w:rsidP="00F61B2D">
            <w:pPr>
              <w:contextualSpacing/>
              <w:jc w:val="center"/>
              <w:rPr>
                <w:rFonts w:cstheme="minorHAnsi"/>
              </w:rPr>
            </w:pPr>
            <w:r w:rsidRPr="00CC2E27">
              <w:rPr>
                <w:rFonts w:cstheme="minorHAnsi"/>
              </w:rPr>
              <w:t>2%</w:t>
            </w:r>
          </w:p>
        </w:tc>
        <w:tc>
          <w:tcPr>
            <w:tcW w:w="1275" w:type="dxa"/>
          </w:tcPr>
          <w:p w14:paraId="671F98E7" w14:textId="576AC75B" w:rsidR="00451F6A" w:rsidRPr="00CC2E27" w:rsidRDefault="00451F6A" w:rsidP="00F61B2D">
            <w:pPr>
              <w:contextualSpacing/>
              <w:jc w:val="center"/>
              <w:rPr>
                <w:rFonts w:cstheme="minorHAnsi"/>
              </w:rPr>
            </w:pPr>
            <w:r w:rsidRPr="00CC2E27">
              <w:rPr>
                <w:rFonts w:cstheme="minorHAnsi"/>
              </w:rPr>
              <w:t>250</w:t>
            </w:r>
          </w:p>
        </w:tc>
      </w:tr>
      <w:tr w:rsidR="00451F6A" w:rsidRPr="002B4830" w14:paraId="6EF50B72" w14:textId="4239B1B5" w:rsidTr="00B70803">
        <w:tc>
          <w:tcPr>
            <w:tcW w:w="959" w:type="dxa"/>
            <w:vMerge/>
          </w:tcPr>
          <w:p w14:paraId="15B44FCE" w14:textId="77777777" w:rsidR="00451F6A" w:rsidRPr="00CC2E27" w:rsidRDefault="00451F6A" w:rsidP="00F61B2D">
            <w:pPr>
              <w:pStyle w:val="ListParagraph"/>
              <w:jc w:val="both"/>
              <w:rPr>
                <w:rFonts w:cstheme="minorHAnsi"/>
              </w:rPr>
            </w:pPr>
          </w:p>
        </w:tc>
        <w:tc>
          <w:tcPr>
            <w:tcW w:w="3118" w:type="dxa"/>
            <w:vMerge/>
          </w:tcPr>
          <w:p w14:paraId="6650A16F" w14:textId="50F30284" w:rsidR="00451F6A" w:rsidRPr="00CC2E27" w:rsidRDefault="00451F6A" w:rsidP="00F61B2D">
            <w:pPr>
              <w:pStyle w:val="ListParagraph"/>
              <w:ind w:left="315"/>
              <w:jc w:val="both"/>
              <w:rPr>
                <w:rFonts w:cstheme="minorHAnsi"/>
              </w:rPr>
            </w:pPr>
          </w:p>
        </w:tc>
        <w:tc>
          <w:tcPr>
            <w:tcW w:w="1134" w:type="dxa"/>
          </w:tcPr>
          <w:p w14:paraId="66BCAE63" w14:textId="2F78FF9F" w:rsidR="00451F6A" w:rsidRPr="00CC2E27" w:rsidRDefault="00451F6A" w:rsidP="00F61B2D">
            <w:pPr>
              <w:contextualSpacing/>
              <w:jc w:val="center"/>
              <w:rPr>
                <w:rFonts w:cstheme="minorHAnsi"/>
              </w:rPr>
            </w:pPr>
            <w:r w:rsidRPr="00CC2E27">
              <w:t>3.2</w:t>
            </w:r>
          </w:p>
        </w:tc>
        <w:tc>
          <w:tcPr>
            <w:tcW w:w="1844" w:type="dxa"/>
            <w:vMerge/>
          </w:tcPr>
          <w:p w14:paraId="4628CDB0" w14:textId="3DE3C9AC" w:rsidR="00451F6A" w:rsidRPr="00CC2E27" w:rsidRDefault="00451F6A" w:rsidP="00F61B2D">
            <w:pPr>
              <w:contextualSpacing/>
              <w:jc w:val="center"/>
              <w:rPr>
                <w:rFonts w:cstheme="minorHAnsi"/>
              </w:rPr>
            </w:pPr>
          </w:p>
        </w:tc>
        <w:tc>
          <w:tcPr>
            <w:tcW w:w="1417" w:type="dxa"/>
          </w:tcPr>
          <w:p w14:paraId="507950A3" w14:textId="08D7496F" w:rsidR="00451F6A" w:rsidRPr="00CC2E27" w:rsidRDefault="00451F6A" w:rsidP="00F61B2D">
            <w:pPr>
              <w:contextualSpacing/>
              <w:jc w:val="center"/>
              <w:rPr>
                <w:rFonts w:cstheme="minorHAnsi"/>
              </w:rPr>
            </w:pPr>
            <w:r w:rsidRPr="00CC2E27">
              <w:rPr>
                <w:rFonts w:cstheme="minorHAnsi"/>
              </w:rPr>
              <w:t>2%</w:t>
            </w:r>
          </w:p>
        </w:tc>
        <w:tc>
          <w:tcPr>
            <w:tcW w:w="1275" w:type="dxa"/>
          </w:tcPr>
          <w:p w14:paraId="3A6333C9" w14:textId="432B12E8" w:rsidR="00451F6A" w:rsidRPr="00CC2E27" w:rsidRDefault="00451F6A" w:rsidP="00F61B2D">
            <w:pPr>
              <w:contextualSpacing/>
              <w:jc w:val="center"/>
              <w:rPr>
                <w:rFonts w:cstheme="minorHAnsi"/>
              </w:rPr>
            </w:pPr>
            <w:r w:rsidRPr="00CC2E27">
              <w:rPr>
                <w:rFonts w:cstheme="minorHAnsi"/>
              </w:rPr>
              <w:t>250</w:t>
            </w:r>
          </w:p>
        </w:tc>
      </w:tr>
      <w:tr w:rsidR="00451F6A" w:rsidRPr="002B4830" w14:paraId="4E0E4C40" w14:textId="0AC6875B" w:rsidTr="00B70803">
        <w:tc>
          <w:tcPr>
            <w:tcW w:w="959" w:type="dxa"/>
            <w:vMerge/>
          </w:tcPr>
          <w:p w14:paraId="0FA84FC2" w14:textId="77777777" w:rsidR="00451F6A" w:rsidRPr="00CC2E27" w:rsidRDefault="00451F6A" w:rsidP="00F61B2D">
            <w:pPr>
              <w:pStyle w:val="ListParagraph"/>
              <w:jc w:val="both"/>
              <w:rPr>
                <w:rFonts w:cstheme="minorHAnsi"/>
              </w:rPr>
            </w:pPr>
          </w:p>
        </w:tc>
        <w:tc>
          <w:tcPr>
            <w:tcW w:w="3118" w:type="dxa"/>
            <w:vMerge/>
          </w:tcPr>
          <w:p w14:paraId="00908444" w14:textId="4166611C" w:rsidR="00451F6A" w:rsidRPr="00CC2E27" w:rsidRDefault="00451F6A" w:rsidP="00F61B2D">
            <w:pPr>
              <w:pStyle w:val="ListParagraph"/>
              <w:ind w:left="315"/>
              <w:jc w:val="both"/>
              <w:rPr>
                <w:rFonts w:cstheme="minorHAnsi"/>
              </w:rPr>
            </w:pPr>
          </w:p>
        </w:tc>
        <w:tc>
          <w:tcPr>
            <w:tcW w:w="1134" w:type="dxa"/>
          </w:tcPr>
          <w:p w14:paraId="5D35AED0" w14:textId="4FF351F3" w:rsidR="00451F6A" w:rsidRPr="00CC2E27" w:rsidRDefault="00451F6A" w:rsidP="00F61B2D">
            <w:pPr>
              <w:contextualSpacing/>
              <w:jc w:val="center"/>
              <w:rPr>
                <w:rFonts w:cstheme="minorHAnsi"/>
              </w:rPr>
            </w:pPr>
            <w:r w:rsidRPr="00CC2E27">
              <w:t>3.3</w:t>
            </w:r>
          </w:p>
        </w:tc>
        <w:tc>
          <w:tcPr>
            <w:tcW w:w="1844" w:type="dxa"/>
            <w:vMerge/>
          </w:tcPr>
          <w:p w14:paraId="73424DF6" w14:textId="6F7B032C" w:rsidR="00451F6A" w:rsidRPr="00CC2E27" w:rsidRDefault="00451F6A" w:rsidP="00F61B2D">
            <w:pPr>
              <w:contextualSpacing/>
              <w:jc w:val="center"/>
              <w:rPr>
                <w:rFonts w:cstheme="minorHAnsi"/>
              </w:rPr>
            </w:pPr>
          </w:p>
        </w:tc>
        <w:tc>
          <w:tcPr>
            <w:tcW w:w="1417" w:type="dxa"/>
          </w:tcPr>
          <w:p w14:paraId="76E8F13A" w14:textId="2667B2C7" w:rsidR="00451F6A" w:rsidRPr="00CC2E27" w:rsidRDefault="00451F6A" w:rsidP="00F61B2D">
            <w:pPr>
              <w:contextualSpacing/>
              <w:jc w:val="center"/>
              <w:rPr>
                <w:rFonts w:cstheme="minorHAnsi"/>
              </w:rPr>
            </w:pPr>
            <w:r w:rsidRPr="00CC2E27">
              <w:rPr>
                <w:rFonts w:cstheme="minorHAnsi"/>
              </w:rPr>
              <w:t>2%</w:t>
            </w:r>
          </w:p>
        </w:tc>
        <w:tc>
          <w:tcPr>
            <w:tcW w:w="1275" w:type="dxa"/>
          </w:tcPr>
          <w:p w14:paraId="7D435FA8" w14:textId="1773B51A" w:rsidR="00451F6A" w:rsidRPr="00CC2E27" w:rsidRDefault="00451F6A" w:rsidP="00F61B2D">
            <w:pPr>
              <w:contextualSpacing/>
              <w:jc w:val="center"/>
              <w:rPr>
                <w:rFonts w:cstheme="minorHAnsi"/>
              </w:rPr>
            </w:pPr>
            <w:r w:rsidRPr="00CC2E27">
              <w:rPr>
                <w:rFonts w:cstheme="minorHAnsi"/>
              </w:rPr>
              <w:t>250</w:t>
            </w:r>
          </w:p>
        </w:tc>
      </w:tr>
      <w:tr w:rsidR="00451F6A" w:rsidRPr="002B4830" w14:paraId="7EA99288" w14:textId="1CB9B9AD" w:rsidTr="00B70803">
        <w:tc>
          <w:tcPr>
            <w:tcW w:w="959" w:type="dxa"/>
            <w:vMerge/>
          </w:tcPr>
          <w:p w14:paraId="2BDB5164" w14:textId="77777777" w:rsidR="00451F6A" w:rsidRPr="00CC2E27" w:rsidRDefault="00451F6A" w:rsidP="00F61B2D">
            <w:pPr>
              <w:pStyle w:val="ListParagraph"/>
              <w:jc w:val="both"/>
              <w:rPr>
                <w:rFonts w:cstheme="minorHAnsi"/>
              </w:rPr>
            </w:pPr>
          </w:p>
        </w:tc>
        <w:tc>
          <w:tcPr>
            <w:tcW w:w="3118" w:type="dxa"/>
            <w:vMerge/>
          </w:tcPr>
          <w:p w14:paraId="0C7D57D2" w14:textId="47087E1F" w:rsidR="00451F6A" w:rsidRPr="00CC2E27" w:rsidRDefault="00451F6A" w:rsidP="00F61B2D">
            <w:pPr>
              <w:pStyle w:val="ListParagraph"/>
              <w:ind w:left="315"/>
              <w:jc w:val="both"/>
              <w:rPr>
                <w:rFonts w:cstheme="minorHAnsi"/>
              </w:rPr>
            </w:pPr>
          </w:p>
        </w:tc>
        <w:tc>
          <w:tcPr>
            <w:tcW w:w="1134" w:type="dxa"/>
          </w:tcPr>
          <w:p w14:paraId="24C737DA" w14:textId="449BB34A" w:rsidR="00451F6A" w:rsidRPr="00CC2E27" w:rsidRDefault="00451F6A" w:rsidP="00F61B2D">
            <w:pPr>
              <w:contextualSpacing/>
              <w:jc w:val="center"/>
              <w:rPr>
                <w:rFonts w:cstheme="minorHAnsi"/>
              </w:rPr>
            </w:pPr>
            <w:r w:rsidRPr="00CC2E27">
              <w:t>3.4</w:t>
            </w:r>
          </w:p>
        </w:tc>
        <w:tc>
          <w:tcPr>
            <w:tcW w:w="1844" w:type="dxa"/>
            <w:vMerge/>
          </w:tcPr>
          <w:p w14:paraId="47E43190" w14:textId="6F8036E7" w:rsidR="00451F6A" w:rsidRPr="00CC2E27" w:rsidRDefault="00451F6A" w:rsidP="00F61B2D">
            <w:pPr>
              <w:contextualSpacing/>
              <w:jc w:val="center"/>
              <w:rPr>
                <w:rFonts w:cstheme="minorHAnsi"/>
              </w:rPr>
            </w:pPr>
          </w:p>
        </w:tc>
        <w:tc>
          <w:tcPr>
            <w:tcW w:w="1417" w:type="dxa"/>
          </w:tcPr>
          <w:p w14:paraId="4B4A2735" w14:textId="51B5D61F" w:rsidR="00451F6A" w:rsidRPr="00CC2E27" w:rsidRDefault="00451F6A" w:rsidP="00F61B2D">
            <w:pPr>
              <w:contextualSpacing/>
              <w:jc w:val="center"/>
              <w:rPr>
                <w:rFonts w:cstheme="minorHAnsi"/>
              </w:rPr>
            </w:pPr>
            <w:r w:rsidRPr="00CC2E27">
              <w:rPr>
                <w:rFonts w:cstheme="minorHAnsi"/>
              </w:rPr>
              <w:t>6%</w:t>
            </w:r>
          </w:p>
        </w:tc>
        <w:tc>
          <w:tcPr>
            <w:tcW w:w="1275" w:type="dxa"/>
          </w:tcPr>
          <w:p w14:paraId="1C14EF40" w14:textId="0E433661" w:rsidR="00451F6A" w:rsidRPr="00CC2E27" w:rsidRDefault="00451F6A" w:rsidP="00F61B2D">
            <w:pPr>
              <w:contextualSpacing/>
              <w:jc w:val="center"/>
              <w:rPr>
                <w:rFonts w:cstheme="minorHAnsi"/>
              </w:rPr>
            </w:pPr>
            <w:r w:rsidRPr="00CC2E27">
              <w:rPr>
                <w:rFonts w:cstheme="minorHAnsi"/>
              </w:rPr>
              <w:t>500</w:t>
            </w:r>
          </w:p>
        </w:tc>
      </w:tr>
      <w:tr w:rsidR="00451F6A" w:rsidRPr="002B4830" w14:paraId="292BCBF4" w14:textId="6A2B3613" w:rsidTr="00B70803">
        <w:tc>
          <w:tcPr>
            <w:tcW w:w="959" w:type="dxa"/>
            <w:vMerge/>
          </w:tcPr>
          <w:p w14:paraId="5C83D65B" w14:textId="77777777" w:rsidR="00451F6A" w:rsidRPr="00CC2E27" w:rsidRDefault="00451F6A" w:rsidP="00F61B2D">
            <w:pPr>
              <w:rPr>
                <w:rFonts w:cstheme="minorHAnsi"/>
              </w:rPr>
            </w:pPr>
          </w:p>
        </w:tc>
        <w:tc>
          <w:tcPr>
            <w:tcW w:w="3118" w:type="dxa"/>
          </w:tcPr>
          <w:p w14:paraId="1EFD0F4F" w14:textId="17CE32E9" w:rsidR="00451F6A" w:rsidRPr="00CC2E27" w:rsidRDefault="00451F6A" w:rsidP="00F61B2D">
            <w:pPr>
              <w:pStyle w:val="ListParagraph"/>
              <w:numPr>
                <w:ilvl w:val="0"/>
                <w:numId w:val="49"/>
              </w:numPr>
              <w:ind w:left="315"/>
              <w:rPr>
                <w:rFonts w:cstheme="minorHAnsi"/>
              </w:rPr>
            </w:pPr>
            <w:r w:rsidRPr="00CC2E27">
              <w:rPr>
                <w:rFonts w:cstheme="minorHAnsi"/>
              </w:rPr>
              <w:t xml:space="preserve">PATIENT AND PUBLIC INVOLVEMENT </w:t>
            </w:r>
          </w:p>
        </w:tc>
        <w:tc>
          <w:tcPr>
            <w:tcW w:w="1134" w:type="dxa"/>
          </w:tcPr>
          <w:p w14:paraId="361ED030" w14:textId="2439F9D2" w:rsidR="00451F6A" w:rsidRPr="00CC2E27" w:rsidRDefault="00451F6A" w:rsidP="00F61B2D">
            <w:pPr>
              <w:contextualSpacing/>
              <w:jc w:val="center"/>
              <w:rPr>
                <w:rFonts w:cstheme="minorHAnsi"/>
              </w:rPr>
            </w:pPr>
            <w:r w:rsidRPr="00CC2E27">
              <w:t>4.1</w:t>
            </w:r>
          </w:p>
        </w:tc>
        <w:tc>
          <w:tcPr>
            <w:tcW w:w="1844" w:type="dxa"/>
          </w:tcPr>
          <w:p w14:paraId="0B2F0521" w14:textId="09B66A75" w:rsidR="00451F6A" w:rsidRPr="00CC2E27" w:rsidRDefault="00451F6A" w:rsidP="00F61B2D">
            <w:pPr>
              <w:contextualSpacing/>
              <w:jc w:val="center"/>
              <w:rPr>
                <w:rFonts w:cstheme="minorHAnsi"/>
              </w:rPr>
            </w:pPr>
            <w:r w:rsidRPr="00CC2E27">
              <w:rPr>
                <w:rFonts w:cstheme="minorHAnsi"/>
              </w:rPr>
              <w:t>10%</w:t>
            </w:r>
          </w:p>
        </w:tc>
        <w:tc>
          <w:tcPr>
            <w:tcW w:w="1417" w:type="dxa"/>
          </w:tcPr>
          <w:p w14:paraId="43032ACF" w14:textId="184E3409" w:rsidR="00451F6A" w:rsidRPr="00CC2E27" w:rsidRDefault="00451F6A" w:rsidP="00F61B2D">
            <w:pPr>
              <w:contextualSpacing/>
              <w:jc w:val="center"/>
              <w:rPr>
                <w:rFonts w:cstheme="minorHAnsi"/>
              </w:rPr>
            </w:pPr>
            <w:r w:rsidRPr="00CC2E27">
              <w:rPr>
                <w:rFonts w:cstheme="minorHAnsi"/>
              </w:rPr>
              <w:t>10%</w:t>
            </w:r>
          </w:p>
        </w:tc>
        <w:tc>
          <w:tcPr>
            <w:tcW w:w="1275" w:type="dxa"/>
          </w:tcPr>
          <w:p w14:paraId="16C67037" w14:textId="6CA8FCFF" w:rsidR="00451F6A" w:rsidRPr="00CC2E27" w:rsidRDefault="00451F6A" w:rsidP="00F61B2D">
            <w:pPr>
              <w:contextualSpacing/>
              <w:jc w:val="center"/>
              <w:rPr>
                <w:rFonts w:cstheme="minorHAnsi"/>
              </w:rPr>
            </w:pPr>
            <w:r w:rsidRPr="00CC2E27">
              <w:rPr>
                <w:rFonts w:cstheme="minorHAnsi"/>
              </w:rPr>
              <w:t>500</w:t>
            </w:r>
          </w:p>
        </w:tc>
      </w:tr>
      <w:tr w:rsidR="00451F6A" w:rsidRPr="002B4830" w14:paraId="046CB9C1" w14:textId="55CBA461" w:rsidTr="00B70803">
        <w:tc>
          <w:tcPr>
            <w:tcW w:w="959" w:type="dxa"/>
            <w:vMerge/>
          </w:tcPr>
          <w:p w14:paraId="066F2772" w14:textId="77777777" w:rsidR="00451F6A" w:rsidRPr="00CC2E27" w:rsidRDefault="00451F6A" w:rsidP="00F61B2D">
            <w:pPr>
              <w:jc w:val="both"/>
              <w:rPr>
                <w:rFonts w:cstheme="minorHAnsi"/>
              </w:rPr>
            </w:pPr>
          </w:p>
        </w:tc>
        <w:tc>
          <w:tcPr>
            <w:tcW w:w="3118" w:type="dxa"/>
            <w:vMerge w:val="restart"/>
          </w:tcPr>
          <w:p w14:paraId="103C2609" w14:textId="21E8592F" w:rsidR="00451F6A" w:rsidRPr="00CC2E27" w:rsidRDefault="00451F6A" w:rsidP="00F61B2D">
            <w:pPr>
              <w:pStyle w:val="ListParagraph"/>
              <w:numPr>
                <w:ilvl w:val="0"/>
                <w:numId w:val="49"/>
              </w:numPr>
              <w:ind w:left="315"/>
              <w:jc w:val="both"/>
              <w:rPr>
                <w:rFonts w:cstheme="minorHAnsi"/>
              </w:rPr>
            </w:pPr>
            <w:r w:rsidRPr="00CC2E27">
              <w:rPr>
                <w:rFonts w:cstheme="minorHAnsi"/>
              </w:rPr>
              <w:t xml:space="preserve">AUDIT </w:t>
            </w:r>
            <w:r w:rsidR="00CC2E27" w:rsidRPr="00CC2E27">
              <w:rPr>
                <w:rFonts w:cstheme="minorHAnsi"/>
              </w:rPr>
              <w:t>DESIGN AND</w:t>
            </w:r>
            <w:r w:rsidRPr="00CC2E27">
              <w:rPr>
                <w:rFonts w:cstheme="minorHAnsi"/>
              </w:rPr>
              <w:t xml:space="preserve"> </w:t>
            </w:r>
            <w:proofErr w:type="gramStart"/>
            <w:r w:rsidRPr="00CC2E27">
              <w:rPr>
                <w:rFonts w:cstheme="minorHAnsi"/>
              </w:rPr>
              <w:t>PROPOSED  MEASURES</w:t>
            </w:r>
            <w:proofErr w:type="gramEnd"/>
          </w:p>
        </w:tc>
        <w:tc>
          <w:tcPr>
            <w:tcW w:w="1134" w:type="dxa"/>
          </w:tcPr>
          <w:p w14:paraId="58558961" w14:textId="5F31C242" w:rsidR="00451F6A" w:rsidRPr="00CC2E27" w:rsidRDefault="00451F6A" w:rsidP="00F61B2D">
            <w:pPr>
              <w:contextualSpacing/>
              <w:jc w:val="center"/>
              <w:rPr>
                <w:rFonts w:cstheme="minorHAnsi"/>
              </w:rPr>
            </w:pPr>
            <w:r w:rsidRPr="00CC2E27">
              <w:t>5.1</w:t>
            </w:r>
          </w:p>
        </w:tc>
        <w:tc>
          <w:tcPr>
            <w:tcW w:w="1844" w:type="dxa"/>
            <w:vMerge w:val="restart"/>
          </w:tcPr>
          <w:p w14:paraId="49BE1819" w14:textId="4E4DB496" w:rsidR="00451F6A" w:rsidRPr="00CC2E27" w:rsidRDefault="00451F6A" w:rsidP="00F61B2D">
            <w:pPr>
              <w:contextualSpacing/>
              <w:jc w:val="center"/>
              <w:rPr>
                <w:rFonts w:cstheme="minorHAnsi"/>
              </w:rPr>
            </w:pPr>
            <w:r w:rsidRPr="00CC2E27">
              <w:rPr>
                <w:rFonts w:cstheme="minorHAnsi"/>
              </w:rPr>
              <w:t>10%</w:t>
            </w:r>
          </w:p>
        </w:tc>
        <w:tc>
          <w:tcPr>
            <w:tcW w:w="1417" w:type="dxa"/>
          </w:tcPr>
          <w:p w14:paraId="45B33885" w14:textId="25E47DE2" w:rsidR="00451F6A" w:rsidRPr="00CC2E27" w:rsidRDefault="00451F6A" w:rsidP="00F61B2D">
            <w:pPr>
              <w:contextualSpacing/>
              <w:jc w:val="center"/>
              <w:rPr>
                <w:rFonts w:cstheme="minorHAnsi"/>
              </w:rPr>
            </w:pPr>
            <w:r w:rsidRPr="00CC2E27">
              <w:rPr>
                <w:rFonts w:cstheme="minorHAnsi"/>
              </w:rPr>
              <w:t>5%</w:t>
            </w:r>
          </w:p>
        </w:tc>
        <w:tc>
          <w:tcPr>
            <w:tcW w:w="1275" w:type="dxa"/>
          </w:tcPr>
          <w:p w14:paraId="006DF223" w14:textId="623ACE35" w:rsidR="00451F6A" w:rsidRPr="00CC2E27" w:rsidRDefault="00451F6A" w:rsidP="00F61B2D">
            <w:pPr>
              <w:contextualSpacing/>
              <w:jc w:val="center"/>
              <w:rPr>
                <w:rFonts w:cstheme="minorHAnsi"/>
              </w:rPr>
            </w:pPr>
            <w:r w:rsidRPr="00CC2E27">
              <w:rPr>
                <w:rFonts w:cstheme="minorHAnsi"/>
              </w:rPr>
              <w:t>500</w:t>
            </w:r>
          </w:p>
        </w:tc>
      </w:tr>
      <w:tr w:rsidR="00451F6A" w:rsidRPr="002B4830" w14:paraId="0CB9E281" w14:textId="14EED47A" w:rsidTr="00B70803">
        <w:tc>
          <w:tcPr>
            <w:tcW w:w="959" w:type="dxa"/>
            <w:vMerge/>
          </w:tcPr>
          <w:p w14:paraId="142F011E" w14:textId="77777777" w:rsidR="00451F6A" w:rsidRPr="00CC2E27" w:rsidRDefault="00451F6A" w:rsidP="00F61B2D">
            <w:pPr>
              <w:pStyle w:val="ListParagraph"/>
              <w:jc w:val="both"/>
              <w:rPr>
                <w:rFonts w:cstheme="minorHAnsi"/>
              </w:rPr>
            </w:pPr>
          </w:p>
        </w:tc>
        <w:tc>
          <w:tcPr>
            <w:tcW w:w="3118" w:type="dxa"/>
            <w:vMerge/>
          </w:tcPr>
          <w:p w14:paraId="11B27038" w14:textId="7148E2BB" w:rsidR="00451F6A" w:rsidRPr="00CC2E27" w:rsidRDefault="00451F6A" w:rsidP="00F61B2D">
            <w:pPr>
              <w:pStyle w:val="ListParagraph"/>
              <w:ind w:left="315"/>
              <w:jc w:val="both"/>
              <w:rPr>
                <w:rFonts w:cstheme="minorHAnsi"/>
              </w:rPr>
            </w:pPr>
          </w:p>
        </w:tc>
        <w:tc>
          <w:tcPr>
            <w:tcW w:w="1134" w:type="dxa"/>
          </w:tcPr>
          <w:p w14:paraId="3D69D448" w14:textId="12F63712" w:rsidR="00451F6A" w:rsidRPr="00CC2E27" w:rsidRDefault="00451F6A" w:rsidP="00F61B2D">
            <w:pPr>
              <w:contextualSpacing/>
              <w:jc w:val="center"/>
              <w:rPr>
                <w:rFonts w:cstheme="minorHAnsi"/>
              </w:rPr>
            </w:pPr>
            <w:r w:rsidRPr="00CC2E27">
              <w:t>5.2</w:t>
            </w:r>
          </w:p>
        </w:tc>
        <w:tc>
          <w:tcPr>
            <w:tcW w:w="1844" w:type="dxa"/>
            <w:vMerge/>
          </w:tcPr>
          <w:p w14:paraId="0EC88800" w14:textId="278256EE" w:rsidR="00451F6A" w:rsidRPr="00CC2E27" w:rsidRDefault="00451F6A" w:rsidP="00F61B2D">
            <w:pPr>
              <w:contextualSpacing/>
              <w:jc w:val="center"/>
              <w:rPr>
                <w:rFonts w:cstheme="minorHAnsi"/>
              </w:rPr>
            </w:pPr>
          </w:p>
        </w:tc>
        <w:tc>
          <w:tcPr>
            <w:tcW w:w="1417" w:type="dxa"/>
          </w:tcPr>
          <w:p w14:paraId="4506B517" w14:textId="1CAF5E7C" w:rsidR="00451F6A" w:rsidRPr="00CC2E27" w:rsidRDefault="00451F6A" w:rsidP="00F61B2D">
            <w:pPr>
              <w:contextualSpacing/>
              <w:jc w:val="center"/>
              <w:rPr>
                <w:rFonts w:cstheme="minorHAnsi"/>
              </w:rPr>
            </w:pPr>
            <w:r w:rsidRPr="00CC2E27">
              <w:rPr>
                <w:rFonts w:cstheme="minorHAnsi"/>
              </w:rPr>
              <w:t>5%</w:t>
            </w:r>
          </w:p>
        </w:tc>
        <w:tc>
          <w:tcPr>
            <w:tcW w:w="1275" w:type="dxa"/>
          </w:tcPr>
          <w:p w14:paraId="295A02CC" w14:textId="2DDCB771" w:rsidR="00451F6A" w:rsidRPr="00CC2E27" w:rsidRDefault="00451F6A" w:rsidP="00F61B2D">
            <w:pPr>
              <w:contextualSpacing/>
              <w:jc w:val="center"/>
              <w:rPr>
                <w:rFonts w:cstheme="minorHAnsi"/>
              </w:rPr>
            </w:pPr>
            <w:r w:rsidRPr="00CC2E27">
              <w:rPr>
                <w:rFonts w:cstheme="minorHAnsi"/>
              </w:rPr>
              <w:t>500</w:t>
            </w:r>
          </w:p>
        </w:tc>
      </w:tr>
      <w:tr w:rsidR="00451F6A" w:rsidRPr="002B4830" w14:paraId="39FC4E67" w14:textId="7D2A0D1B" w:rsidTr="00B70803">
        <w:tc>
          <w:tcPr>
            <w:tcW w:w="959" w:type="dxa"/>
            <w:vMerge/>
          </w:tcPr>
          <w:p w14:paraId="4CCF407D" w14:textId="77777777" w:rsidR="00451F6A" w:rsidRPr="00CC2E27" w:rsidRDefault="00451F6A" w:rsidP="00F61B2D">
            <w:pPr>
              <w:jc w:val="both"/>
              <w:rPr>
                <w:rFonts w:cstheme="minorHAnsi"/>
              </w:rPr>
            </w:pPr>
          </w:p>
        </w:tc>
        <w:tc>
          <w:tcPr>
            <w:tcW w:w="3118" w:type="dxa"/>
          </w:tcPr>
          <w:p w14:paraId="5A1ED603" w14:textId="6A4AA600" w:rsidR="00451F6A" w:rsidRPr="00CC2E27" w:rsidRDefault="00451F6A" w:rsidP="00F61B2D">
            <w:pPr>
              <w:pStyle w:val="ListParagraph"/>
              <w:numPr>
                <w:ilvl w:val="0"/>
                <w:numId w:val="49"/>
              </w:numPr>
              <w:ind w:left="315"/>
              <w:jc w:val="both"/>
              <w:rPr>
                <w:rFonts w:cstheme="minorHAnsi"/>
              </w:rPr>
            </w:pPr>
            <w:r w:rsidRPr="00CC2E27">
              <w:rPr>
                <w:rFonts w:cstheme="minorHAnsi"/>
              </w:rPr>
              <w:t>EQUITY AND PARITY</w:t>
            </w:r>
          </w:p>
        </w:tc>
        <w:tc>
          <w:tcPr>
            <w:tcW w:w="1134" w:type="dxa"/>
          </w:tcPr>
          <w:p w14:paraId="7B48EB49" w14:textId="0AAB5FE5" w:rsidR="00451F6A" w:rsidRPr="00CC2E27" w:rsidRDefault="00451F6A" w:rsidP="00F61B2D">
            <w:pPr>
              <w:contextualSpacing/>
              <w:jc w:val="center"/>
              <w:rPr>
                <w:rFonts w:cstheme="minorHAnsi"/>
              </w:rPr>
            </w:pPr>
            <w:r w:rsidRPr="00CC2E27">
              <w:t>6.1</w:t>
            </w:r>
          </w:p>
        </w:tc>
        <w:tc>
          <w:tcPr>
            <w:tcW w:w="1844" w:type="dxa"/>
          </w:tcPr>
          <w:p w14:paraId="744AE4E8" w14:textId="2001ACA5" w:rsidR="00451F6A" w:rsidRPr="00CC2E27" w:rsidRDefault="00451F6A" w:rsidP="00F61B2D">
            <w:pPr>
              <w:contextualSpacing/>
              <w:jc w:val="center"/>
              <w:rPr>
                <w:rFonts w:cstheme="minorHAnsi"/>
              </w:rPr>
            </w:pPr>
            <w:r w:rsidRPr="00CC2E27">
              <w:rPr>
                <w:rFonts w:cstheme="minorHAnsi"/>
              </w:rPr>
              <w:t>5%</w:t>
            </w:r>
          </w:p>
        </w:tc>
        <w:tc>
          <w:tcPr>
            <w:tcW w:w="1417" w:type="dxa"/>
          </w:tcPr>
          <w:p w14:paraId="2877D0A6" w14:textId="3E163062" w:rsidR="00451F6A" w:rsidRPr="00CC2E27" w:rsidRDefault="00451F6A" w:rsidP="00F61B2D">
            <w:pPr>
              <w:contextualSpacing/>
              <w:jc w:val="center"/>
              <w:rPr>
                <w:rFonts w:cstheme="minorHAnsi"/>
              </w:rPr>
            </w:pPr>
            <w:r w:rsidRPr="00CC2E27">
              <w:rPr>
                <w:rFonts w:cstheme="minorHAnsi"/>
              </w:rPr>
              <w:t>5%</w:t>
            </w:r>
          </w:p>
        </w:tc>
        <w:tc>
          <w:tcPr>
            <w:tcW w:w="1275" w:type="dxa"/>
          </w:tcPr>
          <w:p w14:paraId="5145C7D2" w14:textId="29E7CABD" w:rsidR="00451F6A" w:rsidRPr="00CC2E27" w:rsidRDefault="00451F6A" w:rsidP="00F61B2D">
            <w:pPr>
              <w:contextualSpacing/>
              <w:jc w:val="center"/>
              <w:rPr>
                <w:rFonts w:cstheme="minorHAnsi"/>
              </w:rPr>
            </w:pPr>
            <w:r w:rsidRPr="00CC2E27">
              <w:rPr>
                <w:rFonts w:cstheme="minorHAnsi"/>
              </w:rPr>
              <w:t>250</w:t>
            </w:r>
          </w:p>
        </w:tc>
      </w:tr>
      <w:tr w:rsidR="00451F6A" w:rsidRPr="002B4830" w14:paraId="4EBC0C55" w14:textId="7D0FA105" w:rsidTr="00B70803">
        <w:tc>
          <w:tcPr>
            <w:tcW w:w="959" w:type="dxa"/>
            <w:vMerge/>
          </w:tcPr>
          <w:p w14:paraId="39CBA5B6" w14:textId="77777777" w:rsidR="00451F6A" w:rsidRPr="00CC2E27" w:rsidRDefault="00451F6A" w:rsidP="00F61B2D">
            <w:pPr>
              <w:jc w:val="both"/>
              <w:rPr>
                <w:rFonts w:cstheme="minorHAnsi"/>
              </w:rPr>
            </w:pPr>
          </w:p>
        </w:tc>
        <w:tc>
          <w:tcPr>
            <w:tcW w:w="3118" w:type="dxa"/>
            <w:vMerge w:val="restart"/>
          </w:tcPr>
          <w:p w14:paraId="1F589AFD" w14:textId="45E9EA3B" w:rsidR="00451F6A" w:rsidRPr="00CC2E27" w:rsidRDefault="00451F6A" w:rsidP="00F61B2D">
            <w:pPr>
              <w:pStyle w:val="ListParagraph"/>
              <w:numPr>
                <w:ilvl w:val="0"/>
                <w:numId w:val="49"/>
              </w:numPr>
              <w:ind w:left="315"/>
              <w:jc w:val="both"/>
              <w:rPr>
                <w:rFonts w:cstheme="minorHAnsi"/>
              </w:rPr>
            </w:pPr>
            <w:r w:rsidRPr="00CC2E27">
              <w:rPr>
                <w:rFonts w:cstheme="minorHAnsi"/>
              </w:rPr>
              <w:t>INFORMATION GOVERNANCE</w:t>
            </w:r>
          </w:p>
        </w:tc>
        <w:tc>
          <w:tcPr>
            <w:tcW w:w="1134" w:type="dxa"/>
          </w:tcPr>
          <w:p w14:paraId="791D2839" w14:textId="6B8A8A10" w:rsidR="00451F6A" w:rsidRPr="00CC2E27" w:rsidRDefault="00451F6A" w:rsidP="00F61B2D">
            <w:pPr>
              <w:contextualSpacing/>
              <w:jc w:val="center"/>
              <w:rPr>
                <w:rFonts w:cstheme="minorHAnsi"/>
              </w:rPr>
            </w:pPr>
            <w:r w:rsidRPr="00CC2E27">
              <w:t>7.1</w:t>
            </w:r>
          </w:p>
        </w:tc>
        <w:tc>
          <w:tcPr>
            <w:tcW w:w="1844" w:type="dxa"/>
            <w:vMerge w:val="restart"/>
          </w:tcPr>
          <w:p w14:paraId="47CC7D8E" w14:textId="3E3FA9D9" w:rsidR="00451F6A" w:rsidRPr="00CC2E27" w:rsidRDefault="00451F6A" w:rsidP="00F61B2D">
            <w:pPr>
              <w:contextualSpacing/>
              <w:jc w:val="center"/>
              <w:rPr>
                <w:rFonts w:cstheme="minorHAnsi"/>
              </w:rPr>
            </w:pPr>
            <w:r w:rsidRPr="00CC2E27">
              <w:rPr>
                <w:rFonts w:cstheme="minorHAnsi"/>
              </w:rPr>
              <w:t>8%</w:t>
            </w:r>
          </w:p>
        </w:tc>
        <w:tc>
          <w:tcPr>
            <w:tcW w:w="1417" w:type="dxa"/>
          </w:tcPr>
          <w:p w14:paraId="7ABD8DDA" w14:textId="783C9928" w:rsidR="00451F6A" w:rsidRPr="00CC2E27" w:rsidRDefault="00451F6A" w:rsidP="00F61B2D">
            <w:pPr>
              <w:contextualSpacing/>
              <w:jc w:val="center"/>
              <w:rPr>
                <w:rFonts w:cstheme="minorHAnsi"/>
              </w:rPr>
            </w:pPr>
            <w:r w:rsidRPr="00CC2E27">
              <w:rPr>
                <w:rFonts w:cstheme="minorHAnsi"/>
              </w:rPr>
              <w:t>4%</w:t>
            </w:r>
          </w:p>
        </w:tc>
        <w:tc>
          <w:tcPr>
            <w:tcW w:w="1275" w:type="dxa"/>
          </w:tcPr>
          <w:p w14:paraId="5BA145EF" w14:textId="49708577" w:rsidR="00451F6A" w:rsidRPr="00CC2E27" w:rsidRDefault="00451F6A" w:rsidP="00F61B2D">
            <w:pPr>
              <w:contextualSpacing/>
              <w:jc w:val="center"/>
              <w:rPr>
                <w:rFonts w:cstheme="minorHAnsi"/>
              </w:rPr>
            </w:pPr>
            <w:r w:rsidRPr="00CC2E27">
              <w:rPr>
                <w:rFonts w:cstheme="minorHAnsi"/>
              </w:rPr>
              <w:t>250</w:t>
            </w:r>
          </w:p>
        </w:tc>
      </w:tr>
      <w:tr w:rsidR="00451F6A" w:rsidRPr="002B4830" w14:paraId="512CF234" w14:textId="5504CB3F" w:rsidTr="00B70803">
        <w:tc>
          <w:tcPr>
            <w:tcW w:w="959" w:type="dxa"/>
            <w:vMerge/>
          </w:tcPr>
          <w:p w14:paraId="41901EA0" w14:textId="77777777" w:rsidR="00451F6A" w:rsidRPr="00CC2E27" w:rsidRDefault="00451F6A" w:rsidP="00F61B2D">
            <w:pPr>
              <w:pStyle w:val="ListParagraph"/>
              <w:jc w:val="both"/>
              <w:rPr>
                <w:rFonts w:cstheme="minorHAnsi"/>
              </w:rPr>
            </w:pPr>
          </w:p>
        </w:tc>
        <w:tc>
          <w:tcPr>
            <w:tcW w:w="3118" w:type="dxa"/>
            <w:vMerge/>
          </w:tcPr>
          <w:p w14:paraId="3CC529B0" w14:textId="54A10D82" w:rsidR="00451F6A" w:rsidRPr="00CC2E27" w:rsidRDefault="00451F6A" w:rsidP="00F61B2D">
            <w:pPr>
              <w:pStyle w:val="ListParagraph"/>
              <w:ind w:left="315"/>
              <w:jc w:val="both"/>
              <w:rPr>
                <w:rFonts w:cstheme="minorHAnsi"/>
              </w:rPr>
            </w:pPr>
          </w:p>
        </w:tc>
        <w:tc>
          <w:tcPr>
            <w:tcW w:w="1134" w:type="dxa"/>
          </w:tcPr>
          <w:p w14:paraId="1BA05E52" w14:textId="3CDF78A8" w:rsidR="00451F6A" w:rsidRPr="00CC2E27" w:rsidRDefault="00451F6A" w:rsidP="00F61B2D">
            <w:pPr>
              <w:contextualSpacing/>
              <w:jc w:val="center"/>
              <w:rPr>
                <w:rFonts w:cstheme="minorHAnsi"/>
              </w:rPr>
            </w:pPr>
            <w:r w:rsidRPr="00CC2E27">
              <w:t>7.2</w:t>
            </w:r>
          </w:p>
        </w:tc>
        <w:tc>
          <w:tcPr>
            <w:tcW w:w="1844" w:type="dxa"/>
            <w:vMerge/>
          </w:tcPr>
          <w:p w14:paraId="2262C7B8" w14:textId="189243CC" w:rsidR="00451F6A" w:rsidRPr="00CC2E27" w:rsidRDefault="00451F6A" w:rsidP="00F61B2D">
            <w:pPr>
              <w:contextualSpacing/>
              <w:jc w:val="center"/>
              <w:rPr>
                <w:rFonts w:cstheme="minorHAnsi"/>
              </w:rPr>
            </w:pPr>
          </w:p>
        </w:tc>
        <w:tc>
          <w:tcPr>
            <w:tcW w:w="1417" w:type="dxa"/>
          </w:tcPr>
          <w:p w14:paraId="27547114" w14:textId="0AF98B54" w:rsidR="00451F6A" w:rsidRPr="00CC2E27" w:rsidRDefault="00451F6A" w:rsidP="00F61B2D">
            <w:pPr>
              <w:contextualSpacing/>
              <w:jc w:val="center"/>
              <w:rPr>
                <w:rFonts w:cstheme="minorHAnsi"/>
              </w:rPr>
            </w:pPr>
            <w:r w:rsidRPr="00CC2E27">
              <w:rPr>
                <w:rFonts w:cstheme="minorHAnsi"/>
              </w:rPr>
              <w:t>4%</w:t>
            </w:r>
          </w:p>
        </w:tc>
        <w:tc>
          <w:tcPr>
            <w:tcW w:w="1275" w:type="dxa"/>
          </w:tcPr>
          <w:p w14:paraId="33F61F88" w14:textId="46E5E4C2" w:rsidR="00451F6A" w:rsidRPr="00CC2E27" w:rsidRDefault="00451F6A" w:rsidP="00F61B2D">
            <w:pPr>
              <w:contextualSpacing/>
              <w:jc w:val="center"/>
              <w:rPr>
                <w:rFonts w:cstheme="minorHAnsi"/>
              </w:rPr>
            </w:pPr>
            <w:r w:rsidRPr="00CC2E27">
              <w:rPr>
                <w:rFonts w:cstheme="minorHAnsi"/>
              </w:rPr>
              <w:t>250</w:t>
            </w:r>
          </w:p>
        </w:tc>
      </w:tr>
      <w:tr w:rsidR="00451F6A" w:rsidRPr="002B4830" w14:paraId="346F9709" w14:textId="0424709D" w:rsidTr="00B70803">
        <w:tc>
          <w:tcPr>
            <w:tcW w:w="959" w:type="dxa"/>
            <w:vMerge/>
          </w:tcPr>
          <w:p w14:paraId="30CA8F0F" w14:textId="77777777" w:rsidR="00451F6A" w:rsidRPr="00CC2E27" w:rsidRDefault="00451F6A" w:rsidP="00F61B2D">
            <w:pPr>
              <w:rPr>
                <w:rFonts w:cstheme="minorHAnsi"/>
              </w:rPr>
            </w:pPr>
          </w:p>
        </w:tc>
        <w:tc>
          <w:tcPr>
            <w:tcW w:w="3118" w:type="dxa"/>
            <w:vMerge w:val="restart"/>
          </w:tcPr>
          <w:p w14:paraId="726D7B06" w14:textId="50F3B744" w:rsidR="00451F6A" w:rsidRPr="00CC2E27" w:rsidRDefault="00451F6A" w:rsidP="00F61B2D">
            <w:pPr>
              <w:pStyle w:val="ListParagraph"/>
              <w:numPr>
                <w:ilvl w:val="0"/>
                <w:numId w:val="49"/>
              </w:numPr>
              <w:ind w:left="315"/>
              <w:rPr>
                <w:rFonts w:cstheme="minorHAnsi"/>
              </w:rPr>
            </w:pPr>
            <w:r w:rsidRPr="00CC2E27">
              <w:rPr>
                <w:rFonts w:cstheme="minorHAnsi"/>
              </w:rPr>
              <w:t>PARTICIPATION AND DATA ACQUISITION</w:t>
            </w:r>
          </w:p>
          <w:p w14:paraId="3688779D" w14:textId="79E21C88" w:rsidR="00451F6A" w:rsidRPr="00CC2E27" w:rsidRDefault="00451F6A" w:rsidP="00F61B2D">
            <w:pPr>
              <w:ind w:left="315"/>
              <w:contextualSpacing/>
              <w:rPr>
                <w:rFonts w:cstheme="minorHAnsi"/>
              </w:rPr>
            </w:pPr>
          </w:p>
        </w:tc>
        <w:tc>
          <w:tcPr>
            <w:tcW w:w="1134" w:type="dxa"/>
          </w:tcPr>
          <w:p w14:paraId="64671293" w14:textId="64248DC9" w:rsidR="00451F6A" w:rsidRPr="00CC2E27" w:rsidRDefault="00451F6A" w:rsidP="00F61B2D">
            <w:pPr>
              <w:contextualSpacing/>
              <w:jc w:val="center"/>
              <w:rPr>
                <w:rFonts w:cstheme="minorHAnsi"/>
              </w:rPr>
            </w:pPr>
            <w:r w:rsidRPr="00CC2E27">
              <w:t>8.1</w:t>
            </w:r>
          </w:p>
        </w:tc>
        <w:tc>
          <w:tcPr>
            <w:tcW w:w="1844" w:type="dxa"/>
            <w:vMerge w:val="restart"/>
          </w:tcPr>
          <w:p w14:paraId="5C9CDA29" w14:textId="328BB0FA" w:rsidR="00451F6A" w:rsidRPr="00CC2E27" w:rsidRDefault="00451F6A" w:rsidP="00F61B2D">
            <w:pPr>
              <w:contextualSpacing/>
              <w:jc w:val="center"/>
              <w:rPr>
                <w:rFonts w:cstheme="minorHAnsi"/>
              </w:rPr>
            </w:pPr>
            <w:r w:rsidRPr="00CC2E27">
              <w:rPr>
                <w:rFonts w:cstheme="minorHAnsi"/>
              </w:rPr>
              <w:t>16%</w:t>
            </w:r>
          </w:p>
        </w:tc>
        <w:tc>
          <w:tcPr>
            <w:tcW w:w="1417" w:type="dxa"/>
          </w:tcPr>
          <w:p w14:paraId="465ADF48" w14:textId="4294AC25" w:rsidR="00451F6A" w:rsidRPr="00CC2E27" w:rsidRDefault="00451F6A" w:rsidP="00F61B2D">
            <w:pPr>
              <w:contextualSpacing/>
              <w:jc w:val="center"/>
              <w:rPr>
                <w:rFonts w:cstheme="minorHAnsi"/>
              </w:rPr>
            </w:pPr>
            <w:r w:rsidRPr="00CC2E27">
              <w:rPr>
                <w:rFonts w:cstheme="minorHAnsi"/>
              </w:rPr>
              <w:t>4%</w:t>
            </w:r>
          </w:p>
        </w:tc>
        <w:tc>
          <w:tcPr>
            <w:tcW w:w="1275" w:type="dxa"/>
          </w:tcPr>
          <w:p w14:paraId="0500E01A" w14:textId="1F57832D" w:rsidR="00451F6A" w:rsidRPr="00CC2E27" w:rsidRDefault="00451F6A" w:rsidP="00F61B2D">
            <w:pPr>
              <w:contextualSpacing/>
              <w:jc w:val="center"/>
              <w:rPr>
                <w:rFonts w:cstheme="minorHAnsi"/>
              </w:rPr>
            </w:pPr>
            <w:r w:rsidRPr="00CC2E27">
              <w:rPr>
                <w:rFonts w:cstheme="minorHAnsi"/>
              </w:rPr>
              <w:t>250</w:t>
            </w:r>
          </w:p>
        </w:tc>
      </w:tr>
      <w:tr w:rsidR="00451F6A" w:rsidRPr="002B4830" w14:paraId="5E534667" w14:textId="0DA1E73E" w:rsidTr="00B70803">
        <w:tc>
          <w:tcPr>
            <w:tcW w:w="959" w:type="dxa"/>
            <w:vMerge/>
          </w:tcPr>
          <w:p w14:paraId="38128E20" w14:textId="77777777" w:rsidR="00451F6A" w:rsidRPr="00CC2E27" w:rsidRDefault="00451F6A" w:rsidP="00F61B2D">
            <w:pPr>
              <w:pStyle w:val="ListParagraph"/>
              <w:rPr>
                <w:rFonts w:cstheme="minorHAnsi"/>
              </w:rPr>
            </w:pPr>
          </w:p>
        </w:tc>
        <w:tc>
          <w:tcPr>
            <w:tcW w:w="3118" w:type="dxa"/>
            <w:vMerge/>
          </w:tcPr>
          <w:p w14:paraId="0C222354" w14:textId="65DF06BE" w:rsidR="00451F6A" w:rsidRPr="00CC2E27" w:rsidRDefault="00451F6A" w:rsidP="00F61B2D">
            <w:pPr>
              <w:pStyle w:val="ListParagraph"/>
              <w:ind w:left="315"/>
              <w:rPr>
                <w:rFonts w:cstheme="minorHAnsi"/>
              </w:rPr>
            </w:pPr>
          </w:p>
        </w:tc>
        <w:tc>
          <w:tcPr>
            <w:tcW w:w="1134" w:type="dxa"/>
          </w:tcPr>
          <w:p w14:paraId="03C5C881" w14:textId="6960402B" w:rsidR="00451F6A" w:rsidRPr="00CC2E27" w:rsidRDefault="00451F6A" w:rsidP="00F61B2D">
            <w:pPr>
              <w:contextualSpacing/>
              <w:jc w:val="center"/>
              <w:rPr>
                <w:rFonts w:cstheme="minorHAnsi"/>
              </w:rPr>
            </w:pPr>
            <w:r w:rsidRPr="00CC2E27">
              <w:t>8.2</w:t>
            </w:r>
          </w:p>
        </w:tc>
        <w:tc>
          <w:tcPr>
            <w:tcW w:w="1844" w:type="dxa"/>
            <w:vMerge/>
          </w:tcPr>
          <w:p w14:paraId="6FEA4ACA" w14:textId="4D50DF19" w:rsidR="00451F6A" w:rsidRPr="00CC2E27" w:rsidRDefault="00451F6A" w:rsidP="00F61B2D">
            <w:pPr>
              <w:contextualSpacing/>
              <w:jc w:val="center"/>
              <w:rPr>
                <w:rFonts w:cstheme="minorHAnsi"/>
              </w:rPr>
            </w:pPr>
          </w:p>
        </w:tc>
        <w:tc>
          <w:tcPr>
            <w:tcW w:w="1417" w:type="dxa"/>
          </w:tcPr>
          <w:p w14:paraId="0A6A12A2" w14:textId="086A451E" w:rsidR="00451F6A" w:rsidRPr="00CC2E27" w:rsidRDefault="00451F6A" w:rsidP="00F61B2D">
            <w:pPr>
              <w:contextualSpacing/>
              <w:jc w:val="center"/>
              <w:rPr>
                <w:rFonts w:cstheme="minorHAnsi"/>
              </w:rPr>
            </w:pPr>
            <w:r w:rsidRPr="00CC2E27">
              <w:rPr>
                <w:rFonts w:cstheme="minorHAnsi"/>
              </w:rPr>
              <w:t>4%</w:t>
            </w:r>
          </w:p>
        </w:tc>
        <w:tc>
          <w:tcPr>
            <w:tcW w:w="1275" w:type="dxa"/>
          </w:tcPr>
          <w:p w14:paraId="1730E5EE" w14:textId="09C0F6DA" w:rsidR="00451F6A" w:rsidRPr="00CC2E27" w:rsidRDefault="00451F6A" w:rsidP="00F61B2D">
            <w:pPr>
              <w:contextualSpacing/>
              <w:jc w:val="center"/>
              <w:rPr>
                <w:rFonts w:cstheme="minorHAnsi"/>
              </w:rPr>
            </w:pPr>
            <w:r w:rsidRPr="00CC2E27">
              <w:rPr>
                <w:rFonts w:cstheme="minorHAnsi"/>
              </w:rPr>
              <w:t>250</w:t>
            </w:r>
          </w:p>
        </w:tc>
      </w:tr>
      <w:tr w:rsidR="00451F6A" w:rsidRPr="002B4830" w14:paraId="40266976" w14:textId="49F19BF9" w:rsidTr="00B70803">
        <w:tc>
          <w:tcPr>
            <w:tcW w:w="959" w:type="dxa"/>
            <w:vMerge/>
          </w:tcPr>
          <w:p w14:paraId="3A111A0B" w14:textId="77777777" w:rsidR="00451F6A" w:rsidRPr="00CC2E27" w:rsidRDefault="00451F6A" w:rsidP="00F61B2D">
            <w:pPr>
              <w:pStyle w:val="ListParagraph"/>
              <w:rPr>
                <w:rFonts w:cstheme="minorHAnsi"/>
              </w:rPr>
            </w:pPr>
          </w:p>
        </w:tc>
        <w:tc>
          <w:tcPr>
            <w:tcW w:w="3118" w:type="dxa"/>
            <w:vMerge/>
          </w:tcPr>
          <w:p w14:paraId="4D612B4F" w14:textId="3AE33911" w:rsidR="00451F6A" w:rsidRPr="00CC2E27" w:rsidRDefault="00451F6A" w:rsidP="00F61B2D">
            <w:pPr>
              <w:pStyle w:val="ListParagraph"/>
              <w:ind w:left="315"/>
              <w:rPr>
                <w:rFonts w:cstheme="minorHAnsi"/>
              </w:rPr>
            </w:pPr>
          </w:p>
        </w:tc>
        <w:tc>
          <w:tcPr>
            <w:tcW w:w="1134" w:type="dxa"/>
          </w:tcPr>
          <w:p w14:paraId="692C934B" w14:textId="2C8A9DE5" w:rsidR="00451F6A" w:rsidRPr="00CC2E27" w:rsidRDefault="00451F6A" w:rsidP="00F61B2D">
            <w:pPr>
              <w:contextualSpacing/>
              <w:jc w:val="center"/>
              <w:rPr>
                <w:rFonts w:cstheme="minorHAnsi"/>
              </w:rPr>
            </w:pPr>
            <w:r w:rsidRPr="00CC2E27">
              <w:t>8.3</w:t>
            </w:r>
          </w:p>
        </w:tc>
        <w:tc>
          <w:tcPr>
            <w:tcW w:w="1844" w:type="dxa"/>
            <w:vMerge/>
          </w:tcPr>
          <w:p w14:paraId="725C467F" w14:textId="55A9ABB1" w:rsidR="00451F6A" w:rsidRPr="00CC2E27" w:rsidRDefault="00451F6A" w:rsidP="00F61B2D">
            <w:pPr>
              <w:contextualSpacing/>
              <w:jc w:val="center"/>
              <w:rPr>
                <w:rFonts w:cstheme="minorHAnsi"/>
              </w:rPr>
            </w:pPr>
          </w:p>
        </w:tc>
        <w:tc>
          <w:tcPr>
            <w:tcW w:w="1417" w:type="dxa"/>
          </w:tcPr>
          <w:p w14:paraId="2E7FE71C" w14:textId="0A441EBF" w:rsidR="00451F6A" w:rsidRPr="00CC2E27" w:rsidRDefault="00451F6A" w:rsidP="00F61B2D">
            <w:pPr>
              <w:contextualSpacing/>
              <w:jc w:val="center"/>
              <w:rPr>
                <w:rFonts w:cstheme="minorHAnsi"/>
              </w:rPr>
            </w:pPr>
            <w:r w:rsidRPr="00CC2E27">
              <w:rPr>
                <w:rFonts w:cstheme="minorHAnsi"/>
              </w:rPr>
              <w:t>4%</w:t>
            </w:r>
          </w:p>
        </w:tc>
        <w:tc>
          <w:tcPr>
            <w:tcW w:w="1275" w:type="dxa"/>
          </w:tcPr>
          <w:p w14:paraId="54F9885B" w14:textId="414B9863" w:rsidR="00451F6A" w:rsidRPr="00CC2E27" w:rsidRDefault="00451F6A" w:rsidP="00F61B2D">
            <w:pPr>
              <w:contextualSpacing/>
              <w:jc w:val="center"/>
              <w:rPr>
                <w:rFonts w:cstheme="minorHAnsi"/>
              </w:rPr>
            </w:pPr>
            <w:r w:rsidRPr="00CC2E27">
              <w:rPr>
                <w:rFonts w:cstheme="minorHAnsi"/>
              </w:rPr>
              <w:t>250</w:t>
            </w:r>
          </w:p>
        </w:tc>
      </w:tr>
      <w:tr w:rsidR="00451F6A" w:rsidRPr="002B4830" w14:paraId="7A329676" w14:textId="03F0F04A" w:rsidTr="00B70803">
        <w:tc>
          <w:tcPr>
            <w:tcW w:w="959" w:type="dxa"/>
            <w:vMerge/>
          </w:tcPr>
          <w:p w14:paraId="309D5670" w14:textId="77777777" w:rsidR="00451F6A" w:rsidRPr="00CC2E27" w:rsidRDefault="00451F6A" w:rsidP="00F61B2D">
            <w:pPr>
              <w:pStyle w:val="ListParagraph"/>
              <w:rPr>
                <w:rFonts w:cstheme="minorHAnsi"/>
              </w:rPr>
            </w:pPr>
          </w:p>
        </w:tc>
        <w:tc>
          <w:tcPr>
            <w:tcW w:w="3118" w:type="dxa"/>
            <w:vMerge/>
          </w:tcPr>
          <w:p w14:paraId="558EC726" w14:textId="3D20DBCF" w:rsidR="00451F6A" w:rsidRPr="00CC2E27" w:rsidRDefault="00451F6A" w:rsidP="00F61B2D">
            <w:pPr>
              <w:pStyle w:val="ListParagraph"/>
              <w:ind w:left="315"/>
              <w:rPr>
                <w:rFonts w:cstheme="minorHAnsi"/>
              </w:rPr>
            </w:pPr>
          </w:p>
        </w:tc>
        <w:tc>
          <w:tcPr>
            <w:tcW w:w="1134" w:type="dxa"/>
          </w:tcPr>
          <w:p w14:paraId="337B38BB" w14:textId="5CD81FB9" w:rsidR="00451F6A" w:rsidRPr="00CC2E27" w:rsidRDefault="00451F6A" w:rsidP="00F61B2D">
            <w:pPr>
              <w:contextualSpacing/>
              <w:jc w:val="center"/>
              <w:rPr>
                <w:rFonts w:cstheme="minorHAnsi"/>
              </w:rPr>
            </w:pPr>
            <w:r w:rsidRPr="00CC2E27">
              <w:t>8.4</w:t>
            </w:r>
          </w:p>
        </w:tc>
        <w:tc>
          <w:tcPr>
            <w:tcW w:w="1844" w:type="dxa"/>
            <w:vMerge/>
          </w:tcPr>
          <w:p w14:paraId="5A2AA37E" w14:textId="6E1B96F5" w:rsidR="00451F6A" w:rsidRPr="00CC2E27" w:rsidRDefault="00451F6A" w:rsidP="00F61B2D">
            <w:pPr>
              <w:contextualSpacing/>
              <w:jc w:val="center"/>
              <w:rPr>
                <w:rFonts w:cstheme="minorHAnsi"/>
              </w:rPr>
            </w:pPr>
          </w:p>
        </w:tc>
        <w:tc>
          <w:tcPr>
            <w:tcW w:w="1417" w:type="dxa"/>
          </w:tcPr>
          <w:p w14:paraId="41835E5D" w14:textId="5909706B" w:rsidR="00451F6A" w:rsidRPr="00CC2E27" w:rsidRDefault="00451F6A" w:rsidP="00F61B2D">
            <w:pPr>
              <w:contextualSpacing/>
              <w:jc w:val="center"/>
              <w:rPr>
                <w:rFonts w:cstheme="minorHAnsi"/>
              </w:rPr>
            </w:pPr>
            <w:r w:rsidRPr="00CC2E27">
              <w:rPr>
                <w:rFonts w:cstheme="minorHAnsi"/>
              </w:rPr>
              <w:t>4%</w:t>
            </w:r>
          </w:p>
        </w:tc>
        <w:tc>
          <w:tcPr>
            <w:tcW w:w="1275" w:type="dxa"/>
          </w:tcPr>
          <w:p w14:paraId="4D3F0992" w14:textId="19020FAC" w:rsidR="00451F6A" w:rsidRPr="00CC2E27" w:rsidRDefault="00451F6A" w:rsidP="00F61B2D">
            <w:pPr>
              <w:contextualSpacing/>
              <w:jc w:val="center"/>
              <w:rPr>
                <w:rFonts w:cstheme="minorHAnsi"/>
              </w:rPr>
            </w:pPr>
            <w:r w:rsidRPr="00CC2E27">
              <w:rPr>
                <w:rFonts w:cstheme="minorHAnsi"/>
              </w:rPr>
              <w:t>250</w:t>
            </w:r>
          </w:p>
        </w:tc>
      </w:tr>
      <w:tr w:rsidR="00451F6A" w:rsidRPr="002B4830" w14:paraId="716C1773" w14:textId="065EF2D8" w:rsidTr="00B70803">
        <w:tc>
          <w:tcPr>
            <w:tcW w:w="959" w:type="dxa"/>
            <w:vMerge/>
          </w:tcPr>
          <w:p w14:paraId="567F092A" w14:textId="77777777" w:rsidR="00451F6A" w:rsidRPr="00CC2E27" w:rsidRDefault="00451F6A" w:rsidP="00F61B2D">
            <w:pPr>
              <w:rPr>
                <w:rFonts w:cstheme="minorHAnsi"/>
              </w:rPr>
            </w:pPr>
          </w:p>
        </w:tc>
        <w:tc>
          <w:tcPr>
            <w:tcW w:w="3118" w:type="dxa"/>
          </w:tcPr>
          <w:p w14:paraId="3205A6ED" w14:textId="1F09D00B" w:rsidR="00451F6A" w:rsidRPr="00CC2E27" w:rsidRDefault="00451F6A" w:rsidP="00F61B2D">
            <w:pPr>
              <w:pStyle w:val="ListParagraph"/>
              <w:numPr>
                <w:ilvl w:val="0"/>
                <w:numId w:val="49"/>
              </w:numPr>
              <w:ind w:left="315"/>
              <w:rPr>
                <w:rFonts w:cstheme="minorHAnsi"/>
              </w:rPr>
            </w:pPr>
            <w:r w:rsidRPr="00CC2E27">
              <w:rPr>
                <w:rFonts w:cstheme="minorHAnsi"/>
              </w:rPr>
              <w:t>ANALYSIS</w:t>
            </w:r>
          </w:p>
        </w:tc>
        <w:tc>
          <w:tcPr>
            <w:tcW w:w="1134" w:type="dxa"/>
          </w:tcPr>
          <w:p w14:paraId="3257A517" w14:textId="6A45EBA0" w:rsidR="00451F6A" w:rsidRPr="00CC2E27" w:rsidRDefault="00451F6A" w:rsidP="00F61B2D">
            <w:pPr>
              <w:contextualSpacing/>
              <w:jc w:val="center"/>
              <w:rPr>
                <w:rFonts w:cstheme="minorHAnsi"/>
              </w:rPr>
            </w:pPr>
            <w:r w:rsidRPr="00CC2E27">
              <w:t>9.1</w:t>
            </w:r>
          </w:p>
        </w:tc>
        <w:tc>
          <w:tcPr>
            <w:tcW w:w="1844" w:type="dxa"/>
          </w:tcPr>
          <w:p w14:paraId="10F8C349" w14:textId="193C1E00" w:rsidR="00451F6A" w:rsidRPr="00CC2E27" w:rsidRDefault="00451F6A" w:rsidP="00F61B2D">
            <w:pPr>
              <w:contextualSpacing/>
              <w:jc w:val="center"/>
              <w:rPr>
                <w:rFonts w:cstheme="minorHAnsi"/>
              </w:rPr>
            </w:pPr>
            <w:r w:rsidRPr="00CC2E27">
              <w:rPr>
                <w:rFonts w:cstheme="minorHAnsi"/>
              </w:rPr>
              <w:t>5%</w:t>
            </w:r>
          </w:p>
        </w:tc>
        <w:tc>
          <w:tcPr>
            <w:tcW w:w="1417" w:type="dxa"/>
          </w:tcPr>
          <w:p w14:paraId="2B9263D1" w14:textId="30CF04D2" w:rsidR="00451F6A" w:rsidRPr="00CC2E27" w:rsidRDefault="00451F6A" w:rsidP="00F61B2D">
            <w:pPr>
              <w:contextualSpacing/>
              <w:jc w:val="center"/>
              <w:rPr>
                <w:rFonts w:cstheme="minorHAnsi"/>
              </w:rPr>
            </w:pPr>
            <w:r w:rsidRPr="00CC2E27">
              <w:rPr>
                <w:rFonts w:cstheme="minorHAnsi"/>
              </w:rPr>
              <w:t>5%</w:t>
            </w:r>
          </w:p>
        </w:tc>
        <w:tc>
          <w:tcPr>
            <w:tcW w:w="1275" w:type="dxa"/>
          </w:tcPr>
          <w:p w14:paraId="039702EB" w14:textId="0E1F3DDB" w:rsidR="00451F6A" w:rsidRPr="00CC2E27" w:rsidRDefault="00451F6A" w:rsidP="00F61B2D">
            <w:pPr>
              <w:contextualSpacing/>
              <w:jc w:val="center"/>
              <w:rPr>
                <w:rFonts w:cstheme="minorHAnsi"/>
              </w:rPr>
            </w:pPr>
            <w:r w:rsidRPr="00CC2E27">
              <w:rPr>
                <w:rFonts w:cstheme="minorHAnsi"/>
              </w:rPr>
              <w:t>500</w:t>
            </w:r>
          </w:p>
        </w:tc>
      </w:tr>
      <w:tr w:rsidR="00451F6A" w:rsidRPr="002B4830" w14:paraId="45296B68" w14:textId="5357988F" w:rsidTr="00B70803">
        <w:tc>
          <w:tcPr>
            <w:tcW w:w="959" w:type="dxa"/>
            <w:vMerge/>
          </w:tcPr>
          <w:p w14:paraId="367829A1" w14:textId="77777777" w:rsidR="00451F6A" w:rsidRPr="00CC2E27" w:rsidRDefault="00451F6A" w:rsidP="00F61B2D">
            <w:pPr>
              <w:widowControl w:val="0"/>
              <w:autoSpaceDE w:val="0"/>
              <w:autoSpaceDN w:val="0"/>
              <w:rPr>
                <w:rFonts w:eastAsia="Calibri" w:cstheme="minorHAnsi"/>
                <w:lang w:val="en-US"/>
              </w:rPr>
            </w:pPr>
          </w:p>
        </w:tc>
        <w:tc>
          <w:tcPr>
            <w:tcW w:w="3118" w:type="dxa"/>
            <w:vMerge w:val="restart"/>
          </w:tcPr>
          <w:p w14:paraId="1F31EDA0" w14:textId="628F81EC" w:rsidR="00451F6A" w:rsidRPr="00CC2E27" w:rsidRDefault="00451F6A" w:rsidP="00F61B2D">
            <w:pPr>
              <w:pStyle w:val="ListParagraph"/>
              <w:widowControl w:val="0"/>
              <w:numPr>
                <w:ilvl w:val="0"/>
                <w:numId w:val="49"/>
              </w:numPr>
              <w:autoSpaceDE w:val="0"/>
              <w:autoSpaceDN w:val="0"/>
              <w:ind w:left="315"/>
              <w:rPr>
                <w:rFonts w:eastAsia="Calibri" w:cstheme="minorHAnsi"/>
                <w:lang w:val="en-US"/>
              </w:rPr>
            </w:pPr>
            <w:r w:rsidRPr="00CC2E27">
              <w:rPr>
                <w:rFonts w:eastAsia="Calibri" w:cstheme="minorHAnsi"/>
                <w:lang w:val="en-US"/>
              </w:rPr>
              <w:t>USES OF THE DATA</w:t>
            </w:r>
          </w:p>
        </w:tc>
        <w:tc>
          <w:tcPr>
            <w:tcW w:w="1134" w:type="dxa"/>
          </w:tcPr>
          <w:p w14:paraId="31933CB8" w14:textId="176D36CA" w:rsidR="00451F6A" w:rsidRPr="00CC2E27" w:rsidRDefault="00451F6A" w:rsidP="00F61B2D">
            <w:pPr>
              <w:contextualSpacing/>
              <w:jc w:val="center"/>
              <w:rPr>
                <w:rFonts w:cstheme="minorHAnsi"/>
              </w:rPr>
            </w:pPr>
            <w:r w:rsidRPr="00CC2E27">
              <w:t>10.1</w:t>
            </w:r>
          </w:p>
        </w:tc>
        <w:tc>
          <w:tcPr>
            <w:tcW w:w="1844" w:type="dxa"/>
            <w:vMerge w:val="restart"/>
          </w:tcPr>
          <w:p w14:paraId="6C99C1F0" w14:textId="7774D569" w:rsidR="00451F6A" w:rsidRPr="00CC2E27" w:rsidRDefault="005D1827" w:rsidP="00F61B2D">
            <w:pPr>
              <w:contextualSpacing/>
              <w:jc w:val="center"/>
              <w:rPr>
                <w:rFonts w:cstheme="minorHAnsi"/>
              </w:rPr>
            </w:pPr>
            <w:r w:rsidRPr="00CC2E27">
              <w:rPr>
                <w:rFonts w:cstheme="minorHAnsi"/>
              </w:rPr>
              <w:t>14</w:t>
            </w:r>
            <w:r w:rsidR="00451F6A" w:rsidRPr="00CC2E27">
              <w:rPr>
                <w:rFonts w:cstheme="minorHAnsi"/>
              </w:rPr>
              <w:t>%</w:t>
            </w:r>
          </w:p>
        </w:tc>
        <w:tc>
          <w:tcPr>
            <w:tcW w:w="1417" w:type="dxa"/>
          </w:tcPr>
          <w:p w14:paraId="2C798394" w14:textId="61999606" w:rsidR="00451F6A" w:rsidRPr="00CC2E27" w:rsidRDefault="005D1827" w:rsidP="00F61B2D">
            <w:pPr>
              <w:contextualSpacing/>
              <w:jc w:val="center"/>
              <w:rPr>
                <w:rFonts w:cstheme="minorHAnsi"/>
              </w:rPr>
            </w:pPr>
            <w:r w:rsidRPr="00CC2E27">
              <w:rPr>
                <w:rFonts w:cstheme="minorHAnsi"/>
              </w:rPr>
              <w:t>11</w:t>
            </w:r>
            <w:r w:rsidR="00451F6A" w:rsidRPr="00CC2E27">
              <w:rPr>
                <w:rFonts w:cstheme="minorHAnsi"/>
              </w:rPr>
              <w:t>%</w:t>
            </w:r>
          </w:p>
        </w:tc>
        <w:tc>
          <w:tcPr>
            <w:tcW w:w="1275" w:type="dxa"/>
          </w:tcPr>
          <w:p w14:paraId="62847FB6" w14:textId="3B900FFC" w:rsidR="00451F6A" w:rsidRPr="00CC2E27" w:rsidRDefault="005D1827" w:rsidP="00F61B2D">
            <w:pPr>
              <w:contextualSpacing/>
              <w:jc w:val="center"/>
              <w:rPr>
                <w:rFonts w:cstheme="minorHAnsi"/>
              </w:rPr>
            </w:pPr>
            <w:r w:rsidRPr="00CC2E27">
              <w:rPr>
                <w:rFonts w:cstheme="minorHAnsi"/>
              </w:rPr>
              <w:t>75</w:t>
            </w:r>
            <w:r w:rsidR="00451F6A" w:rsidRPr="00CC2E27">
              <w:rPr>
                <w:rFonts w:cstheme="minorHAnsi"/>
              </w:rPr>
              <w:t>0</w:t>
            </w:r>
          </w:p>
        </w:tc>
      </w:tr>
      <w:tr w:rsidR="00451F6A" w:rsidRPr="002B4830" w14:paraId="0EA20755" w14:textId="10245A30" w:rsidTr="00B70803">
        <w:tc>
          <w:tcPr>
            <w:tcW w:w="959" w:type="dxa"/>
            <w:vMerge/>
          </w:tcPr>
          <w:p w14:paraId="05447692" w14:textId="77777777" w:rsidR="00451F6A" w:rsidRPr="00CC2E27" w:rsidRDefault="00451F6A" w:rsidP="00F61B2D">
            <w:pPr>
              <w:pStyle w:val="ListParagraph"/>
              <w:widowControl w:val="0"/>
              <w:autoSpaceDE w:val="0"/>
              <w:autoSpaceDN w:val="0"/>
              <w:rPr>
                <w:rFonts w:eastAsia="Calibri" w:cstheme="minorHAnsi"/>
                <w:lang w:val="en-US"/>
              </w:rPr>
            </w:pPr>
          </w:p>
        </w:tc>
        <w:tc>
          <w:tcPr>
            <w:tcW w:w="3118" w:type="dxa"/>
            <w:vMerge/>
          </w:tcPr>
          <w:p w14:paraId="4989725C" w14:textId="3AE1D8BC" w:rsidR="00451F6A" w:rsidRPr="00CC2E27" w:rsidRDefault="00451F6A" w:rsidP="00F61B2D">
            <w:pPr>
              <w:pStyle w:val="ListParagraph"/>
              <w:widowControl w:val="0"/>
              <w:autoSpaceDE w:val="0"/>
              <w:autoSpaceDN w:val="0"/>
              <w:ind w:left="315"/>
              <w:rPr>
                <w:rFonts w:eastAsia="Calibri" w:cstheme="minorHAnsi"/>
                <w:lang w:val="en-US"/>
              </w:rPr>
            </w:pPr>
          </w:p>
        </w:tc>
        <w:tc>
          <w:tcPr>
            <w:tcW w:w="1134" w:type="dxa"/>
          </w:tcPr>
          <w:p w14:paraId="583B177E" w14:textId="53DB98CE" w:rsidR="00451F6A" w:rsidRPr="00CC2E27" w:rsidRDefault="00451F6A" w:rsidP="00F61B2D">
            <w:pPr>
              <w:contextualSpacing/>
              <w:jc w:val="center"/>
              <w:rPr>
                <w:rFonts w:cstheme="minorHAnsi"/>
              </w:rPr>
            </w:pPr>
            <w:r w:rsidRPr="00CC2E27">
              <w:t>10.2</w:t>
            </w:r>
          </w:p>
        </w:tc>
        <w:tc>
          <w:tcPr>
            <w:tcW w:w="1844" w:type="dxa"/>
            <w:vMerge/>
          </w:tcPr>
          <w:p w14:paraId="03E55EC5" w14:textId="3AB69B28" w:rsidR="00451F6A" w:rsidRPr="00CC2E27" w:rsidRDefault="00451F6A" w:rsidP="00F61B2D">
            <w:pPr>
              <w:contextualSpacing/>
              <w:jc w:val="center"/>
              <w:rPr>
                <w:rFonts w:cstheme="minorHAnsi"/>
              </w:rPr>
            </w:pPr>
          </w:p>
        </w:tc>
        <w:tc>
          <w:tcPr>
            <w:tcW w:w="1417" w:type="dxa"/>
          </w:tcPr>
          <w:p w14:paraId="2C1EB41C" w14:textId="61B1FA8A" w:rsidR="00451F6A" w:rsidRPr="00CC2E27" w:rsidRDefault="00451F6A" w:rsidP="00F61B2D">
            <w:pPr>
              <w:contextualSpacing/>
              <w:jc w:val="center"/>
              <w:rPr>
                <w:rFonts w:cstheme="minorHAnsi"/>
              </w:rPr>
            </w:pPr>
            <w:r w:rsidRPr="00CC2E27">
              <w:rPr>
                <w:rFonts w:cstheme="minorHAnsi"/>
              </w:rPr>
              <w:t>3%</w:t>
            </w:r>
          </w:p>
        </w:tc>
        <w:tc>
          <w:tcPr>
            <w:tcW w:w="1275" w:type="dxa"/>
          </w:tcPr>
          <w:p w14:paraId="5DA49A95" w14:textId="27C9566E" w:rsidR="00451F6A" w:rsidRPr="00CC2E27" w:rsidRDefault="00451F6A" w:rsidP="00F61B2D">
            <w:pPr>
              <w:contextualSpacing/>
              <w:jc w:val="center"/>
              <w:rPr>
                <w:rFonts w:cstheme="minorHAnsi"/>
              </w:rPr>
            </w:pPr>
            <w:r w:rsidRPr="00CC2E27">
              <w:rPr>
                <w:rFonts w:cstheme="minorHAnsi"/>
              </w:rPr>
              <w:t>500</w:t>
            </w:r>
          </w:p>
        </w:tc>
      </w:tr>
      <w:tr w:rsidR="00BF3D5F" w:rsidRPr="002B4830" w14:paraId="36C5EFBB" w14:textId="0ECB3A59" w:rsidTr="00B70803">
        <w:tc>
          <w:tcPr>
            <w:tcW w:w="959" w:type="dxa"/>
            <w:vMerge/>
          </w:tcPr>
          <w:p w14:paraId="5310A665" w14:textId="77777777" w:rsidR="00BF3D5F" w:rsidRPr="00CC2E27" w:rsidRDefault="00BF3D5F" w:rsidP="00F61B2D">
            <w:pPr>
              <w:jc w:val="both"/>
              <w:rPr>
                <w:rFonts w:cstheme="minorHAnsi"/>
              </w:rPr>
            </w:pPr>
          </w:p>
        </w:tc>
        <w:tc>
          <w:tcPr>
            <w:tcW w:w="3118" w:type="dxa"/>
          </w:tcPr>
          <w:p w14:paraId="610A49D3" w14:textId="2E858373" w:rsidR="00BF3D5F" w:rsidRPr="00CC2E27" w:rsidRDefault="00BF3D5F" w:rsidP="00F61B2D">
            <w:pPr>
              <w:pStyle w:val="ListParagraph"/>
              <w:numPr>
                <w:ilvl w:val="0"/>
                <w:numId w:val="49"/>
              </w:numPr>
              <w:ind w:left="315"/>
              <w:jc w:val="both"/>
              <w:rPr>
                <w:rFonts w:cstheme="minorHAnsi"/>
              </w:rPr>
            </w:pPr>
            <w:r w:rsidRPr="00CC2E27">
              <w:rPr>
                <w:rFonts w:cstheme="minorHAnsi"/>
              </w:rPr>
              <w:t>RISK MANAGEMENT</w:t>
            </w:r>
          </w:p>
        </w:tc>
        <w:tc>
          <w:tcPr>
            <w:tcW w:w="1134" w:type="dxa"/>
          </w:tcPr>
          <w:p w14:paraId="3D0C3CD8" w14:textId="2A82043C" w:rsidR="00BF3D5F" w:rsidRPr="00CC2E27" w:rsidRDefault="00BF3D5F" w:rsidP="00F61B2D">
            <w:pPr>
              <w:contextualSpacing/>
              <w:jc w:val="center"/>
              <w:rPr>
                <w:rFonts w:cstheme="minorHAnsi"/>
              </w:rPr>
            </w:pPr>
            <w:r w:rsidRPr="00CC2E27">
              <w:t>11.1</w:t>
            </w:r>
          </w:p>
        </w:tc>
        <w:tc>
          <w:tcPr>
            <w:tcW w:w="1844" w:type="dxa"/>
          </w:tcPr>
          <w:p w14:paraId="47B67F61" w14:textId="6E012598" w:rsidR="00BF3D5F" w:rsidRPr="00CC2E27" w:rsidRDefault="00BF3D5F" w:rsidP="00F61B2D">
            <w:pPr>
              <w:contextualSpacing/>
              <w:jc w:val="center"/>
              <w:rPr>
                <w:rFonts w:cstheme="minorHAnsi"/>
              </w:rPr>
            </w:pPr>
            <w:r w:rsidRPr="00CC2E27">
              <w:rPr>
                <w:rFonts w:cstheme="minorHAnsi"/>
              </w:rPr>
              <w:t>5%</w:t>
            </w:r>
          </w:p>
        </w:tc>
        <w:tc>
          <w:tcPr>
            <w:tcW w:w="1417" w:type="dxa"/>
          </w:tcPr>
          <w:p w14:paraId="052F32B4" w14:textId="11716EDB" w:rsidR="00BF3D5F" w:rsidRPr="00CC2E27" w:rsidRDefault="00BF3D5F" w:rsidP="00F61B2D">
            <w:pPr>
              <w:contextualSpacing/>
              <w:jc w:val="center"/>
              <w:rPr>
                <w:rFonts w:cstheme="minorHAnsi"/>
              </w:rPr>
            </w:pPr>
            <w:r w:rsidRPr="00CC2E27">
              <w:rPr>
                <w:rFonts w:cstheme="minorHAnsi"/>
              </w:rPr>
              <w:t>5%</w:t>
            </w:r>
          </w:p>
        </w:tc>
        <w:tc>
          <w:tcPr>
            <w:tcW w:w="1275" w:type="dxa"/>
          </w:tcPr>
          <w:p w14:paraId="258A113F" w14:textId="4CC54782" w:rsidR="00BF3D5F" w:rsidRPr="00CC2E27" w:rsidRDefault="00BF3D5F" w:rsidP="00F61B2D">
            <w:pPr>
              <w:contextualSpacing/>
              <w:jc w:val="center"/>
              <w:rPr>
                <w:rFonts w:cstheme="minorHAnsi"/>
              </w:rPr>
            </w:pPr>
            <w:r w:rsidRPr="00CC2E27">
              <w:rPr>
                <w:rFonts w:cstheme="minorHAnsi"/>
              </w:rPr>
              <w:t>250</w:t>
            </w:r>
          </w:p>
        </w:tc>
      </w:tr>
      <w:tr w:rsidR="007A62E5" w:rsidRPr="002B4830" w14:paraId="00A07673" w14:textId="3CC4581B" w:rsidTr="00B70803">
        <w:tc>
          <w:tcPr>
            <w:tcW w:w="959" w:type="dxa"/>
            <w:vMerge w:val="restart"/>
          </w:tcPr>
          <w:p w14:paraId="7C6A6600" w14:textId="32EA70D0" w:rsidR="007A62E5" w:rsidRPr="00CC2E27" w:rsidRDefault="007A62E5" w:rsidP="00F61B2D">
            <w:pPr>
              <w:jc w:val="both"/>
              <w:rPr>
                <w:rFonts w:cstheme="minorHAnsi"/>
              </w:rPr>
            </w:pPr>
            <w:r w:rsidRPr="00CC2E27">
              <w:rPr>
                <w:rFonts w:cstheme="minorHAnsi"/>
              </w:rPr>
              <w:t>Price Section</w:t>
            </w:r>
          </w:p>
        </w:tc>
        <w:tc>
          <w:tcPr>
            <w:tcW w:w="3118" w:type="dxa"/>
            <w:vMerge w:val="restart"/>
          </w:tcPr>
          <w:p w14:paraId="628A9FE4" w14:textId="40CC65CE" w:rsidR="007A62E5" w:rsidRPr="00CC2E27" w:rsidRDefault="007A62E5" w:rsidP="00F61B2D">
            <w:pPr>
              <w:pStyle w:val="ListParagraph"/>
              <w:numPr>
                <w:ilvl w:val="0"/>
                <w:numId w:val="49"/>
              </w:numPr>
              <w:ind w:left="315"/>
              <w:jc w:val="both"/>
              <w:rPr>
                <w:rFonts w:cstheme="minorHAnsi"/>
              </w:rPr>
            </w:pPr>
            <w:r w:rsidRPr="00CC2E27">
              <w:rPr>
                <w:rFonts w:cstheme="minorHAnsi"/>
              </w:rPr>
              <w:t>COST &amp; ALLOCATION OF BUDGET</w:t>
            </w:r>
          </w:p>
        </w:tc>
        <w:tc>
          <w:tcPr>
            <w:tcW w:w="1134" w:type="dxa"/>
          </w:tcPr>
          <w:p w14:paraId="68E8BCF6" w14:textId="58E92CC4" w:rsidR="007A62E5" w:rsidRPr="00CC2E27" w:rsidRDefault="007A62E5" w:rsidP="00F61B2D">
            <w:pPr>
              <w:contextualSpacing/>
              <w:jc w:val="center"/>
              <w:rPr>
                <w:rFonts w:cstheme="minorHAnsi"/>
              </w:rPr>
            </w:pPr>
            <w:r w:rsidRPr="00CC2E27">
              <w:t>12.1</w:t>
            </w:r>
          </w:p>
        </w:tc>
        <w:tc>
          <w:tcPr>
            <w:tcW w:w="1844" w:type="dxa"/>
            <w:vMerge w:val="restart"/>
          </w:tcPr>
          <w:p w14:paraId="519BC999" w14:textId="31B5E3C4" w:rsidR="007A62E5" w:rsidRPr="00CC2E27" w:rsidRDefault="00CC2E27" w:rsidP="00F61B2D">
            <w:pPr>
              <w:contextualSpacing/>
              <w:jc w:val="center"/>
              <w:rPr>
                <w:rFonts w:cstheme="minorHAnsi"/>
              </w:rPr>
            </w:pPr>
            <w:r w:rsidRPr="00CC2E27">
              <w:rPr>
                <w:rFonts w:cstheme="minorHAnsi"/>
              </w:rPr>
              <w:t>5</w:t>
            </w:r>
            <w:r w:rsidR="007A62E5" w:rsidRPr="00CC2E27">
              <w:rPr>
                <w:rFonts w:cstheme="minorHAnsi"/>
              </w:rPr>
              <w:t>%</w:t>
            </w:r>
          </w:p>
        </w:tc>
        <w:tc>
          <w:tcPr>
            <w:tcW w:w="1417" w:type="dxa"/>
          </w:tcPr>
          <w:p w14:paraId="150C2955" w14:textId="7C2C8F4B" w:rsidR="007A62E5" w:rsidRPr="00CC2E27" w:rsidRDefault="00CC2E27" w:rsidP="00F61B2D">
            <w:pPr>
              <w:contextualSpacing/>
              <w:jc w:val="center"/>
              <w:rPr>
                <w:rFonts w:cstheme="minorHAnsi"/>
              </w:rPr>
            </w:pPr>
            <w:r w:rsidRPr="00CC2E27">
              <w:rPr>
                <w:rFonts w:cstheme="minorHAnsi"/>
              </w:rPr>
              <w:t>Pass/Fail</w:t>
            </w:r>
          </w:p>
        </w:tc>
        <w:tc>
          <w:tcPr>
            <w:tcW w:w="1275" w:type="dxa"/>
          </w:tcPr>
          <w:p w14:paraId="5374E2D1" w14:textId="748F1E08" w:rsidR="007A62E5" w:rsidRPr="00CC2E27" w:rsidRDefault="007A62E5" w:rsidP="00F61B2D">
            <w:pPr>
              <w:contextualSpacing/>
              <w:jc w:val="center"/>
              <w:rPr>
                <w:rFonts w:cstheme="minorHAnsi"/>
              </w:rPr>
            </w:pPr>
            <w:r w:rsidRPr="00CC2E27">
              <w:rPr>
                <w:rFonts w:cstheme="minorHAnsi"/>
              </w:rPr>
              <w:t>N/A</w:t>
            </w:r>
          </w:p>
        </w:tc>
      </w:tr>
      <w:tr w:rsidR="007A62E5" w:rsidRPr="002B4830" w14:paraId="483D410B" w14:textId="462E520E" w:rsidTr="00B70803">
        <w:tc>
          <w:tcPr>
            <w:tcW w:w="959" w:type="dxa"/>
            <w:vMerge/>
          </w:tcPr>
          <w:p w14:paraId="32FEFA24" w14:textId="77777777" w:rsidR="007A62E5" w:rsidRPr="00CC2E27" w:rsidRDefault="007A62E5" w:rsidP="00F61B2D">
            <w:pPr>
              <w:pStyle w:val="ListParagraph"/>
              <w:jc w:val="both"/>
              <w:rPr>
                <w:rFonts w:cstheme="minorHAnsi"/>
              </w:rPr>
            </w:pPr>
          </w:p>
        </w:tc>
        <w:tc>
          <w:tcPr>
            <w:tcW w:w="3118" w:type="dxa"/>
            <w:vMerge/>
          </w:tcPr>
          <w:p w14:paraId="2E4B3787" w14:textId="18D809DC" w:rsidR="007A62E5" w:rsidRPr="00CC2E27" w:rsidRDefault="007A62E5" w:rsidP="00F61B2D">
            <w:pPr>
              <w:pStyle w:val="ListParagraph"/>
              <w:jc w:val="both"/>
              <w:rPr>
                <w:rFonts w:cstheme="minorHAnsi"/>
              </w:rPr>
            </w:pPr>
          </w:p>
        </w:tc>
        <w:tc>
          <w:tcPr>
            <w:tcW w:w="1134" w:type="dxa"/>
          </w:tcPr>
          <w:p w14:paraId="532C160C" w14:textId="0467332C" w:rsidR="007A62E5" w:rsidRPr="00CC2E27" w:rsidRDefault="007A62E5" w:rsidP="00F61B2D">
            <w:pPr>
              <w:contextualSpacing/>
              <w:jc w:val="center"/>
              <w:rPr>
                <w:rFonts w:cstheme="minorHAnsi"/>
              </w:rPr>
            </w:pPr>
            <w:r w:rsidRPr="00CC2E27">
              <w:t>12.2</w:t>
            </w:r>
          </w:p>
        </w:tc>
        <w:tc>
          <w:tcPr>
            <w:tcW w:w="1844" w:type="dxa"/>
            <w:vMerge/>
          </w:tcPr>
          <w:p w14:paraId="55E02B72" w14:textId="3FE85D52" w:rsidR="007A62E5" w:rsidRPr="00CC2E27" w:rsidRDefault="007A62E5" w:rsidP="00F61B2D">
            <w:pPr>
              <w:contextualSpacing/>
              <w:jc w:val="center"/>
              <w:rPr>
                <w:rFonts w:cstheme="minorHAnsi"/>
              </w:rPr>
            </w:pPr>
          </w:p>
        </w:tc>
        <w:tc>
          <w:tcPr>
            <w:tcW w:w="1417" w:type="dxa"/>
          </w:tcPr>
          <w:p w14:paraId="46811D8B" w14:textId="6091D689" w:rsidR="007A62E5" w:rsidRPr="00CC2E27" w:rsidRDefault="007A62E5" w:rsidP="00F61B2D">
            <w:pPr>
              <w:contextualSpacing/>
              <w:jc w:val="center"/>
              <w:rPr>
                <w:rFonts w:cstheme="minorHAnsi"/>
              </w:rPr>
            </w:pPr>
            <w:r w:rsidRPr="00CC2E27">
              <w:rPr>
                <w:rFonts w:cstheme="minorHAnsi"/>
              </w:rPr>
              <w:t>5%</w:t>
            </w:r>
          </w:p>
        </w:tc>
        <w:tc>
          <w:tcPr>
            <w:tcW w:w="1275" w:type="dxa"/>
          </w:tcPr>
          <w:p w14:paraId="7A0EACAA" w14:textId="63B5953D" w:rsidR="007A62E5" w:rsidRPr="00CC2E27" w:rsidRDefault="007A62E5" w:rsidP="00F61B2D">
            <w:pPr>
              <w:contextualSpacing/>
              <w:jc w:val="center"/>
              <w:rPr>
                <w:rFonts w:cstheme="minorHAnsi"/>
              </w:rPr>
            </w:pPr>
            <w:r w:rsidRPr="00CC2E27">
              <w:rPr>
                <w:rFonts w:cstheme="minorHAnsi"/>
              </w:rPr>
              <w:t>250</w:t>
            </w:r>
          </w:p>
        </w:tc>
      </w:tr>
      <w:tr w:rsidR="00451F6A" w:rsidRPr="002B4830" w14:paraId="005C925E" w14:textId="2002DDD6" w:rsidTr="00B70803">
        <w:tc>
          <w:tcPr>
            <w:tcW w:w="959" w:type="dxa"/>
          </w:tcPr>
          <w:p w14:paraId="715660BE" w14:textId="1EA09D4F" w:rsidR="00451F6A" w:rsidRPr="00CC2E27" w:rsidRDefault="00451F6A" w:rsidP="00F61B2D">
            <w:pPr>
              <w:contextualSpacing/>
              <w:jc w:val="both"/>
              <w:rPr>
                <w:rFonts w:cstheme="minorHAnsi"/>
              </w:rPr>
            </w:pPr>
            <w:r w:rsidRPr="00CC2E27">
              <w:rPr>
                <w:rFonts w:cstheme="minorHAnsi"/>
              </w:rPr>
              <w:t>TOTAL</w:t>
            </w:r>
          </w:p>
        </w:tc>
        <w:tc>
          <w:tcPr>
            <w:tcW w:w="3118" w:type="dxa"/>
          </w:tcPr>
          <w:p w14:paraId="203F7591" w14:textId="5BB23F23" w:rsidR="00451F6A" w:rsidRPr="00CC2E27" w:rsidRDefault="00451F6A" w:rsidP="00F61B2D">
            <w:pPr>
              <w:contextualSpacing/>
              <w:jc w:val="both"/>
              <w:rPr>
                <w:rFonts w:cstheme="minorHAnsi"/>
              </w:rPr>
            </w:pPr>
            <w:r w:rsidRPr="00CC2E27">
              <w:rPr>
                <w:rFonts w:cstheme="minorHAnsi"/>
              </w:rPr>
              <w:t xml:space="preserve">    </w:t>
            </w:r>
          </w:p>
          <w:p w14:paraId="26ECCB3B" w14:textId="096C7133" w:rsidR="00451F6A" w:rsidRPr="00CC2E27" w:rsidRDefault="00451F6A" w:rsidP="00F61B2D">
            <w:pPr>
              <w:contextualSpacing/>
              <w:jc w:val="both"/>
              <w:rPr>
                <w:rFonts w:cstheme="minorHAnsi"/>
              </w:rPr>
            </w:pPr>
          </w:p>
        </w:tc>
        <w:tc>
          <w:tcPr>
            <w:tcW w:w="1134" w:type="dxa"/>
          </w:tcPr>
          <w:p w14:paraId="5E8D19B7" w14:textId="77777777" w:rsidR="00451F6A" w:rsidRPr="00CC2E27" w:rsidRDefault="00451F6A" w:rsidP="00F61B2D">
            <w:pPr>
              <w:contextualSpacing/>
              <w:jc w:val="center"/>
              <w:rPr>
                <w:rFonts w:cstheme="minorHAnsi"/>
              </w:rPr>
            </w:pPr>
          </w:p>
        </w:tc>
        <w:tc>
          <w:tcPr>
            <w:tcW w:w="1844" w:type="dxa"/>
          </w:tcPr>
          <w:p w14:paraId="6AFCE515" w14:textId="5D569B35" w:rsidR="00451F6A" w:rsidRPr="00CC2E27" w:rsidRDefault="00451F6A" w:rsidP="00F61B2D">
            <w:pPr>
              <w:contextualSpacing/>
              <w:jc w:val="center"/>
              <w:rPr>
                <w:rFonts w:cstheme="minorHAnsi"/>
              </w:rPr>
            </w:pPr>
            <w:r w:rsidRPr="00CC2E27">
              <w:rPr>
                <w:rFonts w:cstheme="minorHAnsi"/>
              </w:rPr>
              <w:t>100%</w:t>
            </w:r>
          </w:p>
        </w:tc>
        <w:tc>
          <w:tcPr>
            <w:tcW w:w="1417" w:type="dxa"/>
          </w:tcPr>
          <w:p w14:paraId="50FA5F0B" w14:textId="13EFA0EA" w:rsidR="00451F6A" w:rsidRPr="00CC2E27" w:rsidRDefault="00451F6A" w:rsidP="00F61B2D">
            <w:pPr>
              <w:contextualSpacing/>
              <w:jc w:val="center"/>
              <w:rPr>
                <w:rFonts w:cstheme="minorHAnsi"/>
              </w:rPr>
            </w:pPr>
            <w:r w:rsidRPr="00CC2E27">
              <w:rPr>
                <w:rFonts w:cstheme="minorHAnsi"/>
              </w:rPr>
              <w:t>100%</w:t>
            </w:r>
          </w:p>
        </w:tc>
        <w:tc>
          <w:tcPr>
            <w:tcW w:w="1275" w:type="dxa"/>
          </w:tcPr>
          <w:p w14:paraId="290519C2" w14:textId="77777777" w:rsidR="00451F6A" w:rsidRPr="00CC2E27" w:rsidRDefault="00451F6A" w:rsidP="00F61B2D">
            <w:pPr>
              <w:contextualSpacing/>
              <w:jc w:val="center"/>
              <w:rPr>
                <w:rFonts w:cstheme="minorHAnsi"/>
              </w:rPr>
            </w:pPr>
          </w:p>
        </w:tc>
      </w:tr>
    </w:tbl>
    <w:p w14:paraId="7A67CC81" w14:textId="044A0ADB" w:rsidR="00E46CE9" w:rsidRDefault="00E46CE9" w:rsidP="00F61B2D">
      <w:pPr>
        <w:spacing w:after="0" w:line="240" w:lineRule="auto"/>
        <w:jc w:val="both"/>
        <w:rPr>
          <w:rFonts w:cstheme="minorHAnsi"/>
        </w:rPr>
      </w:pPr>
    </w:p>
    <w:p w14:paraId="0C23FCEA" w14:textId="129240CF" w:rsidR="00AA77D2" w:rsidRDefault="00AA77D2" w:rsidP="00AA77D2">
      <w:pPr>
        <w:spacing w:after="0" w:line="240" w:lineRule="auto"/>
        <w:jc w:val="both"/>
      </w:pPr>
      <w:r>
        <w:t>Tender r</w:t>
      </w:r>
      <w:r w:rsidRPr="00B065D1">
        <w:t xml:space="preserve">esponses will be evaluated in accordance with the </w:t>
      </w:r>
      <w:r w:rsidR="009B0B6D">
        <w:t>scoring criteria</w:t>
      </w:r>
      <w:r w:rsidRPr="00B065D1">
        <w:t xml:space="preserve"> included in the table below.</w:t>
      </w:r>
    </w:p>
    <w:p w14:paraId="0A641F54" w14:textId="77777777" w:rsidR="00AA77D2" w:rsidRPr="0055541D" w:rsidRDefault="00AA77D2" w:rsidP="00F61B2D">
      <w:pPr>
        <w:spacing w:after="0" w:line="240" w:lineRule="auto"/>
        <w:jc w:val="both"/>
        <w:rPr>
          <w:rFonts w:cstheme="minorHAnsi"/>
        </w:rPr>
      </w:pPr>
    </w:p>
    <w:tbl>
      <w:tblPr>
        <w:tblStyle w:val="TableGrid"/>
        <w:tblW w:w="9634" w:type="dxa"/>
        <w:tblLook w:val="04A0" w:firstRow="1" w:lastRow="0" w:firstColumn="1" w:lastColumn="0" w:noHBand="0" w:noVBand="1"/>
      </w:tblPr>
      <w:tblGrid>
        <w:gridCol w:w="3114"/>
        <w:gridCol w:w="6520"/>
      </w:tblGrid>
      <w:tr w:rsidR="00E82752" w14:paraId="46A63D09" w14:textId="77777777" w:rsidTr="000972B2">
        <w:tc>
          <w:tcPr>
            <w:tcW w:w="3114" w:type="dxa"/>
            <w:shd w:val="clear" w:color="auto" w:fill="AEAAAA" w:themeFill="background2" w:themeFillShade="BF"/>
          </w:tcPr>
          <w:p w14:paraId="30D59859" w14:textId="1DBD2D61" w:rsidR="00E82752" w:rsidRPr="00E82752" w:rsidRDefault="006D6419" w:rsidP="00F61B2D">
            <w:pPr>
              <w:jc w:val="center"/>
              <w:rPr>
                <w:rFonts w:cstheme="minorHAnsi"/>
                <w:b/>
              </w:rPr>
            </w:pPr>
            <w:r>
              <w:rPr>
                <w:rFonts w:cstheme="minorHAnsi"/>
                <w:b/>
              </w:rPr>
              <w:t>Score</w:t>
            </w:r>
          </w:p>
        </w:tc>
        <w:tc>
          <w:tcPr>
            <w:tcW w:w="6520" w:type="dxa"/>
            <w:shd w:val="clear" w:color="auto" w:fill="AEAAAA" w:themeFill="background2" w:themeFillShade="BF"/>
          </w:tcPr>
          <w:p w14:paraId="0D426195" w14:textId="7D829C3B" w:rsidR="00E82752" w:rsidRPr="00E82752" w:rsidRDefault="006D6419" w:rsidP="00F61B2D">
            <w:pPr>
              <w:jc w:val="center"/>
              <w:rPr>
                <w:rFonts w:cstheme="minorHAnsi"/>
                <w:b/>
              </w:rPr>
            </w:pPr>
            <w:r>
              <w:rPr>
                <w:rFonts w:cstheme="minorHAnsi"/>
                <w:b/>
              </w:rPr>
              <w:t>Scoring criteria</w:t>
            </w:r>
          </w:p>
        </w:tc>
      </w:tr>
      <w:tr w:rsidR="00E82752" w14:paraId="4324DBDB" w14:textId="77777777" w:rsidTr="000972B2">
        <w:tc>
          <w:tcPr>
            <w:tcW w:w="3114" w:type="dxa"/>
          </w:tcPr>
          <w:p w14:paraId="72806D0A" w14:textId="77777777" w:rsidR="00E82752" w:rsidRDefault="00E82752" w:rsidP="00F61B2D">
            <w:pPr>
              <w:pStyle w:val="ListParagraph"/>
              <w:jc w:val="both"/>
              <w:rPr>
                <w:rFonts w:cstheme="minorHAnsi"/>
              </w:rPr>
            </w:pPr>
          </w:p>
          <w:p w14:paraId="43E4129E" w14:textId="77777777" w:rsidR="00E82752" w:rsidRPr="00E82752" w:rsidRDefault="00E82752" w:rsidP="00F61B2D">
            <w:pPr>
              <w:pStyle w:val="ListParagraph"/>
              <w:numPr>
                <w:ilvl w:val="0"/>
                <w:numId w:val="16"/>
              </w:numPr>
              <w:jc w:val="both"/>
              <w:rPr>
                <w:rFonts w:cstheme="minorHAnsi"/>
              </w:rPr>
            </w:pPr>
            <w:r w:rsidRPr="00E82752">
              <w:rPr>
                <w:rFonts w:cstheme="minorHAnsi"/>
              </w:rPr>
              <w:t>Unacceptable</w:t>
            </w:r>
          </w:p>
        </w:tc>
        <w:tc>
          <w:tcPr>
            <w:tcW w:w="6520" w:type="dxa"/>
          </w:tcPr>
          <w:p w14:paraId="2BA2B1F5" w14:textId="77777777" w:rsidR="00E131F5" w:rsidRPr="00E131F5" w:rsidRDefault="00E131F5" w:rsidP="00F61B2D">
            <w:pPr>
              <w:jc w:val="both"/>
              <w:rPr>
                <w:rFonts w:cstheme="minorHAnsi"/>
              </w:rPr>
            </w:pPr>
          </w:p>
          <w:p w14:paraId="2D4763B8" w14:textId="77777777" w:rsidR="00E82752" w:rsidRDefault="008C084E" w:rsidP="00F61B2D">
            <w:pPr>
              <w:jc w:val="both"/>
              <w:rPr>
                <w:rFonts w:cstheme="minorHAnsi"/>
              </w:rPr>
            </w:pPr>
            <w:r w:rsidRPr="00E131F5">
              <w:rPr>
                <w:rFonts w:cstheme="minorHAnsi"/>
              </w:rPr>
              <w:t>Nil or inadequate response. Fails to demonstrate an ability to meet the requirement.</w:t>
            </w:r>
          </w:p>
          <w:p w14:paraId="4BACE6F3" w14:textId="75934192" w:rsidR="00AF1914" w:rsidRPr="00E131F5" w:rsidRDefault="00AF1914" w:rsidP="00F61B2D">
            <w:pPr>
              <w:jc w:val="both"/>
              <w:rPr>
                <w:rFonts w:cstheme="minorHAnsi"/>
              </w:rPr>
            </w:pPr>
          </w:p>
        </w:tc>
      </w:tr>
      <w:tr w:rsidR="00E82752" w14:paraId="3158E682" w14:textId="77777777" w:rsidTr="000972B2">
        <w:tc>
          <w:tcPr>
            <w:tcW w:w="3114" w:type="dxa"/>
          </w:tcPr>
          <w:p w14:paraId="7A7E9320" w14:textId="77777777" w:rsidR="00AF1914" w:rsidRDefault="00AF1914" w:rsidP="00F61B2D">
            <w:pPr>
              <w:pStyle w:val="ListParagraph"/>
              <w:jc w:val="both"/>
              <w:rPr>
                <w:rFonts w:cstheme="minorHAnsi"/>
              </w:rPr>
            </w:pPr>
          </w:p>
          <w:p w14:paraId="781349C1" w14:textId="0FCCF815" w:rsidR="00E82752" w:rsidRPr="00E82752" w:rsidRDefault="00EF62CD" w:rsidP="00F61B2D">
            <w:pPr>
              <w:pStyle w:val="ListParagraph"/>
              <w:numPr>
                <w:ilvl w:val="0"/>
                <w:numId w:val="16"/>
              </w:numPr>
              <w:jc w:val="both"/>
              <w:rPr>
                <w:rFonts w:cstheme="minorHAnsi"/>
              </w:rPr>
            </w:pPr>
            <w:r>
              <w:rPr>
                <w:rFonts w:cstheme="minorHAnsi"/>
              </w:rPr>
              <w:t xml:space="preserve">Poor </w:t>
            </w:r>
          </w:p>
        </w:tc>
        <w:tc>
          <w:tcPr>
            <w:tcW w:w="6520" w:type="dxa"/>
          </w:tcPr>
          <w:p w14:paraId="42EA9C51" w14:textId="77777777" w:rsidR="00E131F5" w:rsidRPr="00E131F5" w:rsidRDefault="00E131F5" w:rsidP="00F61B2D">
            <w:pPr>
              <w:jc w:val="both"/>
              <w:rPr>
                <w:rFonts w:cstheme="minorHAnsi"/>
              </w:rPr>
            </w:pPr>
          </w:p>
          <w:p w14:paraId="1410E422" w14:textId="77777777" w:rsidR="00E82752" w:rsidRDefault="00752160" w:rsidP="00F61B2D">
            <w:pPr>
              <w:jc w:val="both"/>
              <w:rPr>
                <w:rFonts w:cstheme="minorHAnsi"/>
              </w:rPr>
            </w:pPr>
            <w:r w:rsidRPr="00E131F5">
              <w:rPr>
                <w:rFonts w:cstheme="minorHAnsi"/>
              </w:rPr>
              <w:t>Response is partially relevant but generally poor. The response addresses some elements of the requirement but contains insufficient/limited detail or explanation to demonstrate how the requirement will be fulfilled.</w:t>
            </w:r>
          </w:p>
          <w:p w14:paraId="425E2908" w14:textId="26C9500E" w:rsidR="00AF1914" w:rsidRPr="00E131F5" w:rsidRDefault="00AF1914" w:rsidP="00F61B2D">
            <w:pPr>
              <w:jc w:val="both"/>
              <w:rPr>
                <w:rFonts w:cstheme="minorHAnsi"/>
              </w:rPr>
            </w:pPr>
          </w:p>
        </w:tc>
      </w:tr>
      <w:tr w:rsidR="00E82752" w14:paraId="4122D2DD" w14:textId="77777777" w:rsidTr="000972B2">
        <w:tc>
          <w:tcPr>
            <w:tcW w:w="3114" w:type="dxa"/>
          </w:tcPr>
          <w:p w14:paraId="7DD7AC38" w14:textId="77777777" w:rsidR="00AF1914" w:rsidRDefault="00AF1914" w:rsidP="00F61B2D">
            <w:pPr>
              <w:pStyle w:val="ListParagraph"/>
              <w:jc w:val="both"/>
              <w:rPr>
                <w:rFonts w:cstheme="minorHAnsi"/>
              </w:rPr>
            </w:pPr>
          </w:p>
          <w:p w14:paraId="3A8FD175" w14:textId="4555E5EC" w:rsidR="00E82752" w:rsidRPr="00E82752" w:rsidRDefault="00EF62CD" w:rsidP="00F61B2D">
            <w:pPr>
              <w:pStyle w:val="ListParagraph"/>
              <w:numPr>
                <w:ilvl w:val="0"/>
                <w:numId w:val="16"/>
              </w:numPr>
              <w:jc w:val="both"/>
              <w:rPr>
                <w:rFonts w:cstheme="minorHAnsi"/>
              </w:rPr>
            </w:pPr>
            <w:r>
              <w:rPr>
                <w:rFonts w:cstheme="minorHAnsi"/>
              </w:rPr>
              <w:t xml:space="preserve">Acceptable </w:t>
            </w:r>
          </w:p>
        </w:tc>
        <w:tc>
          <w:tcPr>
            <w:tcW w:w="6520" w:type="dxa"/>
          </w:tcPr>
          <w:p w14:paraId="424B489B" w14:textId="77777777" w:rsidR="00AF1914" w:rsidRDefault="00AF1914" w:rsidP="00F61B2D">
            <w:pPr>
              <w:jc w:val="both"/>
            </w:pPr>
          </w:p>
          <w:p w14:paraId="6B1FD0E4" w14:textId="51D1B137" w:rsidR="00E92D4B" w:rsidRDefault="00E92D4B" w:rsidP="00F61B2D">
            <w:pPr>
              <w:jc w:val="both"/>
            </w:pPr>
            <w:r w:rsidRPr="00E131F5">
              <w:t xml:space="preserve">Response is relevant and </w:t>
            </w:r>
            <w:r w:rsidR="009B0B6D">
              <w:t xml:space="preserve">some aspects are </w:t>
            </w:r>
            <w:r w:rsidRPr="00E131F5">
              <w:t xml:space="preserve">acceptable. The response addresses a broad understanding of the requirement but may lack details </w:t>
            </w:r>
            <w:r w:rsidR="009B0B6D">
              <w:t xml:space="preserve">or credibility </w:t>
            </w:r>
            <w:r w:rsidRPr="00E131F5">
              <w:t>on how the requirement will be fulfilled in certain areas.</w:t>
            </w:r>
          </w:p>
          <w:p w14:paraId="50575348" w14:textId="670CA4EC" w:rsidR="00AF1914" w:rsidRPr="00E131F5" w:rsidRDefault="00AF1914" w:rsidP="00F61B2D">
            <w:pPr>
              <w:jc w:val="both"/>
              <w:rPr>
                <w:rFonts w:cstheme="minorHAnsi"/>
              </w:rPr>
            </w:pPr>
          </w:p>
        </w:tc>
      </w:tr>
      <w:tr w:rsidR="00E82752" w14:paraId="7E756C08" w14:textId="77777777" w:rsidTr="000972B2">
        <w:tc>
          <w:tcPr>
            <w:tcW w:w="3114" w:type="dxa"/>
          </w:tcPr>
          <w:p w14:paraId="10DB551A" w14:textId="77777777" w:rsidR="00AF1914" w:rsidRDefault="00AF1914" w:rsidP="00F61B2D">
            <w:pPr>
              <w:pStyle w:val="ListParagraph"/>
              <w:jc w:val="both"/>
              <w:rPr>
                <w:rFonts w:cstheme="minorHAnsi"/>
              </w:rPr>
            </w:pPr>
          </w:p>
          <w:p w14:paraId="70003CBA" w14:textId="6284847B" w:rsidR="00E82752" w:rsidRPr="00E82752" w:rsidRDefault="00E82752" w:rsidP="00F61B2D">
            <w:pPr>
              <w:pStyle w:val="ListParagraph"/>
              <w:numPr>
                <w:ilvl w:val="0"/>
                <w:numId w:val="16"/>
              </w:numPr>
              <w:jc w:val="both"/>
              <w:rPr>
                <w:rFonts w:cstheme="minorHAnsi"/>
              </w:rPr>
            </w:pPr>
            <w:r>
              <w:rPr>
                <w:rFonts w:cstheme="minorHAnsi"/>
              </w:rPr>
              <w:t>Good</w:t>
            </w:r>
          </w:p>
        </w:tc>
        <w:tc>
          <w:tcPr>
            <w:tcW w:w="6520" w:type="dxa"/>
          </w:tcPr>
          <w:p w14:paraId="08167BF1" w14:textId="77777777" w:rsidR="00AF1914" w:rsidRDefault="00AF1914" w:rsidP="00F61B2D">
            <w:pPr>
              <w:jc w:val="both"/>
              <w:rPr>
                <w:rFonts w:cstheme="minorHAnsi"/>
              </w:rPr>
            </w:pPr>
          </w:p>
          <w:p w14:paraId="28F3CBCD" w14:textId="2BDE3EA8" w:rsidR="00E82752" w:rsidRDefault="001434C2" w:rsidP="00F61B2D">
            <w:pPr>
              <w:jc w:val="both"/>
              <w:rPr>
                <w:rFonts w:cstheme="minorHAnsi"/>
              </w:rPr>
            </w:pPr>
            <w:r w:rsidRPr="00E131F5">
              <w:rPr>
                <w:rFonts w:cstheme="minorHAnsi"/>
              </w:rPr>
              <w:t>Response is relevant and good. The response is sufficiently detailed to demonstrate a good understanding and provides details on how the requirements will be fulfilled.</w:t>
            </w:r>
          </w:p>
          <w:p w14:paraId="4CC6B75E" w14:textId="5D2D2BBD" w:rsidR="00AF1914" w:rsidRPr="00E131F5" w:rsidRDefault="00AF1914" w:rsidP="00F61B2D">
            <w:pPr>
              <w:jc w:val="both"/>
              <w:rPr>
                <w:rFonts w:cstheme="minorHAnsi"/>
              </w:rPr>
            </w:pPr>
          </w:p>
        </w:tc>
      </w:tr>
      <w:tr w:rsidR="00E82752" w14:paraId="0375DFD0" w14:textId="77777777" w:rsidTr="000972B2">
        <w:tc>
          <w:tcPr>
            <w:tcW w:w="3114" w:type="dxa"/>
          </w:tcPr>
          <w:p w14:paraId="60922AE5" w14:textId="77777777" w:rsidR="00AF1914" w:rsidRDefault="00AF1914" w:rsidP="00F61B2D">
            <w:pPr>
              <w:pStyle w:val="ListParagraph"/>
              <w:jc w:val="both"/>
              <w:rPr>
                <w:rFonts w:cstheme="minorHAnsi"/>
              </w:rPr>
            </w:pPr>
          </w:p>
          <w:p w14:paraId="79BE7BC5" w14:textId="0B6265C9" w:rsidR="00E82752" w:rsidRDefault="00E82752" w:rsidP="00F61B2D">
            <w:pPr>
              <w:pStyle w:val="ListParagraph"/>
              <w:numPr>
                <w:ilvl w:val="0"/>
                <w:numId w:val="16"/>
              </w:numPr>
              <w:jc w:val="both"/>
              <w:rPr>
                <w:rFonts w:cstheme="minorHAnsi"/>
              </w:rPr>
            </w:pPr>
            <w:r>
              <w:rPr>
                <w:rFonts w:cstheme="minorHAnsi"/>
              </w:rPr>
              <w:t>Excellen</w:t>
            </w:r>
            <w:r w:rsidR="009B0B6D">
              <w:rPr>
                <w:rFonts w:cstheme="minorHAnsi"/>
              </w:rPr>
              <w:t>t</w:t>
            </w:r>
            <w:r>
              <w:rPr>
                <w:rFonts w:cstheme="minorHAnsi"/>
              </w:rPr>
              <w:t xml:space="preserve"> </w:t>
            </w:r>
          </w:p>
        </w:tc>
        <w:tc>
          <w:tcPr>
            <w:tcW w:w="6520" w:type="dxa"/>
          </w:tcPr>
          <w:p w14:paraId="66CCE883" w14:textId="77777777" w:rsidR="00AF1914" w:rsidRDefault="00AF1914" w:rsidP="00F61B2D">
            <w:pPr>
              <w:jc w:val="both"/>
              <w:rPr>
                <w:rFonts w:cstheme="minorHAnsi"/>
              </w:rPr>
            </w:pPr>
          </w:p>
          <w:p w14:paraId="70C14FAC" w14:textId="19A5F4CD" w:rsidR="00E82752" w:rsidRDefault="00E131F5" w:rsidP="00F61B2D">
            <w:pPr>
              <w:jc w:val="both"/>
              <w:rPr>
                <w:rFonts w:cstheme="minorHAnsi"/>
              </w:rPr>
            </w:pPr>
            <w:r w:rsidRPr="00E131F5">
              <w:rPr>
                <w:rFonts w:cstheme="minorHAnsi"/>
              </w:rPr>
              <w:t>Response is completely relevant and excellent overall. The response is comprehensive, unambiguous and demonstrates a thorough understanding of the requirement and provides details of how the requirement will be met in full</w:t>
            </w:r>
            <w:r w:rsidR="009B0B6D">
              <w:rPr>
                <w:rFonts w:cstheme="minorHAnsi"/>
              </w:rPr>
              <w:t xml:space="preserve"> and may also demonstrate added value</w:t>
            </w:r>
            <w:r w:rsidRPr="00E131F5">
              <w:rPr>
                <w:rFonts w:cstheme="minorHAnsi"/>
              </w:rPr>
              <w:t>.</w:t>
            </w:r>
          </w:p>
          <w:p w14:paraId="0F2B194A" w14:textId="619D75E9" w:rsidR="00AF1914" w:rsidRPr="00E131F5" w:rsidRDefault="00AF1914" w:rsidP="00F61B2D">
            <w:pPr>
              <w:jc w:val="both"/>
              <w:rPr>
                <w:rFonts w:cstheme="minorHAnsi"/>
              </w:rPr>
            </w:pPr>
          </w:p>
        </w:tc>
      </w:tr>
    </w:tbl>
    <w:p w14:paraId="5C17DD51" w14:textId="77777777" w:rsidR="00E82752" w:rsidRDefault="00E82752" w:rsidP="00F61B2D">
      <w:pPr>
        <w:spacing w:after="0" w:line="240" w:lineRule="auto"/>
        <w:jc w:val="both"/>
        <w:rPr>
          <w:rFonts w:cstheme="minorHAnsi"/>
        </w:rPr>
      </w:pPr>
    </w:p>
    <w:p w14:paraId="0B8D3E85" w14:textId="030493A8" w:rsidR="00AA77D2" w:rsidRPr="00AA77D2" w:rsidRDefault="00A16085" w:rsidP="000972B2">
      <w:pPr>
        <w:pStyle w:val="Heading2"/>
        <w:spacing w:before="0" w:line="240" w:lineRule="auto"/>
      </w:pPr>
      <w:bookmarkStart w:id="35" w:name="_Toc110425086"/>
      <w:r>
        <w:t>5.</w:t>
      </w:r>
      <w:r w:rsidR="005105DB">
        <w:t>4</w:t>
      </w:r>
      <w:r w:rsidR="00AB35A8" w:rsidRPr="002B7171">
        <w:t xml:space="preserve"> </w:t>
      </w:r>
      <w:r w:rsidR="005105DB">
        <w:t>Moderation and Application of Weightings</w:t>
      </w:r>
      <w:bookmarkEnd w:id="35"/>
      <w:r w:rsidR="00647754">
        <w:t xml:space="preserve"> </w:t>
      </w:r>
      <w:r w:rsidR="00BC33E7">
        <w:t xml:space="preserve"> </w:t>
      </w:r>
    </w:p>
    <w:p w14:paraId="733E4A47" w14:textId="463BFED5" w:rsidR="001D33DA" w:rsidRDefault="0056244B" w:rsidP="00F61B2D">
      <w:pPr>
        <w:spacing w:after="0" w:line="240" w:lineRule="auto"/>
        <w:jc w:val="both"/>
        <w:rPr>
          <w:rFonts w:cstheme="minorHAnsi"/>
        </w:rPr>
      </w:pPr>
      <w:r w:rsidRPr="00DF4A34">
        <w:rPr>
          <w:rFonts w:cstheme="minorHAnsi"/>
        </w:rPr>
        <w:t xml:space="preserve">The evaluation panel appointed for this procurement will meet to agree and moderate scores for </w:t>
      </w:r>
      <w:proofErr w:type="gramStart"/>
      <w:r w:rsidRPr="00DF4A34">
        <w:rPr>
          <w:rFonts w:cstheme="minorHAnsi"/>
        </w:rPr>
        <w:t xml:space="preserve">each </w:t>
      </w:r>
      <w:r w:rsidR="00605114">
        <w:rPr>
          <w:rFonts w:cstheme="minorHAnsi"/>
        </w:rPr>
        <w:t xml:space="preserve"> scored</w:t>
      </w:r>
      <w:proofErr w:type="gramEnd"/>
      <w:r w:rsidR="00605114">
        <w:rPr>
          <w:rFonts w:cstheme="minorHAnsi"/>
        </w:rPr>
        <w:t xml:space="preserve"> tender question</w:t>
      </w:r>
      <w:r w:rsidR="00357688" w:rsidRPr="00DF4A34">
        <w:rPr>
          <w:rFonts w:cstheme="minorHAnsi"/>
        </w:rPr>
        <w:t>, where there is a difference of 1 or more points between scores awarded by the panel members</w:t>
      </w:r>
      <w:r w:rsidRPr="00DF4A34">
        <w:rPr>
          <w:rFonts w:cstheme="minorHAnsi"/>
        </w:rPr>
        <w:t>.</w:t>
      </w:r>
      <w:r w:rsidR="001D33DA" w:rsidRPr="00DF4A34">
        <w:rPr>
          <w:rFonts w:cstheme="minorHAnsi"/>
        </w:rPr>
        <w:t xml:space="preserve"> </w:t>
      </w:r>
      <w:r w:rsidR="005105DB" w:rsidRPr="00DF4A34">
        <w:rPr>
          <w:rFonts w:cstheme="minorHAnsi"/>
        </w:rPr>
        <w:t>The</w:t>
      </w:r>
      <w:r w:rsidR="001D33DA" w:rsidRPr="00DF4A34">
        <w:rPr>
          <w:rFonts w:cstheme="minorHAnsi"/>
        </w:rPr>
        <w:t xml:space="preserve"> panel </w:t>
      </w:r>
      <w:r w:rsidR="005105DB" w:rsidRPr="00DF4A34">
        <w:rPr>
          <w:rFonts w:cstheme="minorHAnsi"/>
        </w:rPr>
        <w:t xml:space="preserve">members </w:t>
      </w:r>
      <w:r w:rsidR="001D33DA" w:rsidRPr="00DF4A34">
        <w:rPr>
          <w:rFonts w:cstheme="minorHAnsi"/>
        </w:rPr>
        <w:t>will discuss the rationale for their scoring with each other and subsequently may choose to review their scores</w:t>
      </w:r>
      <w:r w:rsidR="00605114">
        <w:rPr>
          <w:rFonts w:cstheme="minorHAnsi"/>
        </w:rPr>
        <w:t xml:space="preserve"> in order to reach a consensus score for each </w:t>
      </w:r>
      <w:proofErr w:type="gramStart"/>
      <w:r w:rsidR="00605114">
        <w:rPr>
          <w:rFonts w:cstheme="minorHAnsi"/>
        </w:rPr>
        <w:t xml:space="preserve">question </w:t>
      </w:r>
      <w:r w:rsidR="001D33DA" w:rsidRPr="00DF4A34">
        <w:rPr>
          <w:rFonts w:cstheme="minorHAnsi"/>
        </w:rPr>
        <w:t>.</w:t>
      </w:r>
      <w:proofErr w:type="gramEnd"/>
      <w:r w:rsidR="001D33DA" w:rsidRPr="00DF4A34">
        <w:rPr>
          <w:rFonts w:cstheme="minorHAnsi"/>
        </w:rPr>
        <w:t xml:space="preserve">  </w:t>
      </w:r>
    </w:p>
    <w:p w14:paraId="176751F6" w14:textId="77777777" w:rsidR="00AA77D2" w:rsidRPr="00DF4A34" w:rsidRDefault="00AA77D2" w:rsidP="00F61B2D">
      <w:pPr>
        <w:spacing w:after="0" w:line="240" w:lineRule="auto"/>
        <w:jc w:val="both"/>
        <w:rPr>
          <w:rFonts w:cstheme="minorHAnsi"/>
        </w:rPr>
      </w:pPr>
    </w:p>
    <w:p w14:paraId="1C98106A" w14:textId="4E85651E" w:rsidR="00605114" w:rsidRDefault="00605114" w:rsidP="00F61B2D">
      <w:pPr>
        <w:spacing w:after="0" w:line="240" w:lineRule="auto"/>
        <w:jc w:val="both"/>
        <w:rPr>
          <w:rFonts w:ascii="Arial" w:hAnsi="Arial" w:cs="Arial"/>
          <w:b/>
          <w:sz w:val="20"/>
        </w:rPr>
      </w:pPr>
      <w:r>
        <w:rPr>
          <w:rFonts w:cstheme="minorHAnsi"/>
        </w:rPr>
        <w:t xml:space="preserve">The final </w:t>
      </w:r>
      <w:r w:rsidR="001000A3">
        <w:rPr>
          <w:rFonts w:cstheme="minorHAnsi"/>
        </w:rPr>
        <w:t>s</w:t>
      </w:r>
      <w:r>
        <w:rPr>
          <w:rFonts w:cstheme="minorHAnsi"/>
        </w:rPr>
        <w:t xml:space="preserve">cores </w:t>
      </w:r>
      <w:r w:rsidR="005105DB" w:rsidRPr="005105DB">
        <w:rPr>
          <w:rFonts w:cstheme="minorHAnsi"/>
        </w:rPr>
        <w:t xml:space="preserve">will be obtained by applying the relevant weighting factors set out </w:t>
      </w:r>
      <w:r w:rsidR="005105DB">
        <w:rPr>
          <w:rFonts w:cstheme="minorHAnsi"/>
        </w:rPr>
        <w:t>in the award criteria table</w:t>
      </w:r>
      <w:r w:rsidR="005105DB" w:rsidRPr="005105DB">
        <w:rPr>
          <w:rFonts w:cstheme="minorHAnsi"/>
        </w:rPr>
        <w:t>. The percentage scores for each award criteria will be amalgamated to give a percentage score out of 100.</w:t>
      </w:r>
      <w:r w:rsidR="005105DB" w:rsidRPr="00B5487E">
        <w:rPr>
          <w:rFonts w:ascii="Arial" w:hAnsi="Arial" w:cs="Arial"/>
          <w:b/>
          <w:sz w:val="20"/>
        </w:rPr>
        <w:t xml:space="preserve"> </w:t>
      </w:r>
    </w:p>
    <w:p w14:paraId="7EF598BE" w14:textId="77777777" w:rsidR="00605114" w:rsidRDefault="00605114" w:rsidP="00F61B2D">
      <w:pPr>
        <w:spacing w:after="0" w:line="240" w:lineRule="auto"/>
        <w:jc w:val="both"/>
        <w:rPr>
          <w:rFonts w:ascii="Arial" w:hAnsi="Arial" w:cs="Arial"/>
          <w:b/>
          <w:sz w:val="20"/>
        </w:rPr>
      </w:pPr>
    </w:p>
    <w:p w14:paraId="3BFA6ABC" w14:textId="77777777" w:rsidR="00280CF8" w:rsidRDefault="00280CF8" w:rsidP="00F61B2D">
      <w:pPr>
        <w:spacing w:after="0" w:line="240" w:lineRule="auto"/>
        <w:jc w:val="both"/>
        <w:rPr>
          <w:rFonts w:cstheme="minorHAnsi"/>
        </w:rPr>
      </w:pPr>
    </w:p>
    <w:p w14:paraId="3CC4C5C5" w14:textId="4716EE4D" w:rsidR="00050E5A" w:rsidRPr="00146FCD" w:rsidRDefault="00A16085" w:rsidP="00F61B2D">
      <w:pPr>
        <w:pStyle w:val="Heading2"/>
        <w:spacing w:before="0" w:line="240" w:lineRule="auto"/>
      </w:pPr>
      <w:bookmarkStart w:id="36" w:name="_Toc110425088"/>
      <w:r>
        <w:t>5.</w:t>
      </w:r>
      <w:r w:rsidR="00B72BCF">
        <w:t>5</w:t>
      </w:r>
      <w:r w:rsidR="00AB35A8" w:rsidRPr="00146FCD">
        <w:t xml:space="preserve"> </w:t>
      </w:r>
      <w:r w:rsidR="00050E5A" w:rsidRPr="00146FCD">
        <w:t>The winning Tender response</w:t>
      </w:r>
      <w:bookmarkEnd w:id="36"/>
      <w:r w:rsidR="00050E5A" w:rsidRPr="00146FCD">
        <w:t xml:space="preserve"> </w:t>
      </w:r>
    </w:p>
    <w:p w14:paraId="63E3EC35" w14:textId="55C0E413" w:rsidR="005054C9" w:rsidRDefault="005054C9" w:rsidP="00F61B2D">
      <w:pPr>
        <w:spacing w:after="0" w:line="240" w:lineRule="auto"/>
        <w:jc w:val="both"/>
        <w:rPr>
          <w:rFonts w:cstheme="minorHAnsi"/>
        </w:rPr>
      </w:pPr>
      <w:r>
        <w:rPr>
          <w:rFonts w:cstheme="minorHAnsi"/>
        </w:rPr>
        <w:t xml:space="preserve">The winning Tender response shall be the Tender response scoring the highest percentage score out of 100. All bidders will be notified of the outcome of the evaluation and will be issued with and Award Decision Notice following which a standstill period will take place prior to the Authority </w:t>
      </w:r>
      <w:proofErr w:type="gramStart"/>
      <w:r>
        <w:rPr>
          <w:rFonts w:cstheme="minorHAnsi"/>
        </w:rPr>
        <w:t>entering into</w:t>
      </w:r>
      <w:proofErr w:type="gramEnd"/>
      <w:r>
        <w:rPr>
          <w:rFonts w:cstheme="minorHAnsi"/>
        </w:rPr>
        <w:t xml:space="preserve"> the Contract with the winning bidder.</w:t>
      </w:r>
    </w:p>
    <w:p w14:paraId="399DEB13" w14:textId="77777777" w:rsidR="005B679F" w:rsidRPr="005054C9" w:rsidRDefault="005B679F" w:rsidP="00F61B2D">
      <w:pPr>
        <w:spacing w:after="0" w:line="240" w:lineRule="auto"/>
        <w:jc w:val="both"/>
        <w:rPr>
          <w:rFonts w:cstheme="minorHAnsi"/>
        </w:rPr>
      </w:pPr>
    </w:p>
    <w:p w14:paraId="479F4515" w14:textId="637AF678" w:rsidR="008253BE" w:rsidRPr="00E3458A" w:rsidRDefault="00A16085" w:rsidP="003D6A3A">
      <w:pPr>
        <w:pStyle w:val="Heading1"/>
        <w:rPr>
          <w:rFonts w:eastAsia="Times New Roman"/>
        </w:rPr>
      </w:pPr>
      <w:bookmarkStart w:id="37" w:name="_Toc72157999"/>
      <w:bookmarkStart w:id="38" w:name="_Toc110425089"/>
      <w:r>
        <w:rPr>
          <w:rFonts w:eastAsia="Times New Roman"/>
        </w:rPr>
        <w:t>6</w:t>
      </w:r>
      <w:r w:rsidR="007B00C9" w:rsidRPr="00E3458A">
        <w:rPr>
          <w:rFonts w:eastAsia="Times New Roman"/>
        </w:rPr>
        <w:t xml:space="preserve">. </w:t>
      </w:r>
      <w:bookmarkEnd w:id="37"/>
      <w:r w:rsidR="008253BE" w:rsidRPr="00E3458A">
        <w:rPr>
          <w:rFonts w:eastAsia="Times New Roman"/>
        </w:rPr>
        <w:t>Procurement Rules</w:t>
      </w:r>
      <w:bookmarkEnd w:id="38"/>
    </w:p>
    <w:p w14:paraId="442A1CFB" w14:textId="41E767E0" w:rsidR="008253BE" w:rsidRPr="00E3458A" w:rsidRDefault="00A16085" w:rsidP="00F61B2D">
      <w:pPr>
        <w:pStyle w:val="Heading2"/>
        <w:spacing w:before="0" w:line="240" w:lineRule="auto"/>
      </w:pPr>
      <w:bookmarkStart w:id="39" w:name="_Toc110425090"/>
      <w:r>
        <w:t>6</w:t>
      </w:r>
      <w:r w:rsidR="007B00C9" w:rsidRPr="00E3458A">
        <w:t xml:space="preserve">.1 </w:t>
      </w:r>
      <w:r w:rsidR="008253BE" w:rsidRPr="00E3458A">
        <w:t>Publicity</w:t>
      </w:r>
      <w:bookmarkEnd w:id="39"/>
      <w:r w:rsidR="008253BE" w:rsidRPr="00E3458A">
        <w:t xml:space="preserve"> </w:t>
      </w:r>
    </w:p>
    <w:p w14:paraId="7A7B26D5" w14:textId="339DC5E1" w:rsidR="008253BE" w:rsidRDefault="008253BE" w:rsidP="00F61B2D">
      <w:pPr>
        <w:spacing w:after="0" w:line="240" w:lineRule="auto"/>
        <w:jc w:val="both"/>
        <w:rPr>
          <w:rFonts w:cstheme="minorHAnsi"/>
        </w:rPr>
      </w:pPr>
      <w:r w:rsidRPr="00950D08">
        <w:rPr>
          <w:rFonts w:cstheme="minorHAnsi"/>
        </w:rPr>
        <w:t xml:space="preserve">No publicity regarding the award of any contract will be permitted unless and until the Authority has given express written consent to the relevant communication. </w:t>
      </w:r>
      <w:r w:rsidR="00950D08">
        <w:rPr>
          <w:rFonts w:cstheme="minorHAnsi"/>
        </w:rPr>
        <w:t>N</w:t>
      </w:r>
      <w:r w:rsidRPr="00950D08">
        <w:rPr>
          <w:rFonts w:cstheme="minorHAnsi"/>
        </w:rPr>
        <w:t xml:space="preserve">o statements may be made to the media regarding the nature of </w:t>
      </w:r>
      <w:r w:rsidR="00950D08">
        <w:rPr>
          <w:rFonts w:cstheme="minorHAnsi"/>
        </w:rPr>
        <w:t xml:space="preserve">the </w:t>
      </w:r>
      <w:r w:rsidRPr="00950D08">
        <w:rPr>
          <w:rFonts w:cstheme="minorHAnsi"/>
        </w:rPr>
        <w:t>Tender, its contents or any proposals relating to it without the prior written consent of the Authority.</w:t>
      </w:r>
    </w:p>
    <w:p w14:paraId="46BD1B02" w14:textId="77777777" w:rsidR="005B679F" w:rsidRPr="00950D08" w:rsidRDefault="005B679F" w:rsidP="00F61B2D">
      <w:pPr>
        <w:spacing w:after="0" w:line="240" w:lineRule="auto"/>
        <w:jc w:val="both"/>
        <w:rPr>
          <w:rFonts w:cstheme="minorHAnsi"/>
        </w:rPr>
      </w:pPr>
    </w:p>
    <w:p w14:paraId="618D9FCE" w14:textId="0E722A8E" w:rsidR="008253BE" w:rsidRPr="00E3458A" w:rsidRDefault="00A16085" w:rsidP="00F61B2D">
      <w:pPr>
        <w:pStyle w:val="Heading2"/>
        <w:spacing w:before="0" w:line="240" w:lineRule="auto"/>
      </w:pPr>
      <w:bookmarkStart w:id="40" w:name="_Toc110425091"/>
      <w:r>
        <w:t>6</w:t>
      </w:r>
      <w:r w:rsidR="007B00C9" w:rsidRPr="00E3458A">
        <w:t xml:space="preserve">.2 </w:t>
      </w:r>
      <w:r w:rsidR="008253BE" w:rsidRPr="00E3458A">
        <w:t>Bidder conduct and conflicts of interest</w:t>
      </w:r>
      <w:bookmarkEnd w:id="40"/>
      <w:r w:rsidR="008253BE" w:rsidRPr="00E3458A">
        <w:t xml:space="preserve"> </w:t>
      </w:r>
    </w:p>
    <w:p w14:paraId="1138875E" w14:textId="77777777" w:rsidR="008253BE" w:rsidRPr="009935B9" w:rsidRDefault="008253BE" w:rsidP="00F61B2D">
      <w:pPr>
        <w:spacing w:after="0" w:line="240" w:lineRule="auto"/>
        <w:jc w:val="both"/>
        <w:rPr>
          <w:rFonts w:cstheme="minorHAnsi"/>
        </w:rPr>
      </w:pPr>
      <w:r w:rsidRPr="009935B9">
        <w:rPr>
          <w:rFonts w:cstheme="minorHAnsi"/>
        </w:rPr>
        <w:t>Any attempt by Bidders or their advisors to influence the contract award process in any way may result in the Bidder being disqualified. Specifically, Bidders shall not directly or indirectly at any time:</w:t>
      </w:r>
    </w:p>
    <w:p w14:paraId="40ADD958" w14:textId="77777777" w:rsidR="008253BE" w:rsidRPr="008B1AF1" w:rsidRDefault="008253BE" w:rsidP="00F61B2D">
      <w:pPr>
        <w:pStyle w:val="ListParagraph"/>
        <w:numPr>
          <w:ilvl w:val="1"/>
          <w:numId w:val="56"/>
        </w:numPr>
        <w:spacing w:after="0" w:line="240" w:lineRule="auto"/>
        <w:ind w:left="426"/>
        <w:jc w:val="both"/>
        <w:rPr>
          <w:rFonts w:cstheme="minorHAnsi"/>
        </w:rPr>
      </w:pPr>
      <w:r w:rsidRPr="008B1AF1">
        <w:rPr>
          <w:rFonts w:cstheme="minorHAnsi"/>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8B1AF1">
        <w:rPr>
          <w:rFonts w:cstheme="minorHAnsi"/>
        </w:rPr>
        <w:t>finance;</w:t>
      </w:r>
      <w:proofErr w:type="gramEnd"/>
    </w:p>
    <w:p w14:paraId="6877E7A6" w14:textId="77777777" w:rsidR="008253BE" w:rsidRPr="008B1AF1" w:rsidRDefault="008253BE" w:rsidP="00F61B2D">
      <w:pPr>
        <w:pStyle w:val="ListParagraph"/>
        <w:numPr>
          <w:ilvl w:val="1"/>
          <w:numId w:val="56"/>
        </w:numPr>
        <w:spacing w:after="0" w:line="240" w:lineRule="auto"/>
        <w:ind w:left="426"/>
        <w:jc w:val="both"/>
        <w:rPr>
          <w:rFonts w:cstheme="minorHAnsi"/>
        </w:rPr>
      </w:pPr>
      <w:r w:rsidRPr="008B1AF1">
        <w:rPr>
          <w:rFonts w:cstheme="minorHAnsi"/>
        </w:rPr>
        <w:lastRenderedPageBreak/>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8B1AF1">
        <w:rPr>
          <w:rFonts w:cstheme="minorHAnsi"/>
        </w:rPr>
        <w:t>Tender;</w:t>
      </w:r>
      <w:proofErr w:type="gramEnd"/>
    </w:p>
    <w:p w14:paraId="61D70751" w14:textId="77777777" w:rsidR="00471B75" w:rsidRDefault="008253BE" w:rsidP="00F61B2D">
      <w:pPr>
        <w:pStyle w:val="ListParagraph"/>
        <w:numPr>
          <w:ilvl w:val="1"/>
          <w:numId w:val="56"/>
        </w:numPr>
        <w:spacing w:after="0" w:line="240" w:lineRule="auto"/>
        <w:ind w:left="426"/>
        <w:jc w:val="both"/>
        <w:rPr>
          <w:rFonts w:cstheme="minorHAnsi"/>
        </w:rPr>
      </w:pPr>
      <w:r w:rsidRPr="008B1AF1">
        <w:rPr>
          <w:rFonts w:cstheme="minorHAnsi"/>
        </w:rPr>
        <w:t xml:space="preserve">enter into any agreement or arrangement with any other person that has the effect of prohibiting or excluding that person from submitting a </w:t>
      </w:r>
      <w:proofErr w:type="gramStart"/>
      <w:r w:rsidRPr="008B1AF1">
        <w:rPr>
          <w:rFonts w:cstheme="minorHAnsi"/>
        </w:rPr>
        <w:t>Tender;</w:t>
      </w:r>
      <w:proofErr w:type="gramEnd"/>
      <w:r w:rsidRPr="008B1AF1">
        <w:rPr>
          <w:rFonts w:cstheme="minorHAnsi"/>
        </w:rPr>
        <w:t xml:space="preserve">    </w:t>
      </w:r>
    </w:p>
    <w:p w14:paraId="5AFEAD9C" w14:textId="195EB874" w:rsidR="008253BE" w:rsidRPr="008B1AF1" w:rsidRDefault="008253BE" w:rsidP="00F61B2D">
      <w:pPr>
        <w:pStyle w:val="ListParagraph"/>
        <w:numPr>
          <w:ilvl w:val="1"/>
          <w:numId w:val="56"/>
        </w:numPr>
        <w:spacing w:after="0" w:line="240" w:lineRule="auto"/>
        <w:ind w:left="426"/>
        <w:jc w:val="both"/>
        <w:rPr>
          <w:rFonts w:cstheme="minorHAnsi"/>
        </w:rPr>
      </w:pPr>
      <w:r w:rsidRPr="008B1AF1">
        <w:rPr>
          <w:rFonts w:cstheme="minorHAnsi"/>
        </w:rPr>
        <w:t>canvass the Authority or any employees or agents of the Authority</w:t>
      </w:r>
      <w:r w:rsidR="00A65FC7">
        <w:rPr>
          <w:rFonts w:cstheme="minorHAnsi"/>
        </w:rPr>
        <w:t xml:space="preserve"> or funders</w:t>
      </w:r>
      <w:r w:rsidRPr="008B1AF1">
        <w:rPr>
          <w:rFonts w:cstheme="minorHAnsi"/>
        </w:rPr>
        <w:t xml:space="preserve"> in relation to this </w:t>
      </w:r>
      <w:proofErr w:type="gramStart"/>
      <w:r w:rsidRPr="008B1AF1">
        <w:rPr>
          <w:rFonts w:cstheme="minorHAnsi"/>
        </w:rPr>
        <w:t xml:space="preserve">procurement;   </w:t>
      </w:r>
      <w:proofErr w:type="gramEnd"/>
      <w:r w:rsidRPr="008B1AF1">
        <w:rPr>
          <w:rFonts w:cstheme="minorHAnsi"/>
        </w:rPr>
        <w:t>and/or</w:t>
      </w:r>
    </w:p>
    <w:p w14:paraId="77571F7F" w14:textId="77777777" w:rsidR="008253BE" w:rsidRPr="008B1AF1" w:rsidRDefault="008253BE" w:rsidP="00F61B2D">
      <w:pPr>
        <w:pStyle w:val="ListParagraph"/>
        <w:numPr>
          <w:ilvl w:val="1"/>
          <w:numId w:val="56"/>
        </w:numPr>
        <w:spacing w:after="0" w:line="240" w:lineRule="auto"/>
        <w:ind w:left="426"/>
        <w:jc w:val="both"/>
        <w:rPr>
          <w:rFonts w:cstheme="minorHAnsi"/>
        </w:rPr>
      </w:pPr>
      <w:r w:rsidRPr="008B1AF1">
        <w:rPr>
          <w:rFonts w:cstheme="minorHAnsi"/>
        </w:rPr>
        <w:t>attempt to obtain information from any of the employees or agents of the Authority or their advisors concerning another Bidder or Tender (except for debrief information requests made through the e-Tendering    Portal).</w:t>
      </w:r>
    </w:p>
    <w:p w14:paraId="23C1066B" w14:textId="77777777" w:rsidR="00471B75" w:rsidRDefault="00471B75" w:rsidP="00540B8E">
      <w:pPr>
        <w:spacing w:after="0" w:line="240" w:lineRule="auto"/>
        <w:ind w:left="66"/>
        <w:jc w:val="both"/>
        <w:rPr>
          <w:rFonts w:cstheme="minorHAnsi"/>
        </w:rPr>
      </w:pPr>
    </w:p>
    <w:p w14:paraId="5C59C462" w14:textId="79894FA3" w:rsidR="008253BE" w:rsidRPr="00376735" w:rsidRDefault="00A65FC7" w:rsidP="00540B8E">
      <w:pPr>
        <w:spacing w:after="0" w:line="240" w:lineRule="auto"/>
        <w:ind w:left="66"/>
        <w:jc w:val="both"/>
        <w:rPr>
          <w:rFonts w:cstheme="minorHAnsi"/>
        </w:rPr>
      </w:pPr>
      <w:proofErr w:type="gramStart"/>
      <w:r w:rsidRPr="008F7BB4">
        <w:rPr>
          <w:rFonts w:cstheme="minorHAnsi"/>
        </w:rPr>
        <w:t>Where ever</w:t>
      </w:r>
      <w:proofErr w:type="gramEnd"/>
      <w:r w:rsidRPr="008F7BB4">
        <w:rPr>
          <w:rFonts w:cstheme="minorHAnsi"/>
        </w:rPr>
        <w:t xml:space="preserve"> possible b</w:t>
      </w:r>
      <w:r w:rsidR="008253BE" w:rsidRPr="00AC1802">
        <w:rPr>
          <w:rFonts w:cstheme="minorHAnsi"/>
        </w:rPr>
        <w:t>idders are responsible for ensuring that no conflicts of interest exist between the Bidder and its advisers, and the Authority and its advisors. Bidders should notify the Authority promptly of any possible conflict and the proposed steps that the Bidder be</w:t>
      </w:r>
      <w:r w:rsidR="008253BE" w:rsidRPr="00376735">
        <w:rPr>
          <w:rFonts w:cstheme="minorHAnsi"/>
        </w:rPr>
        <w:t>lieves can be taken to avoid the conflict. Any Bidder who fails to comply with these requirements may be excluded from the procurement at the discretion of the Authority.</w:t>
      </w:r>
    </w:p>
    <w:p w14:paraId="55C0BC2E" w14:textId="77777777" w:rsidR="005B679F" w:rsidRPr="009B125C" w:rsidRDefault="005B679F" w:rsidP="005B679F">
      <w:pPr>
        <w:pStyle w:val="ListParagraph"/>
        <w:spacing w:after="0" w:line="240" w:lineRule="auto"/>
        <w:ind w:left="426"/>
        <w:jc w:val="both"/>
        <w:rPr>
          <w:rFonts w:cstheme="minorHAnsi"/>
        </w:rPr>
      </w:pPr>
    </w:p>
    <w:p w14:paraId="7ACFD557" w14:textId="2AD2D8E5" w:rsidR="008253BE" w:rsidRPr="00E3458A" w:rsidRDefault="00A16085" w:rsidP="00F61B2D">
      <w:pPr>
        <w:pStyle w:val="Heading2"/>
        <w:spacing w:before="0" w:line="240" w:lineRule="auto"/>
      </w:pPr>
      <w:bookmarkStart w:id="41" w:name="_Toc110425092"/>
      <w:r>
        <w:t>6</w:t>
      </w:r>
      <w:r w:rsidR="007B00C9" w:rsidRPr="00E3458A">
        <w:t xml:space="preserve">.3 </w:t>
      </w:r>
      <w:r w:rsidR="008253BE" w:rsidRPr="00E3458A">
        <w:t>Authority’s right</w:t>
      </w:r>
      <w:bookmarkEnd w:id="41"/>
      <w:r w:rsidR="008253BE" w:rsidRPr="00E3458A">
        <w:t xml:space="preserve"> </w:t>
      </w:r>
    </w:p>
    <w:p w14:paraId="12386079" w14:textId="77777777" w:rsidR="008253BE" w:rsidRPr="00303D8D" w:rsidRDefault="008253BE" w:rsidP="00F61B2D">
      <w:pPr>
        <w:spacing w:after="0" w:line="240" w:lineRule="auto"/>
        <w:jc w:val="both"/>
        <w:rPr>
          <w:rFonts w:cstheme="minorHAnsi"/>
        </w:rPr>
      </w:pPr>
      <w:r w:rsidRPr="00303D8D">
        <w:rPr>
          <w:rFonts w:cstheme="minorHAnsi"/>
        </w:rPr>
        <w:t xml:space="preserve">Subject to its obligations to act in a transparent, </w:t>
      </w:r>
      <w:proofErr w:type="gramStart"/>
      <w:r w:rsidRPr="00303D8D">
        <w:rPr>
          <w:rFonts w:cstheme="minorHAnsi"/>
        </w:rPr>
        <w:t>proportionate</w:t>
      </w:r>
      <w:proofErr w:type="gramEnd"/>
      <w:r w:rsidRPr="00303D8D">
        <w:rPr>
          <w:rFonts w:cstheme="minorHAnsi"/>
        </w:rPr>
        <w:t xml:space="preserve"> and non-discriminatory manner, the Authority reserves the right to:</w:t>
      </w:r>
    </w:p>
    <w:p w14:paraId="17D9AACC" w14:textId="77777777" w:rsidR="008253BE" w:rsidRPr="00303D8D"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waive or change the requirements of this ITT from time to time; seek clarification or documents in respect of a Bidder's </w:t>
      </w:r>
      <w:proofErr w:type="gramStart"/>
      <w:r w:rsidRPr="00303D8D">
        <w:rPr>
          <w:rFonts w:cstheme="minorHAnsi"/>
        </w:rPr>
        <w:t>submission;</w:t>
      </w:r>
      <w:proofErr w:type="gramEnd"/>
    </w:p>
    <w:p w14:paraId="147A075D" w14:textId="77777777" w:rsidR="008253BE" w:rsidRPr="00303D8D"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disqualify any Bidder that does not submit a compliant Tender in accordance with the instructions in this </w:t>
      </w:r>
      <w:proofErr w:type="gramStart"/>
      <w:r w:rsidRPr="00303D8D">
        <w:rPr>
          <w:rFonts w:cstheme="minorHAnsi"/>
        </w:rPr>
        <w:t>ITT;</w:t>
      </w:r>
      <w:proofErr w:type="gramEnd"/>
      <w:r w:rsidRPr="00303D8D">
        <w:rPr>
          <w:rFonts w:cstheme="minorHAnsi"/>
        </w:rPr>
        <w:t xml:space="preserve"> </w:t>
      </w:r>
    </w:p>
    <w:p w14:paraId="2879378E" w14:textId="77777777" w:rsidR="008253BE" w:rsidRPr="00303D8D"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disqualify any Bidder that is guilty of serious misrepresentation in relation to its Tender or the Tender </w:t>
      </w:r>
      <w:proofErr w:type="gramStart"/>
      <w:r w:rsidRPr="00303D8D">
        <w:rPr>
          <w:rFonts w:cstheme="minorHAnsi"/>
        </w:rPr>
        <w:t>process;</w:t>
      </w:r>
      <w:proofErr w:type="gramEnd"/>
      <w:r w:rsidRPr="00303D8D">
        <w:rPr>
          <w:rFonts w:cstheme="minorHAnsi"/>
        </w:rPr>
        <w:t xml:space="preserve"> </w:t>
      </w:r>
    </w:p>
    <w:p w14:paraId="4D5501FA" w14:textId="77777777" w:rsidR="008253BE" w:rsidRPr="00303D8D"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withdraw this ITT at any time, or re-invite Tenders on the same or any alternative </w:t>
      </w:r>
      <w:proofErr w:type="gramStart"/>
      <w:r w:rsidRPr="00303D8D">
        <w:rPr>
          <w:rFonts w:cstheme="minorHAnsi"/>
        </w:rPr>
        <w:t>basis;</w:t>
      </w:r>
      <w:proofErr w:type="gramEnd"/>
    </w:p>
    <w:p w14:paraId="5139A0EC" w14:textId="77777777" w:rsidR="008253BE" w:rsidRPr="00303D8D"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choose not to award any contract </w:t>
      </w:r>
      <w:proofErr w:type="gramStart"/>
      <w:r w:rsidRPr="00303D8D">
        <w:rPr>
          <w:rFonts w:cstheme="minorHAnsi"/>
        </w:rPr>
        <w:t>as a result of</w:t>
      </w:r>
      <w:proofErr w:type="gramEnd"/>
      <w:r w:rsidRPr="00303D8D">
        <w:rPr>
          <w:rFonts w:cstheme="minorHAnsi"/>
        </w:rPr>
        <w:t xml:space="preserve"> the current procurement process; and</w:t>
      </w:r>
    </w:p>
    <w:p w14:paraId="2ADF540E" w14:textId="77777777" w:rsidR="008253BE" w:rsidRDefault="008253BE" w:rsidP="00F61B2D">
      <w:pPr>
        <w:pStyle w:val="ListParagraph"/>
        <w:numPr>
          <w:ilvl w:val="0"/>
          <w:numId w:val="14"/>
        </w:numPr>
        <w:spacing w:after="0" w:line="240" w:lineRule="auto"/>
        <w:ind w:left="426"/>
        <w:jc w:val="both"/>
        <w:rPr>
          <w:rFonts w:cstheme="minorHAnsi"/>
        </w:rPr>
      </w:pPr>
      <w:r w:rsidRPr="00303D8D">
        <w:rPr>
          <w:rFonts w:cstheme="minorHAnsi"/>
        </w:rPr>
        <w:t xml:space="preserve">make whatever changes it sees fit to the timetable, </w:t>
      </w:r>
      <w:proofErr w:type="gramStart"/>
      <w:r w:rsidRPr="00303D8D">
        <w:rPr>
          <w:rFonts w:cstheme="minorHAnsi"/>
        </w:rPr>
        <w:t>structure</w:t>
      </w:r>
      <w:proofErr w:type="gramEnd"/>
      <w:r w:rsidRPr="00303D8D">
        <w:rPr>
          <w:rFonts w:cstheme="minorHAnsi"/>
        </w:rPr>
        <w:t xml:space="preserve"> or content of the procurement process.</w:t>
      </w:r>
    </w:p>
    <w:p w14:paraId="54A85A27" w14:textId="77777777" w:rsidR="008253BE" w:rsidRDefault="008253BE" w:rsidP="00F61B2D">
      <w:pPr>
        <w:pStyle w:val="ListParagraph"/>
        <w:spacing w:after="0" w:line="240" w:lineRule="auto"/>
        <w:jc w:val="both"/>
        <w:rPr>
          <w:rFonts w:cstheme="minorHAnsi"/>
        </w:rPr>
      </w:pPr>
    </w:p>
    <w:p w14:paraId="5997656E" w14:textId="0274194C" w:rsidR="008253BE" w:rsidRPr="00146FCD" w:rsidRDefault="00A16085" w:rsidP="00F61B2D">
      <w:pPr>
        <w:pStyle w:val="Heading2"/>
        <w:spacing w:before="0" w:line="240" w:lineRule="auto"/>
      </w:pPr>
      <w:bookmarkStart w:id="42" w:name="_Toc110425093"/>
      <w:r>
        <w:t>6</w:t>
      </w:r>
      <w:r w:rsidR="007B00C9" w:rsidRPr="00146FCD">
        <w:t xml:space="preserve">.4 </w:t>
      </w:r>
      <w:r w:rsidR="008253BE" w:rsidRPr="00146FCD">
        <w:t>Bid costs</w:t>
      </w:r>
      <w:bookmarkEnd w:id="42"/>
      <w:r w:rsidR="008253BE" w:rsidRPr="00146FCD">
        <w:t xml:space="preserve"> </w:t>
      </w:r>
    </w:p>
    <w:p w14:paraId="201B0FF2" w14:textId="1A7901E3" w:rsidR="008253BE" w:rsidRDefault="008253BE" w:rsidP="00F61B2D">
      <w:pPr>
        <w:spacing w:after="0" w:line="240" w:lineRule="auto"/>
        <w:jc w:val="both"/>
        <w:rPr>
          <w:rFonts w:cstheme="minorHAnsi"/>
        </w:rPr>
      </w:pPr>
      <w:r w:rsidRPr="002B0893">
        <w:rPr>
          <w:rFonts w:cstheme="minorHAnsi"/>
        </w:rPr>
        <w:t>Tenders are prepared and submitted at Bidders' own risk. The Authority will not be liable for any costs incurred during the tender process or any subsequent discussions or negotiations, including but not limited to bid costs, expenditure, work and/or effort incurred by a Bidder in proceeding with or participating in this procurement, including if the procurement process is terminated or amended by the Authority.</w:t>
      </w:r>
    </w:p>
    <w:p w14:paraId="2F4A2880" w14:textId="77777777" w:rsidR="005B679F" w:rsidRPr="002B0893" w:rsidRDefault="005B679F" w:rsidP="00F61B2D">
      <w:pPr>
        <w:spacing w:after="0" w:line="240" w:lineRule="auto"/>
        <w:jc w:val="both"/>
        <w:rPr>
          <w:rFonts w:cstheme="minorHAnsi"/>
        </w:rPr>
      </w:pPr>
    </w:p>
    <w:p w14:paraId="5D59BE57" w14:textId="75878E33" w:rsidR="008253BE" w:rsidRPr="00146FCD" w:rsidRDefault="00A16085" w:rsidP="00F61B2D">
      <w:pPr>
        <w:pStyle w:val="Heading2"/>
        <w:spacing w:before="0" w:line="240" w:lineRule="auto"/>
      </w:pPr>
      <w:bookmarkStart w:id="43" w:name="_Toc110425094"/>
      <w:r>
        <w:t>6</w:t>
      </w:r>
      <w:r w:rsidR="00E16032" w:rsidRPr="00146FCD">
        <w:t>.</w:t>
      </w:r>
      <w:r w:rsidR="009935B9">
        <w:t>5</w:t>
      </w:r>
      <w:r w:rsidR="009935B9" w:rsidRPr="00146FCD">
        <w:t xml:space="preserve"> </w:t>
      </w:r>
      <w:r w:rsidR="008253BE" w:rsidRPr="00146FCD">
        <w:t>Transparency</w:t>
      </w:r>
      <w:bookmarkEnd w:id="43"/>
      <w:r w:rsidR="008253BE" w:rsidRPr="00146FCD">
        <w:t xml:space="preserve"> </w:t>
      </w:r>
    </w:p>
    <w:p w14:paraId="56E7FA14" w14:textId="3341E14F" w:rsidR="008253BE" w:rsidRDefault="008253BE" w:rsidP="00F61B2D">
      <w:pPr>
        <w:spacing w:after="0" w:line="240" w:lineRule="auto"/>
        <w:jc w:val="both"/>
        <w:rPr>
          <w:rFonts w:cstheme="minorHAnsi"/>
        </w:rPr>
      </w:pPr>
      <w:r w:rsidRPr="002B0893">
        <w:rPr>
          <w:rFonts w:cstheme="minorHAnsi"/>
        </w:rPr>
        <w:t>In accordance with the Public Contracts Regulations 2015 and the Government's policy on transparency, Bidders should be aware that the Authority intends to make the issue of ITT and details of any subsequent contract publicly available, by publication on the Government's Contracts Finder portal.</w:t>
      </w:r>
    </w:p>
    <w:p w14:paraId="016D6899" w14:textId="77777777" w:rsidR="005B679F" w:rsidRPr="002B0893" w:rsidRDefault="005B679F" w:rsidP="00F61B2D">
      <w:pPr>
        <w:spacing w:after="0" w:line="240" w:lineRule="auto"/>
        <w:jc w:val="both"/>
        <w:rPr>
          <w:rFonts w:cstheme="minorHAnsi"/>
        </w:rPr>
      </w:pPr>
    </w:p>
    <w:p w14:paraId="1C71AF61" w14:textId="2B696167" w:rsidR="008253BE" w:rsidRPr="00E3458A" w:rsidRDefault="00A16085" w:rsidP="00F61B2D">
      <w:pPr>
        <w:pStyle w:val="Heading2"/>
        <w:spacing w:before="0" w:line="240" w:lineRule="auto"/>
      </w:pPr>
      <w:bookmarkStart w:id="44" w:name="_Toc110425095"/>
      <w:r>
        <w:t>6</w:t>
      </w:r>
      <w:r w:rsidR="00E16032" w:rsidRPr="00E3458A">
        <w:t>.</w:t>
      </w:r>
      <w:r w:rsidR="009935B9">
        <w:t>6</w:t>
      </w:r>
      <w:r w:rsidR="009935B9" w:rsidRPr="00E3458A">
        <w:t xml:space="preserve"> </w:t>
      </w:r>
      <w:r w:rsidR="008253BE" w:rsidRPr="00E3458A">
        <w:t>Governing Law and Jurisdiction</w:t>
      </w:r>
      <w:bookmarkEnd w:id="44"/>
      <w:r w:rsidR="008253BE" w:rsidRPr="00E3458A">
        <w:t xml:space="preserve"> </w:t>
      </w:r>
    </w:p>
    <w:p w14:paraId="5061D51C" w14:textId="649EFFE2" w:rsidR="008253BE" w:rsidRDefault="008253BE" w:rsidP="00F61B2D">
      <w:pPr>
        <w:spacing w:after="0" w:line="240" w:lineRule="auto"/>
        <w:jc w:val="both"/>
        <w:rPr>
          <w:rFonts w:cstheme="minorHAnsi"/>
        </w:rPr>
      </w:pPr>
      <w:r w:rsidRPr="002B0893">
        <w:rPr>
          <w:rFonts w:cstheme="minorHAnsi"/>
        </w:rPr>
        <w:t>This ITT and any dispute concerning it (including non-contractual disputes or claims) shall be governed by English law and subject to the non-exclusive jurisdiction of the English Courts.</w:t>
      </w:r>
    </w:p>
    <w:p w14:paraId="42CB7DDB" w14:textId="77777777" w:rsidR="005B679F" w:rsidRPr="002B0893" w:rsidRDefault="005B679F" w:rsidP="00F61B2D">
      <w:pPr>
        <w:spacing w:after="0" w:line="240" w:lineRule="auto"/>
        <w:jc w:val="both"/>
        <w:rPr>
          <w:rFonts w:cstheme="minorHAnsi"/>
        </w:rPr>
      </w:pPr>
    </w:p>
    <w:p w14:paraId="07A8D0C7" w14:textId="618441E9" w:rsidR="008253BE" w:rsidRPr="00A16085" w:rsidRDefault="00A16085" w:rsidP="00F61B2D">
      <w:pPr>
        <w:pStyle w:val="Heading2"/>
        <w:spacing w:before="0" w:line="240" w:lineRule="auto"/>
      </w:pPr>
      <w:bookmarkStart w:id="45" w:name="_Toc110425096"/>
      <w:r w:rsidRPr="00A16085">
        <w:lastRenderedPageBreak/>
        <w:t>6</w:t>
      </w:r>
      <w:r w:rsidR="00BA5280">
        <w:t>.</w:t>
      </w:r>
      <w:r w:rsidR="009935B9">
        <w:t>7</w:t>
      </w:r>
      <w:r w:rsidR="009935B9" w:rsidRPr="00A16085">
        <w:t xml:space="preserve"> </w:t>
      </w:r>
      <w:r w:rsidR="008253BE" w:rsidRPr="00A16085">
        <w:t>Warnings and disclaimers</w:t>
      </w:r>
      <w:bookmarkEnd w:id="45"/>
      <w:r w:rsidR="008253BE" w:rsidRPr="00A16085">
        <w:t xml:space="preserve"> </w:t>
      </w:r>
    </w:p>
    <w:p w14:paraId="725E16AA" w14:textId="37B81D91" w:rsidR="008253BE" w:rsidRDefault="008253BE" w:rsidP="00F61B2D">
      <w:pPr>
        <w:pStyle w:val="ListParagraph"/>
        <w:numPr>
          <w:ilvl w:val="0"/>
          <w:numId w:val="7"/>
        </w:numPr>
        <w:spacing w:after="0" w:line="240" w:lineRule="auto"/>
        <w:jc w:val="both"/>
        <w:rPr>
          <w:rFonts w:cstheme="minorHAnsi"/>
        </w:rPr>
      </w:pPr>
      <w:r w:rsidRPr="00C36576">
        <w:rPr>
          <w:rFonts w:cstheme="minorHAnsi"/>
        </w:rPr>
        <w:t xml:space="preserve">While the information contained in this ITT is believed to be correct at the time of issue, neither the Authority, its advisors, nor any other awarding authorities will accept any liability for its accuracy, </w:t>
      </w:r>
      <w:proofErr w:type="gramStart"/>
      <w:r w:rsidRPr="00C36576">
        <w:rPr>
          <w:rFonts w:cstheme="minorHAnsi"/>
        </w:rPr>
        <w:t>adequacy</w:t>
      </w:r>
      <w:proofErr w:type="gramEnd"/>
      <w:r w:rsidRPr="00C36576">
        <w:rPr>
          <w:rFonts w:cstheme="minorHAnsi"/>
        </w:rPr>
        <w:t xml:space="preserve"> or completeness, nor will any express or implied warranty be</w:t>
      </w:r>
      <w:r w:rsidR="00B60484">
        <w:rPr>
          <w:rFonts w:cstheme="minorHAnsi"/>
        </w:rPr>
        <w:t xml:space="preserve"> given.</w:t>
      </w:r>
    </w:p>
    <w:p w14:paraId="1E9876B0" w14:textId="0DB9EB6D" w:rsidR="008253BE" w:rsidRDefault="008253BE" w:rsidP="00F61B2D">
      <w:pPr>
        <w:pStyle w:val="ListParagraph"/>
        <w:numPr>
          <w:ilvl w:val="0"/>
          <w:numId w:val="7"/>
        </w:numPr>
        <w:spacing w:after="0" w:line="240" w:lineRule="auto"/>
        <w:jc w:val="both"/>
        <w:rPr>
          <w:rFonts w:cstheme="minorHAnsi"/>
        </w:rPr>
      </w:pPr>
      <w:r w:rsidRPr="00C36576">
        <w:rPr>
          <w:rFonts w:cstheme="minorHAnsi"/>
        </w:rPr>
        <w:t>This exclusion extends to liability in relation to any statement, opinion or conclusion contained in or any omission from, this ITT (including its annexes) and in respect of any other written or oral communication transmitted (or otherwise made available) to any Bidder. This exclusion does not extend to any fraudulent misrepresentation made by or on behalf of the Authority.</w:t>
      </w:r>
    </w:p>
    <w:p w14:paraId="5A0E0C63" w14:textId="77777777" w:rsidR="008253BE" w:rsidRDefault="008253BE" w:rsidP="00F61B2D">
      <w:pPr>
        <w:pStyle w:val="ListParagraph"/>
        <w:numPr>
          <w:ilvl w:val="0"/>
          <w:numId w:val="7"/>
        </w:numPr>
        <w:spacing w:after="0" w:line="240" w:lineRule="auto"/>
        <w:jc w:val="both"/>
        <w:rPr>
          <w:rFonts w:cstheme="minorHAnsi"/>
        </w:rPr>
      </w:pPr>
      <w:r w:rsidRPr="00C36576">
        <w:rPr>
          <w:rFonts w:cstheme="minorHAnsi"/>
        </w:rPr>
        <w:t xml:space="preserve">If a Bidder proposes to </w:t>
      </w:r>
      <w:proofErr w:type="gramStart"/>
      <w:r w:rsidRPr="00C36576">
        <w:rPr>
          <w:rFonts w:cstheme="minorHAnsi"/>
        </w:rPr>
        <w:t>enter into</w:t>
      </w:r>
      <w:proofErr w:type="gramEnd"/>
      <w:r w:rsidRPr="00C36576">
        <w:rPr>
          <w:rFonts w:cstheme="minorHAnsi"/>
        </w:rPr>
        <w:t xml:space="preserve"> a contract with the Authority, it must rely on its own enquiries and on the terms and conditions set out in the contract(s) (as and when finally executed), subject to the limitations and restrictions specified in it.</w:t>
      </w:r>
    </w:p>
    <w:p w14:paraId="67FE129F" w14:textId="5E642BF9" w:rsidR="008253BE" w:rsidRDefault="008253BE" w:rsidP="00F61B2D">
      <w:pPr>
        <w:pStyle w:val="ListParagraph"/>
        <w:numPr>
          <w:ilvl w:val="0"/>
          <w:numId w:val="7"/>
        </w:numPr>
        <w:spacing w:after="0" w:line="240" w:lineRule="auto"/>
        <w:jc w:val="both"/>
        <w:rPr>
          <w:rFonts w:cstheme="minorHAnsi"/>
        </w:rPr>
      </w:pPr>
      <w:r w:rsidRPr="00C36576">
        <w:rPr>
          <w:rFonts w:cstheme="minorHAnsi"/>
        </w:rPr>
        <w:t xml:space="preserve">Although this is a bona fide tender process, neither the issue of this ITT, nor any of the information presented in it, should be regarded as a commitment    or representation on the part of the Authority (or any other person) to </w:t>
      </w:r>
      <w:proofErr w:type="gramStart"/>
      <w:r w:rsidRPr="00C36576">
        <w:rPr>
          <w:rFonts w:cstheme="minorHAnsi"/>
        </w:rPr>
        <w:t>enter into</w:t>
      </w:r>
      <w:proofErr w:type="gramEnd"/>
      <w:r w:rsidRPr="00C36576">
        <w:rPr>
          <w:rFonts w:cstheme="minorHAnsi"/>
        </w:rPr>
        <w:t xml:space="preserve"> a contractual   arrangement.</w:t>
      </w:r>
    </w:p>
    <w:p w14:paraId="43F7C6F9" w14:textId="77777777" w:rsidR="005B679F" w:rsidRPr="005B679F" w:rsidRDefault="005B679F" w:rsidP="005B679F">
      <w:pPr>
        <w:spacing w:after="0" w:line="240" w:lineRule="auto"/>
        <w:ind w:left="360"/>
        <w:jc w:val="both"/>
        <w:rPr>
          <w:rFonts w:cstheme="minorHAnsi"/>
        </w:rPr>
      </w:pPr>
    </w:p>
    <w:p w14:paraId="191D43BE" w14:textId="46CBEE81" w:rsidR="008253BE" w:rsidRPr="00146FCD" w:rsidRDefault="00A16085" w:rsidP="00F61B2D">
      <w:pPr>
        <w:pStyle w:val="Heading2"/>
        <w:spacing w:before="0" w:line="240" w:lineRule="auto"/>
      </w:pPr>
      <w:bookmarkStart w:id="46" w:name="_Toc110425097"/>
      <w:r>
        <w:t>6</w:t>
      </w:r>
      <w:r w:rsidR="006F081F">
        <w:t>.8</w:t>
      </w:r>
      <w:r w:rsidR="00AB35A8" w:rsidRPr="00146FCD">
        <w:t xml:space="preserve"> </w:t>
      </w:r>
      <w:r w:rsidR="008253BE" w:rsidRPr="00146FCD">
        <w:t>Freedom of Information Act 2000</w:t>
      </w:r>
      <w:bookmarkEnd w:id="46"/>
      <w:r w:rsidR="008253BE" w:rsidRPr="00146FCD">
        <w:t xml:space="preserve"> </w:t>
      </w:r>
    </w:p>
    <w:p w14:paraId="14548C3C" w14:textId="77777777" w:rsidR="009669BB" w:rsidRPr="00865E7B" w:rsidRDefault="009669BB" w:rsidP="00F61B2D">
      <w:pPr>
        <w:spacing w:after="0" w:line="240" w:lineRule="auto"/>
        <w:contextualSpacing/>
        <w:jc w:val="both"/>
      </w:pPr>
      <w:r w:rsidRPr="00DF4A34">
        <w:t xml:space="preserve">This tender relates to work which is </w:t>
      </w:r>
      <w:proofErr w:type="spellStart"/>
      <w:r w:rsidRPr="00DF4A34">
        <w:t>publically</w:t>
      </w:r>
      <w:proofErr w:type="spellEnd"/>
      <w:r w:rsidRPr="00DF4A34">
        <w:t xml:space="preserve"> funded and therefore the </w:t>
      </w:r>
      <w:r w:rsidRPr="00865E7B">
        <w:t>Authority is subject to, and must comply with, the Freedom of Information Act 2000 ("FOIA") and the Environmental Information Regulations 2004 ("EIR"). The Authority may therefore be required to disclose information submitted by the Bidder.</w:t>
      </w:r>
    </w:p>
    <w:p w14:paraId="14FD5B57" w14:textId="77777777" w:rsidR="006F081F" w:rsidRDefault="006F081F" w:rsidP="00F61B2D">
      <w:pPr>
        <w:spacing w:after="0" w:line="240" w:lineRule="auto"/>
        <w:jc w:val="both"/>
        <w:rPr>
          <w:rFonts w:cstheme="minorHAnsi"/>
        </w:rPr>
      </w:pPr>
    </w:p>
    <w:p w14:paraId="4495F334" w14:textId="0744FC73" w:rsidR="008253BE" w:rsidRDefault="008253BE" w:rsidP="00F61B2D">
      <w:pPr>
        <w:spacing w:after="0" w:line="240" w:lineRule="auto"/>
        <w:jc w:val="both"/>
        <w:rPr>
          <w:rFonts w:cstheme="minorHAnsi"/>
        </w:rPr>
      </w:pPr>
      <w:r w:rsidRPr="006F081F">
        <w:rPr>
          <w:rFonts w:cstheme="minorHAnsi"/>
        </w:rPr>
        <w:t>In respect of any information submitted by a Bidder that it considers to be confidential or commercially sensitive</w:t>
      </w:r>
      <w:r w:rsidR="00471B75">
        <w:rPr>
          <w:rFonts w:cstheme="minorHAnsi"/>
        </w:rPr>
        <w:t>,</w:t>
      </w:r>
      <w:r w:rsidRPr="006F081F">
        <w:rPr>
          <w:rFonts w:cstheme="minorHAnsi"/>
        </w:rPr>
        <w:t xml:space="preserve"> the Bidder should: clearly identify such information as confidential or commercially sensitive;</w:t>
      </w:r>
      <w:r w:rsidR="006F081F">
        <w:rPr>
          <w:rFonts w:cstheme="minorHAnsi"/>
        </w:rPr>
        <w:t xml:space="preserve"> </w:t>
      </w:r>
      <w:r w:rsidRPr="006F081F">
        <w:rPr>
          <w:rFonts w:cstheme="minorHAnsi"/>
        </w:rPr>
        <w:t>explain its reasons why disclosure of such information would be likely to prejudice or would cause actual prejudice to its commercial interests, and</w:t>
      </w:r>
      <w:r w:rsidR="0050103F" w:rsidRPr="006F081F">
        <w:rPr>
          <w:rFonts w:cstheme="minorHAnsi"/>
        </w:rPr>
        <w:t xml:space="preserve"> </w:t>
      </w:r>
      <w:r w:rsidRPr="006F081F">
        <w:rPr>
          <w:rFonts w:cstheme="minorHAnsi"/>
        </w:rPr>
        <w:t>provide a reasoned estimate of the period of time during which the Bidder believes that such information will remain commercially sensitive.</w:t>
      </w:r>
    </w:p>
    <w:p w14:paraId="1C436AA6" w14:textId="77777777" w:rsidR="005B679F" w:rsidRPr="006F081F" w:rsidRDefault="005B679F" w:rsidP="00F61B2D">
      <w:pPr>
        <w:spacing w:after="0" w:line="240" w:lineRule="auto"/>
        <w:jc w:val="both"/>
        <w:rPr>
          <w:rFonts w:cstheme="minorHAnsi"/>
        </w:rPr>
      </w:pPr>
    </w:p>
    <w:p w14:paraId="479FDD6B" w14:textId="57777F3F" w:rsidR="008253BE" w:rsidRDefault="008253BE" w:rsidP="00F61B2D">
      <w:pPr>
        <w:spacing w:after="0" w:line="240" w:lineRule="auto"/>
        <w:jc w:val="both"/>
        <w:rPr>
          <w:rFonts w:cstheme="minorHAnsi"/>
        </w:rPr>
      </w:pPr>
      <w:r w:rsidRPr="006F081F">
        <w:rPr>
          <w:rFonts w:cstheme="minorHAnsi"/>
        </w:rPr>
        <w:t>This information must be</w:t>
      </w:r>
      <w:r w:rsidR="009669BB" w:rsidRPr="006F081F">
        <w:rPr>
          <w:rFonts w:cstheme="minorHAnsi"/>
        </w:rPr>
        <w:t xml:space="preserve"> submitted via the online </w:t>
      </w:r>
      <w:r w:rsidR="00DF4A34" w:rsidRPr="006F081F">
        <w:rPr>
          <w:rFonts w:cstheme="minorHAnsi"/>
        </w:rPr>
        <w:t>questionnaire</w:t>
      </w:r>
      <w:r w:rsidRPr="006F081F">
        <w:rPr>
          <w:rFonts w:cstheme="minorHAnsi"/>
        </w:rPr>
        <w:t>, with a statement of which exemptions are relevant under FOIA and/or the EIR. The use of blanket markings of whole documents as confidential or commercially sensitive is not permitted.</w:t>
      </w:r>
    </w:p>
    <w:p w14:paraId="1E59809C" w14:textId="77777777" w:rsidR="005B679F" w:rsidRPr="006F081F" w:rsidRDefault="005B679F" w:rsidP="00F61B2D">
      <w:pPr>
        <w:spacing w:after="0" w:line="240" w:lineRule="auto"/>
        <w:jc w:val="both"/>
        <w:rPr>
          <w:rFonts w:cstheme="minorHAnsi"/>
        </w:rPr>
      </w:pPr>
    </w:p>
    <w:p w14:paraId="5AFE2F4E" w14:textId="3F35B8C2" w:rsidR="008253BE" w:rsidRDefault="008253BE" w:rsidP="00F61B2D">
      <w:pPr>
        <w:spacing w:after="0" w:line="240" w:lineRule="auto"/>
        <w:jc w:val="both"/>
        <w:rPr>
          <w:rFonts w:cstheme="minorHAnsi"/>
        </w:rPr>
      </w:pPr>
      <w:r w:rsidRPr="006F081F">
        <w:rPr>
          <w:rFonts w:cstheme="minorHAnsi"/>
        </w:rPr>
        <w:t>Where a Bidder identifies information as commercially sensitive, the Authority will take those views into account. Bidders should note, however, that, even where information is identified as commercially sensitive, the Authority may be required to disclose such information in accordance with FOIA or the EIR. Accordingly, the Authority cannot guarantee that it will withhold information marked 'confidential', 'commercially sensitive' or otherwise considered exempt by the relevant Bidder and no duty of confidentiality is accepted</w:t>
      </w:r>
      <w:r w:rsidR="005B679F">
        <w:rPr>
          <w:rFonts w:cstheme="minorHAnsi"/>
        </w:rPr>
        <w:t>.</w:t>
      </w:r>
    </w:p>
    <w:p w14:paraId="2DC5067C" w14:textId="77777777" w:rsidR="005B679F" w:rsidRPr="006F081F" w:rsidRDefault="005B679F" w:rsidP="00F61B2D">
      <w:pPr>
        <w:spacing w:after="0" w:line="240" w:lineRule="auto"/>
        <w:jc w:val="both"/>
        <w:rPr>
          <w:rFonts w:cstheme="minorHAnsi"/>
        </w:rPr>
      </w:pPr>
    </w:p>
    <w:p w14:paraId="6469B094" w14:textId="57DD6973" w:rsidR="009F5193" w:rsidRDefault="00A16085" w:rsidP="00F61B2D">
      <w:pPr>
        <w:pStyle w:val="Heading2"/>
        <w:spacing w:before="0" w:line="240" w:lineRule="auto"/>
      </w:pPr>
      <w:bookmarkStart w:id="47" w:name="_Toc110425098"/>
      <w:r>
        <w:t>6</w:t>
      </w:r>
      <w:r w:rsidR="006F081F">
        <w:t>.9</w:t>
      </w:r>
      <w:r w:rsidR="00E16032" w:rsidRPr="0056538A">
        <w:t xml:space="preserve"> </w:t>
      </w:r>
      <w:r w:rsidR="009669BB">
        <w:t>Validity Period</w:t>
      </w:r>
      <w:bookmarkEnd w:id="47"/>
    </w:p>
    <w:p w14:paraId="0D3E0E2A" w14:textId="6E8268A0" w:rsidR="009669BB" w:rsidRDefault="009669BB" w:rsidP="00F61B2D">
      <w:pPr>
        <w:spacing w:after="0" w:line="240" w:lineRule="auto"/>
        <w:jc w:val="both"/>
        <w:rPr>
          <w:rFonts w:eastAsia="Times New Roman" w:cstheme="minorHAnsi"/>
          <w:lang w:eastAsia="en-GB"/>
        </w:rPr>
      </w:pPr>
      <w:r w:rsidRPr="00865E7B">
        <w:rPr>
          <w:rFonts w:eastAsia="Times New Roman" w:cstheme="minorHAnsi"/>
          <w:lang w:eastAsia="en-GB"/>
        </w:rPr>
        <w:t>Offers are to remain open for acceptance by the Contracting Authority, for a minimum of 180 days from the bid submission date.</w:t>
      </w:r>
    </w:p>
    <w:p w14:paraId="1BF4AFF9" w14:textId="77777777" w:rsidR="005B679F" w:rsidRPr="00DF4A34" w:rsidRDefault="005B679F" w:rsidP="00F61B2D">
      <w:pPr>
        <w:spacing w:after="0" w:line="240" w:lineRule="auto"/>
        <w:jc w:val="both"/>
        <w:rPr>
          <w:rFonts w:eastAsia="Times New Roman" w:cstheme="minorHAnsi"/>
          <w:lang w:eastAsia="en-GB"/>
        </w:rPr>
      </w:pPr>
    </w:p>
    <w:p w14:paraId="3C286B65" w14:textId="679A3F54" w:rsidR="008C6BAB" w:rsidRPr="005B7374" w:rsidRDefault="006F081F" w:rsidP="00F61B2D">
      <w:pPr>
        <w:pStyle w:val="Heading2"/>
        <w:spacing w:before="0" w:line="240" w:lineRule="auto"/>
      </w:pPr>
      <w:bookmarkStart w:id="48" w:name="_Toc110425099"/>
      <w:r>
        <w:t>6.10</w:t>
      </w:r>
      <w:r w:rsidR="008C6BAB" w:rsidRPr="005B7374">
        <w:t xml:space="preserve"> Canvassing</w:t>
      </w:r>
      <w:bookmarkEnd w:id="48"/>
      <w:r w:rsidR="008C6BAB" w:rsidRPr="005B7374">
        <w:t xml:space="preserve"> </w:t>
      </w:r>
    </w:p>
    <w:p w14:paraId="729FB1ED" w14:textId="7B3A9C3C" w:rsidR="008C6BAB" w:rsidRDefault="008C6BAB" w:rsidP="00F61B2D">
      <w:pPr>
        <w:spacing w:after="0" w:line="240" w:lineRule="auto"/>
        <w:jc w:val="both"/>
        <w:rPr>
          <w:rFonts w:cstheme="minorHAnsi"/>
        </w:rPr>
      </w:pPr>
      <w:r w:rsidRPr="005B7374">
        <w:rPr>
          <w:rFonts w:cstheme="minorHAnsi"/>
        </w:rPr>
        <w:t>A</w:t>
      </w:r>
      <w:r w:rsidR="005B7374">
        <w:rPr>
          <w:rFonts w:cstheme="minorHAnsi"/>
        </w:rPr>
        <w:t>ny tenderer who directly or indirectly canvasses any member or official of the Authority concerning the award of the Tender or who directly or indirectly obtains or attempts to obtain information from such member or official concerning any offer or proposed Tender</w:t>
      </w:r>
      <w:r w:rsidR="00A65FC7">
        <w:rPr>
          <w:rFonts w:cstheme="minorHAnsi"/>
        </w:rPr>
        <w:t xml:space="preserve"> may </w:t>
      </w:r>
      <w:r w:rsidR="00DE0885">
        <w:rPr>
          <w:rFonts w:cstheme="minorHAnsi"/>
        </w:rPr>
        <w:t>be</w:t>
      </w:r>
      <w:r w:rsidR="005B7374">
        <w:rPr>
          <w:rFonts w:cstheme="minorHAnsi"/>
        </w:rPr>
        <w:t xml:space="preserve"> disqualified.</w:t>
      </w:r>
    </w:p>
    <w:p w14:paraId="12889E9D" w14:textId="77777777" w:rsidR="005B679F" w:rsidRDefault="005B679F" w:rsidP="00F61B2D">
      <w:pPr>
        <w:spacing w:after="0" w:line="240" w:lineRule="auto"/>
        <w:jc w:val="both"/>
        <w:rPr>
          <w:rFonts w:cstheme="minorHAnsi"/>
        </w:rPr>
      </w:pPr>
    </w:p>
    <w:p w14:paraId="081E07CE" w14:textId="303EE722" w:rsidR="005B7374" w:rsidRPr="005B7374" w:rsidRDefault="005B7374" w:rsidP="00F61B2D">
      <w:pPr>
        <w:pStyle w:val="Heading2"/>
        <w:spacing w:before="0" w:line="240" w:lineRule="auto"/>
      </w:pPr>
      <w:bookmarkStart w:id="49" w:name="_Toc110425100"/>
      <w:r w:rsidRPr="005B7374">
        <w:lastRenderedPageBreak/>
        <w:t>6.1</w:t>
      </w:r>
      <w:r w:rsidR="006F081F">
        <w:t>1</w:t>
      </w:r>
      <w:r w:rsidRPr="005B7374">
        <w:t xml:space="preserve"> Collusive Tendering</w:t>
      </w:r>
      <w:bookmarkEnd w:id="49"/>
    </w:p>
    <w:p w14:paraId="41A4A002" w14:textId="29B1DD5F" w:rsidR="00B466F5" w:rsidRDefault="005B7374" w:rsidP="00F61B2D">
      <w:pPr>
        <w:spacing w:after="0" w:line="240" w:lineRule="auto"/>
        <w:jc w:val="both"/>
        <w:rPr>
          <w:rFonts w:cstheme="minorHAnsi"/>
          <w:sz w:val="40"/>
          <w:szCs w:val="40"/>
        </w:rPr>
      </w:pPr>
      <w:r>
        <w:t xml:space="preserve">The Authority is </w:t>
      </w:r>
      <w:proofErr w:type="gramStart"/>
      <w:r>
        <w:t>well aware</w:t>
      </w:r>
      <w:proofErr w:type="gramEnd"/>
      <w:r>
        <w:t xml:space="preserve"> of the temptations for tenderers of collusive behaviour and the formation of cartels. Any suspicions of such activity shall be brought to the attention of the Office of Fair Trading under the Competition Act and any firms found not to comply with the Act shall not be permitted to tender for the Authority contracts.</w:t>
      </w:r>
    </w:p>
    <w:p w14:paraId="639B346E" w14:textId="77777777" w:rsidR="00DE17C1" w:rsidRDefault="00DE17C1" w:rsidP="00F61B2D">
      <w:pPr>
        <w:spacing w:after="0" w:line="240" w:lineRule="auto"/>
        <w:rPr>
          <w:rFonts w:cstheme="minorHAnsi"/>
          <w:sz w:val="28"/>
          <w:szCs w:val="28"/>
        </w:rPr>
      </w:pPr>
    </w:p>
    <w:p w14:paraId="6A76E82E" w14:textId="1BF44E9B" w:rsidR="009D76F9" w:rsidRPr="001E3842" w:rsidRDefault="009D76F9" w:rsidP="003D6A3A">
      <w:pPr>
        <w:pStyle w:val="Heading1"/>
      </w:pPr>
      <w:bookmarkStart w:id="50" w:name="_Toc110425101"/>
      <w:r w:rsidRPr="001E3842">
        <w:t>Annexes</w:t>
      </w:r>
      <w:bookmarkEnd w:id="50"/>
    </w:p>
    <w:p w14:paraId="6EB6135C" w14:textId="0666DEB2" w:rsidR="00B466F5" w:rsidRPr="001E3842" w:rsidRDefault="006F79E1" w:rsidP="001E3842">
      <w:pPr>
        <w:pStyle w:val="Heading1"/>
        <w:rPr>
          <w:rFonts w:asciiTheme="minorHAnsi" w:hAnsiTheme="minorHAnsi" w:cstheme="minorHAnsi"/>
          <w:sz w:val="22"/>
          <w:szCs w:val="22"/>
        </w:rPr>
      </w:pPr>
      <w:bookmarkStart w:id="51" w:name="_Toc110425102"/>
      <w:r w:rsidRPr="001E3842">
        <w:rPr>
          <w:rFonts w:asciiTheme="minorHAnsi" w:hAnsiTheme="minorHAnsi" w:cstheme="minorHAnsi"/>
          <w:sz w:val="22"/>
          <w:szCs w:val="22"/>
        </w:rPr>
        <w:t xml:space="preserve">Annex </w:t>
      </w:r>
      <w:r w:rsidR="009D76F9" w:rsidRPr="001E3842">
        <w:rPr>
          <w:rFonts w:asciiTheme="minorHAnsi" w:hAnsiTheme="minorHAnsi" w:cstheme="minorHAnsi"/>
          <w:sz w:val="22"/>
          <w:szCs w:val="22"/>
        </w:rPr>
        <w:t>A</w:t>
      </w:r>
      <w:r w:rsidR="0009170A" w:rsidRPr="001E3842">
        <w:rPr>
          <w:rFonts w:asciiTheme="minorHAnsi" w:hAnsiTheme="minorHAnsi" w:cstheme="minorHAnsi"/>
          <w:sz w:val="22"/>
          <w:szCs w:val="22"/>
        </w:rPr>
        <w:t xml:space="preserve">: </w:t>
      </w:r>
      <w:r w:rsidR="00DE17C1" w:rsidRPr="001E3842">
        <w:rPr>
          <w:rFonts w:asciiTheme="minorHAnsi" w:hAnsiTheme="minorHAnsi" w:cstheme="minorHAnsi"/>
          <w:sz w:val="22"/>
          <w:szCs w:val="22"/>
        </w:rPr>
        <w:t>Service</w:t>
      </w:r>
      <w:r w:rsidR="0009170A" w:rsidRPr="001E3842">
        <w:rPr>
          <w:rFonts w:asciiTheme="minorHAnsi" w:hAnsiTheme="minorHAnsi" w:cstheme="minorHAnsi"/>
          <w:sz w:val="22"/>
          <w:szCs w:val="22"/>
        </w:rPr>
        <w:t xml:space="preserve"> Specification</w:t>
      </w:r>
      <w:bookmarkEnd w:id="51"/>
      <w:r w:rsidR="0009170A" w:rsidRPr="001E3842">
        <w:rPr>
          <w:rFonts w:asciiTheme="minorHAnsi" w:hAnsiTheme="minorHAnsi" w:cstheme="minorHAnsi"/>
          <w:sz w:val="22"/>
          <w:szCs w:val="22"/>
        </w:rPr>
        <w:t xml:space="preserve"> </w:t>
      </w:r>
    </w:p>
    <w:p w14:paraId="72D185F5" w14:textId="5CC32E88" w:rsidR="0009170A" w:rsidRPr="001E3842" w:rsidRDefault="00BF3D5F" w:rsidP="001E3842">
      <w:pPr>
        <w:pStyle w:val="Heading1"/>
        <w:rPr>
          <w:rFonts w:asciiTheme="minorHAnsi" w:hAnsiTheme="minorHAnsi" w:cstheme="minorHAnsi"/>
          <w:sz w:val="22"/>
          <w:szCs w:val="22"/>
        </w:rPr>
      </w:pPr>
      <w:bookmarkStart w:id="52" w:name="_Toc110425103"/>
      <w:r w:rsidRPr="001E3842">
        <w:rPr>
          <w:rFonts w:asciiTheme="minorHAnsi" w:hAnsiTheme="minorHAnsi" w:cstheme="minorHAnsi"/>
          <w:sz w:val="22"/>
          <w:szCs w:val="22"/>
        </w:rPr>
        <w:t>Annex B</w:t>
      </w:r>
      <w:r w:rsidR="0009170A" w:rsidRPr="001E3842">
        <w:rPr>
          <w:rFonts w:asciiTheme="minorHAnsi" w:hAnsiTheme="minorHAnsi" w:cstheme="minorHAnsi"/>
          <w:sz w:val="22"/>
          <w:szCs w:val="22"/>
        </w:rPr>
        <w:t>: Terms and Conditions</w:t>
      </w:r>
      <w:bookmarkEnd w:id="52"/>
      <w:r w:rsidR="0009170A" w:rsidRPr="001E3842">
        <w:rPr>
          <w:rFonts w:asciiTheme="minorHAnsi" w:hAnsiTheme="minorHAnsi" w:cstheme="minorHAnsi"/>
          <w:sz w:val="22"/>
          <w:szCs w:val="22"/>
        </w:rPr>
        <w:t xml:space="preserve"> </w:t>
      </w:r>
    </w:p>
    <w:p w14:paraId="6B0CF6E5" w14:textId="526A59B1" w:rsidR="0009170A" w:rsidRPr="001E3842" w:rsidRDefault="00BF3D5F" w:rsidP="001E3842">
      <w:pPr>
        <w:pStyle w:val="Heading1"/>
        <w:rPr>
          <w:rFonts w:asciiTheme="minorHAnsi" w:hAnsiTheme="minorHAnsi" w:cstheme="minorHAnsi"/>
          <w:sz w:val="22"/>
          <w:szCs w:val="22"/>
        </w:rPr>
      </w:pPr>
      <w:bookmarkStart w:id="53" w:name="_Toc110425104"/>
      <w:r w:rsidRPr="001E3842">
        <w:rPr>
          <w:rFonts w:asciiTheme="minorHAnsi" w:hAnsiTheme="minorHAnsi" w:cstheme="minorHAnsi"/>
          <w:sz w:val="22"/>
          <w:szCs w:val="22"/>
        </w:rPr>
        <w:t>Annex C</w:t>
      </w:r>
      <w:r w:rsidR="0009170A" w:rsidRPr="001E3842">
        <w:rPr>
          <w:rFonts w:asciiTheme="minorHAnsi" w:hAnsiTheme="minorHAnsi" w:cstheme="minorHAnsi"/>
          <w:sz w:val="22"/>
          <w:szCs w:val="22"/>
        </w:rPr>
        <w:t xml:space="preserve">: </w:t>
      </w:r>
      <w:r w:rsidR="00924A19" w:rsidRPr="001E3842">
        <w:rPr>
          <w:rFonts w:asciiTheme="minorHAnsi" w:hAnsiTheme="minorHAnsi" w:cstheme="minorHAnsi"/>
          <w:sz w:val="22"/>
          <w:szCs w:val="22"/>
        </w:rPr>
        <w:t>Deliverables</w:t>
      </w:r>
      <w:bookmarkEnd w:id="53"/>
    </w:p>
    <w:p w14:paraId="6B68A8CC" w14:textId="1F2B4B5C" w:rsidR="001C179B" w:rsidRPr="001E3842" w:rsidRDefault="00BF3D5F" w:rsidP="001E3842">
      <w:pPr>
        <w:pStyle w:val="Heading1"/>
        <w:rPr>
          <w:rFonts w:asciiTheme="minorHAnsi" w:hAnsiTheme="minorHAnsi" w:cstheme="minorHAnsi"/>
          <w:sz w:val="22"/>
          <w:szCs w:val="22"/>
        </w:rPr>
      </w:pPr>
      <w:bookmarkStart w:id="54" w:name="_Toc110425105"/>
      <w:r w:rsidRPr="001E3842">
        <w:rPr>
          <w:rFonts w:asciiTheme="minorHAnsi" w:hAnsiTheme="minorHAnsi" w:cstheme="minorHAnsi"/>
          <w:sz w:val="22"/>
          <w:szCs w:val="22"/>
        </w:rPr>
        <w:t>Annex D</w:t>
      </w:r>
      <w:r w:rsidR="001C179B" w:rsidRPr="001E3842">
        <w:rPr>
          <w:rFonts w:asciiTheme="minorHAnsi" w:hAnsiTheme="minorHAnsi" w:cstheme="minorHAnsi"/>
          <w:sz w:val="22"/>
          <w:szCs w:val="22"/>
        </w:rPr>
        <w:t xml:space="preserve">: </w:t>
      </w:r>
      <w:r w:rsidR="00924A19" w:rsidRPr="001E3842">
        <w:rPr>
          <w:rFonts w:asciiTheme="minorHAnsi" w:hAnsiTheme="minorHAnsi" w:cstheme="minorHAnsi"/>
          <w:sz w:val="22"/>
          <w:szCs w:val="22"/>
        </w:rPr>
        <w:t>Assessing Unmet Payment Linked Deliverables</w:t>
      </w:r>
      <w:bookmarkEnd w:id="54"/>
      <w:r w:rsidR="001C179B" w:rsidRPr="001E3842">
        <w:rPr>
          <w:rFonts w:asciiTheme="minorHAnsi" w:hAnsiTheme="minorHAnsi" w:cstheme="minorHAnsi"/>
          <w:sz w:val="22"/>
          <w:szCs w:val="22"/>
        </w:rPr>
        <w:t xml:space="preserve"> </w:t>
      </w:r>
    </w:p>
    <w:p w14:paraId="292092D2" w14:textId="35E465F3" w:rsidR="009D76F9" w:rsidRPr="001E3842" w:rsidRDefault="00BF3D5F" w:rsidP="001E3842">
      <w:pPr>
        <w:pStyle w:val="Heading1"/>
        <w:rPr>
          <w:rFonts w:asciiTheme="minorHAnsi" w:hAnsiTheme="minorHAnsi" w:cstheme="minorHAnsi"/>
          <w:sz w:val="22"/>
          <w:szCs w:val="22"/>
        </w:rPr>
      </w:pPr>
      <w:bookmarkStart w:id="55" w:name="_Toc110425106"/>
      <w:r w:rsidRPr="001E3842">
        <w:rPr>
          <w:rFonts w:asciiTheme="minorHAnsi" w:hAnsiTheme="minorHAnsi" w:cstheme="minorHAnsi"/>
          <w:sz w:val="22"/>
          <w:szCs w:val="22"/>
        </w:rPr>
        <w:t>Annex E</w:t>
      </w:r>
      <w:r w:rsidR="001C179B" w:rsidRPr="001E3842">
        <w:rPr>
          <w:rFonts w:asciiTheme="minorHAnsi" w:hAnsiTheme="minorHAnsi" w:cstheme="minorHAnsi"/>
          <w:sz w:val="22"/>
          <w:szCs w:val="22"/>
        </w:rPr>
        <w:t xml:space="preserve">: </w:t>
      </w:r>
      <w:r w:rsidR="001E3842" w:rsidRPr="001E3842">
        <w:rPr>
          <w:rFonts w:asciiTheme="minorHAnsi" w:hAnsiTheme="minorHAnsi" w:cstheme="minorHAnsi"/>
          <w:sz w:val="22"/>
          <w:szCs w:val="22"/>
        </w:rPr>
        <w:t>Applying the Process for Unmet Payment Linked Deliverables</w:t>
      </w:r>
      <w:bookmarkEnd w:id="55"/>
    </w:p>
    <w:p w14:paraId="61AD4DBD" w14:textId="48D93606" w:rsidR="009D76F9" w:rsidRPr="001E3842" w:rsidRDefault="00BF3D5F" w:rsidP="001E3842">
      <w:pPr>
        <w:pStyle w:val="Heading1"/>
        <w:rPr>
          <w:rFonts w:asciiTheme="minorHAnsi" w:hAnsiTheme="minorHAnsi" w:cstheme="minorHAnsi"/>
          <w:sz w:val="22"/>
          <w:szCs w:val="22"/>
        </w:rPr>
      </w:pPr>
      <w:bookmarkStart w:id="56" w:name="_Toc110425107"/>
      <w:r w:rsidRPr="001E3842">
        <w:rPr>
          <w:rFonts w:asciiTheme="minorHAnsi" w:hAnsiTheme="minorHAnsi" w:cstheme="minorHAnsi"/>
          <w:sz w:val="22"/>
          <w:szCs w:val="22"/>
        </w:rPr>
        <w:t>Annex F</w:t>
      </w:r>
      <w:r w:rsidR="009D76F9" w:rsidRPr="001E3842">
        <w:rPr>
          <w:rFonts w:asciiTheme="minorHAnsi" w:hAnsiTheme="minorHAnsi" w:cstheme="minorHAnsi"/>
          <w:sz w:val="22"/>
          <w:szCs w:val="22"/>
        </w:rPr>
        <w:t xml:space="preserve">: </w:t>
      </w:r>
      <w:r w:rsidR="001E3842" w:rsidRPr="001E3842">
        <w:rPr>
          <w:rFonts w:asciiTheme="minorHAnsi" w:hAnsiTheme="minorHAnsi" w:cstheme="minorHAnsi"/>
          <w:sz w:val="22"/>
          <w:szCs w:val="22"/>
        </w:rPr>
        <w:t>Dispute Resolution Escalation Process</w:t>
      </w:r>
      <w:bookmarkEnd w:id="56"/>
    </w:p>
    <w:p w14:paraId="3080A951" w14:textId="274BE0EE" w:rsidR="00B466F5" w:rsidRPr="001E3842" w:rsidRDefault="00BF3D5F" w:rsidP="001E3842">
      <w:pPr>
        <w:pStyle w:val="Heading1"/>
        <w:rPr>
          <w:rFonts w:asciiTheme="minorHAnsi" w:hAnsiTheme="minorHAnsi" w:cstheme="minorHAnsi"/>
          <w:sz w:val="22"/>
          <w:szCs w:val="22"/>
        </w:rPr>
      </w:pPr>
      <w:bookmarkStart w:id="57" w:name="_Toc110425108"/>
      <w:r w:rsidRPr="001E3842">
        <w:rPr>
          <w:rFonts w:asciiTheme="minorHAnsi" w:hAnsiTheme="minorHAnsi" w:cstheme="minorHAnsi"/>
          <w:sz w:val="22"/>
          <w:szCs w:val="22"/>
        </w:rPr>
        <w:t>Annex G</w:t>
      </w:r>
      <w:r w:rsidR="009D76F9" w:rsidRPr="001E3842">
        <w:rPr>
          <w:rFonts w:asciiTheme="minorHAnsi" w:hAnsiTheme="minorHAnsi" w:cstheme="minorHAnsi"/>
          <w:sz w:val="22"/>
          <w:szCs w:val="22"/>
        </w:rPr>
        <w:t xml:space="preserve">: </w:t>
      </w:r>
      <w:r w:rsidR="001E3842" w:rsidRPr="001E3842">
        <w:rPr>
          <w:rFonts w:asciiTheme="minorHAnsi" w:hAnsiTheme="minorHAnsi" w:cstheme="minorHAnsi"/>
          <w:sz w:val="22"/>
          <w:szCs w:val="22"/>
        </w:rPr>
        <w:t>TUPE List of Transferring Employees</w:t>
      </w:r>
      <w:bookmarkEnd w:id="57"/>
      <w:r w:rsidR="001C179B" w:rsidRPr="001E3842">
        <w:rPr>
          <w:rFonts w:asciiTheme="minorHAnsi" w:hAnsiTheme="minorHAnsi" w:cstheme="minorHAnsi"/>
          <w:sz w:val="22"/>
          <w:szCs w:val="22"/>
        </w:rPr>
        <w:t xml:space="preserve"> </w:t>
      </w:r>
    </w:p>
    <w:p w14:paraId="50A179E8" w14:textId="41E7CE40" w:rsidR="00211421" w:rsidRPr="001E3842" w:rsidRDefault="00211421" w:rsidP="001E3842">
      <w:pPr>
        <w:pStyle w:val="Heading1"/>
        <w:rPr>
          <w:rFonts w:asciiTheme="minorHAnsi" w:hAnsiTheme="minorHAnsi" w:cstheme="minorHAnsi"/>
          <w:sz w:val="22"/>
          <w:szCs w:val="22"/>
        </w:rPr>
      </w:pPr>
      <w:bookmarkStart w:id="58" w:name="_Toc110425109"/>
      <w:r w:rsidRPr="001E3842">
        <w:rPr>
          <w:rFonts w:asciiTheme="minorHAnsi" w:hAnsiTheme="minorHAnsi" w:cstheme="minorHAnsi"/>
          <w:sz w:val="22"/>
          <w:szCs w:val="22"/>
        </w:rPr>
        <w:t xml:space="preserve">Annex H: </w:t>
      </w:r>
      <w:r w:rsidR="001E3842" w:rsidRPr="001E3842">
        <w:rPr>
          <w:rFonts w:asciiTheme="minorHAnsi" w:hAnsiTheme="minorHAnsi" w:cstheme="minorHAnsi"/>
          <w:sz w:val="22"/>
          <w:szCs w:val="22"/>
        </w:rPr>
        <w:t>Form of Tender</w:t>
      </w:r>
      <w:bookmarkEnd w:id="58"/>
      <w:r w:rsidRPr="001E3842">
        <w:rPr>
          <w:rFonts w:asciiTheme="minorHAnsi" w:hAnsiTheme="minorHAnsi" w:cstheme="minorHAnsi"/>
          <w:sz w:val="22"/>
          <w:szCs w:val="22"/>
        </w:rPr>
        <w:t xml:space="preserve">  </w:t>
      </w:r>
    </w:p>
    <w:p w14:paraId="0FCCDC4D" w14:textId="21B73638" w:rsidR="00211421" w:rsidRPr="001E3842" w:rsidRDefault="00211421" w:rsidP="001E3842">
      <w:pPr>
        <w:pStyle w:val="Heading1"/>
        <w:rPr>
          <w:rFonts w:asciiTheme="minorHAnsi" w:hAnsiTheme="minorHAnsi" w:cstheme="minorHAnsi"/>
          <w:sz w:val="22"/>
          <w:szCs w:val="22"/>
        </w:rPr>
      </w:pPr>
      <w:bookmarkStart w:id="59" w:name="_Toc110425110"/>
      <w:r w:rsidRPr="001E3842">
        <w:rPr>
          <w:rFonts w:asciiTheme="minorHAnsi" w:hAnsiTheme="minorHAnsi" w:cstheme="minorHAnsi"/>
          <w:sz w:val="22"/>
          <w:szCs w:val="22"/>
        </w:rPr>
        <w:t xml:space="preserve">Annex I: </w:t>
      </w:r>
      <w:r w:rsidR="001E3842" w:rsidRPr="001E3842">
        <w:rPr>
          <w:rFonts w:asciiTheme="minorHAnsi" w:hAnsiTheme="minorHAnsi" w:cstheme="minorHAnsi"/>
          <w:sz w:val="22"/>
          <w:szCs w:val="22"/>
        </w:rPr>
        <w:t>Canvassing Declaration</w:t>
      </w:r>
      <w:bookmarkEnd w:id="59"/>
    </w:p>
    <w:p w14:paraId="0CA7CF4C" w14:textId="54CD6896" w:rsidR="001E3842" w:rsidRPr="001E3842" w:rsidRDefault="001E3842" w:rsidP="001E3842">
      <w:pPr>
        <w:pStyle w:val="Heading1"/>
        <w:rPr>
          <w:rFonts w:asciiTheme="minorHAnsi" w:hAnsiTheme="minorHAnsi" w:cstheme="minorHAnsi"/>
          <w:sz w:val="22"/>
          <w:szCs w:val="22"/>
        </w:rPr>
      </w:pPr>
      <w:bookmarkStart w:id="60" w:name="_Toc110425111"/>
      <w:r w:rsidRPr="001E3842">
        <w:rPr>
          <w:rFonts w:asciiTheme="minorHAnsi" w:hAnsiTheme="minorHAnsi" w:cstheme="minorHAnsi"/>
          <w:sz w:val="22"/>
          <w:szCs w:val="22"/>
        </w:rPr>
        <w:t>Annex J: Collusive Tendering Declaration</w:t>
      </w:r>
      <w:bookmarkEnd w:id="60"/>
    </w:p>
    <w:p w14:paraId="6732270C" w14:textId="7D6E56A2" w:rsidR="001E3842" w:rsidRPr="001E3842" w:rsidRDefault="001E3842" w:rsidP="001E3842">
      <w:pPr>
        <w:pStyle w:val="Heading1"/>
        <w:rPr>
          <w:rFonts w:asciiTheme="minorHAnsi" w:hAnsiTheme="minorHAnsi" w:cstheme="minorHAnsi"/>
          <w:sz w:val="22"/>
          <w:szCs w:val="22"/>
        </w:rPr>
      </w:pPr>
      <w:bookmarkStart w:id="61" w:name="_Toc110425112"/>
      <w:r w:rsidRPr="001E3842">
        <w:rPr>
          <w:rFonts w:asciiTheme="minorHAnsi" w:hAnsiTheme="minorHAnsi" w:cstheme="minorHAnsi"/>
          <w:sz w:val="22"/>
          <w:szCs w:val="22"/>
        </w:rPr>
        <w:t>Annex K: Conflict of Interest Declaration</w:t>
      </w:r>
      <w:bookmarkEnd w:id="61"/>
    </w:p>
    <w:p w14:paraId="0CFE81D6" w14:textId="4296C0EC" w:rsidR="001E3842" w:rsidRPr="001E3842" w:rsidRDefault="001E3842" w:rsidP="001E3842">
      <w:pPr>
        <w:pStyle w:val="Heading1"/>
        <w:rPr>
          <w:rFonts w:asciiTheme="minorHAnsi" w:hAnsiTheme="minorHAnsi" w:cstheme="minorHAnsi"/>
          <w:sz w:val="22"/>
          <w:szCs w:val="22"/>
        </w:rPr>
      </w:pPr>
      <w:bookmarkStart w:id="62" w:name="_Toc110425113"/>
      <w:r w:rsidRPr="001E3842">
        <w:rPr>
          <w:rFonts w:asciiTheme="minorHAnsi" w:hAnsiTheme="minorHAnsi" w:cstheme="minorHAnsi"/>
          <w:sz w:val="22"/>
          <w:szCs w:val="22"/>
        </w:rPr>
        <w:t>Annex L: Confidential and Commercially Sensitive Information</w:t>
      </w:r>
      <w:bookmarkEnd w:id="62"/>
    </w:p>
    <w:p w14:paraId="2C73EF8F" w14:textId="21BED083" w:rsidR="001E3842" w:rsidRPr="001E3842" w:rsidRDefault="001E3842" w:rsidP="001E3842">
      <w:pPr>
        <w:pStyle w:val="Heading1"/>
        <w:rPr>
          <w:rFonts w:asciiTheme="minorHAnsi" w:hAnsiTheme="minorHAnsi" w:cstheme="minorHAnsi"/>
          <w:sz w:val="22"/>
          <w:szCs w:val="22"/>
        </w:rPr>
      </w:pPr>
      <w:bookmarkStart w:id="63" w:name="_Toc110425114"/>
      <w:r w:rsidRPr="001E3842">
        <w:rPr>
          <w:rFonts w:asciiTheme="minorHAnsi" w:hAnsiTheme="minorHAnsi" w:cstheme="minorHAnsi"/>
          <w:sz w:val="22"/>
          <w:szCs w:val="22"/>
        </w:rPr>
        <w:t>Annex M: Sub-Contractor Form</w:t>
      </w:r>
      <w:bookmarkEnd w:id="63"/>
    </w:p>
    <w:p w14:paraId="3051EC43" w14:textId="09E228E3" w:rsidR="001E3842" w:rsidRPr="001E3842" w:rsidRDefault="001E3842" w:rsidP="001E3842">
      <w:pPr>
        <w:pStyle w:val="Heading1"/>
        <w:rPr>
          <w:rFonts w:asciiTheme="minorHAnsi" w:hAnsiTheme="minorHAnsi" w:cstheme="minorHAnsi"/>
          <w:sz w:val="22"/>
          <w:szCs w:val="22"/>
        </w:rPr>
      </w:pPr>
      <w:bookmarkStart w:id="64" w:name="_Toc110425115"/>
      <w:r w:rsidRPr="001E3842">
        <w:rPr>
          <w:rFonts w:asciiTheme="minorHAnsi" w:hAnsiTheme="minorHAnsi" w:cstheme="minorHAnsi"/>
          <w:sz w:val="22"/>
          <w:szCs w:val="22"/>
        </w:rPr>
        <w:t>Annex N: Guide to Writing a NCAPOP QI Plan</w:t>
      </w:r>
      <w:bookmarkEnd w:id="64"/>
    </w:p>
    <w:p w14:paraId="6B10AE09" w14:textId="46D91AE7" w:rsidR="00211421" w:rsidRPr="00211421" w:rsidRDefault="00211421" w:rsidP="00211421"/>
    <w:sectPr w:rsidR="00211421" w:rsidRPr="00211421" w:rsidSect="00104E9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4125" w14:textId="77777777" w:rsidR="000D2177" w:rsidRDefault="000D2177" w:rsidP="00866E86">
      <w:pPr>
        <w:spacing w:after="0" w:line="240" w:lineRule="auto"/>
      </w:pPr>
      <w:r>
        <w:separator/>
      </w:r>
    </w:p>
  </w:endnote>
  <w:endnote w:type="continuationSeparator" w:id="0">
    <w:p w14:paraId="36F874DE" w14:textId="77777777" w:rsidR="000D2177" w:rsidRDefault="000D2177" w:rsidP="0086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23339"/>
      <w:docPartObj>
        <w:docPartGallery w:val="Page Numbers (Bottom of Page)"/>
        <w:docPartUnique/>
      </w:docPartObj>
    </w:sdtPr>
    <w:sdtEndPr>
      <w:rPr>
        <w:noProof/>
      </w:rPr>
    </w:sdtEndPr>
    <w:sdtContent>
      <w:p w14:paraId="0F8EA467" w14:textId="36409A69" w:rsidR="000D2177" w:rsidRDefault="000D2177">
        <w:pPr>
          <w:pStyle w:val="Footer"/>
          <w:jc w:val="center"/>
        </w:pPr>
        <w:r>
          <w:fldChar w:fldCharType="begin"/>
        </w:r>
        <w:r>
          <w:instrText xml:space="preserve"> PAGE   \* MERGEFORMAT </w:instrText>
        </w:r>
        <w:r>
          <w:fldChar w:fldCharType="separate"/>
        </w:r>
        <w:r w:rsidR="00B15E10">
          <w:rPr>
            <w:noProof/>
          </w:rPr>
          <w:t>9</w:t>
        </w:r>
        <w:r>
          <w:rPr>
            <w:noProof/>
          </w:rPr>
          <w:fldChar w:fldCharType="end"/>
        </w:r>
      </w:p>
    </w:sdtContent>
  </w:sdt>
  <w:p w14:paraId="1B46EF32" w14:textId="77777777" w:rsidR="000D2177" w:rsidRDefault="000D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9E99" w14:textId="77777777" w:rsidR="000D2177" w:rsidRDefault="000D2177" w:rsidP="00866E86">
      <w:pPr>
        <w:spacing w:after="0" w:line="240" w:lineRule="auto"/>
      </w:pPr>
      <w:r>
        <w:separator/>
      </w:r>
    </w:p>
  </w:footnote>
  <w:footnote w:type="continuationSeparator" w:id="0">
    <w:p w14:paraId="48A1D85B" w14:textId="77777777" w:rsidR="000D2177" w:rsidRDefault="000D2177" w:rsidP="0086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CAA4" w14:textId="56E6942A" w:rsidR="000D2177" w:rsidRDefault="000D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D44"/>
    <w:multiLevelType w:val="hybridMultilevel"/>
    <w:tmpl w:val="2BD6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454"/>
    <w:multiLevelType w:val="multilevel"/>
    <w:tmpl w:val="A67EA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F3EC6"/>
    <w:multiLevelType w:val="multilevel"/>
    <w:tmpl w:val="2058181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22D6E"/>
    <w:multiLevelType w:val="multilevel"/>
    <w:tmpl w:val="172A11F8"/>
    <w:lvl w:ilvl="0">
      <w:start w:val="3"/>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2735C8"/>
    <w:multiLevelType w:val="hybridMultilevel"/>
    <w:tmpl w:val="4B60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A3687"/>
    <w:multiLevelType w:val="multilevel"/>
    <w:tmpl w:val="417C98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43AC9"/>
    <w:multiLevelType w:val="hybridMultilevel"/>
    <w:tmpl w:val="EF14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0D47"/>
    <w:multiLevelType w:val="multilevel"/>
    <w:tmpl w:val="2848B71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0E067F"/>
    <w:multiLevelType w:val="multilevel"/>
    <w:tmpl w:val="D6B0BE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7510EF"/>
    <w:multiLevelType w:val="hybridMultilevel"/>
    <w:tmpl w:val="95A6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25817"/>
    <w:multiLevelType w:val="multilevel"/>
    <w:tmpl w:val="69E03D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307F6"/>
    <w:multiLevelType w:val="multilevel"/>
    <w:tmpl w:val="AC4EC040"/>
    <w:lvl w:ilvl="0">
      <w:start w:val="3"/>
      <w:numFmt w:val="decimal"/>
      <w:lvlText w:val="%1"/>
      <w:lvlJc w:val="left"/>
      <w:pPr>
        <w:ind w:left="375" w:hanging="375"/>
      </w:pPr>
      <w:rPr>
        <w:rFonts w:hint="default"/>
        <w:sz w:val="22"/>
      </w:rPr>
    </w:lvl>
    <w:lvl w:ilvl="1">
      <w:start w:val="13"/>
      <w:numFmt w:val="decimal"/>
      <w:lvlText w:val="%1.%2"/>
      <w:lvlJc w:val="left"/>
      <w:pPr>
        <w:ind w:left="375" w:hanging="375"/>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2" w15:restartNumberingAfterBreak="0">
    <w:nsid w:val="17CA500C"/>
    <w:multiLevelType w:val="hybridMultilevel"/>
    <w:tmpl w:val="1F0C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87153"/>
    <w:multiLevelType w:val="hybridMultilevel"/>
    <w:tmpl w:val="C644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B1D1D"/>
    <w:multiLevelType w:val="multilevel"/>
    <w:tmpl w:val="2F9E27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A604E3"/>
    <w:multiLevelType w:val="multilevel"/>
    <w:tmpl w:val="DF60F098"/>
    <w:name w:val="M&amp;R"/>
    <w:lvl w:ilvl="0">
      <w:start w:val="1"/>
      <w:numFmt w:val="decimal"/>
      <w:lvlText w:val="%1"/>
      <w:lvlJc w:val="left"/>
      <w:pPr>
        <w:tabs>
          <w:tab w:val="num" w:pos="798"/>
        </w:tabs>
        <w:ind w:left="798"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Arial" w:hint="default"/>
        <w:b w:val="0"/>
        <w:sz w:val="20"/>
        <w:szCs w:val="20"/>
        <w:u w:val="none"/>
      </w:rPr>
    </w:lvl>
    <w:lvl w:ilvl="2">
      <w:start w:val="1"/>
      <w:numFmt w:val="bullet"/>
      <w:lvlText w:val=""/>
      <w:lvlJc w:val="left"/>
      <w:pPr>
        <w:tabs>
          <w:tab w:val="num" w:pos="2214"/>
        </w:tabs>
        <w:ind w:left="2214" w:hanging="1080"/>
      </w:pPr>
      <w:rPr>
        <w:rFonts w:ascii="Symbol" w:hAnsi="Symbol" w:hint="default"/>
        <w:b w:val="0"/>
        <w:i w:val="0"/>
        <w:sz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1FA23D07"/>
    <w:multiLevelType w:val="hybridMultilevel"/>
    <w:tmpl w:val="0562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AD21EB"/>
    <w:multiLevelType w:val="hybridMultilevel"/>
    <w:tmpl w:val="4B60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001788"/>
    <w:multiLevelType w:val="hybridMultilevel"/>
    <w:tmpl w:val="8D8A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B92CC9"/>
    <w:multiLevelType w:val="hybridMultilevel"/>
    <w:tmpl w:val="4AFCFA28"/>
    <w:lvl w:ilvl="0" w:tplc="615A30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C5CD7"/>
    <w:multiLevelType w:val="multilevel"/>
    <w:tmpl w:val="CF0EC3E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2244BE"/>
    <w:multiLevelType w:val="multilevel"/>
    <w:tmpl w:val="2C96DB6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A343892"/>
    <w:multiLevelType w:val="multilevel"/>
    <w:tmpl w:val="11625A5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6770A0"/>
    <w:multiLevelType w:val="hybridMultilevel"/>
    <w:tmpl w:val="EADC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897906"/>
    <w:multiLevelType w:val="hybridMultilevel"/>
    <w:tmpl w:val="38F6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D11927"/>
    <w:multiLevelType w:val="multilevel"/>
    <w:tmpl w:val="225EE3CA"/>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1123AA7"/>
    <w:multiLevelType w:val="multilevel"/>
    <w:tmpl w:val="CD2EF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316A8E"/>
    <w:multiLevelType w:val="hybridMultilevel"/>
    <w:tmpl w:val="A91297B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8121AE"/>
    <w:multiLevelType w:val="hybridMultilevel"/>
    <w:tmpl w:val="851042A2"/>
    <w:lvl w:ilvl="0" w:tplc="62C45CA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8649DC"/>
    <w:multiLevelType w:val="hybridMultilevel"/>
    <w:tmpl w:val="75BE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AC62A5"/>
    <w:multiLevelType w:val="multilevel"/>
    <w:tmpl w:val="2C1E05CE"/>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B097561"/>
    <w:multiLevelType w:val="multilevel"/>
    <w:tmpl w:val="F036C8F8"/>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Theme="minorHAnsi" w:hAnsiTheme="minorHAnsi" w:cstheme="minorHAnsi"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BAB5C52"/>
    <w:multiLevelType w:val="hybridMultilevel"/>
    <w:tmpl w:val="BF7CA2EA"/>
    <w:lvl w:ilvl="0" w:tplc="3B00BAB8">
      <w:start w:val="1"/>
      <w:numFmt w:val="decimal"/>
      <w:lvlText w:val="%1."/>
      <w:lvlJc w:val="left"/>
      <w:pPr>
        <w:ind w:left="360" w:hanging="360"/>
      </w:pPr>
      <w:rPr>
        <w:rFonts w:hint="default"/>
        <w:b/>
        <w:color w:val="416CB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DA82635"/>
    <w:multiLevelType w:val="multilevel"/>
    <w:tmpl w:val="BF3E2002"/>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F027FB3"/>
    <w:multiLevelType w:val="hybridMultilevel"/>
    <w:tmpl w:val="14BCCA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15F1EFD"/>
    <w:multiLevelType w:val="multilevel"/>
    <w:tmpl w:val="0554E19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27F3C4D"/>
    <w:multiLevelType w:val="multilevel"/>
    <w:tmpl w:val="9AC606DA"/>
    <w:lvl w:ilvl="0">
      <w:start w:val="3"/>
      <w:numFmt w:val="decimal"/>
      <w:lvlText w:val="%1"/>
      <w:lvlJc w:val="left"/>
      <w:pPr>
        <w:ind w:left="525" w:hanging="525"/>
      </w:pPr>
      <w:rPr>
        <w:rFonts w:hint="default"/>
      </w:rPr>
    </w:lvl>
    <w:lvl w:ilvl="1">
      <w:start w:val="16"/>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A429F2"/>
    <w:multiLevelType w:val="multilevel"/>
    <w:tmpl w:val="EB2A3110"/>
    <w:lvl w:ilvl="0">
      <w:start w:val="3"/>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71B196F"/>
    <w:multiLevelType w:val="hybridMultilevel"/>
    <w:tmpl w:val="EB78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605F2F"/>
    <w:multiLevelType w:val="hybridMultilevel"/>
    <w:tmpl w:val="A1CED4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444561"/>
    <w:multiLevelType w:val="multilevel"/>
    <w:tmpl w:val="A05ECF3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C912D63"/>
    <w:multiLevelType w:val="hybridMultilevel"/>
    <w:tmpl w:val="E5E4E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6547A8"/>
    <w:multiLevelType w:val="hybridMultilevel"/>
    <w:tmpl w:val="9716CA74"/>
    <w:lvl w:ilvl="0" w:tplc="DA5C8ECC">
      <w:start w:val="5"/>
      <w:numFmt w:val="decimal"/>
      <w:lvlText w:val="%1."/>
      <w:lvlJc w:val="left"/>
      <w:pPr>
        <w:ind w:left="720" w:hanging="360"/>
      </w:pPr>
      <w:rPr>
        <w:rFonts w:asciiTheme="minorHAnsi" w:eastAsiaTheme="minorHAnsi" w:hAnsiTheme="minorHAnsi" w:cstheme="minorHAns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4A7DFF"/>
    <w:multiLevelType w:val="multilevel"/>
    <w:tmpl w:val="E3F4B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3732C90"/>
    <w:multiLevelType w:val="hybridMultilevel"/>
    <w:tmpl w:val="009257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E6303C"/>
    <w:multiLevelType w:val="hybridMultilevel"/>
    <w:tmpl w:val="5C6047A6"/>
    <w:lvl w:ilvl="0" w:tplc="2B20EAE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5E32A3B"/>
    <w:multiLevelType w:val="multilevel"/>
    <w:tmpl w:val="C768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6426C2"/>
    <w:multiLevelType w:val="multilevel"/>
    <w:tmpl w:val="4EB29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15242B"/>
    <w:multiLevelType w:val="multilevel"/>
    <w:tmpl w:val="631A423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871D0"/>
    <w:multiLevelType w:val="hybridMultilevel"/>
    <w:tmpl w:val="25F80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5E6DAA"/>
    <w:multiLevelType w:val="hybridMultilevel"/>
    <w:tmpl w:val="D8385344"/>
    <w:lvl w:ilvl="0" w:tplc="95682E2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7840C6A"/>
    <w:multiLevelType w:val="hybridMultilevel"/>
    <w:tmpl w:val="F37C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380DAC"/>
    <w:multiLevelType w:val="multilevel"/>
    <w:tmpl w:val="95103132"/>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3" w15:restartNumberingAfterBreak="0">
    <w:nsid w:val="73FB3BD1"/>
    <w:multiLevelType w:val="multilevel"/>
    <w:tmpl w:val="0AA82518"/>
    <w:lvl w:ilvl="0">
      <w:start w:val="1"/>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4" w15:restartNumberingAfterBreak="0">
    <w:nsid w:val="74675A15"/>
    <w:multiLevelType w:val="multilevel"/>
    <w:tmpl w:val="27EA8F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1B4E08"/>
    <w:multiLevelType w:val="multilevel"/>
    <w:tmpl w:val="8C00445E"/>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5C132F2"/>
    <w:multiLevelType w:val="hybridMultilevel"/>
    <w:tmpl w:val="711C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E37900"/>
    <w:multiLevelType w:val="hybridMultilevel"/>
    <w:tmpl w:val="7BB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A16DE6"/>
    <w:multiLevelType w:val="hybridMultilevel"/>
    <w:tmpl w:val="D1B0DF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2063AC"/>
    <w:multiLevelType w:val="multilevel"/>
    <w:tmpl w:val="3746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846133">
    <w:abstractNumId w:val="24"/>
  </w:num>
  <w:num w:numId="2" w16cid:durableId="1302538978">
    <w:abstractNumId w:val="12"/>
  </w:num>
  <w:num w:numId="3" w16cid:durableId="890532738">
    <w:abstractNumId w:val="0"/>
  </w:num>
  <w:num w:numId="4" w16cid:durableId="628977703">
    <w:abstractNumId w:val="41"/>
  </w:num>
  <w:num w:numId="5" w16cid:durableId="635140700">
    <w:abstractNumId w:val="23"/>
  </w:num>
  <w:num w:numId="6" w16cid:durableId="1084497685">
    <w:abstractNumId w:val="29"/>
  </w:num>
  <w:num w:numId="7" w16cid:durableId="1921522379">
    <w:abstractNumId w:val="9"/>
  </w:num>
  <w:num w:numId="8" w16cid:durableId="584146914">
    <w:abstractNumId w:val="49"/>
  </w:num>
  <w:num w:numId="9" w16cid:durableId="753360746">
    <w:abstractNumId w:val="30"/>
  </w:num>
  <w:num w:numId="10" w16cid:durableId="1346712049">
    <w:abstractNumId w:val="38"/>
  </w:num>
  <w:num w:numId="11" w16cid:durableId="1480271317">
    <w:abstractNumId w:val="6"/>
  </w:num>
  <w:num w:numId="12" w16cid:durableId="1523590779">
    <w:abstractNumId w:val="37"/>
  </w:num>
  <w:num w:numId="13" w16cid:durableId="363756565">
    <w:abstractNumId w:val="13"/>
  </w:num>
  <w:num w:numId="14" w16cid:durableId="2076968921">
    <w:abstractNumId w:val="51"/>
  </w:num>
  <w:num w:numId="15" w16cid:durableId="637347745">
    <w:abstractNumId w:val="16"/>
  </w:num>
  <w:num w:numId="16" w16cid:durableId="1180243937">
    <w:abstractNumId w:val="45"/>
  </w:num>
  <w:num w:numId="17" w16cid:durableId="714082778">
    <w:abstractNumId w:val="21"/>
  </w:num>
  <w:num w:numId="18" w16cid:durableId="1144349903">
    <w:abstractNumId w:val="28"/>
  </w:num>
  <w:num w:numId="19" w16cid:durableId="2122331966">
    <w:abstractNumId w:val="7"/>
  </w:num>
  <w:num w:numId="20" w16cid:durableId="904754327">
    <w:abstractNumId w:val="33"/>
  </w:num>
  <w:num w:numId="21" w16cid:durableId="628825956">
    <w:abstractNumId w:val="20"/>
  </w:num>
  <w:num w:numId="22" w16cid:durableId="819421197">
    <w:abstractNumId w:val="40"/>
  </w:num>
  <w:num w:numId="23" w16cid:durableId="1708528412">
    <w:abstractNumId w:val="25"/>
  </w:num>
  <w:num w:numId="24" w16cid:durableId="1550066716">
    <w:abstractNumId w:val="34"/>
  </w:num>
  <w:num w:numId="25" w16cid:durableId="2089111550">
    <w:abstractNumId w:val="57"/>
  </w:num>
  <w:num w:numId="26" w16cid:durableId="1770084952">
    <w:abstractNumId w:val="35"/>
  </w:num>
  <w:num w:numId="27" w16cid:durableId="1420440802">
    <w:abstractNumId w:val="3"/>
  </w:num>
  <w:num w:numId="28" w16cid:durableId="718700004">
    <w:abstractNumId w:val="11"/>
  </w:num>
  <w:num w:numId="29" w16cid:durableId="969745526">
    <w:abstractNumId w:val="36"/>
  </w:num>
  <w:num w:numId="30" w16cid:durableId="820194775">
    <w:abstractNumId w:val="22"/>
  </w:num>
  <w:num w:numId="31" w16cid:durableId="1609772257">
    <w:abstractNumId w:val="46"/>
  </w:num>
  <w:num w:numId="32" w16cid:durableId="2054889005">
    <w:abstractNumId w:val="59"/>
  </w:num>
  <w:num w:numId="33" w16cid:durableId="1819489341">
    <w:abstractNumId w:val="5"/>
    <w:lvlOverride w:ilvl="0">
      <w:lvl w:ilvl="0">
        <w:numFmt w:val="decimal"/>
        <w:lvlText w:val="%1."/>
        <w:lvlJc w:val="left"/>
      </w:lvl>
    </w:lvlOverride>
  </w:num>
  <w:num w:numId="34" w16cid:durableId="1123113695">
    <w:abstractNumId w:val="48"/>
    <w:lvlOverride w:ilvl="0">
      <w:lvl w:ilvl="0">
        <w:numFmt w:val="decimal"/>
        <w:lvlText w:val="%1."/>
        <w:lvlJc w:val="left"/>
      </w:lvl>
    </w:lvlOverride>
  </w:num>
  <w:num w:numId="35" w16cid:durableId="579867896">
    <w:abstractNumId w:val="14"/>
    <w:lvlOverride w:ilvl="0">
      <w:lvl w:ilvl="0">
        <w:numFmt w:val="decimal"/>
        <w:lvlText w:val="%1."/>
        <w:lvlJc w:val="left"/>
      </w:lvl>
    </w:lvlOverride>
  </w:num>
  <w:num w:numId="36" w16cid:durableId="448158707">
    <w:abstractNumId w:val="54"/>
    <w:lvlOverride w:ilvl="0">
      <w:lvl w:ilvl="0">
        <w:numFmt w:val="decimal"/>
        <w:lvlText w:val="%1."/>
        <w:lvlJc w:val="left"/>
      </w:lvl>
    </w:lvlOverride>
  </w:num>
  <w:num w:numId="37" w16cid:durableId="993725649">
    <w:abstractNumId w:val="10"/>
    <w:lvlOverride w:ilvl="0">
      <w:lvl w:ilvl="0">
        <w:numFmt w:val="decimal"/>
        <w:lvlText w:val="%1."/>
        <w:lvlJc w:val="left"/>
      </w:lvl>
    </w:lvlOverride>
  </w:num>
  <w:num w:numId="38" w16cid:durableId="1903054649">
    <w:abstractNumId w:val="32"/>
  </w:num>
  <w:num w:numId="39" w16cid:durableId="596865367">
    <w:abstractNumId w:val="47"/>
  </w:num>
  <w:num w:numId="40" w16cid:durableId="2004502972">
    <w:abstractNumId w:val="31"/>
  </w:num>
  <w:num w:numId="41" w16cid:durableId="1701468239">
    <w:abstractNumId w:val="53"/>
  </w:num>
  <w:num w:numId="42" w16cid:durableId="1326397671">
    <w:abstractNumId w:val="50"/>
  </w:num>
  <w:num w:numId="43" w16cid:durableId="1127822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8775515">
    <w:abstractNumId w:val="8"/>
  </w:num>
  <w:num w:numId="45" w16cid:durableId="2002156939">
    <w:abstractNumId w:val="27"/>
  </w:num>
  <w:num w:numId="46" w16cid:durableId="2030178321">
    <w:abstractNumId w:val="42"/>
  </w:num>
  <w:num w:numId="47" w16cid:durableId="1099368321">
    <w:abstractNumId w:val="19"/>
  </w:num>
  <w:num w:numId="48" w16cid:durableId="111094903">
    <w:abstractNumId w:val="15"/>
  </w:num>
  <w:num w:numId="49" w16cid:durableId="1043210590">
    <w:abstractNumId w:val="17"/>
  </w:num>
  <w:num w:numId="50" w16cid:durableId="1223635601">
    <w:abstractNumId w:val="4"/>
  </w:num>
  <w:num w:numId="51" w16cid:durableId="160380529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4723963">
    <w:abstractNumId w:val="43"/>
  </w:num>
  <w:num w:numId="53" w16cid:durableId="1284965991">
    <w:abstractNumId w:val="18"/>
  </w:num>
  <w:num w:numId="54" w16cid:durableId="452869902">
    <w:abstractNumId w:val="56"/>
  </w:num>
  <w:num w:numId="55" w16cid:durableId="1616445912">
    <w:abstractNumId w:val="49"/>
  </w:num>
  <w:num w:numId="56" w16cid:durableId="886063480">
    <w:abstractNumId w:val="58"/>
  </w:num>
  <w:num w:numId="57" w16cid:durableId="307321802">
    <w:abstractNumId w:val="44"/>
  </w:num>
  <w:num w:numId="58" w16cid:durableId="805051519">
    <w:abstractNumId w:val="1"/>
  </w:num>
  <w:num w:numId="59" w16cid:durableId="474879211">
    <w:abstractNumId w:val="55"/>
  </w:num>
  <w:num w:numId="60" w16cid:durableId="2066483526">
    <w:abstractNumId w:val="26"/>
  </w:num>
  <w:num w:numId="61" w16cid:durableId="466837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86"/>
    <w:rsid w:val="00010687"/>
    <w:rsid w:val="00015A38"/>
    <w:rsid w:val="00016855"/>
    <w:rsid w:val="00021B63"/>
    <w:rsid w:val="0003006F"/>
    <w:rsid w:val="0004099B"/>
    <w:rsid w:val="00044A9E"/>
    <w:rsid w:val="00046738"/>
    <w:rsid w:val="000501D5"/>
    <w:rsid w:val="00050E5A"/>
    <w:rsid w:val="00050F31"/>
    <w:rsid w:val="00054896"/>
    <w:rsid w:val="0006083D"/>
    <w:rsid w:val="0006275F"/>
    <w:rsid w:val="00065982"/>
    <w:rsid w:val="00065FA8"/>
    <w:rsid w:val="00066A1C"/>
    <w:rsid w:val="000722BF"/>
    <w:rsid w:val="00073108"/>
    <w:rsid w:val="000739CE"/>
    <w:rsid w:val="00083273"/>
    <w:rsid w:val="000900B1"/>
    <w:rsid w:val="000903D3"/>
    <w:rsid w:val="0009058F"/>
    <w:rsid w:val="0009170A"/>
    <w:rsid w:val="00095901"/>
    <w:rsid w:val="000972B2"/>
    <w:rsid w:val="000B0503"/>
    <w:rsid w:val="000B3274"/>
    <w:rsid w:val="000D0D49"/>
    <w:rsid w:val="000D0EB3"/>
    <w:rsid w:val="000D1F7D"/>
    <w:rsid w:val="000D2177"/>
    <w:rsid w:val="000D5703"/>
    <w:rsid w:val="000D78DA"/>
    <w:rsid w:val="000E230E"/>
    <w:rsid w:val="000E4A63"/>
    <w:rsid w:val="000E4B55"/>
    <w:rsid w:val="000E4EDC"/>
    <w:rsid w:val="000F0371"/>
    <w:rsid w:val="000F1F16"/>
    <w:rsid w:val="000F53D3"/>
    <w:rsid w:val="001000A3"/>
    <w:rsid w:val="00100568"/>
    <w:rsid w:val="00101139"/>
    <w:rsid w:val="00101FEA"/>
    <w:rsid w:val="00104E97"/>
    <w:rsid w:val="00111765"/>
    <w:rsid w:val="001152B9"/>
    <w:rsid w:val="00115D21"/>
    <w:rsid w:val="00115E65"/>
    <w:rsid w:val="001235BD"/>
    <w:rsid w:val="00130688"/>
    <w:rsid w:val="001434C2"/>
    <w:rsid w:val="00144693"/>
    <w:rsid w:val="0014506E"/>
    <w:rsid w:val="00146FCD"/>
    <w:rsid w:val="00154EBE"/>
    <w:rsid w:val="00167AD8"/>
    <w:rsid w:val="00175DF4"/>
    <w:rsid w:val="00191E69"/>
    <w:rsid w:val="0019727A"/>
    <w:rsid w:val="001A24C7"/>
    <w:rsid w:val="001A3010"/>
    <w:rsid w:val="001A681A"/>
    <w:rsid w:val="001B0049"/>
    <w:rsid w:val="001B12F1"/>
    <w:rsid w:val="001C179B"/>
    <w:rsid w:val="001C1F69"/>
    <w:rsid w:val="001D1004"/>
    <w:rsid w:val="001D33DA"/>
    <w:rsid w:val="001D47F9"/>
    <w:rsid w:val="001E3842"/>
    <w:rsid w:val="001E3CFF"/>
    <w:rsid w:val="00200852"/>
    <w:rsid w:val="002050A7"/>
    <w:rsid w:val="00211421"/>
    <w:rsid w:val="00213063"/>
    <w:rsid w:val="0022196C"/>
    <w:rsid w:val="0022406E"/>
    <w:rsid w:val="002376CE"/>
    <w:rsid w:val="00246A51"/>
    <w:rsid w:val="00256F33"/>
    <w:rsid w:val="0027190B"/>
    <w:rsid w:val="00275A50"/>
    <w:rsid w:val="0027610B"/>
    <w:rsid w:val="00280CF8"/>
    <w:rsid w:val="00282A61"/>
    <w:rsid w:val="0028486C"/>
    <w:rsid w:val="00285A85"/>
    <w:rsid w:val="00286068"/>
    <w:rsid w:val="0028623C"/>
    <w:rsid w:val="00290389"/>
    <w:rsid w:val="00295021"/>
    <w:rsid w:val="002A1068"/>
    <w:rsid w:val="002A36F0"/>
    <w:rsid w:val="002A5567"/>
    <w:rsid w:val="002B031A"/>
    <w:rsid w:val="002B0893"/>
    <w:rsid w:val="002B4830"/>
    <w:rsid w:val="002B7171"/>
    <w:rsid w:val="002C030B"/>
    <w:rsid w:val="002D3901"/>
    <w:rsid w:val="002F0C46"/>
    <w:rsid w:val="002F189A"/>
    <w:rsid w:val="002F2EE3"/>
    <w:rsid w:val="002F3689"/>
    <w:rsid w:val="00303D8D"/>
    <w:rsid w:val="00303FE0"/>
    <w:rsid w:val="00307435"/>
    <w:rsid w:val="0031146D"/>
    <w:rsid w:val="00314E8D"/>
    <w:rsid w:val="003160DE"/>
    <w:rsid w:val="00321896"/>
    <w:rsid w:val="0032579D"/>
    <w:rsid w:val="0032691D"/>
    <w:rsid w:val="00335A86"/>
    <w:rsid w:val="00335D82"/>
    <w:rsid w:val="003405D5"/>
    <w:rsid w:val="003431F9"/>
    <w:rsid w:val="00343E30"/>
    <w:rsid w:val="003528DC"/>
    <w:rsid w:val="00357688"/>
    <w:rsid w:val="00361FF2"/>
    <w:rsid w:val="0036267C"/>
    <w:rsid w:val="00363211"/>
    <w:rsid w:val="00376735"/>
    <w:rsid w:val="00384030"/>
    <w:rsid w:val="00387038"/>
    <w:rsid w:val="003902ED"/>
    <w:rsid w:val="003A096D"/>
    <w:rsid w:val="003A1773"/>
    <w:rsid w:val="003A69C7"/>
    <w:rsid w:val="003B0D5A"/>
    <w:rsid w:val="003B2431"/>
    <w:rsid w:val="003B26FD"/>
    <w:rsid w:val="003B4FD1"/>
    <w:rsid w:val="003D0249"/>
    <w:rsid w:val="003D6A3A"/>
    <w:rsid w:val="003E4979"/>
    <w:rsid w:val="003E4D05"/>
    <w:rsid w:val="003E7945"/>
    <w:rsid w:val="003E7EE9"/>
    <w:rsid w:val="003F0190"/>
    <w:rsid w:val="003F6161"/>
    <w:rsid w:val="003F68D4"/>
    <w:rsid w:val="004029FB"/>
    <w:rsid w:val="0041341D"/>
    <w:rsid w:val="004136BF"/>
    <w:rsid w:val="0041552D"/>
    <w:rsid w:val="0042154F"/>
    <w:rsid w:val="0042347E"/>
    <w:rsid w:val="00424330"/>
    <w:rsid w:val="004305EC"/>
    <w:rsid w:val="00431201"/>
    <w:rsid w:val="0044427E"/>
    <w:rsid w:val="00450AF7"/>
    <w:rsid w:val="00451F6A"/>
    <w:rsid w:val="004600A3"/>
    <w:rsid w:val="004603B8"/>
    <w:rsid w:val="0046396E"/>
    <w:rsid w:val="00464DEB"/>
    <w:rsid w:val="00471ACB"/>
    <w:rsid w:val="00471B75"/>
    <w:rsid w:val="00472982"/>
    <w:rsid w:val="00474318"/>
    <w:rsid w:val="004753B8"/>
    <w:rsid w:val="00476585"/>
    <w:rsid w:val="00476CE6"/>
    <w:rsid w:val="00477F92"/>
    <w:rsid w:val="004812DF"/>
    <w:rsid w:val="0048222C"/>
    <w:rsid w:val="00482E12"/>
    <w:rsid w:val="00483899"/>
    <w:rsid w:val="0048488E"/>
    <w:rsid w:val="00484A0F"/>
    <w:rsid w:val="00486017"/>
    <w:rsid w:val="00486AF5"/>
    <w:rsid w:val="00492745"/>
    <w:rsid w:val="004933D7"/>
    <w:rsid w:val="00494718"/>
    <w:rsid w:val="00496801"/>
    <w:rsid w:val="004A3831"/>
    <w:rsid w:val="004A7869"/>
    <w:rsid w:val="004C31A1"/>
    <w:rsid w:val="004C43F9"/>
    <w:rsid w:val="004D0BE7"/>
    <w:rsid w:val="004D2209"/>
    <w:rsid w:val="004D275C"/>
    <w:rsid w:val="004D78B1"/>
    <w:rsid w:val="004F03F7"/>
    <w:rsid w:val="004F1A31"/>
    <w:rsid w:val="004F1B0B"/>
    <w:rsid w:val="004F3B8F"/>
    <w:rsid w:val="004F4B60"/>
    <w:rsid w:val="0050103F"/>
    <w:rsid w:val="005054C9"/>
    <w:rsid w:val="005105DB"/>
    <w:rsid w:val="005145C8"/>
    <w:rsid w:val="005158C6"/>
    <w:rsid w:val="00515F1A"/>
    <w:rsid w:val="00517494"/>
    <w:rsid w:val="00523242"/>
    <w:rsid w:val="00526349"/>
    <w:rsid w:val="005270D2"/>
    <w:rsid w:val="00531A9E"/>
    <w:rsid w:val="00535A5D"/>
    <w:rsid w:val="00540B8E"/>
    <w:rsid w:val="005435E0"/>
    <w:rsid w:val="0054514F"/>
    <w:rsid w:val="00546F3F"/>
    <w:rsid w:val="00552366"/>
    <w:rsid w:val="00554746"/>
    <w:rsid w:val="0055541D"/>
    <w:rsid w:val="0055718D"/>
    <w:rsid w:val="0056244B"/>
    <w:rsid w:val="0056538A"/>
    <w:rsid w:val="00566D85"/>
    <w:rsid w:val="005708D4"/>
    <w:rsid w:val="00573299"/>
    <w:rsid w:val="00580218"/>
    <w:rsid w:val="00584AE7"/>
    <w:rsid w:val="00586130"/>
    <w:rsid w:val="00594CC4"/>
    <w:rsid w:val="00595CE1"/>
    <w:rsid w:val="005A174E"/>
    <w:rsid w:val="005A4EFD"/>
    <w:rsid w:val="005B547B"/>
    <w:rsid w:val="005B679F"/>
    <w:rsid w:val="005B7374"/>
    <w:rsid w:val="005D1827"/>
    <w:rsid w:val="005F31D5"/>
    <w:rsid w:val="005F4006"/>
    <w:rsid w:val="005F723B"/>
    <w:rsid w:val="00602475"/>
    <w:rsid w:val="00602B24"/>
    <w:rsid w:val="0060328F"/>
    <w:rsid w:val="00605114"/>
    <w:rsid w:val="00606574"/>
    <w:rsid w:val="00607B6F"/>
    <w:rsid w:val="0061228D"/>
    <w:rsid w:val="006409FB"/>
    <w:rsid w:val="00640F7D"/>
    <w:rsid w:val="006418BC"/>
    <w:rsid w:val="00643ECD"/>
    <w:rsid w:val="00645E3D"/>
    <w:rsid w:val="00647754"/>
    <w:rsid w:val="006647A1"/>
    <w:rsid w:val="00666D44"/>
    <w:rsid w:val="00693E7B"/>
    <w:rsid w:val="006A63FE"/>
    <w:rsid w:val="006B0661"/>
    <w:rsid w:val="006B0C4C"/>
    <w:rsid w:val="006B451F"/>
    <w:rsid w:val="006C0C2C"/>
    <w:rsid w:val="006C6ED8"/>
    <w:rsid w:val="006D158D"/>
    <w:rsid w:val="006D1AD0"/>
    <w:rsid w:val="006D33BD"/>
    <w:rsid w:val="006D551F"/>
    <w:rsid w:val="006D6419"/>
    <w:rsid w:val="006E3253"/>
    <w:rsid w:val="006E7697"/>
    <w:rsid w:val="006F0045"/>
    <w:rsid w:val="006F081F"/>
    <w:rsid w:val="006F1740"/>
    <w:rsid w:val="006F3D61"/>
    <w:rsid w:val="006F740C"/>
    <w:rsid w:val="006F79E1"/>
    <w:rsid w:val="00701442"/>
    <w:rsid w:val="00704295"/>
    <w:rsid w:val="00705D2E"/>
    <w:rsid w:val="00707A9C"/>
    <w:rsid w:val="00715F1B"/>
    <w:rsid w:val="007212B8"/>
    <w:rsid w:val="00721D1C"/>
    <w:rsid w:val="007306C1"/>
    <w:rsid w:val="00731C23"/>
    <w:rsid w:val="00733E27"/>
    <w:rsid w:val="007362FE"/>
    <w:rsid w:val="007441EF"/>
    <w:rsid w:val="00744F62"/>
    <w:rsid w:val="00752160"/>
    <w:rsid w:val="00754C7C"/>
    <w:rsid w:val="007566FC"/>
    <w:rsid w:val="0076504A"/>
    <w:rsid w:val="00766BF3"/>
    <w:rsid w:val="0077009E"/>
    <w:rsid w:val="0077264A"/>
    <w:rsid w:val="00774C53"/>
    <w:rsid w:val="0078766D"/>
    <w:rsid w:val="00787FB5"/>
    <w:rsid w:val="00790D2E"/>
    <w:rsid w:val="007910FE"/>
    <w:rsid w:val="00794127"/>
    <w:rsid w:val="00794198"/>
    <w:rsid w:val="007947BB"/>
    <w:rsid w:val="007A09C4"/>
    <w:rsid w:val="007A62E5"/>
    <w:rsid w:val="007B00C9"/>
    <w:rsid w:val="007B1CC1"/>
    <w:rsid w:val="007B47E8"/>
    <w:rsid w:val="007C2CBE"/>
    <w:rsid w:val="007C5CDD"/>
    <w:rsid w:val="007C6BE7"/>
    <w:rsid w:val="007D1B39"/>
    <w:rsid w:val="007D64EB"/>
    <w:rsid w:val="007E4431"/>
    <w:rsid w:val="0080284C"/>
    <w:rsid w:val="00802BA4"/>
    <w:rsid w:val="008112FF"/>
    <w:rsid w:val="008120AC"/>
    <w:rsid w:val="00813F8E"/>
    <w:rsid w:val="008253BE"/>
    <w:rsid w:val="008351E0"/>
    <w:rsid w:val="00837330"/>
    <w:rsid w:val="00837DA6"/>
    <w:rsid w:val="00847F2A"/>
    <w:rsid w:val="00847F6B"/>
    <w:rsid w:val="00850BB5"/>
    <w:rsid w:val="00852382"/>
    <w:rsid w:val="00860DB4"/>
    <w:rsid w:val="008630BA"/>
    <w:rsid w:val="008647C5"/>
    <w:rsid w:val="00865E7B"/>
    <w:rsid w:val="00866E86"/>
    <w:rsid w:val="00870863"/>
    <w:rsid w:val="00871F23"/>
    <w:rsid w:val="0087259F"/>
    <w:rsid w:val="00875964"/>
    <w:rsid w:val="00876122"/>
    <w:rsid w:val="0088257A"/>
    <w:rsid w:val="00886A47"/>
    <w:rsid w:val="008877B3"/>
    <w:rsid w:val="0089294D"/>
    <w:rsid w:val="00896A66"/>
    <w:rsid w:val="008977C8"/>
    <w:rsid w:val="008A0C8F"/>
    <w:rsid w:val="008A1D32"/>
    <w:rsid w:val="008A4189"/>
    <w:rsid w:val="008A7CFE"/>
    <w:rsid w:val="008B1AF1"/>
    <w:rsid w:val="008B3AF6"/>
    <w:rsid w:val="008B663C"/>
    <w:rsid w:val="008C084E"/>
    <w:rsid w:val="008C6633"/>
    <w:rsid w:val="008C6BAB"/>
    <w:rsid w:val="008C7DC8"/>
    <w:rsid w:val="008D7A0E"/>
    <w:rsid w:val="008E0CDE"/>
    <w:rsid w:val="008E1412"/>
    <w:rsid w:val="008E256C"/>
    <w:rsid w:val="008E60F0"/>
    <w:rsid w:val="008F3896"/>
    <w:rsid w:val="008F39EB"/>
    <w:rsid w:val="008F594B"/>
    <w:rsid w:val="008F7BB4"/>
    <w:rsid w:val="00917D23"/>
    <w:rsid w:val="00924A19"/>
    <w:rsid w:val="0092789F"/>
    <w:rsid w:val="009363CB"/>
    <w:rsid w:val="00942C24"/>
    <w:rsid w:val="00950D08"/>
    <w:rsid w:val="00956FB2"/>
    <w:rsid w:val="009577A2"/>
    <w:rsid w:val="009625A0"/>
    <w:rsid w:val="0096269C"/>
    <w:rsid w:val="00964B03"/>
    <w:rsid w:val="009657E7"/>
    <w:rsid w:val="009669BB"/>
    <w:rsid w:val="0096794F"/>
    <w:rsid w:val="00970172"/>
    <w:rsid w:val="009702CB"/>
    <w:rsid w:val="00972ACC"/>
    <w:rsid w:val="00975082"/>
    <w:rsid w:val="00987409"/>
    <w:rsid w:val="00990B71"/>
    <w:rsid w:val="009935B9"/>
    <w:rsid w:val="00993C5A"/>
    <w:rsid w:val="009A7D62"/>
    <w:rsid w:val="009B0B6D"/>
    <w:rsid w:val="009B125C"/>
    <w:rsid w:val="009B5615"/>
    <w:rsid w:val="009B6D18"/>
    <w:rsid w:val="009C0C66"/>
    <w:rsid w:val="009C213F"/>
    <w:rsid w:val="009C5A9F"/>
    <w:rsid w:val="009C5AB8"/>
    <w:rsid w:val="009D40FC"/>
    <w:rsid w:val="009D76BE"/>
    <w:rsid w:val="009D76F9"/>
    <w:rsid w:val="009D7BBD"/>
    <w:rsid w:val="009E6C89"/>
    <w:rsid w:val="009F5193"/>
    <w:rsid w:val="009F7845"/>
    <w:rsid w:val="00A02125"/>
    <w:rsid w:val="00A16085"/>
    <w:rsid w:val="00A22FE8"/>
    <w:rsid w:val="00A250C7"/>
    <w:rsid w:val="00A348A0"/>
    <w:rsid w:val="00A4121A"/>
    <w:rsid w:val="00A417CD"/>
    <w:rsid w:val="00A4548F"/>
    <w:rsid w:val="00A46AF5"/>
    <w:rsid w:val="00A50C85"/>
    <w:rsid w:val="00A50CB8"/>
    <w:rsid w:val="00A554E3"/>
    <w:rsid w:val="00A622E4"/>
    <w:rsid w:val="00A6230A"/>
    <w:rsid w:val="00A65FC7"/>
    <w:rsid w:val="00A84D2B"/>
    <w:rsid w:val="00A85387"/>
    <w:rsid w:val="00A87397"/>
    <w:rsid w:val="00A91926"/>
    <w:rsid w:val="00A9489C"/>
    <w:rsid w:val="00A97330"/>
    <w:rsid w:val="00A97D7E"/>
    <w:rsid w:val="00AA0A57"/>
    <w:rsid w:val="00AA5C19"/>
    <w:rsid w:val="00AA77D2"/>
    <w:rsid w:val="00AB03F0"/>
    <w:rsid w:val="00AB35A8"/>
    <w:rsid w:val="00AB7B41"/>
    <w:rsid w:val="00AC1802"/>
    <w:rsid w:val="00AE391C"/>
    <w:rsid w:val="00AE4D6D"/>
    <w:rsid w:val="00AE6315"/>
    <w:rsid w:val="00AE7762"/>
    <w:rsid w:val="00AF0F16"/>
    <w:rsid w:val="00AF1914"/>
    <w:rsid w:val="00AF45BB"/>
    <w:rsid w:val="00AF5021"/>
    <w:rsid w:val="00AF5CA9"/>
    <w:rsid w:val="00B000C2"/>
    <w:rsid w:val="00B01B14"/>
    <w:rsid w:val="00B02A38"/>
    <w:rsid w:val="00B065D1"/>
    <w:rsid w:val="00B13573"/>
    <w:rsid w:val="00B13DD0"/>
    <w:rsid w:val="00B15E10"/>
    <w:rsid w:val="00B31E88"/>
    <w:rsid w:val="00B4112A"/>
    <w:rsid w:val="00B45B25"/>
    <w:rsid w:val="00B466F5"/>
    <w:rsid w:val="00B47E4A"/>
    <w:rsid w:val="00B514E4"/>
    <w:rsid w:val="00B51CBC"/>
    <w:rsid w:val="00B60484"/>
    <w:rsid w:val="00B608A5"/>
    <w:rsid w:val="00B6313A"/>
    <w:rsid w:val="00B70803"/>
    <w:rsid w:val="00B728FB"/>
    <w:rsid w:val="00B72BCF"/>
    <w:rsid w:val="00B90BE0"/>
    <w:rsid w:val="00B9192F"/>
    <w:rsid w:val="00BA5280"/>
    <w:rsid w:val="00BA76F7"/>
    <w:rsid w:val="00BB6567"/>
    <w:rsid w:val="00BC0EB1"/>
    <w:rsid w:val="00BC33E7"/>
    <w:rsid w:val="00BC55EE"/>
    <w:rsid w:val="00BD0B9B"/>
    <w:rsid w:val="00BD5155"/>
    <w:rsid w:val="00BE06FB"/>
    <w:rsid w:val="00BE52DD"/>
    <w:rsid w:val="00BE59B1"/>
    <w:rsid w:val="00BE6EF7"/>
    <w:rsid w:val="00BF1EF8"/>
    <w:rsid w:val="00BF3D5F"/>
    <w:rsid w:val="00BF74D2"/>
    <w:rsid w:val="00BF7DBB"/>
    <w:rsid w:val="00C0183F"/>
    <w:rsid w:val="00C10058"/>
    <w:rsid w:val="00C14CF4"/>
    <w:rsid w:val="00C16487"/>
    <w:rsid w:val="00C30150"/>
    <w:rsid w:val="00C31A82"/>
    <w:rsid w:val="00C31C76"/>
    <w:rsid w:val="00C352AC"/>
    <w:rsid w:val="00C35F3E"/>
    <w:rsid w:val="00C36576"/>
    <w:rsid w:val="00C3762B"/>
    <w:rsid w:val="00C6327E"/>
    <w:rsid w:val="00C647E1"/>
    <w:rsid w:val="00C65091"/>
    <w:rsid w:val="00C66CD3"/>
    <w:rsid w:val="00C677BE"/>
    <w:rsid w:val="00C71557"/>
    <w:rsid w:val="00C72D9C"/>
    <w:rsid w:val="00C75141"/>
    <w:rsid w:val="00C90487"/>
    <w:rsid w:val="00C90BBA"/>
    <w:rsid w:val="00CA007E"/>
    <w:rsid w:val="00CA2E94"/>
    <w:rsid w:val="00CB0B94"/>
    <w:rsid w:val="00CB4932"/>
    <w:rsid w:val="00CB4990"/>
    <w:rsid w:val="00CB7304"/>
    <w:rsid w:val="00CC25AA"/>
    <w:rsid w:val="00CC2E27"/>
    <w:rsid w:val="00CC51E2"/>
    <w:rsid w:val="00CD0E59"/>
    <w:rsid w:val="00CF1269"/>
    <w:rsid w:val="00CF5192"/>
    <w:rsid w:val="00CF59CE"/>
    <w:rsid w:val="00D02457"/>
    <w:rsid w:val="00D07E9F"/>
    <w:rsid w:val="00D14187"/>
    <w:rsid w:val="00D15514"/>
    <w:rsid w:val="00D209DC"/>
    <w:rsid w:val="00D22D0B"/>
    <w:rsid w:val="00D30FA1"/>
    <w:rsid w:val="00D325DC"/>
    <w:rsid w:val="00D37D6C"/>
    <w:rsid w:val="00D40EF6"/>
    <w:rsid w:val="00D43242"/>
    <w:rsid w:val="00D537A2"/>
    <w:rsid w:val="00D564D3"/>
    <w:rsid w:val="00D7186E"/>
    <w:rsid w:val="00D74283"/>
    <w:rsid w:val="00D75ED3"/>
    <w:rsid w:val="00D81FFA"/>
    <w:rsid w:val="00D8378D"/>
    <w:rsid w:val="00D86BE4"/>
    <w:rsid w:val="00D972E4"/>
    <w:rsid w:val="00DA211E"/>
    <w:rsid w:val="00DA3908"/>
    <w:rsid w:val="00DA6E4D"/>
    <w:rsid w:val="00DA77CF"/>
    <w:rsid w:val="00DB34D6"/>
    <w:rsid w:val="00DB44FD"/>
    <w:rsid w:val="00DB534B"/>
    <w:rsid w:val="00DC641E"/>
    <w:rsid w:val="00DD0131"/>
    <w:rsid w:val="00DD21F1"/>
    <w:rsid w:val="00DD2CA4"/>
    <w:rsid w:val="00DD59FE"/>
    <w:rsid w:val="00DE0885"/>
    <w:rsid w:val="00DE17C1"/>
    <w:rsid w:val="00DE6C6A"/>
    <w:rsid w:val="00DF099F"/>
    <w:rsid w:val="00DF2DE7"/>
    <w:rsid w:val="00DF4A34"/>
    <w:rsid w:val="00DF69E9"/>
    <w:rsid w:val="00E022FF"/>
    <w:rsid w:val="00E02ADA"/>
    <w:rsid w:val="00E03A62"/>
    <w:rsid w:val="00E03B2E"/>
    <w:rsid w:val="00E04E00"/>
    <w:rsid w:val="00E052FF"/>
    <w:rsid w:val="00E1043D"/>
    <w:rsid w:val="00E131F5"/>
    <w:rsid w:val="00E13253"/>
    <w:rsid w:val="00E16032"/>
    <w:rsid w:val="00E17284"/>
    <w:rsid w:val="00E23207"/>
    <w:rsid w:val="00E3458A"/>
    <w:rsid w:val="00E356EA"/>
    <w:rsid w:val="00E371EA"/>
    <w:rsid w:val="00E43DF1"/>
    <w:rsid w:val="00E44783"/>
    <w:rsid w:val="00E46CE9"/>
    <w:rsid w:val="00E6005F"/>
    <w:rsid w:val="00E6087B"/>
    <w:rsid w:val="00E6523E"/>
    <w:rsid w:val="00E72FE9"/>
    <w:rsid w:val="00E82752"/>
    <w:rsid w:val="00E87BE8"/>
    <w:rsid w:val="00E91A38"/>
    <w:rsid w:val="00E92D4B"/>
    <w:rsid w:val="00E97EF0"/>
    <w:rsid w:val="00EA06AD"/>
    <w:rsid w:val="00EA271F"/>
    <w:rsid w:val="00EB09DB"/>
    <w:rsid w:val="00EB1626"/>
    <w:rsid w:val="00EB5007"/>
    <w:rsid w:val="00EB6595"/>
    <w:rsid w:val="00EC1734"/>
    <w:rsid w:val="00EC5206"/>
    <w:rsid w:val="00ED11B9"/>
    <w:rsid w:val="00ED41D2"/>
    <w:rsid w:val="00ED79CE"/>
    <w:rsid w:val="00EE12AA"/>
    <w:rsid w:val="00EE2CFF"/>
    <w:rsid w:val="00EF1088"/>
    <w:rsid w:val="00EF483C"/>
    <w:rsid w:val="00EF62CD"/>
    <w:rsid w:val="00F0031E"/>
    <w:rsid w:val="00F05D13"/>
    <w:rsid w:val="00F075F6"/>
    <w:rsid w:val="00F11243"/>
    <w:rsid w:val="00F21B20"/>
    <w:rsid w:val="00F24637"/>
    <w:rsid w:val="00F276ED"/>
    <w:rsid w:val="00F31BF5"/>
    <w:rsid w:val="00F33EE8"/>
    <w:rsid w:val="00F35D7A"/>
    <w:rsid w:val="00F361BB"/>
    <w:rsid w:val="00F371A7"/>
    <w:rsid w:val="00F40A33"/>
    <w:rsid w:val="00F51A53"/>
    <w:rsid w:val="00F5244E"/>
    <w:rsid w:val="00F61B2D"/>
    <w:rsid w:val="00F747C8"/>
    <w:rsid w:val="00F776B3"/>
    <w:rsid w:val="00F82944"/>
    <w:rsid w:val="00F87935"/>
    <w:rsid w:val="00F904E0"/>
    <w:rsid w:val="00F974E5"/>
    <w:rsid w:val="00FB363F"/>
    <w:rsid w:val="00FB67E1"/>
    <w:rsid w:val="00FB760D"/>
    <w:rsid w:val="00FC00EA"/>
    <w:rsid w:val="00FC06C4"/>
    <w:rsid w:val="00FC3A39"/>
    <w:rsid w:val="00FD0B6E"/>
    <w:rsid w:val="00FD24BD"/>
    <w:rsid w:val="00FD2C9E"/>
    <w:rsid w:val="00FE5896"/>
    <w:rsid w:val="00FE5B64"/>
    <w:rsid w:val="00FE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764D5E"/>
  <w15:chartTrackingRefBased/>
  <w15:docId w15:val="{5163714E-C2AC-494C-A7BA-672126C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A3A"/>
    <w:pPr>
      <w:keepNext/>
      <w:keepLines/>
      <w:spacing w:after="0" w:line="240" w:lineRule="auto"/>
      <w:jc w:val="both"/>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F081F"/>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5">
    <w:name w:val="heading 5"/>
    <w:basedOn w:val="Normal"/>
    <w:link w:val="Heading5Char"/>
    <w:uiPriority w:val="1"/>
    <w:qFormat/>
    <w:rsid w:val="003F68D4"/>
    <w:pPr>
      <w:widowControl w:val="0"/>
      <w:autoSpaceDE w:val="0"/>
      <w:autoSpaceDN w:val="0"/>
      <w:spacing w:before="107" w:after="0" w:line="240" w:lineRule="auto"/>
      <w:ind w:left="225"/>
      <w:outlineLvl w:val="4"/>
    </w:pPr>
    <w:rPr>
      <w:rFonts w:ascii="Arial Narrow" w:eastAsia="Arial Narrow" w:hAnsi="Arial Narrow" w:cs="Arial Narrow"/>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E86"/>
  </w:style>
  <w:style w:type="paragraph" w:styleId="Footer">
    <w:name w:val="footer"/>
    <w:basedOn w:val="Normal"/>
    <w:link w:val="FooterChar"/>
    <w:uiPriority w:val="99"/>
    <w:unhideWhenUsed/>
    <w:rsid w:val="00866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E86"/>
  </w:style>
  <w:style w:type="paragraph" w:customStyle="1" w:styleId="Body">
    <w:name w:val="Body"/>
    <w:basedOn w:val="Normal"/>
    <w:rsid w:val="00F82944"/>
    <w:pPr>
      <w:adjustRightInd w:val="0"/>
      <w:spacing w:after="240" w:line="240" w:lineRule="auto"/>
      <w:jc w:val="both"/>
    </w:pPr>
    <w:rPr>
      <w:rFonts w:ascii="Calibri" w:eastAsia="Arial" w:hAnsi="Calibri" w:cs="Arial"/>
      <w:szCs w:val="20"/>
      <w:lang w:eastAsia="en-GB" w:bidi="he-IL"/>
    </w:rPr>
  </w:style>
  <w:style w:type="paragraph" w:styleId="TOC1">
    <w:name w:val="toc 1"/>
    <w:basedOn w:val="Body"/>
    <w:next w:val="Normal"/>
    <w:uiPriority w:val="39"/>
    <w:rsid w:val="00F82944"/>
    <w:pPr>
      <w:tabs>
        <w:tab w:val="right" w:pos="8500"/>
      </w:tabs>
      <w:ind w:left="851" w:right="567" w:hanging="851"/>
    </w:pPr>
  </w:style>
  <w:style w:type="paragraph" w:styleId="TOC2">
    <w:name w:val="toc 2"/>
    <w:basedOn w:val="TOC1"/>
    <w:next w:val="Normal"/>
    <w:uiPriority w:val="39"/>
    <w:rsid w:val="00F82944"/>
    <w:pPr>
      <w:ind w:left="1702"/>
    </w:pPr>
  </w:style>
  <w:style w:type="character" w:styleId="Hyperlink">
    <w:name w:val="Hyperlink"/>
    <w:basedOn w:val="DefaultParagraphFont"/>
    <w:uiPriority w:val="99"/>
    <w:rsid w:val="00F82944"/>
    <w:rPr>
      <w:color w:val="0000FF"/>
      <w:u w:val="single"/>
    </w:rPr>
  </w:style>
  <w:style w:type="paragraph" w:styleId="ListParagraph">
    <w:name w:val="List Paragraph"/>
    <w:aliases w:val="Normal + indent"/>
    <w:basedOn w:val="Normal"/>
    <w:link w:val="ListParagraphChar"/>
    <w:uiPriority w:val="34"/>
    <w:qFormat/>
    <w:rsid w:val="00A87397"/>
    <w:pPr>
      <w:ind w:left="720"/>
      <w:contextualSpacing/>
    </w:pPr>
  </w:style>
  <w:style w:type="character" w:customStyle="1" w:styleId="Heading5Char">
    <w:name w:val="Heading 5 Char"/>
    <w:basedOn w:val="DefaultParagraphFont"/>
    <w:link w:val="Heading5"/>
    <w:uiPriority w:val="1"/>
    <w:rsid w:val="003F68D4"/>
    <w:rPr>
      <w:rFonts w:ascii="Arial Narrow" w:eastAsia="Arial Narrow" w:hAnsi="Arial Narrow" w:cs="Arial Narrow"/>
      <w:b/>
      <w:bCs/>
      <w:sz w:val="16"/>
      <w:szCs w:val="16"/>
      <w:lang w:val="en-US"/>
    </w:rPr>
  </w:style>
  <w:style w:type="paragraph" w:styleId="BodyText">
    <w:name w:val="Body Text"/>
    <w:basedOn w:val="Normal"/>
    <w:link w:val="BodyTextChar"/>
    <w:uiPriority w:val="1"/>
    <w:qFormat/>
    <w:rsid w:val="003F68D4"/>
    <w:pPr>
      <w:widowControl w:val="0"/>
      <w:autoSpaceDE w:val="0"/>
      <w:autoSpaceDN w:val="0"/>
      <w:spacing w:after="0" w:line="240" w:lineRule="auto"/>
    </w:pPr>
    <w:rPr>
      <w:rFonts w:ascii="Calibri" w:eastAsia="Calibri" w:hAnsi="Calibri" w:cs="Calibri"/>
      <w:sz w:val="16"/>
      <w:szCs w:val="16"/>
      <w:lang w:val="en-US"/>
    </w:rPr>
  </w:style>
  <w:style w:type="character" w:customStyle="1" w:styleId="BodyTextChar">
    <w:name w:val="Body Text Char"/>
    <w:basedOn w:val="DefaultParagraphFont"/>
    <w:link w:val="BodyText"/>
    <w:uiPriority w:val="1"/>
    <w:rsid w:val="003F68D4"/>
    <w:rPr>
      <w:rFonts w:ascii="Calibri" w:eastAsia="Calibri" w:hAnsi="Calibri" w:cs="Calibri"/>
      <w:sz w:val="16"/>
      <w:szCs w:val="16"/>
      <w:lang w:val="en-US"/>
    </w:rPr>
  </w:style>
  <w:style w:type="character" w:customStyle="1" w:styleId="Heading1Char">
    <w:name w:val="Heading 1 Char"/>
    <w:basedOn w:val="DefaultParagraphFont"/>
    <w:link w:val="Heading1"/>
    <w:uiPriority w:val="9"/>
    <w:rsid w:val="003D6A3A"/>
    <w:rPr>
      <w:rFonts w:asciiTheme="majorHAnsi" w:eastAsiaTheme="majorEastAsia" w:hAnsiTheme="majorHAnsi" w:cstheme="majorBidi"/>
      <w:sz w:val="32"/>
      <w:szCs w:val="32"/>
    </w:rPr>
  </w:style>
  <w:style w:type="table" w:styleId="TableGrid">
    <w:name w:val="Table Grid"/>
    <w:basedOn w:val="TableNormal"/>
    <w:uiPriority w:val="39"/>
    <w:rsid w:val="00F5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3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70863"/>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6F081F"/>
    <w:rPr>
      <w:rFonts w:asciiTheme="majorHAnsi" w:eastAsiaTheme="majorEastAsia" w:hAnsiTheme="majorHAnsi" w:cstheme="majorBidi"/>
      <w:color w:val="000000" w:themeColor="text1"/>
      <w:sz w:val="26"/>
      <w:szCs w:val="26"/>
    </w:rPr>
  </w:style>
  <w:style w:type="paragraph" w:styleId="TOCHeading">
    <w:name w:val="TOC Heading"/>
    <w:basedOn w:val="Heading1"/>
    <w:next w:val="Normal"/>
    <w:uiPriority w:val="39"/>
    <w:unhideWhenUsed/>
    <w:qFormat/>
    <w:rsid w:val="002A1068"/>
    <w:pPr>
      <w:outlineLvl w:val="9"/>
    </w:pPr>
    <w:rPr>
      <w:color w:val="2E74B5" w:themeColor="accent1" w:themeShade="BF"/>
      <w:lang w:val="en-US"/>
    </w:rPr>
  </w:style>
  <w:style w:type="paragraph" w:styleId="TOC3">
    <w:name w:val="toc 3"/>
    <w:basedOn w:val="Normal"/>
    <w:next w:val="Normal"/>
    <w:autoRedefine/>
    <w:uiPriority w:val="39"/>
    <w:unhideWhenUsed/>
    <w:rsid w:val="002A1068"/>
    <w:pPr>
      <w:spacing w:after="100"/>
      <w:ind w:left="440"/>
    </w:pPr>
    <w:rPr>
      <w:rFonts w:eastAsiaTheme="minorEastAsia" w:cs="Times New Roman"/>
      <w:lang w:val="en-US"/>
    </w:rPr>
  </w:style>
  <w:style w:type="character" w:customStyle="1" w:styleId="ListParagraphChar">
    <w:name w:val="List Paragraph Char"/>
    <w:aliases w:val="Normal + indent Char"/>
    <w:link w:val="ListParagraph"/>
    <w:uiPriority w:val="34"/>
    <w:locked/>
    <w:rsid w:val="00DC641E"/>
  </w:style>
  <w:style w:type="paragraph" w:styleId="BalloonText">
    <w:name w:val="Balloon Text"/>
    <w:basedOn w:val="Normal"/>
    <w:link w:val="BalloonTextChar"/>
    <w:uiPriority w:val="99"/>
    <w:semiHidden/>
    <w:unhideWhenUsed/>
    <w:rsid w:val="00282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A61"/>
    <w:rPr>
      <w:rFonts w:ascii="Segoe UI" w:hAnsi="Segoe UI" w:cs="Segoe UI"/>
      <w:sz w:val="18"/>
      <w:szCs w:val="18"/>
    </w:rPr>
  </w:style>
  <w:style w:type="character" w:customStyle="1" w:styleId="hgkelc">
    <w:name w:val="hgkelc"/>
    <w:basedOn w:val="DefaultParagraphFont"/>
    <w:rsid w:val="009D76F9"/>
  </w:style>
  <w:style w:type="character" w:styleId="CommentReference">
    <w:name w:val="annotation reference"/>
    <w:basedOn w:val="DefaultParagraphFont"/>
    <w:uiPriority w:val="99"/>
    <w:semiHidden/>
    <w:unhideWhenUsed/>
    <w:rsid w:val="00464DEB"/>
    <w:rPr>
      <w:sz w:val="16"/>
      <w:szCs w:val="16"/>
    </w:rPr>
  </w:style>
  <w:style w:type="paragraph" w:styleId="CommentText">
    <w:name w:val="annotation text"/>
    <w:basedOn w:val="Normal"/>
    <w:link w:val="CommentTextChar"/>
    <w:uiPriority w:val="99"/>
    <w:semiHidden/>
    <w:unhideWhenUsed/>
    <w:rsid w:val="00464DEB"/>
    <w:pPr>
      <w:spacing w:line="240" w:lineRule="auto"/>
    </w:pPr>
    <w:rPr>
      <w:sz w:val="20"/>
      <w:szCs w:val="20"/>
    </w:rPr>
  </w:style>
  <w:style w:type="character" w:customStyle="1" w:styleId="CommentTextChar">
    <w:name w:val="Comment Text Char"/>
    <w:basedOn w:val="DefaultParagraphFont"/>
    <w:link w:val="CommentText"/>
    <w:uiPriority w:val="99"/>
    <w:semiHidden/>
    <w:rsid w:val="00464DEB"/>
    <w:rPr>
      <w:sz w:val="20"/>
      <w:szCs w:val="20"/>
    </w:rPr>
  </w:style>
  <w:style w:type="paragraph" w:styleId="CommentSubject">
    <w:name w:val="annotation subject"/>
    <w:basedOn w:val="CommentText"/>
    <w:next w:val="CommentText"/>
    <w:link w:val="CommentSubjectChar"/>
    <w:uiPriority w:val="99"/>
    <w:semiHidden/>
    <w:unhideWhenUsed/>
    <w:rsid w:val="00464DEB"/>
    <w:rPr>
      <w:b/>
      <w:bCs/>
    </w:rPr>
  </w:style>
  <w:style w:type="character" w:customStyle="1" w:styleId="CommentSubjectChar">
    <w:name w:val="Comment Subject Char"/>
    <w:basedOn w:val="CommentTextChar"/>
    <w:link w:val="CommentSubject"/>
    <w:uiPriority w:val="99"/>
    <w:semiHidden/>
    <w:rsid w:val="00464DEB"/>
    <w:rPr>
      <w:b/>
      <w:bCs/>
      <w:sz w:val="20"/>
      <w:szCs w:val="20"/>
    </w:rPr>
  </w:style>
  <w:style w:type="paragraph" w:customStyle="1" w:styleId="MRNumberedHeading1">
    <w:name w:val="M&amp;R Numbered Heading 1"/>
    <w:basedOn w:val="Normal"/>
    <w:rsid w:val="006D1AD0"/>
    <w:pPr>
      <w:keepNext/>
      <w:keepLines/>
      <w:spacing w:before="240" w:after="240" w:line="288" w:lineRule="auto"/>
    </w:pPr>
    <w:rPr>
      <w:rFonts w:ascii="Century Gothic" w:eastAsia="Times New Roman" w:hAnsi="Century Gothic" w:cs="Arial"/>
      <w:b/>
      <w:lang w:eastAsia="en-GB"/>
    </w:rPr>
  </w:style>
  <w:style w:type="paragraph" w:customStyle="1" w:styleId="ITTnormal">
    <w:name w:val="ITT normal"/>
    <w:basedOn w:val="Normal"/>
    <w:link w:val="ITTnormalChar"/>
    <w:rsid w:val="006D1AD0"/>
    <w:pPr>
      <w:autoSpaceDE w:val="0"/>
      <w:autoSpaceDN w:val="0"/>
      <w:adjustRightInd w:val="0"/>
      <w:spacing w:before="60" w:after="60" w:line="240" w:lineRule="auto"/>
      <w:ind w:left="720"/>
    </w:pPr>
    <w:rPr>
      <w:rFonts w:ascii="Century Gothic" w:eastAsia="Times New Roman" w:hAnsi="Century Gothic" w:cs="Arial"/>
      <w:lang w:eastAsia="en-GB"/>
    </w:rPr>
  </w:style>
  <w:style w:type="character" w:customStyle="1" w:styleId="ITTnormalChar">
    <w:name w:val="ITT normal Char"/>
    <w:link w:val="ITTnormal"/>
    <w:locked/>
    <w:rsid w:val="006D1AD0"/>
    <w:rPr>
      <w:rFonts w:ascii="Century Gothic" w:eastAsia="Times New Roman" w:hAnsi="Century Gothic" w:cs="Arial"/>
      <w:lang w:eastAsia="en-GB"/>
    </w:rPr>
  </w:style>
  <w:style w:type="paragraph" w:styleId="BodyTextIndent">
    <w:name w:val="Body Text Indent"/>
    <w:basedOn w:val="Normal"/>
    <w:link w:val="BodyTextIndentChar"/>
    <w:uiPriority w:val="99"/>
    <w:rsid w:val="009669BB"/>
    <w:pPr>
      <w:spacing w:after="120" w:line="240" w:lineRule="auto"/>
      <w:ind w:left="283"/>
    </w:pPr>
    <w:rPr>
      <w:rFonts w:ascii="Times New Roman" w:eastAsia="Times New Roman" w:hAnsi="Times New Roman" w:cs="Times New Roman"/>
      <w:b/>
      <w:color w:val="000000"/>
      <w:sz w:val="24"/>
      <w:szCs w:val="20"/>
    </w:rPr>
  </w:style>
  <w:style w:type="character" w:customStyle="1" w:styleId="BodyTextIndentChar">
    <w:name w:val="Body Text Indent Char"/>
    <w:basedOn w:val="DefaultParagraphFont"/>
    <w:link w:val="BodyTextIndent"/>
    <w:uiPriority w:val="99"/>
    <w:rsid w:val="009669BB"/>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3582">
      <w:bodyDiv w:val="1"/>
      <w:marLeft w:val="0"/>
      <w:marRight w:val="0"/>
      <w:marTop w:val="0"/>
      <w:marBottom w:val="0"/>
      <w:divBdr>
        <w:top w:val="none" w:sz="0" w:space="0" w:color="auto"/>
        <w:left w:val="none" w:sz="0" w:space="0" w:color="auto"/>
        <w:bottom w:val="none" w:sz="0" w:space="0" w:color="auto"/>
        <w:right w:val="none" w:sz="0" w:space="0" w:color="auto"/>
      </w:divBdr>
    </w:div>
    <w:div w:id="1171605099">
      <w:bodyDiv w:val="1"/>
      <w:marLeft w:val="0"/>
      <w:marRight w:val="0"/>
      <w:marTop w:val="0"/>
      <w:marBottom w:val="0"/>
      <w:divBdr>
        <w:top w:val="none" w:sz="0" w:space="0" w:color="auto"/>
        <w:left w:val="none" w:sz="0" w:space="0" w:color="auto"/>
        <w:bottom w:val="none" w:sz="0" w:space="0" w:color="auto"/>
        <w:right w:val="none" w:sz="0" w:space="0" w:color="auto"/>
      </w:divBdr>
    </w:div>
    <w:div w:id="17171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wax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EE4E-3687-4F94-8C37-3C15148E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5891</Words>
  <Characters>31166</Characters>
  <Application>Microsoft Office Word</Application>
  <DocSecurity>0</DocSecurity>
  <Lines>566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Simba</dc:creator>
  <cp:keywords/>
  <dc:description/>
  <cp:lastModifiedBy>Jonathan Williams</cp:lastModifiedBy>
  <cp:revision>3</cp:revision>
  <dcterms:created xsi:type="dcterms:W3CDTF">2022-08-03T12:52:00Z</dcterms:created>
  <dcterms:modified xsi:type="dcterms:W3CDTF">2022-08-03T13:10:00Z</dcterms:modified>
</cp:coreProperties>
</file>