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2A8F" w14:textId="77777777" w:rsidR="00E948D7" w:rsidRPr="003E121B" w:rsidRDefault="00E948D7" w:rsidP="00E948D7">
      <w:pPr>
        <w:widowControl w:val="0"/>
        <w:numPr>
          <w:ilvl w:val="0"/>
          <w:numId w:val="1"/>
        </w:numPr>
        <w:autoSpaceDE w:val="0"/>
        <w:autoSpaceDN w:val="0"/>
        <w:adjustRightInd w:val="0"/>
        <w:ind w:left="0" w:firstLine="0"/>
        <w:outlineLvl w:val="0"/>
        <w:rPr>
          <w:rFonts w:ascii="Calibri" w:hAnsi="Calibri" w:cs="Calibri"/>
          <w:szCs w:val="24"/>
          <w:lang w:eastAsia="en-GB"/>
        </w:rPr>
      </w:pPr>
      <w:r>
        <w:rPr>
          <w:rFonts w:ascii="Calibri" w:hAnsi="Calibri" w:cs="Calibri"/>
          <w:b/>
          <w:bCs/>
          <w:szCs w:val="24"/>
          <w:lang w:eastAsia="en-GB"/>
        </w:rPr>
        <w:t>Enclosure 1</w:t>
      </w:r>
      <w:r w:rsidRPr="003E121B">
        <w:rPr>
          <w:rFonts w:ascii="Calibri" w:hAnsi="Calibri" w:cs="Calibri"/>
          <w:b/>
          <w:bCs/>
          <w:szCs w:val="24"/>
          <w:lang w:eastAsia="en-GB"/>
        </w:rPr>
        <w:t xml:space="preserve"> – Specialist Providers </w:t>
      </w:r>
    </w:p>
    <w:p w14:paraId="125F4F7F" w14:textId="77777777" w:rsidR="00E948D7" w:rsidRPr="003E121B" w:rsidRDefault="00E948D7" w:rsidP="00E948D7">
      <w:pPr>
        <w:widowControl w:val="0"/>
        <w:autoSpaceDE w:val="0"/>
        <w:autoSpaceDN w:val="0"/>
        <w:adjustRightInd w:val="0"/>
        <w:outlineLvl w:val="0"/>
        <w:rPr>
          <w:rFonts w:ascii="Calibri" w:hAnsi="Calibri" w:cs="Calibri"/>
          <w:szCs w:val="24"/>
          <w:highlight w:val="yellow"/>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214"/>
        <w:gridCol w:w="1796"/>
        <w:gridCol w:w="5167"/>
      </w:tblGrid>
      <w:tr w:rsidR="00E948D7" w:rsidRPr="003E121B" w14:paraId="532F3DC3" w14:textId="77777777" w:rsidTr="00664E8F">
        <w:trPr>
          <w:cantSplit/>
          <w:trHeight w:val="600"/>
          <w:tblHeader/>
        </w:trPr>
        <w:tc>
          <w:tcPr>
            <w:tcW w:w="462" w:type="dxa"/>
            <w:shd w:val="clear" w:color="auto" w:fill="auto"/>
            <w:noWrap/>
            <w:hideMark/>
          </w:tcPr>
          <w:p w14:paraId="6D7980AB" w14:textId="77777777" w:rsidR="00E948D7" w:rsidRPr="003E121B" w:rsidRDefault="00E948D7" w:rsidP="00664E8F">
            <w:pPr>
              <w:rPr>
                <w:rFonts w:ascii="Calibri" w:hAnsi="Calibri" w:cs="Calibri"/>
                <w:szCs w:val="24"/>
              </w:rPr>
            </w:pPr>
            <w:r w:rsidRPr="003E121B">
              <w:rPr>
                <w:rFonts w:ascii="Calibri" w:hAnsi="Calibri" w:cs="Calibri"/>
                <w:szCs w:val="24"/>
              </w:rPr>
              <w:t> </w:t>
            </w:r>
          </w:p>
        </w:tc>
        <w:tc>
          <w:tcPr>
            <w:tcW w:w="2214" w:type="dxa"/>
            <w:shd w:val="clear" w:color="auto" w:fill="auto"/>
            <w:hideMark/>
          </w:tcPr>
          <w:p w14:paraId="694A1B0A" w14:textId="77777777" w:rsidR="00E948D7" w:rsidRPr="003E121B" w:rsidRDefault="00E948D7" w:rsidP="00664E8F">
            <w:pPr>
              <w:rPr>
                <w:rFonts w:ascii="Calibri" w:hAnsi="Calibri" w:cs="Calibri"/>
                <w:b/>
                <w:bCs/>
                <w:szCs w:val="24"/>
              </w:rPr>
            </w:pPr>
            <w:r w:rsidRPr="003E121B">
              <w:rPr>
                <w:rFonts w:ascii="Calibri" w:hAnsi="Calibri" w:cs="Calibri"/>
                <w:b/>
                <w:bCs/>
                <w:szCs w:val="24"/>
              </w:rPr>
              <w:t>Specialist Partner</w:t>
            </w:r>
          </w:p>
        </w:tc>
        <w:tc>
          <w:tcPr>
            <w:tcW w:w="1796" w:type="dxa"/>
            <w:shd w:val="clear" w:color="auto" w:fill="auto"/>
            <w:hideMark/>
          </w:tcPr>
          <w:p w14:paraId="5AFC3B0D" w14:textId="77777777" w:rsidR="00E948D7" w:rsidRPr="003E121B" w:rsidRDefault="00E948D7" w:rsidP="00664E8F">
            <w:pPr>
              <w:rPr>
                <w:rFonts w:ascii="Calibri" w:hAnsi="Calibri" w:cs="Calibri"/>
                <w:b/>
                <w:bCs/>
                <w:szCs w:val="24"/>
              </w:rPr>
            </w:pPr>
            <w:r w:rsidRPr="003E121B">
              <w:rPr>
                <w:rFonts w:ascii="Calibri" w:hAnsi="Calibri" w:cs="Calibri"/>
                <w:b/>
                <w:bCs/>
                <w:szCs w:val="24"/>
              </w:rPr>
              <w:t>Specialist Client Group</w:t>
            </w:r>
          </w:p>
        </w:tc>
        <w:tc>
          <w:tcPr>
            <w:tcW w:w="5167" w:type="dxa"/>
            <w:shd w:val="clear" w:color="auto" w:fill="auto"/>
            <w:hideMark/>
          </w:tcPr>
          <w:p w14:paraId="19725B8F" w14:textId="77777777" w:rsidR="00E948D7" w:rsidRPr="003E121B" w:rsidRDefault="00E948D7" w:rsidP="00664E8F">
            <w:pPr>
              <w:rPr>
                <w:rFonts w:ascii="Calibri" w:hAnsi="Calibri" w:cs="Calibri"/>
                <w:b/>
                <w:bCs/>
                <w:szCs w:val="24"/>
              </w:rPr>
            </w:pPr>
            <w:r w:rsidRPr="003E121B">
              <w:rPr>
                <w:rFonts w:ascii="Calibri" w:hAnsi="Calibri" w:cs="Calibri"/>
                <w:b/>
                <w:bCs/>
                <w:szCs w:val="24"/>
              </w:rPr>
              <w:t>Summary of Support Offer</w:t>
            </w:r>
          </w:p>
        </w:tc>
      </w:tr>
      <w:tr w:rsidR="00E948D7" w:rsidRPr="003E121B" w14:paraId="75D21B00" w14:textId="77777777" w:rsidTr="00664E8F">
        <w:trPr>
          <w:trHeight w:val="2494"/>
        </w:trPr>
        <w:tc>
          <w:tcPr>
            <w:tcW w:w="462" w:type="dxa"/>
            <w:shd w:val="clear" w:color="auto" w:fill="auto"/>
            <w:noWrap/>
            <w:hideMark/>
          </w:tcPr>
          <w:p w14:paraId="56614040" w14:textId="77777777" w:rsidR="00E948D7" w:rsidRPr="003E121B" w:rsidRDefault="00E948D7" w:rsidP="00664E8F">
            <w:pPr>
              <w:rPr>
                <w:rFonts w:ascii="Calibri" w:hAnsi="Calibri" w:cs="Calibri"/>
                <w:szCs w:val="24"/>
              </w:rPr>
            </w:pPr>
            <w:bookmarkStart w:id="0" w:name="_Hlk174024347"/>
            <w:r w:rsidRPr="003E121B">
              <w:rPr>
                <w:rFonts w:ascii="Calibri" w:hAnsi="Calibri" w:cs="Calibri"/>
                <w:szCs w:val="24"/>
              </w:rPr>
              <w:t>1</w:t>
            </w:r>
          </w:p>
        </w:tc>
        <w:tc>
          <w:tcPr>
            <w:tcW w:w="2214" w:type="dxa"/>
            <w:shd w:val="clear" w:color="auto" w:fill="auto"/>
            <w:hideMark/>
          </w:tcPr>
          <w:p w14:paraId="6BEAABFE" w14:textId="77777777" w:rsidR="00E948D7" w:rsidRPr="003E121B" w:rsidRDefault="00E948D7" w:rsidP="00664E8F">
            <w:pPr>
              <w:rPr>
                <w:rFonts w:ascii="Calibri" w:hAnsi="Calibri" w:cs="Calibri"/>
                <w:szCs w:val="24"/>
              </w:rPr>
            </w:pPr>
            <w:r w:rsidRPr="003E121B">
              <w:rPr>
                <w:rFonts w:ascii="Calibri" w:hAnsi="Calibri" w:cs="Calibri"/>
                <w:szCs w:val="24"/>
              </w:rPr>
              <w:t>Active Plus</w:t>
            </w:r>
          </w:p>
        </w:tc>
        <w:tc>
          <w:tcPr>
            <w:tcW w:w="1796" w:type="dxa"/>
            <w:shd w:val="clear" w:color="auto" w:fill="auto"/>
            <w:hideMark/>
          </w:tcPr>
          <w:p w14:paraId="24D519D3" w14:textId="77777777" w:rsidR="00E948D7" w:rsidRPr="003E121B" w:rsidRDefault="00E948D7" w:rsidP="00664E8F">
            <w:pPr>
              <w:rPr>
                <w:rFonts w:ascii="Calibri" w:hAnsi="Calibri" w:cs="Calibri"/>
                <w:szCs w:val="24"/>
              </w:rPr>
            </w:pPr>
            <w:r w:rsidRPr="003E121B">
              <w:rPr>
                <w:rFonts w:ascii="Calibri" w:hAnsi="Calibri" w:cs="Calibri"/>
                <w:szCs w:val="24"/>
              </w:rPr>
              <w:t>Veterans</w:t>
            </w:r>
          </w:p>
        </w:tc>
        <w:tc>
          <w:tcPr>
            <w:tcW w:w="5167" w:type="dxa"/>
            <w:shd w:val="clear" w:color="auto" w:fill="auto"/>
            <w:hideMark/>
          </w:tcPr>
          <w:p w14:paraId="1E4C7285" w14:textId="77777777" w:rsidR="00E948D7" w:rsidRPr="003E121B" w:rsidRDefault="00E948D7" w:rsidP="00664E8F">
            <w:pPr>
              <w:rPr>
                <w:rFonts w:ascii="Calibri" w:hAnsi="Calibri" w:cs="Calibri"/>
                <w:szCs w:val="24"/>
              </w:rPr>
            </w:pPr>
            <w:r w:rsidRPr="003E121B">
              <w:rPr>
                <w:rFonts w:ascii="Calibri" w:hAnsi="Calibri" w:cs="Calibri"/>
                <w:szCs w:val="24"/>
              </w:rPr>
              <w:t xml:space="preserve">Veterans, serving personnel and their immediate families as per our respective outcomes and outputs indicate.  Covering the entire county, Active Plus provide end to end 1-1 support from our Veteran Specialist Change Coaches, as well facilitating the adapted ‘Train the Trainer’ confidence and motivation courses, delivered by our military service Veterans, which gives individuals the opportunity to volunteer in an instructor role.  </w:t>
            </w:r>
          </w:p>
        </w:tc>
      </w:tr>
      <w:tr w:rsidR="00E948D7" w:rsidRPr="003E121B" w14:paraId="2CD75226" w14:textId="77777777" w:rsidTr="00664E8F">
        <w:trPr>
          <w:trHeight w:val="2551"/>
        </w:trPr>
        <w:tc>
          <w:tcPr>
            <w:tcW w:w="462" w:type="dxa"/>
            <w:shd w:val="clear" w:color="auto" w:fill="auto"/>
            <w:noWrap/>
            <w:hideMark/>
          </w:tcPr>
          <w:p w14:paraId="1862C22B" w14:textId="77777777" w:rsidR="00E948D7" w:rsidRPr="003E121B" w:rsidRDefault="00E948D7" w:rsidP="00664E8F">
            <w:pPr>
              <w:rPr>
                <w:rFonts w:ascii="Calibri" w:hAnsi="Calibri" w:cs="Calibri"/>
                <w:szCs w:val="24"/>
              </w:rPr>
            </w:pPr>
            <w:r w:rsidRPr="003E121B">
              <w:rPr>
                <w:rFonts w:ascii="Calibri" w:hAnsi="Calibri" w:cs="Calibri"/>
                <w:szCs w:val="24"/>
              </w:rPr>
              <w:t>2</w:t>
            </w:r>
          </w:p>
        </w:tc>
        <w:tc>
          <w:tcPr>
            <w:tcW w:w="2214" w:type="dxa"/>
            <w:shd w:val="clear" w:color="auto" w:fill="auto"/>
            <w:hideMark/>
          </w:tcPr>
          <w:p w14:paraId="1FBFA624" w14:textId="77777777" w:rsidR="00E948D7" w:rsidRPr="003E121B" w:rsidRDefault="00E948D7" w:rsidP="00664E8F">
            <w:pPr>
              <w:rPr>
                <w:rFonts w:ascii="Calibri" w:hAnsi="Calibri" w:cs="Calibri"/>
                <w:szCs w:val="24"/>
              </w:rPr>
            </w:pPr>
            <w:r w:rsidRPr="003E121B">
              <w:rPr>
                <w:rFonts w:ascii="Calibri" w:hAnsi="Calibri" w:cs="Calibri"/>
                <w:szCs w:val="24"/>
              </w:rPr>
              <w:t>Cornwall Marine Network (CMN)</w:t>
            </w:r>
          </w:p>
        </w:tc>
        <w:tc>
          <w:tcPr>
            <w:tcW w:w="1796" w:type="dxa"/>
            <w:shd w:val="clear" w:color="auto" w:fill="auto"/>
            <w:hideMark/>
          </w:tcPr>
          <w:p w14:paraId="1655879A" w14:textId="77777777" w:rsidR="00E948D7" w:rsidRPr="003E121B" w:rsidRDefault="00E948D7" w:rsidP="00664E8F">
            <w:pPr>
              <w:rPr>
                <w:rFonts w:ascii="Calibri" w:hAnsi="Calibri" w:cs="Calibri"/>
                <w:szCs w:val="24"/>
              </w:rPr>
            </w:pPr>
            <w:r w:rsidRPr="003E121B">
              <w:rPr>
                <w:rFonts w:ascii="Calibri" w:hAnsi="Calibri" w:cs="Calibri"/>
                <w:szCs w:val="24"/>
              </w:rPr>
              <w:t>Physical Disabilities</w:t>
            </w:r>
          </w:p>
        </w:tc>
        <w:tc>
          <w:tcPr>
            <w:tcW w:w="5167" w:type="dxa"/>
            <w:shd w:val="clear" w:color="auto" w:fill="auto"/>
            <w:hideMark/>
          </w:tcPr>
          <w:p w14:paraId="6A3FCE39" w14:textId="77777777" w:rsidR="00E948D7" w:rsidRPr="003E121B" w:rsidRDefault="00E948D7" w:rsidP="00664E8F">
            <w:pPr>
              <w:rPr>
                <w:rFonts w:ascii="Calibri" w:hAnsi="Calibri" w:cs="Calibri"/>
                <w:szCs w:val="24"/>
              </w:rPr>
            </w:pPr>
            <w:r w:rsidRPr="003E121B">
              <w:rPr>
                <w:rFonts w:ascii="Calibri" w:hAnsi="Calibri" w:cs="Calibri"/>
                <w:szCs w:val="24"/>
              </w:rPr>
              <w:t>CMN support helps people who have a disability to move forward in their lives, and they do this by helping them to find work trials/experience, volunteering opportunities or employment. CMN also work with those in work to improve their employment prospects. CMN help provide digital training for those who need it. CMN also support clients to navigate the benefit system and to refer them to other specialist help and support where appropriate.</w:t>
            </w:r>
          </w:p>
        </w:tc>
      </w:tr>
      <w:tr w:rsidR="00E948D7" w:rsidRPr="003E121B" w14:paraId="5C984C24" w14:textId="77777777" w:rsidTr="00664E8F">
        <w:trPr>
          <w:trHeight w:val="1984"/>
        </w:trPr>
        <w:tc>
          <w:tcPr>
            <w:tcW w:w="462" w:type="dxa"/>
            <w:shd w:val="clear" w:color="auto" w:fill="auto"/>
            <w:noWrap/>
            <w:hideMark/>
          </w:tcPr>
          <w:p w14:paraId="5B7755CB" w14:textId="77777777" w:rsidR="00E948D7" w:rsidRPr="003E121B" w:rsidRDefault="00E948D7" w:rsidP="00664E8F">
            <w:pPr>
              <w:rPr>
                <w:rFonts w:ascii="Calibri" w:hAnsi="Calibri" w:cs="Calibri"/>
                <w:szCs w:val="24"/>
              </w:rPr>
            </w:pPr>
            <w:r w:rsidRPr="003E121B">
              <w:rPr>
                <w:rFonts w:ascii="Calibri" w:hAnsi="Calibri" w:cs="Calibri"/>
                <w:szCs w:val="24"/>
              </w:rPr>
              <w:t>3</w:t>
            </w:r>
          </w:p>
        </w:tc>
        <w:tc>
          <w:tcPr>
            <w:tcW w:w="2214" w:type="dxa"/>
            <w:shd w:val="clear" w:color="auto" w:fill="auto"/>
            <w:hideMark/>
          </w:tcPr>
          <w:p w14:paraId="0C232C5C" w14:textId="77777777" w:rsidR="00E948D7" w:rsidRPr="003E121B" w:rsidRDefault="00E948D7" w:rsidP="00664E8F">
            <w:pPr>
              <w:rPr>
                <w:rFonts w:ascii="Calibri" w:hAnsi="Calibri" w:cs="Calibri"/>
                <w:szCs w:val="24"/>
              </w:rPr>
            </w:pPr>
            <w:r w:rsidRPr="003E121B">
              <w:rPr>
                <w:rFonts w:ascii="Calibri" w:hAnsi="Calibri" w:cs="Calibri"/>
                <w:szCs w:val="24"/>
              </w:rPr>
              <w:t>Cornwall Neighbourhoods for Change (CN4C)</w:t>
            </w:r>
          </w:p>
        </w:tc>
        <w:tc>
          <w:tcPr>
            <w:tcW w:w="1796" w:type="dxa"/>
            <w:shd w:val="clear" w:color="auto" w:fill="auto"/>
            <w:hideMark/>
          </w:tcPr>
          <w:p w14:paraId="3C697035" w14:textId="77777777" w:rsidR="00E948D7" w:rsidRPr="003E121B" w:rsidRDefault="00E948D7" w:rsidP="00664E8F">
            <w:pPr>
              <w:rPr>
                <w:rFonts w:ascii="Calibri" w:hAnsi="Calibri" w:cs="Calibri"/>
                <w:szCs w:val="24"/>
              </w:rPr>
            </w:pPr>
            <w:r w:rsidRPr="003E121B">
              <w:rPr>
                <w:rFonts w:ascii="Calibri" w:hAnsi="Calibri" w:cs="Calibri"/>
                <w:szCs w:val="24"/>
              </w:rPr>
              <w:t>Parents and families</w:t>
            </w:r>
          </w:p>
        </w:tc>
        <w:tc>
          <w:tcPr>
            <w:tcW w:w="5167" w:type="dxa"/>
            <w:shd w:val="clear" w:color="auto" w:fill="auto"/>
            <w:hideMark/>
          </w:tcPr>
          <w:p w14:paraId="3402703B" w14:textId="77777777" w:rsidR="00E948D7" w:rsidRPr="003E121B" w:rsidRDefault="00E948D7" w:rsidP="00664E8F">
            <w:pPr>
              <w:rPr>
                <w:rFonts w:ascii="Calibri" w:hAnsi="Calibri" w:cs="Calibri"/>
                <w:szCs w:val="24"/>
              </w:rPr>
            </w:pPr>
            <w:r w:rsidRPr="003E121B">
              <w:rPr>
                <w:rFonts w:ascii="Calibri" w:hAnsi="Calibri" w:cs="Calibri"/>
                <w:szCs w:val="24"/>
              </w:rPr>
              <w:t xml:space="preserve">CN4C are delivering the People Hub programme through </w:t>
            </w:r>
            <w:r w:rsidRPr="003E121B">
              <w:rPr>
                <w:rFonts w:ascii="Calibri" w:hAnsi="Calibri" w:cs="Calibri"/>
                <w:i/>
                <w:iCs/>
                <w:szCs w:val="24"/>
              </w:rPr>
              <w:t xml:space="preserve">Parent Power, </w:t>
            </w:r>
            <w:r w:rsidRPr="003E121B">
              <w:rPr>
                <w:rFonts w:ascii="Calibri" w:hAnsi="Calibri" w:cs="Calibri"/>
                <w:szCs w:val="24"/>
              </w:rPr>
              <w:t>which provides specialist end-to-end, personalised and holistic support to unemployed, economically inactive or underemployed parents who have experienced a variety of life traumas. This service helps parents to ‘find their power’ and develop their skills to progress on a pathway to upskilling and employment.</w:t>
            </w:r>
          </w:p>
        </w:tc>
      </w:tr>
      <w:tr w:rsidR="00E948D7" w:rsidRPr="003E121B" w14:paraId="20CBC2B1" w14:textId="77777777" w:rsidTr="00664E8F">
        <w:trPr>
          <w:trHeight w:val="4479"/>
        </w:trPr>
        <w:tc>
          <w:tcPr>
            <w:tcW w:w="462" w:type="dxa"/>
            <w:shd w:val="clear" w:color="auto" w:fill="auto"/>
            <w:noWrap/>
            <w:hideMark/>
          </w:tcPr>
          <w:p w14:paraId="59ADF092" w14:textId="77777777" w:rsidR="00E948D7" w:rsidRPr="003E121B" w:rsidRDefault="00E948D7" w:rsidP="00664E8F">
            <w:pPr>
              <w:rPr>
                <w:rFonts w:ascii="Calibri" w:hAnsi="Calibri" w:cs="Calibri"/>
                <w:szCs w:val="24"/>
              </w:rPr>
            </w:pPr>
            <w:r w:rsidRPr="003E121B">
              <w:rPr>
                <w:rFonts w:ascii="Calibri" w:hAnsi="Calibri" w:cs="Calibri"/>
                <w:szCs w:val="24"/>
              </w:rPr>
              <w:lastRenderedPageBreak/>
              <w:t>4</w:t>
            </w:r>
          </w:p>
        </w:tc>
        <w:tc>
          <w:tcPr>
            <w:tcW w:w="2214" w:type="dxa"/>
            <w:shd w:val="clear" w:color="auto" w:fill="auto"/>
            <w:hideMark/>
          </w:tcPr>
          <w:p w14:paraId="00F2F5AC" w14:textId="77777777" w:rsidR="00E948D7" w:rsidRPr="003E121B" w:rsidRDefault="00E948D7" w:rsidP="00664E8F">
            <w:pPr>
              <w:rPr>
                <w:rFonts w:ascii="Calibri" w:hAnsi="Calibri" w:cs="Calibri"/>
                <w:szCs w:val="24"/>
              </w:rPr>
            </w:pPr>
            <w:r w:rsidRPr="003E121B">
              <w:rPr>
                <w:rFonts w:ascii="Calibri" w:hAnsi="Calibri" w:cs="Calibri"/>
                <w:szCs w:val="24"/>
              </w:rPr>
              <w:t xml:space="preserve">Cornwall Partnerships NHS Foundation Trust </w:t>
            </w:r>
          </w:p>
        </w:tc>
        <w:tc>
          <w:tcPr>
            <w:tcW w:w="1796" w:type="dxa"/>
            <w:shd w:val="clear" w:color="auto" w:fill="auto"/>
            <w:hideMark/>
          </w:tcPr>
          <w:p w14:paraId="03C778CB" w14:textId="77777777" w:rsidR="00E948D7" w:rsidRPr="003E121B" w:rsidRDefault="00E948D7" w:rsidP="00664E8F">
            <w:pPr>
              <w:rPr>
                <w:rFonts w:ascii="Calibri" w:hAnsi="Calibri" w:cs="Calibri"/>
                <w:szCs w:val="24"/>
              </w:rPr>
            </w:pPr>
            <w:r w:rsidRPr="003E121B">
              <w:rPr>
                <w:rFonts w:ascii="Calibri" w:hAnsi="Calibri" w:cs="Calibri"/>
                <w:szCs w:val="24"/>
              </w:rPr>
              <w:t>All Health Care</w:t>
            </w:r>
            <w:r w:rsidRPr="003E121B">
              <w:rPr>
                <w:rFonts w:ascii="Calibri" w:hAnsi="Calibri" w:cs="Calibri"/>
                <w:szCs w:val="24"/>
              </w:rPr>
              <w:br/>
            </w:r>
            <w:r w:rsidRPr="003E121B">
              <w:rPr>
                <w:rFonts w:ascii="Calibri" w:hAnsi="Calibri" w:cs="Calibri"/>
                <w:szCs w:val="24"/>
              </w:rPr>
              <w:br/>
              <w:t>*Supporting those interested in the Health Care Sector</w:t>
            </w:r>
          </w:p>
        </w:tc>
        <w:tc>
          <w:tcPr>
            <w:tcW w:w="5167" w:type="dxa"/>
            <w:shd w:val="clear" w:color="auto" w:fill="auto"/>
            <w:hideMark/>
          </w:tcPr>
          <w:p w14:paraId="1671A4CB" w14:textId="77777777" w:rsidR="00E948D7" w:rsidRPr="003E121B" w:rsidRDefault="00E948D7" w:rsidP="00664E8F">
            <w:pPr>
              <w:rPr>
                <w:rFonts w:ascii="Calibri" w:hAnsi="Calibri" w:cs="Calibri"/>
                <w:szCs w:val="24"/>
              </w:rPr>
            </w:pPr>
            <w:r w:rsidRPr="003E121B">
              <w:rPr>
                <w:rFonts w:ascii="Calibri" w:hAnsi="Calibri" w:cs="Calibri"/>
                <w:szCs w:val="24"/>
              </w:rPr>
              <w:t xml:space="preserve">The NHS is one of the largest employers in Cornwall, with over 350 different job opportunities, plus apprenticeships, volunteering, and work shadowing available. Participants can access 1:1 personalised support in job searching, navigating NHS jobs and </w:t>
            </w:r>
            <w:proofErr w:type="gramStart"/>
            <w:r w:rsidRPr="003E121B">
              <w:rPr>
                <w:rFonts w:ascii="Calibri" w:hAnsi="Calibri" w:cs="Calibri"/>
                <w:szCs w:val="24"/>
              </w:rPr>
              <w:t>job</w:t>
            </w:r>
            <w:proofErr w:type="gramEnd"/>
            <w:r w:rsidRPr="003E121B">
              <w:rPr>
                <w:rFonts w:ascii="Calibri" w:hAnsi="Calibri" w:cs="Calibri"/>
                <w:szCs w:val="24"/>
              </w:rPr>
              <w:t xml:space="preserve"> matching according to the participant’s individual needs, and targeted and individualised support with completing job applications- ensuring a much higher chance of being shortlisted to interview. Participants can gain more of an understanding of the NHS as a whole, meet different professionals and learn about their job roles, attend in-depth workshops focusing on NHS recruitment and receive 1:1 interview support, and access other education and training focusing on key skills and knowledge required for NHS specific roles. </w:t>
            </w:r>
          </w:p>
        </w:tc>
      </w:tr>
      <w:tr w:rsidR="00E948D7" w:rsidRPr="003E121B" w14:paraId="7E807248" w14:textId="77777777" w:rsidTr="00664E8F">
        <w:trPr>
          <w:trHeight w:val="2123"/>
        </w:trPr>
        <w:tc>
          <w:tcPr>
            <w:tcW w:w="462" w:type="dxa"/>
            <w:shd w:val="clear" w:color="auto" w:fill="auto"/>
            <w:noWrap/>
            <w:hideMark/>
          </w:tcPr>
          <w:p w14:paraId="43F8CAB0" w14:textId="77777777" w:rsidR="00E948D7" w:rsidRPr="003E121B" w:rsidRDefault="00E948D7" w:rsidP="00664E8F">
            <w:pPr>
              <w:rPr>
                <w:rFonts w:ascii="Calibri" w:hAnsi="Calibri" w:cs="Calibri"/>
                <w:szCs w:val="24"/>
              </w:rPr>
            </w:pPr>
            <w:r w:rsidRPr="003E121B">
              <w:rPr>
                <w:rFonts w:ascii="Calibri" w:hAnsi="Calibri" w:cs="Calibri"/>
                <w:szCs w:val="24"/>
              </w:rPr>
              <w:t>5</w:t>
            </w:r>
          </w:p>
        </w:tc>
        <w:tc>
          <w:tcPr>
            <w:tcW w:w="2214" w:type="dxa"/>
            <w:shd w:val="clear" w:color="auto" w:fill="auto"/>
            <w:hideMark/>
          </w:tcPr>
          <w:p w14:paraId="3A848B71" w14:textId="77777777" w:rsidR="00E948D7" w:rsidRPr="003E121B" w:rsidRDefault="00E948D7" w:rsidP="00664E8F">
            <w:pPr>
              <w:rPr>
                <w:rFonts w:ascii="Calibri" w:hAnsi="Calibri" w:cs="Calibri"/>
                <w:szCs w:val="24"/>
              </w:rPr>
            </w:pPr>
            <w:r w:rsidRPr="003E121B">
              <w:rPr>
                <w:rFonts w:ascii="Calibri" w:hAnsi="Calibri" w:cs="Calibri"/>
                <w:szCs w:val="24"/>
              </w:rPr>
              <w:t>Education Development Trust (EDT)</w:t>
            </w:r>
          </w:p>
        </w:tc>
        <w:tc>
          <w:tcPr>
            <w:tcW w:w="1796" w:type="dxa"/>
            <w:shd w:val="clear" w:color="auto" w:fill="auto"/>
            <w:hideMark/>
          </w:tcPr>
          <w:p w14:paraId="09E64F29" w14:textId="77777777" w:rsidR="00E948D7" w:rsidRPr="003E121B" w:rsidRDefault="00E948D7" w:rsidP="00664E8F">
            <w:pPr>
              <w:rPr>
                <w:rFonts w:ascii="Calibri" w:hAnsi="Calibri" w:cs="Calibri"/>
                <w:szCs w:val="24"/>
              </w:rPr>
            </w:pPr>
            <w:r w:rsidRPr="003E121B">
              <w:rPr>
                <w:rFonts w:ascii="Calibri" w:hAnsi="Calibri" w:cs="Calibri"/>
                <w:szCs w:val="24"/>
              </w:rPr>
              <w:t>Refugees</w:t>
            </w:r>
          </w:p>
        </w:tc>
        <w:tc>
          <w:tcPr>
            <w:tcW w:w="5167" w:type="dxa"/>
            <w:shd w:val="clear" w:color="auto" w:fill="auto"/>
            <w:hideMark/>
          </w:tcPr>
          <w:p w14:paraId="63779AF4" w14:textId="77777777" w:rsidR="00E948D7" w:rsidRPr="003E121B" w:rsidRDefault="00E948D7" w:rsidP="00664E8F">
            <w:pPr>
              <w:rPr>
                <w:rFonts w:ascii="Calibri" w:hAnsi="Calibri" w:cs="Calibri"/>
                <w:szCs w:val="24"/>
              </w:rPr>
            </w:pPr>
            <w:r w:rsidRPr="003E121B">
              <w:rPr>
                <w:rFonts w:ascii="Calibri" w:hAnsi="Calibri" w:cs="Calibri"/>
                <w:szCs w:val="24"/>
              </w:rPr>
              <w:t>EDT provide employability skills including but not limited to: Support to navigate the benefits system, CV Writing, Interviewing Skills, Transferable Skills, Confidence Building, work experience and volunteering opportunities, job search support, translation services to enable attendance for programme support, support to access ESOL provision, support to access training/retraining for employed refugees, support associated with travel and clothing for interviews, support with travel to attend provision.</w:t>
            </w:r>
          </w:p>
        </w:tc>
      </w:tr>
      <w:tr w:rsidR="00E948D7" w:rsidRPr="003E121B" w14:paraId="62B98C06" w14:textId="77777777" w:rsidTr="00664E8F">
        <w:trPr>
          <w:trHeight w:val="5220"/>
        </w:trPr>
        <w:tc>
          <w:tcPr>
            <w:tcW w:w="462" w:type="dxa"/>
            <w:shd w:val="clear" w:color="auto" w:fill="auto"/>
            <w:noWrap/>
            <w:hideMark/>
          </w:tcPr>
          <w:p w14:paraId="20AD26B9" w14:textId="77777777" w:rsidR="00E948D7" w:rsidRPr="003E121B" w:rsidRDefault="00E948D7" w:rsidP="00664E8F">
            <w:pPr>
              <w:rPr>
                <w:rFonts w:ascii="Calibri" w:hAnsi="Calibri" w:cs="Calibri"/>
                <w:szCs w:val="24"/>
              </w:rPr>
            </w:pPr>
            <w:r w:rsidRPr="003E121B">
              <w:rPr>
                <w:rFonts w:ascii="Calibri" w:hAnsi="Calibri" w:cs="Calibri"/>
                <w:szCs w:val="24"/>
              </w:rPr>
              <w:lastRenderedPageBreak/>
              <w:t>6</w:t>
            </w:r>
          </w:p>
        </w:tc>
        <w:tc>
          <w:tcPr>
            <w:tcW w:w="2214" w:type="dxa"/>
            <w:shd w:val="clear" w:color="auto" w:fill="auto"/>
            <w:hideMark/>
          </w:tcPr>
          <w:p w14:paraId="2DB356B5" w14:textId="77777777" w:rsidR="00E948D7" w:rsidRPr="003E121B" w:rsidRDefault="00E948D7" w:rsidP="00664E8F">
            <w:pPr>
              <w:rPr>
                <w:rFonts w:ascii="Calibri" w:hAnsi="Calibri" w:cs="Calibri"/>
                <w:szCs w:val="24"/>
              </w:rPr>
            </w:pPr>
            <w:proofErr w:type="spellStart"/>
            <w:r w:rsidRPr="003E121B">
              <w:rPr>
                <w:rFonts w:ascii="Calibri" w:hAnsi="Calibri" w:cs="Calibri"/>
                <w:szCs w:val="24"/>
              </w:rPr>
              <w:t>Konnect</w:t>
            </w:r>
            <w:proofErr w:type="spellEnd"/>
            <w:r w:rsidRPr="003E121B">
              <w:rPr>
                <w:rFonts w:ascii="Calibri" w:hAnsi="Calibri" w:cs="Calibri"/>
                <w:szCs w:val="24"/>
              </w:rPr>
              <w:t xml:space="preserve"> Communities</w:t>
            </w:r>
          </w:p>
        </w:tc>
        <w:tc>
          <w:tcPr>
            <w:tcW w:w="1796" w:type="dxa"/>
            <w:shd w:val="clear" w:color="auto" w:fill="auto"/>
            <w:hideMark/>
          </w:tcPr>
          <w:p w14:paraId="54122CE1" w14:textId="77777777" w:rsidR="00E948D7" w:rsidRPr="003E121B" w:rsidRDefault="00E948D7" w:rsidP="00664E8F">
            <w:pPr>
              <w:rPr>
                <w:rFonts w:ascii="Calibri" w:hAnsi="Calibri" w:cs="Calibri"/>
                <w:szCs w:val="24"/>
              </w:rPr>
            </w:pPr>
            <w:r w:rsidRPr="003E121B">
              <w:rPr>
                <w:rFonts w:ascii="Calibri" w:hAnsi="Calibri" w:cs="Calibri"/>
                <w:szCs w:val="24"/>
              </w:rPr>
              <w:t>Ex-offenders and people involved in the criminal justice system</w:t>
            </w:r>
          </w:p>
        </w:tc>
        <w:tc>
          <w:tcPr>
            <w:tcW w:w="5167" w:type="dxa"/>
            <w:shd w:val="clear" w:color="auto" w:fill="auto"/>
            <w:hideMark/>
          </w:tcPr>
          <w:p w14:paraId="58508662" w14:textId="77777777" w:rsidR="00E948D7" w:rsidRPr="003E121B" w:rsidRDefault="00E948D7" w:rsidP="00664E8F">
            <w:pPr>
              <w:rPr>
                <w:rFonts w:ascii="Calibri" w:hAnsi="Calibri" w:cs="Calibri"/>
                <w:szCs w:val="24"/>
              </w:rPr>
            </w:pPr>
            <w:proofErr w:type="spellStart"/>
            <w:r w:rsidRPr="003E121B">
              <w:rPr>
                <w:rFonts w:ascii="Calibri" w:hAnsi="Calibri" w:cs="Calibri"/>
                <w:szCs w:val="24"/>
              </w:rPr>
              <w:t>Konnect</w:t>
            </w:r>
            <w:proofErr w:type="spellEnd"/>
            <w:r w:rsidRPr="003E121B">
              <w:rPr>
                <w:rFonts w:ascii="Calibri" w:hAnsi="Calibri" w:cs="Calibri"/>
                <w:szCs w:val="24"/>
              </w:rPr>
              <w:t xml:space="preserve"> provide:</w:t>
            </w:r>
          </w:p>
          <w:p w14:paraId="244044DB" w14:textId="77777777" w:rsidR="00E948D7" w:rsidRPr="003E121B" w:rsidRDefault="00E948D7" w:rsidP="00664E8F">
            <w:pPr>
              <w:rPr>
                <w:rFonts w:ascii="Calibri" w:hAnsi="Calibri" w:cs="Calibri"/>
                <w:szCs w:val="24"/>
              </w:rPr>
            </w:pPr>
          </w:p>
          <w:p w14:paraId="509E4493" w14:textId="77777777" w:rsidR="00E948D7" w:rsidRPr="003E121B" w:rsidRDefault="00E948D7" w:rsidP="00664E8F">
            <w:pPr>
              <w:rPr>
                <w:rFonts w:ascii="Calibri" w:hAnsi="Calibri" w:cs="Calibri"/>
                <w:szCs w:val="24"/>
              </w:rPr>
            </w:pPr>
            <w:r w:rsidRPr="003E121B">
              <w:rPr>
                <w:rFonts w:ascii="Calibri" w:hAnsi="Calibri" w:cs="Calibri"/>
                <w:szCs w:val="24"/>
              </w:rPr>
              <w:t>a) 1-2-1 mentoring support to help clients re-engage with their communities and reduce re-offending. This includes advocacy work to ensure vital support services are being accessed and regularly engaged with (substance misuse, housing, benefits, mental health); as well as providing support around education, employment and training options.</w:t>
            </w:r>
            <w:r w:rsidRPr="003E121B">
              <w:rPr>
                <w:rFonts w:ascii="Calibri" w:hAnsi="Calibri" w:cs="Calibri"/>
                <w:szCs w:val="24"/>
              </w:rPr>
              <w:br/>
            </w:r>
            <w:r w:rsidRPr="003E121B">
              <w:rPr>
                <w:rFonts w:ascii="Calibri" w:hAnsi="Calibri" w:cs="Calibri"/>
                <w:szCs w:val="24"/>
              </w:rPr>
              <w:br/>
              <w:t>b) a series of workshops that seek to provide supplementary support outside of the mentoring sessions with topics such as Living Well on a Budget; Changing Mindsets; Disclosure Statements etc. These workshops also act as an opportunity for people to come together, share experiences, and learn from each other as they develop skills and competencies.</w:t>
            </w:r>
            <w:r w:rsidRPr="003E121B">
              <w:rPr>
                <w:rFonts w:ascii="Calibri" w:hAnsi="Calibri" w:cs="Calibri"/>
                <w:szCs w:val="24"/>
              </w:rPr>
              <w:br/>
            </w:r>
            <w:r w:rsidRPr="003E121B">
              <w:rPr>
                <w:rFonts w:ascii="Calibri" w:hAnsi="Calibri" w:cs="Calibri"/>
                <w:szCs w:val="24"/>
              </w:rPr>
              <w:br/>
              <w:t>3) a Peer Mentor programme which all clients (where appropriate) are encouraged to apply to train as peer mentors to use their lived experience to support others in their local community. Clients involved with this are able to achieve the Level 2 qualification in Peer Mentoring Skills and non-accredited training options are available too. There are also volunteering opportunities to assist with future Mentoring course and/or other workshops.</w:t>
            </w:r>
          </w:p>
        </w:tc>
      </w:tr>
      <w:tr w:rsidR="00E948D7" w:rsidRPr="003E121B" w14:paraId="25E3A4BD" w14:textId="77777777" w:rsidTr="00664E8F">
        <w:trPr>
          <w:trHeight w:val="2985"/>
        </w:trPr>
        <w:tc>
          <w:tcPr>
            <w:tcW w:w="462" w:type="dxa"/>
            <w:shd w:val="clear" w:color="auto" w:fill="auto"/>
            <w:noWrap/>
            <w:hideMark/>
          </w:tcPr>
          <w:p w14:paraId="033DAD1B" w14:textId="77777777" w:rsidR="00E948D7" w:rsidRPr="003E121B" w:rsidRDefault="00E948D7" w:rsidP="00664E8F">
            <w:pPr>
              <w:rPr>
                <w:rFonts w:ascii="Calibri" w:hAnsi="Calibri" w:cs="Calibri"/>
                <w:szCs w:val="24"/>
              </w:rPr>
            </w:pPr>
            <w:r w:rsidRPr="003E121B">
              <w:rPr>
                <w:rFonts w:ascii="Calibri" w:hAnsi="Calibri" w:cs="Calibri"/>
                <w:szCs w:val="24"/>
              </w:rPr>
              <w:t>7</w:t>
            </w:r>
          </w:p>
        </w:tc>
        <w:tc>
          <w:tcPr>
            <w:tcW w:w="2214" w:type="dxa"/>
            <w:shd w:val="clear" w:color="auto" w:fill="auto"/>
            <w:hideMark/>
          </w:tcPr>
          <w:p w14:paraId="7026A000" w14:textId="77777777" w:rsidR="00E948D7" w:rsidRPr="003E121B" w:rsidRDefault="00E948D7" w:rsidP="00664E8F">
            <w:pPr>
              <w:rPr>
                <w:rFonts w:ascii="Calibri" w:hAnsi="Calibri" w:cs="Calibri"/>
                <w:szCs w:val="24"/>
              </w:rPr>
            </w:pPr>
            <w:proofErr w:type="spellStart"/>
            <w:r w:rsidRPr="003E121B">
              <w:rPr>
                <w:rFonts w:ascii="Calibri" w:hAnsi="Calibri" w:cs="Calibri"/>
                <w:szCs w:val="24"/>
              </w:rPr>
              <w:t>Pentreath</w:t>
            </w:r>
            <w:proofErr w:type="spellEnd"/>
          </w:p>
        </w:tc>
        <w:tc>
          <w:tcPr>
            <w:tcW w:w="1796" w:type="dxa"/>
            <w:shd w:val="clear" w:color="auto" w:fill="auto"/>
            <w:hideMark/>
          </w:tcPr>
          <w:p w14:paraId="14D50CE0" w14:textId="77777777" w:rsidR="00E948D7" w:rsidRPr="003E121B" w:rsidRDefault="00E948D7" w:rsidP="00664E8F">
            <w:pPr>
              <w:rPr>
                <w:rFonts w:ascii="Calibri" w:hAnsi="Calibri" w:cs="Calibri"/>
                <w:szCs w:val="24"/>
              </w:rPr>
            </w:pPr>
            <w:r w:rsidRPr="003E121B">
              <w:rPr>
                <w:rFonts w:ascii="Calibri" w:hAnsi="Calibri" w:cs="Calibri"/>
                <w:szCs w:val="24"/>
              </w:rPr>
              <w:t>Mental health and emotional wellbeing</w:t>
            </w:r>
          </w:p>
        </w:tc>
        <w:tc>
          <w:tcPr>
            <w:tcW w:w="5167" w:type="dxa"/>
            <w:shd w:val="clear" w:color="auto" w:fill="auto"/>
          </w:tcPr>
          <w:p w14:paraId="4C5BB4EE" w14:textId="77777777" w:rsidR="00E948D7" w:rsidRPr="003E121B" w:rsidRDefault="00E948D7" w:rsidP="00664E8F">
            <w:pPr>
              <w:spacing w:after="160" w:line="259" w:lineRule="auto"/>
              <w:rPr>
                <w:rFonts w:ascii="Calibri" w:hAnsi="Calibri" w:cs="Calibri"/>
                <w:szCs w:val="24"/>
              </w:rPr>
            </w:pPr>
            <w:r w:rsidRPr="003E121B">
              <w:rPr>
                <w:rFonts w:ascii="Calibri" w:hAnsi="Calibri" w:cs="Calibri"/>
                <w:szCs w:val="24"/>
              </w:rPr>
              <w:t>Provide 1:2:1 support to participants to help them achieve their personal and vocational goals. They also have a small team of specialist young person advisors who work specifically with the 16-24 age group.</w:t>
            </w:r>
          </w:p>
          <w:p w14:paraId="7538FA34" w14:textId="77777777" w:rsidR="00E948D7" w:rsidRPr="003E121B" w:rsidRDefault="00E948D7" w:rsidP="00664E8F">
            <w:pPr>
              <w:ind w:right="5308"/>
              <w:rPr>
                <w:rFonts w:ascii="Calibri" w:hAnsi="Calibri" w:cs="Calibri"/>
                <w:szCs w:val="24"/>
              </w:rPr>
            </w:pPr>
          </w:p>
        </w:tc>
      </w:tr>
      <w:tr w:rsidR="00E948D7" w:rsidRPr="003E121B" w14:paraId="5621840C" w14:textId="77777777" w:rsidTr="00664E8F">
        <w:trPr>
          <w:trHeight w:val="3628"/>
        </w:trPr>
        <w:tc>
          <w:tcPr>
            <w:tcW w:w="462" w:type="dxa"/>
            <w:shd w:val="clear" w:color="auto" w:fill="auto"/>
            <w:noWrap/>
            <w:hideMark/>
          </w:tcPr>
          <w:p w14:paraId="2933A647" w14:textId="77777777" w:rsidR="00E948D7" w:rsidRPr="003E121B" w:rsidRDefault="00E948D7" w:rsidP="00664E8F">
            <w:pPr>
              <w:rPr>
                <w:rFonts w:ascii="Calibri" w:hAnsi="Calibri" w:cs="Calibri"/>
                <w:szCs w:val="24"/>
              </w:rPr>
            </w:pPr>
            <w:r w:rsidRPr="003E121B">
              <w:rPr>
                <w:rFonts w:ascii="Calibri" w:hAnsi="Calibri" w:cs="Calibri"/>
                <w:szCs w:val="24"/>
              </w:rPr>
              <w:lastRenderedPageBreak/>
              <w:t>8</w:t>
            </w:r>
          </w:p>
        </w:tc>
        <w:tc>
          <w:tcPr>
            <w:tcW w:w="2214" w:type="dxa"/>
            <w:shd w:val="clear" w:color="auto" w:fill="auto"/>
            <w:hideMark/>
          </w:tcPr>
          <w:p w14:paraId="3D7EAD70" w14:textId="77777777" w:rsidR="00E948D7" w:rsidRPr="003E121B" w:rsidRDefault="00E948D7" w:rsidP="00664E8F">
            <w:pPr>
              <w:rPr>
                <w:rFonts w:ascii="Calibri" w:hAnsi="Calibri" w:cs="Calibri"/>
                <w:szCs w:val="24"/>
              </w:rPr>
            </w:pPr>
            <w:r w:rsidRPr="003E121B">
              <w:rPr>
                <w:rFonts w:ascii="Calibri" w:hAnsi="Calibri" w:cs="Calibri"/>
                <w:szCs w:val="24"/>
              </w:rPr>
              <w:t>Pluss CIC</w:t>
            </w:r>
          </w:p>
        </w:tc>
        <w:tc>
          <w:tcPr>
            <w:tcW w:w="1796" w:type="dxa"/>
            <w:shd w:val="clear" w:color="auto" w:fill="auto"/>
            <w:hideMark/>
          </w:tcPr>
          <w:p w14:paraId="3FD06BA4" w14:textId="77777777" w:rsidR="00E948D7" w:rsidRPr="003E121B" w:rsidRDefault="00E948D7" w:rsidP="00664E8F">
            <w:pPr>
              <w:rPr>
                <w:rFonts w:ascii="Calibri" w:hAnsi="Calibri" w:cs="Calibri"/>
                <w:szCs w:val="24"/>
              </w:rPr>
            </w:pPr>
            <w:r w:rsidRPr="003E121B">
              <w:rPr>
                <w:rFonts w:ascii="Calibri" w:hAnsi="Calibri" w:cs="Calibri"/>
                <w:szCs w:val="24"/>
              </w:rPr>
              <w:t>Learning Disabilities</w:t>
            </w:r>
          </w:p>
        </w:tc>
        <w:tc>
          <w:tcPr>
            <w:tcW w:w="5167" w:type="dxa"/>
            <w:shd w:val="clear" w:color="auto" w:fill="auto"/>
            <w:hideMark/>
          </w:tcPr>
          <w:p w14:paraId="39BE5722" w14:textId="77777777" w:rsidR="00E948D7" w:rsidRPr="003E121B" w:rsidRDefault="00E948D7" w:rsidP="00664E8F">
            <w:pPr>
              <w:rPr>
                <w:rFonts w:ascii="Calibri" w:hAnsi="Calibri" w:cs="Calibri"/>
                <w:szCs w:val="24"/>
              </w:rPr>
            </w:pPr>
            <w:r w:rsidRPr="003E121B">
              <w:rPr>
                <w:rFonts w:ascii="Calibri" w:hAnsi="Calibri" w:cs="Calibri"/>
                <w:szCs w:val="24"/>
              </w:rPr>
              <w:t xml:space="preserve">Support individuals aged 16+ across all of Cornwall, who have a Learning disability or difficulty to move forward into employment, education, or training. </w:t>
            </w:r>
            <w:r w:rsidRPr="003E121B">
              <w:rPr>
                <w:rFonts w:ascii="Calibri" w:hAnsi="Calibri" w:cs="Calibri"/>
                <w:szCs w:val="24"/>
              </w:rPr>
              <w:br/>
            </w:r>
            <w:r w:rsidRPr="003E121B">
              <w:rPr>
                <w:rFonts w:ascii="Calibri" w:hAnsi="Calibri" w:cs="Calibri"/>
                <w:szCs w:val="24"/>
              </w:rPr>
              <w:br/>
              <w:t>Support can include travel training, creation of Magna Vitae CV’s, accessing volunteering opportunities or work experience placements, interview techniques, evaluation of transferable skills, workplace expectations and much more.  The support offered is delivered both on a 1:1 basis or via group sessions, as appropriate. The group sessions are delivered over a 12-week period and cover a variety of topics to help move individuals closer to their goals.</w:t>
            </w:r>
          </w:p>
        </w:tc>
      </w:tr>
      <w:tr w:rsidR="00E948D7" w:rsidRPr="003E121B" w14:paraId="72EFE2F7" w14:textId="77777777" w:rsidTr="00664E8F">
        <w:trPr>
          <w:trHeight w:val="1984"/>
        </w:trPr>
        <w:tc>
          <w:tcPr>
            <w:tcW w:w="462" w:type="dxa"/>
            <w:shd w:val="clear" w:color="auto" w:fill="auto"/>
            <w:noWrap/>
            <w:hideMark/>
          </w:tcPr>
          <w:p w14:paraId="5ED3B240" w14:textId="77777777" w:rsidR="00E948D7" w:rsidRPr="003E121B" w:rsidRDefault="00E948D7" w:rsidP="00664E8F">
            <w:pPr>
              <w:rPr>
                <w:rFonts w:ascii="Calibri" w:hAnsi="Calibri" w:cs="Calibri"/>
                <w:szCs w:val="24"/>
              </w:rPr>
            </w:pPr>
            <w:r w:rsidRPr="003E121B">
              <w:rPr>
                <w:rFonts w:ascii="Calibri" w:hAnsi="Calibri" w:cs="Calibri"/>
                <w:szCs w:val="24"/>
              </w:rPr>
              <w:t>9</w:t>
            </w:r>
          </w:p>
        </w:tc>
        <w:tc>
          <w:tcPr>
            <w:tcW w:w="2214" w:type="dxa"/>
            <w:shd w:val="clear" w:color="auto" w:fill="auto"/>
            <w:hideMark/>
          </w:tcPr>
          <w:p w14:paraId="7A6A1EAF" w14:textId="77777777" w:rsidR="00E948D7" w:rsidRPr="003E121B" w:rsidRDefault="00E948D7" w:rsidP="00664E8F">
            <w:pPr>
              <w:rPr>
                <w:rFonts w:ascii="Calibri" w:hAnsi="Calibri" w:cs="Calibri"/>
                <w:szCs w:val="24"/>
              </w:rPr>
            </w:pPr>
            <w:r w:rsidRPr="003E121B">
              <w:rPr>
                <w:rFonts w:ascii="Calibri" w:hAnsi="Calibri" w:cs="Calibri"/>
                <w:szCs w:val="24"/>
              </w:rPr>
              <w:t>Smart Working Revolution (SWR)</w:t>
            </w:r>
          </w:p>
        </w:tc>
        <w:tc>
          <w:tcPr>
            <w:tcW w:w="1796" w:type="dxa"/>
            <w:shd w:val="clear" w:color="auto" w:fill="auto"/>
            <w:hideMark/>
          </w:tcPr>
          <w:p w14:paraId="54280CD2" w14:textId="77777777" w:rsidR="00E948D7" w:rsidRPr="003E121B" w:rsidRDefault="00E948D7" w:rsidP="00664E8F">
            <w:pPr>
              <w:rPr>
                <w:rFonts w:ascii="Calibri" w:hAnsi="Calibri" w:cs="Calibri"/>
                <w:szCs w:val="24"/>
              </w:rPr>
            </w:pPr>
            <w:r w:rsidRPr="003E121B">
              <w:rPr>
                <w:rFonts w:ascii="Calibri" w:hAnsi="Calibri" w:cs="Calibri"/>
                <w:szCs w:val="24"/>
              </w:rPr>
              <w:t>All</w:t>
            </w:r>
            <w:r w:rsidRPr="003E121B">
              <w:rPr>
                <w:rFonts w:ascii="Calibri" w:hAnsi="Calibri" w:cs="Calibri"/>
                <w:szCs w:val="24"/>
              </w:rPr>
              <w:br/>
            </w:r>
          </w:p>
        </w:tc>
        <w:tc>
          <w:tcPr>
            <w:tcW w:w="5167" w:type="dxa"/>
            <w:shd w:val="clear" w:color="auto" w:fill="auto"/>
            <w:hideMark/>
          </w:tcPr>
          <w:p w14:paraId="1F80A7D6" w14:textId="77777777" w:rsidR="00E948D7" w:rsidRPr="003E121B" w:rsidRDefault="00E948D7" w:rsidP="00664E8F">
            <w:pPr>
              <w:rPr>
                <w:rFonts w:ascii="Calibri" w:hAnsi="Calibri" w:cs="Calibri"/>
                <w:szCs w:val="24"/>
              </w:rPr>
            </w:pPr>
            <w:r w:rsidRPr="003E121B">
              <w:rPr>
                <w:rFonts w:ascii="Calibri" w:hAnsi="Calibri" w:cs="Calibri"/>
                <w:szCs w:val="24"/>
              </w:rPr>
              <w:t>Smart Working Revolution supports and trains motivated people with the confidence and impact to shine in work and gain the skills that today's employers are looking for. The SWR Smart Steps Programmes boosts people’s confidence and impact, uncover their superpowers, and lead them to future job success. On top of that SWR give bespoke support for applications and interviews and help match people with suitable jobs.</w:t>
            </w:r>
          </w:p>
          <w:p w14:paraId="25B38487" w14:textId="77777777" w:rsidR="00E948D7" w:rsidRPr="003E121B" w:rsidRDefault="00E948D7" w:rsidP="00664E8F">
            <w:pPr>
              <w:rPr>
                <w:rFonts w:ascii="Calibri" w:hAnsi="Calibri" w:cs="Calibri"/>
                <w:szCs w:val="24"/>
              </w:rPr>
            </w:pPr>
            <w:r w:rsidRPr="003E121B">
              <w:rPr>
                <w:rFonts w:ascii="Calibri" w:hAnsi="Calibri" w:cs="Calibri"/>
                <w:szCs w:val="24"/>
              </w:rPr>
              <w:t>SWR also specialises in supporting people 50+ as older candidates can feel they have to work harder to overcome recruitment barriers. The SWR Team help people discover how age can be a beneficial tool when applying for jobs.</w:t>
            </w:r>
          </w:p>
        </w:tc>
      </w:tr>
      <w:tr w:rsidR="00E948D7" w:rsidRPr="003E121B" w14:paraId="4BDC5177" w14:textId="77777777" w:rsidTr="00664E8F">
        <w:trPr>
          <w:trHeight w:val="2835"/>
        </w:trPr>
        <w:tc>
          <w:tcPr>
            <w:tcW w:w="462" w:type="dxa"/>
            <w:shd w:val="clear" w:color="auto" w:fill="auto"/>
            <w:noWrap/>
            <w:hideMark/>
          </w:tcPr>
          <w:p w14:paraId="77E31936" w14:textId="77777777" w:rsidR="00E948D7" w:rsidRPr="003E121B" w:rsidRDefault="00E948D7" w:rsidP="00664E8F">
            <w:pPr>
              <w:rPr>
                <w:rFonts w:ascii="Calibri" w:hAnsi="Calibri" w:cs="Calibri"/>
                <w:szCs w:val="24"/>
              </w:rPr>
            </w:pPr>
            <w:r w:rsidRPr="003E121B">
              <w:rPr>
                <w:rFonts w:ascii="Calibri" w:hAnsi="Calibri" w:cs="Calibri"/>
                <w:szCs w:val="24"/>
              </w:rPr>
              <w:t>10</w:t>
            </w:r>
          </w:p>
        </w:tc>
        <w:tc>
          <w:tcPr>
            <w:tcW w:w="2214" w:type="dxa"/>
            <w:shd w:val="clear" w:color="auto" w:fill="auto"/>
            <w:hideMark/>
          </w:tcPr>
          <w:p w14:paraId="5E4B13A4" w14:textId="77777777" w:rsidR="00E948D7" w:rsidRPr="003E121B" w:rsidRDefault="00E948D7" w:rsidP="00664E8F">
            <w:pPr>
              <w:rPr>
                <w:rFonts w:ascii="Calibri" w:hAnsi="Calibri" w:cs="Calibri"/>
                <w:szCs w:val="24"/>
              </w:rPr>
            </w:pPr>
            <w:r w:rsidRPr="003E121B">
              <w:rPr>
                <w:rFonts w:ascii="Calibri" w:hAnsi="Calibri" w:cs="Calibri"/>
                <w:szCs w:val="24"/>
              </w:rPr>
              <w:t xml:space="preserve">St </w:t>
            </w:r>
            <w:proofErr w:type="spellStart"/>
            <w:r w:rsidRPr="003E121B">
              <w:rPr>
                <w:rFonts w:ascii="Calibri" w:hAnsi="Calibri" w:cs="Calibri"/>
                <w:szCs w:val="24"/>
              </w:rPr>
              <w:t>Petrocs</w:t>
            </w:r>
            <w:proofErr w:type="spellEnd"/>
          </w:p>
        </w:tc>
        <w:tc>
          <w:tcPr>
            <w:tcW w:w="1796" w:type="dxa"/>
            <w:shd w:val="clear" w:color="auto" w:fill="auto"/>
            <w:hideMark/>
          </w:tcPr>
          <w:p w14:paraId="013D717E" w14:textId="77777777" w:rsidR="00E948D7" w:rsidRPr="003E121B" w:rsidRDefault="00E948D7" w:rsidP="00664E8F">
            <w:pPr>
              <w:rPr>
                <w:rFonts w:ascii="Calibri" w:hAnsi="Calibri" w:cs="Calibri"/>
                <w:szCs w:val="24"/>
              </w:rPr>
            </w:pPr>
            <w:r w:rsidRPr="003E121B">
              <w:rPr>
                <w:rFonts w:ascii="Calibri" w:hAnsi="Calibri" w:cs="Calibri"/>
                <w:szCs w:val="24"/>
              </w:rPr>
              <w:t>Homeless</w:t>
            </w:r>
          </w:p>
        </w:tc>
        <w:tc>
          <w:tcPr>
            <w:tcW w:w="5167" w:type="dxa"/>
            <w:shd w:val="clear" w:color="auto" w:fill="auto"/>
            <w:hideMark/>
          </w:tcPr>
          <w:p w14:paraId="2D37AC5E" w14:textId="77777777" w:rsidR="00E948D7" w:rsidRPr="003E121B" w:rsidRDefault="00E948D7" w:rsidP="00664E8F">
            <w:pPr>
              <w:rPr>
                <w:rFonts w:ascii="Calibri" w:hAnsi="Calibri" w:cs="Calibri"/>
                <w:szCs w:val="24"/>
              </w:rPr>
            </w:pPr>
            <w:r w:rsidRPr="003E121B">
              <w:rPr>
                <w:rFonts w:ascii="Calibri" w:hAnsi="Calibri" w:cs="Calibri"/>
                <w:szCs w:val="24"/>
              </w:rPr>
              <w:t xml:space="preserve">St </w:t>
            </w:r>
            <w:proofErr w:type="spellStart"/>
            <w:r w:rsidRPr="003E121B">
              <w:rPr>
                <w:rFonts w:ascii="Calibri" w:hAnsi="Calibri" w:cs="Calibri"/>
                <w:szCs w:val="24"/>
              </w:rPr>
              <w:t>Petrocs</w:t>
            </w:r>
            <w:proofErr w:type="spellEnd"/>
            <w:r w:rsidRPr="003E121B">
              <w:rPr>
                <w:rFonts w:ascii="Calibri" w:hAnsi="Calibri" w:cs="Calibri"/>
                <w:szCs w:val="24"/>
              </w:rPr>
              <w:t xml:space="preserve"> provides a Vocational Development Programme which encourages residents of their 23 houses and 3 Resource Centres to work towards education and employment, as well as accessing opportunities that they have not been able to participate in previously, with an onus on improving mental and physical health, wellbeing and confidence.  The programme is a holistic approach to ending homelessness by empowering residents to work toward a fulfilling, and sustainable future.   </w:t>
            </w:r>
          </w:p>
        </w:tc>
      </w:tr>
      <w:tr w:rsidR="00E948D7" w:rsidRPr="003E121B" w14:paraId="35123063" w14:textId="77777777" w:rsidTr="00664E8F">
        <w:trPr>
          <w:trHeight w:val="510"/>
        </w:trPr>
        <w:tc>
          <w:tcPr>
            <w:tcW w:w="462" w:type="dxa"/>
            <w:shd w:val="clear" w:color="auto" w:fill="auto"/>
            <w:noWrap/>
            <w:hideMark/>
          </w:tcPr>
          <w:p w14:paraId="5E2E13DD" w14:textId="77777777" w:rsidR="00E948D7" w:rsidRPr="003E121B" w:rsidRDefault="00E948D7" w:rsidP="00664E8F">
            <w:pPr>
              <w:rPr>
                <w:rFonts w:ascii="Calibri" w:hAnsi="Calibri" w:cs="Calibri"/>
                <w:szCs w:val="24"/>
              </w:rPr>
            </w:pPr>
            <w:r w:rsidRPr="003E121B">
              <w:rPr>
                <w:rFonts w:ascii="Calibri" w:hAnsi="Calibri" w:cs="Calibri"/>
                <w:szCs w:val="24"/>
              </w:rPr>
              <w:t>11</w:t>
            </w:r>
          </w:p>
        </w:tc>
        <w:tc>
          <w:tcPr>
            <w:tcW w:w="2214" w:type="dxa"/>
            <w:shd w:val="clear" w:color="auto" w:fill="auto"/>
            <w:hideMark/>
          </w:tcPr>
          <w:p w14:paraId="28BCEE56" w14:textId="77777777" w:rsidR="00E948D7" w:rsidRPr="003E121B" w:rsidRDefault="00E948D7" w:rsidP="00664E8F">
            <w:pPr>
              <w:rPr>
                <w:rFonts w:ascii="Calibri" w:hAnsi="Calibri" w:cs="Calibri"/>
                <w:szCs w:val="24"/>
              </w:rPr>
            </w:pPr>
            <w:r w:rsidRPr="003E121B">
              <w:rPr>
                <w:rFonts w:ascii="Calibri" w:hAnsi="Calibri" w:cs="Calibri"/>
                <w:szCs w:val="24"/>
              </w:rPr>
              <w:t>Stay at Home (CHAOS Group)</w:t>
            </w:r>
          </w:p>
        </w:tc>
        <w:tc>
          <w:tcPr>
            <w:tcW w:w="1796" w:type="dxa"/>
            <w:shd w:val="clear" w:color="auto" w:fill="auto"/>
            <w:hideMark/>
          </w:tcPr>
          <w:p w14:paraId="7310260A" w14:textId="77777777" w:rsidR="00E948D7" w:rsidRPr="003E121B" w:rsidRDefault="00E948D7" w:rsidP="00664E8F">
            <w:pPr>
              <w:rPr>
                <w:rFonts w:ascii="Calibri" w:hAnsi="Calibri" w:cs="Calibri"/>
                <w:szCs w:val="24"/>
              </w:rPr>
            </w:pPr>
            <w:r w:rsidRPr="003E121B">
              <w:rPr>
                <w:rFonts w:ascii="Calibri" w:hAnsi="Calibri" w:cs="Calibri"/>
                <w:szCs w:val="24"/>
              </w:rPr>
              <w:t>Neuro Diverse</w:t>
            </w:r>
          </w:p>
        </w:tc>
        <w:tc>
          <w:tcPr>
            <w:tcW w:w="5167" w:type="dxa"/>
            <w:shd w:val="clear" w:color="auto" w:fill="auto"/>
            <w:hideMark/>
          </w:tcPr>
          <w:p w14:paraId="4D9054CE" w14:textId="77777777" w:rsidR="00E948D7" w:rsidRPr="003E121B" w:rsidRDefault="00E948D7" w:rsidP="00664E8F">
            <w:pPr>
              <w:rPr>
                <w:rFonts w:ascii="Calibri" w:hAnsi="Calibri" w:cs="Calibri"/>
                <w:szCs w:val="24"/>
              </w:rPr>
            </w:pPr>
            <w:r w:rsidRPr="003E121B">
              <w:rPr>
                <w:rFonts w:ascii="Calibri" w:hAnsi="Calibri" w:cs="Calibri"/>
                <w:szCs w:val="24"/>
              </w:rPr>
              <w:t>CHAOS deliver work training and education opportunities to people with Neuro Diverse conditions. Working in a person-centred way and helping them to achieve their goals.</w:t>
            </w:r>
          </w:p>
        </w:tc>
      </w:tr>
      <w:bookmarkEnd w:id="0"/>
      <w:tr w:rsidR="00E948D7" w:rsidRPr="003E121B" w14:paraId="05895FCA" w14:textId="77777777" w:rsidTr="00664E8F">
        <w:trPr>
          <w:trHeight w:val="510"/>
        </w:trPr>
        <w:tc>
          <w:tcPr>
            <w:tcW w:w="462" w:type="dxa"/>
            <w:shd w:val="clear" w:color="auto" w:fill="auto"/>
            <w:noWrap/>
          </w:tcPr>
          <w:p w14:paraId="15D71FBB" w14:textId="77777777" w:rsidR="00E948D7" w:rsidRPr="003E121B" w:rsidRDefault="00E948D7" w:rsidP="00664E8F">
            <w:pPr>
              <w:rPr>
                <w:rFonts w:ascii="Calibri" w:hAnsi="Calibri" w:cs="Calibri"/>
                <w:szCs w:val="24"/>
              </w:rPr>
            </w:pPr>
            <w:r w:rsidRPr="003E121B">
              <w:rPr>
                <w:rFonts w:ascii="Calibri" w:hAnsi="Calibri" w:cs="Calibri"/>
                <w:szCs w:val="24"/>
              </w:rPr>
              <w:lastRenderedPageBreak/>
              <w:t xml:space="preserve">12  </w:t>
            </w:r>
          </w:p>
        </w:tc>
        <w:tc>
          <w:tcPr>
            <w:tcW w:w="2214" w:type="dxa"/>
            <w:shd w:val="clear" w:color="auto" w:fill="auto"/>
          </w:tcPr>
          <w:p w14:paraId="78E913A2" w14:textId="77777777" w:rsidR="00E948D7" w:rsidRDefault="00E948D7" w:rsidP="00664E8F">
            <w:pPr>
              <w:rPr>
                <w:rFonts w:ascii="Calibri" w:hAnsi="Calibri" w:cs="Calibri"/>
                <w:szCs w:val="24"/>
              </w:rPr>
            </w:pPr>
            <w:r w:rsidRPr="008057A4">
              <w:rPr>
                <w:rFonts w:ascii="Calibri" w:hAnsi="Calibri" w:cs="Calibri"/>
                <w:szCs w:val="24"/>
              </w:rPr>
              <w:t xml:space="preserve">Carefree Cornwall (full name Carefree Fostering Independence Cornwall) </w:t>
            </w:r>
          </w:p>
          <w:p w14:paraId="20A331BA" w14:textId="77777777" w:rsidR="00E948D7" w:rsidRDefault="00E948D7" w:rsidP="00664E8F">
            <w:pPr>
              <w:rPr>
                <w:rFonts w:ascii="Calibri" w:hAnsi="Calibri" w:cs="Calibri"/>
                <w:szCs w:val="24"/>
              </w:rPr>
            </w:pPr>
          </w:p>
          <w:p w14:paraId="2FB77A6C" w14:textId="77777777" w:rsidR="00E948D7" w:rsidRPr="003E121B" w:rsidRDefault="00E948D7" w:rsidP="00664E8F">
            <w:pPr>
              <w:rPr>
                <w:rFonts w:ascii="Calibri" w:hAnsi="Calibri" w:cs="Calibri"/>
                <w:szCs w:val="24"/>
              </w:rPr>
            </w:pPr>
            <w:r>
              <w:rPr>
                <w:rFonts w:ascii="Calibri" w:hAnsi="Calibri" w:cs="Calibri"/>
                <w:szCs w:val="24"/>
              </w:rPr>
              <w:t>* Contract s</w:t>
            </w:r>
            <w:r w:rsidRPr="003E121B">
              <w:rPr>
                <w:rFonts w:ascii="Calibri" w:hAnsi="Calibri" w:cs="Calibri"/>
                <w:szCs w:val="24"/>
              </w:rPr>
              <w:t>tart date</w:t>
            </w:r>
            <w:r>
              <w:rPr>
                <w:rFonts w:ascii="Calibri" w:hAnsi="Calibri" w:cs="Calibri"/>
                <w:szCs w:val="24"/>
              </w:rPr>
              <w:t xml:space="preserve"> -</w:t>
            </w:r>
            <w:r w:rsidRPr="003E121B">
              <w:rPr>
                <w:rFonts w:ascii="Calibri" w:hAnsi="Calibri" w:cs="Calibri"/>
                <w:szCs w:val="24"/>
              </w:rPr>
              <w:t xml:space="preserve"> </w:t>
            </w:r>
            <w:r>
              <w:rPr>
                <w:rFonts w:ascii="Calibri" w:hAnsi="Calibri" w:cs="Calibri"/>
                <w:szCs w:val="24"/>
              </w:rPr>
              <w:t>23</w:t>
            </w:r>
            <w:r w:rsidRPr="003E121B">
              <w:rPr>
                <w:rFonts w:ascii="Calibri" w:hAnsi="Calibri" w:cs="Calibri"/>
                <w:szCs w:val="24"/>
              </w:rPr>
              <w:t xml:space="preserve"> September 2024</w:t>
            </w:r>
            <w:r>
              <w:rPr>
                <w:rFonts w:ascii="Calibri" w:hAnsi="Calibri" w:cs="Calibri"/>
                <w:szCs w:val="24"/>
              </w:rPr>
              <w:t xml:space="preserve"> following a specific Invitation to Tender (ITT) for this client group and </w:t>
            </w:r>
            <w:proofErr w:type="spellStart"/>
            <w:r>
              <w:rPr>
                <w:rFonts w:ascii="Calibri" w:hAnsi="Calibri" w:cs="Calibri"/>
                <w:szCs w:val="24"/>
              </w:rPr>
              <w:t>Carefree’s</w:t>
            </w:r>
            <w:proofErr w:type="spellEnd"/>
            <w:r>
              <w:rPr>
                <w:rFonts w:ascii="Calibri" w:hAnsi="Calibri" w:cs="Calibri"/>
                <w:szCs w:val="24"/>
              </w:rPr>
              <w:t xml:space="preserve"> successful Express of Interest (EOI)</w:t>
            </w:r>
          </w:p>
        </w:tc>
        <w:tc>
          <w:tcPr>
            <w:tcW w:w="1796" w:type="dxa"/>
            <w:shd w:val="clear" w:color="auto" w:fill="auto"/>
          </w:tcPr>
          <w:p w14:paraId="2CE05083" w14:textId="77777777" w:rsidR="00E948D7" w:rsidRPr="003E121B" w:rsidRDefault="00E948D7" w:rsidP="00664E8F">
            <w:pPr>
              <w:rPr>
                <w:rFonts w:ascii="Calibri" w:hAnsi="Calibri" w:cs="Calibri"/>
                <w:szCs w:val="24"/>
              </w:rPr>
            </w:pPr>
            <w:r w:rsidRPr="003E121B">
              <w:rPr>
                <w:rFonts w:ascii="Calibri" w:hAnsi="Calibri" w:cs="Calibri"/>
                <w:szCs w:val="24"/>
              </w:rPr>
              <w:t>Care Leavers</w:t>
            </w:r>
          </w:p>
        </w:tc>
        <w:tc>
          <w:tcPr>
            <w:tcW w:w="5167" w:type="dxa"/>
            <w:shd w:val="clear" w:color="auto" w:fill="auto"/>
          </w:tcPr>
          <w:p w14:paraId="347D6BCF" w14:textId="77777777" w:rsidR="00E948D7" w:rsidRPr="008057A4" w:rsidRDefault="00E948D7" w:rsidP="00664E8F">
            <w:pPr>
              <w:rPr>
                <w:rFonts w:ascii="Calibri" w:hAnsi="Calibri" w:cs="Calibri"/>
                <w:szCs w:val="24"/>
              </w:rPr>
            </w:pPr>
            <w:r>
              <w:rPr>
                <w:rFonts w:ascii="Calibri" w:hAnsi="Calibri" w:cs="Calibri"/>
                <w:szCs w:val="24"/>
              </w:rPr>
              <w:t>D</w:t>
            </w:r>
            <w:r w:rsidRPr="008057A4">
              <w:rPr>
                <w:rFonts w:ascii="Calibri" w:hAnsi="Calibri" w:cs="Calibri"/>
                <w:szCs w:val="24"/>
              </w:rPr>
              <w:t xml:space="preserve">elivering person-centred support, overseen by suitably qualified careers professionals, to care experienced young people to enable them to get closer to Education Employment and Training.  </w:t>
            </w:r>
          </w:p>
          <w:p w14:paraId="4A9DC335" w14:textId="77777777" w:rsidR="00E948D7" w:rsidRDefault="00E948D7" w:rsidP="00664E8F">
            <w:pPr>
              <w:rPr>
                <w:rFonts w:ascii="Calibri" w:hAnsi="Calibri" w:cs="Calibri"/>
                <w:szCs w:val="24"/>
              </w:rPr>
            </w:pPr>
            <w:r>
              <w:rPr>
                <w:rFonts w:ascii="Calibri" w:hAnsi="Calibri" w:cs="Calibri"/>
                <w:szCs w:val="24"/>
              </w:rPr>
              <w:t>D</w:t>
            </w:r>
            <w:r w:rsidRPr="008057A4">
              <w:rPr>
                <w:rFonts w:ascii="Calibri" w:hAnsi="Calibri" w:cs="Calibri"/>
                <w:szCs w:val="24"/>
              </w:rPr>
              <w:t xml:space="preserve">elivery </w:t>
            </w:r>
            <w:r>
              <w:rPr>
                <w:rFonts w:ascii="Calibri" w:hAnsi="Calibri" w:cs="Calibri"/>
                <w:szCs w:val="24"/>
              </w:rPr>
              <w:t>is</w:t>
            </w:r>
            <w:r w:rsidRPr="008057A4">
              <w:rPr>
                <w:rFonts w:ascii="Calibri" w:hAnsi="Calibri" w:cs="Calibri"/>
                <w:szCs w:val="24"/>
              </w:rPr>
              <w:t xml:space="preserve"> primarily face to face, with online and phone contact being an option if that is the best way to support and engage a young person. Following </w:t>
            </w:r>
            <w:r>
              <w:rPr>
                <w:rFonts w:ascii="Calibri" w:hAnsi="Calibri" w:cs="Calibri"/>
                <w:szCs w:val="24"/>
              </w:rPr>
              <w:t>their</w:t>
            </w:r>
            <w:r w:rsidRPr="008057A4">
              <w:rPr>
                <w:rFonts w:ascii="Calibri" w:hAnsi="Calibri" w:cs="Calibri"/>
                <w:szCs w:val="24"/>
              </w:rPr>
              <w:t xml:space="preserve"> Theory of Change, which suggests that care experienced young people are particularly vulnerable to social isolation because of chaotic or abusive early relationships, </w:t>
            </w:r>
            <w:r w:rsidRPr="00E12E14">
              <w:rPr>
                <w:rFonts w:ascii="Calibri" w:hAnsi="Calibri" w:cs="Calibri"/>
                <w:szCs w:val="24"/>
              </w:rPr>
              <w:t xml:space="preserve">Carefree </w:t>
            </w:r>
            <w:r>
              <w:rPr>
                <w:rFonts w:ascii="Calibri" w:hAnsi="Calibri" w:cs="Calibri"/>
                <w:szCs w:val="24"/>
              </w:rPr>
              <w:t xml:space="preserve">provides </w:t>
            </w:r>
            <w:r w:rsidRPr="00E12E14">
              <w:rPr>
                <w:rFonts w:ascii="Calibri" w:hAnsi="Calibri" w:cs="Calibri"/>
                <w:szCs w:val="24"/>
              </w:rPr>
              <w:t xml:space="preserve">young people on the People Hub programme </w:t>
            </w:r>
            <w:r>
              <w:rPr>
                <w:rFonts w:ascii="Calibri" w:hAnsi="Calibri" w:cs="Calibri"/>
                <w:szCs w:val="24"/>
              </w:rPr>
              <w:t>with</w:t>
            </w:r>
            <w:r w:rsidRPr="00E12E14">
              <w:rPr>
                <w:rFonts w:ascii="Calibri" w:hAnsi="Calibri" w:cs="Calibri"/>
                <w:szCs w:val="24"/>
              </w:rPr>
              <w:t xml:space="preserve"> </w:t>
            </w:r>
            <w:proofErr w:type="gramStart"/>
            <w:r w:rsidRPr="00E12E14">
              <w:rPr>
                <w:rFonts w:ascii="Calibri" w:hAnsi="Calibri" w:cs="Calibri"/>
                <w:szCs w:val="24"/>
              </w:rPr>
              <w:t>face to face</w:t>
            </w:r>
            <w:proofErr w:type="gramEnd"/>
            <w:r w:rsidRPr="00E12E14">
              <w:rPr>
                <w:rFonts w:ascii="Calibri" w:hAnsi="Calibri" w:cs="Calibri"/>
                <w:szCs w:val="24"/>
              </w:rPr>
              <w:t xml:space="preserve"> </w:t>
            </w:r>
            <w:r>
              <w:rPr>
                <w:rFonts w:ascii="Calibri" w:hAnsi="Calibri" w:cs="Calibri"/>
                <w:szCs w:val="24"/>
              </w:rPr>
              <w:t>support</w:t>
            </w:r>
            <w:r w:rsidRPr="00E12E14">
              <w:rPr>
                <w:rFonts w:ascii="Calibri" w:hAnsi="Calibri" w:cs="Calibri"/>
                <w:szCs w:val="24"/>
              </w:rPr>
              <w:t xml:space="preserve"> </w:t>
            </w:r>
            <w:r>
              <w:rPr>
                <w:rFonts w:ascii="Calibri" w:hAnsi="Calibri" w:cs="Calibri"/>
                <w:szCs w:val="24"/>
              </w:rPr>
              <w:t>via</w:t>
            </w:r>
            <w:r w:rsidRPr="00E12E14">
              <w:rPr>
                <w:rFonts w:ascii="Calibri" w:hAnsi="Calibri" w:cs="Calibri"/>
                <w:szCs w:val="24"/>
              </w:rPr>
              <w:t xml:space="preserve"> their key worker,</w:t>
            </w:r>
            <w:r>
              <w:rPr>
                <w:rFonts w:ascii="Calibri" w:hAnsi="Calibri" w:cs="Calibri"/>
                <w:szCs w:val="24"/>
              </w:rPr>
              <w:t xml:space="preserve"> </w:t>
            </w:r>
            <w:r w:rsidRPr="008057A4">
              <w:rPr>
                <w:rFonts w:ascii="Calibri" w:hAnsi="Calibri" w:cs="Calibri"/>
                <w:szCs w:val="24"/>
              </w:rPr>
              <w:t xml:space="preserve">building the transferrable skills of being able to create and maintain positive relationships. Social isolation and lack of social skills, developed though everyday positive relationships, are a very significant barrier to education, employment and training.  </w:t>
            </w:r>
          </w:p>
          <w:p w14:paraId="2156AE62" w14:textId="77777777" w:rsidR="00E948D7" w:rsidRDefault="00E948D7" w:rsidP="00664E8F">
            <w:pPr>
              <w:rPr>
                <w:rFonts w:ascii="Calibri" w:hAnsi="Calibri" w:cs="Calibri"/>
                <w:szCs w:val="24"/>
              </w:rPr>
            </w:pPr>
          </w:p>
          <w:p w14:paraId="156CAF2F" w14:textId="77777777" w:rsidR="00E948D7" w:rsidRPr="003E121B" w:rsidRDefault="00E948D7" w:rsidP="00664E8F">
            <w:pPr>
              <w:rPr>
                <w:rFonts w:ascii="Calibri" w:hAnsi="Calibri" w:cs="Calibri"/>
                <w:szCs w:val="24"/>
              </w:rPr>
            </w:pPr>
            <w:r>
              <w:rPr>
                <w:rFonts w:ascii="Calibri" w:hAnsi="Calibri" w:cs="Calibri"/>
                <w:szCs w:val="24"/>
              </w:rPr>
              <w:t>A</w:t>
            </w:r>
            <w:r w:rsidRPr="008057A4">
              <w:rPr>
                <w:rFonts w:ascii="Calibri" w:hAnsi="Calibri" w:cs="Calibri"/>
                <w:szCs w:val="24"/>
              </w:rPr>
              <w:t>lso supporting</w:t>
            </w:r>
            <w:r>
              <w:rPr>
                <w:rFonts w:ascii="Calibri" w:hAnsi="Calibri" w:cs="Calibri"/>
                <w:szCs w:val="24"/>
              </w:rPr>
              <w:t xml:space="preserve"> School</w:t>
            </w:r>
            <w:r w:rsidRPr="008057A4">
              <w:rPr>
                <w:rFonts w:ascii="Calibri" w:hAnsi="Calibri" w:cs="Calibri"/>
                <w:szCs w:val="24"/>
              </w:rPr>
              <w:t xml:space="preserve"> </w:t>
            </w:r>
            <w:r>
              <w:rPr>
                <w:rFonts w:ascii="Calibri" w:hAnsi="Calibri" w:cs="Calibri"/>
                <w:szCs w:val="24"/>
              </w:rPr>
              <w:t>Y</w:t>
            </w:r>
            <w:r w:rsidRPr="008057A4">
              <w:rPr>
                <w:rFonts w:ascii="Calibri" w:hAnsi="Calibri" w:cs="Calibri"/>
                <w:szCs w:val="24"/>
              </w:rPr>
              <w:t xml:space="preserve">ear 12’s as they enter Further Education to ensure that they are able to sustain education. </w:t>
            </w:r>
          </w:p>
        </w:tc>
      </w:tr>
    </w:tbl>
    <w:p w14:paraId="022C8754" w14:textId="77777777" w:rsidR="00E948D7" w:rsidRPr="003E121B" w:rsidRDefault="00E948D7" w:rsidP="00E948D7">
      <w:pPr>
        <w:widowControl w:val="0"/>
        <w:autoSpaceDE w:val="0"/>
        <w:autoSpaceDN w:val="0"/>
        <w:adjustRightInd w:val="0"/>
        <w:ind w:right="424"/>
        <w:rPr>
          <w:rFonts w:ascii="Calibri" w:hAnsi="Calibri" w:cs="Calibri"/>
          <w:szCs w:val="24"/>
          <w:lang w:eastAsia="en-GB"/>
        </w:rPr>
      </w:pPr>
    </w:p>
    <w:p w14:paraId="12E3382E" w14:textId="77777777" w:rsidR="00397108" w:rsidRDefault="00397108" w:rsidP="00E948D7">
      <w:pPr>
        <w:ind w:left="-709"/>
      </w:pPr>
    </w:p>
    <w:sectPr w:rsidR="00397108" w:rsidSect="00E948D7">
      <w:headerReference w:type="even" r:id="rId7"/>
      <w:headerReference w:type="default" r:id="rId8"/>
      <w:headerReference w:type="first" r:id="rId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DB2D" w14:textId="77777777" w:rsidR="00CC23D2" w:rsidRDefault="00CC23D2" w:rsidP="00E948D7">
      <w:r>
        <w:separator/>
      </w:r>
    </w:p>
  </w:endnote>
  <w:endnote w:type="continuationSeparator" w:id="0">
    <w:p w14:paraId="5C497EEC" w14:textId="77777777" w:rsidR="00CC23D2" w:rsidRDefault="00CC23D2" w:rsidP="00E9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5892" w14:textId="77777777" w:rsidR="00CC23D2" w:rsidRDefault="00CC23D2" w:rsidP="00E948D7">
      <w:r>
        <w:separator/>
      </w:r>
    </w:p>
  </w:footnote>
  <w:footnote w:type="continuationSeparator" w:id="0">
    <w:p w14:paraId="14ACCEF1" w14:textId="77777777" w:rsidR="00CC23D2" w:rsidRDefault="00CC23D2" w:rsidP="00E9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0D08" w14:textId="49BE05C5" w:rsidR="00E948D7" w:rsidRDefault="00E948D7">
    <w:pPr>
      <w:pStyle w:val="Header"/>
    </w:pPr>
    <w:r>
      <w:rPr>
        <w:noProof/>
        <w14:ligatures w14:val="standardContextual"/>
      </w:rPr>
      <mc:AlternateContent>
        <mc:Choice Requires="wps">
          <w:drawing>
            <wp:anchor distT="0" distB="0" distL="0" distR="0" simplePos="0" relativeHeight="251659264" behindDoc="0" locked="0" layoutInCell="1" allowOverlap="1" wp14:anchorId="19F03581" wp14:editId="7D7D81E8">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CBB6C" w14:textId="349EE0B2"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F03581"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3ACBB6C" w14:textId="349EE0B2"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4115" w14:textId="4D6E857D" w:rsidR="00E948D7" w:rsidRPr="00B2747E" w:rsidRDefault="00E948D7" w:rsidP="00037833">
    <w:pPr>
      <w:rPr>
        <w:rFonts w:ascii="Calibri" w:hAnsi="Calibri" w:cs="Calibri"/>
        <w:color w:val="317100"/>
        <w:sz w:val="20"/>
      </w:rPr>
    </w:pPr>
    <w:bookmarkStart w:id="1" w:name="_Hlk182214723"/>
    <w:r>
      <w:rPr>
        <w:rFonts w:ascii="Calibri" w:hAnsi="Calibri" w:cs="Calibri"/>
        <w:noProof/>
        <w:sz w:val="20"/>
        <w14:ligatures w14:val="standardContextual"/>
      </w:rPr>
      <mc:AlternateContent>
        <mc:Choice Requires="wps">
          <w:drawing>
            <wp:anchor distT="0" distB="0" distL="0" distR="0" simplePos="0" relativeHeight="251660288" behindDoc="0" locked="0" layoutInCell="1" allowOverlap="1" wp14:anchorId="013889A1" wp14:editId="0B598FD8">
              <wp:simplePos x="724205" y="453542"/>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A638B" w14:textId="21299215"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3889A1"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3CDA638B" w14:textId="21299215"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v:textbox>
              <w10:wrap anchorx="page" anchory="page"/>
            </v:shape>
          </w:pict>
        </mc:Fallback>
      </mc:AlternateContent>
    </w:r>
    <w:r w:rsidRPr="003E121B">
      <w:rPr>
        <w:rFonts w:ascii="Calibri" w:hAnsi="Calibri" w:cs="Calibri"/>
        <w:sz w:val="20"/>
      </w:rPr>
      <w:t>Specification for SPF Programme Evaluation for CIOS People Hub</w:t>
    </w:r>
    <w:bookmarkEnd w:id="1"/>
    <w:r w:rsidRPr="00E948D7">
      <w:rPr>
        <w:rFonts w:ascii="Calibri" w:hAnsi="Calibri" w:cs="Calibri"/>
        <w:color w:val="317100"/>
        <w:sz w:val="20"/>
      </w:rPr>
      <w:t xml:space="preserve"> </w:t>
    </w:r>
    <w:r>
      <w:rPr>
        <w:rFonts w:ascii="Calibri" w:hAnsi="Calibri" w:cs="Calibri"/>
        <w:color w:val="317100"/>
        <w:sz w:val="20"/>
      </w:rPr>
      <w:t xml:space="preserve">                        </w:t>
    </w:r>
  </w:p>
  <w:p w14:paraId="26B5740C" w14:textId="0A34C6CE" w:rsidR="00E948D7" w:rsidRDefault="00E9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ACDC" w14:textId="78C7922C" w:rsidR="00E948D7" w:rsidRDefault="00E948D7">
    <w:pPr>
      <w:pStyle w:val="Header"/>
    </w:pPr>
    <w:r>
      <w:rPr>
        <w:noProof/>
        <w14:ligatures w14:val="standardContextual"/>
      </w:rPr>
      <mc:AlternateContent>
        <mc:Choice Requires="wps">
          <w:drawing>
            <wp:anchor distT="0" distB="0" distL="0" distR="0" simplePos="0" relativeHeight="251658240" behindDoc="0" locked="0" layoutInCell="1" allowOverlap="1" wp14:anchorId="1B3F8E55" wp14:editId="5D005F4F">
              <wp:simplePos x="635" y="635"/>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EB4BC" w14:textId="01A87741"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3F8E55"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53EB4BC" w14:textId="01A87741" w:rsidR="00E948D7" w:rsidRPr="00E948D7" w:rsidRDefault="00E948D7" w:rsidP="00E948D7">
                    <w:pPr>
                      <w:rPr>
                        <w:rFonts w:ascii="Calibri" w:eastAsia="Calibri" w:hAnsi="Calibri" w:cs="Calibri"/>
                        <w:noProof/>
                        <w:color w:val="317100"/>
                        <w:sz w:val="20"/>
                      </w:rPr>
                    </w:pPr>
                    <w:r w:rsidRPr="00E948D7">
                      <w:rPr>
                        <w:rFonts w:ascii="Calibri" w:eastAsia="Calibri" w:hAnsi="Calibri" w:cs="Calibri"/>
                        <w:noProof/>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C6FC6"/>
    <w:multiLevelType w:val="hybridMultilevel"/>
    <w:tmpl w:val="E632D3CA"/>
    <w:lvl w:ilvl="0" w:tplc="0809000F">
      <w:start w:val="1"/>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2205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7"/>
    <w:rsid w:val="00037833"/>
    <w:rsid w:val="00397108"/>
    <w:rsid w:val="00652394"/>
    <w:rsid w:val="00B15E75"/>
    <w:rsid w:val="00CC23D2"/>
    <w:rsid w:val="00E9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2280"/>
  <w15:chartTrackingRefBased/>
  <w15:docId w15:val="{5E35EB8D-B5CE-4B6D-954B-E7D261DD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D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 Char Char Char"/>
    <w:basedOn w:val="Normal"/>
    <w:rsid w:val="00E948D7"/>
    <w:pPr>
      <w:spacing w:after="160" w:line="240" w:lineRule="exact"/>
    </w:pPr>
    <w:rPr>
      <w:rFonts w:ascii="Tahoma" w:hAnsi="Tahoma"/>
      <w:sz w:val="20"/>
      <w:lang w:val="en-US"/>
    </w:rPr>
  </w:style>
  <w:style w:type="paragraph" w:styleId="Header">
    <w:name w:val="header"/>
    <w:basedOn w:val="Normal"/>
    <w:link w:val="HeaderChar"/>
    <w:uiPriority w:val="99"/>
    <w:unhideWhenUsed/>
    <w:rsid w:val="00E948D7"/>
    <w:pPr>
      <w:tabs>
        <w:tab w:val="center" w:pos="4513"/>
        <w:tab w:val="right" w:pos="9026"/>
      </w:tabs>
    </w:pPr>
  </w:style>
  <w:style w:type="character" w:customStyle="1" w:styleId="HeaderChar">
    <w:name w:val="Header Char"/>
    <w:basedOn w:val="DefaultParagraphFont"/>
    <w:link w:val="Header"/>
    <w:uiPriority w:val="99"/>
    <w:rsid w:val="00E948D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E948D7"/>
    <w:pPr>
      <w:tabs>
        <w:tab w:val="center" w:pos="4513"/>
        <w:tab w:val="right" w:pos="9026"/>
      </w:tabs>
    </w:pPr>
  </w:style>
  <w:style w:type="character" w:customStyle="1" w:styleId="FooterChar">
    <w:name w:val="Footer Char"/>
    <w:basedOn w:val="DefaultParagraphFont"/>
    <w:link w:val="Footer"/>
    <w:uiPriority w:val="99"/>
    <w:rsid w:val="00E948D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6627</Characters>
  <Application>Microsoft Office Word</Application>
  <DocSecurity>0</DocSecurity>
  <Lines>55</Lines>
  <Paragraphs>15</Paragraphs>
  <ScaleCrop>false</ScaleCrop>
  <Company>Cornwall Council</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2024-11-11T10:55:00Z</dcterms:created>
  <dcterms:modified xsi:type="dcterms:W3CDTF">2024-11-11T10:57:00Z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2024-11-11T10:57:12Z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86d2ff36-5c66-4a84-be2b-ca1fe26c8053</vt:lpwstr>
  </property>
  <property fmtid="{D5CDD505-2E9C-101B-9397-08002B2CF9AE}" pid="11" name="MSIP_Label_bee4c20f-5817-432f-84ac-80a373257ed1_ContentBits">
    <vt:lpwstr>1</vt:lpwstr>
  </property>
</Properties>
</file>