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F58A" w14:textId="77777777" w:rsidR="006B0954" w:rsidRDefault="006B0954" w:rsidP="00AA1382">
      <w:pPr>
        <w:spacing w:after="200" w:line="276" w:lineRule="auto"/>
        <w:rPr>
          <w:b/>
          <w:sz w:val="36"/>
          <w:szCs w:val="36"/>
        </w:rPr>
      </w:pPr>
    </w:p>
    <w:p w14:paraId="3BE5D097" w14:textId="77777777" w:rsidR="009F0C35" w:rsidRDefault="009F0C35" w:rsidP="009F0C35">
      <w:pPr>
        <w:pStyle w:val="BodyText"/>
        <w:spacing w:after="240"/>
        <w:jc w:val="right"/>
        <w:rPr>
          <w:b/>
          <w:sz w:val="40"/>
          <w:szCs w:val="40"/>
        </w:rPr>
      </w:pPr>
      <w:r w:rsidRPr="00FE1B54">
        <w:rPr>
          <w:noProof/>
        </w:rPr>
        <w:drawing>
          <wp:inline distT="0" distB="0" distL="0" distR="0" wp14:anchorId="478B4FD5" wp14:editId="4682736C">
            <wp:extent cx="2266950" cy="1082675"/>
            <wp:effectExtent l="0" t="0" r="0" b="0"/>
            <wp:docPr id="4" name="Picture 4"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website&#10;&#10;Description automatically generated"/>
                    <pic:cNvPicPr/>
                  </pic:nvPicPr>
                  <pic:blipFill rotWithShape="1">
                    <a:blip r:embed="rId8" cstate="print">
                      <a:extLst>
                        <a:ext uri="{28A0092B-C50C-407E-A947-70E740481C1C}">
                          <a14:useLocalDpi xmlns:a14="http://schemas.microsoft.com/office/drawing/2010/main" val="0"/>
                        </a:ext>
                      </a:extLst>
                    </a:blip>
                    <a:srcRect l="9797" t="19765" r="9797"/>
                    <a:stretch/>
                  </pic:blipFill>
                  <pic:spPr bwMode="auto">
                    <a:xfrm>
                      <a:off x="0" y="0"/>
                      <a:ext cx="2266950" cy="1082675"/>
                    </a:xfrm>
                    <a:prstGeom prst="rect">
                      <a:avLst/>
                    </a:prstGeom>
                    <a:ln>
                      <a:noFill/>
                    </a:ln>
                    <a:extLst>
                      <a:ext uri="{53640926-AAD7-44D8-BBD7-CCE9431645EC}">
                        <a14:shadowObscured xmlns:a14="http://schemas.microsoft.com/office/drawing/2010/main"/>
                      </a:ext>
                    </a:extLst>
                  </pic:spPr>
                </pic:pic>
              </a:graphicData>
            </a:graphic>
          </wp:inline>
        </w:drawing>
      </w:r>
    </w:p>
    <w:p w14:paraId="379613CA" w14:textId="73D761A7" w:rsidR="009F0C35" w:rsidRDefault="009F0C35" w:rsidP="009F0C35">
      <w:pPr>
        <w:pStyle w:val="BodyText"/>
        <w:spacing w:after="240"/>
        <w:jc w:val="right"/>
        <w:rPr>
          <w:noProof/>
          <w:color w:val="365F91"/>
          <w:lang w:eastAsia="en-GB"/>
        </w:rPr>
      </w:pPr>
      <w:r w:rsidRPr="00FE1B54">
        <w:rPr>
          <w:noProof/>
          <w:lang w:eastAsia="en-GB"/>
        </w:rPr>
        <w:drawing>
          <wp:inline distT="0" distB="0" distL="0" distR="0" wp14:anchorId="28CA3171" wp14:editId="6FD77392">
            <wp:extent cx="1470660" cy="72390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0660" cy="723900"/>
                    </a:xfrm>
                    <a:prstGeom prst="rect">
                      <a:avLst/>
                    </a:prstGeom>
                    <a:noFill/>
                    <a:ln>
                      <a:noFill/>
                    </a:ln>
                  </pic:spPr>
                </pic:pic>
              </a:graphicData>
            </a:graphic>
          </wp:inline>
        </w:drawing>
      </w:r>
      <w:r>
        <w:rPr>
          <w:noProof/>
          <w:color w:val="365F91"/>
          <w:lang w:eastAsia="en-GB"/>
        </w:rPr>
        <w:t xml:space="preserve"> </w:t>
      </w:r>
      <w:r w:rsidRPr="00FE1B54">
        <w:rPr>
          <w:b/>
          <w:noProof/>
          <w:color w:val="365F91"/>
          <w:lang w:eastAsia="en-GB"/>
        </w:rPr>
        <w:drawing>
          <wp:inline distT="0" distB="0" distL="0" distR="0" wp14:anchorId="377998BB" wp14:editId="4EE51EF7">
            <wp:extent cx="1600200" cy="723900"/>
            <wp:effectExtent l="0" t="0" r="0" b="0"/>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picture containing knif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0200" cy="723900"/>
                    </a:xfrm>
                    <a:prstGeom prst="rect">
                      <a:avLst/>
                    </a:prstGeom>
                    <a:noFill/>
                    <a:ln>
                      <a:noFill/>
                    </a:ln>
                  </pic:spPr>
                </pic:pic>
              </a:graphicData>
            </a:graphic>
          </wp:inline>
        </w:drawing>
      </w:r>
      <w:r>
        <w:rPr>
          <w:noProof/>
          <w:color w:val="365F91"/>
          <w:lang w:eastAsia="en-GB"/>
        </w:rPr>
        <w:t xml:space="preserve"> </w:t>
      </w:r>
      <w:r w:rsidRPr="00FE1B54">
        <w:rPr>
          <w:noProof/>
          <w:lang w:eastAsia="en-GB"/>
        </w:rPr>
        <w:drawing>
          <wp:inline distT="0" distB="0" distL="0" distR="0" wp14:anchorId="46E1CC30" wp14:editId="5F631AD6">
            <wp:extent cx="1424940" cy="723900"/>
            <wp:effectExtent l="0" t="0" r="381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723900"/>
                    </a:xfrm>
                    <a:prstGeom prst="rect">
                      <a:avLst/>
                    </a:prstGeom>
                    <a:noFill/>
                    <a:ln>
                      <a:noFill/>
                    </a:ln>
                  </pic:spPr>
                </pic:pic>
              </a:graphicData>
            </a:graphic>
          </wp:inline>
        </w:drawing>
      </w:r>
    </w:p>
    <w:p w14:paraId="42C5C7FC" w14:textId="77777777" w:rsidR="009F0C35" w:rsidRDefault="009F0C35" w:rsidP="009F0C35">
      <w:pPr>
        <w:pStyle w:val="BodyText"/>
        <w:spacing w:after="240"/>
        <w:jc w:val="right"/>
        <w:rPr>
          <w:b/>
          <w:sz w:val="40"/>
          <w:szCs w:val="40"/>
        </w:rPr>
      </w:pPr>
    </w:p>
    <w:p w14:paraId="34117F5B" w14:textId="77777777" w:rsidR="006B0954" w:rsidRDefault="006B0954" w:rsidP="006B0954">
      <w:pPr>
        <w:jc w:val="center"/>
        <w:outlineLvl w:val="0"/>
        <w:rPr>
          <w:rFonts w:cs="Arial"/>
          <w:b/>
          <w:color w:val="000000"/>
          <w:sz w:val="40"/>
          <w:szCs w:val="40"/>
          <w:shd w:val="clear" w:color="auto" w:fill="FFFFFF"/>
          <w:lang w:eastAsia="ar-SA"/>
        </w:rPr>
      </w:pPr>
    </w:p>
    <w:p w14:paraId="1E4FA5D2" w14:textId="446E839B" w:rsidR="006B0954" w:rsidRPr="00723CBD" w:rsidRDefault="00070766" w:rsidP="006B0954">
      <w:pPr>
        <w:pStyle w:val="BodyText"/>
        <w:spacing w:after="240"/>
        <w:jc w:val="center"/>
        <w:rPr>
          <w:b/>
          <w:sz w:val="40"/>
          <w:szCs w:val="40"/>
        </w:rPr>
      </w:pPr>
      <w:r>
        <w:rPr>
          <w:b/>
          <w:sz w:val="40"/>
          <w:szCs w:val="40"/>
        </w:rPr>
        <w:t>PRIOR INFORMATION NOTICE</w:t>
      </w:r>
    </w:p>
    <w:p w14:paraId="70992202" w14:textId="77777777" w:rsidR="006B0954" w:rsidRPr="00723CBD" w:rsidRDefault="006B0954" w:rsidP="006B0954">
      <w:pPr>
        <w:pStyle w:val="BodyText"/>
        <w:spacing w:after="240"/>
        <w:jc w:val="center"/>
        <w:rPr>
          <w:b/>
          <w:sz w:val="40"/>
          <w:szCs w:val="40"/>
        </w:rPr>
      </w:pPr>
    </w:p>
    <w:p w14:paraId="3DBA93D3" w14:textId="011B8856" w:rsidR="006B0954" w:rsidRPr="00723CBD" w:rsidRDefault="002944AB" w:rsidP="006B0954">
      <w:pPr>
        <w:pStyle w:val="BodyText"/>
        <w:spacing w:after="240"/>
        <w:jc w:val="center"/>
        <w:rPr>
          <w:b/>
          <w:sz w:val="40"/>
          <w:szCs w:val="40"/>
        </w:rPr>
      </w:pPr>
      <w:r w:rsidRPr="00723CBD">
        <w:rPr>
          <w:b/>
          <w:sz w:val="40"/>
          <w:szCs w:val="40"/>
        </w:rPr>
        <w:t>For</w:t>
      </w:r>
      <w:r w:rsidR="006B0954" w:rsidRPr="00723CBD">
        <w:rPr>
          <w:b/>
          <w:sz w:val="40"/>
          <w:szCs w:val="40"/>
        </w:rPr>
        <w:t xml:space="preserve"> </w:t>
      </w:r>
      <w:bookmarkStart w:id="0" w:name="_Hlk154645008"/>
      <w:r w:rsidR="00BA5275">
        <w:rPr>
          <w:b/>
          <w:sz w:val="40"/>
          <w:szCs w:val="40"/>
        </w:rPr>
        <w:t>EPR Programme</w:t>
      </w:r>
      <w:r w:rsidR="009F0C35">
        <w:rPr>
          <w:b/>
          <w:sz w:val="40"/>
          <w:szCs w:val="40"/>
        </w:rPr>
        <w:t xml:space="preserve"> - </w:t>
      </w:r>
    </w:p>
    <w:p w14:paraId="73C58448" w14:textId="77777777" w:rsidR="009F0C35" w:rsidRDefault="00BA5275" w:rsidP="009F0C35">
      <w:pPr>
        <w:pStyle w:val="BodyText"/>
        <w:spacing w:after="240"/>
        <w:jc w:val="center"/>
        <w:rPr>
          <w:b/>
          <w:sz w:val="40"/>
          <w:szCs w:val="40"/>
        </w:rPr>
      </w:pPr>
      <w:r>
        <w:rPr>
          <w:b/>
          <w:sz w:val="40"/>
          <w:szCs w:val="40"/>
        </w:rPr>
        <w:t>Data Migration Partner</w:t>
      </w:r>
    </w:p>
    <w:p w14:paraId="6B86B5F4" w14:textId="77777777" w:rsidR="009F0C35" w:rsidRDefault="009F0C35" w:rsidP="009F0C35">
      <w:pPr>
        <w:pStyle w:val="BodyText"/>
        <w:spacing w:after="240"/>
        <w:jc w:val="center"/>
        <w:rPr>
          <w:b/>
          <w:sz w:val="32"/>
          <w:szCs w:val="32"/>
        </w:rPr>
      </w:pPr>
    </w:p>
    <w:p w14:paraId="649A5AC7" w14:textId="184A0AA2" w:rsidR="009F0C35" w:rsidRPr="009F0C35" w:rsidRDefault="009F0C35" w:rsidP="009F0C35">
      <w:pPr>
        <w:pStyle w:val="BodyText"/>
        <w:spacing w:after="240"/>
        <w:jc w:val="center"/>
        <w:rPr>
          <w:b/>
          <w:sz w:val="32"/>
          <w:szCs w:val="32"/>
        </w:rPr>
      </w:pPr>
      <w:r w:rsidRPr="009F0C35">
        <w:rPr>
          <w:b/>
          <w:sz w:val="32"/>
          <w:szCs w:val="32"/>
        </w:rPr>
        <w:t>Ref: C251353</w:t>
      </w:r>
    </w:p>
    <w:bookmarkEnd w:id="0"/>
    <w:p w14:paraId="06CA4D73" w14:textId="77777777" w:rsidR="006B0954" w:rsidRDefault="006B0954" w:rsidP="00AA1382">
      <w:pPr>
        <w:spacing w:after="200" w:line="276" w:lineRule="auto"/>
        <w:rPr>
          <w:b/>
          <w:sz w:val="36"/>
          <w:szCs w:val="36"/>
        </w:rPr>
      </w:pPr>
    </w:p>
    <w:p w14:paraId="225D101C" w14:textId="77777777" w:rsidR="006B0954" w:rsidRPr="0029061C" w:rsidRDefault="006B0954" w:rsidP="00AA1382">
      <w:pPr>
        <w:spacing w:after="200" w:line="276" w:lineRule="auto"/>
        <w:rPr>
          <w:b/>
          <w:sz w:val="36"/>
          <w:szCs w:val="36"/>
        </w:rPr>
      </w:pPr>
    </w:p>
    <w:p w14:paraId="01997F08" w14:textId="57EC6ED8" w:rsidR="00455C47" w:rsidRPr="00351E25" w:rsidRDefault="00455C47" w:rsidP="00AA1382">
      <w:pPr>
        <w:spacing w:line="360" w:lineRule="auto"/>
        <w:ind w:left="2835" w:hanging="2835"/>
      </w:pPr>
      <w:bookmarkStart w:id="1" w:name="_1fob9te" w:colFirst="0" w:colLast="0"/>
      <w:bookmarkEnd w:id="1"/>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2314B1E5" w14:textId="2654D792" w:rsidR="001F178A" w:rsidRDefault="00E10E97">
      <w:pPr>
        <w:pStyle w:val="TOC1"/>
        <w:rPr>
          <w:rFonts w:asciiTheme="minorHAnsi" w:eastAsiaTheme="minorEastAsia" w:hAnsiTheme="minorHAnsi" w:cstheme="minorBidi"/>
          <w:caps w:val="0"/>
          <w:noProof/>
          <w:kern w:val="2"/>
          <w:szCs w:val="22"/>
          <w:lang w:eastAsia="en-GB"/>
          <w14:ligatures w14:val="standardContextual"/>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160102201" w:history="1">
        <w:r w:rsidR="001F178A" w:rsidRPr="00390B6B">
          <w:rPr>
            <w:rStyle w:val="Hyperlink"/>
            <w:noProof/>
          </w:rPr>
          <w:t>1.</w:t>
        </w:r>
        <w:r w:rsidR="001F178A">
          <w:rPr>
            <w:rFonts w:asciiTheme="minorHAnsi" w:eastAsiaTheme="minorEastAsia" w:hAnsiTheme="minorHAnsi" w:cstheme="minorBidi"/>
            <w:caps w:val="0"/>
            <w:noProof/>
            <w:kern w:val="2"/>
            <w:szCs w:val="22"/>
            <w:lang w:eastAsia="en-GB"/>
            <w14:ligatures w14:val="standardContextual"/>
          </w:rPr>
          <w:tab/>
        </w:r>
        <w:r w:rsidR="001F178A" w:rsidRPr="00390B6B">
          <w:rPr>
            <w:rStyle w:val="Hyperlink"/>
            <w:noProof/>
          </w:rPr>
          <w:t>PURPOSE</w:t>
        </w:r>
        <w:r w:rsidR="001F178A">
          <w:rPr>
            <w:noProof/>
            <w:webHidden/>
          </w:rPr>
          <w:tab/>
        </w:r>
        <w:r w:rsidR="001F178A">
          <w:rPr>
            <w:noProof/>
            <w:webHidden/>
          </w:rPr>
          <w:fldChar w:fldCharType="begin"/>
        </w:r>
        <w:r w:rsidR="001F178A">
          <w:rPr>
            <w:noProof/>
            <w:webHidden/>
          </w:rPr>
          <w:instrText xml:space="preserve"> PAGEREF _Toc160102201 \h </w:instrText>
        </w:r>
        <w:r w:rsidR="001F178A">
          <w:rPr>
            <w:noProof/>
            <w:webHidden/>
          </w:rPr>
        </w:r>
        <w:r w:rsidR="001F178A">
          <w:rPr>
            <w:noProof/>
            <w:webHidden/>
          </w:rPr>
          <w:fldChar w:fldCharType="separate"/>
        </w:r>
        <w:r w:rsidR="001F178A">
          <w:rPr>
            <w:noProof/>
            <w:webHidden/>
          </w:rPr>
          <w:t>3</w:t>
        </w:r>
        <w:r w:rsidR="001F178A">
          <w:rPr>
            <w:noProof/>
            <w:webHidden/>
          </w:rPr>
          <w:fldChar w:fldCharType="end"/>
        </w:r>
      </w:hyperlink>
    </w:p>
    <w:p w14:paraId="6BF965BF" w14:textId="1164EDBE" w:rsidR="001F178A" w:rsidRDefault="00000000">
      <w:pPr>
        <w:pStyle w:val="TOC1"/>
        <w:rPr>
          <w:rFonts w:asciiTheme="minorHAnsi" w:eastAsiaTheme="minorEastAsia" w:hAnsiTheme="minorHAnsi" w:cstheme="minorBidi"/>
          <w:caps w:val="0"/>
          <w:noProof/>
          <w:kern w:val="2"/>
          <w:szCs w:val="22"/>
          <w:lang w:eastAsia="en-GB"/>
          <w14:ligatures w14:val="standardContextual"/>
        </w:rPr>
      </w:pPr>
      <w:hyperlink w:anchor="_Toc160102202" w:history="1">
        <w:r w:rsidR="001F178A" w:rsidRPr="00390B6B">
          <w:rPr>
            <w:rStyle w:val="Hyperlink"/>
            <w:noProof/>
          </w:rPr>
          <w:t>2.</w:t>
        </w:r>
        <w:r w:rsidR="001F178A">
          <w:rPr>
            <w:rFonts w:asciiTheme="minorHAnsi" w:eastAsiaTheme="minorEastAsia" w:hAnsiTheme="minorHAnsi" w:cstheme="minorBidi"/>
            <w:caps w:val="0"/>
            <w:noProof/>
            <w:kern w:val="2"/>
            <w:szCs w:val="22"/>
            <w:lang w:eastAsia="en-GB"/>
            <w14:ligatures w14:val="standardContextual"/>
          </w:rPr>
          <w:tab/>
        </w:r>
        <w:r w:rsidR="001F178A" w:rsidRPr="00390B6B">
          <w:rPr>
            <w:rStyle w:val="Hyperlink"/>
            <w:noProof/>
          </w:rPr>
          <w:t>scope of requirement</w:t>
        </w:r>
        <w:r w:rsidR="001F178A">
          <w:rPr>
            <w:noProof/>
            <w:webHidden/>
          </w:rPr>
          <w:tab/>
        </w:r>
        <w:r w:rsidR="001F178A">
          <w:rPr>
            <w:noProof/>
            <w:webHidden/>
          </w:rPr>
          <w:fldChar w:fldCharType="begin"/>
        </w:r>
        <w:r w:rsidR="001F178A">
          <w:rPr>
            <w:noProof/>
            <w:webHidden/>
          </w:rPr>
          <w:instrText xml:space="preserve"> PAGEREF _Toc160102202 \h </w:instrText>
        </w:r>
        <w:r w:rsidR="001F178A">
          <w:rPr>
            <w:noProof/>
            <w:webHidden/>
          </w:rPr>
        </w:r>
        <w:r w:rsidR="001F178A">
          <w:rPr>
            <w:noProof/>
            <w:webHidden/>
          </w:rPr>
          <w:fldChar w:fldCharType="separate"/>
        </w:r>
        <w:r w:rsidR="001F178A">
          <w:rPr>
            <w:noProof/>
            <w:webHidden/>
          </w:rPr>
          <w:t>3</w:t>
        </w:r>
        <w:r w:rsidR="001F178A">
          <w:rPr>
            <w:noProof/>
            <w:webHidden/>
          </w:rPr>
          <w:fldChar w:fldCharType="end"/>
        </w:r>
      </w:hyperlink>
    </w:p>
    <w:p w14:paraId="59C13C22" w14:textId="5976506B" w:rsidR="001F178A" w:rsidRDefault="00000000">
      <w:pPr>
        <w:pStyle w:val="TOC1"/>
        <w:rPr>
          <w:rFonts w:asciiTheme="minorHAnsi" w:eastAsiaTheme="minorEastAsia" w:hAnsiTheme="minorHAnsi" w:cstheme="minorBidi"/>
          <w:caps w:val="0"/>
          <w:noProof/>
          <w:kern w:val="2"/>
          <w:szCs w:val="22"/>
          <w:lang w:eastAsia="en-GB"/>
          <w14:ligatures w14:val="standardContextual"/>
        </w:rPr>
      </w:pPr>
      <w:hyperlink w:anchor="_Toc160102203" w:history="1">
        <w:r w:rsidR="001F178A" w:rsidRPr="00390B6B">
          <w:rPr>
            <w:rStyle w:val="Hyperlink"/>
            <w:noProof/>
          </w:rPr>
          <w:t>3.</w:t>
        </w:r>
        <w:r w:rsidR="001F178A">
          <w:rPr>
            <w:rFonts w:asciiTheme="minorHAnsi" w:eastAsiaTheme="minorEastAsia" w:hAnsiTheme="minorHAnsi" w:cstheme="minorBidi"/>
            <w:caps w:val="0"/>
            <w:noProof/>
            <w:kern w:val="2"/>
            <w:szCs w:val="22"/>
            <w:lang w:eastAsia="en-GB"/>
            <w14:ligatures w14:val="standardContextual"/>
          </w:rPr>
          <w:tab/>
        </w:r>
        <w:r w:rsidR="001F178A" w:rsidRPr="00390B6B">
          <w:rPr>
            <w:rStyle w:val="Hyperlink"/>
            <w:noProof/>
          </w:rPr>
          <w:t>The requirement</w:t>
        </w:r>
        <w:r w:rsidR="001F178A">
          <w:rPr>
            <w:noProof/>
            <w:webHidden/>
          </w:rPr>
          <w:tab/>
        </w:r>
        <w:r w:rsidR="001F178A">
          <w:rPr>
            <w:noProof/>
            <w:webHidden/>
          </w:rPr>
          <w:fldChar w:fldCharType="begin"/>
        </w:r>
        <w:r w:rsidR="001F178A">
          <w:rPr>
            <w:noProof/>
            <w:webHidden/>
          </w:rPr>
          <w:instrText xml:space="preserve"> PAGEREF _Toc160102203 \h </w:instrText>
        </w:r>
        <w:r w:rsidR="001F178A">
          <w:rPr>
            <w:noProof/>
            <w:webHidden/>
          </w:rPr>
        </w:r>
        <w:r w:rsidR="001F178A">
          <w:rPr>
            <w:noProof/>
            <w:webHidden/>
          </w:rPr>
          <w:fldChar w:fldCharType="separate"/>
        </w:r>
        <w:r w:rsidR="001F178A">
          <w:rPr>
            <w:noProof/>
            <w:webHidden/>
          </w:rPr>
          <w:t>5</w:t>
        </w:r>
        <w:r w:rsidR="001F178A">
          <w:rPr>
            <w:noProof/>
            <w:webHidden/>
          </w:rPr>
          <w:fldChar w:fldCharType="end"/>
        </w:r>
      </w:hyperlink>
    </w:p>
    <w:p w14:paraId="652CC5FB" w14:textId="5BCBA0F7" w:rsidR="001F178A" w:rsidRDefault="00000000">
      <w:pPr>
        <w:pStyle w:val="TOC1"/>
        <w:rPr>
          <w:rFonts w:asciiTheme="minorHAnsi" w:eastAsiaTheme="minorEastAsia" w:hAnsiTheme="minorHAnsi" w:cstheme="minorBidi"/>
          <w:caps w:val="0"/>
          <w:noProof/>
          <w:kern w:val="2"/>
          <w:szCs w:val="22"/>
          <w:lang w:eastAsia="en-GB"/>
          <w14:ligatures w14:val="standardContextual"/>
        </w:rPr>
      </w:pPr>
      <w:hyperlink w:anchor="_Toc160102204" w:history="1">
        <w:r w:rsidR="001F178A" w:rsidRPr="00390B6B">
          <w:rPr>
            <w:rStyle w:val="Hyperlink"/>
            <w:noProof/>
          </w:rPr>
          <w:t>4.</w:t>
        </w:r>
        <w:r w:rsidR="001F178A">
          <w:rPr>
            <w:rFonts w:asciiTheme="minorHAnsi" w:eastAsiaTheme="minorEastAsia" w:hAnsiTheme="minorHAnsi" w:cstheme="minorBidi"/>
            <w:caps w:val="0"/>
            <w:noProof/>
            <w:kern w:val="2"/>
            <w:szCs w:val="22"/>
            <w:lang w:eastAsia="en-GB"/>
            <w14:ligatures w14:val="standardContextual"/>
          </w:rPr>
          <w:tab/>
        </w:r>
        <w:r w:rsidR="001F178A" w:rsidRPr="00390B6B">
          <w:rPr>
            <w:rStyle w:val="Hyperlink"/>
            <w:noProof/>
          </w:rPr>
          <w:t>PROCUREMENT DETAILS</w:t>
        </w:r>
        <w:r w:rsidR="001F178A">
          <w:rPr>
            <w:noProof/>
            <w:webHidden/>
          </w:rPr>
          <w:tab/>
        </w:r>
        <w:r w:rsidR="001F178A">
          <w:rPr>
            <w:noProof/>
            <w:webHidden/>
          </w:rPr>
          <w:fldChar w:fldCharType="begin"/>
        </w:r>
        <w:r w:rsidR="001F178A">
          <w:rPr>
            <w:noProof/>
            <w:webHidden/>
          </w:rPr>
          <w:instrText xml:space="preserve"> PAGEREF _Toc160102204 \h </w:instrText>
        </w:r>
        <w:r w:rsidR="001F178A">
          <w:rPr>
            <w:noProof/>
            <w:webHidden/>
          </w:rPr>
        </w:r>
        <w:r w:rsidR="001F178A">
          <w:rPr>
            <w:noProof/>
            <w:webHidden/>
          </w:rPr>
          <w:fldChar w:fldCharType="separate"/>
        </w:r>
        <w:r w:rsidR="001F178A">
          <w:rPr>
            <w:noProof/>
            <w:webHidden/>
          </w:rPr>
          <w:t>6</w:t>
        </w:r>
        <w:r w:rsidR="001F178A">
          <w:rPr>
            <w:noProof/>
            <w:webHidden/>
          </w:rPr>
          <w:fldChar w:fldCharType="end"/>
        </w:r>
      </w:hyperlink>
    </w:p>
    <w:p w14:paraId="374B790A" w14:textId="01B42207"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FD0E98" w:rsidRDefault="00FE18AC" w:rsidP="00C3235C">
      <w:pPr>
        <w:pStyle w:val="Heading1"/>
        <w:numPr>
          <w:ilvl w:val="0"/>
          <w:numId w:val="22"/>
        </w:numPr>
        <w:tabs>
          <w:tab w:val="clear" w:pos="720"/>
        </w:tabs>
        <w:overflowPunct w:val="0"/>
        <w:autoSpaceDE w:val="0"/>
        <w:autoSpaceDN w:val="0"/>
        <w:spacing w:after="120" w:line="360" w:lineRule="auto"/>
        <w:textAlignment w:val="baseline"/>
        <w:rPr>
          <w:sz w:val="28"/>
          <w:szCs w:val="28"/>
        </w:rPr>
      </w:pPr>
      <w:bookmarkStart w:id="3" w:name="_Toc368573027"/>
      <w:bookmarkStart w:id="4" w:name="_Toc160102201"/>
      <w:r w:rsidRPr="00FD0E98">
        <w:rPr>
          <w:caps w:val="0"/>
          <w:sz w:val="28"/>
          <w:szCs w:val="28"/>
        </w:rPr>
        <w:lastRenderedPageBreak/>
        <w:t>PURPOSE</w:t>
      </w:r>
      <w:bookmarkEnd w:id="2"/>
      <w:bookmarkEnd w:id="3"/>
      <w:bookmarkEnd w:id="4"/>
    </w:p>
    <w:p w14:paraId="0FED6BC1" w14:textId="325934E4" w:rsidR="00BA5275" w:rsidRPr="00BA5275" w:rsidRDefault="00BA5275" w:rsidP="00C3235C">
      <w:pPr>
        <w:pStyle w:val="Heading2"/>
        <w:overflowPunct w:val="0"/>
        <w:autoSpaceDE w:val="0"/>
        <w:autoSpaceDN w:val="0"/>
        <w:spacing w:after="120" w:line="360" w:lineRule="auto"/>
        <w:ind w:left="709"/>
        <w:textAlignment w:val="baseline"/>
        <w:rPr>
          <w:sz w:val="24"/>
          <w:szCs w:val="24"/>
        </w:rPr>
      </w:pPr>
      <w:bookmarkStart w:id="5" w:name="_Toc296415791"/>
      <w:r>
        <w:rPr>
          <w:sz w:val="24"/>
          <w:szCs w:val="24"/>
        </w:rPr>
        <w:t xml:space="preserve">Norfolk and Waveney Acute Hospital Collaboration (NWAHC) </w:t>
      </w:r>
      <w:r w:rsidRPr="00BA5275">
        <w:rPr>
          <w:sz w:val="24"/>
          <w:szCs w:val="24"/>
        </w:rPr>
        <w:t xml:space="preserve">is looking for a Data Migration partner to help </w:t>
      </w:r>
      <w:r w:rsidR="00D177BF">
        <w:rPr>
          <w:sz w:val="24"/>
          <w:szCs w:val="24"/>
        </w:rPr>
        <w:t xml:space="preserve">lead the data migration workstream </w:t>
      </w:r>
      <w:r w:rsidRPr="00BA5275">
        <w:rPr>
          <w:sz w:val="24"/>
          <w:szCs w:val="24"/>
        </w:rPr>
        <w:t>with</w:t>
      </w:r>
      <w:r w:rsidR="00D177BF">
        <w:rPr>
          <w:sz w:val="24"/>
          <w:szCs w:val="24"/>
        </w:rPr>
        <w:t>in</w:t>
      </w:r>
      <w:r w:rsidRPr="00BA5275">
        <w:rPr>
          <w:sz w:val="24"/>
          <w:szCs w:val="24"/>
        </w:rPr>
        <w:t xml:space="preserve"> the </w:t>
      </w:r>
      <w:r>
        <w:rPr>
          <w:sz w:val="24"/>
          <w:szCs w:val="24"/>
        </w:rPr>
        <w:t>E</w:t>
      </w:r>
      <w:r w:rsidRPr="00BA5275">
        <w:rPr>
          <w:sz w:val="24"/>
          <w:szCs w:val="24"/>
        </w:rPr>
        <w:t>PR Programme</w:t>
      </w:r>
      <w:r>
        <w:rPr>
          <w:sz w:val="24"/>
          <w:szCs w:val="24"/>
        </w:rPr>
        <w:t>, whose preferred supplier is Meditech Expanse</w:t>
      </w:r>
      <w:r w:rsidRPr="00BA5275">
        <w:rPr>
          <w:sz w:val="24"/>
          <w:szCs w:val="24"/>
        </w:rPr>
        <w:t xml:space="preserve">. This is a major change and transformation Programme spanning </w:t>
      </w:r>
      <w:r w:rsidR="0050083C">
        <w:rPr>
          <w:sz w:val="24"/>
          <w:szCs w:val="24"/>
        </w:rPr>
        <w:t>three</w:t>
      </w:r>
      <w:r w:rsidRPr="00BA5275">
        <w:rPr>
          <w:sz w:val="24"/>
          <w:szCs w:val="24"/>
        </w:rPr>
        <w:t xml:space="preserve"> hospitals across </w:t>
      </w:r>
      <w:r>
        <w:rPr>
          <w:sz w:val="24"/>
          <w:szCs w:val="24"/>
        </w:rPr>
        <w:t>Norfolk</w:t>
      </w:r>
      <w:r w:rsidRPr="00BA5275">
        <w:rPr>
          <w:sz w:val="24"/>
          <w:szCs w:val="24"/>
        </w:rPr>
        <w:t xml:space="preserve">.  </w:t>
      </w:r>
      <w:r>
        <w:rPr>
          <w:sz w:val="24"/>
          <w:szCs w:val="24"/>
        </w:rPr>
        <w:t>The intention is to go live with Meditech Expanse in late 2025/26.</w:t>
      </w:r>
    </w:p>
    <w:p w14:paraId="0DAF43A5" w14:textId="2785A82C" w:rsidR="00671798" w:rsidRDefault="00FE18AC" w:rsidP="00C3235C">
      <w:pPr>
        <w:pStyle w:val="Heading1"/>
        <w:tabs>
          <w:tab w:val="clear" w:pos="720"/>
        </w:tabs>
        <w:overflowPunct w:val="0"/>
        <w:autoSpaceDE w:val="0"/>
        <w:autoSpaceDN w:val="0"/>
        <w:spacing w:before="240" w:after="120" w:line="360" w:lineRule="auto"/>
        <w:textAlignment w:val="baseline"/>
        <w:rPr>
          <w:sz w:val="28"/>
          <w:szCs w:val="28"/>
        </w:rPr>
      </w:pPr>
      <w:bookmarkStart w:id="6" w:name="_Toc297554774"/>
      <w:bookmarkStart w:id="7" w:name="_Toc368573030"/>
      <w:bookmarkStart w:id="8" w:name="_Toc160102202"/>
      <w:bookmarkStart w:id="9" w:name="_Toc296415793"/>
      <w:bookmarkEnd w:id="5"/>
      <w:r w:rsidRPr="00FD0E98">
        <w:rPr>
          <w:sz w:val="28"/>
          <w:szCs w:val="28"/>
        </w:rPr>
        <w:t>scope of requirement</w:t>
      </w:r>
      <w:bookmarkEnd w:id="6"/>
      <w:bookmarkEnd w:id="7"/>
      <w:bookmarkEnd w:id="8"/>
      <w:r w:rsidRPr="00FD0E98">
        <w:rPr>
          <w:sz w:val="28"/>
          <w:szCs w:val="28"/>
        </w:rPr>
        <w:t xml:space="preserve"> </w:t>
      </w:r>
    </w:p>
    <w:bookmarkEnd w:id="9"/>
    <w:p w14:paraId="5FB67956" w14:textId="1B95A057" w:rsidR="00863C23" w:rsidRDefault="0052663C" w:rsidP="00C3235C">
      <w:pPr>
        <w:pStyle w:val="Heading2"/>
        <w:spacing w:line="360" w:lineRule="auto"/>
      </w:pPr>
      <w:r w:rsidRPr="00425B87">
        <w:t xml:space="preserve">NWAHC </w:t>
      </w:r>
      <w:r w:rsidR="0050083C">
        <w:t>will be</w:t>
      </w:r>
      <w:r w:rsidRPr="00425B87">
        <w:t xml:space="preserve"> looking for highly experienced support with the planning</w:t>
      </w:r>
      <w:r w:rsidR="008E7A79">
        <w:t>,</w:t>
      </w:r>
      <w:r w:rsidRPr="00425B87">
        <w:t xml:space="preserve"> analysis </w:t>
      </w:r>
      <w:r w:rsidR="008E7A79">
        <w:t xml:space="preserve">and implementation </w:t>
      </w:r>
      <w:r w:rsidRPr="00425B87">
        <w:t>of the data migration</w:t>
      </w:r>
      <w:r w:rsidR="007657AE">
        <w:t xml:space="preserve"> and </w:t>
      </w:r>
      <w:r w:rsidRPr="00425B87">
        <w:t xml:space="preserve">conversion requirements </w:t>
      </w:r>
      <w:r w:rsidR="007657AE">
        <w:t xml:space="preserve">within the EPR Programme </w:t>
      </w:r>
      <w:r w:rsidRPr="00425B87">
        <w:t xml:space="preserve">as part of the journey towards </w:t>
      </w:r>
      <w:r w:rsidR="00D177BF">
        <w:t xml:space="preserve">implementing </w:t>
      </w:r>
      <w:r w:rsidRPr="00425B87">
        <w:t>Meditech Expanse</w:t>
      </w:r>
      <w:r w:rsidR="007657AE">
        <w:t>. They will</w:t>
      </w:r>
      <w:r w:rsidRPr="00425B87">
        <w:t xml:space="preserve"> prepare </w:t>
      </w:r>
      <w:r w:rsidR="00425B87" w:rsidRPr="00425B87">
        <w:t xml:space="preserve">a technical plan for data extraction and estimate of transformation effort for the </w:t>
      </w:r>
      <w:r w:rsidR="00710C3B">
        <w:t xml:space="preserve">base </w:t>
      </w:r>
      <w:r w:rsidR="00425B87" w:rsidRPr="00D177BF">
        <w:t>systems</w:t>
      </w:r>
      <w:r w:rsidR="00D177BF">
        <w:t>. Requirement</w:t>
      </w:r>
      <w:r w:rsidR="008E7A79">
        <w:t>s</w:t>
      </w:r>
      <w:r w:rsidR="00D177BF">
        <w:t xml:space="preserve"> </w:t>
      </w:r>
      <w:r w:rsidR="00425B87" w:rsidRPr="00425B87">
        <w:t xml:space="preserve">and associated data sets required when mapped to the related </w:t>
      </w:r>
      <w:r w:rsidR="00425B87">
        <w:t>Meditech Expanse IFF and associated</w:t>
      </w:r>
      <w:r w:rsidR="00425B87" w:rsidRPr="00425B87">
        <w:t xml:space="preserve"> import mechanism.</w:t>
      </w:r>
      <w:r w:rsidR="00425B87">
        <w:t xml:space="preserve"> The plan will include:</w:t>
      </w:r>
    </w:p>
    <w:p w14:paraId="11B0A242" w14:textId="6DF442F0" w:rsidR="0052663C" w:rsidRPr="00CF6AF1" w:rsidRDefault="00863C23" w:rsidP="00C3235C">
      <w:pPr>
        <w:pStyle w:val="Heading3"/>
        <w:spacing w:line="360" w:lineRule="auto"/>
      </w:pPr>
      <w:r>
        <w:t>A</w:t>
      </w:r>
      <w:r w:rsidR="0052663C" w:rsidRPr="00CF6AF1">
        <w:t xml:space="preserve"> full analysis of all systems and proposal for management of each </w:t>
      </w:r>
      <w:r w:rsidR="006A66FE" w:rsidRPr="00CF6AF1">
        <w:t>type of activity type and IFF</w:t>
      </w:r>
      <w:r w:rsidR="0052663C" w:rsidRPr="00CF6AF1">
        <w:t xml:space="preserve">. </w:t>
      </w:r>
    </w:p>
    <w:p w14:paraId="404D780C" w14:textId="44EFC1DA" w:rsidR="0052663C" w:rsidRPr="0052663C" w:rsidRDefault="0052663C" w:rsidP="00C3235C">
      <w:pPr>
        <w:pStyle w:val="Heading3"/>
        <w:spacing w:line="360" w:lineRule="auto"/>
      </w:pPr>
      <w:r w:rsidRPr="0052663C">
        <w:t xml:space="preserve">The detailed data types are set out in below </w:t>
      </w:r>
      <w:r w:rsidR="00710C3B">
        <w:t xml:space="preserve">under </w:t>
      </w:r>
      <w:r w:rsidR="0050083C">
        <w:t>R</w:t>
      </w:r>
      <w:r w:rsidR="00710C3B">
        <w:t xml:space="preserve">equirements </w:t>
      </w:r>
      <w:r w:rsidRPr="0052663C">
        <w:t xml:space="preserve">but the </w:t>
      </w:r>
      <w:r>
        <w:t xml:space="preserve">data migration </w:t>
      </w:r>
      <w:r w:rsidRPr="0052663C">
        <w:t xml:space="preserve">partner must have experience of working with </w:t>
      </w:r>
      <w:r>
        <w:t>Meditech</w:t>
      </w:r>
      <w:r w:rsidRPr="0052663C">
        <w:t xml:space="preserve"> or another major EPR vendor, specifically around the </w:t>
      </w:r>
      <w:r w:rsidR="008E7A79" w:rsidRPr="0052663C">
        <w:t>high-risk</w:t>
      </w:r>
      <w:r w:rsidRPr="0052663C">
        <w:t xml:space="preserve"> administrative </w:t>
      </w:r>
      <w:r w:rsidR="008E7A79">
        <w:t>pathway’s</w:t>
      </w:r>
      <w:r w:rsidR="007657AE">
        <w:t xml:space="preserve"> areas</w:t>
      </w:r>
      <w:r w:rsidR="00D177BF">
        <w:t>.</w:t>
      </w:r>
    </w:p>
    <w:p w14:paraId="770340EE" w14:textId="66B4BC53" w:rsidR="0052663C" w:rsidRPr="0052663C" w:rsidRDefault="0052663C" w:rsidP="00C3235C">
      <w:pPr>
        <w:pStyle w:val="Heading3"/>
        <w:spacing w:line="360" w:lineRule="auto"/>
      </w:pPr>
      <w:r w:rsidRPr="0052663C">
        <w:t xml:space="preserve">PAS </w:t>
      </w:r>
      <w:r w:rsidR="00FF490C">
        <w:t>MPI</w:t>
      </w:r>
      <w:r w:rsidRPr="0052663C">
        <w:t xml:space="preserve"> data – there are three separate PAS systems but there is currently a programme to ensure there is a single unique patient identifier however this is only based on known matches so there </w:t>
      </w:r>
      <w:r w:rsidR="00D177BF">
        <w:t>will need to be</w:t>
      </w:r>
      <w:r w:rsidRPr="0052663C">
        <w:t xml:space="preserve"> an on-going piece of work that </w:t>
      </w:r>
      <w:r w:rsidR="00D177BF">
        <w:t>will</w:t>
      </w:r>
      <w:r w:rsidRPr="0052663C">
        <w:t xml:space="preserve"> look to reduce the number of query matches.</w:t>
      </w:r>
    </w:p>
    <w:p w14:paraId="52DEE771" w14:textId="49919854" w:rsidR="0052663C" w:rsidRDefault="00FF490C" w:rsidP="00C3235C">
      <w:pPr>
        <w:pStyle w:val="Heading3"/>
        <w:spacing w:line="360" w:lineRule="auto"/>
      </w:pPr>
      <w:r>
        <w:t>Referral to Treatment (</w:t>
      </w:r>
      <w:r w:rsidR="0052663C" w:rsidRPr="0052663C">
        <w:t>RTT</w:t>
      </w:r>
      <w:r>
        <w:t>)</w:t>
      </w:r>
      <w:r w:rsidR="0052663C" w:rsidRPr="0052663C">
        <w:t xml:space="preserve">, Non RTT, Diagnostic and Cancer pathways and associated periods – suppliers need to express their experience and credibility with case studies about how they have successfully supported NHS Trusts to </w:t>
      </w:r>
      <w:r w:rsidR="007657AE">
        <w:t xml:space="preserve">migrate and </w:t>
      </w:r>
      <w:r w:rsidR="0052663C" w:rsidRPr="0052663C">
        <w:t>convert RTT, Non RTT, diagnostic and cancer pathway</w:t>
      </w:r>
      <w:r w:rsidR="007657AE">
        <w:t>s</w:t>
      </w:r>
      <w:r w:rsidR="0052663C" w:rsidRPr="0052663C">
        <w:t xml:space="preserve"> and evidence how they have integrated all relevant periods into one overarching pathway and to include methodology for creating a unique pathway identifier which all relevant activity can be linked back to</w:t>
      </w:r>
      <w:r w:rsidR="0052663C">
        <w:t>.</w:t>
      </w:r>
      <w:r w:rsidR="0052663C" w:rsidRPr="0052663C">
        <w:t xml:space="preserve"> </w:t>
      </w:r>
    </w:p>
    <w:p w14:paraId="35E0D7FF" w14:textId="53CBA71B" w:rsidR="009065B2" w:rsidRDefault="009065B2" w:rsidP="00C3235C">
      <w:pPr>
        <w:pStyle w:val="Heading3"/>
        <w:spacing w:line="360" w:lineRule="auto"/>
      </w:pPr>
      <w:r>
        <w:lastRenderedPageBreak/>
        <w:t>Specific outputs within defined timescales and responsibilities split between the trusts, collaborati</w:t>
      </w:r>
      <w:r w:rsidR="007657AE">
        <w:t>ve</w:t>
      </w:r>
      <w:r>
        <w:t xml:space="preserve"> and data migration partner.</w:t>
      </w:r>
    </w:p>
    <w:p w14:paraId="32B93CA9" w14:textId="19217F93" w:rsidR="00E85E2E" w:rsidRPr="00A12050" w:rsidRDefault="00E85E2E" w:rsidP="00C3235C">
      <w:pPr>
        <w:pStyle w:val="Heading3"/>
        <w:spacing w:line="360" w:lineRule="auto"/>
      </w:pPr>
      <w:r w:rsidRPr="00A12050">
        <w:t xml:space="preserve">The supplier will work with NWAHC to deliver the </w:t>
      </w:r>
      <w:r w:rsidR="00FF490C">
        <w:t>d</w:t>
      </w:r>
      <w:r w:rsidRPr="00A12050">
        <w:t xml:space="preserve">ata </w:t>
      </w:r>
      <w:r w:rsidR="00FF490C">
        <w:t>m</w:t>
      </w:r>
      <w:r w:rsidRPr="00A12050">
        <w:t>igration plan in line with the overall Meditech Expanse implementation plan including:</w:t>
      </w:r>
    </w:p>
    <w:p w14:paraId="5A4CF241" w14:textId="2780A02C" w:rsidR="0037604C" w:rsidRPr="00A12050" w:rsidRDefault="00E85E2E" w:rsidP="00C3235C">
      <w:pPr>
        <w:pStyle w:val="Heading2"/>
        <w:numPr>
          <w:ilvl w:val="0"/>
          <w:numId w:val="26"/>
        </w:numPr>
        <w:spacing w:line="360" w:lineRule="auto"/>
        <w:rPr>
          <w:szCs w:val="22"/>
        </w:rPr>
      </w:pPr>
      <w:bookmarkStart w:id="10" w:name="_Hlk155797783"/>
      <w:r w:rsidRPr="00A12050">
        <w:rPr>
          <w:szCs w:val="22"/>
        </w:rPr>
        <w:t>Migration of data into Meditech</w:t>
      </w:r>
      <w:r w:rsidR="00B442C0" w:rsidRPr="00A12050">
        <w:rPr>
          <w:szCs w:val="22"/>
        </w:rPr>
        <w:t xml:space="preserve"> Expanse</w:t>
      </w:r>
    </w:p>
    <w:p w14:paraId="1D5E3BF9" w14:textId="6503176D" w:rsidR="00A12050" w:rsidRPr="00A12050" w:rsidRDefault="00A12050" w:rsidP="00C3235C">
      <w:pPr>
        <w:pStyle w:val="Heading2"/>
        <w:numPr>
          <w:ilvl w:val="1"/>
          <w:numId w:val="26"/>
        </w:numPr>
        <w:spacing w:line="360" w:lineRule="auto"/>
        <w:rPr>
          <w:szCs w:val="22"/>
        </w:rPr>
      </w:pPr>
      <w:r w:rsidRPr="00A12050">
        <w:rPr>
          <w:szCs w:val="22"/>
        </w:rPr>
        <w:t>The scope of migrated data (i.e. IFFs to be populated and volumes of data to be included) including details of any data items that need to be excluded from the migration scope</w:t>
      </w:r>
      <w:r w:rsidR="00FF490C">
        <w:rPr>
          <w:szCs w:val="22"/>
        </w:rPr>
        <w:t>.</w:t>
      </w:r>
      <w:r w:rsidRPr="00A12050">
        <w:rPr>
          <w:szCs w:val="22"/>
        </w:rPr>
        <w:t xml:space="preserve"> </w:t>
      </w:r>
    </w:p>
    <w:p w14:paraId="432F8391" w14:textId="42A6A1E4" w:rsidR="00A12050" w:rsidRPr="00A12050" w:rsidRDefault="00A12050" w:rsidP="00C3235C">
      <w:pPr>
        <w:pStyle w:val="Heading2"/>
        <w:numPr>
          <w:ilvl w:val="1"/>
          <w:numId w:val="26"/>
        </w:numPr>
        <w:spacing w:line="360" w:lineRule="auto"/>
        <w:rPr>
          <w:szCs w:val="22"/>
        </w:rPr>
      </w:pPr>
      <w:r w:rsidRPr="00A12050">
        <w:rPr>
          <w:szCs w:val="22"/>
        </w:rPr>
        <w:t>The tools to be used to generate each IFF</w:t>
      </w:r>
      <w:r w:rsidR="00FF490C">
        <w:rPr>
          <w:szCs w:val="22"/>
        </w:rPr>
        <w:t>.</w:t>
      </w:r>
      <w:r w:rsidRPr="00A12050">
        <w:rPr>
          <w:szCs w:val="22"/>
        </w:rPr>
        <w:t xml:space="preserve"> </w:t>
      </w:r>
    </w:p>
    <w:p w14:paraId="2A511141" w14:textId="3BABC006" w:rsidR="00A12050" w:rsidRPr="00A12050" w:rsidRDefault="00362355" w:rsidP="00C3235C">
      <w:pPr>
        <w:pStyle w:val="Heading2"/>
        <w:numPr>
          <w:ilvl w:val="1"/>
          <w:numId w:val="26"/>
        </w:numPr>
        <w:spacing w:line="360" w:lineRule="auto"/>
        <w:rPr>
          <w:szCs w:val="22"/>
        </w:rPr>
      </w:pPr>
      <w:r w:rsidRPr="00A12050">
        <w:rPr>
          <w:szCs w:val="22"/>
        </w:rPr>
        <w:t>All</w:t>
      </w:r>
      <w:r w:rsidR="00A12050" w:rsidRPr="00A12050">
        <w:rPr>
          <w:szCs w:val="22"/>
        </w:rPr>
        <w:t xml:space="preserve"> the source systems containing data to be migrated to the target system</w:t>
      </w:r>
      <w:r w:rsidR="00FF490C">
        <w:rPr>
          <w:szCs w:val="22"/>
        </w:rPr>
        <w:t>.</w:t>
      </w:r>
      <w:r w:rsidR="00A12050" w:rsidRPr="00A12050">
        <w:rPr>
          <w:szCs w:val="22"/>
        </w:rPr>
        <w:t xml:space="preserve"> </w:t>
      </w:r>
    </w:p>
    <w:p w14:paraId="4491D5D2" w14:textId="19D60F5A" w:rsidR="00A12050" w:rsidRPr="00A12050" w:rsidRDefault="00A12050" w:rsidP="00C3235C">
      <w:pPr>
        <w:pStyle w:val="Heading2"/>
        <w:numPr>
          <w:ilvl w:val="1"/>
          <w:numId w:val="26"/>
        </w:numPr>
        <w:spacing w:line="360" w:lineRule="auto"/>
        <w:rPr>
          <w:szCs w:val="22"/>
        </w:rPr>
      </w:pPr>
      <w:r w:rsidRPr="00A12050">
        <w:rPr>
          <w:szCs w:val="22"/>
        </w:rPr>
        <w:t xml:space="preserve">The number and full scope of each trial load (i.e., </w:t>
      </w:r>
      <w:r w:rsidR="00362355" w:rsidRPr="00A12050">
        <w:rPr>
          <w:szCs w:val="22"/>
        </w:rPr>
        <w:t>considering</w:t>
      </w:r>
      <w:r w:rsidRPr="00A12050">
        <w:rPr>
          <w:szCs w:val="22"/>
        </w:rPr>
        <w:t xml:space="preserve"> dependencies on configuration / mapping activity and environment availability)</w:t>
      </w:r>
      <w:r w:rsidR="00FF490C">
        <w:rPr>
          <w:szCs w:val="22"/>
        </w:rPr>
        <w:t>.</w:t>
      </w:r>
      <w:r w:rsidRPr="00A12050">
        <w:rPr>
          <w:szCs w:val="22"/>
        </w:rPr>
        <w:t xml:space="preserve"> </w:t>
      </w:r>
    </w:p>
    <w:p w14:paraId="7A272A03" w14:textId="22337F41" w:rsidR="00A12050" w:rsidRPr="00A12050" w:rsidRDefault="00A12050" w:rsidP="00C3235C">
      <w:pPr>
        <w:pStyle w:val="Heading2"/>
        <w:numPr>
          <w:ilvl w:val="1"/>
          <w:numId w:val="26"/>
        </w:numPr>
        <w:spacing w:line="360" w:lineRule="auto"/>
        <w:rPr>
          <w:szCs w:val="22"/>
        </w:rPr>
      </w:pPr>
      <w:r w:rsidRPr="00A12050">
        <w:rPr>
          <w:szCs w:val="22"/>
        </w:rPr>
        <w:t>Frequency / approach for importing source data into Meditech Expanse</w:t>
      </w:r>
      <w:r w:rsidR="00FF490C">
        <w:rPr>
          <w:szCs w:val="22"/>
        </w:rPr>
        <w:t>.</w:t>
      </w:r>
      <w:r w:rsidRPr="00A12050">
        <w:rPr>
          <w:szCs w:val="22"/>
        </w:rPr>
        <w:t xml:space="preserve"> </w:t>
      </w:r>
    </w:p>
    <w:p w14:paraId="6B24E279" w14:textId="2CA5B6B5" w:rsidR="00A12050" w:rsidRPr="00A12050" w:rsidRDefault="00A12050" w:rsidP="00C3235C">
      <w:pPr>
        <w:pStyle w:val="Heading2"/>
        <w:numPr>
          <w:ilvl w:val="1"/>
          <w:numId w:val="26"/>
        </w:numPr>
        <w:spacing w:line="360" w:lineRule="auto"/>
        <w:rPr>
          <w:szCs w:val="22"/>
        </w:rPr>
      </w:pPr>
      <w:r w:rsidRPr="00A12050">
        <w:rPr>
          <w:szCs w:val="22"/>
        </w:rPr>
        <w:t>Load errors / warnings</w:t>
      </w:r>
      <w:r w:rsidR="00FF490C">
        <w:rPr>
          <w:szCs w:val="22"/>
        </w:rPr>
        <w:t>.</w:t>
      </w:r>
      <w:r w:rsidRPr="00A12050">
        <w:rPr>
          <w:szCs w:val="22"/>
        </w:rPr>
        <w:t xml:space="preserve"> </w:t>
      </w:r>
    </w:p>
    <w:p w14:paraId="1F60CE9D" w14:textId="49260F7E" w:rsidR="002F7DB7" w:rsidRPr="00A12050" w:rsidRDefault="002F7DB7" w:rsidP="00C3235C">
      <w:pPr>
        <w:pStyle w:val="Heading2"/>
        <w:numPr>
          <w:ilvl w:val="0"/>
          <w:numId w:val="26"/>
        </w:numPr>
        <w:spacing w:line="360" w:lineRule="auto"/>
        <w:rPr>
          <w:szCs w:val="22"/>
        </w:rPr>
      </w:pPr>
      <w:r w:rsidRPr="00A12050">
        <w:rPr>
          <w:szCs w:val="22"/>
        </w:rPr>
        <w:t>Data quality and source data validation</w:t>
      </w:r>
    </w:p>
    <w:p w14:paraId="640612D8" w14:textId="77777777" w:rsidR="00A12050" w:rsidRPr="00A12050" w:rsidRDefault="00A12050" w:rsidP="00C3235C">
      <w:pPr>
        <w:pStyle w:val="Heading2"/>
        <w:numPr>
          <w:ilvl w:val="1"/>
          <w:numId w:val="26"/>
        </w:numPr>
        <w:spacing w:line="360" w:lineRule="auto"/>
        <w:rPr>
          <w:szCs w:val="22"/>
        </w:rPr>
      </w:pPr>
      <w:r w:rsidRPr="00A12050">
        <w:rPr>
          <w:szCs w:val="22"/>
        </w:rPr>
        <w:t xml:space="preserve">The approach(es) to be taken to resolve the following (potential) data issues: </w:t>
      </w:r>
    </w:p>
    <w:p w14:paraId="580DD2A4" w14:textId="77777777" w:rsidR="00A12050" w:rsidRPr="00A12050" w:rsidRDefault="00A12050" w:rsidP="00C3235C">
      <w:pPr>
        <w:pStyle w:val="Heading2"/>
        <w:numPr>
          <w:ilvl w:val="1"/>
          <w:numId w:val="26"/>
        </w:numPr>
        <w:spacing w:line="360" w:lineRule="auto"/>
        <w:rPr>
          <w:szCs w:val="22"/>
        </w:rPr>
      </w:pPr>
      <w:r w:rsidRPr="00A12050">
        <w:rPr>
          <w:szCs w:val="22"/>
        </w:rPr>
        <w:t xml:space="preserve">Missing ‘mandatory’ data items (i.e., where there is no available source data, but the field is required within the supplier IFF) </w:t>
      </w:r>
    </w:p>
    <w:p w14:paraId="2556C62E" w14:textId="13A71469" w:rsidR="00A12050" w:rsidRPr="00A12050" w:rsidRDefault="00A12050" w:rsidP="00C3235C">
      <w:pPr>
        <w:pStyle w:val="Heading2"/>
        <w:numPr>
          <w:ilvl w:val="1"/>
          <w:numId w:val="26"/>
        </w:numPr>
        <w:spacing w:line="360" w:lineRule="auto"/>
        <w:rPr>
          <w:szCs w:val="22"/>
        </w:rPr>
      </w:pPr>
      <w:r w:rsidRPr="00A12050">
        <w:rPr>
          <w:szCs w:val="22"/>
        </w:rPr>
        <w:t xml:space="preserve">Anticipated Data Quality / Data Integrity issues within the source data </w:t>
      </w:r>
    </w:p>
    <w:p w14:paraId="63FC28DE" w14:textId="2F8EEFF6" w:rsidR="00A12050" w:rsidRPr="00A12050" w:rsidRDefault="00A12050" w:rsidP="00C3235C">
      <w:pPr>
        <w:pStyle w:val="Heading2"/>
        <w:numPr>
          <w:ilvl w:val="1"/>
          <w:numId w:val="26"/>
        </w:numPr>
        <w:spacing w:line="360" w:lineRule="auto"/>
        <w:rPr>
          <w:szCs w:val="22"/>
        </w:rPr>
      </w:pPr>
      <w:r w:rsidRPr="00A12050">
        <w:rPr>
          <w:szCs w:val="22"/>
        </w:rPr>
        <w:t xml:space="preserve">Approach for managing duplicate patients (including the matching criteria and approach for identifying ‘near’ duplicates) and the management of physical notes following automated merges through the Transform and Load </w:t>
      </w:r>
      <w:r w:rsidR="00363E22" w:rsidRPr="00A12050">
        <w:rPr>
          <w:szCs w:val="22"/>
        </w:rPr>
        <w:t>processes.</w:t>
      </w:r>
      <w:r w:rsidRPr="00A12050">
        <w:rPr>
          <w:szCs w:val="22"/>
        </w:rPr>
        <w:t xml:space="preserve"> </w:t>
      </w:r>
    </w:p>
    <w:p w14:paraId="586A1D77" w14:textId="77777777" w:rsidR="00A12050" w:rsidRPr="00A12050" w:rsidRDefault="00A12050" w:rsidP="00C3235C">
      <w:pPr>
        <w:pStyle w:val="Heading2"/>
        <w:numPr>
          <w:ilvl w:val="1"/>
          <w:numId w:val="26"/>
        </w:numPr>
        <w:spacing w:line="360" w:lineRule="auto"/>
        <w:rPr>
          <w:szCs w:val="22"/>
        </w:rPr>
      </w:pPr>
      <w:r w:rsidRPr="00A12050">
        <w:rPr>
          <w:szCs w:val="22"/>
        </w:rPr>
        <w:lastRenderedPageBreak/>
        <w:t xml:space="preserve">Approach to core issues such as Patient Numbering (i.e., defining what common numbering will be carried through into the target system and an assessment of the impacts on other teams e.g., Medical Records / Integration / 3rd Party Systems) </w:t>
      </w:r>
    </w:p>
    <w:p w14:paraId="57CE01E4" w14:textId="0E2A10BD" w:rsidR="002F7DB7" w:rsidRPr="00A12050" w:rsidRDefault="002F7DB7" w:rsidP="00C3235C">
      <w:pPr>
        <w:pStyle w:val="Heading2"/>
        <w:numPr>
          <w:ilvl w:val="0"/>
          <w:numId w:val="26"/>
        </w:numPr>
        <w:spacing w:line="360" w:lineRule="auto"/>
        <w:rPr>
          <w:szCs w:val="22"/>
        </w:rPr>
      </w:pPr>
      <w:r w:rsidRPr="00A12050">
        <w:rPr>
          <w:szCs w:val="22"/>
        </w:rPr>
        <w:t>Transformation rules and data mapping</w:t>
      </w:r>
    </w:p>
    <w:p w14:paraId="358EDDA5" w14:textId="488A95F1" w:rsidR="00A12050" w:rsidRPr="00A12050" w:rsidRDefault="0037604C" w:rsidP="00C3235C">
      <w:pPr>
        <w:pStyle w:val="Heading2"/>
        <w:numPr>
          <w:ilvl w:val="0"/>
          <w:numId w:val="26"/>
        </w:numPr>
        <w:spacing w:line="360" w:lineRule="auto"/>
        <w:rPr>
          <w:szCs w:val="22"/>
        </w:rPr>
      </w:pPr>
      <w:r w:rsidRPr="00A12050">
        <w:rPr>
          <w:szCs w:val="22"/>
        </w:rPr>
        <w:t>Cutover planning</w:t>
      </w:r>
      <w:r w:rsidR="00A12050" w:rsidRPr="00A12050">
        <w:rPr>
          <w:szCs w:val="22"/>
        </w:rPr>
        <w:t xml:space="preserve"> including anticipated ‘downtime’ during final cutover / go-live </w:t>
      </w:r>
    </w:p>
    <w:p w14:paraId="05E20AE6" w14:textId="6C28A020" w:rsidR="0037604C" w:rsidRPr="00A12050" w:rsidRDefault="0037604C" w:rsidP="00C3235C">
      <w:pPr>
        <w:pStyle w:val="Heading2"/>
        <w:numPr>
          <w:ilvl w:val="0"/>
          <w:numId w:val="26"/>
        </w:numPr>
        <w:spacing w:line="360" w:lineRule="auto"/>
        <w:rPr>
          <w:szCs w:val="22"/>
        </w:rPr>
      </w:pPr>
      <w:r w:rsidRPr="00A12050">
        <w:rPr>
          <w:szCs w:val="22"/>
        </w:rPr>
        <w:t>Manual migration plan</w:t>
      </w:r>
    </w:p>
    <w:p w14:paraId="6D93DEF0" w14:textId="02CA9F8D" w:rsidR="00FE4091" w:rsidRPr="00A12050" w:rsidRDefault="00FE4091" w:rsidP="00C3235C">
      <w:pPr>
        <w:pStyle w:val="Heading2"/>
        <w:numPr>
          <w:ilvl w:val="0"/>
          <w:numId w:val="26"/>
        </w:numPr>
        <w:spacing w:line="360" w:lineRule="auto"/>
        <w:rPr>
          <w:szCs w:val="22"/>
        </w:rPr>
      </w:pPr>
      <w:r w:rsidRPr="00A12050">
        <w:rPr>
          <w:szCs w:val="22"/>
        </w:rPr>
        <w:t>Issue management process</w:t>
      </w:r>
    </w:p>
    <w:p w14:paraId="76F0040C" w14:textId="5FD09FBE" w:rsidR="002F7DB7" w:rsidRPr="00A12050" w:rsidRDefault="002F7DB7" w:rsidP="00C3235C">
      <w:pPr>
        <w:pStyle w:val="Heading2"/>
        <w:numPr>
          <w:ilvl w:val="0"/>
          <w:numId w:val="26"/>
        </w:numPr>
        <w:spacing w:line="360" w:lineRule="auto"/>
        <w:rPr>
          <w:szCs w:val="22"/>
        </w:rPr>
      </w:pPr>
      <w:r w:rsidRPr="00A12050">
        <w:rPr>
          <w:szCs w:val="22"/>
        </w:rPr>
        <w:t>Testing &amp; reconciliation strategy</w:t>
      </w:r>
    </w:p>
    <w:p w14:paraId="7BD4AB27" w14:textId="77334910" w:rsidR="00E85E2E" w:rsidRPr="00A12050" w:rsidRDefault="00863C23" w:rsidP="00C3235C">
      <w:pPr>
        <w:pStyle w:val="Heading2"/>
        <w:numPr>
          <w:ilvl w:val="0"/>
          <w:numId w:val="26"/>
        </w:numPr>
        <w:spacing w:line="360" w:lineRule="auto"/>
        <w:rPr>
          <w:szCs w:val="22"/>
        </w:rPr>
      </w:pPr>
      <w:r w:rsidRPr="00A12050">
        <w:rPr>
          <w:szCs w:val="22"/>
        </w:rPr>
        <w:t>Support a</w:t>
      </w:r>
      <w:r w:rsidR="00E85E2E" w:rsidRPr="00A12050">
        <w:rPr>
          <w:szCs w:val="22"/>
        </w:rPr>
        <w:t xml:space="preserve">rchiving of data </w:t>
      </w:r>
      <w:r w:rsidR="00F65163" w:rsidRPr="00A12050">
        <w:rPr>
          <w:szCs w:val="22"/>
        </w:rPr>
        <w:t>in an accessible format</w:t>
      </w:r>
    </w:p>
    <w:p w14:paraId="4D23C650" w14:textId="7C83F157" w:rsidR="00E85E2E" w:rsidRPr="00A12050" w:rsidRDefault="00E85E2E" w:rsidP="00C3235C">
      <w:pPr>
        <w:pStyle w:val="Heading2"/>
        <w:numPr>
          <w:ilvl w:val="0"/>
          <w:numId w:val="26"/>
        </w:numPr>
        <w:spacing w:line="360" w:lineRule="auto"/>
        <w:rPr>
          <w:szCs w:val="22"/>
        </w:rPr>
      </w:pPr>
      <w:r w:rsidRPr="00A12050">
        <w:rPr>
          <w:szCs w:val="22"/>
        </w:rPr>
        <w:t>Purging of data</w:t>
      </w:r>
    </w:p>
    <w:p w14:paraId="46D6ABFF" w14:textId="6CCEA2B8" w:rsidR="00E85E2E" w:rsidRPr="00A12050" w:rsidRDefault="00E85E2E" w:rsidP="00C3235C">
      <w:pPr>
        <w:pStyle w:val="Heading2"/>
        <w:numPr>
          <w:ilvl w:val="0"/>
          <w:numId w:val="26"/>
        </w:numPr>
        <w:spacing w:line="360" w:lineRule="auto"/>
        <w:rPr>
          <w:szCs w:val="22"/>
        </w:rPr>
      </w:pPr>
      <w:r w:rsidRPr="00A12050">
        <w:rPr>
          <w:szCs w:val="22"/>
        </w:rPr>
        <w:t>Enabling of legacy decommissioning</w:t>
      </w:r>
    </w:p>
    <w:p w14:paraId="63AD64A1" w14:textId="2102F622" w:rsidR="002F7DB7" w:rsidRPr="00A12050" w:rsidRDefault="002F7DB7" w:rsidP="00C3235C">
      <w:pPr>
        <w:pStyle w:val="Heading2"/>
        <w:numPr>
          <w:ilvl w:val="0"/>
          <w:numId w:val="26"/>
        </w:numPr>
        <w:spacing w:line="360" w:lineRule="auto"/>
        <w:rPr>
          <w:szCs w:val="22"/>
        </w:rPr>
      </w:pPr>
      <w:r w:rsidRPr="00A12050">
        <w:rPr>
          <w:szCs w:val="22"/>
        </w:rPr>
        <w:t>Monitoring and tracking against the plan</w:t>
      </w:r>
    </w:p>
    <w:p w14:paraId="65C70F03" w14:textId="2322E69F" w:rsidR="00A12050" w:rsidRPr="00A12050" w:rsidRDefault="00A12050" w:rsidP="00C3235C">
      <w:pPr>
        <w:pStyle w:val="Heading2"/>
        <w:numPr>
          <w:ilvl w:val="0"/>
          <w:numId w:val="26"/>
        </w:numPr>
        <w:spacing w:line="360" w:lineRule="auto"/>
        <w:rPr>
          <w:szCs w:val="22"/>
        </w:rPr>
      </w:pPr>
      <w:r w:rsidRPr="00A12050">
        <w:rPr>
          <w:szCs w:val="22"/>
        </w:rPr>
        <w:t>Entry and Exit criteria for each trial load, dress rehearsal and cutover</w:t>
      </w:r>
      <w:r w:rsidR="00362355">
        <w:rPr>
          <w:szCs w:val="22"/>
        </w:rPr>
        <w:t>.</w:t>
      </w:r>
      <w:r w:rsidRPr="00A12050">
        <w:rPr>
          <w:szCs w:val="22"/>
        </w:rPr>
        <w:t xml:space="preserve"> </w:t>
      </w:r>
    </w:p>
    <w:p w14:paraId="27A80C17" w14:textId="0CF626C6" w:rsidR="00A12050" w:rsidRPr="00A12050" w:rsidRDefault="00A12050" w:rsidP="00C3235C">
      <w:pPr>
        <w:pStyle w:val="Heading2"/>
        <w:numPr>
          <w:ilvl w:val="0"/>
          <w:numId w:val="26"/>
        </w:numPr>
        <w:spacing w:line="360" w:lineRule="auto"/>
        <w:rPr>
          <w:szCs w:val="22"/>
        </w:rPr>
      </w:pPr>
      <w:r w:rsidRPr="00A12050">
        <w:rPr>
          <w:szCs w:val="22"/>
        </w:rPr>
        <w:t>Approach to validating / testing migrated data</w:t>
      </w:r>
      <w:r w:rsidR="00362355">
        <w:rPr>
          <w:szCs w:val="22"/>
        </w:rPr>
        <w:t>.</w:t>
      </w:r>
      <w:r w:rsidRPr="00A12050">
        <w:rPr>
          <w:szCs w:val="22"/>
        </w:rPr>
        <w:t xml:space="preserve"> </w:t>
      </w:r>
    </w:p>
    <w:p w14:paraId="7970E93B" w14:textId="5A3A3892" w:rsidR="00A12050" w:rsidRPr="00A12050" w:rsidRDefault="00A12050" w:rsidP="00C3235C">
      <w:pPr>
        <w:pStyle w:val="Heading2"/>
        <w:numPr>
          <w:ilvl w:val="0"/>
          <w:numId w:val="26"/>
        </w:numPr>
        <w:spacing w:line="360" w:lineRule="auto"/>
        <w:rPr>
          <w:szCs w:val="22"/>
        </w:rPr>
      </w:pPr>
      <w:r w:rsidRPr="00A12050">
        <w:rPr>
          <w:szCs w:val="22"/>
        </w:rPr>
        <w:t>Roles and responsibilities for all teams</w:t>
      </w:r>
      <w:r w:rsidR="00362355">
        <w:rPr>
          <w:szCs w:val="22"/>
        </w:rPr>
        <w:t>.</w:t>
      </w:r>
      <w:r w:rsidRPr="00A12050">
        <w:rPr>
          <w:szCs w:val="22"/>
        </w:rPr>
        <w:t xml:space="preserve"> </w:t>
      </w:r>
    </w:p>
    <w:p w14:paraId="7BB0822D" w14:textId="4FE2434B" w:rsidR="00A12050" w:rsidRPr="00A12050" w:rsidRDefault="00A12050" w:rsidP="00C3235C">
      <w:pPr>
        <w:pStyle w:val="Heading2"/>
        <w:numPr>
          <w:ilvl w:val="0"/>
          <w:numId w:val="26"/>
        </w:numPr>
        <w:spacing w:line="360" w:lineRule="auto"/>
        <w:rPr>
          <w:szCs w:val="22"/>
        </w:rPr>
      </w:pPr>
      <w:r w:rsidRPr="00A12050">
        <w:rPr>
          <w:szCs w:val="22"/>
        </w:rPr>
        <w:t xml:space="preserve">Key </w:t>
      </w:r>
      <w:r w:rsidR="00362355">
        <w:rPr>
          <w:szCs w:val="22"/>
        </w:rPr>
        <w:t>r</w:t>
      </w:r>
      <w:r w:rsidRPr="00A12050">
        <w:rPr>
          <w:szCs w:val="22"/>
        </w:rPr>
        <w:t xml:space="preserve">isks, </w:t>
      </w:r>
      <w:r w:rsidR="00362355">
        <w:rPr>
          <w:szCs w:val="22"/>
        </w:rPr>
        <w:t>a</w:t>
      </w:r>
      <w:r w:rsidRPr="00A12050">
        <w:rPr>
          <w:szCs w:val="22"/>
        </w:rPr>
        <w:t xml:space="preserve">ssumptions, </w:t>
      </w:r>
      <w:r w:rsidR="00362355">
        <w:rPr>
          <w:szCs w:val="22"/>
        </w:rPr>
        <w:t>i</w:t>
      </w:r>
      <w:r w:rsidRPr="00A12050">
        <w:rPr>
          <w:szCs w:val="22"/>
        </w:rPr>
        <w:t xml:space="preserve">ssues and </w:t>
      </w:r>
      <w:r w:rsidR="00362355">
        <w:rPr>
          <w:szCs w:val="22"/>
        </w:rPr>
        <w:t>d</w:t>
      </w:r>
      <w:r w:rsidRPr="00A12050">
        <w:rPr>
          <w:szCs w:val="22"/>
        </w:rPr>
        <w:t>ependencies</w:t>
      </w:r>
      <w:r w:rsidR="00362355">
        <w:rPr>
          <w:szCs w:val="22"/>
        </w:rPr>
        <w:t>.</w:t>
      </w:r>
      <w:r w:rsidRPr="00A12050">
        <w:rPr>
          <w:szCs w:val="22"/>
        </w:rPr>
        <w:t xml:space="preserve"> </w:t>
      </w:r>
    </w:p>
    <w:p w14:paraId="3D7F0164" w14:textId="77777777" w:rsidR="00A12050" w:rsidRPr="00A12050" w:rsidRDefault="00A12050" w:rsidP="00C3235C">
      <w:pPr>
        <w:pStyle w:val="Heading2"/>
        <w:numPr>
          <w:ilvl w:val="0"/>
          <w:numId w:val="26"/>
        </w:numPr>
        <w:spacing w:line="360" w:lineRule="auto"/>
        <w:rPr>
          <w:szCs w:val="22"/>
        </w:rPr>
      </w:pPr>
      <w:r w:rsidRPr="00A12050">
        <w:rPr>
          <w:szCs w:val="22"/>
        </w:rPr>
        <w:t xml:space="preserve">Timelines for key activity; aligned with the detailed Programme / Project Plan </w:t>
      </w:r>
    </w:p>
    <w:p w14:paraId="3F39BE92" w14:textId="707F2A10" w:rsidR="00863C23" w:rsidRDefault="00863C23" w:rsidP="00C3235C">
      <w:pPr>
        <w:pStyle w:val="Heading2"/>
        <w:spacing w:line="360" w:lineRule="auto"/>
      </w:pPr>
      <w:bookmarkStart w:id="11" w:name="_Hlk155611806"/>
      <w:bookmarkStart w:id="12" w:name="_Hlk154586418"/>
      <w:bookmarkEnd w:id="10"/>
      <w:r>
        <w:t>There will be a separate tender to lead on and implement an archiving and clinical data repository solution. Any proposals should be considered in the context of these requirements.</w:t>
      </w:r>
    </w:p>
    <w:bookmarkEnd w:id="11"/>
    <w:p w14:paraId="707261F1" w14:textId="6F1FFD0E" w:rsidR="00A87AA6" w:rsidRPr="00425B87" w:rsidRDefault="00A87AA6" w:rsidP="00C3235C">
      <w:pPr>
        <w:pStyle w:val="Heading2"/>
        <w:numPr>
          <w:ilvl w:val="0"/>
          <w:numId w:val="0"/>
        </w:numPr>
        <w:spacing w:line="360" w:lineRule="auto"/>
      </w:pPr>
    </w:p>
    <w:p w14:paraId="3491B80B" w14:textId="77777777" w:rsidR="00671798" w:rsidRPr="00FD0E98" w:rsidRDefault="00FE18AC" w:rsidP="00C3235C">
      <w:pPr>
        <w:pStyle w:val="Heading1"/>
        <w:spacing w:after="120" w:line="360" w:lineRule="auto"/>
        <w:rPr>
          <w:sz w:val="28"/>
          <w:szCs w:val="28"/>
        </w:rPr>
      </w:pPr>
      <w:bookmarkStart w:id="13" w:name="_Toc368573031"/>
      <w:bookmarkStart w:id="14" w:name="_Toc160102203"/>
      <w:bookmarkEnd w:id="12"/>
      <w:r w:rsidRPr="00FD0E98">
        <w:rPr>
          <w:sz w:val="28"/>
          <w:szCs w:val="28"/>
        </w:rPr>
        <w:lastRenderedPageBreak/>
        <w:t>The requirement</w:t>
      </w:r>
      <w:bookmarkEnd w:id="13"/>
      <w:bookmarkEnd w:id="14"/>
    </w:p>
    <w:p w14:paraId="2888188D" w14:textId="52AB8445" w:rsidR="000F6941" w:rsidRPr="0050083C" w:rsidRDefault="000F6941" w:rsidP="00C3235C">
      <w:pPr>
        <w:pStyle w:val="BodyText"/>
        <w:spacing w:line="360" w:lineRule="auto"/>
        <w:rPr>
          <w:rFonts w:cs="Arial"/>
          <w:szCs w:val="22"/>
        </w:rPr>
      </w:pPr>
      <w:r w:rsidRPr="0050083C">
        <w:rPr>
          <w:rFonts w:cs="Arial"/>
          <w:szCs w:val="22"/>
        </w:rPr>
        <w:t xml:space="preserve">This section documents the decisions made for the inclusion or exclusion of data to be migrated for all relevant data sets. These datasets reflect the requirements and data migration capabilities of the Meditech Expanse system. The </w:t>
      </w:r>
      <w:r w:rsidR="008E7A79" w:rsidRPr="0050083C">
        <w:rPr>
          <w:rFonts w:cs="Arial"/>
          <w:szCs w:val="22"/>
        </w:rPr>
        <w:t>focus</w:t>
      </w:r>
      <w:r w:rsidRPr="0050083C">
        <w:rPr>
          <w:rFonts w:cs="Arial"/>
          <w:szCs w:val="22"/>
        </w:rPr>
        <w:t xml:space="preserve"> will be on agreeing a methodology that will allow activity for the same condition to be grouped into a pathway, the pathway type will either be reportable (RTT) or </w:t>
      </w:r>
      <w:r w:rsidR="008E7A79" w:rsidRPr="0050083C">
        <w:rPr>
          <w:rFonts w:cs="Arial"/>
          <w:szCs w:val="22"/>
        </w:rPr>
        <w:t>non-reportable</w:t>
      </w:r>
      <w:r w:rsidRPr="0050083C">
        <w:rPr>
          <w:rFonts w:cs="Arial"/>
          <w:szCs w:val="22"/>
        </w:rPr>
        <w:t xml:space="preserve"> (Non RTT) based on specific criteria. Pathways will need to be created for migration purposes for activity that is currently not categories as an RTT pathway.</w:t>
      </w:r>
    </w:p>
    <w:p w14:paraId="082299D1" w14:textId="77777777" w:rsidR="000F6941" w:rsidRPr="0050083C" w:rsidRDefault="000F6941" w:rsidP="00C3235C">
      <w:pPr>
        <w:pStyle w:val="BodyText"/>
        <w:spacing w:line="360" w:lineRule="auto"/>
        <w:rPr>
          <w:rFonts w:cs="Arial"/>
          <w:szCs w:val="22"/>
        </w:rPr>
      </w:pPr>
      <w:r w:rsidRPr="0050083C">
        <w:rPr>
          <w:rFonts w:cs="Arial"/>
          <w:szCs w:val="22"/>
        </w:rPr>
        <w:t>Meditech Expanse recommend a minimal migration scope, which is outlined below.</w:t>
      </w:r>
    </w:p>
    <w:tbl>
      <w:tblPr>
        <w:tblStyle w:val="TableGrid"/>
        <w:tblW w:w="9918" w:type="dxa"/>
        <w:tblLook w:val="04A0" w:firstRow="1" w:lastRow="0" w:firstColumn="1" w:lastColumn="0" w:noHBand="0" w:noVBand="1"/>
      </w:tblPr>
      <w:tblGrid>
        <w:gridCol w:w="2174"/>
        <w:gridCol w:w="1741"/>
        <w:gridCol w:w="3008"/>
        <w:gridCol w:w="2995"/>
      </w:tblGrid>
      <w:tr w:rsidR="000F6941" w:rsidRPr="0050083C" w14:paraId="573D6758" w14:textId="77777777" w:rsidTr="00796DF7">
        <w:trPr>
          <w:trHeight w:val="310"/>
        </w:trPr>
        <w:tc>
          <w:tcPr>
            <w:tcW w:w="2174" w:type="dxa"/>
            <w:hideMark/>
          </w:tcPr>
          <w:p w14:paraId="32738A11" w14:textId="77777777" w:rsidR="000F6941" w:rsidRPr="0050083C" w:rsidRDefault="000F6941" w:rsidP="00C3235C">
            <w:pPr>
              <w:pStyle w:val="BodyText"/>
              <w:spacing w:line="360" w:lineRule="auto"/>
              <w:jc w:val="left"/>
              <w:rPr>
                <w:rFonts w:cs="Arial"/>
                <w:b/>
                <w:bCs/>
                <w:szCs w:val="22"/>
              </w:rPr>
            </w:pPr>
            <w:bookmarkStart w:id="15" w:name="_Hlk152082264"/>
            <w:r w:rsidRPr="0050083C">
              <w:rPr>
                <w:rFonts w:cs="Arial"/>
                <w:b/>
                <w:bCs/>
                <w:szCs w:val="22"/>
              </w:rPr>
              <w:t>Migration Area</w:t>
            </w:r>
          </w:p>
        </w:tc>
        <w:tc>
          <w:tcPr>
            <w:tcW w:w="1741" w:type="dxa"/>
            <w:hideMark/>
          </w:tcPr>
          <w:p w14:paraId="15848F49" w14:textId="77777777" w:rsidR="000F6941" w:rsidRPr="0050083C" w:rsidRDefault="000F6941" w:rsidP="00C3235C">
            <w:pPr>
              <w:pStyle w:val="BodyText"/>
              <w:spacing w:line="360" w:lineRule="auto"/>
              <w:jc w:val="left"/>
              <w:rPr>
                <w:rFonts w:cs="Arial"/>
                <w:b/>
                <w:bCs/>
                <w:szCs w:val="22"/>
              </w:rPr>
            </w:pPr>
            <w:r w:rsidRPr="0050083C">
              <w:rPr>
                <w:rFonts w:cs="Arial"/>
                <w:b/>
                <w:bCs/>
                <w:szCs w:val="22"/>
              </w:rPr>
              <w:t>Approach</w:t>
            </w:r>
          </w:p>
        </w:tc>
        <w:tc>
          <w:tcPr>
            <w:tcW w:w="3008" w:type="dxa"/>
            <w:hideMark/>
          </w:tcPr>
          <w:p w14:paraId="1979A695" w14:textId="77777777" w:rsidR="000F6941" w:rsidRPr="0050083C" w:rsidRDefault="000F6941" w:rsidP="00C3235C">
            <w:pPr>
              <w:pStyle w:val="BodyText"/>
              <w:spacing w:line="360" w:lineRule="auto"/>
              <w:jc w:val="left"/>
              <w:rPr>
                <w:rFonts w:cs="Arial"/>
                <w:b/>
                <w:bCs/>
                <w:szCs w:val="22"/>
              </w:rPr>
            </w:pPr>
            <w:r w:rsidRPr="0050083C">
              <w:rPr>
                <w:rFonts w:cs="Arial"/>
                <w:b/>
                <w:bCs/>
                <w:szCs w:val="22"/>
              </w:rPr>
              <w:t>Description</w:t>
            </w:r>
          </w:p>
        </w:tc>
        <w:tc>
          <w:tcPr>
            <w:tcW w:w="2995" w:type="dxa"/>
            <w:hideMark/>
          </w:tcPr>
          <w:p w14:paraId="6AF86B68" w14:textId="77777777" w:rsidR="000F6941" w:rsidRPr="0050083C" w:rsidRDefault="000F6941" w:rsidP="00C3235C">
            <w:pPr>
              <w:pStyle w:val="BodyText"/>
              <w:spacing w:line="360" w:lineRule="auto"/>
              <w:jc w:val="left"/>
              <w:rPr>
                <w:rFonts w:cs="Arial"/>
                <w:b/>
                <w:bCs/>
                <w:szCs w:val="22"/>
              </w:rPr>
            </w:pPr>
            <w:r w:rsidRPr="0050083C">
              <w:rPr>
                <w:rFonts w:cs="Arial"/>
                <w:b/>
                <w:bCs/>
                <w:szCs w:val="22"/>
              </w:rPr>
              <w:t>Comment</w:t>
            </w:r>
          </w:p>
        </w:tc>
      </w:tr>
      <w:tr w:rsidR="000F6941" w:rsidRPr="0050083C" w14:paraId="505FAFB3" w14:textId="77777777" w:rsidTr="00796DF7">
        <w:trPr>
          <w:trHeight w:val="580"/>
        </w:trPr>
        <w:tc>
          <w:tcPr>
            <w:tcW w:w="2174" w:type="dxa"/>
            <w:hideMark/>
          </w:tcPr>
          <w:p w14:paraId="69B290D4" w14:textId="77777777" w:rsidR="000F6941" w:rsidRPr="0050083C" w:rsidRDefault="000F6941" w:rsidP="00C3235C">
            <w:pPr>
              <w:pStyle w:val="BodyText"/>
              <w:spacing w:line="360" w:lineRule="auto"/>
              <w:jc w:val="left"/>
              <w:rPr>
                <w:rFonts w:cs="Arial"/>
                <w:b/>
                <w:bCs/>
                <w:szCs w:val="22"/>
              </w:rPr>
            </w:pPr>
            <w:r w:rsidRPr="0050083C">
              <w:rPr>
                <w:rFonts w:cs="Arial"/>
                <w:b/>
                <w:bCs/>
                <w:szCs w:val="22"/>
              </w:rPr>
              <w:t>Master Patient Index/Patient Demographics</w:t>
            </w:r>
          </w:p>
        </w:tc>
        <w:tc>
          <w:tcPr>
            <w:tcW w:w="1741" w:type="dxa"/>
            <w:hideMark/>
          </w:tcPr>
          <w:p w14:paraId="026B0A82" w14:textId="77777777" w:rsidR="000F6941" w:rsidRPr="0050083C" w:rsidRDefault="000F6941" w:rsidP="00C3235C">
            <w:pPr>
              <w:pStyle w:val="BodyText"/>
              <w:spacing w:line="360" w:lineRule="auto"/>
              <w:jc w:val="left"/>
              <w:rPr>
                <w:rFonts w:cs="Arial"/>
                <w:szCs w:val="22"/>
              </w:rPr>
            </w:pPr>
            <w:r w:rsidRPr="0050083C">
              <w:rPr>
                <w:rFonts w:cs="Arial"/>
                <w:szCs w:val="22"/>
              </w:rPr>
              <w:t>Data Extract and Standard Load</w:t>
            </w:r>
          </w:p>
        </w:tc>
        <w:tc>
          <w:tcPr>
            <w:tcW w:w="3008" w:type="dxa"/>
            <w:hideMark/>
          </w:tcPr>
          <w:p w14:paraId="5F7EC982" w14:textId="77777777" w:rsidR="000F6941" w:rsidRPr="0050083C" w:rsidRDefault="000F6941" w:rsidP="00C3235C">
            <w:pPr>
              <w:pStyle w:val="BodyText"/>
              <w:spacing w:line="360" w:lineRule="auto"/>
              <w:jc w:val="left"/>
              <w:rPr>
                <w:rFonts w:cs="Arial"/>
                <w:szCs w:val="22"/>
              </w:rPr>
            </w:pPr>
            <w:r w:rsidRPr="0050083C">
              <w:rPr>
                <w:rFonts w:cs="Arial"/>
                <w:szCs w:val="22"/>
              </w:rPr>
              <w:t>A full MPI and demographic migration.</w:t>
            </w:r>
          </w:p>
        </w:tc>
        <w:tc>
          <w:tcPr>
            <w:tcW w:w="2995" w:type="dxa"/>
            <w:hideMark/>
          </w:tcPr>
          <w:p w14:paraId="1E05677C" w14:textId="77777777" w:rsidR="000F6941" w:rsidRPr="0050083C" w:rsidRDefault="000F6941" w:rsidP="00C3235C">
            <w:pPr>
              <w:pStyle w:val="BodyText"/>
              <w:spacing w:line="360" w:lineRule="auto"/>
              <w:jc w:val="left"/>
              <w:rPr>
                <w:rFonts w:cs="Arial"/>
                <w:szCs w:val="22"/>
              </w:rPr>
            </w:pPr>
            <w:r w:rsidRPr="0050083C">
              <w:rPr>
                <w:rFonts w:cs="Arial"/>
                <w:szCs w:val="22"/>
              </w:rPr>
              <w:t>Pre merge work across all 3 trusts must be completed to support this. Exclusions to be defined and agreed.</w:t>
            </w:r>
          </w:p>
        </w:tc>
      </w:tr>
      <w:tr w:rsidR="000F6941" w:rsidRPr="0050083C" w14:paraId="2FF2B421" w14:textId="77777777" w:rsidTr="00796DF7">
        <w:trPr>
          <w:trHeight w:val="580"/>
        </w:trPr>
        <w:tc>
          <w:tcPr>
            <w:tcW w:w="2174" w:type="dxa"/>
            <w:hideMark/>
          </w:tcPr>
          <w:p w14:paraId="01E453F4" w14:textId="77777777" w:rsidR="000F6941" w:rsidRPr="0050083C" w:rsidRDefault="000F6941" w:rsidP="00C3235C">
            <w:pPr>
              <w:pStyle w:val="BodyText"/>
              <w:spacing w:line="360" w:lineRule="auto"/>
              <w:jc w:val="left"/>
              <w:rPr>
                <w:rFonts w:cs="Arial"/>
                <w:b/>
                <w:bCs/>
                <w:szCs w:val="22"/>
              </w:rPr>
            </w:pPr>
            <w:r w:rsidRPr="0050083C">
              <w:rPr>
                <w:rFonts w:cs="Arial"/>
                <w:b/>
                <w:bCs/>
                <w:szCs w:val="22"/>
              </w:rPr>
              <w:t>Current Active Patient Activity</w:t>
            </w:r>
          </w:p>
        </w:tc>
        <w:tc>
          <w:tcPr>
            <w:tcW w:w="1741" w:type="dxa"/>
            <w:hideMark/>
          </w:tcPr>
          <w:p w14:paraId="2F7556AA" w14:textId="77777777" w:rsidR="000F6941" w:rsidRPr="0050083C" w:rsidRDefault="000F6941" w:rsidP="00C3235C">
            <w:pPr>
              <w:pStyle w:val="BodyText"/>
              <w:spacing w:line="360" w:lineRule="auto"/>
              <w:jc w:val="left"/>
              <w:rPr>
                <w:rFonts w:cs="Arial"/>
                <w:b/>
                <w:bCs/>
                <w:szCs w:val="22"/>
              </w:rPr>
            </w:pPr>
          </w:p>
        </w:tc>
        <w:tc>
          <w:tcPr>
            <w:tcW w:w="3008" w:type="dxa"/>
            <w:hideMark/>
          </w:tcPr>
          <w:p w14:paraId="438A72E1" w14:textId="77777777" w:rsidR="000F6941" w:rsidRPr="0050083C" w:rsidRDefault="000F6941" w:rsidP="00C3235C">
            <w:pPr>
              <w:pStyle w:val="BodyText"/>
              <w:spacing w:line="360" w:lineRule="auto"/>
              <w:jc w:val="left"/>
              <w:rPr>
                <w:rFonts w:cs="Arial"/>
                <w:szCs w:val="22"/>
              </w:rPr>
            </w:pPr>
            <w:r w:rsidRPr="0050083C">
              <w:rPr>
                <w:rFonts w:cs="Arial"/>
                <w:szCs w:val="22"/>
              </w:rPr>
              <w:t>Future activity for all ongoing and scheduled inpatient and outpatient activity.</w:t>
            </w:r>
          </w:p>
        </w:tc>
        <w:tc>
          <w:tcPr>
            <w:tcW w:w="2995" w:type="dxa"/>
            <w:hideMark/>
          </w:tcPr>
          <w:p w14:paraId="3165F848" w14:textId="77777777" w:rsidR="000F6941" w:rsidRPr="0050083C" w:rsidRDefault="000F6941" w:rsidP="00C3235C">
            <w:pPr>
              <w:pStyle w:val="BodyText"/>
              <w:spacing w:line="360" w:lineRule="auto"/>
              <w:jc w:val="left"/>
              <w:rPr>
                <w:rFonts w:cs="Arial"/>
                <w:szCs w:val="22"/>
              </w:rPr>
            </w:pPr>
          </w:p>
        </w:tc>
      </w:tr>
      <w:tr w:rsidR="000F6941" w:rsidRPr="0050083C" w14:paraId="5783D30D" w14:textId="77777777" w:rsidTr="00796DF7">
        <w:trPr>
          <w:trHeight w:val="580"/>
        </w:trPr>
        <w:tc>
          <w:tcPr>
            <w:tcW w:w="2174" w:type="dxa"/>
            <w:hideMark/>
          </w:tcPr>
          <w:p w14:paraId="0CF524E4" w14:textId="77777777" w:rsidR="000F6941" w:rsidRPr="0050083C" w:rsidRDefault="000F6941" w:rsidP="00C3235C">
            <w:pPr>
              <w:pStyle w:val="BodyText"/>
              <w:spacing w:line="360" w:lineRule="auto"/>
              <w:jc w:val="left"/>
              <w:rPr>
                <w:rFonts w:cs="Arial"/>
                <w:szCs w:val="22"/>
              </w:rPr>
            </w:pPr>
            <w:r w:rsidRPr="0050083C">
              <w:rPr>
                <w:rFonts w:cs="Arial"/>
                <w:szCs w:val="22"/>
              </w:rPr>
              <w:t>● Future appointments</w:t>
            </w:r>
          </w:p>
        </w:tc>
        <w:tc>
          <w:tcPr>
            <w:tcW w:w="1741" w:type="dxa"/>
            <w:hideMark/>
          </w:tcPr>
          <w:p w14:paraId="3394FC92" w14:textId="77777777" w:rsidR="000F6941" w:rsidRPr="0050083C" w:rsidRDefault="000F6941" w:rsidP="00C3235C">
            <w:pPr>
              <w:pStyle w:val="BodyText"/>
              <w:spacing w:line="360" w:lineRule="auto"/>
              <w:jc w:val="left"/>
              <w:rPr>
                <w:rFonts w:cs="Arial"/>
                <w:szCs w:val="22"/>
              </w:rPr>
            </w:pPr>
            <w:r w:rsidRPr="0050083C">
              <w:rPr>
                <w:rFonts w:cs="Arial"/>
                <w:szCs w:val="22"/>
              </w:rPr>
              <w:t>Data Extract and Standard Load</w:t>
            </w:r>
          </w:p>
        </w:tc>
        <w:tc>
          <w:tcPr>
            <w:tcW w:w="3008" w:type="dxa"/>
            <w:hideMark/>
          </w:tcPr>
          <w:p w14:paraId="75AA3A4A" w14:textId="77777777" w:rsidR="000F6941" w:rsidRPr="0050083C" w:rsidRDefault="000F6941" w:rsidP="00C3235C">
            <w:pPr>
              <w:pStyle w:val="BodyText"/>
              <w:spacing w:line="360" w:lineRule="auto"/>
              <w:jc w:val="left"/>
              <w:rPr>
                <w:rFonts w:cs="Arial"/>
                <w:szCs w:val="22"/>
              </w:rPr>
            </w:pPr>
          </w:p>
        </w:tc>
        <w:tc>
          <w:tcPr>
            <w:tcW w:w="2995" w:type="dxa"/>
            <w:hideMark/>
          </w:tcPr>
          <w:p w14:paraId="1E8B0D24" w14:textId="6C756070" w:rsidR="000F6941" w:rsidRPr="0050083C" w:rsidRDefault="000F6941" w:rsidP="00C3235C">
            <w:pPr>
              <w:pStyle w:val="BodyText"/>
              <w:spacing w:line="360" w:lineRule="auto"/>
              <w:jc w:val="left"/>
              <w:rPr>
                <w:rFonts w:cs="Arial"/>
                <w:szCs w:val="22"/>
              </w:rPr>
            </w:pPr>
            <w:r w:rsidRPr="0050083C">
              <w:rPr>
                <w:rFonts w:cs="Arial"/>
                <w:szCs w:val="22"/>
              </w:rPr>
              <w:t xml:space="preserve">Future clinic build </w:t>
            </w:r>
            <w:r w:rsidR="008E7A79" w:rsidRPr="0050083C">
              <w:rPr>
                <w:rFonts w:cs="Arial"/>
                <w:szCs w:val="22"/>
              </w:rPr>
              <w:t>must</w:t>
            </w:r>
            <w:r w:rsidRPr="0050083C">
              <w:rPr>
                <w:rFonts w:cs="Arial"/>
                <w:szCs w:val="22"/>
              </w:rPr>
              <w:t xml:space="preserve"> take place before the future appointments can be migrated.</w:t>
            </w:r>
          </w:p>
        </w:tc>
      </w:tr>
      <w:tr w:rsidR="000F6941" w:rsidRPr="0050083C" w14:paraId="1E4589E3" w14:textId="77777777" w:rsidTr="00796DF7">
        <w:trPr>
          <w:trHeight w:val="580"/>
        </w:trPr>
        <w:tc>
          <w:tcPr>
            <w:tcW w:w="2174" w:type="dxa"/>
            <w:hideMark/>
          </w:tcPr>
          <w:p w14:paraId="774483AB" w14:textId="77777777" w:rsidR="000F6941" w:rsidRPr="0050083C" w:rsidRDefault="000F6941" w:rsidP="00C3235C">
            <w:pPr>
              <w:pStyle w:val="BodyText"/>
              <w:spacing w:line="360" w:lineRule="auto"/>
              <w:jc w:val="left"/>
              <w:rPr>
                <w:rFonts w:cs="Arial"/>
                <w:szCs w:val="22"/>
              </w:rPr>
            </w:pPr>
            <w:r w:rsidRPr="0050083C">
              <w:rPr>
                <w:rFonts w:cs="Arial"/>
                <w:szCs w:val="22"/>
              </w:rPr>
              <w:t>● Active Referral &amp; Pathways</w:t>
            </w:r>
          </w:p>
        </w:tc>
        <w:tc>
          <w:tcPr>
            <w:tcW w:w="1741" w:type="dxa"/>
            <w:hideMark/>
          </w:tcPr>
          <w:p w14:paraId="1A7C312F" w14:textId="77777777" w:rsidR="000F6941" w:rsidRPr="0050083C" w:rsidRDefault="000F6941" w:rsidP="00C3235C">
            <w:pPr>
              <w:pStyle w:val="BodyText"/>
              <w:spacing w:line="360" w:lineRule="auto"/>
              <w:jc w:val="left"/>
              <w:rPr>
                <w:rFonts w:cs="Arial"/>
                <w:szCs w:val="22"/>
              </w:rPr>
            </w:pPr>
            <w:r w:rsidRPr="0050083C">
              <w:rPr>
                <w:rFonts w:cs="Arial"/>
                <w:szCs w:val="22"/>
              </w:rPr>
              <w:t>Data Extract and Standard Load</w:t>
            </w:r>
          </w:p>
        </w:tc>
        <w:tc>
          <w:tcPr>
            <w:tcW w:w="3008" w:type="dxa"/>
            <w:hideMark/>
          </w:tcPr>
          <w:p w14:paraId="29778781" w14:textId="77777777" w:rsidR="000F6941" w:rsidRPr="0050083C" w:rsidRDefault="000F6941" w:rsidP="00C3235C">
            <w:pPr>
              <w:pStyle w:val="BodyText"/>
              <w:spacing w:line="360" w:lineRule="auto"/>
              <w:jc w:val="left"/>
              <w:rPr>
                <w:rFonts w:cs="Arial"/>
                <w:szCs w:val="22"/>
              </w:rPr>
            </w:pPr>
          </w:p>
        </w:tc>
        <w:tc>
          <w:tcPr>
            <w:tcW w:w="2995" w:type="dxa"/>
            <w:hideMark/>
          </w:tcPr>
          <w:p w14:paraId="699638E0" w14:textId="2F7A800F" w:rsidR="000F6941" w:rsidRPr="0050083C" w:rsidRDefault="000F6941" w:rsidP="00C3235C">
            <w:pPr>
              <w:pStyle w:val="BodyText"/>
              <w:spacing w:line="360" w:lineRule="auto"/>
              <w:jc w:val="left"/>
              <w:rPr>
                <w:rFonts w:cs="Arial"/>
                <w:szCs w:val="22"/>
              </w:rPr>
            </w:pPr>
            <w:r w:rsidRPr="0050083C">
              <w:rPr>
                <w:rFonts w:cs="Arial"/>
                <w:szCs w:val="22"/>
              </w:rPr>
              <w:t xml:space="preserve">Need to agree how to manage non RTT and </w:t>
            </w:r>
            <w:r w:rsidR="008E7A79" w:rsidRPr="0050083C">
              <w:rPr>
                <w:rFonts w:cs="Arial"/>
                <w:szCs w:val="22"/>
              </w:rPr>
              <w:t>non-elective</w:t>
            </w:r>
            <w:r w:rsidRPr="0050083C">
              <w:rPr>
                <w:rFonts w:cs="Arial"/>
                <w:szCs w:val="22"/>
              </w:rPr>
              <w:t xml:space="preserve"> pathways.</w:t>
            </w:r>
          </w:p>
          <w:p w14:paraId="4310E17C" w14:textId="64E73E54" w:rsidR="000F6941" w:rsidRPr="0050083C" w:rsidRDefault="000F6941" w:rsidP="00C3235C">
            <w:pPr>
              <w:pStyle w:val="BodyText"/>
              <w:spacing w:line="360" w:lineRule="auto"/>
              <w:jc w:val="left"/>
              <w:rPr>
                <w:rFonts w:cs="Arial"/>
                <w:szCs w:val="22"/>
              </w:rPr>
            </w:pPr>
            <w:r w:rsidRPr="0050083C">
              <w:rPr>
                <w:rFonts w:cs="Arial"/>
                <w:szCs w:val="22"/>
              </w:rPr>
              <w:t xml:space="preserve">Significant </w:t>
            </w:r>
            <w:r w:rsidR="008E7A79" w:rsidRPr="0050083C">
              <w:rPr>
                <w:rFonts w:cs="Arial"/>
                <w:szCs w:val="22"/>
              </w:rPr>
              <w:t>clean-up</w:t>
            </w:r>
            <w:r w:rsidRPr="0050083C">
              <w:rPr>
                <w:rFonts w:cs="Arial"/>
                <w:szCs w:val="22"/>
              </w:rPr>
              <w:t xml:space="preserve"> of open referrals is required.</w:t>
            </w:r>
          </w:p>
          <w:p w14:paraId="79A73267" w14:textId="77777777" w:rsidR="000F6941" w:rsidRPr="0050083C" w:rsidRDefault="000F6941" w:rsidP="00C3235C">
            <w:pPr>
              <w:pStyle w:val="BodyText"/>
              <w:spacing w:line="360" w:lineRule="auto"/>
              <w:jc w:val="left"/>
              <w:rPr>
                <w:rFonts w:cs="Arial"/>
                <w:szCs w:val="22"/>
              </w:rPr>
            </w:pPr>
            <w:r w:rsidRPr="0050083C">
              <w:rPr>
                <w:rFonts w:cs="Arial"/>
                <w:szCs w:val="22"/>
              </w:rPr>
              <w:t>Includes eReferrals.</w:t>
            </w:r>
          </w:p>
        </w:tc>
      </w:tr>
      <w:tr w:rsidR="000F6941" w:rsidRPr="0050083C" w14:paraId="6C6BE638" w14:textId="77777777" w:rsidTr="00796DF7">
        <w:trPr>
          <w:trHeight w:val="870"/>
        </w:trPr>
        <w:tc>
          <w:tcPr>
            <w:tcW w:w="2174" w:type="dxa"/>
            <w:hideMark/>
          </w:tcPr>
          <w:p w14:paraId="6CC795AA" w14:textId="71F128D3" w:rsidR="000F6941" w:rsidRPr="0050083C" w:rsidRDefault="000F6941" w:rsidP="00C3235C">
            <w:pPr>
              <w:pStyle w:val="BodyText"/>
              <w:spacing w:line="360" w:lineRule="auto"/>
              <w:jc w:val="left"/>
              <w:rPr>
                <w:rFonts w:cs="Arial"/>
                <w:szCs w:val="22"/>
              </w:rPr>
            </w:pPr>
            <w:r w:rsidRPr="0050083C">
              <w:rPr>
                <w:rFonts w:cs="Arial"/>
                <w:szCs w:val="22"/>
              </w:rPr>
              <w:t xml:space="preserve">● Inpatient waiting lists (Surgical and </w:t>
            </w:r>
            <w:r w:rsidR="008E7A79" w:rsidRPr="0050083C">
              <w:rPr>
                <w:rFonts w:cs="Arial"/>
                <w:szCs w:val="22"/>
              </w:rPr>
              <w:t>non-surgical</w:t>
            </w:r>
            <w:r w:rsidRPr="0050083C">
              <w:rPr>
                <w:rFonts w:cs="Arial"/>
                <w:szCs w:val="22"/>
              </w:rPr>
              <w:t>)</w:t>
            </w:r>
          </w:p>
        </w:tc>
        <w:tc>
          <w:tcPr>
            <w:tcW w:w="1741" w:type="dxa"/>
            <w:hideMark/>
          </w:tcPr>
          <w:p w14:paraId="3FC5908C" w14:textId="77777777" w:rsidR="000F6941" w:rsidRPr="0050083C" w:rsidRDefault="000F6941" w:rsidP="00C3235C">
            <w:pPr>
              <w:pStyle w:val="BodyText"/>
              <w:spacing w:line="360" w:lineRule="auto"/>
              <w:jc w:val="left"/>
              <w:rPr>
                <w:rFonts w:cs="Arial"/>
                <w:szCs w:val="22"/>
              </w:rPr>
            </w:pPr>
            <w:r w:rsidRPr="0050083C">
              <w:rPr>
                <w:rFonts w:cs="Arial"/>
                <w:szCs w:val="22"/>
              </w:rPr>
              <w:t>Data Extract and Standard Load</w:t>
            </w:r>
          </w:p>
        </w:tc>
        <w:tc>
          <w:tcPr>
            <w:tcW w:w="3008" w:type="dxa"/>
            <w:hideMark/>
          </w:tcPr>
          <w:p w14:paraId="19471305" w14:textId="77777777" w:rsidR="000F6941" w:rsidRPr="0050083C" w:rsidRDefault="000F6941" w:rsidP="00C3235C">
            <w:pPr>
              <w:pStyle w:val="BodyText"/>
              <w:spacing w:line="360" w:lineRule="auto"/>
              <w:jc w:val="left"/>
              <w:rPr>
                <w:rFonts w:cs="Arial"/>
                <w:szCs w:val="22"/>
              </w:rPr>
            </w:pPr>
          </w:p>
        </w:tc>
        <w:tc>
          <w:tcPr>
            <w:tcW w:w="2995" w:type="dxa"/>
            <w:hideMark/>
          </w:tcPr>
          <w:p w14:paraId="56B15738" w14:textId="05AF41F3" w:rsidR="000F6941" w:rsidRPr="0050083C" w:rsidRDefault="00362355" w:rsidP="00C3235C">
            <w:pPr>
              <w:pStyle w:val="BodyText"/>
              <w:spacing w:line="360" w:lineRule="auto"/>
              <w:jc w:val="left"/>
              <w:rPr>
                <w:rFonts w:cs="Arial"/>
                <w:szCs w:val="22"/>
              </w:rPr>
            </w:pPr>
            <w:r w:rsidRPr="0050083C">
              <w:rPr>
                <w:rFonts w:cs="Arial"/>
                <w:szCs w:val="22"/>
              </w:rPr>
              <w:t>Details to be provided how t</w:t>
            </w:r>
            <w:r w:rsidR="000F6941" w:rsidRPr="0050083C">
              <w:rPr>
                <w:rFonts w:cs="Arial"/>
                <w:szCs w:val="22"/>
              </w:rPr>
              <w:t xml:space="preserve">he different types of inpatient waiting lists are </w:t>
            </w:r>
            <w:r w:rsidR="000F6941" w:rsidRPr="0050083C">
              <w:rPr>
                <w:rFonts w:cs="Arial"/>
                <w:szCs w:val="22"/>
              </w:rPr>
              <w:lastRenderedPageBreak/>
              <w:t>managed</w:t>
            </w:r>
            <w:r w:rsidRPr="0050083C">
              <w:rPr>
                <w:rFonts w:cs="Arial"/>
                <w:szCs w:val="22"/>
              </w:rPr>
              <w:t xml:space="preserve"> within Meditech Expanse</w:t>
            </w:r>
            <w:r w:rsidR="000F6941" w:rsidRPr="0050083C">
              <w:rPr>
                <w:rFonts w:cs="Arial"/>
                <w:szCs w:val="22"/>
              </w:rPr>
              <w:t>.</w:t>
            </w:r>
          </w:p>
        </w:tc>
      </w:tr>
      <w:tr w:rsidR="000F6941" w:rsidRPr="0050083C" w14:paraId="369B5B68" w14:textId="77777777" w:rsidTr="00796DF7">
        <w:trPr>
          <w:trHeight w:val="580"/>
        </w:trPr>
        <w:tc>
          <w:tcPr>
            <w:tcW w:w="2174" w:type="dxa"/>
            <w:hideMark/>
          </w:tcPr>
          <w:p w14:paraId="026BDB3F" w14:textId="77777777" w:rsidR="000F6941" w:rsidRPr="0050083C" w:rsidRDefault="000F6941" w:rsidP="00C3235C">
            <w:pPr>
              <w:pStyle w:val="BodyText"/>
              <w:spacing w:line="360" w:lineRule="auto"/>
              <w:jc w:val="left"/>
              <w:rPr>
                <w:rFonts w:cs="Arial"/>
                <w:szCs w:val="22"/>
              </w:rPr>
            </w:pPr>
            <w:r w:rsidRPr="0050083C">
              <w:rPr>
                <w:rFonts w:cs="Arial"/>
                <w:szCs w:val="22"/>
              </w:rPr>
              <w:lastRenderedPageBreak/>
              <w:t>● Outpatient waiting lists</w:t>
            </w:r>
          </w:p>
        </w:tc>
        <w:tc>
          <w:tcPr>
            <w:tcW w:w="1741" w:type="dxa"/>
            <w:hideMark/>
          </w:tcPr>
          <w:p w14:paraId="7EC6BEC0" w14:textId="77777777" w:rsidR="000F6941" w:rsidRPr="0050083C" w:rsidRDefault="000F6941" w:rsidP="00C3235C">
            <w:pPr>
              <w:pStyle w:val="BodyText"/>
              <w:spacing w:line="360" w:lineRule="auto"/>
              <w:jc w:val="left"/>
              <w:rPr>
                <w:rFonts w:cs="Arial"/>
                <w:szCs w:val="22"/>
              </w:rPr>
            </w:pPr>
            <w:r w:rsidRPr="0050083C">
              <w:rPr>
                <w:rFonts w:cs="Arial"/>
                <w:szCs w:val="22"/>
              </w:rPr>
              <w:t>Data Extract and Standard Load</w:t>
            </w:r>
          </w:p>
        </w:tc>
        <w:tc>
          <w:tcPr>
            <w:tcW w:w="3008" w:type="dxa"/>
            <w:hideMark/>
          </w:tcPr>
          <w:p w14:paraId="2990B4CE" w14:textId="77777777" w:rsidR="000F6941" w:rsidRPr="0050083C" w:rsidRDefault="000F6941" w:rsidP="00C3235C">
            <w:pPr>
              <w:pStyle w:val="BodyText"/>
              <w:spacing w:line="360" w:lineRule="auto"/>
              <w:jc w:val="left"/>
              <w:rPr>
                <w:rFonts w:cs="Arial"/>
                <w:szCs w:val="22"/>
              </w:rPr>
            </w:pPr>
          </w:p>
        </w:tc>
        <w:tc>
          <w:tcPr>
            <w:tcW w:w="2995" w:type="dxa"/>
            <w:hideMark/>
          </w:tcPr>
          <w:p w14:paraId="2F75005A" w14:textId="77777777" w:rsidR="000F6941" w:rsidRPr="0050083C" w:rsidRDefault="000F6941" w:rsidP="00C3235C">
            <w:pPr>
              <w:pStyle w:val="BodyText"/>
              <w:spacing w:line="360" w:lineRule="auto"/>
              <w:jc w:val="left"/>
              <w:rPr>
                <w:rFonts w:cs="Arial"/>
                <w:szCs w:val="22"/>
              </w:rPr>
            </w:pPr>
            <w:r w:rsidRPr="0050083C">
              <w:rPr>
                <w:rFonts w:cs="Arial"/>
                <w:szCs w:val="22"/>
              </w:rPr>
              <w:t>Includes eReferrals.</w:t>
            </w:r>
          </w:p>
        </w:tc>
      </w:tr>
      <w:tr w:rsidR="000F6941" w:rsidRPr="0050083C" w14:paraId="7C85E6DD" w14:textId="77777777" w:rsidTr="00796DF7">
        <w:trPr>
          <w:trHeight w:val="580"/>
        </w:trPr>
        <w:tc>
          <w:tcPr>
            <w:tcW w:w="2174" w:type="dxa"/>
            <w:hideMark/>
          </w:tcPr>
          <w:p w14:paraId="010E6F0A" w14:textId="77777777" w:rsidR="000F6941" w:rsidRPr="0050083C" w:rsidRDefault="000F6941" w:rsidP="00C3235C">
            <w:pPr>
              <w:pStyle w:val="BodyText"/>
              <w:spacing w:line="360" w:lineRule="auto"/>
              <w:jc w:val="left"/>
              <w:rPr>
                <w:rFonts w:cs="Arial"/>
                <w:szCs w:val="22"/>
              </w:rPr>
            </w:pPr>
            <w:r w:rsidRPr="0050083C">
              <w:rPr>
                <w:rFonts w:cs="Arial"/>
                <w:szCs w:val="22"/>
              </w:rPr>
              <w:t>● Booked Theatres Procs</w:t>
            </w:r>
          </w:p>
        </w:tc>
        <w:tc>
          <w:tcPr>
            <w:tcW w:w="1741" w:type="dxa"/>
            <w:hideMark/>
          </w:tcPr>
          <w:p w14:paraId="21C68656" w14:textId="77777777" w:rsidR="000F6941" w:rsidRPr="0050083C" w:rsidRDefault="000F6941" w:rsidP="00C3235C">
            <w:pPr>
              <w:pStyle w:val="BodyText"/>
              <w:spacing w:line="360" w:lineRule="auto"/>
              <w:jc w:val="left"/>
              <w:rPr>
                <w:rFonts w:cs="Arial"/>
                <w:szCs w:val="22"/>
              </w:rPr>
            </w:pPr>
            <w:r w:rsidRPr="0050083C">
              <w:rPr>
                <w:rFonts w:cs="Arial"/>
                <w:szCs w:val="22"/>
              </w:rPr>
              <w:t>Data Extract and Standard Load</w:t>
            </w:r>
          </w:p>
        </w:tc>
        <w:tc>
          <w:tcPr>
            <w:tcW w:w="3008" w:type="dxa"/>
            <w:hideMark/>
          </w:tcPr>
          <w:p w14:paraId="581C5175" w14:textId="77777777" w:rsidR="000F6941" w:rsidRPr="0050083C" w:rsidRDefault="000F6941" w:rsidP="00C3235C">
            <w:pPr>
              <w:pStyle w:val="BodyText"/>
              <w:spacing w:line="360" w:lineRule="auto"/>
              <w:jc w:val="left"/>
              <w:rPr>
                <w:rFonts w:cs="Arial"/>
                <w:szCs w:val="22"/>
              </w:rPr>
            </w:pPr>
          </w:p>
        </w:tc>
        <w:tc>
          <w:tcPr>
            <w:tcW w:w="2995" w:type="dxa"/>
            <w:hideMark/>
          </w:tcPr>
          <w:p w14:paraId="516DCE08" w14:textId="6664CCA3" w:rsidR="000F6941" w:rsidRPr="0050083C" w:rsidRDefault="00362355" w:rsidP="00C3235C">
            <w:pPr>
              <w:pStyle w:val="BodyText"/>
              <w:spacing w:line="360" w:lineRule="auto"/>
              <w:jc w:val="left"/>
              <w:rPr>
                <w:rFonts w:cs="Arial"/>
                <w:szCs w:val="22"/>
              </w:rPr>
            </w:pPr>
            <w:r w:rsidRPr="0050083C">
              <w:rPr>
                <w:rFonts w:cs="Arial"/>
                <w:szCs w:val="22"/>
              </w:rPr>
              <w:t>Details to be provided how the different types of inpatient waiting lists are managed within Meditech Expanse</w:t>
            </w:r>
          </w:p>
        </w:tc>
      </w:tr>
      <w:tr w:rsidR="00B0775F" w:rsidRPr="0050083C" w14:paraId="52C516E4" w14:textId="77777777" w:rsidTr="00796DF7">
        <w:trPr>
          <w:trHeight w:val="580"/>
        </w:trPr>
        <w:tc>
          <w:tcPr>
            <w:tcW w:w="2174" w:type="dxa"/>
          </w:tcPr>
          <w:p w14:paraId="357C10BB" w14:textId="35D5E8C2" w:rsidR="00B0775F" w:rsidRPr="0050083C" w:rsidRDefault="00B0775F" w:rsidP="00C3235C">
            <w:pPr>
              <w:pStyle w:val="BodyText"/>
              <w:spacing w:line="360" w:lineRule="auto"/>
              <w:jc w:val="left"/>
              <w:rPr>
                <w:rFonts w:cs="Arial"/>
                <w:szCs w:val="22"/>
              </w:rPr>
            </w:pPr>
            <w:r w:rsidRPr="0050083C">
              <w:rPr>
                <w:rFonts w:cs="Arial"/>
                <w:szCs w:val="22"/>
              </w:rPr>
              <w:t>Casenote Tracking</w:t>
            </w:r>
          </w:p>
        </w:tc>
        <w:tc>
          <w:tcPr>
            <w:tcW w:w="1741" w:type="dxa"/>
          </w:tcPr>
          <w:p w14:paraId="739A96E5" w14:textId="73174A0D" w:rsidR="00B0775F" w:rsidRPr="0050083C" w:rsidRDefault="00B0775F" w:rsidP="00C3235C">
            <w:pPr>
              <w:pStyle w:val="BodyText"/>
              <w:spacing w:line="360" w:lineRule="auto"/>
              <w:jc w:val="left"/>
              <w:rPr>
                <w:rFonts w:cs="Arial"/>
                <w:szCs w:val="22"/>
              </w:rPr>
            </w:pPr>
            <w:r w:rsidRPr="0050083C">
              <w:rPr>
                <w:rFonts w:cs="Arial"/>
                <w:szCs w:val="22"/>
              </w:rPr>
              <w:t>Data Extract and Standard Load</w:t>
            </w:r>
          </w:p>
        </w:tc>
        <w:tc>
          <w:tcPr>
            <w:tcW w:w="3008" w:type="dxa"/>
          </w:tcPr>
          <w:p w14:paraId="0C9BBB8B" w14:textId="7804A0FE" w:rsidR="00B0775F" w:rsidRPr="0050083C" w:rsidRDefault="00B0775F" w:rsidP="00C3235C">
            <w:pPr>
              <w:pStyle w:val="BodyText"/>
              <w:spacing w:line="360" w:lineRule="auto"/>
              <w:jc w:val="left"/>
              <w:rPr>
                <w:rFonts w:cs="Arial"/>
                <w:szCs w:val="22"/>
              </w:rPr>
            </w:pPr>
            <w:r w:rsidRPr="0050083C">
              <w:rPr>
                <w:rFonts w:cs="Arial"/>
                <w:szCs w:val="22"/>
              </w:rPr>
              <w:t>Current paper casenote location</w:t>
            </w:r>
          </w:p>
        </w:tc>
        <w:tc>
          <w:tcPr>
            <w:tcW w:w="2995" w:type="dxa"/>
          </w:tcPr>
          <w:p w14:paraId="4D7669C9" w14:textId="7A144E16" w:rsidR="00B0775F" w:rsidRPr="0050083C" w:rsidRDefault="00B0775F" w:rsidP="00C3235C">
            <w:pPr>
              <w:pStyle w:val="BodyText"/>
              <w:spacing w:line="360" w:lineRule="auto"/>
              <w:jc w:val="left"/>
              <w:rPr>
                <w:rFonts w:cs="Arial"/>
                <w:szCs w:val="22"/>
              </w:rPr>
            </w:pPr>
            <w:r w:rsidRPr="0050083C">
              <w:rPr>
                <w:rFonts w:cs="Arial"/>
                <w:szCs w:val="22"/>
              </w:rPr>
              <w:t>Current location of casenotes and date</w:t>
            </w:r>
          </w:p>
        </w:tc>
      </w:tr>
      <w:tr w:rsidR="00B0775F" w:rsidRPr="0050083C" w14:paraId="25E9D3F6" w14:textId="77777777" w:rsidTr="00796DF7">
        <w:trPr>
          <w:trHeight w:val="290"/>
        </w:trPr>
        <w:tc>
          <w:tcPr>
            <w:tcW w:w="2174" w:type="dxa"/>
            <w:hideMark/>
          </w:tcPr>
          <w:p w14:paraId="37F6A3F2" w14:textId="77777777" w:rsidR="00B0775F" w:rsidRPr="0050083C" w:rsidRDefault="00B0775F" w:rsidP="00C3235C">
            <w:pPr>
              <w:pStyle w:val="BodyText"/>
              <w:spacing w:line="360" w:lineRule="auto"/>
              <w:jc w:val="left"/>
              <w:rPr>
                <w:rFonts w:cs="Arial"/>
                <w:b/>
                <w:bCs/>
                <w:szCs w:val="22"/>
              </w:rPr>
            </w:pPr>
            <w:r w:rsidRPr="0050083C">
              <w:rPr>
                <w:rFonts w:cs="Arial"/>
                <w:b/>
                <w:bCs/>
                <w:szCs w:val="22"/>
              </w:rPr>
              <w:t>Manual Migration</w:t>
            </w:r>
          </w:p>
        </w:tc>
        <w:tc>
          <w:tcPr>
            <w:tcW w:w="1741" w:type="dxa"/>
            <w:hideMark/>
          </w:tcPr>
          <w:p w14:paraId="0BFC57E7" w14:textId="77777777" w:rsidR="00B0775F" w:rsidRPr="0050083C" w:rsidRDefault="00B0775F" w:rsidP="00C3235C">
            <w:pPr>
              <w:pStyle w:val="BodyText"/>
              <w:spacing w:line="360" w:lineRule="auto"/>
              <w:jc w:val="left"/>
              <w:rPr>
                <w:rFonts w:cs="Arial"/>
                <w:b/>
                <w:bCs/>
                <w:szCs w:val="22"/>
              </w:rPr>
            </w:pPr>
          </w:p>
        </w:tc>
        <w:tc>
          <w:tcPr>
            <w:tcW w:w="3008" w:type="dxa"/>
            <w:hideMark/>
          </w:tcPr>
          <w:p w14:paraId="6AC4FC5A" w14:textId="77777777" w:rsidR="00B0775F" w:rsidRPr="0050083C" w:rsidRDefault="00B0775F" w:rsidP="00C3235C">
            <w:pPr>
              <w:pStyle w:val="BodyText"/>
              <w:spacing w:line="360" w:lineRule="auto"/>
              <w:jc w:val="left"/>
              <w:rPr>
                <w:rFonts w:cs="Arial"/>
                <w:szCs w:val="22"/>
              </w:rPr>
            </w:pPr>
          </w:p>
        </w:tc>
        <w:tc>
          <w:tcPr>
            <w:tcW w:w="2995" w:type="dxa"/>
            <w:hideMark/>
          </w:tcPr>
          <w:p w14:paraId="2211F4D2" w14:textId="77777777" w:rsidR="00B0775F" w:rsidRPr="0050083C" w:rsidRDefault="00B0775F" w:rsidP="00C3235C">
            <w:pPr>
              <w:pStyle w:val="BodyText"/>
              <w:spacing w:line="360" w:lineRule="auto"/>
              <w:jc w:val="left"/>
              <w:rPr>
                <w:rFonts w:cs="Arial"/>
                <w:szCs w:val="22"/>
              </w:rPr>
            </w:pPr>
          </w:p>
        </w:tc>
      </w:tr>
      <w:tr w:rsidR="00B0775F" w:rsidRPr="0050083C" w14:paraId="2F6F8BA5" w14:textId="77777777" w:rsidTr="00796DF7">
        <w:trPr>
          <w:trHeight w:val="290"/>
        </w:trPr>
        <w:tc>
          <w:tcPr>
            <w:tcW w:w="9918" w:type="dxa"/>
            <w:gridSpan w:val="4"/>
            <w:hideMark/>
          </w:tcPr>
          <w:p w14:paraId="16755CA3" w14:textId="77777777" w:rsidR="00B0775F" w:rsidRPr="0050083C" w:rsidRDefault="00B0775F" w:rsidP="00C3235C">
            <w:pPr>
              <w:pStyle w:val="BodyText"/>
              <w:spacing w:line="360" w:lineRule="auto"/>
              <w:rPr>
                <w:rFonts w:cs="Arial"/>
                <w:szCs w:val="22"/>
              </w:rPr>
            </w:pPr>
            <w:r w:rsidRPr="0050083C">
              <w:rPr>
                <w:rFonts w:cs="Arial"/>
                <w:szCs w:val="22"/>
              </w:rPr>
              <w:t>Current admitted patients</w:t>
            </w:r>
          </w:p>
        </w:tc>
      </w:tr>
      <w:tr w:rsidR="00B0775F" w:rsidRPr="0050083C" w14:paraId="547DE660" w14:textId="77777777" w:rsidTr="00796DF7">
        <w:trPr>
          <w:trHeight w:val="290"/>
        </w:trPr>
        <w:tc>
          <w:tcPr>
            <w:tcW w:w="9918" w:type="dxa"/>
            <w:gridSpan w:val="4"/>
          </w:tcPr>
          <w:p w14:paraId="654CF5C8" w14:textId="77777777" w:rsidR="00B0775F" w:rsidRPr="0050083C" w:rsidRDefault="00B0775F" w:rsidP="00C3235C">
            <w:pPr>
              <w:pStyle w:val="BodyText"/>
              <w:spacing w:line="360" w:lineRule="auto"/>
              <w:jc w:val="left"/>
              <w:rPr>
                <w:rFonts w:cs="Arial"/>
                <w:szCs w:val="22"/>
              </w:rPr>
            </w:pPr>
            <w:bookmarkStart w:id="16" w:name="_Hlk154584098"/>
            <w:r w:rsidRPr="0050083C">
              <w:rPr>
                <w:rFonts w:cs="Arial"/>
                <w:szCs w:val="22"/>
              </w:rPr>
              <w:t>Any clinically significant information for current active inpatients (for example current medications) will need to be manually transcribed during cutover.</w:t>
            </w:r>
            <w:bookmarkEnd w:id="16"/>
          </w:p>
        </w:tc>
      </w:tr>
      <w:tr w:rsidR="00B0775F" w:rsidRPr="0050083C" w14:paraId="5A5CA0E9" w14:textId="77777777" w:rsidTr="00796DF7">
        <w:trPr>
          <w:trHeight w:val="290"/>
        </w:trPr>
        <w:tc>
          <w:tcPr>
            <w:tcW w:w="9918" w:type="dxa"/>
            <w:gridSpan w:val="4"/>
          </w:tcPr>
          <w:p w14:paraId="307D84CE" w14:textId="1E8D2308" w:rsidR="00B0775F" w:rsidRPr="0050083C" w:rsidRDefault="00B0775F" w:rsidP="00C3235C">
            <w:pPr>
              <w:pStyle w:val="BodyText"/>
              <w:spacing w:line="360" w:lineRule="auto"/>
              <w:jc w:val="left"/>
              <w:rPr>
                <w:rFonts w:cs="Arial"/>
                <w:szCs w:val="22"/>
              </w:rPr>
            </w:pPr>
            <w:r w:rsidRPr="0050083C">
              <w:rPr>
                <w:rFonts w:cs="Arial"/>
                <w:szCs w:val="22"/>
              </w:rPr>
              <w:t>Current Accident &amp; Emergency attendances</w:t>
            </w:r>
          </w:p>
        </w:tc>
      </w:tr>
      <w:tr w:rsidR="007307B5" w:rsidRPr="0050083C" w14:paraId="3717F074" w14:textId="77777777" w:rsidTr="00796DF7">
        <w:trPr>
          <w:trHeight w:val="290"/>
        </w:trPr>
        <w:tc>
          <w:tcPr>
            <w:tcW w:w="9918" w:type="dxa"/>
            <w:gridSpan w:val="4"/>
          </w:tcPr>
          <w:p w14:paraId="50931EF8" w14:textId="54C07B83" w:rsidR="007307B5" w:rsidRPr="0050083C" w:rsidRDefault="007307B5" w:rsidP="00C3235C">
            <w:pPr>
              <w:pStyle w:val="BodyText"/>
              <w:spacing w:line="360" w:lineRule="auto"/>
              <w:jc w:val="left"/>
              <w:rPr>
                <w:rFonts w:cs="Arial"/>
                <w:szCs w:val="22"/>
              </w:rPr>
            </w:pPr>
            <w:r w:rsidRPr="007307B5">
              <w:rPr>
                <w:rFonts w:cs="Arial"/>
                <w:szCs w:val="22"/>
              </w:rPr>
              <w:t>Maternity – any priority clinical data that is required</w:t>
            </w:r>
          </w:p>
        </w:tc>
      </w:tr>
      <w:tr w:rsidR="00B0775F" w:rsidRPr="0050083C" w14:paraId="23FE9467" w14:textId="77777777" w:rsidTr="00796DF7">
        <w:trPr>
          <w:trHeight w:val="290"/>
        </w:trPr>
        <w:tc>
          <w:tcPr>
            <w:tcW w:w="2174" w:type="dxa"/>
            <w:hideMark/>
          </w:tcPr>
          <w:p w14:paraId="59EAD374" w14:textId="77777777" w:rsidR="00B0775F" w:rsidRPr="0050083C" w:rsidRDefault="00B0775F" w:rsidP="00C3235C">
            <w:pPr>
              <w:pStyle w:val="BodyText"/>
              <w:spacing w:line="360" w:lineRule="auto"/>
              <w:rPr>
                <w:rFonts w:cs="Arial"/>
                <w:b/>
                <w:bCs/>
                <w:szCs w:val="22"/>
              </w:rPr>
            </w:pPr>
            <w:r w:rsidRPr="0050083C">
              <w:rPr>
                <w:rFonts w:cs="Arial"/>
                <w:b/>
                <w:bCs/>
                <w:szCs w:val="22"/>
              </w:rPr>
              <w:t>Known Exclusions</w:t>
            </w:r>
          </w:p>
        </w:tc>
        <w:tc>
          <w:tcPr>
            <w:tcW w:w="1741" w:type="dxa"/>
            <w:hideMark/>
          </w:tcPr>
          <w:p w14:paraId="20BEFB55" w14:textId="77777777" w:rsidR="00B0775F" w:rsidRPr="0050083C" w:rsidRDefault="00B0775F" w:rsidP="00C3235C">
            <w:pPr>
              <w:pStyle w:val="BodyText"/>
              <w:spacing w:line="360" w:lineRule="auto"/>
              <w:rPr>
                <w:rFonts w:cs="Arial"/>
                <w:b/>
                <w:bCs/>
                <w:szCs w:val="22"/>
              </w:rPr>
            </w:pPr>
          </w:p>
        </w:tc>
        <w:tc>
          <w:tcPr>
            <w:tcW w:w="3008" w:type="dxa"/>
            <w:hideMark/>
          </w:tcPr>
          <w:p w14:paraId="59BCBED3" w14:textId="77777777" w:rsidR="00B0775F" w:rsidRPr="0050083C" w:rsidRDefault="00B0775F" w:rsidP="00C3235C">
            <w:pPr>
              <w:pStyle w:val="BodyText"/>
              <w:spacing w:line="360" w:lineRule="auto"/>
              <w:rPr>
                <w:rFonts w:cs="Arial"/>
                <w:szCs w:val="22"/>
              </w:rPr>
            </w:pPr>
          </w:p>
        </w:tc>
        <w:tc>
          <w:tcPr>
            <w:tcW w:w="2995" w:type="dxa"/>
            <w:hideMark/>
          </w:tcPr>
          <w:p w14:paraId="38F1816A" w14:textId="77777777" w:rsidR="00B0775F" w:rsidRPr="0050083C" w:rsidRDefault="00B0775F" w:rsidP="00C3235C">
            <w:pPr>
              <w:pStyle w:val="BodyText"/>
              <w:spacing w:line="360" w:lineRule="auto"/>
              <w:rPr>
                <w:rFonts w:cs="Arial"/>
                <w:szCs w:val="22"/>
              </w:rPr>
            </w:pPr>
          </w:p>
        </w:tc>
      </w:tr>
      <w:tr w:rsidR="00B0775F" w:rsidRPr="0050083C" w14:paraId="48315BF8" w14:textId="77777777" w:rsidTr="00796DF7">
        <w:trPr>
          <w:trHeight w:val="290"/>
        </w:trPr>
        <w:tc>
          <w:tcPr>
            <w:tcW w:w="9918" w:type="dxa"/>
            <w:gridSpan w:val="4"/>
            <w:noWrap/>
          </w:tcPr>
          <w:p w14:paraId="78900589" w14:textId="73C5A525" w:rsidR="00B0775F" w:rsidRPr="0050083C" w:rsidRDefault="00B0775F" w:rsidP="00C3235C">
            <w:pPr>
              <w:pStyle w:val="BodyText"/>
              <w:spacing w:line="360" w:lineRule="auto"/>
              <w:rPr>
                <w:rFonts w:cs="Arial"/>
                <w:szCs w:val="22"/>
              </w:rPr>
            </w:pPr>
            <w:r w:rsidRPr="0050083C">
              <w:rPr>
                <w:rFonts w:cs="Arial"/>
                <w:szCs w:val="22"/>
              </w:rPr>
              <w:t>Historical inpatient, outpatient and A&amp;E activity will not be migrated as this will be viewable through an in-context link and will be included in the archiving scope</w:t>
            </w:r>
          </w:p>
        </w:tc>
      </w:tr>
      <w:tr w:rsidR="00B0775F" w:rsidRPr="0050083C" w14:paraId="6D0DA8DF" w14:textId="77777777" w:rsidTr="00796DF7">
        <w:trPr>
          <w:trHeight w:val="690"/>
        </w:trPr>
        <w:tc>
          <w:tcPr>
            <w:tcW w:w="9918" w:type="dxa"/>
            <w:gridSpan w:val="4"/>
            <w:hideMark/>
          </w:tcPr>
          <w:p w14:paraId="28A21508" w14:textId="77777777" w:rsidR="00B0775F" w:rsidRPr="0050083C" w:rsidRDefault="00B0775F" w:rsidP="00C3235C">
            <w:pPr>
              <w:pStyle w:val="BodyText"/>
              <w:spacing w:line="360" w:lineRule="auto"/>
              <w:rPr>
                <w:rFonts w:cs="Arial"/>
                <w:szCs w:val="22"/>
              </w:rPr>
            </w:pPr>
            <w:r w:rsidRPr="0050083C">
              <w:rPr>
                <w:rFonts w:cs="Arial"/>
                <w:szCs w:val="22"/>
              </w:rPr>
              <w:t>Reference files such as locations, clinics are not migrated as the differences in data structures between systems make this ineffective. Should be incorporated into standards build.</w:t>
            </w:r>
          </w:p>
        </w:tc>
      </w:tr>
      <w:tr w:rsidR="00B0775F" w:rsidRPr="0050083C" w14:paraId="6B781805" w14:textId="77777777" w:rsidTr="00796DF7">
        <w:trPr>
          <w:trHeight w:val="740"/>
        </w:trPr>
        <w:tc>
          <w:tcPr>
            <w:tcW w:w="9918" w:type="dxa"/>
            <w:gridSpan w:val="4"/>
            <w:hideMark/>
          </w:tcPr>
          <w:p w14:paraId="40147277" w14:textId="440B860C" w:rsidR="00B0775F" w:rsidRPr="0050083C" w:rsidRDefault="00B0775F" w:rsidP="00C3235C">
            <w:pPr>
              <w:pStyle w:val="BodyText"/>
              <w:spacing w:line="360" w:lineRule="auto"/>
              <w:rPr>
                <w:rFonts w:cs="Arial"/>
                <w:szCs w:val="22"/>
              </w:rPr>
            </w:pPr>
            <w:r w:rsidRPr="0050083C">
              <w:rPr>
                <w:rFonts w:cs="Arial"/>
                <w:szCs w:val="22"/>
              </w:rPr>
              <w:t xml:space="preserve">Document templates (clinic letters, discharge summary etc.) are not migrated as they need to be built in Expanse in order to incorporate the full range of functionality available. </w:t>
            </w:r>
          </w:p>
        </w:tc>
      </w:tr>
      <w:bookmarkEnd w:id="15"/>
    </w:tbl>
    <w:p w14:paraId="793E5B05" w14:textId="77777777" w:rsidR="000F6941" w:rsidRPr="0050083C" w:rsidRDefault="000F6941" w:rsidP="00C3235C">
      <w:pPr>
        <w:pStyle w:val="BodyText"/>
        <w:spacing w:line="360" w:lineRule="auto"/>
        <w:rPr>
          <w:rFonts w:cs="Arial"/>
          <w:szCs w:val="22"/>
        </w:rPr>
      </w:pPr>
    </w:p>
    <w:p w14:paraId="5B23F1D1" w14:textId="77777777" w:rsidR="00F65163" w:rsidRPr="0050083C" w:rsidRDefault="00F65163" w:rsidP="00C3235C">
      <w:pPr>
        <w:spacing w:line="360" w:lineRule="auto"/>
        <w:jc w:val="both"/>
        <w:rPr>
          <w:rFonts w:cs="Arial"/>
          <w:szCs w:val="22"/>
        </w:rPr>
      </w:pPr>
    </w:p>
    <w:p w14:paraId="79D9E9FB" w14:textId="4478EDC5" w:rsidR="00F65163" w:rsidRPr="0050083C" w:rsidRDefault="001F178A" w:rsidP="00C3235C">
      <w:pPr>
        <w:pStyle w:val="Heading1"/>
        <w:spacing w:line="360" w:lineRule="auto"/>
      </w:pPr>
      <w:bookmarkStart w:id="17" w:name="_Toc160102204"/>
      <w:r>
        <w:lastRenderedPageBreak/>
        <w:t>PROCUREMENT DETAILS</w:t>
      </w:r>
      <w:bookmarkEnd w:id="17"/>
    </w:p>
    <w:p w14:paraId="1A21F7DF" w14:textId="77777777" w:rsidR="00830849" w:rsidRPr="00830849" w:rsidRDefault="00830849" w:rsidP="00C3235C">
      <w:pPr>
        <w:spacing w:line="360" w:lineRule="auto"/>
        <w:rPr>
          <w:rFonts w:cs="Arial"/>
          <w:szCs w:val="22"/>
        </w:rPr>
      </w:pPr>
      <w:r w:rsidRPr="00830849">
        <w:rPr>
          <w:rFonts w:cs="Arial"/>
          <w:szCs w:val="22"/>
        </w:rPr>
        <w:t xml:space="preserve">NWAHC intend to publish the invitation to tender (ITT) documents under the NHS London Procurement Partnership (LPP) </w:t>
      </w:r>
      <w:proofErr w:type="spellStart"/>
      <w:r w:rsidRPr="00830849">
        <w:rPr>
          <w:rFonts w:cs="Arial"/>
          <w:szCs w:val="22"/>
        </w:rPr>
        <w:t>OneLondon</w:t>
      </w:r>
      <w:proofErr w:type="spellEnd"/>
      <w:r w:rsidRPr="00830849">
        <w:rPr>
          <w:rFonts w:cs="Arial"/>
          <w:szCs w:val="22"/>
        </w:rPr>
        <w:t xml:space="preserve"> Local Health and Care Record Dynamic Purchasing System (DPS), using sub-category 1.3 Supporting Data Standards &amp; Normalisation, in April 2024.</w:t>
      </w:r>
    </w:p>
    <w:p w14:paraId="242EE2EE" w14:textId="77777777" w:rsidR="00830849" w:rsidRPr="00830849" w:rsidRDefault="00830849" w:rsidP="00C3235C">
      <w:pPr>
        <w:spacing w:line="360" w:lineRule="auto"/>
        <w:rPr>
          <w:rFonts w:cs="Arial"/>
          <w:szCs w:val="22"/>
        </w:rPr>
      </w:pPr>
    </w:p>
    <w:p w14:paraId="35C491CA" w14:textId="3B11C1D9" w:rsidR="00830849" w:rsidRPr="00830849" w:rsidRDefault="00830849" w:rsidP="00C3235C">
      <w:pPr>
        <w:spacing w:line="360" w:lineRule="auto"/>
        <w:rPr>
          <w:rFonts w:cs="Arial"/>
          <w:szCs w:val="22"/>
        </w:rPr>
      </w:pPr>
      <w:r w:rsidRPr="00830849">
        <w:rPr>
          <w:rFonts w:cs="Arial"/>
          <w:szCs w:val="22"/>
        </w:rPr>
        <w:t xml:space="preserve">If you would like to be invited to further competition, but are not presently awarded on to the DPS, you can apply to join by registering at - </w:t>
      </w:r>
      <w:hyperlink r:id="rId12" w:history="1">
        <w:r w:rsidRPr="005E7AF9">
          <w:rPr>
            <w:rStyle w:val="Hyperlink"/>
            <w:rFonts w:cs="Arial"/>
            <w:szCs w:val="22"/>
          </w:rPr>
          <w:t>www.lppsourcing.org</w:t>
        </w:r>
      </w:hyperlink>
      <w:r>
        <w:rPr>
          <w:rFonts w:cs="Arial"/>
          <w:szCs w:val="22"/>
        </w:rPr>
        <w:t xml:space="preserve"> </w:t>
      </w:r>
      <w:r w:rsidRPr="00830849">
        <w:rPr>
          <w:rFonts w:cs="Arial"/>
          <w:szCs w:val="22"/>
        </w:rPr>
        <w:t>and completing the online selection questionnaire (SQ).</w:t>
      </w:r>
    </w:p>
    <w:p w14:paraId="5119B73E" w14:textId="77777777" w:rsidR="00830849" w:rsidRPr="00830849" w:rsidRDefault="00830849" w:rsidP="00C3235C">
      <w:pPr>
        <w:spacing w:line="360" w:lineRule="auto"/>
        <w:rPr>
          <w:rFonts w:cs="Arial"/>
          <w:szCs w:val="22"/>
        </w:rPr>
      </w:pPr>
    </w:p>
    <w:p w14:paraId="62979C97" w14:textId="77777777" w:rsidR="00830849" w:rsidRPr="00830849" w:rsidRDefault="00830849" w:rsidP="00C3235C">
      <w:pPr>
        <w:spacing w:line="360" w:lineRule="auto"/>
        <w:rPr>
          <w:rFonts w:cs="Arial"/>
          <w:szCs w:val="22"/>
        </w:rPr>
      </w:pPr>
      <w:r w:rsidRPr="00830849">
        <w:rPr>
          <w:rFonts w:cs="Arial"/>
          <w:szCs w:val="22"/>
        </w:rPr>
        <w:t xml:space="preserve">Upon completion of the SQ a supplier will be accepted within 10 working days, unless applying for a newly added category where a </w:t>
      </w:r>
      <w:proofErr w:type="gramStart"/>
      <w:r w:rsidRPr="00830849">
        <w:rPr>
          <w:rFonts w:cs="Arial"/>
          <w:szCs w:val="22"/>
        </w:rPr>
        <w:t>30 day</w:t>
      </w:r>
      <w:proofErr w:type="gramEnd"/>
      <w:r w:rsidRPr="00830849">
        <w:rPr>
          <w:rFonts w:cs="Arial"/>
          <w:szCs w:val="22"/>
        </w:rPr>
        <w:t xml:space="preserve"> notice period is required before evaluation of apps takes place.</w:t>
      </w:r>
    </w:p>
    <w:p w14:paraId="6D5F293D" w14:textId="77777777" w:rsidR="00830849" w:rsidRPr="00830849" w:rsidRDefault="00830849" w:rsidP="00C3235C">
      <w:pPr>
        <w:spacing w:line="360" w:lineRule="auto"/>
        <w:rPr>
          <w:rFonts w:cs="Arial"/>
          <w:szCs w:val="22"/>
        </w:rPr>
      </w:pPr>
    </w:p>
    <w:p w14:paraId="76BE07F0" w14:textId="77777777" w:rsidR="00830849" w:rsidRPr="00830849" w:rsidRDefault="00830849" w:rsidP="00C3235C">
      <w:pPr>
        <w:spacing w:line="360" w:lineRule="auto"/>
        <w:rPr>
          <w:rFonts w:cs="Arial"/>
          <w:szCs w:val="22"/>
        </w:rPr>
      </w:pPr>
      <w:r w:rsidRPr="00830849">
        <w:rPr>
          <w:rFonts w:cs="Arial"/>
          <w:szCs w:val="22"/>
        </w:rPr>
        <w:t>NWAHC intend to hold supplier information days in March.</w:t>
      </w:r>
    </w:p>
    <w:p w14:paraId="00AB4CCE" w14:textId="737C2133" w:rsidR="001F178A" w:rsidRDefault="00830849" w:rsidP="00C3235C">
      <w:pPr>
        <w:spacing w:line="360" w:lineRule="auto"/>
        <w:rPr>
          <w:rFonts w:cs="Arial"/>
          <w:szCs w:val="22"/>
        </w:rPr>
      </w:pPr>
      <w:r w:rsidRPr="00830849">
        <w:rPr>
          <w:rFonts w:cs="Arial"/>
          <w:szCs w:val="22"/>
        </w:rPr>
        <w:t xml:space="preserve">Please contact </w:t>
      </w:r>
      <w:hyperlink r:id="rId13" w:history="1">
        <w:r w:rsidRPr="005E7AF9">
          <w:rPr>
            <w:rStyle w:val="Hyperlink"/>
            <w:rFonts w:cs="Arial"/>
            <w:szCs w:val="22"/>
          </w:rPr>
          <w:t>EPR-procurement@nnuh.nhs.uk</w:t>
        </w:r>
      </w:hyperlink>
      <w:r>
        <w:rPr>
          <w:rFonts w:cs="Arial"/>
          <w:szCs w:val="22"/>
        </w:rPr>
        <w:t xml:space="preserve"> </w:t>
      </w:r>
      <w:r w:rsidRPr="00830849">
        <w:rPr>
          <w:rFonts w:cs="Arial"/>
          <w:szCs w:val="22"/>
        </w:rPr>
        <w:t>for further details.</w:t>
      </w:r>
    </w:p>
    <w:p w14:paraId="7433FE82" w14:textId="77777777" w:rsidR="00830849" w:rsidRDefault="00830849" w:rsidP="00C3235C">
      <w:pPr>
        <w:spacing w:line="360" w:lineRule="auto"/>
        <w:rPr>
          <w:rFonts w:cs="Arial"/>
          <w:szCs w:val="22"/>
        </w:rPr>
      </w:pPr>
    </w:p>
    <w:p w14:paraId="168C6C98" w14:textId="46AE3D99" w:rsidR="002944AB" w:rsidRPr="0050083C" w:rsidRDefault="00710C3B" w:rsidP="00C3235C">
      <w:pPr>
        <w:spacing w:line="360" w:lineRule="auto"/>
        <w:rPr>
          <w:rFonts w:cs="Arial"/>
          <w:szCs w:val="22"/>
        </w:rPr>
      </w:pPr>
      <w:r w:rsidRPr="0050083C">
        <w:rPr>
          <w:rFonts w:cs="Arial"/>
          <w:szCs w:val="22"/>
        </w:rPr>
        <w:t>Tender r</w:t>
      </w:r>
      <w:r w:rsidR="00F65163" w:rsidRPr="0050083C">
        <w:rPr>
          <w:rFonts w:cs="Arial"/>
          <w:szCs w:val="22"/>
        </w:rPr>
        <w:t>esponse</w:t>
      </w:r>
      <w:r w:rsidRPr="0050083C">
        <w:rPr>
          <w:rFonts w:cs="Arial"/>
          <w:szCs w:val="22"/>
        </w:rPr>
        <w:t>s</w:t>
      </w:r>
      <w:r w:rsidR="00F65163" w:rsidRPr="0050083C">
        <w:rPr>
          <w:rFonts w:cs="Arial"/>
          <w:szCs w:val="22"/>
        </w:rPr>
        <w:t xml:space="preserve"> </w:t>
      </w:r>
      <w:r w:rsidRPr="0050083C">
        <w:rPr>
          <w:rFonts w:cs="Arial"/>
          <w:szCs w:val="22"/>
        </w:rPr>
        <w:t xml:space="preserve">will need to </w:t>
      </w:r>
      <w:r w:rsidR="00F65163" w:rsidRPr="0050083C">
        <w:rPr>
          <w:rFonts w:cs="Arial"/>
          <w:szCs w:val="22"/>
        </w:rPr>
        <w:t>be specific and considered to th</w:t>
      </w:r>
      <w:r w:rsidRPr="0050083C">
        <w:rPr>
          <w:rFonts w:cs="Arial"/>
          <w:szCs w:val="22"/>
        </w:rPr>
        <w:t>e</w:t>
      </w:r>
      <w:r w:rsidR="00F65163" w:rsidRPr="0050083C">
        <w:rPr>
          <w:rFonts w:cs="Arial"/>
          <w:szCs w:val="22"/>
        </w:rPr>
        <w:t xml:space="preserve"> tender</w:t>
      </w:r>
      <w:r w:rsidR="009B78E6" w:rsidRPr="0050083C">
        <w:rPr>
          <w:rFonts w:cs="Arial"/>
          <w:szCs w:val="22"/>
        </w:rPr>
        <w:t>,</w:t>
      </w:r>
      <w:r w:rsidR="00F65163" w:rsidRPr="0050083C">
        <w:rPr>
          <w:rFonts w:cs="Arial"/>
          <w:szCs w:val="22"/>
        </w:rPr>
        <w:t xml:space="preserve"> the </w:t>
      </w:r>
      <w:r w:rsidR="00362355" w:rsidRPr="0050083C">
        <w:rPr>
          <w:rFonts w:cs="Arial"/>
          <w:szCs w:val="22"/>
        </w:rPr>
        <w:t>c</w:t>
      </w:r>
      <w:r w:rsidR="00F65163" w:rsidRPr="0050083C">
        <w:rPr>
          <w:rFonts w:cs="Arial"/>
          <w:szCs w:val="22"/>
        </w:rPr>
        <w:t xml:space="preserve">ollaborative </w:t>
      </w:r>
      <w:r w:rsidRPr="0050083C">
        <w:rPr>
          <w:rFonts w:cs="Arial"/>
          <w:szCs w:val="22"/>
        </w:rPr>
        <w:t>will</w:t>
      </w:r>
      <w:r w:rsidR="00F65163" w:rsidRPr="0050083C">
        <w:rPr>
          <w:rFonts w:cs="Arial"/>
          <w:szCs w:val="22"/>
        </w:rPr>
        <w:t xml:space="preserve"> not </w:t>
      </w:r>
      <w:r w:rsidR="00363E22">
        <w:rPr>
          <w:rFonts w:cs="Arial"/>
          <w:szCs w:val="22"/>
        </w:rPr>
        <w:t>b</w:t>
      </w:r>
      <w:r w:rsidRPr="0050083C">
        <w:rPr>
          <w:rFonts w:cs="Arial"/>
          <w:szCs w:val="22"/>
        </w:rPr>
        <w:t xml:space="preserve">e </w:t>
      </w:r>
      <w:r w:rsidR="00F65163" w:rsidRPr="0050083C">
        <w:rPr>
          <w:rFonts w:cs="Arial"/>
          <w:szCs w:val="22"/>
        </w:rPr>
        <w:t>looking for a generic response.</w:t>
      </w:r>
      <w:r w:rsidR="00863C23" w:rsidRPr="0050083C">
        <w:rPr>
          <w:rFonts w:cs="Arial"/>
          <w:szCs w:val="22"/>
        </w:rPr>
        <w:t xml:space="preserve"> There will be a separate tender to lead on and implement an archiving and clinical data repository solution. Any responses should be considered in the context of these requirements.</w:t>
      </w:r>
    </w:p>
    <w:sectPr w:rsidR="002944AB" w:rsidRPr="0050083C" w:rsidSect="00985B4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018E" w14:textId="77777777" w:rsidR="00367201" w:rsidRDefault="00367201">
      <w:pPr>
        <w:spacing w:line="20" w:lineRule="exact"/>
      </w:pPr>
    </w:p>
  </w:endnote>
  <w:endnote w:type="continuationSeparator" w:id="0">
    <w:p w14:paraId="503FC3D4" w14:textId="77777777" w:rsidR="00367201" w:rsidRDefault="00367201">
      <w:pPr>
        <w:spacing w:line="20" w:lineRule="exact"/>
      </w:pPr>
      <w:r>
        <w:t xml:space="preserve"> </w:t>
      </w:r>
    </w:p>
  </w:endnote>
  <w:endnote w:type="continuationNotice" w:id="1">
    <w:p w14:paraId="2CB5BA88" w14:textId="77777777" w:rsidR="00367201" w:rsidRDefault="0036720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EFF6" w14:textId="77777777" w:rsidR="004F5DA6" w:rsidRDefault="004F5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6320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" strokecolor="black [3040]"/>
              </w:pict>
            </mc:Fallback>
          </mc:AlternateContent>
        </w:r>
      </w:p>
      <w:p w14:paraId="3A5874A7" w14:textId="77777777" w:rsidR="007657AE" w:rsidRDefault="00C52C2C" w:rsidP="007657AE">
        <w:pPr>
          <w:pStyle w:val="Footer"/>
          <w:jc w:val="center"/>
          <w:rPr>
            <w:sz w:val="20"/>
            <w:szCs w:val="20"/>
          </w:rPr>
        </w:pPr>
        <w:r w:rsidRPr="00985B4D">
          <w:rPr>
            <w:sz w:val="20"/>
            <w:szCs w:val="20"/>
          </w:rPr>
          <w:t>OFFICIAL</w:t>
        </w:r>
      </w:p>
      <w:p w14:paraId="67A51BCB" w14:textId="6F2D5748" w:rsidR="007657AE" w:rsidRPr="007657AE" w:rsidRDefault="007657AE" w:rsidP="007657AE">
        <w:pPr>
          <w:pStyle w:val="Footer"/>
          <w:rPr>
            <w:b/>
            <w:sz w:val="20"/>
            <w:szCs w:val="20"/>
          </w:rPr>
        </w:pPr>
        <w:r>
          <w:rPr>
            <w:b/>
            <w:sz w:val="20"/>
            <w:szCs w:val="20"/>
          </w:rPr>
          <w:t>E</w:t>
        </w:r>
        <w:r w:rsidRPr="007657AE">
          <w:rPr>
            <w:b/>
            <w:sz w:val="20"/>
            <w:szCs w:val="20"/>
          </w:rPr>
          <w:t>PR Programme</w:t>
        </w:r>
        <w:r>
          <w:rPr>
            <w:b/>
            <w:sz w:val="20"/>
            <w:szCs w:val="20"/>
          </w:rPr>
          <w:t xml:space="preserve"> </w:t>
        </w:r>
        <w:r w:rsidRPr="007657AE">
          <w:rPr>
            <w:b/>
            <w:sz w:val="20"/>
            <w:szCs w:val="20"/>
          </w:rPr>
          <w:t>Data Migration Partner</w:t>
        </w:r>
      </w:p>
      <w:p w14:paraId="42D6E6E6" w14:textId="76561207" w:rsidR="00C52C2C" w:rsidRPr="00985B4D" w:rsidRDefault="006B0954" w:rsidP="00985B4D">
        <w:pPr>
          <w:pStyle w:val="Footer"/>
          <w:jc w:val="right"/>
          <w:rPr>
            <w:sz w:val="20"/>
            <w:szCs w:val="20"/>
          </w:rPr>
        </w:pPr>
        <w:r>
          <w:rPr>
            <w:sz w:val="20"/>
            <w:szCs w:val="20"/>
          </w:rPr>
          <w:t>V1</w:t>
        </w:r>
        <w:r w:rsidR="00A64DCF">
          <w:rPr>
            <w:sz w:val="20"/>
            <w:szCs w:val="20"/>
          </w:rPr>
          <w:t>.</w:t>
        </w:r>
        <w:r w:rsidR="00A64DCF" w:rsidRPr="004F5DA6">
          <w:rPr>
            <w:sz w:val="20"/>
            <w:szCs w:val="20"/>
          </w:rPr>
          <w:t>0</w:t>
        </w:r>
        <w:r w:rsidR="004F5DA6">
          <w:rPr>
            <w:sz w:val="20"/>
            <w:szCs w:val="20"/>
          </w:rPr>
          <w:t xml:space="preserve"> 08/02/24</w:t>
        </w:r>
      </w:p>
      <w:p w14:paraId="5214230D" w14:textId="76CC3EAB" w:rsidR="00C52C2C" w:rsidRDefault="00C52C2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A03C06">
          <w:rPr>
            <w:noProof/>
            <w:sz w:val="20"/>
            <w:szCs w:val="20"/>
          </w:rPr>
          <w:t>6</w:t>
        </w:r>
        <w:r w:rsidRPr="00985B4D">
          <w:rPr>
            <w:noProof/>
            <w:sz w:val="20"/>
            <w:szCs w:val="20"/>
          </w:rPr>
          <w:fldChar w:fldCharType="end"/>
        </w:r>
      </w:p>
    </w:sdtContent>
  </w:sdt>
  <w:p w14:paraId="6CEF1DBF" w14:textId="77777777" w:rsidR="00C52C2C" w:rsidRPr="002933F8" w:rsidRDefault="00C52C2C" w:rsidP="002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969E" w14:textId="77777777" w:rsidR="004F5DA6" w:rsidRDefault="004F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2D43" w14:textId="77777777" w:rsidR="00367201" w:rsidRDefault="00367201">
      <w:r>
        <w:separator/>
      </w:r>
    </w:p>
  </w:footnote>
  <w:footnote w:type="continuationSeparator" w:id="0">
    <w:p w14:paraId="74BD41E5" w14:textId="77777777" w:rsidR="00367201" w:rsidRDefault="00367201">
      <w:r>
        <w:continuationSeparator/>
      </w:r>
    </w:p>
  </w:footnote>
  <w:footnote w:type="continuationNotice" w:id="1">
    <w:p w14:paraId="5F078B8B" w14:textId="77777777" w:rsidR="00367201" w:rsidRDefault="003672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1C80" w14:textId="77777777" w:rsidR="004F5DA6" w:rsidRDefault="004F5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CF24" w14:textId="77777777" w:rsidR="004F5DA6" w:rsidRDefault="004F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1401981"/>
    <w:multiLevelType w:val="multilevel"/>
    <w:tmpl w:val="B76E66B2"/>
    <w:styleLink w:val="NHSBodyText"/>
    <w:lvl w:ilvl="0">
      <w:start w:val="1"/>
      <w:numFmt w:val="bullet"/>
      <w:pStyle w:val="USETHIS"/>
      <w:lvlText w:val=""/>
      <w:lvlJc w:val="left"/>
      <w:pPr>
        <w:tabs>
          <w:tab w:val="num" w:pos="861"/>
        </w:tabs>
        <w:ind w:left="861" w:hanging="567"/>
      </w:pPr>
      <w:rPr>
        <w:rFonts w:ascii="Symbol" w:hAnsi="Symbol" w:hint="default"/>
      </w:rPr>
    </w:lvl>
    <w:lvl w:ilvl="1">
      <w:start w:val="1"/>
      <w:numFmt w:val="lowerLetter"/>
      <w:lvlText w:val="%2)"/>
      <w:lvlJc w:val="left"/>
      <w:pPr>
        <w:ind w:left="1014" w:hanging="360"/>
      </w:pPr>
      <w:rPr>
        <w:rFonts w:hint="default"/>
      </w:rPr>
    </w:lvl>
    <w:lvl w:ilvl="2">
      <w:start w:val="1"/>
      <w:numFmt w:val="lowerRoman"/>
      <w:lvlText w:val="%3)"/>
      <w:lvlJc w:val="left"/>
      <w:pPr>
        <w:ind w:left="1374" w:hanging="360"/>
      </w:pPr>
      <w:rPr>
        <w:rFonts w:hint="default"/>
      </w:rPr>
    </w:lvl>
    <w:lvl w:ilvl="3">
      <w:start w:val="1"/>
      <w:numFmt w:val="decimal"/>
      <w:lvlText w:val="(%4)"/>
      <w:lvlJc w:val="left"/>
      <w:pPr>
        <w:ind w:left="1734" w:hanging="360"/>
      </w:pPr>
      <w:rPr>
        <w:rFonts w:hint="default"/>
      </w:rPr>
    </w:lvl>
    <w:lvl w:ilvl="4">
      <w:start w:val="1"/>
      <w:numFmt w:val="lowerLetter"/>
      <w:lvlText w:val="(%5)"/>
      <w:lvlJc w:val="left"/>
      <w:pPr>
        <w:ind w:left="2094" w:hanging="360"/>
      </w:pPr>
      <w:rPr>
        <w:rFonts w:hint="default"/>
      </w:rPr>
    </w:lvl>
    <w:lvl w:ilvl="5">
      <w:start w:val="1"/>
      <w:numFmt w:val="lowerRoman"/>
      <w:lvlText w:val="(%6)"/>
      <w:lvlJc w:val="left"/>
      <w:pPr>
        <w:ind w:left="2454" w:hanging="360"/>
      </w:pPr>
      <w:rPr>
        <w:rFonts w:hint="default"/>
      </w:rPr>
    </w:lvl>
    <w:lvl w:ilvl="6">
      <w:start w:val="1"/>
      <w:numFmt w:val="decimal"/>
      <w:lvlText w:val="%7."/>
      <w:lvlJc w:val="left"/>
      <w:pPr>
        <w:ind w:left="2814" w:hanging="360"/>
      </w:pPr>
      <w:rPr>
        <w:rFonts w:hint="default"/>
      </w:rPr>
    </w:lvl>
    <w:lvl w:ilvl="7">
      <w:start w:val="1"/>
      <w:numFmt w:val="lowerLetter"/>
      <w:lvlText w:val="%8."/>
      <w:lvlJc w:val="left"/>
      <w:pPr>
        <w:ind w:left="3174" w:hanging="360"/>
      </w:pPr>
      <w:rPr>
        <w:rFonts w:hint="default"/>
      </w:rPr>
    </w:lvl>
    <w:lvl w:ilvl="8">
      <w:start w:val="1"/>
      <w:numFmt w:val="lowerRoman"/>
      <w:lvlText w:val="%9."/>
      <w:lvlJc w:val="left"/>
      <w:pPr>
        <w:ind w:left="3534" w:hanging="360"/>
      </w:pPr>
      <w:rPr>
        <w:rFonts w:hint="default"/>
      </w:rPr>
    </w:lvl>
  </w:abstractNum>
  <w:abstractNum w:abstractNumId="6" w15:restartNumberingAfterBreak="0">
    <w:nsid w:val="038B0ED1"/>
    <w:multiLevelType w:val="multilevel"/>
    <w:tmpl w:val="A10CC3A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50965CCA"/>
    <w:multiLevelType w:val="multilevel"/>
    <w:tmpl w:val="1332CCD4"/>
    <w:name w:val="Appendicies Heading List"/>
    <w:numStyleLink w:val="111111"/>
  </w:abstractNum>
  <w:abstractNum w:abstractNumId="23"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9DC20E7"/>
    <w:multiLevelType w:val="hybridMultilevel"/>
    <w:tmpl w:val="40207AA2"/>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0B060EC"/>
    <w:multiLevelType w:val="multilevel"/>
    <w:tmpl w:val="2EC469EE"/>
    <w:lvl w:ilvl="0">
      <w:start w:val="1"/>
      <w:numFmt w:val="decimal"/>
      <w:pStyle w:val="Heading1Numbered"/>
      <w:lvlText w:val="%1."/>
      <w:lvlJc w:val="lef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2033871862">
    <w:abstractNumId w:val="8"/>
  </w:num>
  <w:num w:numId="2" w16cid:durableId="1544444884">
    <w:abstractNumId w:val="23"/>
  </w:num>
  <w:num w:numId="3" w16cid:durableId="783496888">
    <w:abstractNumId w:val="15"/>
  </w:num>
  <w:num w:numId="4" w16cid:durableId="1998259786">
    <w:abstractNumId w:val="16"/>
  </w:num>
  <w:num w:numId="5" w16cid:durableId="922497466">
    <w:abstractNumId w:val="7"/>
  </w:num>
  <w:num w:numId="6" w16cid:durableId="1575772339">
    <w:abstractNumId w:val="20"/>
  </w:num>
  <w:num w:numId="7" w16cid:durableId="1748917439">
    <w:abstractNumId w:val="18"/>
  </w:num>
  <w:num w:numId="8" w16cid:durableId="1577083686">
    <w:abstractNumId w:val="14"/>
  </w:num>
  <w:num w:numId="9" w16cid:durableId="1835564980">
    <w:abstractNumId w:val="4"/>
  </w:num>
  <w:num w:numId="10" w16cid:durableId="1087338112">
    <w:abstractNumId w:val="3"/>
  </w:num>
  <w:num w:numId="11" w16cid:durableId="1144857869">
    <w:abstractNumId w:val="2"/>
  </w:num>
  <w:num w:numId="12" w16cid:durableId="1916352108">
    <w:abstractNumId w:val="1"/>
  </w:num>
  <w:num w:numId="13" w16cid:durableId="1823736558">
    <w:abstractNumId w:val="0"/>
  </w:num>
  <w:num w:numId="14" w16cid:durableId="1838228658">
    <w:abstractNumId w:val="29"/>
  </w:num>
  <w:num w:numId="15" w16cid:durableId="833644670">
    <w:abstractNumId w:val="11"/>
  </w:num>
  <w:num w:numId="16" w16cid:durableId="626590675">
    <w:abstractNumId w:val="27"/>
  </w:num>
  <w:num w:numId="17" w16cid:durableId="972979890">
    <w:abstractNumId w:val="10"/>
  </w:num>
  <w:num w:numId="18" w16cid:durableId="680157033">
    <w:abstractNumId w:val="19"/>
  </w:num>
  <w:num w:numId="19" w16cid:durableId="1278289434">
    <w:abstractNumId w:val="17"/>
  </w:num>
  <w:num w:numId="20" w16cid:durableId="1504857976">
    <w:abstractNumId w:val="25"/>
  </w:num>
  <w:num w:numId="21" w16cid:durableId="402071517">
    <w:abstractNumId w:val="13"/>
  </w:num>
  <w:num w:numId="22" w16cid:durableId="18906113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249310">
    <w:abstractNumId w:val="5"/>
  </w:num>
  <w:num w:numId="24" w16cid:durableId="968363174">
    <w:abstractNumId w:val="28"/>
  </w:num>
  <w:num w:numId="25" w16cid:durableId="378432547">
    <w:abstractNumId w:val="6"/>
  </w:num>
  <w:num w:numId="26" w16cid:durableId="2036269383">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501A"/>
    <w:rsid w:val="00056F7F"/>
    <w:rsid w:val="00060D0E"/>
    <w:rsid w:val="000645CC"/>
    <w:rsid w:val="00066D70"/>
    <w:rsid w:val="0007040F"/>
    <w:rsid w:val="00070766"/>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88F"/>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38F6"/>
    <w:rsid w:val="000C68BF"/>
    <w:rsid w:val="000C6BD6"/>
    <w:rsid w:val="000C7C2B"/>
    <w:rsid w:val="000D3719"/>
    <w:rsid w:val="000D4605"/>
    <w:rsid w:val="000E031B"/>
    <w:rsid w:val="000E4C53"/>
    <w:rsid w:val="000E6052"/>
    <w:rsid w:val="000F232D"/>
    <w:rsid w:val="000F3348"/>
    <w:rsid w:val="000F3500"/>
    <w:rsid w:val="000F3E1D"/>
    <w:rsid w:val="000F52E6"/>
    <w:rsid w:val="000F6941"/>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56A0"/>
    <w:rsid w:val="001360AB"/>
    <w:rsid w:val="001368D7"/>
    <w:rsid w:val="00136BDD"/>
    <w:rsid w:val="00136D23"/>
    <w:rsid w:val="0013718C"/>
    <w:rsid w:val="0013771E"/>
    <w:rsid w:val="00141017"/>
    <w:rsid w:val="00144867"/>
    <w:rsid w:val="00144F3B"/>
    <w:rsid w:val="00145725"/>
    <w:rsid w:val="001457AB"/>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9795B"/>
    <w:rsid w:val="001A1780"/>
    <w:rsid w:val="001A3C4D"/>
    <w:rsid w:val="001A45DF"/>
    <w:rsid w:val="001A4F71"/>
    <w:rsid w:val="001A7AB1"/>
    <w:rsid w:val="001B0587"/>
    <w:rsid w:val="001B189B"/>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178A"/>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44AB"/>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2F7DB7"/>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5E40"/>
    <w:rsid w:val="00346A23"/>
    <w:rsid w:val="00347685"/>
    <w:rsid w:val="00347DB3"/>
    <w:rsid w:val="00352261"/>
    <w:rsid w:val="00353191"/>
    <w:rsid w:val="00353685"/>
    <w:rsid w:val="00353EC0"/>
    <w:rsid w:val="003550DB"/>
    <w:rsid w:val="00357E6F"/>
    <w:rsid w:val="00362355"/>
    <w:rsid w:val="003627B1"/>
    <w:rsid w:val="00362A29"/>
    <w:rsid w:val="00362E9E"/>
    <w:rsid w:val="003631FE"/>
    <w:rsid w:val="00363D74"/>
    <w:rsid w:val="00363E22"/>
    <w:rsid w:val="00364FCA"/>
    <w:rsid w:val="0036555C"/>
    <w:rsid w:val="0036574F"/>
    <w:rsid w:val="003660F6"/>
    <w:rsid w:val="00366F85"/>
    <w:rsid w:val="00367201"/>
    <w:rsid w:val="003729F0"/>
    <w:rsid w:val="00372E49"/>
    <w:rsid w:val="00373767"/>
    <w:rsid w:val="0037496E"/>
    <w:rsid w:val="0037526E"/>
    <w:rsid w:val="00375AE9"/>
    <w:rsid w:val="0037604C"/>
    <w:rsid w:val="00376922"/>
    <w:rsid w:val="00376FF7"/>
    <w:rsid w:val="003770F8"/>
    <w:rsid w:val="0038049D"/>
    <w:rsid w:val="003833FD"/>
    <w:rsid w:val="00386338"/>
    <w:rsid w:val="00386706"/>
    <w:rsid w:val="003873D7"/>
    <w:rsid w:val="003874EB"/>
    <w:rsid w:val="003908EB"/>
    <w:rsid w:val="00390BC3"/>
    <w:rsid w:val="0039193D"/>
    <w:rsid w:val="003953E5"/>
    <w:rsid w:val="00396B62"/>
    <w:rsid w:val="003A0CDA"/>
    <w:rsid w:val="003A199A"/>
    <w:rsid w:val="003A21C8"/>
    <w:rsid w:val="003A2C48"/>
    <w:rsid w:val="003A4DD7"/>
    <w:rsid w:val="003B0599"/>
    <w:rsid w:val="003B0BC9"/>
    <w:rsid w:val="003B4727"/>
    <w:rsid w:val="003B4B25"/>
    <w:rsid w:val="003B747D"/>
    <w:rsid w:val="003B74BC"/>
    <w:rsid w:val="003C1CB5"/>
    <w:rsid w:val="003C4135"/>
    <w:rsid w:val="003C54C9"/>
    <w:rsid w:val="003C7811"/>
    <w:rsid w:val="003D0625"/>
    <w:rsid w:val="003D0A36"/>
    <w:rsid w:val="003D1E1C"/>
    <w:rsid w:val="003D1E21"/>
    <w:rsid w:val="003D2039"/>
    <w:rsid w:val="003D2902"/>
    <w:rsid w:val="003D2F60"/>
    <w:rsid w:val="003D4366"/>
    <w:rsid w:val="003D4F07"/>
    <w:rsid w:val="003D52B7"/>
    <w:rsid w:val="003D6D0B"/>
    <w:rsid w:val="003E2A24"/>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5B87"/>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837A1"/>
    <w:rsid w:val="004900A1"/>
    <w:rsid w:val="004909B0"/>
    <w:rsid w:val="0049625F"/>
    <w:rsid w:val="00497D0E"/>
    <w:rsid w:val="004A1EAC"/>
    <w:rsid w:val="004A225E"/>
    <w:rsid w:val="004A2D0B"/>
    <w:rsid w:val="004A2E7B"/>
    <w:rsid w:val="004A31F5"/>
    <w:rsid w:val="004A3BE6"/>
    <w:rsid w:val="004A4371"/>
    <w:rsid w:val="004A48ED"/>
    <w:rsid w:val="004A7D3E"/>
    <w:rsid w:val="004B4E34"/>
    <w:rsid w:val="004B6951"/>
    <w:rsid w:val="004B6D96"/>
    <w:rsid w:val="004B7B71"/>
    <w:rsid w:val="004C0636"/>
    <w:rsid w:val="004C1460"/>
    <w:rsid w:val="004C4BA8"/>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5DA6"/>
    <w:rsid w:val="004F6B43"/>
    <w:rsid w:val="004F6EE0"/>
    <w:rsid w:val="0050062B"/>
    <w:rsid w:val="0050083C"/>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663C"/>
    <w:rsid w:val="00527040"/>
    <w:rsid w:val="00531417"/>
    <w:rsid w:val="0053220D"/>
    <w:rsid w:val="005334EA"/>
    <w:rsid w:val="00533F76"/>
    <w:rsid w:val="005364E3"/>
    <w:rsid w:val="0055006C"/>
    <w:rsid w:val="00551203"/>
    <w:rsid w:val="00551397"/>
    <w:rsid w:val="005571B2"/>
    <w:rsid w:val="00557E89"/>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D648E"/>
    <w:rsid w:val="005E00DA"/>
    <w:rsid w:val="005E2029"/>
    <w:rsid w:val="005E29A1"/>
    <w:rsid w:val="005E4205"/>
    <w:rsid w:val="005E4793"/>
    <w:rsid w:val="005E4B73"/>
    <w:rsid w:val="005E4DB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211B"/>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081"/>
    <w:rsid w:val="0064629E"/>
    <w:rsid w:val="00646588"/>
    <w:rsid w:val="00646B4C"/>
    <w:rsid w:val="006502CE"/>
    <w:rsid w:val="00650B3E"/>
    <w:rsid w:val="00653D40"/>
    <w:rsid w:val="00654173"/>
    <w:rsid w:val="006549BE"/>
    <w:rsid w:val="00657DE2"/>
    <w:rsid w:val="006600A8"/>
    <w:rsid w:val="00660E0B"/>
    <w:rsid w:val="006638B6"/>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A66FE"/>
    <w:rsid w:val="006B0954"/>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2C52"/>
    <w:rsid w:val="006F46DC"/>
    <w:rsid w:val="006F490F"/>
    <w:rsid w:val="006F5CE9"/>
    <w:rsid w:val="006F6878"/>
    <w:rsid w:val="006F6F85"/>
    <w:rsid w:val="007003CC"/>
    <w:rsid w:val="0070284B"/>
    <w:rsid w:val="00702C1F"/>
    <w:rsid w:val="00704A4D"/>
    <w:rsid w:val="00706FCC"/>
    <w:rsid w:val="00710A1F"/>
    <w:rsid w:val="00710C3B"/>
    <w:rsid w:val="007110A9"/>
    <w:rsid w:val="007116AE"/>
    <w:rsid w:val="0071198C"/>
    <w:rsid w:val="007145F1"/>
    <w:rsid w:val="0072081F"/>
    <w:rsid w:val="007217F8"/>
    <w:rsid w:val="00724885"/>
    <w:rsid w:val="007307B5"/>
    <w:rsid w:val="00733ACF"/>
    <w:rsid w:val="0073540C"/>
    <w:rsid w:val="00735596"/>
    <w:rsid w:val="00735D7F"/>
    <w:rsid w:val="00740B2E"/>
    <w:rsid w:val="007411D4"/>
    <w:rsid w:val="007435B9"/>
    <w:rsid w:val="00743726"/>
    <w:rsid w:val="00745FE8"/>
    <w:rsid w:val="0075008F"/>
    <w:rsid w:val="00750EE0"/>
    <w:rsid w:val="00753744"/>
    <w:rsid w:val="00753ABE"/>
    <w:rsid w:val="0075444C"/>
    <w:rsid w:val="00755A73"/>
    <w:rsid w:val="00756064"/>
    <w:rsid w:val="007569B8"/>
    <w:rsid w:val="007603EE"/>
    <w:rsid w:val="00760E17"/>
    <w:rsid w:val="0076417D"/>
    <w:rsid w:val="007657AE"/>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0A2D"/>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849"/>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3C23"/>
    <w:rsid w:val="00867F30"/>
    <w:rsid w:val="00871033"/>
    <w:rsid w:val="008712B8"/>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0F1F"/>
    <w:rsid w:val="008D17C0"/>
    <w:rsid w:val="008D1AFC"/>
    <w:rsid w:val="008D1F53"/>
    <w:rsid w:val="008D28A6"/>
    <w:rsid w:val="008D66D4"/>
    <w:rsid w:val="008D752C"/>
    <w:rsid w:val="008D7794"/>
    <w:rsid w:val="008E0B8A"/>
    <w:rsid w:val="008E5B1C"/>
    <w:rsid w:val="008E5D54"/>
    <w:rsid w:val="008E6D8C"/>
    <w:rsid w:val="008E7734"/>
    <w:rsid w:val="008E77CC"/>
    <w:rsid w:val="008E7A79"/>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5B2"/>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1E1B"/>
    <w:rsid w:val="009A28B5"/>
    <w:rsid w:val="009A37CD"/>
    <w:rsid w:val="009B059A"/>
    <w:rsid w:val="009B0A14"/>
    <w:rsid w:val="009B0A8A"/>
    <w:rsid w:val="009B0E63"/>
    <w:rsid w:val="009B78E6"/>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5"/>
    <w:rsid w:val="009F0C3F"/>
    <w:rsid w:val="009F0C62"/>
    <w:rsid w:val="009F0DAB"/>
    <w:rsid w:val="009F44CA"/>
    <w:rsid w:val="00A03C06"/>
    <w:rsid w:val="00A04242"/>
    <w:rsid w:val="00A055F2"/>
    <w:rsid w:val="00A061A4"/>
    <w:rsid w:val="00A06EEA"/>
    <w:rsid w:val="00A07797"/>
    <w:rsid w:val="00A07BA2"/>
    <w:rsid w:val="00A11943"/>
    <w:rsid w:val="00A12050"/>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2A9F"/>
    <w:rsid w:val="00A53C90"/>
    <w:rsid w:val="00A544DF"/>
    <w:rsid w:val="00A54C8F"/>
    <w:rsid w:val="00A5594A"/>
    <w:rsid w:val="00A55D22"/>
    <w:rsid w:val="00A57890"/>
    <w:rsid w:val="00A57B4E"/>
    <w:rsid w:val="00A61283"/>
    <w:rsid w:val="00A6219D"/>
    <w:rsid w:val="00A63F3F"/>
    <w:rsid w:val="00A646DE"/>
    <w:rsid w:val="00A64DCF"/>
    <w:rsid w:val="00A72352"/>
    <w:rsid w:val="00A72AE0"/>
    <w:rsid w:val="00A73E58"/>
    <w:rsid w:val="00A74FE3"/>
    <w:rsid w:val="00A81243"/>
    <w:rsid w:val="00A845EC"/>
    <w:rsid w:val="00A852B4"/>
    <w:rsid w:val="00A87AA6"/>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19E0"/>
    <w:rsid w:val="00AF21E6"/>
    <w:rsid w:val="00AF2BB0"/>
    <w:rsid w:val="00AF5288"/>
    <w:rsid w:val="00AF5D31"/>
    <w:rsid w:val="00AF655B"/>
    <w:rsid w:val="00AF75E2"/>
    <w:rsid w:val="00AF7B04"/>
    <w:rsid w:val="00B008C0"/>
    <w:rsid w:val="00B0302C"/>
    <w:rsid w:val="00B06365"/>
    <w:rsid w:val="00B0775F"/>
    <w:rsid w:val="00B078CD"/>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42C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275"/>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BC4"/>
    <w:rsid w:val="00BC6933"/>
    <w:rsid w:val="00BC79C0"/>
    <w:rsid w:val="00BD1D37"/>
    <w:rsid w:val="00BD212B"/>
    <w:rsid w:val="00BD42DB"/>
    <w:rsid w:val="00BD6245"/>
    <w:rsid w:val="00BE1049"/>
    <w:rsid w:val="00BE17A9"/>
    <w:rsid w:val="00BE231E"/>
    <w:rsid w:val="00BE3468"/>
    <w:rsid w:val="00BE407A"/>
    <w:rsid w:val="00BE53B4"/>
    <w:rsid w:val="00BE595A"/>
    <w:rsid w:val="00BE5FEF"/>
    <w:rsid w:val="00BF1413"/>
    <w:rsid w:val="00BF19C4"/>
    <w:rsid w:val="00BF3BAD"/>
    <w:rsid w:val="00BF3CBD"/>
    <w:rsid w:val="00BF411A"/>
    <w:rsid w:val="00BF423A"/>
    <w:rsid w:val="00BF4C2E"/>
    <w:rsid w:val="00C00B5F"/>
    <w:rsid w:val="00C00D58"/>
    <w:rsid w:val="00C020DA"/>
    <w:rsid w:val="00C02A15"/>
    <w:rsid w:val="00C02C4F"/>
    <w:rsid w:val="00C0327F"/>
    <w:rsid w:val="00C0387E"/>
    <w:rsid w:val="00C1353E"/>
    <w:rsid w:val="00C1747F"/>
    <w:rsid w:val="00C20E79"/>
    <w:rsid w:val="00C226E8"/>
    <w:rsid w:val="00C233B8"/>
    <w:rsid w:val="00C25BEE"/>
    <w:rsid w:val="00C26F1C"/>
    <w:rsid w:val="00C3235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8AE"/>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0FE"/>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999"/>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6AF1"/>
    <w:rsid w:val="00CF6C2B"/>
    <w:rsid w:val="00CF7A5C"/>
    <w:rsid w:val="00CF7B6A"/>
    <w:rsid w:val="00CF7DAD"/>
    <w:rsid w:val="00D01126"/>
    <w:rsid w:val="00D012D3"/>
    <w:rsid w:val="00D01E85"/>
    <w:rsid w:val="00D02587"/>
    <w:rsid w:val="00D03382"/>
    <w:rsid w:val="00D038AC"/>
    <w:rsid w:val="00D056A2"/>
    <w:rsid w:val="00D10BD3"/>
    <w:rsid w:val="00D12A9F"/>
    <w:rsid w:val="00D16593"/>
    <w:rsid w:val="00D17764"/>
    <w:rsid w:val="00D177BF"/>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1497"/>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2EE"/>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3126"/>
    <w:rsid w:val="00E450B0"/>
    <w:rsid w:val="00E50B0C"/>
    <w:rsid w:val="00E53E5F"/>
    <w:rsid w:val="00E568FA"/>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2794"/>
    <w:rsid w:val="00E83567"/>
    <w:rsid w:val="00E84FBC"/>
    <w:rsid w:val="00E8578F"/>
    <w:rsid w:val="00E85E2E"/>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5B7E"/>
    <w:rsid w:val="00EC6507"/>
    <w:rsid w:val="00ED08E0"/>
    <w:rsid w:val="00ED0A35"/>
    <w:rsid w:val="00ED0E52"/>
    <w:rsid w:val="00ED0FD7"/>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135"/>
    <w:rsid w:val="00F476A1"/>
    <w:rsid w:val="00F533A3"/>
    <w:rsid w:val="00F576F1"/>
    <w:rsid w:val="00F62DC9"/>
    <w:rsid w:val="00F6463B"/>
    <w:rsid w:val="00F65163"/>
    <w:rsid w:val="00F656D5"/>
    <w:rsid w:val="00F65C1B"/>
    <w:rsid w:val="00F718BA"/>
    <w:rsid w:val="00F71D56"/>
    <w:rsid w:val="00F722CD"/>
    <w:rsid w:val="00F7526B"/>
    <w:rsid w:val="00F80355"/>
    <w:rsid w:val="00F8366A"/>
    <w:rsid w:val="00F8387B"/>
    <w:rsid w:val="00F84281"/>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E98"/>
    <w:rsid w:val="00FD0FBD"/>
    <w:rsid w:val="00FD330F"/>
    <w:rsid w:val="00FD4289"/>
    <w:rsid w:val="00FD4669"/>
    <w:rsid w:val="00FD5489"/>
    <w:rsid w:val="00FD67FF"/>
    <w:rsid w:val="00FD6F08"/>
    <w:rsid w:val="00FE008E"/>
    <w:rsid w:val="00FE038C"/>
    <w:rsid w:val="00FE0D7E"/>
    <w:rsid w:val="00FE18AC"/>
    <w:rsid w:val="00FE1F7E"/>
    <w:rsid w:val="00FE2F95"/>
    <w:rsid w:val="00FE4091"/>
    <w:rsid w:val="00FE591B"/>
    <w:rsid w:val="00FE7B9A"/>
    <w:rsid w:val="00FE7D76"/>
    <w:rsid w:val="00FF490C"/>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link w:val="PlainTextChar"/>
    <w:uiPriority w:val="99"/>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Heading1Numbered">
    <w:name w:val="Heading 1 Numbered"/>
    <w:basedOn w:val="Heading1"/>
    <w:next w:val="BodyText"/>
    <w:uiPriority w:val="9"/>
    <w:qFormat/>
    <w:rsid w:val="000F6941"/>
    <w:pPr>
      <w:keepLines/>
      <w:numPr>
        <w:numId w:val="24"/>
      </w:numPr>
      <w:adjustRightInd/>
      <w:spacing w:before="360" w:after="360"/>
      <w:ind w:left="567" w:hanging="567"/>
      <w:contextualSpacing/>
      <w:jc w:val="left"/>
    </w:pPr>
    <w:rPr>
      <w:rFonts w:eastAsiaTheme="majorEastAsia" w:cstheme="majorBidi"/>
      <w:b w:val="0"/>
      <w:caps w:val="0"/>
      <w:color w:val="005EB8"/>
      <w:sz w:val="36"/>
      <w:szCs w:val="22"/>
      <w:lang w:eastAsia="en-US"/>
    </w:rPr>
  </w:style>
  <w:style w:type="numbering" w:customStyle="1" w:styleId="NHSBodyText">
    <w:name w:val="NHS Body Text"/>
    <w:basedOn w:val="NoList"/>
    <w:uiPriority w:val="99"/>
    <w:rsid w:val="000F6941"/>
    <w:pPr>
      <w:numPr>
        <w:numId w:val="23"/>
      </w:numPr>
    </w:pPr>
  </w:style>
  <w:style w:type="paragraph" w:customStyle="1" w:styleId="USETHIS">
    <w:name w:val="USETHIS"/>
    <w:basedOn w:val="Normal"/>
    <w:link w:val="USETHISChar"/>
    <w:qFormat/>
    <w:rsid w:val="000F6941"/>
    <w:pPr>
      <w:numPr>
        <w:numId w:val="23"/>
      </w:numPr>
      <w:spacing w:after="120" w:line="276" w:lineRule="auto"/>
    </w:pPr>
    <w:rPr>
      <w:rFonts w:eastAsiaTheme="minorHAnsi" w:cstheme="minorBidi"/>
      <w:color w:val="231F20"/>
      <w:sz w:val="24"/>
      <w:lang w:eastAsia="en-US"/>
    </w:rPr>
  </w:style>
  <w:style w:type="character" w:customStyle="1" w:styleId="USETHISChar">
    <w:name w:val="USETHIS Char"/>
    <w:basedOn w:val="DefaultParagraphFont"/>
    <w:link w:val="USETHIS"/>
    <w:rsid w:val="000F6941"/>
    <w:rPr>
      <w:rFonts w:ascii="Arial" w:eastAsiaTheme="minorHAnsi" w:hAnsi="Arial" w:cstheme="minorBidi"/>
      <w:color w:val="231F20"/>
      <w:sz w:val="24"/>
      <w:szCs w:val="24"/>
      <w:lang w:eastAsia="en-US"/>
    </w:rPr>
  </w:style>
  <w:style w:type="character" w:customStyle="1" w:styleId="PlainTextChar">
    <w:name w:val="Plain Text Char"/>
    <w:basedOn w:val="DefaultParagraphFont"/>
    <w:link w:val="PlainText"/>
    <w:uiPriority w:val="99"/>
    <w:rsid w:val="00F65163"/>
    <w:rPr>
      <w:rFonts w:ascii="Courier New" w:eastAsia="SimSun" w:hAnsi="Courier New" w:cs="Courier New"/>
      <w:lang w:eastAsia="zh-CN"/>
    </w:rPr>
  </w:style>
  <w:style w:type="character" w:styleId="UnresolvedMention">
    <w:name w:val="Unresolved Mention"/>
    <w:basedOn w:val="DefaultParagraphFont"/>
    <w:uiPriority w:val="99"/>
    <w:semiHidden/>
    <w:unhideWhenUsed/>
    <w:rsid w:val="001F1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6756">
      <w:bodyDiv w:val="1"/>
      <w:marLeft w:val="0"/>
      <w:marRight w:val="0"/>
      <w:marTop w:val="0"/>
      <w:marBottom w:val="0"/>
      <w:divBdr>
        <w:top w:val="none" w:sz="0" w:space="0" w:color="auto"/>
        <w:left w:val="none" w:sz="0" w:space="0" w:color="auto"/>
        <w:bottom w:val="none" w:sz="0" w:space="0" w:color="auto"/>
        <w:right w:val="none" w:sz="0" w:space="0" w:color="auto"/>
      </w:divBdr>
    </w:div>
    <w:div w:id="1559435875">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75816324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PR-procurement@nnuh.nhs.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ppsourcing.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FD29-700A-4C79-9560-27FEF9D38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Nathan Griffen (NNUHFT)</cp:lastModifiedBy>
  <cp:revision>5</cp:revision>
  <dcterms:created xsi:type="dcterms:W3CDTF">2024-02-29T12:30:00Z</dcterms:created>
  <dcterms:modified xsi:type="dcterms:W3CDTF">2024-02-29T13:06:00Z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