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8B34" w14:textId="77777777" w:rsidR="001459B8" w:rsidRPr="001459B8" w:rsidRDefault="001459B8" w:rsidP="001459B8">
      <w:pPr>
        <w:spacing w:after="0" w:line="240" w:lineRule="auto"/>
        <w:rPr>
          <w:rFonts w:ascii="Arial" w:eastAsia="Times New Roman" w:hAnsi="Arial" w:cs="Arial"/>
          <w:b/>
          <w:u w:val="single"/>
        </w:rPr>
      </w:pPr>
      <w:bookmarkStart w:id="0" w:name="_GoBack"/>
      <w:bookmarkEnd w:id="0"/>
      <w:r w:rsidRPr="001459B8">
        <w:rPr>
          <w:rFonts w:ascii="Arial" w:eastAsia="Times New Roman" w:hAnsi="Arial" w:cs="Arial"/>
          <w:b/>
          <w:u w:val="single"/>
        </w:rPr>
        <w:t>DEFFORM 47 –</w:t>
      </w:r>
      <w:r w:rsidRPr="001459B8">
        <w:rPr>
          <w:rFonts w:ascii="Arial" w:eastAsia="Times New Roman" w:hAnsi="Arial" w:cs="Arial"/>
          <w:b/>
          <w:bCs/>
          <w:u w:val="single"/>
        </w:rPr>
        <w:t xml:space="preserve"> </w:t>
      </w:r>
      <w:r w:rsidRPr="001459B8">
        <w:rPr>
          <w:rFonts w:ascii="Arial" w:eastAsia="Times New Roman" w:hAnsi="Arial" w:cs="Arial"/>
          <w:b/>
          <w:u w:val="single"/>
        </w:rPr>
        <w:t>Tender Evaluation Tool</w:t>
      </w:r>
    </w:p>
    <w:p w14:paraId="3A988B35" w14:textId="77777777" w:rsidR="001459B8" w:rsidRPr="001459B8" w:rsidRDefault="001459B8" w:rsidP="001459B8">
      <w:pPr>
        <w:spacing w:after="0" w:line="240" w:lineRule="auto"/>
        <w:rPr>
          <w:rFonts w:ascii="Arial" w:eastAsia="Times New Roman" w:hAnsi="Arial" w:cs="Arial"/>
        </w:rPr>
      </w:pPr>
    </w:p>
    <w:p w14:paraId="3A988B36" w14:textId="77777777" w:rsidR="001459B8" w:rsidRPr="001459B8" w:rsidRDefault="001459B8" w:rsidP="001459B8">
      <w:pPr>
        <w:keepNext/>
        <w:keepLines/>
        <w:overflowPunct w:val="0"/>
        <w:autoSpaceDE w:val="0"/>
        <w:autoSpaceDN w:val="0"/>
        <w:adjustRightInd w:val="0"/>
        <w:spacing w:after="0" w:line="240" w:lineRule="auto"/>
        <w:textAlignment w:val="baseline"/>
        <w:outlineLvl w:val="0"/>
        <w:rPr>
          <w:rFonts w:ascii="Arial" w:eastAsia="Times New Roman" w:hAnsi="Arial" w:cs="Arial"/>
          <w:kern w:val="32"/>
        </w:rPr>
      </w:pPr>
      <w:r w:rsidRPr="001459B8">
        <w:rPr>
          <w:rFonts w:ascii="Arial" w:eastAsia="Times New Roman" w:hAnsi="Arial" w:cs="Arial"/>
          <w:b/>
          <w:kern w:val="32"/>
        </w:rPr>
        <w:t>STAGE 1</w:t>
      </w:r>
      <w:r w:rsidRPr="001459B8">
        <w:rPr>
          <w:rFonts w:ascii="Arial" w:eastAsia="Times New Roman" w:hAnsi="Arial" w:cs="Arial"/>
          <w:b/>
          <w:kern w:val="32"/>
        </w:rPr>
        <w:tab/>
        <w:t>COMMERCIAL COMPLIANCE EVALUATION</w:t>
      </w:r>
      <w:r w:rsidRPr="001459B8">
        <w:rPr>
          <w:rFonts w:ascii="Arial" w:eastAsia="Times New Roman" w:hAnsi="Arial" w:cs="Arial"/>
          <w:b/>
          <w:kern w:val="32"/>
        </w:rPr>
        <w:br/>
      </w:r>
      <w:r w:rsidRPr="001459B8">
        <w:rPr>
          <w:rFonts w:ascii="Arial" w:eastAsia="Times New Roman" w:hAnsi="Arial" w:cs="Arial"/>
          <w:kern w:val="32"/>
        </w:rPr>
        <w:t xml:space="preserve">The Commercial Compliance Evaluation stage determines whether the bid has been submitted in accordance with the Authority’s Instructions to Tenderers, based on the checks set out in the Commercial Compliance Table below.  </w:t>
      </w:r>
      <w:r w:rsidRPr="001459B8">
        <w:rPr>
          <w:rFonts w:ascii="Arial" w:eastAsia="Times New Roman" w:hAnsi="Arial" w:cs="Arial"/>
          <w:b/>
          <w:kern w:val="32"/>
        </w:rPr>
        <w:t>This is a Pass / Fail evaluation</w:t>
      </w:r>
      <w:r w:rsidRPr="001459B8">
        <w:rPr>
          <w:rFonts w:ascii="Arial" w:eastAsia="Times New Roman" w:hAnsi="Arial" w:cs="Arial"/>
          <w:kern w:val="32"/>
        </w:rPr>
        <w:t>: all items in the table are mandatory, and the Authority reserves the right to eliminate Tenders from proceeding to the Stage 2 evaluation if the comp</w:t>
      </w:r>
      <w:bookmarkStart w:id="1" w:name="_Toc245707414"/>
      <w:r w:rsidRPr="001459B8">
        <w:rPr>
          <w:rFonts w:ascii="Arial" w:eastAsia="Times New Roman" w:hAnsi="Arial" w:cs="Arial"/>
          <w:kern w:val="32"/>
        </w:rPr>
        <w:t>liance requirements are not met.</w:t>
      </w:r>
      <w:r w:rsidRPr="001459B8">
        <w:rPr>
          <w:rFonts w:ascii="Arial" w:eastAsia="Times New Roman" w:hAnsi="Arial" w:cs="Arial"/>
          <w:kern w:val="32"/>
        </w:rPr>
        <w:br/>
      </w:r>
    </w:p>
    <w:p w14:paraId="3A988B37" w14:textId="77777777" w:rsidR="001459B8" w:rsidRPr="001459B8" w:rsidRDefault="001459B8" w:rsidP="001459B8">
      <w:pPr>
        <w:keepNext/>
        <w:keepLines/>
        <w:spacing w:after="240" w:line="240" w:lineRule="auto"/>
        <w:ind w:left="360"/>
        <w:jc w:val="center"/>
        <w:outlineLvl w:val="3"/>
        <w:rPr>
          <w:rFonts w:ascii="Arial" w:eastAsia="Times New Roman" w:hAnsi="Arial" w:cs="Arial"/>
          <w:b/>
          <w:bCs/>
        </w:rPr>
      </w:pPr>
      <w:r w:rsidRPr="001459B8">
        <w:rPr>
          <w:rFonts w:ascii="Arial" w:eastAsia="Times New Roman" w:hAnsi="Arial" w:cs="Arial"/>
          <w:b/>
          <w:bCs/>
        </w:rPr>
        <w:t xml:space="preserve">Commercial Compliance </w:t>
      </w:r>
      <w:bookmarkEnd w:id="1"/>
      <w:r w:rsidRPr="001459B8">
        <w:rPr>
          <w:rFonts w:ascii="Arial" w:eastAsia="Times New Roman" w:hAnsi="Arial" w:cs="Arial"/>
          <w:b/>
          <w:bCs/>
        </w:rPr>
        <w:t>Table (Authority Use Only)</w:t>
      </w:r>
    </w:p>
    <w:tbl>
      <w:tblPr>
        <w:tblW w:w="5357" w:type="pct"/>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293"/>
        <w:gridCol w:w="692"/>
        <w:gridCol w:w="830"/>
        <w:gridCol w:w="2181"/>
      </w:tblGrid>
      <w:tr w:rsidR="001459B8" w:rsidRPr="001459B8" w14:paraId="3A988B3C" w14:textId="77777777" w:rsidTr="008E0BF9">
        <w:trPr>
          <w:trHeight w:val="606"/>
        </w:trPr>
        <w:tc>
          <w:tcPr>
            <w:tcW w:w="3148" w:type="pct"/>
            <w:tcBorders>
              <w:top w:val="single" w:sz="12" w:space="0" w:color="auto"/>
              <w:bottom w:val="single" w:sz="12" w:space="0" w:color="auto"/>
            </w:tcBorders>
            <w:vAlign w:val="center"/>
          </w:tcPr>
          <w:p w14:paraId="3A988B38" w14:textId="77777777" w:rsidR="001459B8" w:rsidRPr="001459B8" w:rsidRDefault="001459B8" w:rsidP="001459B8">
            <w:pPr>
              <w:keepLines/>
              <w:spacing w:after="240" w:line="240" w:lineRule="auto"/>
              <w:jc w:val="both"/>
              <w:rPr>
                <w:rFonts w:ascii="Arial" w:eastAsia="Times New Roman" w:hAnsi="Arial" w:cs="Arial"/>
              </w:rPr>
            </w:pPr>
          </w:p>
        </w:tc>
        <w:tc>
          <w:tcPr>
            <w:tcW w:w="346" w:type="pct"/>
            <w:tcBorders>
              <w:top w:val="single" w:sz="12" w:space="0" w:color="auto"/>
              <w:bottom w:val="single" w:sz="12" w:space="0" w:color="auto"/>
            </w:tcBorders>
            <w:vAlign w:val="center"/>
          </w:tcPr>
          <w:p w14:paraId="3A988B39" w14:textId="77777777" w:rsidR="001459B8" w:rsidRPr="001459B8" w:rsidRDefault="001459B8" w:rsidP="001459B8">
            <w:pPr>
              <w:keepLines/>
              <w:spacing w:after="240" w:line="240" w:lineRule="auto"/>
              <w:jc w:val="center"/>
              <w:rPr>
                <w:rFonts w:ascii="Arial" w:eastAsia="Times New Roman" w:hAnsi="Arial" w:cs="Arial"/>
                <w:b/>
              </w:rPr>
            </w:pPr>
            <w:r w:rsidRPr="001459B8">
              <w:rPr>
                <w:rFonts w:ascii="Arial" w:eastAsia="Times New Roman" w:hAnsi="Arial" w:cs="Arial"/>
                <w:b/>
              </w:rPr>
              <w:t>Yes</w:t>
            </w:r>
          </w:p>
        </w:tc>
        <w:tc>
          <w:tcPr>
            <w:tcW w:w="415" w:type="pct"/>
            <w:tcBorders>
              <w:top w:val="single" w:sz="12" w:space="0" w:color="auto"/>
              <w:bottom w:val="single" w:sz="12" w:space="0" w:color="auto"/>
            </w:tcBorders>
            <w:vAlign w:val="center"/>
          </w:tcPr>
          <w:p w14:paraId="3A988B3A" w14:textId="77777777" w:rsidR="001459B8" w:rsidRPr="001459B8" w:rsidRDefault="001459B8" w:rsidP="001459B8">
            <w:pPr>
              <w:keepLines/>
              <w:spacing w:after="240" w:line="240" w:lineRule="auto"/>
              <w:jc w:val="center"/>
              <w:rPr>
                <w:rFonts w:ascii="Arial" w:eastAsia="Times New Roman" w:hAnsi="Arial" w:cs="Arial"/>
                <w:b/>
              </w:rPr>
            </w:pPr>
            <w:r w:rsidRPr="001459B8">
              <w:rPr>
                <w:rFonts w:ascii="Arial" w:eastAsia="Times New Roman" w:hAnsi="Arial" w:cs="Arial"/>
                <w:b/>
              </w:rPr>
              <w:t>No</w:t>
            </w:r>
          </w:p>
        </w:tc>
        <w:tc>
          <w:tcPr>
            <w:tcW w:w="1091" w:type="pct"/>
            <w:tcBorders>
              <w:top w:val="single" w:sz="12" w:space="0" w:color="auto"/>
              <w:bottom w:val="single" w:sz="12" w:space="0" w:color="auto"/>
            </w:tcBorders>
            <w:vAlign w:val="center"/>
          </w:tcPr>
          <w:p w14:paraId="3A988B3B" w14:textId="77777777" w:rsidR="001459B8" w:rsidRPr="001459B8" w:rsidRDefault="001459B8" w:rsidP="001459B8">
            <w:pPr>
              <w:keepLines/>
              <w:spacing w:after="240" w:line="240" w:lineRule="auto"/>
              <w:jc w:val="center"/>
              <w:rPr>
                <w:rFonts w:ascii="Arial" w:eastAsia="Times New Roman" w:hAnsi="Arial" w:cs="Arial"/>
                <w:b/>
              </w:rPr>
            </w:pPr>
            <w:r w:rsidRPr="001459B8">
              <w:rPr>
                <w:rFonts w:ascii="Arial" w:eastAsia="Times New Roman" w:hAnsi="Arial" w:cs="Arial"/>
                <w:b/>
              </w:rPr>
              <w:t>Comments</w:t>
            </w:r>
          </w:p>
        </w:tc>
      </w:tr>
      <w:tr w:rsidR="001459B8" w:rsidRPr="001459B8" w14:paraId="3A988B41" w14:textId="77777777" w:rsidTr="008E0BF9">
        <w:tc>
          <w:tcPr>
            <w:tcW w:w="3148" w:type="pct"/>
            <w:tcBorders>
              <w:top w:val="single" w:sz="12" w:space="0" w:color="auto"/>
            </w:tcBorders>
          </w:tcPr>
          <w:p w14:paraId="3A988B3D" w14:textId="77777777" w:rsidR="001459B8" w:rsidRPr="001459B8" w:rsidRDefault="001459B8" w:rsidP="001459B8">
            <w:pPr>
              <w:keepLines/>
              <w:spacing w:after="0" w:line="240" w:lineRule="auto"/>
              <w:jc w:val="both"/>
              <w:rPr>
                <w:rFonts w:ascii="Arial" w:eastAsia="Times New Roman" w:hAnsi="Arial" w:cs="Arial"/>
              </w:rPr>
            </w:pPr>
            <w:r w:rsidRPr="001459B8">
              <w:rPr>
                <w:rFonts w:ascii="Arial" w:eastAsia="Times New Roman" w:hAnsi="Arial" w:cs="Arial"/>
              </w:rPr>
              <w:t>Was the submission received at the specified address and by the specified time?</w:t>
            </w:r>
          </w:p>
        </w:tc>
        <w:tc>
          <w:tcPr>
            <w:tcW w:w="346" w:type="pct"/>
            <w:tcBorders>
              <w:top w:val="single" w:sz="12" w:space="0" w:color="auto"/>
            </w:tcBorders>
          </w:tcPr>
          <w:p w14:paraId="3A988B3E" w14:textId="77777777" w:rsidR="001459B8" w:rsidRPr="001459B8" w:rsidRDefault="001459B8" w:rsidP="001459B8">
            <w:pPr>
              <w:keepLines/>
              <w:spacing w:after="240" w:line="240" w:lineRule="auto"/>
              <w:jc w:val="both"/>
              <w:rPr>
                <w:rFonts w:ascii="Arial" w:eastAsia="Times New Roman" w:hAnsi="Arial" w:cs="Arial"/>
              </w:rPr>
            </w:pPr>
          </w:p>
        </w:tc>
        <w:tc>
          <w:tcPr>
            <w:tcW w:w="415" w:type="pct"/>
            <w:tcBorders>
              <w:top w:val="single" w:sz="12" w:space="0" w:color="auto"/>
            </w:tcBorders>
          </w:tcPr>
          <w:p w14:paraId="3A988B3F" w14:textId="77777777" w:rsidR="001459B8" w:rsidRPr="001459B8" w:rsidRDefault="001459B8" w:rsidP="001459B8">
            <w:pPr>
              <w:keepLines/>
              <w:spacing w:after="240" w:line="240" w:lineRule="auto"/>
              <w:jc w:val="both"/>
              <w:rPr>
                <w:rFonts w:ascii="Arial" w:eastAsia="Times New Roman" w:hAnsi="Arial" w:cs="Arial"/>
              </w:rPr>
            </w:pPr>
          </w:p>
        </w:tc>
        <w:tc>
          <w:tcPr>
            <w:tcW w:w="1091" w:type="pct"/>
            <w:tcBorders>
              <w:top w:val="single" w:sz="12" w:space="0" w:color="auto"/>
            </w:tcBorders>
          </w:tcPr>
          <w:p w14:paraId="3A988B40" w14:textId="77777777" w:rsidR="001459B8" w:rsidRPr="001459B8" w:rsidRDefault="001459B8" w:rsidP="001459B8">
            <w:pPr>
              <w:keepLines/>
              <w:spacing w:after="240" w:line="240" w:lineRule="auto"/>
              <w:jc w:val="both"/>
              <w:rPr>
                <w:rFonts w:ascii="Arial" w:eastAsia="Times New Roman" w:hAnsi="Arial" w:cs="Arial"/>
              </w:rPr>
            </w:pPr>
          </w:p>
        </w:tc>
      </w:tr>
      <w:tr w:rsidR="001459B8" w:rsidRPr="001459B8" w14:paraId="3A988B46" w14:textId="77777777" w:rsidTr="008E0BF9">
        <w:tc>
          <w:tcPr>
            <w:tcW w:w="3148" w:type="pct"/>
          </w:tcPr>
          <w:p w14:paraId="3A988B42" w14:textId="77777777" w:rsidR="001459B8" w:rsidRPr="001459B8" w:rsidRDefault="001459B8" w:rsidP="001459B8">
            <w:pPr>
              <w:keepLines/>
              <w:spacing w:after="0" w:line="240" w:lineRule="auto"/>
              <w:jc w:val="both"/>
              <w:rPr>
                <w:rFonts w:ascii="Arial" w:eastAsia="Times New Roman" w:hAnsi="Arial" w:cs="Arial"/>
              </w:rPr>
            </w:pPr>
            <w:r w:rsidRPr="001459B8">
              <w:rPr>
                <w:rFonts w:ascii="Arial" w:eastAsia="Times New Roman" w:hAnsi="Arial" w:cs="Arial"/>
              </w:rPr>
              <w:t>Is the submission in a plain, sealed envelope or package, with no name or mark by which the Tenderer may be identified?</w:t>
            </w:r>
          </w:p>
        </w:tc>
        <w:tc>
          <w:tcPr>
            <w:tcW w:w="346" w:type="pct"/>
          </w:tcPr>
          <w:p w14:paraId="3A988B43" w14:textId="77777777" w:rsidR="001459B8" w:rsidRPr="001459B8" w:rsidRDefault="001459B8" w:rsidP="001459B8">
            <w:pPr>
              <w:keepLines/>
              <w:spacing w:after="240" w:line="240" w:lineRule="auto"/>
              <w:jc w:val="both"/>
              <w:rPr>
                <w:rFonts w:ascii="Arial" w:eastAsia="Times New Roman" w:hAnsi="Arial" w:cs="Arial"/>
              </w:rPr>
            </w:pPr>
          </w:p>
        </w:tc>
        <w:tc>
          <w:tcPr>
            <w:tcW w:w="415" w:type="pct"/>
          </w:tcPr>
          <w:p w14:paraId="3A988B44" w14:textId="77777777" w:rsidR="001459B8" w:rsidRPr="001459B8" w:rsidRDefault="001459B8" w:rsidP="001459B8">
            <w:pPr>
              <w:keepLines/>
              <w:spacing w:after="240" w:line="240" w:lineRule="auto"/>
              <w:jc w:val="both"/>
              <w:rPr>
                <w:rFonts w:ascii="Arial" w:eastAsia="Times New Roman" w:hAnsi="Arial" w:cs="Arial"/>
              </w:rPr>
            </w:pPr>
          </w:p>
        </w:tc>
        <w:tc>
          <w:tcPr>
            <w:tcW w:w="1091" w:type="pct"/>
          </w:tcPr>
          <w:p w14:paraId="3A988B45" w14:textId="77777777" w:rsidR="001459B8" w:rsidRPr="001459B8" w:rsidRDefault="001459B8" w:rsidP="001459B8">
            <w:pPr>
              <w:keepLines/>
              <w:spacing w:after="240" w:line="240" w:lineRule="auto"/>
              <w:jc w:val="both"/>
              <w:rPr>
                <w:rFonts w:ascii="Arial" w:eastAsia="Times New Roman" w:hAnsi="Arial" w:cs="Arial"/>
              </w:rPr>
            </w:pPr>
          </w:p>
        </w:tc>
      </w:tr>
      <w:tr w:rsidR="001459B8" w:rsidRPr="001459B8" w14:paraId="3A988B4B" w14:textId="77777777" w:rsidTr="008E0BF9">
        <w:tc>
          <w:tcPr>
            <w:tcW w:w="3148" w:type="pct"/>
          </w:tcPr>
          <w:p w14:paraId="3A988B47" w14:textId="77777777" w:rsidR="001459B8" w:rsidRPr="001459B8" w:rsidRDefault="00C32524" w:rsidP="00C32524">
            <w:pPr>
              <w:keepLines/>
              <w:tabs>
                <w:tab w:val="left" w:pos="4365"/>
              </w:tabs>
              <w:spacing w:after="0" w:line="240" w:lineRule="auto"/>
              <w:jc w:val="both"/>
              <w:rPr>
                <w:rFonts w:ascii="Arial" w:eastAsia="Times New Roman" w:hAnsi="Arial" w:cs="Arial"/>
              </w:rPr>
            </w:pPr>
            <w:r>
              <w:rPr>
                <w:rFonts w:ascii="Arial" w:eastAsia="Times New Roman" w:hAnsi="Arial" w:cs="Arial"/>
                <w:spacing w:val="-2"/>
              </w:rPr>
              <w:t xml:space="preserve">Has the Tenderer </w:t>
            </w:r>
            <w:r w:rsidR="001459B8" w:rsidRPr="001459B8">
              <w:rPr>
                <w:rFonts w:ascii="Arial" w:eastAsia="Times New Roman" w:hAnsi="Arial" w:cs="Arial"/>
                <w:spacing w:val="-2"/>
              </w:rPr>
              <w:t xml:space="preserve">Signed </w:t>
            </w:r>
            <w:r>
              <w:rPr>
                <w:rFonts w:ascii="Arial" w:eastAsia="Times New Roman" w:hAnsi="Arial" w:cs="Arial"/>
                <w:spacing w:val="-2"/>
              </w:rPr>
              <w:t>and completed DEFFORM 47 (Offer)?</w:t>
            </w:r>
          </w:p>
        </w:tc>
        <w:tc>
          <w:tcPr>
            <w:tcW w:w="346" w:type="pct"/>
          </w:tcPr>
          <w:p w14:paraId="3A988B48" w14:textId="77777777" w:rsidR="001459B8" w:rsidRPr="001459B8" w:rsidRDefault="001459B8" w:rsidP="001459B8">
            <w:pPr>
              <w:keepLines/>
              <w:spacing w:after="240" w:line="240" w:lineRule="auto"/>
              <w:jc w:val="both"/>
              <w:rPr>
                <w:rFonts w:ascii="Arial" w:eastAsia="Times New Roman" w:hAnsi="Arial" w:cs="Arial"/>
              </w:rPr>
            </w:pPr>
          </w:p>
        </w:tc>
        <w:tc>
          <w:tcPr>
            <w:tcW w:w="415" w:type="pct"/>
          </w:tcPr>
          <w:p w14:paraId="3A988B49" w14:textId="77777777" w:rsidR="001459B8" w:rsidRPr="001459B8" w:rsidRDefault="001459B8" w:rsidP="001459B8">
            <w:pPr>
              <w:keepLines/>
              <w:spacing w:after="240" w:line="240" w:lineRule="auto"/>
              <w:jc w:val="both"/>
              <w:rPr>
                <w:rFonts w:ascii="Arial" w:eastAsia="Times New Roman" w:hAnsi="Arial" w:cs="Arial"/>
              </w:rPr>
            </w:pPr>
          </w:p>
        </w:tc>
        <w:tc>
          <w:tcPr>
            <w:tcW w:w="1091" w:type="pct"/>
          </w:tcPr>
          <w:p w14:paraId="3A988B4A" w14:textId="77777777" w:rsidR="001459B8" w:rsidRPr="001459B8" w:rsidRDefault="001459B8" w:rsidP="001459B8">
            <w:pPr>
              <w:keepLines/>
              <w:spacing w:after="240" w:line="240" w:lineRule="auto"/>
              <w:jc w:val="both"/>
              <w:rPr>
                <w:rFonts w:ascii="Arial" w:eastAsia="Times New Roman" w:hAnsi="Arial" w:cs="Arial"/>
              </w:rPr>
            </w:pPr>
          </w:p>
        </w:tc>
      </w:tr>
      <w:tr w:rsidR="001459B8" w:rsidRPr="001459B8" w14:paraId="3A988B50" w14:textId="77777777" w:rsidTr="008E0BF9">
        <w:tc>
          <w:tcPr>
            <w:tcW w:w="3148" w:type="pct"/>
          </w:tcPr>
          <w:p w14:paraId="3A988B4C" w14:textId="77777777" w:rsidR="001459B8" w:rsidRPr="001459B8" w:rsidRDefault="001459B8" w:rsidP="001459B8">
            <w:pPr>
              <w:keepLines/>
              <w:tabs>
                <w:tab w:val="left" w:pos="4365"/>
              </w:tabs>
              <w:spacing w:after="0" w:line="240" w:lineRule="auto"/>
              <w:rPr>
                <w:rFonts w:ascii="Arial" w:eastAsia="Times New Roman" w:hAnsi="Arial" w:cs="Arial"/>
              </w:rPr>
            </w:pPr>
            <w:r w:rsidRPr="001459B8">
              <w:rPr>
                <w:rFonts w:ascii="Arial" w:eastAsia="Times New Roman" w:hAnsi="Arial" w:cs="Arial"/>
              </w:rPr>
              <w:t>Uncondi</w:t>
            </w:r>
            <w:r w:rsidR="00C32524">
              <w:rPr>
                <w:rFonts w:ascii="Arial" w:eastAsia="Times New Roman" w:hAnsi="Arial" w:cs="Arial"/>
              </w:rPr>
              <w:t>tional acceptance of General Contract Provisions</w:t>
            </w:r>
          </w:p>
        </w:tc>
        <w:tc>
          <w:tcPr>
            <w:tcW w:w="346" w:type="pct"/>
          </w:tcPr>
          <w:p w14:paraId="3A988B4D" w14:textId="77777777" w:rsidR="001459B8" w:rsidRPr="001459B8" w:rsidRDefault="001459B8" w:rsidP="001459B8">
            <w:pPr>
              <w:keepLines/>
              <w:spacing w:after="240" w:line="240" w:lineRule="auto"/>
              <w:jc w:val="both"/>
              <w:rPr>
                <w:rFonts w:ascii="Arial" w:eastAsia="Times New Roman" w:hAnsi="Arial" w:cs="Arial"/>
              </w:rPr>
            </w:pPr>
          </w:p>
        </w:tc>
        <w:tc>
          <w:tcPr>
            <w:tcW w:w="415" w:type="pct"/>
          </w:tcPr>
          <w:p w14:paraId="3A988B4E" w14:textId="77777777" w:rsidR="001459B8" w:rsidRPr="001459B8" w:rsidRDefault="001459B8" w:rsidP="001459B8">
            <w:pPr>
              <w:keepLines/>
              <w:spacing w:after="240" w:line="240" w:lineRule="auto"/>
              <w:jc w:val="both"/>
              <w:rPr>
                <w:rFonts w:ascii="Arial" w:eastAsia="Times New Roman" w:hAnsi="Arial" w:cs="Arial"/>
              </w:rPr>
            </w:pPr>
          </w:p>
        </w:tc>
        <w:tc>
          <w:tcPr>
            <w:tcW w:w="1091" w:type="pct"/>
          </w:tcPr>
          <w:p w14:paraId="3A988B4F" w14:textId="77777777" w:rsidR="001459B8" w:rsidRPr="001459B8" w:rsidRDefault="001459B8" w:rsidP="001459B8">
            <w:pPr>
              <w:keepLines/>
              <w:spacing w:after="240" w:line="240" w:lineRule="auto"/>
              <w:jc w:val="both"/>
              <w:rPr>
                <w:rFonts w:ascii="Arial" w:eastAsia="Times New Roman" w:hAnsi="Arial" w:cs="Arial"/>
              </w:rPr>
            </w:pPr>
          </w:p>
        </w:tc>
      </w:tr>
      <w:tr w:rsidR="00C32524" w:rsidRPr="001459B8" w14:paraId="3A988B55" w14:textId="77777777" w:rsidTr="008E0BF9">
        <w:tc>
          <w:tcPr>
            <w:tcW w:w="3148" w:type="pct"/>
          </w:tcPr>
          <w:p w14:paraId="3A988B51" w14:textId="77777777" w:rsidR="00C32524" w:rsidRPr="001459B8" w:rsidRDefault="00C32524" w:rsidP="001459B8">
            <w:pPr>
              <w:keepLines/>
              <w:spacing w:after="0" w:line="240" w:lineRule="auto"/>
              <w:jc w:val="both"/>
              <w:rPr>
                <w:rFonts w:ascii="Arial" w:eastAsia="Times New Roman" w:hAnsi="Arial" w:cs="Arial"/>
              </w:rPr>
            </w:pPr>
            <w:r w:rsidRPr="001459B8">
              <w:rPr>
                <w:rFonts w:ascii="Arial" w:eastAsia="Times New Roman" w:hAnsi="Arial" w:cs="Arial"/>
              </w:rPr>
              <w:t>Has the Tenderer submitted all the necessary Forms, and are they appropriately signed?</w:t>
            </w:r>
          </w:p>
        </w:tc>
        <w:tc>
          <w:tcPr>
            <w:tcW w:w="346" w:type="pct"/>
          </w:tcPr>
          <w:p w14:paraId="3A988B52" w14:textId="77777777" w:rsidR="00C32524" w:rsidRPr="001459B8" w:rsidRDefault="00C32524" w:rsidP="001459B8">
            <w:pPr>
              <w:keepLines/>
              <w:spacing w:after="240" w:line="240" w:lineRule="auto"/>
              <w:jc w:val="both"/>
              <w:rPr>
                <w:rFonts w:ascii="Arial" w:eastAsia="Times New Roman" w:hAnsi="Arial" w:cs="Arial"/>
              </w:rPr>
            </w:pPr>
          </w:p>
        </w:tc>
        <w:tc>
          <w:tcPr>
            <w:tcW w:w="415" w:type="pct"/>
          </w:tcPr>
          <w:p w14:paraId="3A988B53" w14:textId="77777777" w:rsidR="00C32524" w:rsidRPr="001459B8" w:rsidRDefault="00C32524" w:rsidP="001459B8">
            <w:pPr>
              <w:keepLines/>
              <w:spacing w:after="240" w:line="240" w:lineRule="auto"/>
              <w:jc w:val="both"/>
              <w:rPr>
                <w:rFonts w:ascii="Arial" w:eastAsia="Times New Roman" w:hAnsi="Arial" w:cs="Arial"/>
              </w:rPr>
            </w:pPr>
          </w:p>
        </w:tc>
        <w:tc>
          <w:tcPr>
            <w:tcW w:w="1091" w:type="pct"/>
          </w:tcPr>
          <w:p w14:paraId="3A988B54" w14:textId="77777777" w:rsidR="00C32524" w:rsidRPr="001459B8" w:rsidRDefault="00C32524" w:rsidP="001459B8">
            <w:pPr>
              <w:keepLines/>
              <w:spacing w:after="240" w:line="240" w:lineRule="auto"/>
              <w:jc w:val="both"/>
              <w:rPr>
                <w:rFonts w:ascii="Arial" w:eastAsia="Times New Roman" w:hAnsi="Arial" w:cs="Arial"/>
              </w:rPr>
            </w:pPr>
          </w:p>
        </w:tc>
      </w:tr>
      <w:tr w:rsidR="00C32524" w:rsidRPr="001459B8" w14:paraId="3A988B5A" w14:textId="77777777" w:rsidTr="008E0BF9">
        <w:tc>
          <w:tcPr>
            <w:tcW w:w="3148" w:type="pct"/>
          </w:tcPr>
          <w:p w14:paraId="3A988B56" w14:textId="77777777" w:rsidR="00C32524" w:rsidRPr="001459B8" w:rsidRDefault="00C32524" w:rsidP="001459B8">
            <w:pPr>
              <w:keepLines/>
              <w:spacing w:after="0" w:line="240" w:lineRule="auto"/>
              <w:jc w:val="both"/>
              <w:rPr>
                <w:rFonts w:ascii="Arial" w:eastAsia="Times New Roman" w:hAnsi="Arial" w:cs="Arial"/>
              </w:rPr>
            </w:pPr>
            <w:r w:rsidRPr="001459B8">
              <w:rPr>
                <w:rFonts w:ascii="Arial" w:eastAsia="Times New Roman" w:hAnsi="Arial" w:cs="Arial"/>
              </w:rPr>
              <w:t>Has the Tenderer submitted a completed set of compliance statements, technical submission requirements and all requested enclosures?</w:t>
            </w:r>
          </w:p>
        </w:tc>
        <w:tc>
          <w:tcPr>
            <w:tcW w:w="346" w:type="pct"/>
          </w:tcPr>
          <w:p w14:paraId="3A988B57" w14:textId="77777777" w:rsidR="00C32524" w:rsidRPr="001459B8" w:rsidRDefault="00C32524" w:rsidP="001459B8">
            <w:pPr>
              <w:keepLines/>
              <w:spacing w:after="240" w:line="240" w:lineRule="auto"/>
              <w:jc w:val="both"/>
              <w:rPr>
                <w:rFonts w:ascii="Arial" w:eastAsia="Times New Roman" w:hAnsi="Arial" w:cs="Arial"/>
              </w:rPr>
            </w:pPr>
          </w:p>
        </w:tc>
        <w:tc>
          <w:tcPr>
            <w:tcW w:w="415" w:type="pct"/>
          </w:tcPr>
          <w:p w14:paraId="3A988B58" w14:textId="77777777" w:rsidR="00C32524" w:rsidRPr="001459B8" w:rsidRDefault="00C32524" w:rsidP="001459B8">
            <w:pPr>
              <w:keepLines/>
              <w:spacing w:after="240" w:line="240" w:lineRule="auto"/>
              <w:jc w:val="both"/>
              <w:rPr>
                <w:rFonts w:ascii="Arial" w:eastAsia="Times New Roman" w:hAnsi="Arial" w:cs="Arial"/>
              </w:rPr>
            </w:pPr>
          </w:p>
        </w:tc>
        <w:tc>
          <w:tcPr>
            <w:tcW w:w="1091" w:type="pct"/>
          </w:tcPr>
          <w:p w14:paraId="3A988B59" w14:textId="77777777" w:rsidR="00C32524" w:rsidRPr="001459B8" w:rsidRDefault="00C32524" w:rsidP="001459B8">
            <w:pPr>
              <w:keepLines/>
              <w:spacing w:after="240" w:line="240" w:lineRule="auto"/>
              <w:jc w:val="both"/>
              <w:rPr>
                <w:rFonts w:ascii="Arial" w:eastAsia="Times New Roman" w:hAnsi="Arial" w:cs="Arial"/>
              </w:rPr>
            </w:pPr>
          </w:p>
        </w:tc>
      </w:tr>
      <w:tr w:rsidR="00C32524" w:rsidRPr="001459B8" w14:paraId="3A988B5F" w14:textId="77777777" w:rsidTr="00267545">
        <w:tc>
          <w:tcPr>
            <w:tcW w:w="3148" w:type="pct"/>
          </w:tcPr>
          <w:p w14:paraId="3A988B5B" w14:textId="77777777" w:rsidR="00C32524" w:rsidRPr="001459B8" w:rsidRDefault="00C32524" w:rsidP="001459B8">
            <w:pPr>
              <w:keepLines/>
              <w:spacing w:after="0" w:line="240" w:lineRule="auto"/>
              <w:jc w:val="both"/>
              <w:rPr>
                <w:rFonts w:ascii="Arial" w:eastAsia="Times New Roman" w:hAnsi="Arial" w:cs="Arial"/>
              </w:rPr>
            </w:pPr>
            <w:r w:rsidRPr="001459B8">
              <w:rPr>
                <w:rFonts w:ascii="Arial" w:eastAsia="Times New Roman" w:hAnsi="Arial" w:cs="Arial"/>
              </w:rPr>
              <w:t>Has the Tenderer submitted a complete set of prices in the Schedule of Requirements, and have all the items been priced?</w:t>
            </w:r>
          </w:p>
        </w:tc>
        <w:tc>
          <w:tcPr>
            <w:tcW w:w="346" w:type="pct"/>
          </w:tcPr>
          <w:p w14:paraId="3A988B5C" w14:textId="77777777" w:rsidR="00C32524" w:rsidRPr="001459B8" w:rsidRDefault="00C32524" w:rsidP="001459B8">
            <w:pPr>
              <w:keepLines/>
              <w:spacing w:after="240" w:line="240" w:lineRule="auto"/>
              <w:jc w:val="both"/>
              <w:rPr>
                <w:rFonts w:ascii="Arial" w:eastAsia="Times New Roman" w:hAnsi="Arial" w:cs="Arial"/>
              </w:rPr>
            </w:pPr>
          </w:p>
        </w:tc>
        <w:tc>
          <w:tcPr>
            <w:tcW w:w="415" w:type="pct"/>
          </w:tcPr>
          <w:p w14:paraId="3A988B5D" w14:textId="77777777" w:rsidR="00C32524" w:rsidRPr="001459B8" w:rsidRDefault="00C32524" w:rsidP="001459B8">
            <w:pPr>
              <w:keepLines/>
              <w:spacing w:after="240" w:line="240" w:lineRule="auto"/>
              <w:jc w:val="both"/>
              <w:rPr>
                <w:rFonts w:ascii="Arial" w:eastAsia="Times New Roman" w:hAnsi="Arial" w:cs="Arial"/>
              </w:rPr>
            </w:pPr>
          </w:p>
        </w:tc>
        <w:tc>
          <w:tcPr>
            <w:tcW w:w="1091" w:type="pct"/>
          </w:tcPr>
          <w:p w14:paraId="3A988B5E" w14:textId="77777777" w:rsidR="00C32524" w:rsidRPr="001459B8" w:rsidRDefault="00C32524" w:rsidP="001459B8">
            <w:pPr>
              <w:keepLines/>
              <w:spacing w:after="240" w:line="240" w:lineRule="auto"/>
              <w:jc w:val="both"/>
              <w:rPr>
                <w:rFonts w:ascii="Arial" w:eastAsia="Times New Roman" w:hAnsi="Arial" w:cs="Arial"/>
              </w:rPr>
            </w:pPr>
          </w:p>
        </w:tc>
      </w:tr>
      <w:tr w:rsidR="00267545" w:rsidRPr="001459B8" w14:paraId="3E7B388B" w14:textId="77777777" w:rsidTr="002B78DD">
        <w:tc>
          <w:tcPr>
            <w:tcW w:w="3148" w:type="pct"/>
            <w:tcBorders>
              <w:bottom w:val="single" w:sz="12" w:space="0" w:color="auto"/>
            </w:tcBorders>
          </w:tcPr>
          <w:p w14:paraId="236459A9" w14:textId="43E8B10F" w:rsidR="00267545" w:rsidRPr="001459B8" w:rsidRDefault="00267545" w:rsidP="001459B8">
            <w:pPr>
              <w:keepLines/>
              <w:spacing w:after="0" w:line="240" w:lineRule="auto"/>
              <w:jc w:val="both"/>
              <w:rPr>
                <w:rFonts w:ascii="Arial" w:eastAsia="Times New Roman" w:hAnsi="Arial" w:cs="Arial"/>
              </w:rPr>
            </w:pPr>
            <w:r>
              <w:rPr>
                <w:rFonts w:ascii="Arial" w:eastAsia="Times New Roman" w:hAnsi="Arial" w:cs="Arial"/>
              </w:rPr>
              <w:t>Has the Tenderer confirmed willingness to provide an indemnity DEFFORM 24A?</w:t>
            </w:r>
          </w:p>
        </w:tc>
        <w:tc>
          <w:tcPr>
            <w:tcW w:w="346" w:type="pct"/>
          </w:tcPr>
          <w:p w14:paraId="5BD07126" w14:textId="77777777" w:rsidR="00267545" w:rsidRPr="001459B8" w:rsidRDefault="00267545" w:rsidP="001459B8">
            <w:pPr>
              <w:keepLines/>
              <w:spacing w:after="240" w:line="240" w:lineRule="auto"/>
              <w:jc w:val="both"/>
              <w:rPr>
                <w:rFonts w:ascii="Arial" w:eastAsia="Times New Roman" w:hAnsi="Arial" w:cs="Arial"/>
              </w:rPr>
            </w:pPr>
          </w:p>
        </w:tc>
        <w:tc>
          <w:tcPr>
            <w:tcW w:w="415" w:type="pct"/>
          </w:tcPr>
          <w:p w14:paraId="6691A6F4" w14:textId="77777777" w:rsidR="00267545" w:rsidRPr="001459B8" w:rsidRDefault="00267545" w:rsidP="001459B8">
            <w:pPr>
              <w:keepLines/>
              <w:spacing w:after="240" w:line="240" w:lineRule="auto"/>
              <w:jc w:val="both"/>
              <w:rPr>
                <w:rFonts w:ascii="Arial" w:eastAsia="Times New Roman" w:hAnsi="Arial" w:cs="Arial"/>
              </w:rPr>
            </w:pPr>
          </w:p>
        </w:tc>
        <w:tc>
          <w:tcPr>
            <w:tcW w:w="1091" w:type="pct"/>
          </w:tcPr>
          <w:p w14:paraId="7CBECAE9" w14:textId="77777777" w:rsidR="00267545" w:rsidRPr="001459B8" w:rsidRDefault="00267545" w:rsidP="001459B8">
            <w:pPr>
              <w:keepLines/>
              <w:spacing w:after="240" w:line="240" w:lineRule="auto"/>
              <w:jc w:val="both"/>
              <w:rPr>
                <w:rFonts w:ascii="Arial" w:eastAsia="Times New Roman" w:hAnsi="Arial" w:cs="Arial"/>
              </w:rPr>
            </w:pPr>
          </w:p>
        </w:tc>
      </w:tr>
    </w:tbl>
    <w:p w14:paraId="3A988B60" w14:textId="77777777" w:rsidR="001459B8" w:rsidRDefault="001459B8" w:rsidP="001459B8">
      <w:pPr>
        <w:keepLines/>
        <w:spacing w:after="0" w:line="240" w:lineRule="auto"/>
        <w:rPr>
          <w:rFonts w:ascii="Arial" w:eastAsia="Times New Roman" w:hAnsi="Arial" w:cs="Arial"/>
        </w:rPr>
      </w:pPr>
    </w:p>
    <w:p w14:paraId="3A988B61" w14:textId="77777777" w:rsidR="001459B8" w:rsidRDefault="001459B8" w:rsidP="001459B8">
      <w:pPr>
        <w:keepLines/>
        <w:spacing w:after="0" w:line="240" w:lineRule="auto"/>
        <w:rPr>
          <w:rFonts w:ascii="Arial" w:eastAsia="Times New Roman" w:hAnsi="Arial" w:cs="Arial"/>
        </w:rPr>
      </w:pPr>
      <w:r w:rsidRPr="001459B8">
        <w:rPr>
          <w:rFonts w:ascii="Arial" w:eastAsia="Times New Roman" w:hAnsi="Arial" w:cs="Arial"/>
        </w:rPr>
        <w:t>The outcome of Stage 1 shall be at the absolute discretion of the Authority. Tenders satisfying the requirements of this stage will proceed to Stage 2 where they will be assessed, scored and ranked in order of merit taking account of cost and technical capability.</w:t>
      </w:r>
    </w:p>
    <w:p w14:paraId="3A988B62" w14:textId="77777777" w:rsidR="001459B8" w:rsidRDefault="001459B8" w:rsidP="001459B8">
      <w:pPr>
        <w:keepLines/>
        <w:spacing w:after="0" w:line="240" w:lineRule="auto"/>
        <w:rPr>
          <w:rFonts w:ascii="Arial" w:eastAsia="Times New Roman" w:hAnsi="Arial" w:cs="Arial"/>
        </w:rPr>
      </w:pPr>
    </w:p>
    <w:p w14:paraId="3A988B63" w14:textId="77777777" w:rsidR="001459B8" w:rsidRDefault="001459B8" w:rsidP="001459B8">
      <w:pPr>
        <w:keepLines/>
        <w:spacing w:after="0" w:line="240" w:lineRule="auto"/>
        <w:rPr>
          <w:rFonts w:ascii="Arial" w:eastAsia="Times New Roman" w:hAnsi="Arial" w:cs="Arial"/>
          <w:b/>
          <w:kern w:val="32"/>
        </w:rPr>
      </w:pPr>
      <w:r w:rsidRPr="001459B8">
        <w:rPr>
          <w:rFonts w:ascii="Arial" w:eastAsia="Times New Roman" w:hAnsi="Arial" w:cs="Arial"/>
          <w:b/>
          <w:kern w:val="32"/>
        </w:rPr>
        <w:t>STAGE 2</w:t>
      </w:r>
      <w:r w:rsidRPr="001459B8">
        <w:rPr>
          <w:rFonts w:ascii="Arial" w:eastAsia="Times New Roman" w:hAnsi="Arial" w:cs="Arial"/>
          <w:b/>
          <w:kern w:val="32"/>
        </w:rPr>
        <w:tab/>
        <w:t>TECHNICAL/PRICING EVALUATION</w:t>
      </w:r>
    </w:p>
    <w:p w14:paraId="3A988B64" w14:textId="77777777" w:rsidR="001459B8" w:rsidRDefault="001459B8" w:rsidP="001459B8">
      <w:pPr>
        <w:keepLines/>
        <w:spacing w:after="0" w:line="240" w:lineRule="auto"/>
        <w:rPr>
          <w:rFonts w:ascii="Arial" w:eastAsia="Times New Roman" w:hAnsi="Arial" w:cs="Arial"/>
          <w:szCs w:val="24"/>
        </w:rPr>
      </w:pPr>
      <w:r w:rsidRPr="001459B8">
        <w:rPr>
          <w:rFonts w:ascii="Arial" w:eastAsia="Times New Roman" w:hAnsi="Arial" w:cs="Arial"/>
          <w:b/>
          <w:kern w:val="32"/>
        </w:rPr>
        <w:br/>
      </w:r>
      <w:r w:rsidRPr="001459B8">
        <w:rPr>
          <w:rFonts w:ascii="Arial" w:eastAsia="Times New Roman" w:hAnsi="Arial" w:cs="Arial"/>
          <w:szCs w:val="24"/>
        </w:rPr>
        <w:t xml:space="preserve">The evaluation will be scored out of 100 and the split will be 70/30 Technical/Pricing. </w:t>
      </w:r>
    </w:p>
    <w:p w14:paraId="3A988B65" w14:textId="77777777" w:rsidR="001459B8" w:rsidRDefault="001459B8" w:rsidP="001459B8">
      <w:pPr>
        <w:keepLines/>
        <w:spacing w:after="0" w:line="240" w:lineRule="auto"/>
        <w:rPr>
          <w:rFonts w:ascii="Arial" w:eastAsia="Times New Roman" w:hAnsi="Arial" w:cs="Arial"/>
          <w:szCs w:val="24"/>
        </w:rPr>
      </w:pPr>
    </w:p>
    <w:p w14:paraId="3A988B66" w14:textId="77777777" w:rsidR="001459B8" w:rsidRDefault="001459B8" w:rsidP="001459B8">
      <w:pPr>
        <w:keepLines/>
        <w:spacing w:after="0" w:line="240" w:lineRule="auto"/>
        <w:rPr>
          <w:rFonts w:ascii="Arial" w:eastAsia="Times New Roman" w:hAnsi="Arial" w:cs="Arial"/>
          <w:b/>
          <w:kern w:val="32"/>
          <w:u w:val="single"/>
        </w:rPr>
      </w:pPr>
      <w:r w:rsidRPr="001459B8">
        <w:rPr>
          <w:rFonts w:ascii="Arial" w:eastAsia="Times New Roman" w:hAnsi="Arial" w:cs="Arial"/>
          <w:b/>
          <w:szCs w:val="24"/>
          <w:u w:val="single"/>
        </w:rPr>
        <w:t>T</w:t>
      </w:r>
      <w:r w:rsidRPr="001459B8">
        <w:rPr>
          <w:rFonts w:ascii="Arial" w:eastAsia="Times New Roman" w:hAnsi="Arial" w:cs="Arial"/>
          <w:b/>
          <w:kern w:val="32"/>
          <w:u w:val="single"/>
        </w:rPr>
        <w:t xml:space="preserve">echnical Evaluation </w:t>
      </w:r>
    </w:p>
    <w:p w14:paraId="3A988B67" w14:textId="77777777" w:rsidR="001459B8" w:rsidRDefault="001459B8" w:rsidP="001459B8">
      <w:pPr>
        <w:keepLines/>
        <w:spacing w:after="0" w:line="240" w:lineRule="auto"/>
        <w:rPr>
          <w:rFonts w:ascii="Arial" w:eastAsia="Times New Roman" w:hAnsi="Arial" w:cs="Arial"/>
          <w:szCs w:val="24"/>
        </w:rPr>
      </w:pPr>
      <w:r w:rsidRPr="001459B8">
        <w:rPr>
          <w:rFonts w:ascii="Arial" w:eastAsia="Times New Roman" w:hAnsi="Arial" w:cs="Arial"/>
          <w:b/>
          <w:kern w:val="32"/>
        </w:rPr>
        <w:t>(70% of overall tender evaluation)</w:t>
      </w:r>
      <w:r w:rsidRPr="001459B8">
        <w:rPr>
          <w:rFonts w:ascii="Arial" w:eastAsia="Times New Roman" w:hAnsi="Arial" w:cs="Arial"/>
          <w:szCs w:val="24"/>
        </w:rPr>
        <w:t xml:space="preserve"> </w:t>
      </w:r>
    </w:p>
    <w:p w14:paraId="3A988B68" w14:textId="77777777" w:rsidR="001459B8" w:rsidRDefault="001459B8" w:rsidP="001459B8">
      <w:pPr>
        <w:keepLines/>
        <w:spacing w:after="0" w:line="240" w:lineRule="auto"/>
        <w:rPr>
          <w:rFonts w:ascii="Arial" w:eastAsia="Times New Roman" w:hAnsi="Arial" w:cs="Arial"/>
          <w:b/>
          <w:kern w:val="32"/>
        </w:rPr>
      </w:pPr>
      <w:r w:rsidRPr="001459B8">
        <w:rPr>
          <w:rFonts w:ascii="Arial" w:eastAsia="Times New Roman" w:hAnsi="Arial" w:cs="Arial"/>
          <w:szCs w:val="24"/>
        </w:rPr>
        <w:t xml:space="preserve">A score of 70 will be allocated to the best technically compliant bid and the technical scores of the other bids will be calculated using a percentage (%) difference method. </w:t>
      </w:r>
      <w:r w:rsidRPr="001459B8">
        <w:rPr>
          <w:rFonts w:ascii="Arial" w:eastAsia="Times New Roman" w:hAnsi="Arial" w:cs="Arial"/>
          <w:szCs w:val="24"/>
        </w:rPr>
        <w:br/>
      </w:r>
    </w:p>
    <w:p w14:paraId="10F00EC4" w14:textId="77777777" w:rsidR="00A15AD2" w:rsidRDefault="001459B8" w:rsidP="00A15AD2">
      <w:pPr>
        <w:keepLines/>
        <w:spacing w:after="0" w:line="240" w:lineRule="auto"/>
        <w:rPr>
          <w:rFonts w:ascii="Arial" w:eastAsia="Times New Roman" w:hAnsi="Arial" w:cs="Arial"/>
          <w:szCs w:val="24"/>
        </w:rPr>
      </w:pPr>
      <w:r w:rsidRPr="001459B8">
        <w:rPr>
          <w:rFonts w:ascii="Arial" w:eastAsia="Times New Roman" w:hAnsi="Arial" w:cs="Arial"/>
          <w:szCs w:val="24"/>
        </w:rPr>
        <w:lastRenderedPageBreak/>
        <w:br/>
      </w:r>
      <w:r w:rsidRPr="001459B8">
        <w:rPr>
          <w:rFonts w:ascii="Arial" w:eastAsia="Times New Roman" w:hAnsi="Arial" w:cs="Arial"/>
          <w:kern w:val="32"/>
        </w:rPr>
        <w:t>Tenderers must provide a compliance statement for each ID in the System Requirements Document</w:t>
      </w:r>
      <w:r>
        <w:rPr>
          <w:rFonts w:ascii="Arial" w:eastAsia="Times New Roman" w:hAnsi="Arial" w:cs="Arial"/>
          <w:kern w:val="32"/>
        </w:rPr>
        <w:t xml:space="preserve"> (SRD) listed on the Technical Marking Matrix.</w:t>
      </w:r>
      <w:r w:rsidRPr="001459B8">
        <w:rPr>
          <w:rFonts w:ascii="Arial" w:eastAsia="Times New Roman" w:hAnsi="Arial" w:cs="Arial"/>
          <w:kern w:val="32"/>
        </w:rPr>
        <w:br/>
      </w:r>
      <w:r w:rsidRPr="001459B8">
        <w:rPr>
          <w:rFonts w:ascii="Arial" w:eastAsia="Times New Roman" w:hAnsi="Arial" w:cs="Arial"/>
          <w:szCs w:val="24"/>
          <w:lang w:val="x-none"/>
        </w:rPr>
        <w:t xml:space="preserve">Tenderers must ensure that, when responding, each ID must be addressed by the provision of a full compliance statement, individually and in order.  For each requirement there should be supporting evidence on compliance: i.e. just stating ‘compliant’ will not be sufficient.  Tenderers should also comply with all additional instructions contained within the requirements specified in the Technical Evaluation Matrix. </w:t>
      </w:r>
      <w:r w:rsidRPr="001459B8">
        <w:rPr>
          <w:rFonts w:ascii="Arial" w:eastAsia="Times New Roman" w:hAnsi="Arial" w:cs="Arial"/>
          <w:szCs w:val="24"/>
          <w:lang w:val="x-none"/>
        </w:rPr>
        <w:br/>
      </w:r>
      <w:r w:rsidRPr="001459B8">
        <w:rPr>
          <w:rFonts w:ascii="Arial" w:eastAsia="Times New Roman" w:hAnsi="Arial" w:cs="Arial"/>
          <w:szCs w:val="24"/>
          <w:lang w:val="x-none"/>
        </w:rPr>
        <w:br/>
        <w:t xml:space="preserve">Tenderers’ </w:t>
      </w:r>
      <w:r w:rsidRPr="001459B8">
        <w:rPr>
          <w:rFonts w:ascii="Arial" w:eastAsia="Times New Roman" w:hAnsi="Arial" w:cs="Arial"/>
          <w:b/>
          <w:szCs w:val="24"/>
          <w:lang w:val="x-none"/>
        </w:rPr>
        <w:t>must</w:t>
      </w:r>
      <w:r w:rsidRPr="001459B8">
        <w:rPr>
          <w:rFonts w:ascii="Arial" w:eastAsia="Times New Roman" w:hAnsi="Arial" w:cs="Arial"/>
          <w:szCs w:val="24"/>
          <w:lang w:val="x-none"/>
        </w:rPr>
        <w:t xml:space="preserve"> submit responses to ALL requirements specified in the Technical Evaluation Matrix.</w:t>
      </w:r>
      <w:r w:rsidRPr="001459B8">
        <w:rPr>
          <w:rFonts w:ascii="Arial" w:eastAsia="Times New Roman" w:hAnsi="Arial" w:cs="Arial"/>
          <w:szCs w:val="24"/>
          <w:lang w:val="x-none"/>
        </w:rPr>
        <w:br/>
      </w:r>
      <w:r w:rsidRPr="001459B8">
        <w:rPr>
          <w:rFonts w:ascii="Arial" w:eastAsia="Times New Roman" w:hAnsi="Arial" w:cs="Arial"/>
          <w:szCs w:val="24"/>
          <w:lang w:val="x-none"/>
        </w:rPr>
        <w:br/>
      </w:r>
      <w:r w:rsidRPr="001459B8">
        <w:rPr>
          <w:rFonts w:ascii="Arial" w:eastAsia="Times New Roman" w:hAnsi="Arial" w:cs="Arial"/>
          <w:b/>
          <w:color w:val="000000"/>
          <w:lang w:eastAsia="en-GB"/>
        </w:rPr>
        <w:t>Weighting</w:t>
      </w:r>
      <w:r w:rsidR="00AC394E">
        <w:rPr>
          <w:rFonts w:ascii="Arial" w:eastAsia="Times New Roman" w:hAnsi="Arial" w:cs="Arial"/>
          <w:szCs w:val="24"/>
          <w:lang w:val="x-none"/>
        </w:rPr>
        <w:br/>
      </w:r>
    </w:p>
    <w:p w14:paraId="7920C843" w14:textId="64731EA3" w:rsidR="00A15AD2" w:rsidRDefault="00A15AD2" w:rsidP="00A15AD2">
      <w:pPr>
        <w:keepLines/>
        <w:spacing w:after="240" w:line="240" w:lineRule="auto"/>
        <w:rPr>
          <w:rFonts w:ascii="Arial" w:eastAsia="Times New Roman" w:hAnsi="Arial" w:cs="Arial"/>
          <w:szCs w:val="24"/>
        </w:rPr>
      </w:pPr>
      <w:r>
        <w:rPr>
          <w:rFonts w:ascii="Arial" w:eastAsia="Times New Roman" w:hAnsi="Arial" w:cs="Arial"/>
          <w:szCs w:val="24"/>
        </w:rPr>
        <w:t>See Marking Matrix for BATUK SRD</w:t>
      </w:r>
    </w:p>
    <w:p w14:paraId="3A988B6C" w14:textId="77777777" w:rsidR="001459B8" w:rsidRPr="001459B8" w:rsidRDefault="001459B8" w:rsidP="00AC394E">
      <w:pPr>
        <w:keepLines/>
        <w:spacing w:after="240" w:line="240" w:lineRule="auto"/>
        <w:rPr>
          <w:rFonts w:ascii="Arial" w:eastAsia="Times New Roman" w:hAnsi="Arial" w:cs="Arial"/>
          <w:b/>
          <w:szCs w:val="24"/>
          <w:u w:val="single"/>
          <w:lang w:val="x-none"/>
        </w:rPr>
      </w:pPr>
      <w:r w:rsidRPr="001459B8">
        <w:rPr>
          <w:rFonts w:ascii="Arial" w:eastAsia="Times New Roman" w:hAnsi="Arial" w:cs="Arial"/>
          <w:b/>
          <w:szCs w:val="24"/>
          <w:u w:val="single"/>
          <w:lang w:val="x-none"/>
        </w:rPr>
        <w:br/>
        <w:t>Pricing Evaluation</w:t>
      </w:r>
    </w:p>
    <w:p w14:paraId="3A988B6D" w14:textId="77777777" w:rsidR="001459B8" w:rsidRPr="001459B8" w:rsidRDefault="001459B8" w:rsidP="001459B8">
      <w:pPr>
        <w:keepNext/>
        <w:keepLines/>
        <w:overflowPunct w:val="0"/>
        <w:autoSpaceDE w:val="0"/>
        <w:autoSpaceDN w:val="0"/>
        <w:adjustRightInd w:val="0"/>
        <w:spacing w:after="240" w:line="240" w:lineRule="auto"/>
        <w:jc w:val="both"/>
        <w:textAlignment w:val="baseline"/>
        <w:outlineLvl w:val="0"/>
        <w:rPr>
          <w:rFonts w:ascii="Arial" w:eastAsia="Times New Roman" w:hAnsi="Arial" w:cs="Arial"/>
          <w:b/>
          <w:kern w:val="32"/>
        </w:rPr>
      </w:pPr>
      <w:r w:rsidRPr="001459B8">
        <w:rPr>
          <w:rFonts w:ascii="Arial" w:eastAsia="Times New Roman" w:hAnsi="Arial" w:cs="Arial"/>
          <w:b/>
          <w:kern w:val="32"/>
        </w:rPr>
        <w:t>(30% of overall tender evaluation)</w:t>
      </w:r>
    </w:p>
    <w:p w14:paraId="3A988B6E" w14:textId="77777777" w:rsidR="001459B8" w:rsidRPr="001459B8" w:rsidRDefault="001459B8" w:rsidP="001459B8">
      <w:pPr>
        <w:keepLines/>
        <w:spacing w:after="0" w:line="240" w:lineRule="auto"/>
        <w:jc w:val="both"/>
        <w:rPr>
          <w:rFonts w:ascii="Arial" w:eastAsia="Times New Roman" w:hAnsi="Arial" w:cs="Arial"/>
          <w:szCs w:val="24"/>
        </w:rPr>
      </w:pPr>
      <w:r w:rsidRPr="001459B8">
        <w:rPr>
          <w:rFonts w:ascii="Arial" w:eastAsia="Times New Roman" w:hAnsi="Arial" w:cs="Arial"/>
          <w:szCs w:val="24"/>
        </w:rPr>
        <w:t>A score of 30 will be allocated to the best value for money compliant bid (based on a comparison of each tender using the Price Evaluation Matrix below), and the price scores of the other bids will be calculated using a percentage (%) difference method.</w:t>
      </w:r>
    </w:p>
    <w:p w14:paraId="3A988B6F" w14:textId="77777777" w:rsidR="001459B8" w:rsidRPr="001459B8" w:rsidRDefault="001459B8" w:rsidP="001459B8">
      <w:pPr>
        <w:keepLines/>
        <w:spacing w:after="0" w:line="240" w:lineRule="auto"/>
        <w:jc w:val="both"/>
        <w:rPr>
          <w:rFonts w:ascii="Arial" w:eastAsia="Times New Roman" w:hAnsi="Arial" w:cs="Arial"/>
          <w:szCs w:val="24"/>
          <w:lang w:val="x-none"/>
        </w:rPr>
      </w:pPr>
    </w:p>
    <w:p w14:paraId="3A988B70" w14:textId="77777777" w:rsidR="001459B8" w:rsidRPr="001459B8" w:rsidRDefault="001459B8" w:rsidP="001459B8">
      <w:pPr>
        <w:keepLines/>
        <w:spacing w:after="0" w:line="240" w:lineRule="auto"/>
        <w:jc w:val="both"/>
        <w:rPr>
          <w:rFonts w:ascii="Arial" w:eastAsia="Times New Roman" w:hAnsi="Arial" w:cs="Arial"/>
          <w:szCs w:val="24"/>
          <w:lang w:val="x-none"/>
        </w:rPr>
      </w:pPr>
      <w:r w:rsidRPr="001459B8">
        <w:rPr>
          <w:rFonts w:ascii="Arial" w:eastAsia="Times New Roman" w:hAnsi="Arial" w:cs="Arial"/>
          <w:szCs w:val="24"/>
          <w:lang w:val="x-none"/>
        </w:rPr>
        <w:t>Tenderers who meet the minimum requirements shall be invited to bid at the Reverse Auction in accordance with DEFFROM 47 appendix B and D.</w:t>
      </w:r>
    </w:p>
    <w:p w14:paraId="3A988B71" w14:textId="77777777" w:rsidR="001459B8" w:rsidRPr="001459B8" w:rsidRDefault="001459B8" w:rsidP="001459B8">
      <w:pPr>
        <w:keepLines/>
        <w:spacing w:after="0" w:line="240" w:lineRule="auto"/>
        <w:jc w:val="both"/>
        <w:rPr>
          <w:rFonts w:ascii="Arial" w:eastAsia="Times New Roman" w:hAnsi="Arial" w:cs="Arial"/>
          <w:szCs w:val="24"/>
          <w:highlight w:val="yellow"/>
          <w:lang w:val="x-none"/>
        </w:rPr>
      </w:pPr>
    </w:p>
    <w:p w14:paraId="3A988B72" w14:textId="77777777" w:rsidR="001459B8" w:rsidRPr="001459B8" w:rsidRDefault="001459B8" w:rsidP="001459B8">
      <w:pPr>
        <w:keepLines/>
        <w:spacing w:after="0" w:line="240" w:lineRule="auto"/>
        <w:jc w:val="both"/>
        <w:rPr>
          <w:rFonts w:ascii="Arial" w:eastAsia="Times New Roman" w:hAnsi="Arial" w:cs="Arial"/>
          <w:szCs w:val="24"/>
          <w:lang w:val="x-none"/>
        </w:rPr>
      </w:pPr>
    </w:p>
    <w:p w14:paraId="3A988B73" w14:textId="77777777" w:rsidR="00287872" w:rsidRDefault="00287872"/>
    <w:sectPr w:rsidR="00287872" w:rsidSect="00C572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B8"/>
    <w:rsid w:val="000D16B2"/>
    <w:rsid w:val="001459B8"/>
    <w:rsid w:val="002462B9"/>
    <w:rsid w:val="00267545"/>
    <w:rsid w:val="00287872"/>
    <w:rsid w:val="004216F8"/>
    <w:rsid w:val="007C4091"/>
    <w:rsid w:val="00965EF7"/>
    <w:rsid w:val="00A15AD2"/>
    <w:rsid w:val="00AC394E"/>
    <w:rsid w:val="00B730A0"/>
    <w:rsid w:val="00C32524"/>
    <w:rsid w:val="00C90174"/>
    <w:rsid w:val="00F75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8B34"/>
  <w15:docId w15:val="{0FF7461E-793B-4DB0-949C-920C4E82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56C7-8760-416A-A94B-4DC056A86FC8}">
  <ds:schemaRefs>
    <ds:schemaRef ds:uri="89A30754-3814-4C3A-BD67-0E91F1E2E12D"/>
    <ds:schemaRef ds:uri="http://www.w3.org/XML/1998/namespace"/>
    <ds:schemaRef ds:uri="http://schemas.microsoft.com/office/2006/metadata/properties"/>
    <ds:schemaRef ds:uri="http://schemas.microsoft.com/sharepoint/v3"/>
    <ds:schemaRef ds:uri="http://schemas.microsoft.com/office/2006/documentManagement/types"/>
    <ds:schemaRef ds:uri="http://purl.org/dc/terms/"/>
    <ds:schemaRef ds:uri="http://purl.org/dc/dcmitype/"/>
    <ds:schemaRef ds:uri="89a30754-3814-4c3a-bd67-0e91f1e2e12d"/>
    <ds:schemaRef ds:uri="http://purl.org/dc/elements/1.1/"/>
    <ds:schemaRef ds:uri="http://schemas.openxmlformats.org/package/2006/metadata/core-properties"/>
    <ds:schemaRef ds:uri="9fc42b67-4d33-4a6c-8e43-58e479977812"/>
  </ds:schemaRefs>
</ds:datastoreItem>
</file>

<file path=customXml/itemProps2.xml><?xml version="1.0" encoding="utf-8"?>
<ds:datastoreItem xmlns:ds="http://schemas.openxmlformats.org/officeDocument/2006/customXml" ds:itemID="{681160C5-27D4-4306-B4DD-B4E1C6D4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46FFA6-9D4E-4F96-B66E-D665924E7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_DEFFORM47 Evaluation Tool</vt:lpstr>
    </vt:vector>
  </TitlesOfParts>
  <Company>Ministry of Defence</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_DEFFORM47 Evaluation Tool</dc:title>
  <dc:creator>Cole, Tracey C2 (ISS Comrcl-Networks-C2-03)</dc:creator>
  <cp:lastModifiedBy>Barnes, Sarah  (ISS Comrcl-Networks-D-01)</cp:lastModifiedBy>
  <cp:revision>2</cp:revision>
  <cp:lastPrinted>2016-11-16T12:04:00Z</cp:lastPrinted>
  <dcterms:created xsi:type="dcterms:W3CDTF">2017-02-27T15:04:00Z</dcterms:created>
  <dcterms:modified xsi:type="dcterms:W3CDTF">2017-02-27T15:04:00Z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