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jc w:val="right"/>
      </w:pPr>
    </w:p>
    <w:p w:rsidR="00AC19CC" w:rsidRDefault="00AC19CC" w:rsidP="009D671A">
      <w:pPr>
        <w:pBdr>
          <w:top w:val="none" w:sz="0" w:space="0" w:color="auto"/>
          <w:left w:val="none" w:sz="0" w:space="0" w:color="auto"/>
          <w:bottom w:val="none" w:sz="0" w:space="0" w:color="auto"/>
          <w:right w:val="none" w:sz="0" w:space="0" w:color="auto"/>
          <w:bar w:val="none" w:sz="0" w:color="auto"/>
        </w:pBdr>
        <w:jc w:val="right"/>
      </w:pPr>
    </w:p>
    <w:p w:rsidR="00AC19CC" w:rsidRDefault="00AC19CC" w:rsidP="009D671A">
      <w:pPr>
        <w:pBdr>
          <w:top w:val="none" w:sz="0" w:space="0" w:color="auto"/>
          <w:left w:val="none" w:sz="0" w:space="0" w:color="auto"/>
          <w:bottom w:val="none" w:sz="0" w:space="0" w:color="auto"/>
          <w:right w:val="none" w:sz="0" w:space="0" w:color="auto"/>
          <w:bar w:val="none" w:sz="0" w:color="auto"/>
        </w:pBdr>
        <w:jc w:val="right"/>
      </w:pPr>
    </w:p>
    <w:p w:rsidR="00AC19CC" w:rsidRDefault="007945EF" w:rsidP="009D671A">
      <w:pPr>
        <w:pBdr>
          <w:top w:val="none" w:sz="0" w:space="0" w:color="auto"/>
          <w:left w:val="none" w:sz="0" w:space="0" w:color="auto"/>
          <w:bottom w:val="none" w:sz="0" w:space="0" w:color="auto"/>
          <w:right w:val="none" w:sz="0" w:space="0" w:color="auto"/>
          <w:bar w:val="none" w:sz="0" w:color="auto"/>
        </w:pBdr>
        <w:jc w:val="right"/>
      </w:pPr>
      <w:r>
        <w:rPr>
          <w:rFonts w:ascii="Calibri" w:hAnsi="Calibri"/>
          <w:b/>
          <w:noProof/>
          <w:sz w:val="24"/>
          <w:szCs w:val="24"/>
          <w:lang w:val="en-GB" w:eastAsia="en-GB"/>
        </w:rPr>
        <w:drawing>
          <wp:inline distT="0" distB="0" distL="0" distR="0" wp14:anchorId="13680818" wp14:editId="190B4368">
            <wp:extent cx="2552700" cy="504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504825"/>
                    </a:xfrm>
                    <a:prstGeom prst="rect">
                      <a:avLst/>
                    </a:prstGeom>
                    <a:noFill/>
                    <a:ln>
                      <a:noFill/>
                    </a:ln>
                  </pic:spPr>
                </pic:pic>
              </a:graphicData>
            </a:graphic>
          </wp:inline>
        </w:drawing>
      </w: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7945EF" w:rsidP="009D671A">
      <w:pPr>
        <w:pBdr>
          <w:top w:val="none" w:sz="0" w:space="0" w:color="auto"/>
          <w:left w:val="none" w:sz="0" w:space="0" w:color="auto"/>
          <w:bottom w:val="none" w:sz="0" w:space="0" w:color="auto"/>
          <w:right w:val="none" w:sz="0" w:space="0" w:color="auto"/>
          <w:bar w:val="none" w:sz="0" w:color="auto"/>
        </w:pBdr>
        <w:spacing w:before="120" w:after="120"/>
        <w:jc w:val="center"/>
        <w:rPr>
          <w:b/>
          <w:bCs/>
          <w:sz w:val="40"/>
          <w:szCs w:val="40"/>
        </w:rPr>
      </w:pPr>
      <w:r>
        <w:rPr>
          <w:b/>
          <w:bCs/>
          <w:sz w:val="40"/>
          <w:szCs w:val="40"/>
        </w:rPr>
        <w:t xml:space="preserve">Invitation to Quote </w:t>
      </w:r>
      <w:r w:rsidR="00AC19CC">
        <w:rPr>
          <w:b/>
          <w:bCs/>
          <w:sz w:val="40"/>
          <w:szCs w:val="40"/>
        </w:rPr>
        <w:t xml:space="preserve">for </w:t>
      </w:r>
    </w:p>
    <w:p w:rsidR="00AC19CC" w:rsidRDefault="00882BB4" w:rsidP="009D671A">
      <w:pPr>
        <w:pBdr>
          <w:top w:val="none" w:sz="0" w:space="0" w:color="auto"/>
          <w:left w:val="none" w:sz="0" w:space="0" w:color="auto"/>
          <w:bottom w:val="none" w:sz="0" w:space="0" w:color="auto"/>
          <w:right w:val="none" w:sz="0" w:space="0" w:color="auto"/>
          <w:bar w:val="none" w:sz="0" w:color="auto"/>
        </w:pBdr>
        <w:spacing w:before="120" w:after="120"/>
        <w:jc w:val="center"/>
        <w:rPr>
          <w:b/>
          <w:bCs/>
          <w:sz w:val="40"/>
          <w:szCs w:val="40"/>
        </w:rPr>
      </w:pPr>
      <w:r>
        <w:rPr>
          <w:b/>
          <w:bCs/>
          <w:sz w:val="40"/>
          <w:szCs w:val="40"/>
        </w:rPr>
        <w:t>Information Risk Management</w:t>
      </w:r>
    </w:p>
    <w:p w:rsidR="00AC19CC" w:rsidRDefault="00AC19CC" w:rsidP="009D671A">
      <w:pPr>
        <w:pBdr>
          <w:top w:val="none" w:sz="0" w:space="0" w:color="auto"/>
          <w:left w:val="none" w:sz="0" w:space="0" w:color="auto"/>
          <w:bottom w:val="none" w:sz="0" w:space="0" w:color="auto"/>
          <w:right w:val="none" w:sz="0" w:space="0" w:color="auto"/>
          <w:bar w:val="none" w:sz="0" w:color="auto"/>
        </w:pBdr>
        <w:jc w:val="center"/>
        <w:rPr>
          <w:b/>
          <w:bCs/>
          <w:sz w:val="40"/>
          <w:szCs w:val="40"/>
        </w:rPr>
      </w:pPr>
      <w:proofErr w:type="gramStart"/>
      <w:r>
        <w:rPr>
          <w:b/>
          <w:bCs/>
          <w:sz w:val="40"/>
          <w:szCs w:val="40"/>
        </w:rPr>
        <w:t>for</w:t>
      </w:r>
      <w:proofErr w:type="gramEnd"/>
      <w:r>
        <w:rPr>
          <w:b/>
          <w:bCs/>
          <w:sz w:val="40"/>
          <w:szCs w:val="40"/>
        </w:rPr>
        <w:t xml:space="preserve"> </w:t>
      </w:r>
    </w:p>
    <w:p w:rsidR="00AC19CC" w:rsidRDefault="00AC19CC" w:rsidP="009D671A">
      <w:pPr>
        <w:pBdr>
          <w:top w:val="none" w:sz="0" w:space="0" w:color="auto"/>
          <w:left w:val="none" w:sz="0" w:space="0" w:color="auto"/>
          <w:bottom w:val="none" w:sz="0" w:space="0" w:color="auto"/>
          <w:right w:val="none" w:sz="0" w:space="0" w:color="auto"/>
          <w:bar w:val="none" w:sz="0" w:color="auto"/>
        </w:pBdr>
        <w:jc w:val="center"/>
        <w:rPr>
          <w:b/>
          <w:bCs/>
          <w:sz w:val="40"/>
          <w:szCs w:val="40"/>
        </w:rPr>
      </w:pPr>
    </w:p>
    <w:p w:rsidR="00AC19CC" w:rsidRDefault="00AC19CC" w:rsidP="009D671A">
      <w:pPr>
        <w:pBdr>
          <w:top w:val="none" w:sz="0" w:space="0" w:color="auto"/>
          <w:left w:val="none" w:sz="0" w:space="0" w:color="auto"/>
          <w:bottom w:val="none" w:sz="0" w:space="0" w:color="auto"/>
          <w:right w:val="none" w:sz="0" w:space="0" w:color="auto"/>
          <w:bar w:val="none" w:sz="0" w:color="auto"/>
        </w:pBdr>
        <w:jc w:val="center"/>
        <w:rPr>
          <w:b/>
          <w:bCs/>
          <w:sz w:val="40"/>
          <w:szCs w:val="40"/>
        </w:rPr>
      </w:pPr>
      <w:r>
        <w:rPr>
          <w:b/>
          <w:bCs/>
          <w:sz w:val="40"/>
          <w:szCs w:val="40"/>
        </w:rPr>
        <w:t>Frimley Health NHS Foundation Trust</w:t>
      </w: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jc w:val="cente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Style w:val="BodyText1"/>
        <w:pBdr>
          <w:top w:val="none" w:sz="0" w:space="0" w:color="auto"/>
          <w:left w:val="none" w:sz="0" w:space="0" w:color="auto"/>
          <w:bottom w:val="none" w:sz="0" w:space="0" w:color="auto"/>
          <w:right w:val="none" w:sz="0" w:space="0" w:color="auto"/>
          <w:bar w:val="none" w:sz="0" w:color="auto"/>
        </w:pBdr>
        <w:spacing w:before="0" w:after="0"/>
        <w:rPr>
          <w:b/>
          <w:bCs/>
          <w:sz w:val="32"/>
          <w:szCs w:val="32"/>
        </w:rPr>
      </w:pPr>
    </w:p>
    <w:p w:rsidR="00AC19CC" w:rsidRDefault="00AC19CC" w:rsidP="009D671A">
      <w:pPr>
        <w:pStyle w:val="BodyText1"/>
        <w:pBdr>
          <w:top w:val="none" w:sz="0" w:space="0" w:color="auto"/>
          <w:left w:val="none" w:sz="0" w:space="0" w:color="auto"/>
          <w:bottom w:val="none" w:sz="0" w:space="0" w:color="auto"/>
          <w:right w:val="none" w:sz="0" w:space="0" w:color="auto"/>
          <w:bar w:val="none" w:sz="0" w:color="auto"/>
        </w:pBdr>
        <w:spacing w:before="0" w:after="0"/>
        <w:rPr>
          <w:b/>
          <w:bCs/>
          <w:sz w:val="32"/>
          <w:szCs w:val="32"/>
        </w:rPr>
      </w:pPr>
    </w:p>
    <w:p w:rsidR="00AC19CC" w:rsidRPr="00752C56" w:rsidRDefault="00AA15D4" w:rsidP="00C04929">
      <w:pPr>
        <w:pStyle w:val="BodyText1"/>
        <w:pBdr>
          <w:top w:val="none" w:sz="0" w:space="0" w:color="auto"/>
          <w:left w:val="none" w:sz="0" w:space="0" w:color="auto"/>
          <w:bottom w:val="none" w:sz="0" w:space="0" w:color="auto"/>
          <w:right w:val="none" w:sz="0" w:space="0" w:color="auto"/>
          <w:bar w:val="none" w:sz="0" w:color="auto"/>
        </w:pBdr>
        <w:spacing w:before="0" w:after="0"/>
        <w:rPr>
          <w:b/>
          <w:bCs/>
          <w:sz w:val="32"/>
          <w:szCs w:val="32"/>
        </w:rPr>
      </w:pPr>
      <w:r w:rsidRPr="00752C56">
        <w:rPr>
          <w:b/>
          <w:bCs/>
          <w:sz w:val="32"/>
          <w:szCs w:val="32"/>
        </w:rPr>
        <w:t>REFERENCE NUMBER</w:t>
      </w:r>
    </w:p>
    <w:p w:rsidR="00AC19CC" w:rsidRPr="00752C56" w:rsidRDefault="00AC19CC" w:rsidP="009D671A">
      <w:pPr>
        <w:pBdr>
          <w:top w:val="none" w:sz="0" w:space="0" w:color="auto"/>
          <w:left w:val="none" w:sz="0" w:space="0" w:color="auto"/>
          <w:bottom w:val="none" w:sz="0" w:space="0" w:color="auto"/>
          <w:right w:val="none" w:sz="0" w:space="0" w:color="auto"/>
          <w:bar w:val="none" w:sz="0" w:color="auto"/>
        </w:pBdr>
        <w:jc w:val="center"/>
        <w:rPr>
          <w:b/>
          <w:bCs/>
          <w:sz w:val="32"/>
          <w:szCs w:val="32"/>
        </w:rPr>
      </w:pPr>
    </w:p>
    <w:p w:rsidR="00AC19CC" w:rsidRPr="00752C56" w:rsidRDefault="00AA15D4" w:rsidP="009D671A">
      <w:pPr>
        <w:pBdr>
          <w:top w:val="none" w:sz="0" w:space="0" w:color="auto"/>
          <w:left w:val="none" w:sz="0" w:space="0" w:color="auto"/>
          <w:bottom w:val="none" w:sz="0" w:space="0" w:color="auto"/>
          <w:right w:val="none" w:sz="0" w:space="0" w:color="auto"/>
          <w:bar w:val="none" w:sz="0" w:color="auto"/>
        </w:pBdr>
        <w:rPr>
          <w:b/>
          <w:sz w:val="32"/>
        </w:rPr>
      </w:pPr>
      <w:r w:rsidRPr="00752C56">
        <w:rPr>
          <w:b/>
          <w:sz w:val="32"/>
        </w:rPr>
        <w:t>FH</w:t>
      </w:r>
      <w:r w:rsidR="005C0077">
        <w:rPr>
          <w:b/>
          <w:sz w:val="32"/>
        </w:rPr>
        <w:t>FT</w:t>
      </w:r>
      <w:r w:rsidRPr="00752C56">
        <w:rPr>
          <w:b/>
          <w:sz w:val="32"/>
        </w:rPr>
        <w:t>/201</w:t>
      </w:r>
      <w:r w:rsidR="00882BB4">
        <w:rPr>
          <w:b/>
          <w:sz w:val="32"/>
        </w:rPr>
        <w:t>7/IT46</w:t>
      </w: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pPr>
        <w:pBdr>
          <w:top w:val="none" w:sz="0" w:space="0" w:color="auto"/>
          <w:left w:val="none" w:sz="0" w:space="0" w:color="auto"/>
          <w:bottom w:val="none" w:sz="0" w:space="0" w:color="auto"/>
          <w:right w:val="none" w:sz="0" w:space="0" w:color="auto"/>
          <w:bar w:val="none" w:sz="0" w:color="auto"/>
        </w:pBdr>
        <w:rPr>
          <w:rFonts w:eastAsia="Arial Unicode MS" w:hAnsi="Arial Unicode MS" w:cs="Arial Unicode MS"/>
          <w:b/>
          <w:bCs/>
          <w:kern w:val="32"/>
          <w:sz w:val="28"/>
          <w:szCs w:val="28"/>
          <w:lang w:eastAsia="en-GB"/>
        </w:rPr>
      </w:pPr>
      <w:r>
        <w:rPr>
          <w:rFonts w:eastAsia="Arial Unicode MS" w:hAnsi="Arial Unicode MS" w:cs="Arial Unicode MS"/>
        </w:rPr>
        <w:br w:type="page"/>
      </w:r>
    </w:p>
    <w:p w:rsidR="00AC19CC" w:rsidRDefault="00AC19CC" w:rsidP="009D671A">
      <w:pPr>
        <w:pStyle w:val="Heading1"/>
        <w:numPr>
          <w:ilvl w:val="0"/>
          <w:numId w:val="1"/>
        </w:numPr>
        <w:pBdr>
          <w:top w:val="none" w:sz="0" w:space="0" w:color="auto"/>
          <w:left w:val="none" w:sz="0" w:space="0" w:color="auto"/>
          <w:bottom w:val="none" w:sz="0" w:space="0" w:color="auto"/>
          <w:right w:val="none" w:sz="0" w:space="0" w:color="auto"/>
          <w:bar w:val="none" w:sz="0" w:color="auto"/>
        </w:pBdr>
        <w:tabs>
          <w:tab w:val="num" w:pos="567"/>
        </w:tabs>
        <w:ind w:left="567" w:hanging="567"/>
      </w:pPr>
      <w:r>
        <w:rPr>
          <w:rFonts w:eastAsia="Arial Unicode MS" w:hAnsi="Arial Unicode MS" w:cs="Arial Unicode MS"/>
        </w:rPr>
        <w:lastRenderedPageBreak/>
        <w:t xml:space="preserve">Introduction </w:t>
      </w:r>
    </w:p>
    <w:p w:rsidR="00AC19CC" w:rsidRDefault="00AC19CC" w:rsidP="009D671A">
      <w:pPr>
        <w:pStyle w:val="Heading2"/>
        <w:numPr>
          <w:ilvl w:val="0"/>
          <w:numId w:val="2"/>
        </w:numPr>
        <w:pBdr>
          <w:top w:val="none" w:sz="0" w:space="0" w:color="auto"/>
          <w:left w:val="none" w:sz="0" w:space="0" w:color="auto"/>
          <w:bottom w:val="none" w:sz="0" w:space="0" w:color="auto"/>
          <w:right w:val="none" w:sz="0" w:space="0" w:color="auto"/>
          <w:bar w:val="none" w:sz="0" w:color="auto"/>
        </w:pBdr>
        <w:tabs>
          <w:tab w:val="num" w:pos="720"/>
        </w:tabs>
        <w:ind w:left="720" w:hanging="720"/>
      </w:pPr>
      <w:r>
        <w:t>General</w:t>
      </w: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xml:space="preserve">Frimley Health NHS Foundation Trust (FHFT), formerly known at Frimley Park Hospital NHS </w:t>
      </w:r>
      <w:proofErr w:type="spellStart"/>
      <w:r w:rsidRPr="00752C56">
        <w:rPr>
          <w:szCs w:val="24"/>
        </w:rPr>
        <w:t>FoundationTrust</w:t>
      </w:r>
      <w:proofErr w:type="spellEnd"/>
      <w:r w:rsidRPr="00752C56">
        <w:rPr>
          <w:szCs w:val="24"/>
        </w:rPr>
        <w:t xml:space="preserve"> (FPH), is a statutory body which acquired Heatherwood &amp; Wexham Park Hospitals NHS Foundation Trust (H&amp;WP) on 1 October 2014.</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xml:space="preserve">Services are delivered from three main hospital sites: </w:t>
      </w:r>
      <w:smartTag w:uri="urn:schemas-microsoft-com:office:smarttags" w:element="place">
        <w:smartTag w:uri="urn:schemas-microsoft-com:office:smarttags" w:element="PlaceName">
          <w:r w:rsidRPr="00752C56">
            <w:rPr>
              <w:szCs w:val="24"/>
            </w:rPr>
            <w:t>Frimley</w:t>
          </w:r>
        </w:smartTag>
        <w:r w:rsidRPr="00752C56">
          <w:rPr>
            <w:szCs w:val="24"/>
          </w:rPr>
          <w:t xml:space="preserve"> </w:t>
        </w:r>
        <w:smartTag w:uri="urn:schemas-microsoft-com:office:smarttags" w:element="PlaceType">
          <w:r w:rsidRPr="00752C56">
            <w:rPr>
              <w:szCs w:val="24"/>
            </w:rPr>
            <w:t>Park</w:t>
          </w:r>
        </w:smartTag>
        <w:r w:rsidRPr="00752C56">
          <w:rPr>
            <w:szCs w:val="24"/>
          </w:rPr>
          <w:t xml:space="preserve"> </w:t>
        </w:r>
        <w:smartTag w:uri="urn:schemas-microsoft-com:office:smarttags" w:element="PlaceType">
          <w:r w:rsidRPr="00752C56">
            <w:rPr>
              <w:szCs w:val="24"/>
            </w:rPr>
            <w:t>Hospital</w:t>
          </w:r>
        </w:smartTag>
      </w:smartTag>
      <w:r w:rsidRPr="00752C56">
        <w:rPr>
          <w:szCs w:val="24"/>
        </w:rPr>
        <w:t xml:space="preserve"> near </w:t>
      </w:r>
      <w:proofErr w:type="spellStart"/>
      <w:r w:rsidRPr="00752C56">
        <w:rPr>
          <w:szCs w:val="24"/>
        </w:rPr>
        <w:t>Camberley</w:t>
      </w:r>
      <w:proofErr w:type="spellEnd"/>
      <w:r w:rsidRPr="00752C56">
        <w:rPr>
          <w:szCs w:val="24"/>
        </w:rPr>
        <w:t>,</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proofErr w:type="gramStart"/>
      <w:r w:rsidRPr="00752C56">
        <w:rPr>
          <w:szCs w:val="24"/>
        </w:rPr>
        <w:t>Heatherwood Hospital in Ascot, and Wexham Park Hospital in Slough.</w:t>
      </w:r>
      <w:proofErr w:type="gramEnd"/>
      <w:r w:rsidRPr="00752C56">
        <w:rPr>
          <w:szCs w:val="24"/>
        </w:rPr>
        <w:t xml:space="preserve"> Additionally, the Trust delivers</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proofErr w:type="gramStart"/>
      <w:r w:rsidRPr="00752C56">
        <w:rPr>
          <w:szCs w:val="24"/>
        </w:rPr>
        <w:t>outpatient</w:t>
      </w:r>
      <w:proofErr w:type="gramEnd"/>
      <w:r w:rsidRPr="00752C56">
        <w:rPr>
          <w:szCs w:val="24"/>
        </w:rPr>
        <w:t xml:space="preserve"> and diagnostic services from </w:t>
      </w:r>
      <w:proofErr w:type="spellStart"/>
      <w:r w:rsidRPr="00752C56">
        <w:rPr>
          <w:szCs w:val="24"/>
        </w:rPr>
        <w:t>Aldershot</w:t>
      </w:r>
      <w:proofErr w:type="spellEnd"/>
      <w:r w:rsidRPr="00752C56">
        <w:rPr>
          <w:szCs w:val="24"/>
        </w:rPr>
        <w:t xml:space="preserve">, </w:t>
      </w:r>
      <w:proofErr w:type="spellStart"/>
      <w:r w:rsidRPr="00752C56">
        <w:rPr>
          <w:szCs w:val="24"/>
        </w:rPr>
        <w:t>Farnham</w:t>
      </w:r>
      <w:proofErr w:type="spellEnd"/>
      <w:r w:rsidRPr="00752C56">
        <w:rPr>
          <w:szCs w:val="24"/>
        </w:rPr>
        <w:t xml:space="preserve">, Fleet, </w:t>
      </w:r>
      <w:smartTag w:uri="urn:schemas-microsoft-com:office:smarttags" w:element="City">
        <w:r w:rsidRPr="00752C56">
          <w:rPr>
            <w:szCs w:val="24"/>
          </w:rPr>
          <w:t>Windsor</w:t>
        </w:r>
      </w:smartTag>
      <w:r w:rsidRPr="00752C56">
        <w:rPr>
          <w:szCs w:val="24"/>
        </w:rPr>
        <w:t xml:space="preserve">, Maidenhead and </w:t>
      </w:r>
      <w:proofErr w:type="spellStart"/>
      <w:smartTag w:uri="urn:schemas-microsoft-com:office:smarttags" w:element="place">
        <w:smartTag w:uri="urn:schemas-microsoft-com:office:smarttags" w:element="City">
          <w:r w:rsidRPr="00752C56">
            <w:rPr>
              <w:szCs w:val="24"/>
            </w:rPr>
            <w:t>Bracknell</w:t>
          </w:r>
        </w:smartTag>
      </w:smartTag>
      <w:proofErr w:type="spellEnd"/>
      <w:r w:rsidRPr="00752C56">
        <w:rPr>
          <w:szCs w:val="24"/>
        </w:rPr>
        <w:t>, bringing a range of services closer to these communities.</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With over 8,000 employees and 1,100 beds across its three principal sites, Frimley Health NHS</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xml:space="preserve">Foundation Trust provides NHS hospital services for 900,000 people in Berkshire, Hampshire, Surrey and </w:t>
      </w:r>
      <w:smartTag w:uri="urn:schemas-microsoft-com:office:smarttags" w:element="place">
        <w:r w:rsidRPr="00752C56">
          <w:rPr>
            <w:szCs w:val="24"/>
          </w:rPr>
          <w:t>South Buckinghamshire</w:t>
        </w:r>
      </w:smartTag>
      <w:r w:rsidRPr="00752C56">
        <w:rPr>
          <w:szCs w:val="24"/>
        </w:rPr>
        <w:t>. As well as delivering a full range of district general hospital services to its population, the Trust provides specialist acute consultant delivered services across a wider catchment in the following areas:</w:t>
      </w:r>
    </w:p>
    <w:p w:rsidR="007945EF" w:rsidRDefault="007945EF"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Primary percutaneous coronary intervention (PPCI: heart attack treatment)</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Vascular</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Stroke</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Spinal</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Cystic fibrosis</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Plastic surgery</w:t>
      </w:r>
    </w:p>
    <w:p w:rsidR="007945EF" w:rsidRDefault="007945EF"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xml:space="preserve">Frimley Park Hospital has hosted a Ministry of </w:t>
      </w:r>
      <w:proofErr w:type="spellStart"/>
      <w:r w:rsidRPr="00752C56">
        <w:rPr>
          <w:szCs w:val="24"/>
        </w:rPr>
        <w:t>Defence</w:t>
      </w:r>
      <w:proofErr w:type="spellEnd"/>
      <w:r w:rsidRPr="00752C56">
        <w:rPr>
          <w:szCs w:val="24"/>
        </w:rPr>
        <w:t xml:space="preserve"> Hospital Unit since 1996 and a successful</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proofErr w:type="gramStart"/>
      <w:r w:rsidRPr="00752C56">
        <w:rPr>
          <w:szCs w:val="24"/>
        </w:rPr>
        <w:t>partnership</w:t>
      </w:r>
      <w:proofErr w:type="gramEnd"/>
      <w:r w:rsidRPr="00752C56">
        <w:rPr>
          <w:szCs w:val="24"/>
        </w:rPr>
        <w:t xml:space="preserve"> has developed with military staff working alongside NHS colleagues.</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xml:space="preserve">Due to its consistently strong performance over several years, </w:t>
      </w:r>
      <w:smartTag w:uri="urn:schemas-microsoft-com:office:smarttags" w:element="place">
        <w:smartTag w:uri="urn:schemas-microsoft-com:office:smarttags" w:element="PlaceName">
          <w:r w:rsidRPr="00752C56">
            <w:rPr>
              <w:szCs w:val="24"/>
            </w:rPr>
            <w:t>Frimley</w:t>
          </w:r>
        </w:smartTag>
        <w:r w:rsidRPr="00752C56">
          <w:rPr>
            <w:szCs w:val="24"/>
          </w:rPr>
          <w:t xml:space="preserve"> </w:t>
        </w:r>
        <w:smartTag w:uri="urn:schemas-microsoft-com:office:smarttags" w:element="PlaceType">
          <w:r w:rsidRPr="00752C56">
            <w:rPr>
              <w:szCs w:val="24"/>
            </w:rPr>
            <w:t>Park</w:t>
          </w:r>
        </w:smartTag>
        <w:r w:rsidRPr="00752C56">
          <w:rPr>
            <w:szCs w:val="24"/>
          </w:rPr>
          <w:t xml:space="preserve"> </w:t>
        </w:r>
        <w:smartTag w:uri="urn:schemas-microsoft-com:office:smarttags" w:element="PlaceType">
          <w:r w:rsidRPr="00752C56">
            <w:rPr>
              <w:szCs w:val="24"/>
            </w:rPr>
            <w:t>Hospital</w:t>
          </w:r>
        </w:smartTag>
      </w:smartTag>
      <w:r w:rsidRPr="00752C56">
        <w:rPr>
          <w:szCs w:val="24"/>
        </w:rPr>
        <w:t xml:space="preserve"> became a</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Foundation Trust on 1 April 2005, the first non-specialist foundation trust hospital in the South East</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proofErr w:type="gramStart"/>
      <w:r w:rsidRPr="00752C56">
        <w:rPr>
          <w:szCs w:val="24"/>
        </w:rPr>
        <w:t>region</w:t>
      </w:r>
      <w:proofErr w:type="gramEnd"/>
      <w:r w:rsidRPr="00752C56">
        <w:rPr>
          <w:szCs w:val="24"/>
        </w:rPr>
        <w:t>. As a foundation trust, it is accountable to its local community and aims to have a membership representative of its catchment area, with members providing feedback to the Trust on the services that it provides. Frimley Health NHS Foundation Trust has strong links to the community through its 24</w:t>
      </w:r>
      <w:proofErr w:type="gramStart"/>
      <w:r w:rsidRPr="00752C56">
        <w:rPr>
          <w:szCs w:val="24"/>
        </w:rPr>
        <w:t>,528</w:t>
      </w:r>
      <w:r w:rsidRPr="00752C56">
        <w:rPr>
          <w:sz w:val="14"/>
          <w:szCs w:val="16"/>
        </w:rPr>
        <w:t>1</w:t>
      </w:r>
      <w:proofErr w:type="gramEnd"/>
      <w:r w:rsidRPr="00752C56">
        <w:rPr>
          <w:sz w:val="14"/>
          <w:szCs w:val="16"/>
        </w:rPr>
        <w:t xml:space="preserve"> </w:t>
      </w:r>
      <w:r w:rsidRPr="00752C56">
        <w:rPr>
          <w:szCs w:val="24"/>
        </w:rPr>
        <w:t>foundation trust members representing patients, other stakeholders and staff.</w:t>
      </w:r>
    </w:p>
    <w:p w:rsidR="007945EF" w:rsidRDefault="007945EF"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 w:val="10"/>
          <w:szCs w:val="10"/>
        </w:rPr>
      </w:pPr>
    </w:p>
    <w:p w:rsidR="00AC19CC"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 w:val="16"/>
          <w:szCs w:val="16"/>
        </w:rPr>
      </w:pPr>
      <w:r>
        <w:rPr>
          <w:sz w:val="10"/>
          <w:szCs w:val="10"/>
        </w:rPr>
        <w:t xml:space="preserve">1 </w:t>
      </w:r>
      <w:r>
        <w:rPr>
          <w:sz w:val="16"/>
          <w:szCs w:val="16"/>
        </w:rPr>
        <w:t>As at the end of March 2015.</w:t>
      </w:r>
    </w:p>
    <w:p w:rsidR="00AC19CC"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Times New Roman" w:hAnsi="Times New Roman" w:cs="Times New Roman"/>
          <w:sz w:val="24"/>
          <w:szCs w:val="24"/>
        </w:rPr>
      </w:pP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xml:space="preserve">In 2013, Frimley Park Hospital developed with staff its own set of </w:t>
      </w:r>
      <w:proofErr w:type="spellStart"/>
      <w:r w:rsidRPr="00752C56">
        <w:rPr>
          <w:szCs w:val="24"/>
        </w:rPr>
        <w:t>organisational</w:t>
      </w:r>
      <w:proofErr w:type="spellEnd"/>
      <w:r w:rsidRPr="00752C56">
        <w:rPr>
          <w:szCs w:val="24"/>
        </w:rPr>
        <w:t xml:space="preserve"> values. These best reflect the Trust’s qualities, underpin its strategy, and focus on what matters most in providing excellent care to patients and continually improving.</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xml:space="preserve">Since the acquisition, these values were re-launched across the enlarged </w:t>
      </w:r>
      <w:proofErr w:type="spellStart"/>
      <w:r w:rsidRPr="00752C56">
        <w:rPr>
          <w:szCs w:val="24"/>
        </w:rPr>
        <w:t>organisation</w:t>
      </w:r>
      <w:proofErr w:type="spellEnd"/>
      <w:r w:rsidRPr="00752C56">
        <w:rPr>
          <w:szCs w:val="24"/>
        </w:rPr>
        <w:t xml:space="preserve"> to include staff</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proofErr w:type="gramStart"/>
      <w:r w:rsidRPr="00752C56">
        <w:rPr>
          <w:szCs w:val="24"/>
        </w:rPr>
        <w:t>based</w:t>
      </w:r>
      <w:proofErr w:type="gramEnd"/>
      <w:r w:rsidRPr="00752C56">
        <w:rPr>
          <w:szCs w:val="24"/>
        </w:rPr>
        <w:t xml:space="preserve"> at Heatherwood and </w:t>
      </w:r>
      <w:smartTag w:uri="urn:schemas-microsoft-com:office:smarttags" w:element="place">
        <w:smartTag w:uri="urn:schemas-microsoft-com:office:smarttags" w:element="PlaceName">
          <w:r w:rsidRPr="00752C56">
            <w:rPr>
              <w:szCs w:val="24"/>
            </w:rPr>
            <w:t>Wexham</w:t>
          </w:r>
        </w:smartTag>
        <w:r w:rsidRPr="00752C56">
          <w:rPr>
            <w:szCs w:val="24"/>
          </w:rPr>
          <w:t xml:space="preserve"> </w:t>
        </w:r>
        <w:smartTag w:uri="urn:schemas-microsoft-com:office:smarttags" w:element="PlaceType">
          <w:r w:rsidRPr="00752C56">
            <w:rPr>
              <w:szCs w:val="24"/>
            </w:rPr>
            <w:t>Park</w:t>
          </w:r>
        </w:smartTag>
        <w:r w:rsidRPr="00752C56">
          <w:rPr>
            <w:szCs w:val="24"/>
          </w:rPr>
          <w:t xml:space="preserve"> </w:t>
        </w:r>
        <w:smartTag w:uri="urn:schemas-microsoft-com:office:smarttags" w:element="PlaceType">
          <w:r w:rsidRPr="00752C56">
            <w:rPr>
              <w:szCs w:val="24"/>
            </w:rPr>
            <w:t>Hospitals</w:t>
          </w:r>
        </w:smartTag>
      </w:smartTag>
      <w:r w:rsidRPr="00752C56">
        <w:rPr>
          <w:szCs w:val="24"/>
        </w:rPr>
        <w:t xml:space="preserve">. The values are </w:t>
      </w:r>
      <w:proofErr w:type="spellStart"/>
      <w:r w:rsidRPr="00752C56">
        <w:rPr>
          <w:szCs w:val="24"/>
        </w:rPr>
        <w:t>summarised</w:t>
      </w:r>
      <w:proofErr w:type="spellEnd"/>
      <w:r w:rsidRPr="00752C56">
        <w:rPr>
          <w:szCs w:val="24"/>
        </w:rPr>
        <w:t xml:space="preserve"> as:</w:t>
      </w:r>
    </w:p>
    <w:p w:rsidR="007945EF" w:rsidRDefault="007945EF"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Committed To Excellence</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Working Together</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xml:space="preserve">• Facing </w:t>
      </w:r>
      <w:proofErr w:type="gramStart"/>
      <w:r w:rsidRPr="00752C56">
        <w:rPr>
          <w:szCs w:val="24"/>
        </w:rPr>
        <w:t>The</w:t>
      </w:r>
      <w:proofErr w:type="gramEnd"/>
      <w:r w:rsidRPr="00752C56">
        <w:rPr>
          <w:szCs w:val="24"/>
        </w:rPr>
        <w:t xml:space="preserve"> Future</w:t>
      </w:r>
    </w:p>
    <w:p w:rsidR="007945EF" w:rsidRDefault="007945EF"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In December 2013, Frimley Park Hospital was named Hospital Trust of the Year in the Dr Foster Hospital Guide 2013 for the South of England. The award followed four consecutive years of the Trust being ranked among the top 10 safest hospital trusts in the country by Doctor Foster.</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 xml:space="preserve">Prior to the acquisition, the Care Quality Commission (CQC) undertook an inspection of </w:t>
      </w:r>
      <w:smartTag w:uri="urn:schemas-microsoft-com:office:smarttags" w:element="place">
        <w:smartTag w:uri="urn:schemas-microsoft-com:office:smarttags" w:element="PlaceName">
          <w:r w:rsidRPr="00752C56">
            <w:rPr>
              <w:szCs w:val="24"/>
            </w:rPr>
            <w:t>Frimley</w:t>
          </w:r>
        </w:smartTag>
        <w:r w:rsidRPr="00752C56">
          <w:rPr>
            <w:szCs w:val="24"/>
          </w:rPr>
          <w:t xml:space="preserve"> </w:t>
        </w:r>
        <w:smartTag w:uri="urn:schemas-microsoft-com:office:smarttags" w:element="PlaceType">
          <w:r w:rsidRPr="00752C56">
            <w:rPr>
              <w:szCs w:val="24"/>
            </w:rPr>
            <w:t>Park</w:t>
          </w:r>
        </w:smartTag>
      </w:smartTag>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Hospital during July and August 2014. Following the publication of the inspection report just before the acquisition date last year, Frimley Park Hospital became the first in the country to be rated as</w:t>
      </w:r>
    </w:p>
    <w:p w:rsidR="007945EF"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r w:rsidRPr="00752C56">
        <w:rPr>
          <w:szCs w:val="24"/>
        </w:rPr>
        <w:t>‘</w:t>
      </w:r>
      <w:proofErr w:type="gramStart"/>
      <w:r w:rsidRPr="00752C56">
        <w:rPr>
          <w:szCs w:val="24"/>
        </w:rPr>
        <w:t>outstanding</w:t>
      </w:r>
      <w:proofErr w:type="gramEnd"/>
      <w:r w:rsidRPr="00752C56">
        <w:rPr>
          <w:szCs w:val="24"/>
        </w:rPr>
        <w:t xml:space="preserve">’ under the CQC’s new inspection regime. The CQC’s Chief Inspector of Hospitals </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Cs w:val="24"/>
        </w:rPr>
      </w:pPr>
      <w:proofErr w:type="gramStart"/>
      <w:r w:rsidRPr="00752C56">
        <w:rPr>
          <w:szCs w:val="24"/>
        </w:rPr>
        <w:t>stated</w:t>
      </w:r>
      <w:proofErr w:type="gramEnd"/>
      <w:r w:rsidRPr="00752C56">
        <w:rPr>
          <w:szCs w:val="24"/>
        </w:rPr>
        <w:t>:</w:t>
      </w:r>
    </w:p>
    <w:p w:rsidR="007945EF" w:rsidRDefault="007945EF"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Bold" w:hAnsi="Calibri,Bold" w:cs="Calibri,Bold"/>
          <w:b/>
          <w:bCs/>
          <w:color w:val="0070C1"/>
          <w:szCs w:val="24"/>
        </w:rPr>
      </w:pP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Bold" w:hAnsi="Calibri,Bold" w:cs="Calibri,Bold"/>
          <w:b/>
          <w:bCs/>
          <w:color w:val="0070C1"/>
          <w:szCs w:val="24"/>
        </w:rPr>
      </w:pPr>
      <w:r w:rsidRPr="00752C56">
        <w:rPr>
          <w:rFonts w:ascii="Calibri,Bold" w:hAnsi="Calibri,Bold" w:cs="Calibri,Bold"/>
          <w:b/>
          <w:bCs/>
          <w:color w:val="0070C1"/>
          <w:szCs w:val="24"/>
        </w:rPr>
        <w:t>“W</w:t>
      </w:r>
      <w:r w:rsidRPr="00752C56">
        <w:rPr>
          <w:rFonts w:ascii="Calibri,BoldItalic" w:hAnsi="Calibri,BoldItalic" w:cs="Calibri,BoldItalic"/>
          <w:b/>
          <w:bCs/>
          <w:i/>
          <w:iCs/>
          <w:color w:val="0070C1"/>
          <w:szCs w:val="24"/>
        </w:rPr>
        <w:t>hen we [CQC] inspected Frimley Park Hospital, we found the vast majority of care to be outstanding. Even where we [CQC] rated services as good, these were found to be towards the upper end of that scale.</w:t>
      </w:r>
      <w:r w:rsidRPr="00752C56">
        <w:rPr>
          <w:rFonts w:ascii="Calibri,Bold" w:hAnsi="Calibri,Bold" w:cs="Calibri,Bold"/>
          <w:b/>
          <w:bCs/>
          <w:color w:val="0070C1"/>
          <w:szCs w:val="24"/>
        </w:rPr>
        <w:t>”</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r w:rsidRPr="00752C56">
        <w:lastRenderedPageBreak/>
        <w:t>Since 1 October 2014, Frimley Health NHS Foundation Trust has had 10 operational directorates in the following areas:</w:t>
      </w:r>
    </w:p>
    <w:p w:rsidR="007945EF" w:rsidRDefault="007945EF"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r w:rsidRPr="00752C56">
        <w:t>• Emergency Department</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r w:rsidRPr="00752C56">
        <w:t>• Pathology</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r w:rsidRPr="00752C56">
        <w:t xml:space="preserve">• General Surgery and Urology </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r w:rsidRPr="00752C56">
        <w:t>• Paediatrics</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r w:rsidRPr="00752C56">
        <w:t xml:space="preserve">• Maternity and </w:t>
      </w:r>
      <w:proofErr w:type="spellStart"/>
      <w:r w:rsidRPr="00752C56">
        <w:t>Gynaecology</w:t>
      </w:r>
      <w:proofErr w:type="spellEnd"/>
      <w:r w:rsidRPr="00752C56">
        <w:t xml:space="preserve"> </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r w:rsidRPr="00752C56">
        <w:t>• Radiology</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r w:rsidRPr="00752C56">
        <w:t xml:space="preserve">• Medicine </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r w:rsidRPr="00752C56">
        <w:t>• Specialist Surgery</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r w:rsidRPr="00752C56">
        <w:t xml:space="preserve">• Orthopaedics and Plastics </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r w:rsidRPr="00752C56">
        <w:t>• Theatres, Critical Care and Anaesthetics</w:t>
      </w: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pPr>
    </w:p>
    <w:p w:rsidR="00AC19CC" w:rsidRPr="00752C56" w:rsidRDefault="00AC19CC" w:rsidP="002E49AE">
      <w:pPr>
        <w:pBdr>
          <w:top w:val="none" w:sz="0" w:space="0" w:color="auto"/>
          <w:left w:val="none" w:sz="0" w:space="0" w:color="auto"/>
          <w:bottom w:val="none" w:sz="0" w:space="0" w:color="auto"/>
          <w:right w:val="none" w:sz="0" w:space="0" w:color="auto"/>
          <w:bar w:val="none" w:sz="0" w:color="auto"/>
        </w:pBdr>
        <w:autoSpaceDE w:val="0"/>
        <w:autoSpaceDN w:val="0"/>
        <w:adjustRightInd w:val="0"/>
        <w:rPr>
          <w:sz w:val="18"/>
          <w:szCs w:val="20"/>
        </w:rPr>
      </w:pPr>
      <w:r w:rsidRPr="00752C56">
        <w:t>Frimley Health is also proud to host</w:t>
      </w:r>
      <w:r w:rsidRPr="00752C56">
        <w:rPr>
          <w:sz w:val="20"/>
          <w:szCs w:val="24"/>
        </w:rPr>
        <w:t xml:space="preserve"> </w:t>
      </w:r>
      <w:r w:rsidRPr="00752C56">
        <w:rPr>
          <w:szCs w:val="24"/>
        </w:rPr>
        <w:t xml:space="preserve">a Ministry of </w:t>
      </w:r>
      <w:proofErr w:type="spellStart"/>
      <w:r w:rsidRPr="00752C56">
        <w:rPr>
          <w:szCs w:val="24"/>
        </w:rPr>
        <w:t>Defence</w:t>
      </w:r>
      <w:proofErr w:type="spellEnd"/>
      <w:r w:rsidRPr="00752C56">
        <w:rPr>
          <w:szCs w:val="24"/>
        </w:rPr>
        <w:t xml:space="preserve"> Hospital Unit which has been at </w:t>
      </w:r>
      <w:smartTag w:uri="urn:schemas-microsoft-com:office:smarttags" w:element="place">
        <w:smartTag w:uri="urn:schemas-microsoft-com:office:smarttags" w:element="PlaceName">
          <w:r w:rsidRPr="00752C56">
            <w:rPr>
              <w:szCs w:val="24"/>
            </w:rPr>
            <w:t>Frimley</w:t>
          </w:r>
        </w:smartTag>
        <w:r w:rsidRPr="00752C56">
          <w:rPr>
            <w:szCs w:val="24"/>
          </w:rPr>
          <w:t xml:space="preserve"> </w:t>
        </w:r>
        <w:smartTag w:uri="urn:schemas-microsoft-com:office:smarttags" w:element="PlaceType">
          <w:r w:rsidRPr="00752C56">
            <w:rPr>
              <w:szCs w:val="24"/>
            </w:rPr>
            <w:t>Park</w:t>
          </w:r>
        </w:smartTag>
        <w:r w:rsidRPr="00752C56">
          <w:rPr>
            <w:szCs w:val="24"/>
          </w:rPr>
          <w:t xml:space="preserve"> </w:t>
        </w:r>
        <w:smartTag w:uri="urn:schemas-microsoft-com:office:smarttags" w:element="PlaceType">
          <w:r w:rsidRPr="00752C56">
            <w:rPr>
              <w:szCs w:val="24"/>
            </w:rPr>
            <w:t>Hospital</w:t>
          </w:r>
        </w:smartTag>
      </w:smartTag>
      <w:r w:rsidRPr="00752C56">
        <w:rPr>
          <w:szCs w:val="24"/>
        </w:rPr>
        <w:t xml:space="preserve"> since 1996 with military surgical, medical and nursing personnel fully integrated with the hospital's NHS staff, providing care to patients in all specialties. Furthermore, there is a Parkside Private Suite located at </w:t>
      </w:r>
      <w:smartTag w:uri="urn:schemas-microsoft-com:office:smarttags" w:element="PlaceName">
        <w:r w:rsidRPr="00752C56">
          <w:rPr>
            <w:szCs w:val="24"/>
          </w:rPr>
          <w:t>Frimley</w:t>
        </w:r>
      </w:smartTag>
      <w:r w:rsidRPr="00752C56">
        <w:rPr>
          <w:szCs w:val="24"/>
        </w:rPr>
        <w:t xml:space="preserve"> </w:t>
      </w:r>
      <w:smartTag w:uri="urn:schemas-microsoft-com:office:smarttags" w:element="PlaceType">
        <w:r w:rsidRPr="00752C56">
          <w:rPr>
            <w:szCs w:val="24"/>
          </w:rPr>
          <w:t>Park</w:t>
        </w:r>
      </w:smartTag>
      <w:r w:rsidRPr="00752C56">
        <w:rPr>
          <w:szCs w:val="24"/>
        </w:rPr>
        <w:t xml:space="preserve"> </w:t>
      </w:r>
      <w:smartTag w:uri="urn:schemas-microsoft-com:office:smarttags" w:element="PlaceType">
        <w:r w:rsidRPr="00752C56">
          <w:rPr>
            <w:szCs w:val="24"/>
          </w:rPr>
          <w:t>Hospital</w:t>
        </w:r>
      </w:smartTag>
      <w:r w:rsidRPr="00752C56">
        <w:rPr>
          <w:szCs w:val="24"/>
        </w:rPr>
        <w:t xml:space="preserve"> and a Paragon Private suite at </w:t>
      </w:r>
      <w:smartTag w:uri="urn:schemas-microsoft-com:office:smarttags" w:element="place">
        <w:smartTag w:uri="urn:schemas-microsoft-com:office:smarttags" w:element="PlaceName">
          <w:r w:rsidRPr="00752C56">
            <w:rPr>
              <w:szCs w:val="24"/>
            </w:rPr>
            <w:t>Wexham</w:t>
          </w:r>
        </w:smartTag>
        <w:r w:rsidRPr="00752C56">
          <w:rPr>
            <w:szCs w:val="24"/>
          </w:rPr>
          <w:t xml:space="preserve"> </w:t>
        </w:r>
        <w:smartTag w:uri="urn:schemas-microsoft-com:office:smarttags" w:element="PlaceType">
          <w:r w:rsidRPr="00752C56">
            <w:rPr>
              <w:szCs w:val="24"/>
            </w:rPr>
            <w:t>Park</w:t>
          </w:r>
        </w:smartTag>
        <w:r w:rsidRPr="00752C56">
          <w:rPr>
            <w:szCs w:val="24"/>
          </w:rPr>
          <w:t xml:space="preserve"> </w:t>
        </w:r>
        <w:smartTag w:uri="urn:schemas-microsoft-com:office:smarttags" w:element="PlaceType">
          <w:r w:rsidRPr="00752C56">
            <w:rPr>
              <w:szCs w:val="24"/>
            </w:rPr>
            <w:t>Hospital</w:t>
          </w:r>
        </w:smartTag>
      </w:smartTag>
      <w:r w:rsidRPr="00752C56">
        <w:rPr>
          <w:szCs w:val="24"/>
        </w:rPr>
        <w:t>. These are dedicated units providing inpatient and outpatient healthcare services using up-to-date technology, treatments, and diagnostic services. It is to be noted that any profits are reinvested directly into NHS patient care.</w:t>
      </w: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p>
    <w:p w:rsidR="00AC19CC" w:rsidRPr="0025221A"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cs="Calibri"/>
          <w:b/>
          <w:color w:val="auto"/>
          <w:sz w:val="24"/>
          <w:szCs w:val="24"/>
        </w:rPr>
      </w:pPr>
      <w:r w:rsidRPr="0025221A">
        <w:rPr>
          <w:rFonts w:ascii="Calibri" w:hAnsi="Calibri" w:cs="Calibri"/>
          <w:b/>
          <w:color w:val="auto"/>
          <w:sz w:val="24"/>
          <w:szCs w:val="24"/>
        </w:rPr>
        <w:t>Corporate strategy</w:t>
      </w:r>
    </w:p>
    <w:p w:rsidR="00AC19CC" w:rsidRPr="00752C56"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color w:val="auto"/>
          <w:szCs w:val="24"/>
        </w:rPr>
      </w:pPr>
      <w:r w:rsidRPr="00752C56">
        <w:rPr>
          <w:color w:val="auto"/>
          <w:szCs w:val="24"/>
        </w:rPr>
        <w:t>The Trust is focused on delivering clinical excellence for patients through the sharing of leading practice across all sites to achieve consistently the highest standards of care nationally, using leading edge diagnostics and techniques to provide first rate consultant led services for patients. While the Trust already has several specialist acute services, it continues to look to develop high quality new ones. The Trust will continue to work in and with its communities to deliver quality care in a local setting and to face the future with a continued drive for efficiency and improved service delivery.</w:t>
      </w:r>
    </w:p>
    <w:p w:rsidR="00AC19CC"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cs="Calibri"/>
          <w:color w:val="auto"/>
          <w:sz w:val="24"/>
          <w:szCs w:val="24"/>
        </w:rPr>
      </w:pPr>
    </w:p>
    <w:p w:rsidR="00AC19CC" w:rsidRPr="0025221A" w:rsidRDefault="00D04FA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cs="Calibri"/>
          <w:b/>
          <w:color w:val="auto"/>
          <w:sz w:val="24"/>
          <w:szCs w:val="24"/>
        </w:rPr>
      </w:pPr>
      <w:r>
        <w:rPr>
          <w:rFonts w:ascii="Calibri" w:hAnsi="Calibri" w:cs="Calibri"/>
          <w:b/>
          <w:color w:val="auto"/>
          <w:sz w:val="24"/>
          <w:szCs w:val="24"/>
        </w:rPr>
        <w:t>Trust’s objectives 2016-2017</w:t>
      </w:r>
    </w:p>
    <w:p w:rsidR="00AC19CC" w:rsidRPr="00752C56"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color w:val="auto"/>
        </w:rPr>
      </w:pPr>
      <w:r w:rsidRPr="00752C56">
        <w:rPr>
          <w:color w:val="auto"/>
        </w:rPr>
        <w:t>Fr</w:t>
      </w:r>
      <w:r w:rsidR="00882BB4">
        <w:rPr>
          <w:color w:val="auto"/>
        </w:rPr>
        <w:t>imley Health has agreed its 2016-2017</w:t>
      </w:r>
      <w:r w:rsidRPr="00752C56">
        <w:rPr>
          <w:color w:val="auto"/>
        </w:rPr>
        <w:t xml:space="preserve"> Trust objectives, of which there are six:</w:t>
      </w:r>
    </w:p>
    <w:p w:rsidR="00AC19CC"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cs="Calibri"/>
          <w:color w:val="auto"/>
          <w:sz w:val="24"/>
          <w:szCs w:val="24"/>
        </w:rPr>
      </w:pPr>
      <w:r>
        <w:rPr>
          <w:rFonts w:ascii="Symbol" w:hAnsi="Symbol" w:cs="Symbol"/>
          <w:color w:val="auto"/>
          <w:sz w:val="24"/>
          <w:szCs w:val="24"/>
        </w:rPr>
        <w:t></w:t>
      </w:r>
      <w:r>
        <w:rPr>
          <w:rFonts w:ascii="Symbol" w:hAnsi="Symbol" w:cs="Symbol"/>
          <w:color w:val="auto"/>
          <w:sz w:val="24"/>
          <w:szCs w:val="24"/>
        </w:rPr>
        <w:t></w:t>
      </w:r>
      <w:r w:rsidRPr="00752C56">
        <w:rPr>
          <w:color w:val="auto"/>
          <w:szCs w:val="24"/>
        </w:rPr>
        <w:t>Pursue the highest level of quality, patient experience, and clinical outcomes</w:t>
      </w:r>
    </w:p>
    <w:p w:rsidR="00AC19CC"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cs="Calibri"/>
          <w:color w:val="auto"/>
          <w:sz w:val="24"/>
          <w:szCs w:val="24"/>
        </w:rPr>
      </w:pPr>
      <w:r>
        <w:rPr>
          <w:rFonts w:ascii="Symbol" w:hAnsi="Symbol" w:cs="Symbol"/>
          <w:color w:val="auto"/>
          <w:sz w:val="24"/>
          <w:szCs w:val="24"/>
        </w:rPr>
        <w:t></w:t>
      </w:r>
      <w:r>
        <w:rPr>
          <w:rFonts w:ascii="Symbol" w:hAnsi="Symbol" w:cs="Symbol"/>
          <w:color w:val="auto"/>
          <w:sz w:val="24"/>
          <w:szCs w:val="24"/>
        </w:rPr>
        <w:t></w:t>
      </w:r>
      <w:r w:rsidRPr="00752C56">
        <w:rPr>
          <w:color w:val="auto"/>
        </w:rPr>
        <w:t>Transform the Trust’s infrastructure</w:t>
      </w:r>
    </w:p>
    <w:p w:rsidR="00AC19CC"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cs="Calibri"/>
          <w:color w:val="auto"/>
          <w:sz w:val="24"/>
          <w:szCs w:val="24"/>
        </w:rPr>
      </w:pPr>
      <w:r>
        <w:rPr>
          <w:rFonts w:ascii="Symbol" w:hAnsi="Symbol" w:cs="Symbol"/>
          <w:color w:val="auto"/>
          <w:sz w:val="24"/>
          <w:szCs w:val="24"/>
        </w:rPr>
        <w:t></w:t>
      </w:r>
      <w:r>
        <w:rPr>
          <w:rFonts w:ascii="Symbol" w:hAnsi="Symbol" w:cs="Symbol"/>
          <w:color w:val="auto"/>
          <w:sz w:val="24"/>
          <w:szCs w:val="24"/>
        </w:rPr>
        <w:t></w:t>
      </w:r>
      <w:r w:rsidRPr="00752C56">
        <w:rPr>
          <w:color w:val="auto"/>
        </w:rPr>
        <w:t>Develop staff and the culture at the Trust</w:t>
      </w:r>
    </w:p>
    <w:p w:rsidR="00AC19CC"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cs="Calibri"/>
          <w:color w:val="auto"/>
          <w:sz w:val="24"/>
          <w:szCs w:val="24"/>
        </w:rPr>
      </w:pPr>
      <w:r>
        <w:rPr>
          <w:rFonts w:ascii="Symbol" w:hAnsi="Symbol" w:cs="Symbol"/>
          <w:color w:val="auto"/>
          <w:sz w:val="24"/>
          <w:szCs w:val="24"/>
        </w:rPr>
        <w:t></w:t>
      </w:r>
      <w:r>
        <w:rPr>
          <w:rFonts w:ascii="Symbol" w:hAnsi="Symbol" w:cs="Symbol"/>
          <w:color w:val="auto"/>
          <w:sz w:val="24"/>
          <w:szCs w:val="24"/>
        </w:rPr>
        <w:t></w:t>
      </w:r>
      <w:r w:rsidRPr="00752C56">
        <w:rPr>
          <w:color w:val="auto"/>
        </w:rPr>
        <w:t>Break through traditional healthcare boundaries</w:t>
      </w:r>
    </w:p>
    <w:p w:rsidR="00AC19CC"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cs="Calibri"/>
          <w:color w:val="auto"/>
          <w:sz w:val="24"/>
          <w:szCs w:val="24"/>
        </w:rPr>
      </w:pPr>
      <w:r>
        <w:rPr>
          <w:rFonts w:ascii="Symbol" w:hAnsi="Symbol" w:cs="Symbol"/>
          <w:color w:val="auto"/>
          <w:sz w:val="24"/>
          <w:szCs w:val="24"/>
        </w:rPr>
        <w:t></w:t>
      </w:r>
      <w:r>
        <w:rPr>
          <w:rFonts w:ascii="Symbol" w:hAnsi="Symbol" w:cs="Symbol"/>
          <w:color w:val="auto"/>
          <w:sz w:val="24"/>
          <w:szCs w:val="24"/>
        </w:rPr>
        <w:t></w:t>
      </w:r>
      <w:r w:rsidRPr="00752C56">
        <w:rPr>
          <w:color w:val="auto"/>
        </w:rPr>
        <w:t>Develop leading edge services</w:t>
      </w:r>
    </w:p>
    <w:p w:rsidR="00AC19CC"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cs="Calibri"/>
          <w:color w:val="auto"/>
          <w:sz w:val="24"/>
          <w:szCs w:val="24"/>
        </w:rPr>
      </w:pPr>
      <w:r>
        <w:rPr>
          <w:rFonts w:ascii="Symbol" w:hAnsi="Symbol" w:cs="Symbol"/>
          <w:color w:val="auto"/>
          <w:sz w:val="24"/>
          <w:szCs w:val="24"/>
        </w:rPr>
        <w:t></w:t>
      </w:r>
      <w:r>
        <w:rPr>
          <w:rFonts w:ascii="Symbol" w:hAnsi="Symbol" w:cs="Symbol"/>
          <w:color w:val="auto"/>
          <w:sz w:val="24"/>
          <w:szCs w:val="24"/>
        </w:rPr>
        <w:t></w:t>
      </w:r>
      <w:r w:rsidRPr="00752C56">
        <w:rPr>
          <w:color w:val="auto"/>
        </w:rPr>
        <w:t>Keep control of resources</w:t>
      </w:r>
    </w:p>
    <w:p w:rsidR="00AC19CC" w:rsidRPr="00752C56"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color w:val="auto"/>
        </w:rPr>
      </w:pPr>
      <w:r w:rsidRPr="00752C56">
        <w:rPr>
          <w:color w:val="auto"/>
        </w:rPr>
        <w:t>The Trust remains focused on providing excellent quality care to its patients and on continually improving, which is demonstrated by the objectives above.</w:t>
      </w:r>
    </w:p>
    <w:p w:rsidR="00AC19CC" w:rsidRDefault="00AC19CC" w:rsidP="0025221A">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alibri" w:hAnsi="Calibri" w:cs="Calibri"/>
          <w:color w:val="auto"/>
          <w:sz w:val="24"/>
          <w:szCs w:val="24"/>
        </w:rPr>
      </w:pPr>
    </w:p>
    <w:p w:rsidR="00AC19CC" w:rsidRDefault="00AC19CC" w:rsidP="009D671A">
      <w:pPr>
        <w:pStyle w:val="Heading2"/>
        <w:numPr>
          <w:ilvl w:val="0"/>
          <w:numId w:val="2"/>
        </w:numPr>
        <w:pBdr>
          <w:top w:val="none" w:sz="0" w:space="0" w:color="auto"/>
          <w:left w:val="none" w:sz="0" w:space="0" w:color="auto"/>
          <w:bottom w:val="none" w:sz="0" w:space="0" w:color="auto"/>
          <w:right w:val="none" w:sz="0" w:space="0" w:color="auto"/>
          <w:bar w:val="none" w:sz="0" w:color="auto"/>
        </w:pBdr>
        <w:tabs>
          <w:tab w:val="num" w:pos="720"/>
        </w:tabs>
        <w:ind w:left="720" w:hanging="720"/>
      </w:pPr>
      <w:r>
        <w:t>Contract Period</w:t>
      </w:r>
    </w:p>
    <w:p w:rsidR="00AC19CC" w:rsidRDefault="00882BB4" w:rsidP="009D671A">
      <w:pPr>
        <w:pBdr>
          <w:top w:val="none" w:sz="0" w:space="0" w:color="auto"/>
          <w:left w:val="none" w:sz="0" w:space="0" w:color="auto"/>
          <w:bottom w:val="none" w:sz="0" w:space="0" w:color="auto"/>
          <w:right w:val="none" w:sz="0" w:space="0" w:color="auto"/>
          <w:bar w:val="none" w:sz="0" w:color="auto"/>
        </w:pBdr>
        <w:jc w:val="both"/>
      </w:pPr>
      <w:r>
        <w:t xml:space="preserve">The Trust intends to award </w:t>
      </w:r>
      <w:r w:rsidRPr="00501616">
        <w:t>a 3 year</w:t>
      </w:r>
      <w:r w:rsidR="00AC19CC">
        <w:t xml:space="preserve"> contract to a single supplier. </w:t>
      </w:r>
    </w:p>
    <w:p w:rsidR="00AC19CC" w:rsidRDefault="00AC19CC" w:rsidP="009D671A">
      <w:pPr>
        <w:pStyle w:val="ListParagraph"/>
        <w:pBdr>
          <w:top w:val="none" w:sz="0" w:space="0" w:color="auto"/>
          <w:left w:val="none" w:sz="0" w:space="0" w:color="auto"/>
          <w:bottom w:val="none" w:sz="0" w:space="0" w:color="auto"/>
          <w:right w:val="none" w:sz="0" w:space="0" w:color="auto"/>
          <w:bar w:val="none" w:sz="0" w:color="auto"/>
        </w:pBdr>
        <w:ind w:left="774"/>
        <w:jc w:val="both"/>
      </w:pPr>
    </w:p>
    <w:p w:rsidR="00AC19CC" w:rsidRDefault="00AC19CC" w:rsidP="009D671A">
      <w:pPr>
        <w:pStyle w:val="Heading2"/>
        <w:numPr>
          <w:ilvl w:val="0"/>
          <w:numId w:val="2"/>
        </w:numPr>
        <w:pBdr>
          <w:top w:val="none" w:sz="0" w:space="0" w:color="auto"/>
          <w:left w:val="none" w:sz="0" w:space="0" w:color="auto"/>
          <w:bottom w:val="none" w:sz="0" w:space="0" w:color="auto"/>
          <w:right w:val="none" w:sz="0" w:space="0" w:color="auto"/>
          <w:bar w:val="none" w:sz="0" w:color="auto"/>
        </w:pBdr>
        <w:tabs>
          <w:tab w:val="num" w:pos="720"/>
        </w:tabs>
        <w:ind w:left="720" w:hanging="720"/>
      </w:pPr>
      <w:r>
        <w:t>Disclaimers and Caveats</w:t>
      </w:r>
    </w:p>
    <w:p w:rsidR="00AC19CC" w:rsidRDefault="00AC19CC" w:rsidP="009D671A">
      <w:pPr>
        <w:pStyle w:val="Normal111pt"/>
        <w:pBdr>
          <w:top w:val="none" w:sz="0" w:space="0" w:color="auto"/>
          <w:left w:val="none" w:sz="0" w:space="0" w:color="auto"/>
          <w:bottom w:val="none" w:sz="0" w:space="0" w:color="auto"/>
          <w:right w:val="none" w:sz="0" w:space="0" w:color="auto"/>
          <w:bar w:val="none" w:sz="0" w:color="auto"/>
        </w:pBdr>
        <w:spacing w:after="0"/>
        <w:jc w:val="both"/>
      </w:pPr>
      <w:r>
        <w:t xml:space="preserve">While the information in this tender exercise has been prepared in good faith, it does not claim to be comprehensive, nor has it been independently verified. The Trust does not accept any responsibility for its adequacy or completeness. It is the responsibility of the supplier to carry out all necessary due diligence in respect of any data on which their bid is based. The Trust reserves the right to amend the terms and conditions of the selection process or to cancel the process at any stage without explanation. The Trust will not accept any liability for costs or expenses borne by prospective participants in responding to this tender. The Trust will also reserve the right to award one or more contract(s), depending on the offers received. </w:t>
      </w:r>
    </w:p>
    <w:p w:rsidR="00AC19CC" w:rsidRDefault="00AC19CC" w:rsidP="009D671A">
      <w:pPr>
        <w:pStyle w:val="Default"/>
        <w:pBdr>
          <w:top w:val="none" w:sz="0" w:space="0" w:color="auto"/>
          <w:left w:val="none" w:sz="0" w:space="0" w:color="auto"/>
          <w:bottom w:val="none" w:sz="0" w:space="0" w:color="auto"/>
          <w:right w:val="none" w:sz="0" w:space="0" w:color="auto"/>
          <w:bar w:val="none" w:sz="0" w:color="auto"/>
        </w:pBdr>
        <w:jc w:val="both"/>
        <w:rPr>
          <w:sz w:val="22"/>
          <w:szCs w:val="22"/>
        </w:rPr>
      </w:pPr>
    </w:p>
    <w:p w:rsidR="00AC19CC" w:rsidRDefault="00AC19CC" w:rsidP="009D671A">
      <w:pPr>
        <w:pStyle w:val="Heading2"/>
        <w:numPr>
          <w:ilvl w:val="0"/>
          <w:numId w:val="2"/>
        </w:numPr>
        <w:pBdr>
          <w:top w:val="none" w:sz="0" w:space="0" w:color="auto"/>
          <w:left w:val="none" w:sz="0" w:space="0" w:color="auto"/>
          <w:bottom w:val="none" w:sz="0" w:space="0" w:color="auto"/>
          <w:right w:val="none" w:sz="0" w:space="0" w:color="auto"/>
          <w:bar w:val="none" w:sz="0" w:color="auto"/>
        </w:pBdr>
        <w:tabs>
          <w:tab w:val="num" w:pos="720"/>
        </w:tabs>
        <w:ind w:left="720" w:hanging="720"/>
      </w:pPr>
      <w:r>
        <w:lastRenderedPageBreak/>
        <w:t xml:space="preserve">Confidentiality </w:t>
      </w:r>
    </w:p>
    <w:p w:rsidR="00AC19CC" w:rsidRDefault="00AC19CC" w:rsidP="009D671A">
      <w:pPr>
        <w:pStyle w:val="Normal111pt"/>
        <w:pBdr>
          <w:top w:val="none" w:sz="0" w:space="0" w:color="auto"/>
          <w:left w:val="none" w:sz="0" w:space="0" w:color="auto"/>
          <w:bottom w:val="none" w:sz="0" w:space="0" w:color="auto"/>
          <w:right w:val="none" w:sz="0" w:space="0" w:color="auto"/>
          <w:bar w:val="none" w:sz="0" w:color="auto"/>
        </w:pBdr>
        <w:spacing w:after="0"/>
        <w:jc w:val="both"/>
      </w:pPr>
      <w:r>
        <w:t xml:space="preserve">This tender is being made available by The Trust to parties interested in the supply of information and services to The Trust. It is made available on the condition that it is only used in connection with this procurement and for no other purpose. Recipients are bound by this agreement in respect of all information contained herein or otherwise made available. Such information must not be copied, reproduced, distributed or passed to any other person or </w:t>
      </w:r>
      <w:proofErr w:type="spellStart"/>
      <w:r>
        <w:t>organisation</w:t>
      </w:r>
      <w:proofErr w:type="spellEnd"/>
      <w:r>
        <w:t>.</w:t>
      </w:r>
    </w:p>
    <w:p w:rsidR="00AC19CC" w:rsidRDefault="00AC19CC" w:rsidP="009D671A">
      <w:pPr>
        <w:pStyle w:val="Normal111pt"/>
        <w:pBdr>
          <w:top w:val="none" w:sz="0" w:space="0" w:color="auto"/>
          <w:left w:val="none" w:sz="0" w:space="0" w:color="auto"/>
          <w:bottom w:val="none" w:sz="0" w:space="0" w:color="auto"/>
          <w:right w:val="none" w:sz="0" w:space="0" w:color="auto"/>
          <w:bar w:val="none" w:sz="0" w:color="auto"/>
        </w:pBdr>
        <w:spacing w:after="0"/>
        <w:jc w:val="both"/>
      </w:pPr>
      <w:r>
        <w:t xml:space="preserve">The Trust will treat any information provided by participants responding to this tender as </w:t>
      </w:r>
      <w:r>
        <w:rPr>
          <w:rFonts w:hAnsi="Arial"/>
        </w:rPr>
        <w:t>“</w:t>
      </w:r>
      <w:r>
        <w:t>in confidence</w:t>
      </w:r>
      <w:r>
        <w:rPr>
          <w:rFonts w:hAnsi="Arial"/>
        </w:rPr>
        <w:t>”</w:t>
      </w:r>
      <w:r>
        <w:t>, if so identified, with the exception of any information it is obliged to share under the Freedom of Information Act or Environmental Information Regulations 2004.</w:t>
      </w:r>
    </w:p>
    <w:p w:rsidR="00AC19CC" w:rsidRDefault="00AC19CC" w:rsidP="009D671A">
      <w:pPr>
        <w:pStyle w:val="Default"/>
        <w:pBdr>
          <w:top w:val="none" w:sz="0" w:space="0" w:color="auto"/>
          <w:left w:val="none" w:sz="0" w:space="0" w:color="auto"/>
          <w:bottom w:val="none" w:sz="0" w:space="0" w:color="auto"/>
          <w:right w:val="none" w:sz="0" w:space="0" w:color="auto"/>
          <w:bar w:val="none" w:sz="0" w:color="auto"/>
        </w:pBdr>
        <w:jc w:val="both"/>
        <w:rPr>
          <w:sz w:val="22"/>
          <w:szCs w:val="22"/>
        </w:rPr>
      </w:pP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p>
    <w:p w:rsidR="00AC19CC" w:rsidRDefault="00AC19CC" w:rsidP="009D671A">
      <w:pPr>
        <w:pStyle w:val="Heading1"/>
        <w:numPr>
          <w:ilvl w:val="0"/>
          <w:numId w:val="1"/>
        </w:numPr>
        <w:pBdr>
          <w:top w:val="none" w:sz="0" w:space="0" w:color="auto"/>
          <w:left w:val="none" w:sz="0" w:space="0" w:color="auto"/>
          <w:bottom w:val="none" w:sz="0" w:space="0" w:color="auto"/>
          <w:right w:val="none" w:sz="0" w:space="0" w:color="auto"/>
          <w:bar w:val="none" w:sz="0" w:color="auto"/>
        </w:pBdr>
        <w:tabs>
          <w:tab w:val="num" w:pos="567"/>
        </w:tabs>
        <w:ind w:left="567" w:hanging="567"/>
      </w:pPr>
      <w:r>
        <w:rPr>
          <w:rFonts w:eastAsia="Arial Unicode MS" w:hAnsi="Arial Unicode MS" w:cs="Arial Unicode MS"/>
        </w:rPr>
        <w:t xml:space="preserve">Specification for </w:t>
      </w:r>
      <w:r w:rsidR="00882BB4">
        <w:rPr>
          <w:rFonts w:eastAsia="Arial Unicode MS" w:hAnsi="Arial Unicode MS" w:cs="Arial Unicode MS"/>
        </w:rPr>
        <w:t>IRM</w:t>
      </w:r>
    </w:p>
    <w:p w:rsidR="00AC19CC" w:rsidRDefault="00AC19CC" w:rsidP="009D671A">
      <w:pPr>
        <w:pStyle w:val="Heading2"/>
        <w:numPr>
          <w:ilvl w:val="0"/>
          <w:numId w:val="3"/>
        </w:numPr>
        <w:pBdr>
          <w:top w:val="none" w:sz="0" w:space="0" w:color="auto"/>
          <w:left w:val="none" w:sz="0" w:space="0" w:color="auto"/>
          <w:bottom w:val="none" w:sz="0" w:space="0" w:color="auto"/>
          <w:right w:val="none" w:sz="0" w:space="0" w:color="auto"/>
          <w:bar w:val="none" w:sz="0" w:color="auto"/>
        </w:pBdr>
        <w:tabs>
          <w:tab w:val="num" w:pos="720"/>
        </w:tabs>
        <w:ind w:left="720" w:hanging="720"/>
      </w:pPr>
      <w:r>
        <w:t>General requirements</w:t>
      </w:r>
    </w:p>
    <w:p w:rsidR="005D31AF" w:rsidRDefault="005D31AF" w:rsidP="005D31AF">
      <w:pPr>
        <w:jc w:val="both"/>
      </w:pPr>
      <w:r>
        <w:t>A new Incident and Risk Management solution</w:t>
      </w:r>
      <w:r w:rsidR="00D04FAC">
        <w:t xml:space="preserve"> is required</w:t>
      </w:r>
      <w:r>
        <w:t xml:space="preserve"> for Frimley Health Foundation NHS Trust (FHFT)</w:t>
      </w:r>
      <w:proofErr w:type="gramStart"/>
      <w:r>
        <w:t>,</w:t>
      </w:r>
      <w:proofErr w:type="gramEnd"/>
      <w:r>
        <w:t xml:space="preserve"> the 10</w:t>
      </w:r>
      <w:r w:rsidRPr="000E1F53">
        <w:rPr>
          <w:vertAlign w:val="superscript"/>
        </w:rPr>
        <w:t>th</w:t>
      </w:r>
      <w:r>
        <w:t xml:space="preserve"> largest hospital in England is required. The Trust employs approximately 10,000 members of staff and consists of 3 main sites plus satellite sites which span Surrey, Hampshire and Berkshire.  The database size for the current Risk Management system across FHFT is approximately </w:t>
      </w:r>
      <w:r w:rsidRPr="00D11FA6">
        <w:t>100GB,</w:t>
      </w:r>
      <w:r>
        <w:t xml:space="preserve"> which includes all logged incidents, file share attachments and retention periods of incidents.  </w:t>
      </w:r>
    </w:p>
    <w:p w:rsidR="005D31AF" w:rsidRDefault="005D31AF" w:rsidP="005D31AF">
      <w:pPr>
        <w:jc w:val="both"/>
      </w:pPr>
    </w:p>
    <w:p w:rsidR="005D31AF" w:rsidRDefault="005D31AF" w:rsidP="005D31AF">
      <w:pPr>
        <w:jc w:val="both"/>
      </w:pPr>
      <w:r>
        <w:t>The purpose of the system is to provide a single integrated risk management application across the Trust that improves and simplifies our investigation and reporting for both internal and external requirements.</w:t>
      </w:r>
    </w:p>
    <w:p w:rsidR="005D31AF" w:rsidRDefault="005D31AF" w:rsidP="005D31AF">
      <w:pPr>
        <w:jc w:val="both"/>
      </w:pPr>
    </w:p>
    <w:p w:rsidR="005D31AF" w:rsidRDefault="005D31AF" w:rsidP="005D31AF">
      <w:pPr>
        <w:jc w:val="both"/>
      </w:pPr>
      <w:r>
        <w:t>The Trust is seeking to procure a UK based Cloud solution as a fully managed service. The new solution should provide seamless operational and intelligent reporting functionality across all of FHFT sites.</w:t>
      </w:r>
    </w:p>
    <w:p w:rsidR="005D31AF" w:rsidRDefault="005D31AF" w:rsidP="005D31AF">
      <w:pPr>
        <w:jc w:val="both"/>
      </w:pPr>
    </w:p>
    <w:p w:rsidR="005D31AF" w:rsidRDefault="005D31AF" w:rsidP="005D31AF">
      <w:pPr>
        <w:jc w:val="both"/>
      </w:pPr>
      <w:r>
        <w:t xml:space="preserve">The requirement includes system, implementation, configuration, training and support. </w:t>
      </w:r>
    </w:p>
    <w:p w:rsidR="005D31AF" w:rsidRDefault="005D31AF" w:rsidP="005D31AF">
      <w:pPr>
        <w:jc w:val="both"/>
      </w:pPr>
    </w:p>
    <w:p w:rsidR="005D31AF" w:rsidRDefault="005D31AF" w:rsidP="005D31AF">
      <w:pPr>
        <w:jc w:val="both"/>
      </w:pPr>
      <w:r>
        <w:t>As a minimum, the solution should provide the following functionality:</w:t>
      </w:r>
    </w:p>
    <w:p w:rsidR="005D31AF" w:rsidRDefault="005D31AF" w:rsidP="005D31AF">
      <w:pPr>
        <w:numPr>
          <w:ilvl w:val="0"/>
          <w:numId w:val="35"/>
        </w:numPr>
        <w:pBdr>
          <w:top w:val="none" w:sz="0" w:space="0" w:color="auto"/>
          <w:left w:val="none" w:sz="0" w:space="0" w:color="auto"/>
          <w:bottom w:val="none" w:sz="0" w:space="0" w:color="auto"/>
          <w:right w:val="none" w:sz="0" w:space="0" w:color="auto"/>
          <w:bar w:val="none" w:sz="0" w:color="auto"/>
        </w:pBdr>
        <w:ind w:left="426" w:hanging="426"/>
        <w:jc w:val="both"/>
      </w:pPr>
      <w:r>
        <w:t>Include the minimum following modules – Incidents, Claims, Complaints/PALS and Safety Alerts; with the option of additional modules at a later date – to include Risk Register, Dashboards and Inquests.</w:t>
      </w:r>
    </w:p>
    <w:p w:rsidR="005D31AF" w:rsidRDefault="005D31AF" w:rsidP="005D31AF">
      <w:pPr>
        <w:numPr>
          <w:ilvl w:val="0"/>
          <w:numId w:val="35"/>
        </w:numPr>
        <w:pBdr>
          <w:top w:val="none" w:sz="0" w:space="0" w:color="auto"/>
          <w:left w:val="none" w:sz="0" w:space="0" w:color="auto"/>
          <w:bottom w:val="none" w:sz="0" w:space="0" w:color="auto"/>
          <w:right w:val="none" w:sz="0" w:space="0" w:color="auto"/>
          <w:bar w:val="none" w:sz="0" w:color="auto"/>
        </w:pBdr>
        <w:ind w:left="426" w:hanging="426"/>
        <w:jc w:val="both"/>
      </w:pPr>
      <w:r>
        <w:t>S</w:t>
      </w:r>
      <w:r w:rsidRPr="00923F88">
        <w:t xml:space="preserve">ingle incident recording format across the </w:t>
      </w:r>
      <w:r>
        <w:t xml:space="preserve">entire </w:t>
      </w:r>
      <w:r w:rsidRPr="00923F88">
        <w:t>Trust</w:t>
      </w:r>
      <w:r>
        <w:t>, supporting audit through sophisticated reporting facilities</w:t>
      </w:r>
      <w:r w:rsidRPr="00923F88">
        <w:t xml:space="preserve"> and provide assurance to the B</w:t>
      </w:r>
      <w:r>
        <w:t xml:space="preserve">oard of </w:t>
      </w:r>
      <w:r w:rsidRPr="00923F88">
        <w:t>D</w:t>
      </w:r>
      <w:r>
        <w:t>irectors</w:t>
      </w:r>
      <w:r w:rsidRPr="00923F88">
        <w:t xml:space="preserve"> through improved </w:t>
      </w:r>
      <w:r>
        <w:t>reporting of safety and quality data.</w:t>
      </w:r>
    </w:p>
    <w:p w:rsidR="005D31AF" w:rsidRDefault="005D31AF" w:rsidP="005D31AF">
      <w:pPr>
        <w:numPr>
          <w:ilvl w:val="0"/>
          <w:numId w:val="35"/>
        </w:numPr>
        <w:pBdr>
          <w:top w:val="none" w:sz="0" w:space="0" w:color="auto"/>
          <w:left w:val="none" w:sz="0" w:space="0" w:color="auto"/>
          <w:bottom w:val="none" w:sz="0" w:space="0" w:color="auto"/>
          <w:right w:val="none" w:sz="0" w:space="0" w:color="auto"/>
          <w:bar w:val="none" w:sz="0" w:color="auto"/>
        </w:pBdr>
        <w:ind w:left="426" w:hanging="426"/>
        <w:jc w:val="both"/>
      </w:pPr>
      <w:r>
        <w:t>User friendly web based system – Improve usability and accessibility of system to gain compliancy in user acceptance.</w:t>
      </w:r>
    </w:p>
    <w:p w:rsidR="005D31AF" w:rsidRDefault="005D31AF" w:rsidP="005D31AF">
      <w:pPr>
        <w:numPr>
          <w:ilvl w:val="0"/>
          <w:numId w:val="35"/>
        </w:numPr>
        <w:pBdr>
          <w:top w:val="none" w:sz="0" w:space="0" w:color="auto"/>
          <w:left w:val="none" w:sz="0" w:space="0" w:color="auto"/>
          <w:bottom w:val="none" w:sz="0" w:space="0" w:color="auto"/>
          <w:right w:val="none" w:sz="0" w:space="0" w:color="auto"/>
          <w:bar w:val="none" w:sz="0" w:color="auto"/>
        </w:pBdr>
        <w:ind w:left="426" w:hanging="426"/>
        <w:jc w:val="both"/>
      </w:pPr>
      <w:r>
        <w:t xml:space="preserve">Resilience with a test/train environment – Training environment will help to roll out system and engage users.  Will also allow the safe transfer of users to a new system through well managed training </w:t>
      </w:r>
      <w:proofErr w:type="spellStart"/>
      <w:r>
        <w:t>programme</w:t>
      </w:r>
      <w:proofErr w:type="spellEnd"/>
      <w:r>
        <w:t>.</w:t>
      </w:r>
    </w:p>
    <w:p w:rsidR="005D31AF" w:rsidRDefault="005D31AF" w:rsidP="005D31AF">
      <w:pPr>
        <w:numPr>
          <w:ilvl w:val="0"/>
          <w:numId w:val="35"/>
        </w:numPr>
        <w:pBdr>
          <w:top w:val="none" w:sz="0" w:space="0" w:color="auto"/>
          <w:left w:val="none" w:sz="0" w:space="0" w:color="auto"/>
          <w:bottom w:val="none" w:sz="0" w:space="0" w:color="auto"/>
          <w:right w:val="none" w:sz="0" w:space="0" w:color="auto"/>
          <w:bar w:val="none" w:sz="0" w:color="auto"/>
        </w:pBdr>
        <w:ind w:left="426" w:hanging="426"/>
        <w:jc w:val="both"/>
      </w:pPr>
      <w:r>
        <w:t>Capacity to operate over multiple sites.</w:t>
      </w:r>
    </w:p>
    <w:p w:rsidR="00882BB4" w:rsidRPr="00882BB4" w:rsidRDefault="00882BB4" w:rsidP="00882BB4">
      <w:pPr>
        <w:rPr>
          <w:lang w:eastAsia="en-GB"/>
        </w:rPr>
      </w:pPr>
    </w:p>
    <w:p w:rsidR="00AC19CC" w:rsidRDefault="00AC19CC" w:rsidP="009D671A">
      <w:pPr>
        <w:pStyle w:val="Bodytext"/>
        <w:pBdr>
          <w:top w:val="none" w:sz="0" w:space="0" w:color="auto"/>
          <w:left w:val="none" w:sz="0" w:space="0" w:color="auto"/>
          <w:bottom w:val="none" w:sz="0" w:space="0" w:color="auto"/>
          <w:right w:val="none" w:sz="0" w:space="0" w:color="auto"/>
          <w:bar w:val="none" w:sz="0" w:color="auto"/>
        </w:pBdr>
        <w:rPr>
          <w:color w:val="FF0000"/>
          <w:u w:color="FF0000"/>
        </w:rP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Style w:val="Heading1"/>
        <w:numPr>
          <w:ilvl w:val="0"/>
          <w:numId w:val="1"/>
        </w:numPr>
        <w:pBdr>
          <w:top w:val="none" w:sz="0" w:space="0" w:color="auto"/>
          <w:left w:val="none" w:sz="0" w:space="0" w:color="auto"/>
          <w:bottom w:val="none" w:sz="0" w:space="0" w:color="auto"/>
          <w:right w:val="none" w:sz="0" w:space="0" w:color="auto"/>
          <w:bar w:val="none" w:sz="0" w:color="auto"/>
        </w:pBdr>
        <w:tabs>
          <w:tab w:val="num" w:pos="567"/>
        </w:tabs>
        <w:ind w:left="567" w:hanging="567"/>
      </w:pPr>
      <w:r>
        <w:rPr>
          <w:rFonts w:eastAsia="Arial Unicode MS" w:hAnsi="Arial Unicode MS" w:cs="Arial Unicode MS"/>
        </w:rPr>
        <w:lastRenderedPageBreak/>
        <w:t>Procurement Process</w:t>
      </w: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r>
        <w:t xml:space="preserve">Frimley Health NHS Foundation Trust (FHFT or the Trust) invites suppliers to bid for the service described above.  </w:t>
      </w:r>
    </w:p>
    <w:p w:rsidR="000C3459" w:rsidRDefault="000C3459" w:rsidP="009D671A">
      <w:pPr>
        <w:pBdr>
          <w:top w:val="none" w:sz="0" w:space="0" w:color="auto"/>
          <w:left w:val="none" w:sz="0" w:space="0" w:color="auto"/>
          <w:bottom w:val="none" w:sz="0" w:space="0" w:color="auto"/>
          <w:right w:val="none" w:sz="0" w:space="0" w:color="auto"/>
          <w:bar w:val="none" w:sz="0" w:color="auto"/>
        </w:pBdr>
        <w:spacing w:before="120"/>
        <w:jc w:val="both"/>
      </w:pPr>
      <w:r>
        <w:t>For the avoidance of doubt, the following documentation has been provided to assist with the completion of this first stage procurement process.</w:t>
      </w:r>
    </w:p>
    <w:p w:rsidR="000C3459" w:rsidRDefault="000C3459" w:rsidP="009D671A">
      <w:pPr>
        <w:pBdr>
          <w:top w:val="none" w:sz="0" w:space="0" w:color="auto"/>
          <w:left w:val="none" w:sz="0" w:space="0" w:color="auto"/>
          <w:bottom w:val="none" w:sz="0" w:space="0" w:color="auto"/>
          <w:right w:val="none" w:sz="0" w:space="0" w:color="auto"/>
          <w:bar w:val="none" w:sz="0" w:color="auto"/>
        </w:pBdr>
        <w:spacing w:before="120"/>
        <w:jc w:val="both"/>
      </w:pPr>
    </w:p>
    <w:p w:rsidR="000C3459" w:rsidRDefault="000C3459" w:rsidP="000C3459">
      <w:pPr>
        <w:pStyle w:val="ListParagraph"/>
        <w:numPr>
          <w:ilvl w:val="0"/>
          <w:numId w:val="36"/>
        </w:numPr>
        <w:pBdr>
          <w:top w:val="none" w:sz="0" w:space="0" w:color="auto"/>
          <w:left w:val="none" w:sz="0" w:space="0" w:color="auto"/>
          <w:bottom w:val="none" w:sz="0" w:space="0" w:color="auto"/>
          <w:right w:val="none" w:sz="0" w:space="0" w:color="auto"/>
          <w:bar w:val="none" w:sz="0" w:color="auto"/>
        </w:pBdr>
        <w:spacing w:before="120"/>
        <w:jc w:val="both"/>
      </w:pPr>
      <w:r>
        <w:t>NHS T&amp;C’s for acceptance</w:t>
      </w:r>
    </w:p>
    <w:p w:rsidR="000C3459" w:rsidRDefault="000C3459" w:rsidP="000C3459">
      <w:pPr>
        <w:pStyle w:val="ListParagraph"/>
        <w:numPr>
          <w:ilvl w:val="0"/>
          <w:numId w:val="36"/>
        </w:numPr>
        <w:pBdr>
          <w:top w:val="none" w:sz="0" w:space="0" w:color="auto"/>
          <w:left w:val="none" w:sz="0" w:space="0" w:color="auto"/>
          <w:bottom w:val="none" w:sz="0" w:space="0" w:color="auto"/>
          <w:right w:val="none" w:sz="0" w:space="0" w:color="auto"/>
          <w:bar w:val="none" w:sz="0" w:color="auto"/>
        </w:pBdr>
        <w:spacing w:before="120"/>
        <w:jc w:val="both"/>
      </w:pPr>
      <w:r>
        <w:t xml:space="preserve">SQ’s for completion </w:t>
      </w:r>
    </w:p>
    <w:p w:rsidR="00E65E3F" w:rsidRDefault="00E65E3F" w:rsidP="000C3459">
      <w:pPr>
        <w:pStyle w:val="ListParagraph"/>
        <w:numPr>
          <w:ilvl w:val="0"/>
          <w:numId w:val="36"/>
        </w:numPr>
        <w:pBdr>
          <w:top w:val="none" w:sz="0" w:space="0" w:color="auto"/>
          <w:left w:val="none" w:sz="0" w:space="0" w:color="auto"/>
          <w:bottom w:val="none" w:sz="0" w:space="0" w:color="auto"/>
          <w:right w:val="none" w:sz="0" w:space="0" w:color="auto"/>
          <w:bar w:val="none" w:sz="0" w:color="auto"/>
        </w:pBdr>
        <w:spacing w:before="120"/>
        <w:jc w:val="both"/>
      </w:pPr>
      <w:r>
        <w:t xml:space="preserve">SQ guidance document </w:t>
      </w:r>
    </w:p>
    <w:p w:rsidR="000C3459" w:rsidRDefault="000C3459" w:rsidP="000C3459">
      <w:pPr>
        <w:pStyle w:val="ListParagraph"/>
        <w:numPr>
          <w:ilvl w:val="0"/>
          <w:numId w:val="36"/>
        </w:numPr>
        <w:pBdr>
          <w:top w:val="none" w:sz="0" w:space="0" w:color="auto"/>
          <w:left w:val="none" w:sz="0" w:space="0" w:color="auto"/>
          <w:bottom w:val="none" w:sz="0" w:space="0" w:color="auto"/>
          <w:right w:val="none" w:sz="0" w:space="0" w:color="auto"/>
          <w:bar w:val="none" w:sz="0" w:color="auto"/>
        </w:pBdr>
        <w:spacing w:before="120"/>
        <w:jc w:val="both"/>
      </w:pPr>
      <w:r>
        <w:t xml:space="preserve">Draft ITT for information </w:t>
      </w:r>
    </w:p>
    <w:p w:rsidR="000C3459" w:rsidRDefault="000C3459" w:rsidP="000C3459">
      <w:pPr>
        <w:pStyle w:val="ListParagraph"/>
        <w:numPr>
          <w:ilvl w:val="0"/>
          <w:numId w:val="36"/>
        </w:numPr>
        <w:pBdr>
          <w:top w:val="none" w:sz="0" w:space="0" w:color="auto"/>
          <w:left w:val="none" w:sz="0" w:space="0" w:color="auto"/>
          <w:bottom w:val="none" w:sz="0" w:space="0" w:color="auto"/>
          <w:right w:val="none" w:sz="0" w:space="0" w:color="auto"/>
          <w:bar w:val="none" w:sz="0" w:color="auto"/>
        </w:pBdr>
        <w:spacing w:before="120"/>
        <w:jc w:val="both"/>
      </w:pPr>
      <w:r>
        <w:t xml:space="preserve">IRM specification for information </w:t>
      </w:r>
    </w:p>
    <w:p w:rsidR="000C3459" w:rsidRDefault="00E65E3F" w:rsidP="000C3459">
      <w:pPr>
        <w:pStyle w:val="ListParagraph"/>
        <w:numPr>
          <w:ilvl w:val="0"/>
          <w:numId w:val="36"/>
        </w:numPr>
        <w:pBdr>
          <w:top w:val="none" w:sz="0" w:space="0" w:color="auto"/>
          <w:left w:val="none" w:sz="0" w:space="0" w:color="auto"/>
          <w:bottom w:val="none" w:sz="0" w:space="0" w:color="auto"/>
          <w:right w:val="none" w:sz="0" w:space="0" w:color="auto"/>
          <w:bar w:val="none" w:sz="0" w:color="auto"/>
        </w:pBdr>
        <w:spacing w:before="120"/>
        <w:jc w:val="both"/>
      </w:pPr>
      <w:r>
        <w:t>ITT document set</w:t>
      </w:r>
    </w:p>
    <w:p w:rsidR="00E65E3F" w:rsidRDefault="00E65E3F" w:rsidP="00E65E3F">
      <w:pPr>
        <w:pStyle w:val="ListParagraph"/>
        <w:pBdr>
          <w:top w:val="none" w:sz="0" w:space="0" w:color="auto"/>
          <w:left w:val="none" w:sz="0" w:space="0" w:color="auto"/>
          <w:bottom w:val="none" w:sz="0" w:space="0" w:color="auto"/>
          <w:right w:val="none" w:sz="0" w:space="0" w:color="auto"/>
          <w:bar w:val="none" w:sz="0" w:color="auto"/>
        </w:pBdr>
        <w:spacing w:before="120"/>
        <w:jc w:val="both"/>
      </w:pPr>
    </w:p>
    <w:p w:rsidR="000C3459" w:rsidRDefault="000C3459" w:rsidP="000C3459">
      <w:pPr>
        <w:pBdr>
          <w:top w:val="none" w:sz="0" w:space="0" w:color="auto"/>
          <w:left w:val="none" w:sz="0" w:space="0" w:color="auto"/>
          <w:bottom w:val="none" w:sz="0" w:space="0" w:color="auto"/>
          <w:right w:val="none" w:sz="0" w:space="0" w:color="auto"/>
          <w:bar w:val="none" w:sz="0" w:color="auto"/>
        </w:pBdr>
        <w:spacing w:before="120"/>
        <w:jc w:val="both"/>
      </w:pPr>
      <w:r>
        <w:t>A contrac</w:t>
      </w:r>
      <w:r w:rsidR="007C6503">
        <w:t xml:space="preserve">t notice has also been prepared and uploaded onto the sourcing system for this engagement. </w:t>
      </w:r>
    </w:p>
    <w:p w:rsidR="00501616" w:rsidRDefault="00501616" w:rsidP="009D671A">
      <w:pPr>
        <w:pBdr>
          <w:top w:val="none" w:sz="0" w:space="0" w:color="auto"/>
          <w:left w:val="none" w:sz="0" w:space="0" w:color="auto"/>
          <w:bottom w:val="none" w:sz="0" w:space="0" w:color="auto"/>
          <w:right w:val="none" w:sz="0" w:space="0" w:color="auto"/>
          <w:bar w:val="none" w:sz="0" w:color="auto"/>
        </w:pBdr>
        <w:spacing w:before="120"/>
        <w:jc w:val="both"/>
      </w:pPr>
    </w:p>
    <w:p w:rsidR="00AC19CC" w:rsidRDefault="00AC19CC" w:rsidP="009D671A">
      <w:pPr>
        <w:pStyle w:val="Heading2"/>
        <w:numPr>
          <w:ilvl w:val="1"/>
          <w:numId w:val="19"/>
        </w:numPr>
        <w:pBdr>
          <w:top w:val="none" w:sz="0" w:space="0" w:color="auto"/>
          <w:left w:val="none" w:sz="0" w:space="0" w:color="auto"/>
          <w:bottom w:val="none" w:sz="0" w:space="0" w:color="auto"/>
          <w:right w:val="none" w:sz="0" w:space="0" w:color="auto"/>
          <w:bar w:val="none" w:sz="0" w:color="auto"/>
        </w:pBdr>
        <w:tabs>
          <w:tab w:val="num" w:pos="1440"/>
        </w:tabs>
        <w:ind w:left="1440" w:hanging="1440"/>
      </w:pPr>
      <w:r>
        <w:t xml:space="preserve">Project Plan and Timescales  </w:t>
      </w: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r>
        <w:t xml:space="preserve">The following table is provided to inform the potential bidders of the indicative timescales. Further information may be provided throughout the process. </w:t>
      </w: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r>
        <w:t>The Trust reserves the right to reject any offer which fails to provide an acceptable level of assurance that the output of the proposed segmentation and marketing services meet this deadline. If The Trust has any reservations, or evaluates the suppliers’ Implementation and/or Training Plans as unacceptable then The Trust may reject the offer.</w:t>
      </w:r>
    </w:p>
    <w:p w:rsidR="00AC19CC" w:rsidRDefault="00AC19CC" w:rsidP="009D671A">
      <w:pPr>
        <w:widowControl w:val="0"/>
        <w:pBdr>
          <w:top w:val="none" w:sz="0" w:space="0" w:color="auto"/>
          <w:left w:val="none" w:sz="0" w:space="0" w:color="auto"/>
          <w:bottom w:val="none" w:sz="0" w:space="0" w:color="auto"/>
          <w:right w:val="none" w:sz="0" w:space="0" w:color="auto"/>
          <w:bar w:val="none" w:sz="0" w:color="auto"/>
        </w:pBdr>
        <w:jc w:val="both"/>
      </w:pPr>
    </w:p>
    <w:tbl>
      <w:tblPr>
        <w:tblW w:w="82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662"/>
        <w:gridCol w:w="1560"/>
      </w:tblGrid>
      <w:tr w:rsidR="00AC19CC" w:rsidTr="0023514A">
        <w:trPr>
          <w:trHeight w:val="238"/>
          <w:tblHeader/>
        </w:trPr>
        <w:tc>
          <w:tcPr>
            <w:tcW w:w="6662" w:type="dxa"/>
            <w:tcBorders>
              <w:top w:val="single" w:sz="12" w:space="0" w:color="7F7F7F"/>
              <w:left w:val="single" w:sz="12" w:space="0" w:color="7F7F7F"/>
              <w:bottom w:val="single" w:sz="8" w:space="0" w:color="7F7F7F"/>
              <w:right w:val="single" w:sz="12" w:space="0" w:color="7F7F7F"/>
            </w:tcBorders>
            <w:shd w:val="clear" w:color="auto" w:fill="8DB3E2"/>
            <w:tcMar>
              <w:top w:w="80" w:type="dxa"/>
              <w:left w:w="80" w:type="dxa"/>
              <w:bottom w:w="80" w:type="dxa"/>
              <w:right w:w="80" w:type="dxa"/>
            </w:tcMar>
            <w:vAlign w:val="bottom"/>
          </w:tcPr>
          <w:p w:rsidR="00AC19CC" w:rsidRPr="0023514A" w:rsidRDefault="00AC19CC" w:rsidP="009D671A">
            <w:pPr>
              <w:pBdr>
                <w:top w:val="none" w:sz="0" w:space="0" w:color="auto"/>
                <w:left w:val="none" w:sz="0" w:space="0" w:color="auto"/>
                <w:bottom w:val="none" w:sz="0" w:space="0" w:color="auto"/>
                <w:right w:val="none" w:sz="0" w:space="0" w:color="auto"/>
                <w:bar w:val="none" w:sz="0" w:color="auto"/>
              </w:pBdr>
              <w:spacing w:after="60" w:line="300" w:lineRule="atLeast"/>
              <w:jc w:val="center"/>
            </w:pPr>
            <w:r w:rsidRPr="0023514A">
              <w:rPr>
                <w:b/>
                <w:bCs/>
                <w:sz w:val="20"/>
                <w:szCs w:val="20"/>
                <w:u w:color="FFFFFF"/>
              </w:rPr>
              <w:t>Action</w:t>
            </w:r>
          </w:p>
        </w:tc>
        <w:tc>
          <w:tcPr>
            <w:tcW w:w="1560" w:type="dxa"/>
            <w:tcBorders>
              <w:top w:val="single" w:sz="12" w:space="0" w:color="7F7F7F"/>
              <w:left w:val="single" w:sz="12" w:space="0" w:color="7F7F7F"/>
              <w:bottom w:val="single" w:sz="8" w:space="0" w:color="7F7F7F"/>
              <w:right w:val="single" w:sz="12" w:space="0" w:color="7F7F7F"/>
            </w:tcBorders>
            <w:shd w:val="clear" w:color="auto" w:fill="8DB3E2"/>
            <w:tcMar>
              <w:top w:w="80" w:type="dxa"/>
              <w:left w:w="80" w:type="dxa"/>
              <w:bottom w:w="80" w:type="dxa"/>
              <w:right w:w="80" w:type="dxa"/>
            </w:tcMar>
            <w:vAlign w:val="bottom"/>
          </w:tcPr>
          <w:p w:rsidR="00AC19CC" w:rsidRPr="0023514A" w:rsidRDefault="00AC19CC" w:rsidP="009D671A">
            <w:pPr>
              <w:pBdr>
                <w:top w:val="none" w:sz="0" w:space="0" w:color="auto"/>
                <w:left w:val="none" w:sz="0" w:space="0" w:color="auto"/>
                <w:bottom w:val="none" w:sz="0" w:space="0" w:color="auto"/>
                <w:right w:val="none" w:sz="0" w:space="0" w:color="auto"/>
                <w:bar w:val="none" w:sz="0" w:color="auto"/>
              </w:pBdr>
              <w:spacing w:after="60" w:line="300" w:lineRule="atLeast"/>
              <w:jc w:val="center"/>
            </w:pPr>
            <w:r w:rsidRPr="0023514A">
              <w:rPr>
                <w:b/>
                <w:bCs/>
                <w:sz w:val="20"/>
                <w:szCs w:val="20"/>
                <w:u w:color="FFFFFF"/>
              </w:rPr>
              <w:t>Timeline</w:t>
            </w:r>
          </w:p>
        </w:tc>
      </w:tr>
      <w:tr w:rsidR="00AC19CC" w:rsidTr="009D671A">
        <w:trPr>
          <w:trHeight w:val="233"/>
        </w:trPr>
        <w:tc>
          <w:tcPr>
            <w:tcW w:w="6662"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vAlign w:val="center"/>
          </w:tcPr>
          <w:p w:rsidR="00AC19CC" w:rsidRDefault="00AA15D4" w:rsidP="00891B8A">
            <w:pPr>
              <w:pBdr>
                <w:top w:val="none" w:sz="0" w:space="0" w:color="auto"/>
                <w:left w:val="none" w:sz="0" w:space="0" w:color="auto"/>
                <w:bottom w:val="none" w:sz="0" w:space="0" w:color="auto"/>
                <w:right w:val="none" w:sz="0" w:space="0" w:color="auto"/>
                <w:bar w:val="none" w:sz="0" w:color="auto"/>
              </w:pBdr>
              <w:spacing w:after="60" w:line="300" w:lineRule="atLeast"/>
            </w:pPr>
            <w:r w:rsidRPr="005D31AF">
              <w:rPr>
                <w:sz w:val="20"/>
                <w:szCs w:val="20"/>
              </w:rPr>
              <w:t>Publish Competitio</w:t>
            </w:r>
            <w:r w:rsidR="00891B8A">
              <w:rPr>
                <w:sz w:val="20"/>
                <w:szCs w:val="20"/>
              </w:rPr>
              <w:t>n on the Bravo portal inviting SQ engagement</w:t>
            </w:r>
            <w:r w:rsidR="00AC19CC">
              <w:rPr>
                <w:sz w:val="20"/>
                <w:szCs w:val="20"/>
              </w:rPr>
              <w:t xml:space="preserve"> </w:t>
            </w:r>
          </w:p>
        </w:tc>
        <w:tc>
          <w:tcPr>
            <w:tcW w:w="1560"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tcPr>
          <w:p w:rsidR="00AC19CC" w:rsidRPr="00752C56" w:rsidRDefault="00D04FAC">
            <w:pPr>
              <w:pBdr>
                <w:top w:val="none" w:sz="0" w:space="0" w:color="auto"/>
                <w:left w:val="none" w:sz="0" w:space="0" w:color="auto"/>
                <w:bottom w:val="none" w:sz="0" w:space="0" w:color="auto"/>
                <w:right w:val="none" w:sz="0" w:space="0" w:color="auto"/>
                <w:bar w:val="none" w:sz="0" w:color="auto"/>
              </w:pBdr>
              <w:spacing w:after="60" w:line="300" w:lineRule="atLeast"/>
              <w:jc w:val="center"/>
              <w:rPr>
                <w:color w:val="auto"/>
              </w:rPr>
            </w:pPr>
            <w:r>
              <w:rPr>
                <w:color w:val="auto"/>
              </w:rPr>
              <w:t>13/11</w:t>
            </w:r>
            <w:r w:rsidR="005D31AF">
              <w:rPr>
                <w:color w:val="auto"/>
              </w:rPr>
              <w:t>/17</w:t>
            </w:r>
          </w:p>
        </w:tc>
      </w:tr>
      <w:tr w:rsidR="00AC19CC" w:rsidTr="009D671A">
        <w:trPr>
          <w:trHeight w:val="533"/>
        </w:trPr>
        <w:tc>
          <w:tcPr>
            <w:tcW w:w="6662"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vAlign w:val="center"/>
          </w:tcPr>
          <w:p w:rsidR="00AC19CC" w:rsidRPr="00EE7D8F" w:rsidRDefault="00AC19CC" w:rsidP="009D671A">
            <w:pPr>
              <w:pBdr>
                <w:top w:val="none" w:sz="0" w:space="0" w:color="auto"/>
                <w:left w:val="none" w:sz="0" w:space="0" w:color="auto"/>
                <w:bottom w:val="none" w:sz="0" w:space="0" w:color="auto"/>
                <w:right w:val="none" w:sz="0" w:space="0" w:color="auto"/>
                <w:bar w:val="none" w:sz="0" w:color="auto"/>
              </w:pBdr>
              <w:spacing w:after="60" w:line="300" w:lineRule="atLeast"/>
              <w:rPr>
                <w:color w:val="auto"/>
              </w:rPr>
            </w:pPr>
            <w:r w:rsidRPr="00EE7D8F">
              <w:rPr>
                <w:color w:val="auto"/>
                <w:sz w:val="20"/>
                <w:szCs w:val="20"/>
              </w:rPr>
              <w:t>Deadline for queries from applicants – respond and share all questions with project team</w:t>
            </w:r>
          </w:p>
        </w:tc>
        <w:tc>
          <w:tcPr>
            <w:tcW w:w="1560"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tcPr>
          <w:p w:rsidR="00AC19CC" w:rsidRPr="00752C56" w:rsidRDefault="005B69F4" w:rsidP="009D671A">
            <w:pPr>
              <w:pBdr>
                <w:top w:val="none" w:sz="0" w:space="0" w:color="auto"/>
                <w:left w:val="none" w:sz="0" w:space="0" w:color="auto"/>
                <w:bottom w:val="none" w:sz="0" w:space="0" w:color="auto"/>
                <w:right w:val="none" w:sz="0" w:space="0" w:color="auto"/>
                <w:bar w:val="none" w:sz="0" w:color="auto"/>
              </w:pBdr>
              <w:spacing w:after="60" w:line="300" w:lineRule="atLeast"/>
              <w:jc w:val="center"/>
              <w:rPr>
                <w:color w:val="auto"/>
              </w:rPr>
            </w:pPr>
            <w:r>
              <w:rPr>
                <w:color w:val="auto"/>
              </w:rPr>
              <w:t>27/11</w:t>
            </w:r>
            <w:r w:rsidR="005D31AF">
              <w:rPr>
                <w:color w:val="auto"/>
              </w:rPr>
              <w:t>/17</w:t>
            </w:r>
          </w:p>
        </w:tc>
        <w:bookmarkStart w:id="0" w:name="_GoBack"/>
        <w:bookmarkEnd w:id="0"/>
      </w:tr>
      <w:tr w:rsidR="00891B8A" w:rsidTr="009D671A">
        <w:trPr>
          <w:trHeight w:val="533"/>
        </w:trPr>
        <w:tc>
          <w:tcPr>
            <w:tcW w:w="6662"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vAlign w:val="center"/>
          </w:tcPr>
          <w:p w:rsidR="00891B8A" w:rsidRPr="00EE7D8F" w:rsidRDefault="00891B8A" w:rsidP="009D671A">
            <w:pPr>
              <w:pBdr>
                <w:top w:val="none" w:sz="0" w:space="0" w:color="auto"/>
                <w:left w:val="none" w:sz="0" w:space="0" w:color="auto"/>
                <w:bottom w:val="none" w:sz="0" w:space="0" w:color="auto"/>
                <w:right w:val="none" w:sz="0" w:space="0" w:color="auto"/>
                <w:bar w:val="none" w:sz="0" w:color="auto"/>
              </w:pBdr>
              <w:spacing w:after="60" w:line="300" w:lineRule="atLeast"/>
              <w:rPr>
                <w:color w:val="auto"/>
                <w:sz w:val="20"/>
                <w:szCs w:val="20"/>
              </w:rPr>
            </w:pPr>
            <w:r>
              <w:rPr>
                <w:sz w:val="20"/>
                <w:szCs w:val="20"/>
              </w:rPr>
              <w:t>Suppliers short-listing</w:t>
            </w:r>
          </w:p>
        </w:tc>
        <w:tc>
          <w:tcPr>
            <w:tcW w:w="1560"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tcPr>
          <w:p w:rsidR="00891B8A" w:rsidRDefault="00D04FAC" w:rsidP="00D04FAC">
            <w:pPr>
              <w:pBdr>
                <w:top w:val="none" w:sz="0" w:space="0" w:color="auto"/>
                <w:left w:val="none" w:sz="0" w:space="0" w:color="auto"/>
                <w:bottom w:val="none" w:sz="0" w:space="0" w:color="auto"/>
                <w:right w:val="none" w:sz="0" w:space="0" w:color="auto"/>
                <w:bar w:val="none" w:sz="0" w:color="auto"/>
              </w:pBdr>
              <w:spacing w:after="60" w:line="300" w:lineRule="atLeast"/>
              <w:jc w:val="center"/>
              <w:rPr>
                <w:color w:val="auto"/>
              </w:rPr>
            </w:pPr>
            <w:r>
              <w:rPr>
                <w:color w:val="auto"/>
              </w:rPr>
              <w:t>4</w:t>
            </w:r>
            <w:r w:rsidR="00891B8A" w:rsidRPr="00891B8A">
              <w:rPr>
                <w:color w:val="auto"/>
                <w:vertAlign w:val="superscript"/>
              </w:rPr>
              <w:t>th</w:t>
            </w:r>
            <w:r w:rsidR="00891B8A">
              <w:rPr>
                <w:color w:val="auto"/>
              </w:rPr>
              <w:t>-</w:t>
            </w:r>
            <w:r>
              <w:rPr>
                <w:color w:val="auto"/>
              </w:rPr>
              <w:t>5</w:t>
            </w:r>
            <w:r w:rsidR="00891B8A" w:rsidRPr="00891B8A">
              <w:rPr>
                <w:color w:val="auto"/>
                <w:vertAlign w:val="superscript"/>
              </w:rPr>
              <w:t>th</w:t>
            </w:r>
            <w:r w:rsidR="00891B8A">
              <w:rPr>
                <w:color w:val="auto"/>
              </w:rPr>
              <w:t xml:space="preserve"> </w:t>
            </w:r>
            <w:r>
              <w:rPr>
                <w:color w:val="auto"/>
              </w:rPr>
              <w:t>Decembe</w:t>
            </w:r>
            <w:r w:rsidR="00891B8A">
              <w:rPr>
                <w:color w:val="auto"/>
              </w:rPr>
              <w:t>r</w:t>
            </w:r>
          </w:p>
        </w:tc>
      </w:tr>
      <w:tr w:rsidR="00891B8A" w:rsidTr="009D671A">
        <w:trPr>
          <w:trHeight w:val="233"/>
        </w:trPr>
        <w:tc>
          <w:tcPr>
            <w:tcW w:w="6662"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vAlign w:val="center"/>
          </w:tcPr>
          <w:p w:rsidR="00891B8A" w:rsidRDefault="00891B8A" w:rsidP="009D671A">
            <w:pPr>
              <w:pBdr>
                <w:top w:val="none" w:sz="0" w:space="0" w:color="auto"/>
                <w:left w:val="none" w:sz="0" w:space="0" w:color="auto"/>
                <w:bottom w:val="none" w:sz="0" w:space="0" w:color="auto"/>
                <w:right w:val="none" w:sz="0" w:space="0" w:color="auto"/>
                <w:bar w:val="none" w:sz="0" w:color="auto"/>
              </w:pBdr>
              <w:spacing w:after="60" w:line="300" w:lineRule="atLeast"/>
              <w:rPr>
                <w:sz w:val="20"/>
                <w:szCs w:val="20"/>
              </w:rPr>
            </w:pPr>
            <w:r>
              <w:rPr>
                <w:sz w:val="20"/>
                <w:szCs w:val="20"/>
              </w:rPr>
              <w:t>Issue full ITT and tender documentation</w:t>
            </w:r>
          </w:p>
        </w:tc>
        <w:tc>
          <w:tcPr>
            <w:tcW w:w="1560"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tcPr>
          <w:p w:rsidR="00891B8A" w:rsidRDefault="00D04FAC" w:rsidP="005D31AF">
            <w:pPr>
              <w:pBdr>
                <w:top w:val="none" w:sz="0" w:space="0" w:color="auto"/>
                <w:left w:val="none" w:sz="0" w:space="0" w:color="auto"/>
                <w:bottom w:val="none" w:sz="0" w:space="0" w:color="auto"/>
                <w:right w:val="none" w:sz="0" w:space="0" w:color="auto"/>
                <w:bar w:val="none" w:sz="0" w:color="auto"/>
              </w:pBdr>
              <w:spacing w:after="60" w:line="300" w:lineRule="atLeast"/>
              <w:jc w:val="center"/>
              <w:rPr>
                <w:color w:val="auto"/>
              </w:rPr>
            </w:pPr>
            <w:r>
              <w:rPr>
                <w:color w:val="auto"/>
              </w:rPr>
              <w:t>06/12</w:t>
            </w:r>
            <w:r w:rsidR="00891B8A">
              <w:rPr>
                <w:color w:val="auto"/>
              </w:rPr>
              <w:t>/2017</w:t>
            </w:r>
          </w:p>
        </w:tc>
      </w:tr>
      <w:tr w:rsidR="00AC19CC" w:rsidTr="009D671A">
        <w:trPr>
          <w:trHeight w:val="233"/>
        </w:trPr>
        <w:tc>
          <w:tcPr>
            <w:tcW w:w="6662"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vAlign w:val="center"/>
          </w:tcPr>
          <w:p w:rsidR="00AC19CC" w:rsidRDefault="00AC19CC" w:rsidP="009D671A">
            <w:pPr>
              <w:pBdr>
                <w:top w:val="none" w:sz="0" w:space="0" w:color="auto"/>
                <w:left w:val="none" w:sz="0" w:space="0" w:color="auto"/>
                <w:bottom w:val="none" w:sz="0" w:space="0" w:color="auto"/>
                <w:right w:val="none" w:sz="0" w:space="0" w:color="auto"/>
                <w:bar w:val="none" w:sz="0" w:color="auto"/>
              </w:pBdr>
              <w:spacing w:after="60" w:line="300" w:lineRule="atLeast"/>
            </w:pPr>
            <w:r>
              <w:rPr>
                <w:sz w:val="20"/>
                <w:szCs w:val="20"/>
              </w:rPr>
              <w:t xml:space="preserve">Deadline for return of Tender </w:t>
            </w:r>
          </w:p>
        </w:tc>
        <w:tc>
          <w:tcPr>
            <w:tcW w:w="1560"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tcPr>
          <w:p w:rsidR="00AC19CC" w:rsidRPr="00752C56" w:rsidRDefault="00D04FAC" w:rsidP="005D31AF">
            <w:pPr>
              <w:pBdr>
                <w:top w:val="none" w:sz="0" w:space="0" w:color="auto"/>
                <w:left w:val="none" w:sz="0" w:space="0" w:color="auto"/>
                <w:bottom w:val="none" w:sz="0" w:space="0" w:color="auto"/>
                <w:right w:val="none" w:sz="0" w:space="0" w:color="auto"/>
                <w:bar w:val="none" w:sz="0" w:color="auto"/>
              </w:pBdr>
              <w:spacing w:after="60" w:line="300" w:lineRule="atLeast"/>
              <w:jc w:val="center"/>
              <w:rPr>
                <w:color w:val="auto"/>
              </w:rPr>
            </w:pPr>
            <w:r>
              <w:rPr>
                <w:color w:val="auto"/>
              </w:rPr>
              <w:t>15/01</w:t>
            </w:r>
            <w:r w:rsidR="005D31AF">
              <w:rPr>
                <w:color w:val="auto"/>
              </w:rPr>
              <w:t>/1</w:t>
            </w:r>
            <w:r>
              <w:rPr>
                <w:color w:val="auto"/>
              </w:rPr>
              <w:t>8</w:t>
            </w:r>
          </w:p>
        </w:tc>
      </w:tr>
      <w:tr w:rsidR="00AC19CC" w:rsidTr="009D671A">
        <w:trPr>
          <w:trHeight w:val="233"/>
        </w:trPr>
        <w:tc>
          <w:tcPr>
            <w:tcW w:w="6662"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vAlign w:val="center"/>
          </w:tcPr>
          <w:p w:rsidR="00AC19CC" w:rsidRDefault="00AC19CC" w:rsidP="009D671A">
            <w:pPr>
              <w:pBdr>
                <w:top w:val="none" w:sz="0" w:space="0" w:color="auto"/>
                <w:left w:val="none" w:sz="0" w:space="0" w:color="auto"/>
                <w:bottom w:val="none" w:sz="0" w:space="0" w:color="auto"/>
                <w:right w:val="none" w:sz="0" w:space="0" w:color="auto"/>
                <w:bar w:val="none" w:sz="0" w:color="auto"/>
              </w:pBdr>
            </w:pPr>
            <w:r>
              <w:rPr>
                <w:sz w:val="20"/>
                <w:szCs w:val="20"/>
              </w:rPr>
              <w:t>Initial Evaluation, clarification and suppliers short-listing</w:t>
            </w:r>
          </w:p>
        </w:tc>
        <w:tc>
          <w:tcPr>
            <w:tcW w:w="1560"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tcPr>
          <w:p w:rsidR="00AC19CC" w:rsidRPr="005D62C1" w:rsidRDefault="00D04FAC" w:rsidP="005D62C1">
            <w:pPr>
              <w:pBdr>
                <w:top w:val="none" w:sz="0" w:space="0" w:color="auto"/>
                <w:left w:val="none" w:sz="0" w:space="0" w:color="auto"/>
                <w:bottom w:val="none" w:sz="0" w:space="0" w:color="auto"/>
                <w:right w:val="none" w:sz="0" w:space="0" w:color="auto"/>
                <w:bar w:val="none" w:sz="0" w:color="auto"/>
              </w:pBdr>
              <w:spacing w:after="60" w:line="300" w:lineRule="atLeast"/>
              <w:jc w:val="center"/>
              <w:rPr>
                <w:color w:val="auto"/>
                <w:highlight w:val="yellow"/>
              </w:rPr>
            </w:pPr>
            <w:r>
              <w:rPr>
                <w:color w:val="auto"/>
              </w:rPr>
              <w:t>16</w:t>
            </w:r>
            <w:r w:rsidR="00891B8A" w:rsidRPr="00891B8A">
              <w:rPr>
                <w:color w:val="auto"/>
              </w:rPr>
              <w:t>/01/18</w:t>
            </w:r>
            <w:r>
              <w:rPr>
                <w:color w:val="auto"/>
              </w:rPr>
              <w:t>-26/01/2018</w:t>
            </w:r>
          </w:p>
        </w:tc>
      </w:tr>
      <w:tr w:rsidR="00D04FAC" w:rsidTr="009D671A">
        <w:trPr>
          <w:trHeight w:val="233"/>
        </w:trPr>
        <w:tc>
          <w:tcPr>
            <w:tcW w:w="6662"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vAlign w:val="center"/>
          </w:tcPr>
          <w:p w:rsidR="00D04FAC" w:rsidRDefault="00D04FAC" w:rsidP="009D671A">
            <w:pPr>
              <w:pBdr>
                <w:top w:val="none" w:sz="0" w:space="0" w:color="auto"/>
                <w:left w:val="none" w:sz="0" w:space="0" w:color="auto"/>
                <w:bottom w:val="none" w:sz="0" w:space="0" w:color="auto"/>
                <w:right w:val="none" w:sz="0" w:space="0" w:color="auto"/>
                <w:bar w:val="none" w:sz="0" w:color="auto"/>
              </w:pBdr>
              <w:rPr>
                <w:sz w:val="20"/>
                <w:szCs w:val="20"/>
              </w:rPr>
            </w:pPr>
            <w:r>
              <w:rPr>
                <w:sz w:val="20"/>
                <w:szCs w:val="20"/>
              </w:rPr>
              <w:t xml:space="preserve">Supplier Demonstrations </w:t>
            </w:r>
          </w:p>
        </w:tc>
        <w:tc>
          <w:tcPr>
            <w:tcW w:w="1560" w:type="dxa"/>
            <w:tcBorders>
              <w:top w:val="single" w:sz="8" w:space="0" w:color="7F7F7F"/>
              <w:left w:val="single" w:sz="12" w:space="0" w:color="7F7F7F"/>
              <w:bottom w:val="single" w:sz="8" w:space="0" w:color="7F7F7F"/>
              <w:right w:val="single" w:sz="12" w:space="0" w:color="7F7F7F"/>
            </w:tcBorders>
            <w:tcMar>
              <w:top w:w="80" w:type="dxa"/>
              <w:left w:w="80" w:type="dxa"/>
              <w:bottom w:w="80" w:type="dxa"/>
              <w:right w:w="80" w:type="dxa"/>
            </w:tcMar>
          </w:tcPr>
          <w:p w:rsidR="00D04FAC" w:rsidRDefault="00D04FAC" w:rsidP="005D62C1">
            <w:pPr>
              <w:pBdr>
                <w:top w:val="none" w:sz="0" w:space="0" w:color="auto"/>
                <w:left w:val="none" w:sz="0" w:space="0" w:color="auto"/>
                <w:bottom w:val="none" w:sz="0" w:space="0" w:color="auto"/>
                <w:right w:val="none" w:sz="0" w:space="0" w:color="auto"/>
                <w:bar w:val="none" w:sz="0" w:color="auto"/>
              </w:pBdr>
              <w:spacing w:after="60" w:line="300" w:lineRule="atLeast"/>
              <w:jc w:val="center"/>
              <w:rPr>
                <w:color w:val="auto"/>
              </w:rPr>
            </w:pPr>
            <w:r>
              <w:rPr>
                <w:color w:val="auto"/>
              </w:rPr>
              <w:t>29/01/2018-02/02/2018</w:t>
            </w:r>
          </w:p>
        </w:tc>
      </w:tr>
      <w:tr w:rsidR="00AC19CC" w:rsidTr="009D671A">
        <w:trPr>
          <w:trHeight w:val="238"/>
        </w:trPr>
        <w:tc>
          <w:tcPr>
            <w:tcW w:w="6662" w:type="dxa"/>
            <w:tcBorders>
              <w:top w:val="single" w:sz="8" w:space="0" w:color="7F7F7F"/>
              <w:left w:val="single" w:sz="12" w:space="0" w:color="7F7F7F"/>
              <w:bottom w:val="single" w:sz="12" w:space="0" w:color="7F7F7F"/>
              <w:right w:val="single" w:sz="12" w:space="0" w:color="7F7F7F"/>
            </w:tcBorders>
            <w:tcMar>
              <w:top w:w="80" w:type="dxa"/>
              <w:left w:w="80" w:type="dxa"/>
              <w:bottom w:w="80" w:type="dxa"/>
              <w:right w:w="80" w:type="dxa"/>
            </w:tcMar>
            <w:vAlign w:val="center"/>
          </w:tcPr>
          <w:p w:rsidR="00AC19CC" w:rsidRDefault="00752C56" w:rsidP="009D671A">
            <w:pPr>
              <w:pBdr>
                <w:top w:val="none" w:sz="0" w:space="0" w:color="auto"/>
                <w:left w:val="none" w:sz="0" w:space="0" w:color="auto"/>
                <w:bottom w:val="none" w:sz="0" w:space="0" w:color="auto"/>
                <w:right w:val="none" w:sz="0" w:space="0" w:color="auto"/>
                <w:bar w:val="none" w:sz="0" w:color="auto"/>
              </w:pBdr>
              <w:spacing w:after="60" w:line="300" w:lineRule="atLeast"/>
              <w:rPr>
                <w:sz w:val="20"/>
                <w:szCs w:val="20"/>
              </w:rPr>
            </w:pPr>
            <w:r>
              <w:rPr>
                <w:sz w:val="20"/>
                <w:szCs w:val="20"/>
              </w:rPr>
              <w:t xml:space="preserve">Internal </w:t>
            </w:r>
            <w:r w:rsidR="00AC19CC">
              <w:rPr>
                <w:sz w:val="20"/>
                <w:szCs w:val="20"/>
              </w:rPr>
              <w:t xml:space="preserve">Approval </w:t>
            </w:r>
          </w:p>
        </w:tc>
        <w:tc>
          <w:tcPr>
            <w:tcW w:w="1560" w:type="dxa"/>
            <w:tcBorders>
              <w:top w:val="single" w:sz="8" w:space="0" w:color="7F7F7F"/>
              <w:left w:val="single" w:sz="12" w:space="0" w:color="7F7F7F"/>
              <w:bottom w:val="single" w:sz="12" w:space="0" w:color="7F7F7F"/>
              <w:right w:val="single" w:sz="12" w:space="0" w:color="7F7F7F"/>
            </w:tcBorders>
            <w:tcMar>
              <w:top w:w="80" w:type="dxa"/>
              <w:left w:w="80" w:type="dxa"/>
              <w:bottom w:w="80" w:type="dxa"/>
              <w:right w:w="80" w:type="dxa"/>
            </w:tcMar>
          </w:tcPr>
          <w:p w:rsidR="00AC19CC" w:rsidRPr="00752C56" w:rsidRDefault="00D04FAC" w:rsidP="009D671A">
            <w:pPr>
              <w:pBdr>
                <w:top w:val="none" w:sz="0" w:space="0" w:color="auto"/>
                <w:left w:val="none" w:sz="0" w:space="0" w:color="auto"/>
                <w:bottom w:val="none" w:sz="0" w:space="0" w:color="auto"/>
                <w:right w:val="none" w:sz="0" w:space="0" w:color="auto"/>
                <w:bar w:val="none" w:sz="0" w:color="auto"/>
              </w:pBdr>
              <w:spacing w:after="60" w:line="300" w:lineRule="atLeast"/>
              <w:jc w:val="center"/>
              <w:rPr>
                <w:color w:val="auto"/>
                <w:sz w:val="20"/>
                <w:szCs w:val="20"/>
              </w:rPr>
            </w:pPr>
            <w:r>
              <w:rPr>
                <w:color w:val="auto"/>
                <w:sz w:val="20"/>
                <w:szCs w:val="20"/>
              </w:rPr>
              <w:t>26/02/2018</w:t>
            </w:r>
          </w:p>
        </w:tc>
      </w:tr>
      <w:tr w:rsidR="00AC19CC" w:rsidTr="009D671A">
        <w:trPr>
          <w:trHeight w:val="238"/>
        </w:trPr>
        <w:tc>
          <w:tcPr>
            <w:tcW w:w="6662" w:type="dxa"/>
            <w:tcBorders>
              <w:top w:val="single" w:sz="8" w:space="0" w:color="7F7F7F"/>
              <w:left w:val="single" w:sz="12" w:space="0" w:color="7F7F7F"/>
              <w:bottom w:val="single" w:sz="12" w:space="0" w:color="7F7F7F"/>
              <w:right w:val="single" w:sz="12" w:space="0" w:color="7F7F7F"/>
            </w:tcBorders>
            <w:tcMar>
              <w:top w:w="80" w:type="dxa"/>
              <w:left w:w="80" w:type="dxa"/>
              <w:bottom w:w="80" w:type="dxa"/>
              <w:right w:w="80" w:type="dxa"/>
            </w:tcMar>
            <w:vAlign w:val="center"/>
          </w:tcPr>
          <w:p w:rsidR="00AC19CC" w:rsidRDefault="00AC19CC" w:rsidP="009D671A">
            <w:pPr>
              <w:pBdr>
                <w:top w:val="none" w:sz="0" w:space="0" w:color="auto"/>
                <w:left w:val="none" w:sz="0" w:space="0" w:color="auto"/>
                <w:bottom w:val="none" w:sz="0" w:space="0" w:color="auto"/>
                <w:right w:val="none" w:sz="0" w:space="0" w:color="auto"/>
                <w:bar w:val="none" w:sz="0" w:color="auto"/>
              </w:pBdr>
              <w:spacing w:after="60" w:line="300" w:lineRule="atLeast"/>
            </w:pPr>
            <w:r>
              <w:rPr>
                <w:sz w:val="20"/>
                <w:szCs w:val="20"/>
              </w:rPr>
              <w:t>Formal award of Contract</w:t>
            </w:r>
            <w:r w:rsidR="00D04FAC">
              <w:rPr>
                <w:sz w:val="20"/>
                <w:szCs w:val="20"/>
              </w:rPr>
              <w:t>, to include contract signing</w:t>
            </w:r>
          </w:p>
        </w:tc>
        <w:tc>
          <w:tcPr>
            <w:tcW w:w="1560" w:type="dxa"/>
            <w:tcBorders>
              <w:top w:val="single" w:sz="8" w:space="0" w:color="7F7F7F"/>
              <w:left w:val="single" w:sz="12" w:space="0" w:color="7F7F7F"/>
              <w:bottom w:val="single" w:sz="12" w:space="0" w:color="7F7F7F"/>
              <w:right w:val="single" w:sz="12" w:space="0" w:color="7F7F7F"/>
            </w:tcBorders>
            <w:tcMar>
              <w:top w:w="80" w:type="dxa"/>
              <w:left w:w="80" w:type="dxa"/>
              <w:bottom w:w="80" w:type="dxa"/>
              <w:right w:w="80" w:type="dxa"/>
            </w:tcMar>
          </w:tcPr>
          <w:p w:rsidR="00AC19CC" w:rsidRPr="00752C56" w:rsidRDefault="00D04FAC" w:rsidP="009D671A">
            <w:pPr>
              <w:pBdr>
                <w:top w:val="none" w:sz="0" w:space="0" w:color="auto"/>
                <w:left w:val="none" w:sz="0" w:space="0" w:color="auto"/>
                <w:bottom w:val="none" w:sz="0" w:space="0" w:color="auto"/>
                <w:right w:val="none" w:sz="0" w:space="0" w:color="auto"/>
                <w:bar w:val="none" w:sz="0" w:color="auto"/>
              </w:pBdr>
              <w:spacing w:after="60" w:line="300" w:lineRule="atLeast"/>
              <w:jc w:val="center"/>
              <w:rPr>
                <w:color w:val="auto"/>
              </w:rPr>
            </w:pPr>
            <w:r>
              <w:rPr>
                <w:color w:val="auto"/>
              </w:rPr>
              <w:t>27/02</w:t>
            </w:r>
            <w:r w:rsidR="00891B8A">
              <w:rPr>
                <w:color w:val="auto"/>
              </w:rPr>
              <w:t>/18</w:t>
            </w:r>
            <w:r>
              <w:rPr>
                <w:color w:val="auto"/>
              </w:rPr>
              <w:t>-15/03/2018</w:t>
            </w:r>
          </w:p>
        </w:tc>
      </w:tr>
    </w:tbl>
    <w:p w:rsidR="00BB1350" w:rsidRDefault="00BB1350" w:rsidP="009D671A">
      <w:pPr>
        <w:pBdr>
          <w:top w:val="none" w:sz="0" w:space="0" w:color="auto"/>
          <w:left w:val="none" w:sz="0" w:space="0" w:color="auto"/>
          <w:bottom w:val="none" w:sz="0" w:space="0" w:color="auto"/>
          <w:right w:val="none" w:sz="0" w:space="0" w:color="auto"/>
          <w:bar w:val="none" w:sz="0" w:color="auto"/>
        </w:pBdr>
        <w:jc w:val="both"/>
      </w:pPr>
    </w:p>
    <w:p w:rsidR="00BB1350" w:rsidRDefault="00BB1350" w:rsidP="009D671A">
      <w:pPr>
        <w:pBdr>
          <w:top w:val="none" w:sz="0" w:space="0" w:color="auto"/>
          <w:left w:val="none" w:sz="0" w:space="0" w:color="auto"/>
          <w:bottom w:val="none" w:sz="0" w:space="0" w:color="auto"/>
          <w:right w:val="none" w:sz="0" w:space="0" w:color="auto"/>
          <w:bar w:val="none" w:sz="0" w:color="auto"/>
        </w:pBdr>
        <w:jc w:val="both"/>
      </w:pPr>
    </w:p>
    <w:p w:rsidR="00AC19CC" w:rsidRDefault="00AC19CC" w:rsidP="009D671A">
      <w:pPr>
        <w:pStyle w:val="Heading2"/>
        <w:numPr>
          <w:ilvl w:val="1"/>
          <w:numId w:val="19"/>
        </w:numPr>
        <w:pBdr>
          <w:top w:val="none" w:sz="0" w:space="0" w:color="auto"/>
          <w:left w:val="none" w:sz="0" w:space="0" w:color="auto"/>
          <w:bottom w:val="none" w:sz="0" w:space="0" w:color="auto"/>
          <w:right w:val="none" w:sz="0" w:space="0" w:color="auto"/>
          <w:bar w:val="none" w:sz="0" w:color="auto"/>
        </w:pBdr>
        <w:tabs>
          <w:tab w:val="num" w:pos="1440"/>
        </w:tabs>
        <w:ind w:left="1440" w:hanging="1440"/>
      </w:pPr>
      <w:r>
        <w:t>Evaluation Criteria</w:t>
      </w: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752C56" w:rsidP="009D671A">
      <w:pPr>
        <w:pBdr>
          <w:top w:val="none" w:sz="0" w:space="0" w:color="auto"/>
          <w:left w:val="none" w:sz="0" w:space="0" w:color="auto"/>
          <w:bottom w:val="none" w:sz="0" w:space="0" w:color="auto"/>
          <w:right w:val="none" w:sz="0" w:space="0" w:color="auto"/>
          <w:bar w:val="none" w:sz="0" w:color="auto"/>
        </w:pBdr>
      </w:pPr>
      <w:r>
        <w:rPr>
          <w:rFonts w:eastAsia="Arial Unicode MS" w:hAnsi="Arial Unicode MS" w:cs="Arial Unicode MS"/>
        </w:rPr>
        <w:t>The responses will be scored based on the Most Economically Advantageous Tender (MEAT) and th</w:t>
      </w:r>
      <w:r w:rsidR="00AC19CC">
        <w:rPr>
          <w:rFonts w:eastAsia="Arial Unicode MS" w:hAnsi="Arial Unicode MS" w:cs="Arial Unicode MS"/>
        </w:rPr>
        <w:t>e following criteria will be used in evaluating the technical responses to this competition:</w:t>
      </w:r>
    </w:p>
    <w:tbl>
      <w:tblPr>
        <w:tblStyle w:val="TableGrid"/>
        <w:tblpPr w:leftFromText="180" w:rightFromText="180" w:vertAnchor="text" w:horzAnchor="margin" w:tblpY="164"/>
        <w:tblW w:w="9529" w:type="dxa"/>
        <w:tblLayout w:type="fixed"/>
        <w:tblLook w:val="04A0" w:firstRow="1" w:lastRow="0" w:firstColumn="1" w:lastColumn="0" w:noHBand="0" w:noVBand="1"/>
      </w:tblPr>
      <w:tblGrid>
        <w:gridCol w:w="534"/>
        <w:gridCol w:w="3216"/>
        <w:gridCol w:w="534"/>
        <w:gridCol w:w="2443"/>
        <w:gridCol w:w="534"/>
        <w:gridCol w:w="1734"/>
        <w:gridCol w:w="534"/>
      </w:tblGrid>
      <w:tr w:rsidR="00501616" w:rsidRPr="00752C56" w:rsidTr="00501616">
        <w:trPr>
          <w:gridAfter w:val="1"/>
          <w:wAfter w:w="534" w:type="dxa"/>
        </w:trPr>
        <w:tc>
          <w:tcPr>
            <w:tcW w:w="3750"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ind w:left="360"/>
              <w:rPr>
                <w:rFonts w:ascii="Calibri" w:hAnsi="Calibri"/>
                <w:b/>
                <w:color w:val="auto"/>
              </w:rPr>
            </w:pPr>
            <w:r w:rsidRPr="00752C56">
              <w:rPr>
                <w:rFonts w:ascii="Calibri" w:hAnsi="Calibri"/>
                <w:b/>
                <w:color w:val="auto"/>
              </w:rPr>
              <w:t>Question</w:t>
            </w:r>
          </w:p>
        </w:tc>
        <w:tc>
          <w:tcPr>
            <w:tcW w:w="2977"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s="Times New Roman"/>
                <w:b/>
                <w:color w:val="auto"/>
                <w:sz w:val="24"/>
                <w:szCs w:val="24"/>
              </w:rPr>
            </w:pPr>
            <w:r w:rsidRPr="00752C56">
              <w:rPr>
                <w:rFonts w:ascii="Calibri" w:hAnsi="Calibri" w:cs="Times New Roman"/>
                <w:b/>
                <w:color w:val="auto"/>
                <w:sz w:val="24"/>
                <w:szCs w:val="24"/>
              </w:rPr>
              <w:t>Notes</w:t>
            </w:r>
          </w:p>
        </w:tc>
        <w:tc>
          <w:tcPr>
            <w:tcW w:w="2268"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s="Times New Roman"/>
                <w:b/>
                <w:color w:val="auto"/>
                <w:sz w:val="24"/>
                <w:szCs w:val="24"/>
              </w:rPr>
            </w:pPr>
            <w:r w:rsidRPr="00752C56">
              <w:rPr>
                <w:rFonts w:ascii="Calibri" w:hAnsi="Calibri" w:cs="Times New Roman"/>
                <w:b/>
                <w:color w:val="auto"/>
                <w:sz w:val="24"/>
                <w:szCs w:val="24"/>
              </w:rPr>
              <w:t>Weighting</w:t>
            </w:r>
          </w:p>
        </w:tc>
      </w:tr>
      <w:tr w:rsidR="00501616" w:rsidRPr="00752C56" w:rsidTr="00501616">
        <w:tc>
          <w:tcPr>
            <w:tcW w:w="9529" w:type="dxa"/>
            <w:gridSpan w:val="7"/>
            <w:shd w:val="clear" w:color="auto" w:fill="B8CCE4" w:themeFill="accent1" w:themeFillTint="66"/>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s="Times New Roman"/>
                <w:b/>
                <w:color w:val="auto"/>
                <w:sz w:val="28"/>
                <w:szCs w:val="28"/>
              </w:rPr>
            </w:pPr>
            <w:r w:rsidRPr="00752C56">
              <w:rPr>
                <w:rFonts w:ascii="Calibri" w:hAnsi="Calibri"/>
                <w:b/>
                <w:color w:val="auto"/>
                <w:sz w:val="28"/>
                <w:szCs w:val="28"/>
              </w:rPr>
              <w:t>Quality and Technical</w:t>
            </w:r>
          </w:p>
        </w:tc>
      </w:tr>
      <w:tr w:rsidR="00501616" w:rsidRPr="00752C56" w:rsidTr="00501616">
        <w:trPr>
          <w:gridAfter w:val="1"/>
          <w:wAfter w:w="534" w:type="dxa"/>
        </w:trPr>
        <w:tc>
          <w:tcPr>
            <w:tcW w:w="3750"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olor w:val="auto"/>
              </w:rPr>
            </w:pPr>
            <w:r>
              <w:rPr>
                <w:rFonts w:ascii="Calibri" w:hAnsi="Calibri"/>
                <w:color w:val="auto"/>
              </w:rPr>
              <w:t>Knowledge transfer</w:t>
            </w:r>
          </w:p>
        </w:tc>
        <w:tc>
          <w:tcPr>
            <w:tcW w:w="2977"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s="Times New Roman"/>
                <w:color w:val="auto"/>
                <w:sz w:val="24"/>
                <w:szCs w:val="24"/>
              </w:rPr>
            </w:pPr>
          </w:p>
        </w:tc>
        <w:tc>
          <w:tcPr>
            <w:tcW w:w="2268"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s="Times New Roman"/>
                <w:color w:val="auto"/>
                <w:sz w:val="24"/>
                <w:szCs w:val="24"/>
              </w:rPr>
            </w:pPr>
            <w:r>
              <w:rPr>
                <w:rFonts w:ascii="Calibri" w:hAnsi="Calibri" w:cs="Times New Roman"/>
                <w:color w:val="auto"/>
                <w:sz w:val="24"/>
                <w:szCs w:val="24"/>
              </w:rPr>
              <w:t>10</w:t>
            </w:r>
            <w:r w:rsidRPr="00752C56">
              <w:rPr>
                <w:rFonts w:ascii="Calibri" w:hAnsi="Calibri" w:cs="Times New Roman"/>
                <w:color w:val="auto"/>
                <w:sz w:val="24"/>
                <w:szCs w:val="24"/>
              </w:rPr>
              <w:t>%</w:t>
            </w:r>
          </w:p>
        </w:tc>
      </w:tr>
      <w:tr w:rsidR="00501616" w:rsidRPr="00752C56" w:rsidTr="00501616">
        <w:trPr>
          <w:gridAfter w:val="1"/>
          <w:wAfter w:w="534" w:type="dxa"/>
        </w:trPr>
        <w:tc>
          <w:tcPr>
            <w:tcW w:w="3750"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s="Times New Roman"/>
                <w:color w:val="auto"/>
                <w:sz w:val="24"/>
                <w:szCs w:val="24"/>
              </w:rPr>
            </w:pPr>
            <w:r>
              <w:rPr>
                <w:rFonts w:ascii="Calibri" w:hAnsi="Calibri" w:cs="Times New Roman"/>
                <w:color w:val="auto"/>
                <w:sz w:val="24"/>
                <w:szCs w:val="24"/>
              </w:rPr>
              <w:t>Change</w:t>
            </w:r>
          </w:p>
        </w:tc>
        <w:tc>
          <w:tcPr>
            <w:tcW w:w="2977"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s="Times New Roman"/>
                <w:color w:val="auto"/>
                <w:szCs w:val="24"/>
              </w:rPr>
            </w:pPr>
          </w:p>
        </w:tc>
        <w:tc>
          <w:tcPr>
            <w:tcW w:w="2268"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s="Times New Roman"/>
                <w:color w:val="auto"/>
                <w:sz w:val="24"/>
                <w:szCs w:val="24"/>
              </w:rPr>
            </w:pPr>
            <w:r>
              <w:rPr>
                <w:rFonts w:ascii="Calibri" w:hAnsi="Calibri" w:cs="Times New Roman"/>
                <w:color w:val="auto"/>
                <w:sz w:val="24"/>
                <w:szCs w:val="24"/>
              </w:rPr>
              <w:t>10</w:t>
            </w:r>
            <w:r w:rsidRPr="00752C56">
              <w:rPr>
                <w:rFonts w:ascii="Calibri" w:hAnsi="Calibri" w:cs="Times New Roman"/>
                <w:color w:val="auto"/>
                <w:sz w:val="24"/>
                <w:szCs w:val="24"/>
              </w:rPr>
              <w:t>%</w:t>
            </w:r>
          </w:p>
        </w:tc>
      </w:tr>
      <w:tr w:rsidR="00501616" w:rsidRPr="00752C56" w:rsidTr="00501616">
        <w:trPr>
          <w:gridAfter w:val="1"/>
          <w:wAfter w:w="534" w:type="dxa"/>
        </w:trPr>
        <w:tc>
          <w:tcPr>
            <w:tcW w:w="3750"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olor w:val="auto"/>
              </w:rPr>
            </w:pPr>
            <w:r>
              <w:rPr>
                <w:rFonts w:ascii="Calibri" w:hAnsi="Calibri"/>
                <w:color w:val="auto"/>
              </w:rPr>
              <w:t>Reporting</w:t>
            </w:r>
          </w:p>
        </w:tc>
        <w:tc>
          <w:tcPr>
            <w:tcW w:w="2977"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s="Times New Roman"/>
                <w:color w:val="auto"/>
                <w:szCs w:val="24"/>
              </w:rPr>
            </w:pPr>
          </w:p>
        </w:tc>
        <w:tc>
          <w:tcPr>
            <w:tcW w:w="2268"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s="Times New Roman"/>
                <w:color w:val="auto"/>
                <w:sz w:val="24"/>
                <w:szCs w:val="24"/>
              </w:rPr>
            </w:pPr>
            <w:r>
              <w:rPr>
                <w:rFonts w:ascii="Calibri" w:hAnsi="Calibri" w:cs="Times New Roman"/>
                <w:color w:val="auto"/>
                <w:sz w:val="24"/>
                <w:szCs w:val="24"/>
              </w:rPr>
              <w:t>10</w:t>
            </w:r>
            <w:r w:rsidRPr="00752C56">
              <w:rPr>
                <w:rFonts w:ascii="Calibri" w:hAnsi="Calibri" w:cs="Times New Roman"/>
                <w:color w:val="auto"/>
                <w:sz w:val="24"/>
                <w:szCs w:val="24"/>
              </w:rPr>
              <w:t>%</w:t>
            </w:r>
          </w:p>
        </w:tc>
      </w:tr>
      <w:tr w:rsidR="00501616" w:rsidRPr="00752C56" w:rsidTr="00501616">
        <w:trPr>
          <w:gridAfter w:val="1"/>
          <w:wAfter w:w="534" w:type="dxa"/>
        </w:trPr>
        <w:tc>
          <w:tcPr>
            <w:tcW w:w="3750" w:type="dxa"/>
            <w:gridSpan w:val="2"/>
          </w:tcPr>
          <w:p w:rsidR="0050161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olor w:val="auto"/>
              </w:rPr>
            </w:pPr>
            <w:r>
              <w:rPr>
                <w:rFonts w:ascii="Calibri" w:hAnsi="Calibri"/>
                <w:color w:val="auto"/>
              </w:rPr>
              <w:t xml:space="preserve">Quality improvements </w:t>
            </w:r>
          </w:p>
        </w:tc>
        <w:tc>
          <w:tcPr>
            <w:tcW w:w="2977"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s="Times New Roman"/>
                <w:color w:val="auto"/>
                <w:szCs w:val="24"/>
              </w:rPr>
            </w:pPr>
          </w:p>
        </w:tc>
        <w:tc>
          <w:tcPr>
            <w:tcW w:w="2268" w:type="dxa"/>
            <w:gridSpan w:val="2"/>
          </w:tcPr>
          <w:p w:rsidR="0050161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s="Times New Roman"/>
                <w:color w:val="auto"/>
                <w:sz w:val="24"/>
                <w:szCs w:val="24"/>
              </w:rPr>
            </w:pPr>
            <w:r>
              <w:rPr>
                <w:rFonts w:ascii="Calibri" w:hAnsi="Calibri" w:cs="Times New Roman"/>
                <w:color w:val="auto"/>
                <w:sz w:val="24"/>
                <w:szCs w:val="24"/>
              </w:rPr>
              <w:t>10%</w:t>
            </w:r>
          </w:p>
        </w:tc>
      </w:tr>
      <w:tr w:rsidR="00501616" w:rsidRPr="00752C56" w:rsidTr="00501616">
        <w:trPr>
          <w:gridAfter w:val="1"/>
          <w:wAfter w:w="534" w:type="dxa"/>
        </w:trPr>
        <w:tc>
          <w:tcPr>
            <w:tcW w:w="3750" w:type="dxa"/>
            <w:gridSpan w:val="2"/>
          </w:tcPr>
          <w:p w:rsidR="0050161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olor w:val="auto"/>
              </w:rPr>
            </w:pPr>
            <w:r>
              <w:rPr>
                <w:rFonts w:ascii="Calibri" w:hAnsi="Calibri"/>
                <w:color w:val="auto"/>
              </w:rPr>
              <w:t>Innovation</w:t>
            </w:r>
          </w:p>
        </w:tc>
        <w:tc>
          <w:tcPr>
            <w:tcW w:w="2977"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s="Times New Roman"/>
                <w:color w:val="auto"/>
                <w:szCs w:val="24"/>
              </w:rPr>
            </w:pPr>
          </w:p>
        </w:tc>
        <w:tc>
          <w:tcPr>
            <w:tcW w:w="2268" w:type="dxa"/>
            <w:gridSpan w:val="2"/>
          </w:tcPr>
          <w:p w:rsidR="0050161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s="Times New Roman"/>
                <w:color w:val="auto"/>
                <w:sz w:val="24"/>
                <w:szCs w:val="24"/>
              </w:rPr>
            </w:pPr>
            <w:r>
              <w:rPr>
                <w:rFonts w:ascii="Calibri" w:hAnsi="Calibri" w:cs="Times New Roman"/>
                <w:color w:val="auto"/>
                <w:sz w:val="24"/>
                <w:szCs w:val="24"/>
              </w:rPr>
              <w:t>15%</w:t>
            </w:r>
          </w:p>
        </w:tc>
      </w:tr>
      <w:tr w:rsidR="00501616" w:rsidRPr="00752C56" w:rsidTr="00501616">
        <w:trPr>
          <w:gridAfter w:val="1"/>
          <w:wAfter w:w="534" w:type="dxa"/>
        </w:trPr>
        <w:tc>
          <w:tcPr>
            <w:tcW w:w="3750" w:type="dxa"/>
            <w:gridSpan w:val="2"/>
          </w:tcPr>
          <w:p w:rsidR="0050161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olor w:val="auto"/>
              </w:rPr>
            </w:pPr>
            <w:r>
              <w:rPr>
                <w:rFonts w:ascii="Calibri" w:hAnsi="Calibri"/>
                <w:color w:val="auto"/>
              </w:rPr>
              <w:t xml:space="preserve">Key Performance Indicators </w:t>
            </w:r>
          </w:p>
        </w:tc>
        <w:tc>
          <w:tcPr>
            <w:tcW w:w="2977"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s="Times New Roman"/>
                <w:color w:val="auto"/>
                <w:szCs w:val="24"/>
              </w:rPr>
            </w:pPr>
          </w:p>
        </w:tc>
        <w:tc>
          <w:tcPr>
            <w:tcW w:w="2268" w:type="dxa"/>
            <w:gridSpan w:val="2"/>
          </w:tcPr>
          <w:p w:rsidR="0050161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s="Times New Roman"/>
                <w:color w:val="auto"/>
                <w:sz w:val="24"/>
                <w:szCs w:val="24"/>
              </w:rPr>
            </w:pPr>
            <w:r>
              <w:rPr>
                <w:rFonts w:ascii="Calibri" w:hAnsi="Calibri" w:cs="Times New Roman"/>
                <w:color w:val="auto"/>
                <w:sz w:val="24"/>
                <w:szCs w:val="24"/>
              </w:rPr>
              <w:t>15%</w:t>
            </w:r>
          </w:p>
        </w:tc>
      </w:tr>
      <w:tr w:rsidR="00501616" w:rsidRPr="00752C56" w:rsidTr="00501616">
        <w:tc>
          <w:tcPr>
            <w:tcW w:w="9529" w:type="dxa"/>
            <w:gridSpan w:val="7"/>
            <w:shd w:val="clear" w:color="auto" w:fill="B8CCE4" w:themeFill="accent1" w:themeFillTint="66"/>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s="Times New Roman"/>
                <w:b/>
                <w:color w:val="auto"/>
                <w:sz w:val="24"/>
                <w:szCs w:val="24"/>
              </w:rPr>
            </w:pPr>
            <w:r w:rsidRPr="00752C56">
              <w:rPr>
                <w:rFonts w:ascii="Calibri" w:hAnsi="Calibri" w:cs="Times New Roman"/>
                <w:b/>
                <w:color w:val="auto"/>
                <w:sz w:val="28"/>
                <w:szCs w:val="24"/>
              </w:rPr>
              <w:t>Costing</w:t>
            </w:r>
          </w:p>
        </w:tc>
      </w:tr>
      <w:tr w:rsidR="00501616" w:rsidRPr="00752C56" w:rsidTr="00501616">
        <w:trPr>
          <w:gridAfter w:val="1"/>
          <w:wAfter w:w="534" w:type="dxa"/>
        </w:trPr>
        <w:tc>
          <w:tcPr>
            <w:tcW w:w="3750" w:type="dxa"/>
            <w:gridSpan w:val="2"/>
            <w:tcBorders>
              <w:bottom w:val="single" w:sz="4" w:space="0" w:color="auto"/>
            </w:tcBorders>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olor w:val="auto"/>
              </w:rPr>
            </w:pPr>
            <w:r w:rsidRPr="00752C56">
              <w:rPr>
                <w:rFonts w:ascii="Calibri" w:hAnsi="Calibri"/>
                <w:color w:val="auto"/>
              </w:rPr>
              <w:t xml:space="preserve">The total cost to provide the service </w:t>
            </w:r>
          </w:p>
        </w:tc>
        <w:tc>
          <w:tcPr>
            <w:tcW w:w="2977" w:type="dxa"/>
            <w:gridSpan w:val="2"/>
            <w:tcBorders>
              <w:bottom w:val="single" w:sz="4" w:space="0" w:color="auto"/>
            </w:tcBorders>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olor w:val="auto"/>
              </w:rPr>
            </w:pPr>
            <w:r w:rsidRPr="00752C56">
              <w:rPr>
                <w:rFonts w:ascii="Calibri" w:hAnsi="Calibri"/>
                <w:color w:val="auto"/>
              </w:rPr>
              <w:t>Total Cost to provide the service</w:t>
            </w:r>
          </w:p>
        </w:tc>
        <w:tc>
          <w:tcPr>
            <w:tcW w:w="2268"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olor w:val="auto"/>
              </w:rPr>
            </w:pPr>
            <w:r>
              <w:rPr>
                <w:rFonts w:ascii="Calibri" w:hAnsi="Calibri"/>
                <w:color w:val="auto"/>
              </w:rPr>
              <w:t>30</w:t>
            </w:r>
            <w:r w:rsidRPr="00752C56">
              <w:rPr>
                <w:rFonts w:ascii="Calibri" w:hAnsi="Calibri"/>
                <w:color w:val="auto"/>
              </w:rPr>
              <w:t>%</w:t>
            </w:r>
          </w:p>
        </w:tc>
      </w:tr>
      <w:tr w:rsidR="00501616" w:rsidRPr="00752C56" w:rsidTr="00501616">
        <w:tc>
          <w:tcPr>
            <w:tcW w:w="534" w:type="dxa"/>
            <w:tcBorders>
              <w:left w:val="nil"/>
              <w:bottom w:val="nil"/>
              <w:right w:val="nil"/>
            </w:tcBorders>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ind w:left="360"/>
              <w:jc w:val="center"/>
              <w:rPr>
                <w:rFonts w:ascii="Calibri" w:hAnsi="Calibri" w:cs="Times New Roman"/>
                <w:color w:val="auto"/>
                <w:sz w:val="24"/>
                <w:szCs w:val="24"/>
              </w:rPr>
            </w:pPr>
          </w:p>
        </w:tc>
        <w:tc>
          <w:tcPr>
            <w:tcW w:w="3750" w:type="dxa"/>
            <w:gridSpan w:val="2"/>
            <w:tcBorders>
              <w:left w:val="nil"/>
              <w:bottom w:val="nil"/>
              <w:right w:val="nil"/>
            </w:tcBorders>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ind w:left="360"/>
              <w:rPr>
                <w:rFonts w:ascii="Calibri" w:hAnsi="Calibri" w:cs="Times New Roman"/>
                <w:color w:val="auto"/>
                <w:sz w:val="24"/>
                <w:szCs w:val="24"/>
              </w:rPr>
            </w:pPr>
          </w:p>
        </w:tc>
        <w:tc>
          <w:tcPr>
            <w:tcW w:w="2977" w:type="dxa"/>
            <w:gridSpan w:val="2"/>
            <w:tcBorders>
              <w:left w:val="nil"/>
              <w:bottom w:val="nil"/>
            </w:tcBorders>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rPr>
                <w:rFonts w:ascii="Calibri" w:hAnsi="Calibri" w:cs="Times New Roman"/>
                <w:color w:val="auto"/>
                <w:sz w:val="24"/>
                <w:szCs w:val="24"/>
              </w:rPr>
            </w:pPr>
          </w:p>
        </w:tc>
        <w:tc>
          <w:tcPr>
            <w:tcW w:w="2268" w:type="dxa"/>
            <w:gridSpan w:val="2"/>
          </w:tcPr>
          <w:p w:rsidR="00501616" w:rsidRPr="00752C56" w:rsidRDefault="00501616" w:rsidP="00501616">
            <w:pPr>
              <w:pBdr>
                <w:top w:val="none" w:sz="0" w:space="0" w:color="auto"/>
                <w:left w:val="none" w:sz="0" w:space="0" w:color="auto"/>
                <w:bottom w:val="none" w:sz="0" w:space="0" w:color="auto"/>
                <w:right w:val="none" w:sz="0" w:space="0" w:color="auto"/>
                <w:bar w:val="none" w:sz="0" w:color="auto"/>
              </w:pBdr>
              <w:jc w:val="center"/>
              <w:rPr>
                <w:rFonts w:ascii="Calibri" w:hAnsi="Calibri" w:cs="Times New Roman"/>
                <w:color w:val="auto"/>
                <w:sz w:val="24"/>
                <w:szCs w:val="24"/>
              </w:rPr>
            </w:pPr>
            <w:r w:rsidRPr="00752C56">
              <w:rPr>
                <w:rFonts w:ascii="Calibri" w:hAnsi="Calibri" w:cs="Times New Roman"/>
                <w:color w:val="auto"/>
                <w:sz w:val="24"/>
                <w:szCs w:val="24"/>
              </w:rPr>
              <w:t>100%</w:t>
            </w:r>
          </w:p>
        </w:tc>
      </w:tr>
    </w:tbl>
    <w:p w:rsidR="00AC19CC" w:rsidRDefault="00AC19CC" w:rsidP="009D671A">
      <w:pPr>
        <w:pBdr>
          <w:top w:val="none" w:sz="0" w:space="0" w:color="auto"/>
          <w:left w:val="none" w:sz="0" w:space="0" w:color="auto"/>
          <w:bottom w:val="none" w:sz="0" w:space="0" w:color="auto"/>
          <w:right w:val="none" w:sz="0" w:space="0" w:color="auto"/>
          <w:bar w:val="none" w:sz="0" w:color="auto"/>
        </w:pBdr>
        <w:rPr>
          <w:b/>
          <w:bCs/>
          <w:color w:val="FF40FF"/>
          <w:kern w:val="32"/>
          <w:sz w:val="28"/>
          <w:szCs w:val="28"/>
        </w:rPr>
      </w:pPr>
    </w:p>
    <w:p w:rsidR="00AC19CC" w:rsidRDefault="00AC19CC" w:rsidP="00501616">
      <w:pPr>
        <w:pStyle w:val="Body"/>
        <w:widowControl w:val="0"/>
        <w:pBdr>
          <w:top w:val="none" w:sz="0" w:space="0" w:color="auto"/>
          <w:left w:val="none" w:sz="0" w:space="0" w:color="auto"/>
          <w:bottom w:val="none" w:sz="0" w:space="0" w:color="auto"/>
          <w:right w:val="none" w:sz="0" w:space="0" w:color="auto"/>
          <w:bar w:val="none" w:sz="0" w:color="auto"/>
        </w:pBdr>
        <w:rPr>
          <w:color w:val="FF0000"/>
          <w:u w:color="FF0000"/>
        </w:rPr>
      </w:pPr>
    </w:p>
    <w:p w:rsidR="00501616" w:rsidRDefault="00501616" w:rsidP="00501616">
      <w:pPr>
        <w:widowControl w:val="0"/>
        <w:pBdr>
          <w:top w:val="none" w:sz="0" w:space="0" w:color="auto"/>
          <w:left w:val="none" w:sz="0" w:space="0" w:color="auto"/>
          <w:bottom w:val="none" w:sz="0" w:space="0" w:color="auto"/>
          <w:right w:val="none" w:sz="0" w:space="0" w:color="auto"/>
          <w:bar w:val="none" w:sz="0" w:color="auto"/>
        </w:pBdr>
      </w:pPr>
    </w:p>
    <w:p w:rsidR="007C5357" w:rsidRDefault="00501616" w:rsidP="00501616">
      <w:pPr>
        <w:widowControl w:val="0"/>
        <w:pBdr>
          <w:top w:val="none" w:sz="0" w:space="0" w:color="auto"/>
          <w:left w:val="none" w:sz="0" w:space="0" w:color="auto"/>
          <w:bottom w:val="none" w:sz="0" w:space="0" w:color="auto"/>
          <w:right w:val="none" w:sz="0" w:space="0" w:color="auto"/>
          <w:bar w:val="none" w:sz="0" w:color="auto"/>
        </w:pBdr>
      </w:pPr>
      <w:r>
        <w:t xml:space="preserve">The SQ questionnaire and compliancy questions for phase one of this procurement will be scored using the above defined criteria listed within the quality and technical areas. </w:t>
      </w:r>
    </w:p>
    <w:p w:rsidR="007C5357" w:rsidRDefault="007C5357" w:rsidP="00501616">
      <w:pPr>
        <w:widowControl w:val="0"/>
        <w:pBdr>
          <w:top w:val="none" w:sz="0" w:space="0" w:color="auto"/>
          <w:left w:val="none" w:sz="0" w:space="0" w:color="auto"/>
          <w:bottom w:val="none" w:sz="0" w:space="0" w:color="auto"/>
          <w:right w:val="none" w:sz="0" w:space="0" w:color="auto"/>
          <w:bar w:val="none" w:sz="0" w:color="auto"/>
        </w:pBdr>
      </w:pPr>
    </w:p>
    <w:p w:rsidR="00AC19CC" w:rsidRDefault="007C5357" w:rsidP="00501616">
      <w:pPr>
        <w:widowControl w:val="0"/>
        <w:pBdr>
          <w:top w:val="none" w:sz="0" w:space="0" w:color="auto"/>
          <w:left w:val="none" w:sz="0" w:space="0" w:color="auto"/>
          <w:bottom w:val="none" w:sz="0" w:space="0" w:color="auto"/>
          <w:right w:val="none" w:sz="0" w:space="0" w:color="auto"/>
          <w:bar w:val="none" w:sz="0" w:color="auto"/>
        </w:pBdr>
        <w:rPr>
          <w:b/>
          <w:bCs/>
          <w:kern w:val="32"/>
          <w:sz w:val="28"/>
          <w:szCs w:val="28"/>
        </w:rPr>
      </w:pPr>
      <w:r>
        <w:t>The evaluation of the responses obtained fro</w:t>
      </w:r>
      <w:r w:rsidR="00BA622A">
        <w:t xml:space="preserve">m the SQ’s will be conducted by six Trust employees. For continuity, the evaluation and clarification meetings throughout the lifecycle of this project will be attended by the same six Trust employees. </w:t>
      </w:r>
      <w:r w:rsidR="00AC19CC">
        <w:br/>
      </w:r>
    </w:p>
    <w:p w:rsidR="00AC19CC" w:rsidRDefault="00AC19CC" w:rsidP="009D671A">
      <w:pPr>
        <w:pStyle w:val="Heading2"/>
        <w:numPr>
          <w:ilvl w:val="1"/>
          <w:numId w:val="19"/>
        </w:numPr>
        <w:pBdr>
          <w:top w:val="none" w:sz="0" w:space="0" w:color="auto"/>
          <w:left w:val="none" w:sz="0" w:space="0" w:color="auto"/>
          <w:bottom w:val="none" w:sz="0" w:space="0" w:color="auto"/>
          <w:right w:val="none" w:sz="0" w:space="0" w:color="auto"/>
          <w:bar w:val="none" w:sz="0" w:color="auto"/>
        </w:pBdr>
        <w:tabs>
          <w:tab w:val="num" w:pos="1440"/>
        </w:tabs>
        <w:ind w:left="1440" w:hanging="1440"/>
      </w:pPr>
      <w:r>
        <w:t xml:space="preserve">Scoring Matrix and Definition of Scores  </w:t>
      </w: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r>
        <w:t>The scoring definition and the scoring matrix for the technical evaluation are explained below.</w:t>
      </w: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r>
        <w:t>Individual scores will be multiplied by pre-defined weightings to work out the total score as per the matrix below.</w:t>
      </w: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p>
    <w:p w:rsidR="00AC19CC" w:rsidRDefault="006F11E3" w:rsidP="009D671A">
      <w:pPr>
        <w:pBdr>
          <w:top w:val="none" w:sz="0" w:space="0" w:color="auto"/>
          <w:left w:val="none" w:sz="0" w:space="0" w:color="auto"/>
          <w:bottom w:val="none" w:sz="0" w:space="0" w:color="auto"/>
          <w:right w:val="none" w:sz="0" w:space="0" w:color="auto"/>
          <w:bar w:val="none" w:sz="0" w:color="auto"/>
        </w:pBdr>
        <w:rPr>
          <w:b/>
          <w:bCs/>
          <w:kern w:val="32"/>
          <w:sz w:val="28"/>
          <w:szCs w:val="28"/>
        </w:rPr>
      </w:pPr>
      <w:r>
        <w:rPr>
          <w:noProof/>
          <w:lang w:val="en-GB" w:eastAsia="en-GB"/>
        </w:rPr>
        <w:drawing>
          <wp:inline distT="0" distB="0" distL="0" distR="0" wp14:anchorId="3973B000" wp14:editId="2633CAE4">
            <wp:extent cx="6181725" cy="2962275"/>
            <wp:effectExtent l="0" t="0" r="9525"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2962275"/>
                    </a:xfrm>
                    <a:prstGeom prst="rect">
                      <a:avLst/>
                    </a:prstGeom>
                    <a:noFill/>
                    <a:ln>
                      <a:noFill/>
                    </a:ln>
                  </pic:spPr>
                </pic:pic>
              </a:graphicData>
            </a:graphic>
          </wp:inline>
        </w:drawing>
      </w:r>
    </w:p>
    <w:p w:rsidR="00AC19CC" w:rsidRDefault="00AC19CC" w:rsidP="009D671A">
      <w:pPr>
        <w:pBdr>
          <w:top w:val="none" w:sz="0" w:space="0" w:color="auto"/>
          <w:left w:val="none" w:sz="0" w:space="0" w:color="auto"/>
          <w:bottom w:val="none" w:sz="0" w:space="0" w:color="auto"/>
          <w:right w:val="none" w:sz="0" w:space="0" w:color="auto"/>
          <w:bar w:val="none" w:sz="0" w:color="auto"/>
        </w:pBdr>
        <w:rPr>
          <w:b/>
          <w:bCs/>
          <w:kern w:val="32"/>
          <w:sz w:val="28"/>
          <w:szCs w:val="28"/>
        </w:rPr>
      </w:pPr>
    </w:p>
    <w:p w:rsidR="00AC19CC" w:rsidRDefault="00AC19CC" w:rsidP="009D671A">
      <w:pPr>
        <w:pBdr>
          <w:top w:val="none" w:sz="0" w:space="0" w:color="auto"/>
          <w:left w:val="none" w:sz="0" w:space="0" w:color="auto"/>
          <w:bottom w:val="none" w:sz="0" w:space="0" w:color="auto"/>
          <w:right w:val="none" w:sz="0" w:space="0" w:color="auto"/>
          <w:bar w:val="none" w:sz="0" w:color="auto"/>
        </w:pBdr>
        <w:rPr>
          <w:b/>
          <w:bCs/>
          <w:kern w:val="32"/>
          <w:sz w:val="28"/>
          <w:szCs w:val="28"/>
        </w:rPr>
      </w:pPr>
    </w:p>
    <w:p w:rsidR="00501616" w:rsidRDefault="00501616" w:rsidP="009D671A">
      <w:pPr>
        <w:pBdr>
          <w:top w:val="none" w:sz="0" w:space="0" w:color="auto"/>
          <w:left w:val="none" w:sz="0" w:space="0" w:color="auto"/>
          <w:bottom w:val="none" w:sz="0" w:space="0" w:color="auto"/>
          <w:right w:val="none" w:sz="0" w:space="0" w:color="auto"/>
          <w:bar w:val="none" w:sz="0" w:color="auto"/>
        </w:pBdr>
        <w:rPr>
          <w:b/>
          <w:bCs/>
          <w:kern w:val="32"/>
          <w:sz w:val="28"/>
          <w:szCs w:val="28"/>
        </w:rPr>
      </w:pPr>
    </w:p>
    <w:p w:rsidR="00501616" w:rsidRDefault="00501616" w:rsidP="009D671A">
      <w:pPr>
        <w:pBdr>
          <w:top w:val="none" w:sz="0" w:space="0" w:color="auto"/>
          <w:left w:val="none" w:sz="0" w:space="0" w:color="auto"/>
          <w:bottom w:val="none" w:sz="0" w:space="0" w:color="auto"/>
          <w:right w:val="none" w:sz="0" w:space="0" w:color="auto"/>
          <w:bar w:val="none" w:sz="0" w:color="auto"/>
        </w:pBdr>
        <w:rPr>
          <w:b/>
          <w:bCs/>
          <w:kern w:val="32"/>
          <w:sz w:val="28"/>
          <w:szCs w:val="28"/>
        </w:rPr>
      </w:pPr>
    </w:p>
    <w:p w:rsidR="00AC19CC" w:rsidRDefault="00AC19CC" w:rsidP="009D671A">
      <w:pPr>
        <w:pStyle w:val="Heading2"/>
        <w:numPr>
          <w:ilvl w:val="1"/>
          <w:numId w:val="19"/>
        </w:numPr>
        <w:pBdr>
          <w:top w:val="none" w:sz="0" w:space="0" w:color="auto"/>
          <w:left w:val="none" w:sz="0" w:space="0" w:color="auto"/>
          <w:bottom w:val="none" w:sz="0" w:space="0" w:color="auto"/>
          <w:right w:val="none" w:sz="0" w:space="0" w:color="auto"/>
          <w:bar w:val="none" w:sz="0" w:color="auto"/>
        </w:pBdr>
        <w:tabs>
          <w:tab w:val="num" w:pos="1440"/>
        </w:tabs>
        <w:ind w:left="1440" w:hanging="1440"/>
      </w:pPr>
      <w:r>
        <w:t>Commercial Evaluation</w:t>
      </w: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r>
        <w:t xml:space="preserve">The commercial evaluation is weighted at </w:t>
      </w:r>
      <w:r w:rsidR="00752C56">
        <w:t>x</w:t>
      </w:r>
      <w:r>
        <w:t>% within the overall scoring matrix. The compliant bidder with the lowest cost will receive the maximum commercial score applicable. Each subsequent compliant bidder will be awarded points based on a percentage ratio of the overall total variance from first place. A score will be calculated as follows:</w:t>
      </w: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r>
        <w:t xml:space="preserve">The lowest price offered is awarded a fixed score of </w:t>
      </w:r>
      <w:r w:rsidR="00752C56">
        <w:t>x</w:t>
      </w:r>
      <w:r>
        <w:t xml:space="preserve"> and all other offers are awarded scores relative to that using the following formula:</w:t>
      </w:r>
    </w:p>
    <w:p w:rsidR="00AC19CC" w:rsidRDefault="00AC19CC" w:rsidP="009D671A">
      <w:pPr>
        <w:pStyle w:val="NoSpacing"/>
        <w:widowControl w:val="0"/>
        <w:pBdr>
          <w:top w:val="none" w:sz="0" w:space="0" w:color="auto"/>
          <w:left w:val="none" w:sz="0" w:space="0" w:color="auto"/>
          <w:bottom w:val="none" w:sz="0" w:space="0" w:color="auto"/>
          <w:right w:val="none" w:sz="0" w:space="0" w:color="auto"/>
          <w:bar w:val="none" w:sz="0" w:color="auto"/>
        </w:pBdr>
        <w:ind w:left="709"/>
        <w:jc w:val="both"/>
      </w:pPr>
    </w:p>
    <w:tbl>
      <w:tblPr>
        <w:tblW w:w="2835" w:type="dxa"/>
        <w:tblInd w:w="8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843"/>
        <w:gridCol w:w="425"/>
        <w:gridCol w:w="567"/>
      </w:tblGrid>
      <w:tr w:rsidR="00AC19CC" w:rsidTr="009D671A">
        <w:trPr>
          <w:trHeight w:val="245"/>
        </w:trPr>
        <w:tc>
          <w:tcPr>
            <w:tcW w:w="1843" w:type="dxa"/>
            <w:tcBorders>
              <w:top w:val="nil"/>
              <w:left w:val="nil"/>
              <w:bottom w:val="single" w:sz="4" w:space="0" w:color="000000"/>
              <w:right w:val="nil"/>
            </w:tcBorders>
            <w:tcMar>
              <w:top w:w="80" w:type="dxa"/>
              <w:left w:w="80" w:type="dxa"/>
              <w:bottom w:w="80" w:type="dxa"/>
              <w:right w:w="80" w:type="dxa"/>
            </w:tcMar>
            <w:vAlign w:val="center"/>
          </w:tcPr>
          <w:p w:rsidR="00AC19CC" w:rsidRDefault="00AC19CC" w:rsidP="009D671A">
            <w:pPr>
              <w:pBdr>
                <w:top w:val="none" w:sz="0" w:space="0" w:color="auto"/>
                <w:left w:val="none" w:sz="0" w:space="0" w:color="auto"/>
                <w:bottom w:val="none" w:sz="0" w:space="0" w:color="auto"/>
                <w:right w:val="none" w:sz="0" w:space="0" w:color="auto"/>
                <w:bar w:val="none" w:sz="0" w:color="auto"/>
              </w:pBdr>
              <w:jc w:val="center"/>
            </w:pPr>
            <w:r>
              <w:t>lowest bid value</w:t>
            </w:r>
          </w:p>
        </w:tc>
        <w:tc>
          <w:tcPr>
            <w:tcW w:w="425" w:type="dxa"/>
            <w:vMerge w:val="restart"/>
            <w:tcBorders>
              <w:top w:val="nil"/>
              <w:left w:val="nil"/>
              <w:bottom w:val="nil"/>
              <w:right w:val="nil"/>
            </w:tcBorders>
            <w:tcMar>
              <w:top w:w="80" w:type="dxa"/>
              <w:left w:w="80" w:type="dxa"/>
              <w:bottom w:w="80" w:type="dxa"/>
              <w:right w:w="80" w:type="dxa"/>
            </w:tcMar>
            <w:vAlign w:val="center"/>
          </w:tcPr>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r>
              <w:t>×</w:t>
            </w:r>
          </w:p>
        </w:tc>
        <w:tc>
          <w:tcPr>
            <w:tcW w:w="567" w:type="dxa"/>
            <w:vMerge w:val="restart"/>
            <w:tcBorders>
              <w:top w:val="nil"/>
              <w:left w:val="nil"/>
              <w:bottom w:val="nil"/>
              <w:right w:val="nil"/>
            </w:tcBorders>
            <w:tcMar>
              <w:top w:w="80" w:type="dxa"/>
              <w:left w:w="80" w:type="dxa"/>
              <w:bottom w:w="80" w:type="dxa"/>
              <w:right w:w="80" w:type="dxa"/>
            </w:tcMar>
            <w:vAlign w:val="center"/>
          </w:tcPr>
          <w:p w:rsidR="00AC19CC" w:rsidRDefault="00AC19CC" w:rsidP="00B90B52">
            <w:pPr>
              <w:pBdr>
                <w:top w:val="none" w:sz="0" w:space="0" w:color="auto"/>
                <w:left w:val="none" w:sz="0" w:space="0" w:color="auto"/>
                <w:bottom w:val="none" w:sz="0" w:space="0" w:color="auto"/>
                <w:right w:val="none" w:sz="0" w:space="0" w:color="auto"/>
                <w:bar w:val="none" w:sz="0" w:color="auto"/>
              </w:pBdr>
              <w:jc w:val="both"/>
            </w:pPr>
            <w:r>
              <w:t>35</w:t>
            </w:r>
          </w:p>
        </w:tc>
      </w:tr>
      <w:tr w:rsidR="00AC19CC" w:rsidTr="009D671A">
        <w:trPr>
          <w:trHeight w:val="245"/>
        </w:trPr>
        <w:tc>
          <w:tcPr>
            <w:tcW w:w="1843" w:type="dxa"/>
            <w:tcBorders>
              <w:top w:val="single" w:sz="4" w:space="0" w:color="000000"/>
              <w:left w:val="nil"/>
              <w:bottom w:val="nil"/>
              <w:right w:val="nil"/>
            </w:tcBorders>
            <w:tcMar>
              <w:top w:w="80" w:type="dxa"/>
              <w:left w:w="80" w:type="dxa"/>
              <w:bottom w:w="80" w:type="dxa"/>
              <w:right w:w="80" w:type="dxa"/>
            </w:tcMar>
            <w:vAlign w:val="center"/>
          </w:tcPr>
          <w:p w:rsidR="00AC19CC" w:rsidRDefault="00AC19CC" w:rsidP="009D671A">
            <w:pPr>
              <w:pBdr>
                <w:top w:val="none" w:sz="0" w:space="0" w:color="auto"/>
                <w:left w:val="none" w:sz="0" w:space="0" w:color="auto"/>
                <w:bottom w:val="none" w:sz="0" w:space="0" w:color="auto"/>
                <w:right w:val="none" w:sz="0" w:space="0" w:color="auto"/>
                <w:bar w:val="none" w:sz="0" w:color="auto"/>
              </w:pBdr>
              <w:jc w:val="center"/>
            </w:pPr>
            <w:r>
              <w:t>bid value</w:t>
            </w:r>
          </w:p>
        </w:tc>
        <w:tc>
          <w:tcPr>
            <w:tcW w:w="425" w:type="dxa"/>
            <w:vMerge/>
            <w:tcBorders>
              <w:top w:val="nil"/>
              <w:left w:val="nil"/>
              <w:bottom w:val="nil"/>
              <w:right w:val="nil"/>
            </w:tcBorders>
          </w:tcPr>
          <w:p w:rsidR="00AC19CC" w:rsidRDefault="00AC19CC" w:rsidP="009D671A">
            <w:pPr>
              <w:pBdr>
                <w:top w:val="none" w:sz="0" w:space="0" w:color="auto"/>
                <w:left w:val="none" w:sz="0" w:space="0" w:color="auto"/>
                <w:bottom w:val="none" w:sz="0" w:space="0" w:color="auto"/>
                <w:right w:val="none" w:sz="0" w:space="0" w:color="auto"/>
                <w:bar w:val="none" w:sz="0" w:color="auto"/>
              </w:pBdr>
            </w:pPr>
          </w:p>
        </w:tc>
        <w:tc>
          <w:tcPr>
            <w:tcW w:w="567" w:type="dxa"/>
            <w:vMerge/>
            <w:tcBorders>
              <w:top w:val="nil"/>
              <w:left w:val="nil"/>
              <w:bottom w:val="nil"/>
              <w:right w:val="nil"/>
            </w:tcBorders>
          </w:tcPr>
          <w:p w:rsidR="00AC19CC" w:rsidRDefault="00AC19CC" w:rsidP="009D671A">
            <w:pPr>
              <w:pBdr>
                <w:top w:val="none" w:sz="0" w:space="0" w:color="auto"/>
                <w:left w:val="none" w:sz="0" w:space="0" w:color="auto"/>
                <w:bottom w:val="none" w:sz="0" w:space="0" w:color="auto"/>
                <w:right w:val="none" w:sz="0" w:space="0" w:color="auto"/>
                <w:bar w:val="none" w:sz="0" w:color="auto"/>
              </w:pBdr>
            </w:pPr>
          </w:p>
        </w:tc>
      </w:tr>
    </w:tbl>
    <w:p w:rsidR="00AC19CC" w:rsidRDefault="00AC19CC" w:rsidP="009D671A">
      <w:pPr>
        <w:pStyle w:val="NoSpacing"/>
        <w:widowControl w:val="0"/>
        <w:pBdr>
          <w:top w:val="none" w:sz="0" w:space="0" w:color="auto"/>
          <w:left w:val="none" w:sz="0" w:space="0" w:color="auto"/>
          <w:bottom w:val="none" w:sz="0" w:space="0" w:color="auto"/>
          <w:right w:val="none" w:sz="0" w:space="0" w:color="auto"/>
          <w:bar w:val="none" w:sz="0" w:color="auto"/>
        </w:pBdr>
        <w:ind w:left="709"/>
        <w:jc w:val="both"/>
      </w:pPr>
    </w:p>
    <w:p w:rsidR="00AC19CC" w:rsidRDefault="00AC19CC" w:rsidP="009D671A">
      <w:pPr>
        <w:pStyle w:val="Heading2"/>
        <w:numPr>
          <w:ilvl w:val="1"/>
          <w:numId w:val="19"/>
        </w:numPr>
        <w:pBdr>
          <w:top w:val="none" w:sz="0" w:space="0" w:color="auto"/>
          <w:left w:val="none" w:sz="0" w:space="0" w:color="auto"/>
          <w:bottom w:val="none" w:sz="0" w:space="0" w:color="auto"/>
          <w:right w:val="none" w:sz="0" w:space="0" w:color="auto"/>
          <w:bar w:val="none" w:sz="0" w:color="auto"/>
        </w:pBdr>
        <w:tabs>
          <w:tab w:val="num" w:pos="1440"/>
        </w:tabs>
        <w:ind w:left="1440" w:hanging="1440"/>
      </w:pPr>
      <w:r>
        <w:t>Overall Evaluation</w:t>
      </w: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r w:rsidRPr="00752C56">
        <w:t>Combined technical and commercial evaluation scores are ranked and the tendered bid with the highest score will be awarded the contract.</w:t>
      </w: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r>
        <w:t xml:space="preserve">  </w:t>
      </w:r>
    </w:p>
    <w:p w:rsidR="00AC19CC" w:rsidRDefault="00AC19CC" w:rsidP="009D671A">
      <w:pPr>
        <w:pStyle w:val="Heading1"/>
        <w:numPr>
          <w:ilvl w:val="0"/>
          <w:numId w:val="1"/>
        </w:numPr>
        <w:pBdr>
          <w:top w:val="none" w:sz="0" w:space="0" w:color="auto"/>
          <w:left w:val="none" w:sz="0" w:space="0" w:color="auto"/>
          <w:bottom w:val="none" w:sz="0" w:space="0" w:color="auto"/>
          <w:right w:val="none" w:sz="0" w:space="0" w:color="auto"/>
          <w:bar w:val="none" w:sz="0" w:color="auto"/>
        </w:pBdr>
        <w:tabs>
          <w:tab w:val="num" w:pos="567"/>
        </w:tabs>
        <w:ind w:left="567" w:hanging="567"/>
      </w:pPr>
      <w:r>
        <w:rPr>
          <w:rFonts w:eastAsia="Arial Unicode MS" w:hAnsi="Arial Unicode MS" w:cs="Arial Unicode MS"/>
        </w:rPr>
        <w:t>ITT Return Guidance</w:t>
      </w: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pPr>
      <w:r w:rsidRPr="00891B8A">
        <w:t>ITT responses must be electronically uploaded onto the Bravo Solutions portal by the defined time.</w:t>
      </w:r>
    </w:p>
    <w:p w:rsidR="00752C56" w:rsidRDefault="00752C56" w:rsidP="009D671A">
      <w:pPr>
        <w:pBdr>
          <w:top w:val="none" w:sz="0" w:space="0" w:color="auto"/>
          <w:left w:val="none" w:sz="0" w:space="0" w:color="auto"/>
          <w:bottom w:val="none" w:sz="0" w:space="0" w:color="auto"/>
          <w:right w:val="none" w:sz="0" w:space="0" w:color="auto"/>
          <w:bar w:val="none" w:sz="0" w:color="auto"/>
        </w:pBdr>
        <w:spacing w:before="120"/>
        <w:jc w:val="both"/>
      </w:pP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r>
        <w:t xml:space="preserve">Suppliers must respond as per the requirements outlined in this tender. Closed responses limited to yes or no are likely to be insufficient. Suppliers’ responses must be concise, confirming they meet the requirement, identifying how the requirement is met and should provide evidence to support the response. </w:t>
      </w: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bookmarkStart w:id="1" w:name="_Ref367281246"/>
      <w:r>
        <w:t>The Invitation to Tender document pack, which should be downloaded from the Attachments section within the portal, comprises of the following documents:</w:t>
      </w:r>
      <w:bookmarkEnd w:id="1"/>
    </w:p>
    <w:p w:rsidR="00AC19CC" w:rsidRDefault="00AC19CC" w:rsidP="009D671A">
      <w:pPr>
        <w:numPr>
          <w:ilvl w:val="0"/>
          <w:numId w:val="23"/>
        </w:numPr>
        <w:pBdr>
          <w:top w:val="none" w:sz="0" w:space="0" w:color="auto"/>
          <w:left w:val="none" w:sz="0" w:space="0" w:color="auto"/>
          <w:bottom w:val="none" w:sz="0" w:space="0" w:color="auto"/>
          <w:right w:val="none" w:sz="0" w:space="0" w:color="auto"/>
          <w:bar w:val="none" w:sz="0" w:color="auto"/>
        </w:pBdr>
        <w:tabs>
          <w:tab w:val="num" w:pos="1134"/>
        </w:tabs>
        <w:spacing w:before="120"/>
        <w:ind w:left="1134" w:hanging="425"/>
        <w:jc w:val="both"/>
      </w:pPr>
      <w:r>
        <w:t>The Invitation to Tender (this document);</w:t>
      </w:r>
    </w:p>
    <w:p w:rsidR="00AC19CC" w:rsidRPr="00752C56" w:rsidRDefault="00AA15D4" w:rsidP="009D671A">
      <w:pPr>
        <w:numPr>
          <w:ilvl w:val="0"/>
          <w:numId w:val="23"/>
        </w:numPr>
        <w:pBdr>
          <w:top w:val="none" w:sz="0" w:space="0" w:color="auto"/>
          <w:left w:val="none" w:sz="0" w:space="0" w:color="auto"/>
          <w:bottom w:val="none" w:sz="0" w:space="0" w:color="auto"/>
          <w:right w:val="none" w:sz="0" w:space="0" w:color="auto"/>
          <w:bar w:val="none" w:sz="0" w:color="auto"/>
        </w:pBdr>
        <w:tabs>
          <w:tab w:val="num" w:pos="1134"/>
        </w:tabs>
        <w:spacing w:before="120"/>
        <w:ind w:left="1134" w:hanging="425"/>
        <w:jc w:val="both"/>
        <w:rPr>
          <w:color w:val="auto"/>
        </w:rPr>
      </w:pPr>
      <w:bookmarkStart w:id="2" w:name="_Ref367282660"/>
      <w:r w:rsidRPr="00752C56">
        <w:rPr>
          <w:color w:val="auto"/>
        </w:rPr>
        <w:t>Tender Responses to the Specification;</w:t>
      </w:r>
    </w:p>
    <w:p w:rsidR="00AC19CC" w:rsidRPr="00752C56" w:rsidRDefault="00AA15D4" w:rsidP="009D671A">
      <w:pPr>
        <w:numPr>
          <w:ilvl w:val="0"/>
          <w:numId w:val="23"/>
        </w:numPr>
        <w:pBdr>
          <w:top w:val="none" w:sz="0" w:space="0" w:color="auto"/>
          <w:left w:val="none" w:sz="0" w:space="0" w:color="auto"/>
          <w:bottom w:val="none" w:sz="0" w:space="0" w:color="auto"/>
          <w:right w:val="none" w:sz="0" w:space="0" w:color="auto"/>
          <w:bar w:val="none" w:sz="0" w:color="auto"/>
        </w:pBdr>
        <w:tabs>
          <w:tab w:val="num" w:pos="1134"/>
        </w:tabs>
        <w:spacing w:before="120"/>
        <w:ind w:left="1134" w:hanging="425"/>
        <w:jc w:val="both"/>
      </w:pPr>
      <w:r w:rsidRPr="00752C56">
        <w:t>Commercial Offer Schedule, which must be completed by the bidder and submitted as their Commercial Offer;</w:t>
      </w:r>
      <w:bookmarkEnd w:id="2"/>
    </w:p>
    <w:p w:rsidR="00AC19CC" w:rsidRPr="00752C56" w:rsidRDefault="00AA15D4" w:rsidP="009D671A">
      <w:pPr>
        <w:numPr>
          <w:ilvl w:val="0"/>
          <w:numId w:val="23"/>
        </w:numPr>
        <w:pBdr>
          <w:top w:val="none" w:sz="0" w:space="0" w:color="auto"/>
          <w:left w:val="none" w:sz="0" w:space="0" w:color="auto"/>
          <w:bottom w:val="none" w:sz="0" w:space="0" w:color="auto"/>
          <w:right w:val="none" w:sz="0" w:space="0" w:color="auto"/>
          <w:bar w:val="none" w:sz="0" w:color="auto"/>
        </w:pBdr>
        <w:tabs>
          <w:tab w:val="num" w:pos="1134"/>
        </w:tabs>
        <w:spacing w:before="120"/>
        <w:ind w:left="1134" w:hanging="425"/>
        <w:jc w:val="both"/>
      </w:pPr>
      <w:bookmarkStart w:id="3" w:name="_Ref367279903"/>
      <w:r w:rsidRPr="00752C56">
        <w:t xml:space="preserve">The Form of Offer, which must be completed by the bidder, on company headed letterhead, signed by an </w:t>
      </w:r>
      <w:proofErr w:type="spellStart"/>
      <w:r w:rsidRPr="00752C56">
        <w:t>authorised</w:t>
      </w:r>
      <w:proofErr w:type="spellEnd"/>
      <w:r w:rsidRPr="00752C56">
        <w:t xml:space="preserve"> signatory of the bidder and submitted</w:t>
      </w:r>
      <w:bookmarkEnd w:id="3"/>
      <w:r w:rsidRPr="00752C56">
        <w:t>; and</w:t>
      </w:r>
    </w:p>
    <w:p w:rsidR="00AC19CC" w:rsidRDefault="00752C56" w:rsidP="009D671A">
      <w:pPr>
        <w:numPr>
          <w:ilvl w:val="0"/>
          <w:numId w:val="23"/>
        </w:numPr>
        <w:pBdr>
          <w:top w:val="none" w:sz="0" w:space="0" w:color="auto"/>
          <w:left w:val="none" w:sz="0" w:space="0" w:color="auto"/>
          <w:bottom w:val="none" w:sz="0" w:space="0" w:color="auto"/>
          <w:right w:val="none" w:sz="0" w:space="0" w:color="auto"/>
          <w:bar w:val="none" w:sz="0" w:color="auto"/>
        </w:pBdr>
        <w:tabs>
          <w:tab w:val="num" w:pos="1134"/>
        </w:tabs>
        <w:spacing w:before="120"/>
        <w:ind w:left="1134" w:hanging="425"/>
        <w:jc w:val="both"/>
      </w:pPr>
      <w:r>
        <w:t>NHS Terms and Conditions</w:t>
      </w:r>
    </w:p>
    <w:p w:rsidR="00435A3A" w:rsidRPr="00752C56" w:rsidRDefault="00435A3A" w:rsidP="009D671A">
      <w:pPr>
        <w:numPr>
          <w:ilvl w:val="0"/>
          <w:numId w:val="23"/>
        </w:numPr>
        <w:pBdr>
          <w:top w:val="none" w:sz="0" w:space="0" w:color="auto"/>
          <w:left w:val="none" w:sz="0" w:space="0" w:color="auto"/>
          <w:bottom w:val="none" w:sz="0" w:space="0" w:color="auto"/>
          <w:right w:val="none" w:sz="0" w:space="0" w:color="auto"/>
          <w:bar w:val="none" w:sz="0" w:color="auto"/>
        </w:pBdr>
        <w:tabs>
          <w:tab w:val="num" w:pos="1134"/>
        </w:tabs>
        <w:spacing w:before="120"/>
        <w:ind w:left="1134" w:hanging="425"/>
        <w:jc w:val="both"/>
      </w:pPr>
      <w:r>
        <w:t>Third Party Confidentiality Agreement</w:t>
      </w: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p>
    <w:p w:rsidR="00AC19CC" w:rsidRDefault="00AC19CC" w:rsidP="009D671A">
      <w:pPr>
        <w:pBdr>
          <w:top w:val="none" w:sz="0" w:space="0" w:color="auto"/>
          <w:left w:val="none" w:sz="0" w:space="0" w:color="auto"/>
          <w:bottom w:val="none" w:sz="0" w:space="0" w:color="auto"/>
          <w:right w:val="none" w:sz="0" w:space="0" w:color="auto"/>
          <w:bar w:val="none" w:sz="0" w:color="auto"/>
        </w:pBdr>
        <w:spacing w:before="120"/>
        <w:jc w:val="both"/>
      </w:pPr>
      <w:r>
        <w:t>The Tenderer must return the following documents, filled in with appropriate information in machine readable formatted documents (e.g. MS Word, Excel, PowerPoint, PDF and graphics formats).</w:t>
      </w:r>
    </w:p>
    <w:p w:rsidR="00AC19CC" w:rsidRPr="00752C56" w:rsidRDefault="00AA15D4" w:rsidP="009D671A">
      <w:pPr>
        <w:numPr>
          <w:ilvl w:val="0"/>
          <w:numId w:val="24"/>
        </w:numPr>
        <w:pBdr>
          <w:top w:val="none" w:sz="0" w:space="0" w:color="auto"/>
          <w:left w:val="none" w:sz="0" w:space="0" w:color="auto"/>
          <w:bottom w:val="none" w:sz="0" w:space="0" w:color="auto"/>
          <w:right w:val="none" w:sz="0" w:space="0" w:color="auto"/>
          <w:bar w:val="none" w:sz="0" w:color="auto"/>
        </w:pBdr>
        <w:tabs>
          <w:tab w:val="num" w:pos="1134"/>
        </w:tabs>
        <w:spacing w:before="120"/>
        <w:ind w:left="1134" w:hanging="425"/>
        <w:jc w:val="both"/>
      </w:pPr>
      <w:r w:rsidRPr="00752C56">
        <w:t>Tender Responses to the Specification;</w:t>
      </w:r>
    </w:p>
    <w:p w:rsidR="00AC19CC" w:rsidRPr="00752C56" w:rsidRDefault="00AA15D4" w:rsidP="009D671A">
      <w:pPr>
        <w:numPr>
          <w:ilvl w:val="0"/>
          <w:numId w:val="24"/>
        </w:numPr>
        <w:pBdr>
          <w:top w:val="none" w:sz="0" w:space="0" w:color="auto"/>
          <w:left w:val="none" w:sz="0" w:space="0" w:color="auto"/>
          <w:bottom w:val="none" w:sz="0" w:space="0" w:color="auto"/>
          <w:right w:val="none" w:sz="0" w:space="0" w:color="auto"/>
          <w:bar w:val="none" w:sz="0" w:color="auto"/>
        </w:pBdr>
        <w:tabs>
          <w:tab w:val="num" w:pos="1134"/>
        </w:tabs>
        <w:spacing w:before="120"/>
        <w:ind w:left="1134" w:hanging="425"/>
        <w:jc w:val="both"/>
        <w:rPr>
          <w:color w:val="244061"/>
          <w:u w:color="244061"/>
        </w:rPr>
      </w:pPr>
      <w:r w:rsidRPr="00752C56">
        <w:t xml:space="preserve">Commercial Offer Schedule, which must be completed by the bidder and submitted as their Commercial Offer; and </w:t>
      </w:r>
    </w:p>
    <w:p w:rsidR="00AC19CC" w:rsidRPr="00752C56" w:rsidRDefault="00AA15D4" w:rsidP="009D671A">
      <w:pPr>
        <w:numPr>
          <w:ilvl w:val="0"/>
          <w:numId w:val="24"/>
        </w:numPr>
        <w:pBdr>
          <w:top w:val="none" w:sz="0" w:space="0" w:color="auto"/>
          <w:left w:val="none" w:sz="0" w:space="0" w:color="auto"/>
          <w:bottom w:val="none" w:sz="0" w:space="0" w:color="auto"/>
          <w:right w:val="none" w:sz="0" w:space="0" w:color="auto"/>
          <w:bar w:val="none" w:sz="0" w:color="auto"/>
        </w:pBdr>
        <w:tabs>
          <w:tab w:val="num" w:pos="1134"/>
        </w:tabs>
        <w:spacing w:before="120"/>
        <w:ind w:left="1134" w:hanging="425"/>
        <w:jc w:val="both"/>
        <w:rPr>
          <w:color w:val="244061"/>
          <w:u w:color="244061"/>
        </w:rPr>
      </w:pPr>
      <w:r w:rsidRPr="00752C56">
        <w:t xml:space="preserve">The Form of Offer, which must be completed by the bidder, on company headed letterhead, signed by an </w:t>
      </w:r>
      <w:proofErr w:type="spellStart"/>
      <w:r w:rsidRPr="00752C56">
        <w:t>authorised</w:t>
      </w:r>
      <w:proofErr w:type="spellEnd"/>
      <w:r w:rsidRPr="00752C56">
        <w:t xml:space="preserve"> signatory of the bidder</w:t>
      </w:r>
    </w:p>
    <w:p w:rsidR="00435A3A" w:rsidRPr="00AC19CC" w:rsidRDefault="00435A3A" w:rsidP="00435A3A">
      <w:pPr>
        <w:numPr>
          <w:ilvl w:val="0"/>
          <w:numId w:val="24"/>
        </w:numPr>
        <w:pBdr>
          <w:top w:val="none" w:sz="0" w:space="0" w:color="auto"/>
          <w:left w:val="none" w:sz="0" w:space="0" w:color="auto"/>
          <w:bottom w:val="none" w:sz="0" w:space="0" w:color="auto"/>
          <w:right w:val="none" w:sz="0" w:space="0" w:color="auto"/>
          <w:bar w:val="none" w:sz="0" w:color="auto"/>
        </w:pBdr>
        <w:spacing w:before="120"/>
        <w:ind w:left="1134" w:hanging="425"/>
        <w:jc w:val="both"/>
      </w:pPr>
      <w:r>
        <w:t>Third Party Confidentiality Agreement</w:t>
      </w:r>
    </w:p>
    <w:p w:rsidR="00C5286E" w:rsidRDefault="00C5286E" w:rsidP="00752C56">
      <w:pPr>
        <w:pBdr>
          <w:top w:val="none" w:sz="0" w:space="0" w:color="auto"/>
          <w:left w:val="none" w:sz="0" w:space="0" w:color="auto"/>
          <w:bottom w:val="none" w:sz="0" w:space="0" w:color="auto"/>
          <w:right w:val="none" w:sz="0" w:space="0" w:color="auto"/>
          <w:bar w:val="none" w:sz="0" w:color="auto"/>
        </w:pBdr>
        <w:spacing w:before="120"/>
        <w:ind w:left="1134"/>
        <w:jc w:val="both"/>
        <w:rPr>
          <w:color w:val="244061"/>
          <w:highlight w:val="cyan"/>
          <w:u w:color="244061"/>
        </w:rPr>
      </w:pPr>
    </w:p>
    <w:p w:rsidR="00AC19CC" w:rsidRDefault="00AC19CC" w:rsidP="009D671A">
      <w:pPr>
        <w:pBdr>
          <w:top w:val="none" w:sz="0" w:space="0" w:color="auto"/>
          <w:left w:val="none" w:sz="0" w:space="0" w:color="auto"/>
          <w:bottom w:val="none" w:sz="0" w:space="0" w:color="auto"/>
          <w:right w:val="none" w:sz="0" w:space="0" w:color="auto"/>
          <w:bar w:val="none" w:sz="0" w:color="auto"/>
        </w:pBdr>
        <w:rPr>
          <w:color w:val="244061"/>
          <w:u w:color="244061"/>
        </w:rPr>
      </w:pPr>
    </w:p>
    <w:p w:rsidR="00AC19CC" w:rsidRDefault="00AC19CC" w:rsidP="009D671A">
      <w:pPr>
        <w:pStyle w:val="Heading1"/>
        <w:numPr>
          <w:ilvl w:val="0"/>
          <w:numId w:val="1"/>
        </w:numPr>
        <w:pBdr>
          <w:top w:val="none" w:sz="0" w:space="0" w:color="auto"/>
          <w:left w:val="none" w:sz="0" w:space="0" w:color="auto"/>
          <w:bottom w:val="none" w:sz="0" w:space="0" w:color="auto"/>
          <w:right w:val="none" w:sz="0" w:space="0" w:color="auto"/>
          <w:bar w:val="none" w:sz="0" w:color="auto"/>
        </w:pBdr>
        <w:tabs>
          <w:tab w:val="num" w:pos="567"/>
        </w:tabs>
        <w:ind w:left="567" w:hanging="567"/>
      </w:pPr>
      <w:r>
        <w:rPr>
          <w:rFonts w:eastAsia="Arial Unicode MS" w:hAnsi="Arial Unicode MS" w:cs="Arial Unicode MS"/>
        </w:rPr>
        <w:t>Right to Reject Bids</w:t>
      </w:r>
    </w:p>
    <w:p w:rsidR="00AC19CC" w:rsidRDefault="00AC19CC" w:rsidP="009D671A">
      <w:pPr>
        <w:pStyle w:val="ListParagraph"/>
        <w:pBdr>
          <w:top w:val="none" w:sz="0" w:space="0" w:color="auto"/>
          <w:left w:val="none" w:sz="0" w:space="0" w:color="auto"/>
          <w:bottom w:val="none" w:sz="0" w:space="0" w:color="auto"/>
          <w:right w:val="none" w:sz="0" w:space="0" w:color="auto"/>
          <w:bar w:val="none" w:sz="0" w:color="auto"/>
        </w:pBdr>
        <w:spacing w:before="240"/>
        <w:ind w:left="680" w:hanging="680"/>
        <w:jc w:val="both"/>
      </w:pPr>
      <w:r>
        <w:t>The Trust reserves the right to reject or disqualify a bidder and/or its bidder parties if:</w:t>
      </w:r>
    </w:p>
    <w:p w:rsidR="00AC19CC" w:rsidRDefault="00AC19CC" w:rsidP="009D671A">
      <w:pPr>
        <w:pStyle w:val="Quote"/>
        <w:numPr>
          <w:ilvl w:val="0"/>
          <w:numId w:val="25"/>
        </w:numPr>
        <w:pBdr>
          <w:top w:val="none" w:sz="0" w:space="0" w:color="auto"/>
          <w:left w:val="none" w:sz="0" w:space="0" w:color="auto"/>
          <w:bottom w:val="none" w:sz="0" w:space="0" w:color="auto"/>
          <w:right w:val="none" w:sz="0" w:space="0" w:color="auto"/>
          <w:bar w:val="none" w:sz="0" w:color="auto"/>
        </w:pBdr>
        <w:tabs>
          <w:tab w:val="clear" w:pos="720"/>
          <w:tab w:val="num" w:pos="687"/>
        </w:tabs>
        <w:spacing w:before="60" w:after="60" w:line="240" w:lineRule="auto"/>
        <w:ind w:left="687" w:hanging="327"/>
        <w:jc w:val="both"/>
        <w:rPr>
          <w:i w:val="0"/>
          <w:iCs w:val="0"/>
          <w:color w:val="000000"/>
          <w:u w:color="000000"/>
        </w:rPr>
      </w:pPr>
      <w:r>
        <w:rPr>
          <w:i w:val="0"/>
          <w:iCs w:val="0"/>
          <w:color w:val="000000"/>
          <w:sz w:val="22"/>
          <w:szCs w:val="22"/>
          <w:u w:color="000000"/>
        </w:rPr>
        <w:t xml:space="preserve">A bid is submitted late, is completed incorrectly, is materially incomplete or fails to meet the submission requirements which have been notified to bidders; </w:t>
      </w:r>
    </w:p>
    <w:p w:rsidR="00AC19CC" w:rsidRPr="00752C56" w:rsidRDefault="00AA15D4" w:rsidP="009D671A">
      <w:pPr>
        <w:pStyle w:val="Quote"/>
        <w:numPr>
          <w:ilvl w:val="0"/>
          <w:numId w:val="26"/>
        </w:numPr>
        <w:pBdr>
          <w:top w:val="none" w:sz="0" w:space="0" w:color="auto"/>
          <w:left w:val="none" w:sz="0" w:space="0" w:color="auto"/>
          <w:bottom w:val="none" w:sz="0" w:space="0" w:color="auto"/>
          <w:right w:val="none" w:sz="0" w:space="0" w:color="auto"/>
          <w:bar w:val="none" w:sz="0" w:color="auto"/>
        </w:pBdr>
        <w:tabs>
          <w:tab w:val="clear" w:pos="720"/>
          <w:tab w:val="num" w:pos="687"/>
        </w:tabs>
        <w:spacing w:before="60" w:after="60" w:line="240" w:lineRule="auto"/>
        <w:ind w:left="687" w:hanging="327"/>
        <w:jc w:val="both"/>
        <w:rPr>
          <w:i w:val="0"/>
          <w:iCs w:val="0"/>
          <w:color w:val="000000"/>
          <w:u w:color="000000"/>
        </w:rPr>
      </w:pPr>
      <w:r w:rsidRPr="00752C56">
        <w:rPr>
          <w:i w:val="0"/>
          <w:iCs w:val="0"/>
          <w:color w:val="000000"/>
          <w:sz w:val="22"/>
          <w:szCs w:val="22"/>
          <w:u w:color="000000"/>
        </w:rPr>
        <w:t>The bidder and/or its bidder parties are unable to satisfy the terms of Article 45 of Directive 2004/18/EC and/or Regulation 23 of the Public Contracts Regulations 2006 (as amended) at any stage during the Procurement process;</w:t>
      </w:r>
    </w:p>
    <w:p w:rsidR="00AC19CC" w:rsidRDefault="00AC19CC" w:rsidP="009D671A">
      <w:pPr>
        <w:pStyle w:val="Quote"/>
        <w:numPr>
          <w:ilvl w:val="0"/>
          <w:numId w:val="27"/>
        </w:numPr>
        <w:pBdr>
          <w:top w:val="none" w:sz="0" w:space="0" w:color="auto"/>
          <w:left w:val="none" w:sz="0" w:space="0" w:color="auto"/>
          <w:bottom w:val="none" w:sz="0" w:space="0" w:color="auto"/>
          <w:right w:val="none" w:sz="0" w:space="0" w:color="auto"/>
          <w:bar w:val="none" w:sz="0" w:color="auto"/>
        </w:pBdr>
        <w:tabs>
          <w:tab w:val="clear" w:pos="720"/>
          <w:tab w:val="num" w:pos="687"/>
        </w:tabs>
        <w:spacing w:before="60" w:after="60" w:line="240" w:lineRule="auto"/>
        <w:ind w:left="687" w:hanging="327"/>
        <w:jc w:val="both"/>
        <w:rPr>
          <w:i w:val="0"/>
          <w:iCs w:val="0"/>
          <w:color w:val="000000"/>
          <w:u w:color="000000"/>
        </w:rPr>
      </w:pPr>
      <w:r>
        <w:rPr>
          <w:i w:val="0"/>
          <w:iCs w:val="0"/>
          <w:color w:val="000000"/>
          <w:sz w:val="22"/>
          <w:szCs w:val="22"/>
          <w:u w:color="000000"/>
        </w:rPr>
        <w:t xml:space="preserve">The bidder and/or its bidder parties are guilty of material misrepresentation in relation to its application and/or the process; </w:t>
      </w:r>
    </w:p>
    <w:p w:rsidR="00AC19CC" w:rsidRDefault="00AC19CC" w:rsidP="009D671A">
      <w:pPr>
        <w:pStyle w:val="Quote"/>
        <w:numPr>
          <w:ilvl w:val="0"/>
          <w:numId w:val="28"/>
        </w:numPr>
        <w:pBdr>
          <w:top w:val="none" w:sz="0" w:space="0" w:color="auto"/>
          <w:left w:val="none" w:sz="0" w:space="0" w:color="auto"/>
          <w:bottom w:val="none" w:sz="0" w:space="0" w:color="auto"/>
          <w:right w:val="none" w:sz="0" w:space="0" w:color="auto"/>
          <w:bar w:val="none" w:sz="0" w:color="auto"/>
        </w:pBdr>
        <w:tabs>
          <w:tab w:val="clear" w:pos="720"/>
          <w:tab w:val="num" w:pos="687"/>
        </w:tabs>
        <w:spacing w:before="60" w:after="60" w:line="240" w:lineRule="auto"/>
        <w:ind w:left="687" w:hanging="327"/>
        <w:jc w:val="both"/>
        <w:rPr>
          <w:i w:val="0"/>
          <w:iCs w:val="0"/>
          <w:color w:val="000000"/>
          <w:u w:color="000000"/>
        </w:rPr>
      </w:pPr>
      <w:r>
        <w:rPr>
          <w:i w:val="0"/>
          <w:iCs w:val="0"/>
          <w:color w:val="000000"/>
          <w:sz w:val="22"/>
          <w:szCs w:val="22"/>
          <w:u w:color="000000"/>
        </w:rPr>
        <w:t>The bidder and/or its bidder parties contravene any of the provisions set out in this ITT; or</w:t>
      </w:r>
    </w:p>
    <w:p w:rsidR="00AC19CC" w:rsidRDefault="00AC19CC" w:rsidP="009D671A">
      <w:pPr>
        <w:pStyle w:val="Quote"/>
        <w:numPr>
          <w:ilvl w:val="0"/>
          <w:numId w:val="29"/>
        </w:numPr>
        <w:pBdr>
          <w:top w:val="none" w:sz="0" w:space="0" w:color="auto"/>
          <w:left w:val="none" w:sz="0" w:space="0" w:color="auto"/>
          <w:bottom w:val="none" w:sz="0" w:space="0" w:color="auto"/>
          <w:right w:val="none" w:sz="0" w:space="0" w:color="auto"/>
          <w:bar w:val="none" w:sz="0" w:color="auto"/>
        </w:pBdr>
        <w:tabs>
          <w:tab w:val="clear" w:pos="720"/>
          <w:tab w:val="num" w:pos="687"/>
        </w:tabs>
        <w:spacing w:before="60" w:after="60" w:line="240" w:lineRule="auto"/>
        <w:ind w:left="687" w:hanging="327"/>
        <w:jc w:val="both"/>
        <w:rPr>
          <w:i w:val="0"/>
          <w:iCs w:val="0"/>
          <w:color w:val="000000"/>
          <w:u w:color="000000"/>
        </w:rPr>
      </w:pPr>
      <w:r>
        <w:rPr>
          <w:i w:val="0"/>
          <w:iCs w:val="0"/>
          <w:color w:val="000000"/>
          <w:sz w:val="22"/>
          <w:szCs w:val="22"/>
          <w:u w:color="000000"/>
        </w:rPr>
        <w:t>There is a change in identity, control, financial standing or other factor impacting on the selection and/or evaluation process affecting the bidder and/or its bidder parties.</w:t>
      </w: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r>
        <w:t>The disqualification of a bidder will not prejudice any other civil remedy available to the Contracting Authority and will not prejudice any criminal liability that such conduct by a bidder may attract.</w:t>
      </w: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p>
    <w:p w:rsidR="00AC19CC" w:rsidRDefault="00435A3A" w:rsidP="009D671A">
      <w:pPr>
        <w:pBdr>
          <w:top w:val="none" w:sz="0" w:space="0" w:color="auto"/>
          <w:left w:val="none" w:sz="0" w:space="0" w:color="auto"/>
          <w:bottom w:val="none" w:sz="0" w:space="0" w:color="auto"/>
          <w:right w:val="none" w:sz="0" w:space="0" w:color="auto"/>
          <w:bar w:val="none" w:sz="0" w:color="auto"/>
        </w:pBdr>
        <w:jc w:val="both"/>
      </w:pPr>
      <w:r>
        <w:t>B</w:t>
      </w:r>
      <w:r w:rsidR="00AC19CC">
        <w:t>idders acting in contravention of the provisions set out in this ITT or of any other rules or requirements notified by the Trust may, at the sole discretion of the Trust be disqualified from further participation in the Procurement.</w:t>
      </w: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p>
    <w:p w:rsidR="00AC19CC" w:rsidRDefault="00AC19CC" w:rsidP="009D671A">
      <w:pPr>
        <w:pStyle w:val="Heading1"/>
        <w:numPr>
          <w:ilvl w:val="0"/>
          <w:numId w:val="1"/>
        </w:numPr>
        <w:pBdr>
          <w:top w:val="none" w:sz="0" w:space="0" w:color="auto"/>
          <w:left w:val="none" w:sz="0" w:space="0" w:color="auto"/>
          <w:bottom w:val="none" w:sz="0" w:space="0" w:color="auto"/>
          <w:right w:val="none" w:sz="0" w:space="0" w:color="auto"/>
          <w:bar w:val="none" w:sz="0" w:color="auto"/>
        </w:pBdr>
        <w:tabs>
          <w:tab w:val="num" w:pos="567"/>
        </w:tabs>
        <w:ind w:left="567" w:hanging="567"/>
      </w:pPr>
      <w:r>
        <w:rPr>
          <w:rFonts w:eastAsia="Arial Unicode MS" w:hAnsi="Arial Unicode MS" w:cs="Arial Unicode MS"/>
        </w:rPr>
        <w:t>Right to Cancel or Vary the Process</w:t>
      </w:r>
    </w:p>
    <w:p w:rsidR="00AC19CC" w:rsidRDefault="00AC19CC" w:rsidP="009D671A">
      <w:pPr>
        <w:pStyle w:val="ListParagraph"/>
        <w:pBdr>
          <w:top w:val="none" w:sz="0" w:space="0" w:color="auto"/>
          <w:left w:val="none" w:sz="0" w:space="0" w:color="auto"/>
          <w:bottom w:val="none" w:sz="0" w:space="0" w:color="auto"/>
          <w:right w:val="none" w:sz="0" w:space="0" w:color="auto"/>
          <w:bar w:val="none" w:sz="0" w:color="auto"/>
        </w:pBdr>
        <w:spacing w:before="240"/>
        <w:ind w:left="680" w:hanging="680"/>
        <w:jc w:val="both"/>
      </w:pPr>
      <w:r>
        <w:t>The Trust reserves the right:</w:t>
      </w:r>
    </w:p>
    <w:p w:rsidR="00AC19CC" w:rsidRDefault="00AC19CC" w:rsidP="009D671A">
      <w:pPr>
        <w:pStyle w:val="Quote"/>
        <w:numPr>
          <w:ilvl w:val="0"/>
          <w:numId w:val="30"/>
        </w:numPr>
        <w:pBdr>
          <w:top w:val="none" w:sz="0" w:space="0" w:color="auto"/>
          <w:left w:val="none" w:sz="0" w:space="0" w:color="auto"/>
          <w:bottom w:val="none" w:sz="0" w:space="0" w:color="auto"/>
          <w:right w:val="none" w:sz="0" w:space="0" w:color="auto"/>
          <w:bar w:val="none" w:sz="0" w:color="auto"/>
        </w:pBdr>
        <w:tabs>
          <w:tab w:val="clear" w:pos="720"/>
          <w:tab w:val="num" w:pos="687"/>
        </w:tabs>
        <w:spacing w:before="60" w:after="60" w:line="240" w:lineRule="auto"/>
        <w:ind w:left="687" w:hanging="327"/>
        <w:jc w:val="both"/>
        <w:rPr>
          <w:i w:val="0"/>
          <w:iCs w:val="0"/>
          <w:color w:val="000000"/>
          <w:u w:color="000000"/>
        </w:rPr>
      </w:pPr>
      <w:r>
        <w:rPr>
          <w:i w:val="0"/>
          <w:iCs w:val="0"/>
          <w:color w:val="000000"/>
          <w:sz w:val="22"/>
          <w:szCs w:val="22"/>
          <w:u w:color="000000"/>
        </w:rPr>
        <w:t>To cancel or withdraw from the Procurement process at any stage, including but not limited to where there is not a minimum of three compliant bidders; and/or</w:t>
      </w:r>
    </w:p>
    <w:p w:rsidR="00AC19CC" w:rsidRDefault="00AC19CC" w:rsidP="009D671A">
      <w:pPr>
        <w:pStyle w:val="Quote"/>
        <w:numPr>
          <w:ilvl w:val="0"/>
          <w:numId w:val="31"/>
        </w:numPr>
        <w:pBdr>
          <w:top w:val="none" w:sz="0" w:space="0" w:color="auto"/>
          <w:left w:val="none" w:sz="0" w:space="0" w:color="auto"/>
          <w:bottom w:val="none" w:sz="0" w:space="0" w:color="auto"/>
          <w:right w:val="none" w:sz="0" w:space="0" w:color="auto"/>
          <w:bar w:val="none" w:sz="0" w:color="auto"/>
        </w:pBdr>
        <w:tabs>
          <w:tab w:val="clear" w:pos="720"/>
          <w:tab w:val="num" w:pos="687"/>
        </w:tabs>
        <w:spacing w:before="60" w:after="60" w:line="240" w:lineRule="auto"/>
        <w:ind w:left="687" w:hanging="327"/>
        <w:jc w:val="both"/>
        <w:rPr>
          <w:i w:val="0"/>
          <w:iCs w:val="0"/>
          <w:color w:val="000000"/>
          <w:u w:color="000000"/>
        </w:rPr>
      </w:pPr>
      <w:r>
        <w:rPr>
          <w:i w:val="0"/>
          <w:iCs w:val="0"/>
          <w:color w:val="000000"/>
          <w:sz w:val="22"/>
          <w:szCs w:val="22"/>
          <w:u w:color="000000"/>
        </w:rPr>
        <w:t>Not to award a contract under this Procurement process.</w:t>
      </w: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Bdr>
          <w:top w:val="none" w:sz="0" w:space="0" w:color="auto"/>
          <w:left w:val="none" w:sz="0" w:space="0" w:color="auto"/>
          <w:bottom w:val="none" w:sz="0" w:space="0" w:color="auto"/>
          <w:right w:val="none" w:sz="0" w:space="0" w:color="auto"/>
          <w:bar w:val="none" w:sz="0" w:color="auto"/>
        </w:pBdr>
      </w:pPr>
    </w:p>
    <w:p w:rsidR="00AC19CC" w:rsidRDefault="00AC19CC" w:rsidP="009D671A">
      <w:pPr>
        <w:pStyle w:val="Heading1"/>
        <w:numPr>
          <w:ilvl w:val="0"/>
          <w:numId w:val="1"/>
        </w:numPr>
        <w:pBdr>
          <w:top w:val="none" w:sz="0" w:space="0" w:color="auto"/>
          <w:left w:val="none" w:sz="0" w:space="0" w:color="auto"/>
          <w:bottom w:val="none" w:sz="0" w:space="0" w:color="auto"/>
          <w:right w:val="none" w:sz="0" w:space="0" w:color="auto"/>
          <w:bar w:val="none" w:sz="0" w:color="auto"/>
        </w:pBdr>
        <w:tabs>
          <w:tab w:val="num" w:pos="567"/>
        </w:tabs>
        <w:ind w:left="567" w:hanging="567"/>
      </w:pPr>
      <w:r>
        <w:rPr>
          <w:rFonts w:eastAsia="Arial Unicode MS" w:hAnsi="Arial Unicode MS" w:cs="Arial Unicode MS"/>
        </w:rPr>
        <w:t>Tender Validity</w:t>
      </w: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r>
        <w:t xml:space="preserve">All bids submitted by bidders must remain open for acceptance for a period of </w:t>
      </w:r>
      <w:r>
        <w:rPr>
          <w:b/>
          <w:bCs/>
        </w:rPr>
        <w:t>150</w:t>
      </w:r>
      <w:r>
        <w:t xml:space="preserve"> </w:t>
      </w:r>
      <w:r>
        <w:rPr>
          <w:b/>
          <w:bCs/>
        </w:rPr>
        <w:t>days</w:t>
      </w:r>
      <w:r>
        <w:t>.  A bid valid for a shorter period may be rejected.</w:t>
      </w:r>
    </w:p>
    <w:p w:rsidR="00AC19CC" w:rsidRDefault="00AC19CC" w:rsidP="009D671A">
      <w:pPr>
        <w:pBdr>
          <w:top w:val="none" w:sz="0" w:space="0" w:color="auto"/>
          <w:left w:val="none" w:sz="0" w:space="0" w:color="auto"/>
          <w:bottom w:val="none" w:sz="0" w:space="0" w:color="auto"/>
          <w:right w:val="none" w:sz="0" w:space="0" w:color="auto"/>
          <w:bar w:val="none" w:sz="0" w:color="auto"/>
        </w:pBdr>
        <w:jc w:val="both"/>
      </w:pPr>
    </w:p>
    <w:sectPr w:rsidR="00AC19CC" w:rsidSect="00752C56">
      <w:pgSz w:w="11900" w:h="16840"/>
      <w:pgMar w:top="851" w:right="1021" w:bottom="851" w:left="102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9F4" w:rsidRDefault="005B69F4" w:rsidP="00C04929">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5B69F4" w:rsidRDefault="005B69F4" w:rsidP="00C04929">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9F4" w:rsidRDefault="005B69F4" w:rsidP="00C0492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5B69F4" w:rsidRDefault="005B69F4" w:rsidP="00C04929">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5F57"/>
    <w:multiLevelType w:val="multilevel"/>
    <w:tmpl w:val="C57C97C8"/>
    <w:lvl w:ilvl="0">
      <w:numFmt w:val="bullet"/>
      <w:lvlText w:val="•"/>
      <w:lvlJc w:val="left"/>
      <w:pPr>
        <w:tabs>
          <w:tab w:val="num" w:pos="567"/>
        </w:tabs>
        <w:ind w:left="567" w:hanging="567"/>
      </w:pPr>
      <w:rPr>
        <w:color w:val="000000"/>
        <w:position w:val="0"/>
        <w:sz w:val="24"/>
        <w:u w:color="000000"/>
      </w:rPr>
    </w:lvl>
    <w:lvl w:ilvl="1">
      <w:start w:val="1"/>
      <w:numFmt w:val="bullet"/>
      <w:lvlText w:val="o"/>
      <w:lvlJc w:val="left"/>
      <w:pPr>
        <w:tabs>
          <w:tab w:val="num" w:pos="1410"/>
        </w:tabs>
        <w:ind w:left="1410" w:hanging="330"/>
      </w:pPr>
      <w:rPr>
        <w:color w:val="000000"/>
        <w:position w:val="0"/>
        <w:sz w:val="22"/>
        <w:u w:color="000000"/>
      </w:rPr>
    </w:lvl>
    <w:lvl w:ilvl="2">
      <w:start w:val="1"/>
      <w:numFmt w:val="bullet"/>
      <w:lvlText w:val="▪"/>
      <w:lvlJc w:val="left"/>
      <w:pPr>
        <w:tabs>
          <w:tab w:val="num" w:pos="2130"/>
        </w:tabs>
        <w:ind w:left="2130" w:hanging="330"/>
      </w:pPr>
      <w:rPr>
        <w:color w:val="000000"/>
        <w:position w:val="0"/>
        <w:sz w:val="22"/>
        <w:u w:color="000000"/>
      </w:rPr>
    </w:lvl>
    <w:lvl w:ilvl="3">
      <w:start w:val="1"/>
      <w:numFmt w:val="bullet"/>
      <w:lvlText w:val="•"/>
      <w:lvlJc w:val="left"/>
      <w:pPr>
        <w:tabs>
          <w:tab w:val="num" w:pos="2850"/>
        </w:tabs>
        <w:ind w:left="2850" w:hanging="330"/>
      </w:pPr>
      <w:rPr>
        <w:color w:val="000000"/>
        <w:position w:val="0"/>
        <w:sz w:val="22"/>
        <w:u w:color="000000"/>
      </w:rPr>
    </w:lvl>
    <w:lvl w:ilvl="4">
      <w:start w:val="1"/>
      <w:numFmt w:val="bullet"/>
      <w:lvlText w:val="o"/>
      <w:lvlJc w:val="left"/>
      <w:pPr>
        <w:tabs>
          <w:tab w:val="num" w:pos="3570"/>
        </w:tabs>
        <w:ind w:left="3570" w:hanging="330"/>
      </w:pPr>
      <w:rPr>
        <w:color w:val="000000"/>
        <w:position w:val="0"/>
        <w:sz w:val="22"/>
        <w:u w:color="000000"/>
      </w:rPr>
    </w:lvl>
    <w:lvl w:ilvl="5">
      <w:start w:val="1"/>
      <w:numFmt w:val="bullet"/>
      <w:lvlText w:val="▪"/>
      <w:lvlJc w:val="left"/>
      <w:pPr>
        <w:tabs>
          <w:tab w:val="num" w:pos="4290"/>
        </w:tabs>
        <w:ind w:left="4290" w:hanging="330"/>
      </w:pPr>
      <w:rPr>
        <w:color w:val="000000"/>
        <w:position w:val="0"/>
        <w:sz w:val="22"/>
        <w:u w:color="000000"/>
      </w:rPr>
    </w:lvl>
    <w:lvl w:ilvl="6">
      <w:start w:val="1"/>
      <w:numFmt w:val="bullet"/>
      <w:lvlText w:val="•"/>
      <w:lvlJc w:val="left"/>
      <w:pPr>
        <w:tabs>
          <w:tab w:val="num" w:pos="5010"/>
        </w:tabs>
        <w:ind w:left="5010" w:hanging="330"/>
      </w:pPr>
      <w:rPr>
        <w:color w:val="000000"/>
        <w:position w:val="0"/>
        <w:sz w:val="22"/>
        <w:u w:color="000000"/>
      </w:rPr>
    </w:lvl>
    <w:lvl w:ilvl="7">
      <w:start w:val="1"/>
      <w:numFmt w:val="bullet"/>
      <w:lvlText w:val="o"/>
      <w:lvlJc w:val="left"/>
      <w:pPr>
        <w:tabs>
          <w:tab w:val="num" w:pos="5730"/>
        </w:tabs>
        <w:ind w:left="5730" w:hanging="330"/>
      </w:pPr>
      <w:rPr>
        <w:color w:val="000000"/>
        <w:position w:val="0"/>
        <w:sz w:val="22"/>
        <w:u w:color="000000"/>
      </w:rPr>
    </w:lvl>
    <w:lvl w:ilvl="8">
      <w:start w:val="1"/>
      <w:numFmt w:val="bullet"/>
      <w:lvlText w:val="▪"/>
      <w:lvlJc w:val="left"/>
      <w:pPr>
        <w:tabs>
          <w:tab w:val="num" w:pos="6450"/>
        </w:tabs>
        <w:ind w:left="6450" w:hanging="330"/>
      </w:pPr>
      <w:rPr>
        <w:color w:val="000000"/>
        <w:position w:val="0"/>
        <w:sz w:val="22"/>
        <w:u w:color="000000"/>
      </w:rPr>
    </w:lvl>
  </w:abstractNum>
  <w:abstractNum w:abstractNumId="1">
    <w:nsid w:val="0B02023B"/>
    <w:multiLevelType w:val="multilevel"/>
    <w:tmpl w:val="862239F6"/>
    <w:lvl w:ilvl="0">
      <w:numFmt w:val="bullet"/>
      <w:lvlText w:val="•"/>
      <w:lvlJc w:val="left"/>
      <w:pPr>
        <w:tabs>
          <w:tab w:val="num" w:pos="720"/>
        </w:tabs>
        <w:ind w:left="720" w:hanging="360"/>
      </w:pPr>
      <w:rPr>
        <w:rFonts w:ascii="Arial" w:eastAsia="Times New Roman" w:hAnsi="Arial"/>
        <w:color w:val="000000"/>
        <w:position w:val="0"/>
        <w:sz w:val="20"/>
        <w:u w:color="000000"/>
      </w:rPr>
    </w:lvl>
    <w:lvl w:ilvl="1">
      <w:start w:val="1"/>
      <w:numFmt w:val="bullet"/>
      <w:lvlText w:val="o"/>
      <w:lvlJc w:val="left"/>
      <w:pPr>
        <w:tabs>
          <w:tab w:val="num" w:pos="1410"/>
        </w:tabs>
        <w:ind w:left="1410" w:hanging="330"/>
      </w:pPr>
      <w:rPr>
        <w:rFonts w:ascii="Arial" w:eastAsia="Times New Roman" w:hAnsi="Arial"/>
        <w:color w:val="000000"/>
        <w:position w:val="0"/>
        <w:sz w:val="22"/>
        <w:u w:color="000000"/>
      </w:rPr>
    </w:lvl>
    <w:lvl w:ilvl="2">
      <w:start w:val="1"/>
      <w:numFmt w:val="bullet"/>
      <w:lvlText w:val="▪"/>
      <w:lvlJc w:val="left"/>
      <w:pPr>
        <w:tabs>
          <w:tab w:val="num" w:pos="2130"/>
        </w:tabs>
        <w:ind w:left="2130" w:hanging="330"/>
      </w:pPr>
      <w:rPr>
        <w:rFonts w:ascii="Arial" w:eastAsia="Times New Roman" w:hAnsi="Arial"/>
        <w:color w:val="000000"/>
        <w:position w:val="0"/>
        <w:sz w:val="22"/>
        <w:u w:color="000000"/>
      </w:rPr>
    </w:lvl>
    <w:lvl w:ilvl="3">
      <w:start w:val="1"/>
      <w:numFmt w:val="bullet"/>
      <w:lvlText w:val="•"/>
      <w:lvlJc w:val="left"/>
      <w:pPr>
        <w:tabs>
          <w:tab w:val="num" w:pos="2850"/>
        </w:tabs>
        <w:ind w:left="2850" w:hanging="330"/>
      </w:pPr>
      <w:rPr>
        <w:rFonts w:ascii="Arial" w:eastAsia="Times New Roman" w:hAnsi="Arial"/>
        <w:color w:val="000000"/>
        <w:position w:val="0"/>
        <w:sz w:val="22"/>
        <w:u w:color="000000"/>
      </w:rPr>
    </w:lvl>
    <w:lvl w:ilvl="4">
      <w:start w:val="1"/>
      <w:numFmt w:val="bullet"/>
      <w:lvlText w:val="o"/>
      <w:lvlJc w:val="left"/>
      <w:pPr>
        <w:tabs>
          <w:tab w:val="num" w:pos="3570"/>
        </w:tabs>
        <w:ind w:left="3570" w:hanging="330"/>
      </w:pPr>
      <w:rPr>
        <w:rFonts w:ascii="Arial" w:eastAsia="Times New Roman" w:hAnsi="Arial"/>
        <w:color w:val="000000"/>
        <w:position w:val="0"/>
        <w:sz w:val="22"/>
        <w:u w:color="000000"/>
      </w:rPr>
    </w:lvl>
    <w:lvl w:ilvl="5">
      <w:start w:val="1"/>
      <w:numFmt w:val="bullet"/>
      <w:lvlText w:val="▪"/>
      <w:lvlJc w:val="left"/>
      <w:pPr>
        <w:tabs>
          <w:tab w:val="num" w:pos="4290"/>
        </w:tabs>
        <w:ind w:left="4290" w:hanging="330"/>
      </w:pPr>
      <w:rPr>
        <w:rFonts w:ascii="Arial" w:eastAsia="Times New Roman" w:hAnsi="Arial"/>
        <w:color w:val="000000"/>
        <w:position w:val="0"/>
        <w:sz w:val="22"/>
        <w:u w:color="000000"/>
      </w:rPr>
    </w:lvl>
    <w:lvl w:ilvl="6">
      <w:start w:val="1"/>
      <w:numFmt w:val="bullet"/>
      <w:lvlText w:val="•"/>
      <w:lvlJc w:val="left"/>
      <w:pPr>
        <w:tabs>
          <w:tab w:val="num" w:pos="5010"/>
        </w:tabs>
        <w:ind w:left="5010" w:hanging="330"/>
      </w:pPr>
      <w:rPr>
        <w:rFonts w:ascii="Arial" w:eastAsia="Times New Roman" w:hAnsi="Arial"/>
        <w:color w:val="000000"/>
        <w:position w:val="0"/>
        <w:sz w:val="22"/>
        <w:u w:color="000000"/>
      </w:rPr>
    </w:lvl>
    <w:lvl w:ilvl="7">
      <w:start w:val="1"/>
      <w:numFmt w:val="bullet"/>
      <w:lvlText w:val="o"/>
      <w:lvlJc w:val="left"/>
      <w:pPr>
        <w:tabs>
          <w:tab w:val="num" w:pos="5730"/>
        </w:tabs>
        <w:ind w:left="5730" w:hanging="330"/>
      </w:pPr>
      <w:rPr>
        <w:rFonts w:ascii="Arial" w:eastAsia="Times New Roman" w:hAnsi="Arial"/>
        <w:color w:val="000000"/>
        <w:position w:val="0"/>
        <w:sz w:val="22"/>
        <w:u w:color="000000"/>
      </w:rPr>
    </w:lvl>
    <w:lvl w:ilvl="8">
      <w:start w:val="1"/>
      <w:numFmt w:val="bullet"/>
      <w:lvlText w:val="▪"/>
      <w:lvlJc w:val="left"/>
      <w:pPr>
        <w:tabs>
          <w:tab w:val="num" w:pos="6450"/>
        </w:tabs>
        <w:ind w:left="6450" w:hanging="330"/>
      </w:pPr>
      <w:rPr>
        <w:rFonts w:ascii="Arial" w:eastAsia="Times New Roman" w:hAnsi="Arial"/>
        <w:color w:val="000000"/>
        <w:position w:val="0"/>
        <w:sz w:val="22"/>
        <w:u w:color="000000"/>
      </w:rPr>
    </w:lvl>
  </w:abstractNum>
  <w:abstractNum w:abstractNumId="2">
    <w:nsid w:val="0DAA71B0"/>
    <w:multiLevelType w:val="multilevel"/>
    <w:tmpl w:val="64E4F31C"/>
    <w:lvl w:ilvl="0">
      <w:numFmt w:val="bullet"/>
      <w:lvlText w:val="•"/>
      <w:lvlJc w:val="left"/>
      <w:pPr>
        <w:tabs>
          <w:tab w:val="num" w:pos="1227"/>
        </w:tabs>
        <w:ind w:left="1227" w:hanging="360"/>
      </w:pPr>
      <w:rPr>
        <w:rFonts w:ascii="Arial" w:eastAsia="Times New Roman" w:hAnsi="Arial"/>
        <w:color w:val="000000"/>
        <w:position w:val="0"/>
        <w:sz w:val="20"/>
        <w:u w:color="000000"/>
      </w:rPr>
    </w:lvl>
    <w:lvl w:ilvl="1">
      <w:start w:val="1"/>
      <w:numFmt w:val="bullet"/>
      <w:lvlText w:val="o"/>
      <w:lvlJc w:val="left"/>
      <w:pPr>
        <w:tabs>
          <w:tab w:val="num" w:pos="1917"/>
        </w:tabs>
        <w:ind w:left="1917" w:hanging="330"/>
      </w:pPr>
      <w:rPr>
        <w:rFonts w:ascii="Arial" w:eastAsia="Times New Roman" w:hAnsi="Arial"/>
        <w:color w:val="000000"/>
        <w:position w:val="0"/>
        <w:sz w:val="22"/>
        <w:u w:color="000000"/>
      </w:rPr>
    </w:lvl>
    <w:lvl w:ilvl="2">
      <w:start w:val="1"/>
      <w:numFmt w:val="bullet"/>
      <w:lvlText w:val="▪"/>
      <w:lvlJc w:val="left"/>
      <w:pPr>
        <w:tabs>
          <w:tab w:val="num" w:pos="2637"/>
        </w:tabs>
        <w:ind w:left="2637" w:hanging="330"/>
      </w:pPr>
      <w:rPr>
        <w:rFonts w:ascii="Arial" w:eastAsia="Times New Roman" w:hAnsi="Arial"/>
        <w:color w:val="000000"/>
        <w:position w:val="0"/>
        <w:sz w:val="22"/>
        <w:u w:color="000000"/>
      </w:rPr>
    </w:lvl>
    <w:lvl w:ilvl="3">
      <w:start w:val="1"/>
      <w:numFmt w:val="bullet"/>
      <w:lvlText w:val="•"/>
      <w:lvlJc w:val="left"/>
      <w:pPr>
        <w:tabs>
          <w:tab w:val="num" w:pos="3357"/>
        </w:tabs>
        <w:ind w:left="3357" w:hanging="330"/>
      </w:pPr>
      <w:rPr>
        <w:rFonts w:ascii="Arial" w:eastAsia="Times New Roman" w:hAnsi="Arial"/>
        <w:color w:val="000000"/>
        <w:position w:val="0"/>
        <w:sz w:val="22"/>
        <w:u w:color="000000"/>
      </w:rPr>
    </w:lvl>
    <w:lvl w:ilvl="4">
      <w:start w:val="1"/>
      <w:numFmt w:val="bullet"/>
      <w:lvlText w:val="o"/>
      <w:lvlJc w:val="left"/>
      <w:pPr>
        <w:tabs>
          <w:tab w:val="num" w:pos="4077"/>
        </w:tabs>
        <w:ind w:left="4077" w:hanging="330"/>
      </w:pPr>
      <w:rPr>
        <w:rFonts w:ascii="Arial" w:eastAsia="Times New Roman" w:hAnsi="Arial"/>
        <w:color w:val="000000"/>
        <w:position w:val="0"/>
        <w:sz w:val="22"/>
        <w:u w:color="000000"/>
      </w:rPr>
    </w:lvl>
    <w:lvl w:ilvl="5">
      <w:start w:val="1"/>
      <w:numFmt w:val="bullet"/>
      <w:lvlText w:val="▪"/>
      <w:lvlJc w:val="left"/>
      <w:pPr>
        <w:tabs>
          <w:tab w:val="num" w:pos="4797"/>
        </w:tabs>
        <w:ind w:left="4797" w:hanging="330"/>
      </w:pPr>
      <w:rPr>
        <w:rFonts w:ascii="Arial" w:eastAsia="Times New Roman" w:hAnsi="Arial"/>
        <w:color w:val="000000"/>
        <w:position w:val="0"/>
        <w:sz w:val="22"/>
        <w:u w:color="000000"/>
      </w:rPr>
    </w:lvl>
    <w:lvl w:ilvl="6">
      <w:start w:val="1"/>
      <w:numFmt w:val="bullet"/>
      <w:lvlText w:val="•"/>
      <w:lvlJc w:val="left"/>
      <w:pPr>
        <w:tabs>
          <w:tab w:val="num" w:pos="5517"/>
        </w:tabs>
        <w:ind w:left="5517" w:hanging="330"/>
      </w:pPr>
      <w:rPr>
        <w:rFonts w:ascii="Arial" w:eastAsia="Times New Roman" w:hAnsi="Arial"/>
        <w:color w:val="000000"/>
        <w:position w:val="0"/>
        <w:sz w:val="22"/>
        <w:u w:color="000000"/>
      </w:rPr>
    </w:lvl>
    <w:lvl w:ilvl="7">
      <w:start w:val="1"/>
      <w:numFmt w:val="bullet"/>
      <w:lvlText w:val="o"/>
      <w:lvlJc w:val="left"/>
      <w:pPr>
        <w:tabs>
          <w:tab w:val="num" w:pos="6237"/>
        </w:tabs>
        <w:ind w:left="6237" w:hanging="330"/>
      </w:pPr>
      <w:rPr>
        <w:rFonts w:ascii="Arial" w:eastAsia="Times New Roman" w:hAnsi="Arial"/>
        <w:color w:val="000000"/>
        <w:position w:val="0"/>
        <w:sz w:val="22"/>
        <w:u w:color="000000"/>
      </w:rPr>
    </w:lvl>
    <w:lvl w:ilvl="8">
      <w:start w:val="1"/>
      <w:numFmt w:val="bullet"/>
      <w:lvlText w:val="▪"/>
      <w:lvlJc w:val="left"/>
      <w:pPr>
        <w:tabs>
          <w:tab w:val="num" w:pos="6957"/>
        </w:tabs>
        <w:ind w:left="6957" w:hanging="330"/>
      </w:pPr>
      <w:rPr>
        <w:rFonts w:ascii="Arial" w:eastAsia="Times New Roman" w:hAnsi="Arial"/>
        <w:color w:val="000000"/>
        <w:position w:val="0"/>
        <w:sz w:val="22"/>
        <w:u w:color="000000"/>
      </w:rPr>
    </w:lvl>
  </w:abstractNum>
  <w:abstractNum w:abstractNumId="3">
    <w:nsid w:val="16F32833"/>
    <w:multiLevelType w:val="multilevel"/>
    <w:tmpl w:val="B00C452C"/>
    <w:styleLink w:val="List8"/>
    <w:lvl w:ilvl="0">
      <w:start w:val="1"/>
      <w:numFmt w:val="decimal"/>
      <w:lvlText w:val="%1."/>
      <w:lvlJc w:val="left"/>
      <w:rPr>
        <w:rFonts w:cs="Times New Roman"/>
        <w:position w:val="0"/>
      </w:rPr>
    </w:lvl>
    <w:lvl w:ilvl="1">
      <w:start w:val="1"/>
      <w:numFmt w:val="decimal"/>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4">
    <w:nsid w:val="1AF85C7E"/>
    <w:multiLevelType w:val="multilevel"/>
    <w:tmpl w:val="1EFAE02C"/>
    <w:styleLink w:val="List4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1F6947B9"/>
    <w:multiLevelType w:val="multilevel"/>
    <w:tmpl w:val="78364C7A"/>
    <w:styleLink w:val="List16"/>
    <w:lvl w:ilvl="0">
      <w:numFmt w:val="bullet"/>
      <w:lvlText w:val="•"/>
      <w:lvlJc w:val="left"/>
      <w:pPr>
        <w:tabs>
          <w:tab w:val="num" w:pos="1227"/>
        </w:tabs>
        <w:ind w:left="1227" w:hanging="360"/>
      </w:pPr>
      <w:rPr>
        <w:rFonts w:ascii="Arial" w:eastAsia="Times New Roman" w:hAnsi="Arial"/>
        <w:color w:val="000000"/>
        <w:position w:val="0"/>
        <w:sz w:val="20"/>
        <w:u w:color="000000"/>
      </w:rPr>
    </w:lvl>
    <w:lvl w:ilvl="1">
      <w:start w:val="1"/>
      <w:numFmt w:val="bullet"/>
      <w:lvlText w:val="o"/>
      <w:lvlJc w:val="left"/>
      <w:pPr>
        <w:tabs>
          <w:tab w:val="num" w:pos="1917"/>
        </w:tabs>
        <w:ind w:left="1917" w:hanging="330"/>
      </w:pPr>
      <w:rPr>
        <w:rFonts w:ascii="Arial" w:eastAsia="Times New Roman" w:hAnsi="Arial"/>
        <w:color w:val="000000"/>
        <w:position w:val="0"/>
        <w:sz w:val="22"/>
        <w:u w:color="000000"/>
      </w:rPr>
    </w:lvl>
    <w:lvl w:ilvl="2">
      <w:start w:val="1"/>
      <w:numFmt w:val="bullet"/>
      <w:lvlText w:val="▪"/>
      <w:lvlJc w:val="left"/>
      <w:pPr>
        <w:tabs>
          <w:tab w:val="num" w:pos="2637"/>
        </w:tabs>
        <w:ind w:left="2637" w:hanging="330"/>
      </w:pPr>
      <w:rPr>
        <w:rFonts w:ascii="Arial" w:eastAsia="Times New Roman" w:hAnsi="Arial"/>
        <w:color w:val="000000"/>
        <w:position w:val="0"/>
        <w:sz w:val="22"/>
        <w:u w:color="000000"/>
      </w:rPr>
    </w:lvl>
    <w:lvl w:ilvl="3">
      <w:start w:val="1"/>
      <w:numFmt w:val="bullet"/>
      <w:lvlText w:val="•"/>
      <w:lvlJc w:val="left"/>
      <w:pPr>
        <w:tabs>
          <w:tab w:val="num" w:pos="3357"/>
        </w:tabs>
        <w:ind w:left="3357" w:hanging="330"/>
      </w:pPr>
      <w:rPr>
        <w:rFonts w:ascii="Arial" w:eastAsia="Times New Roman" w:hAnsi="Arial"/>
        <w:color w:val="000000"/>
        <w:position w:val="0"/>
        <w:sz w:val="22"/>
        <w:u w:color="000000"/>
      </w:rPr>
    </w:lvl>
    <w:lvl w:ilvl="4">
      <w:start w:val="1"/>
      <w:numFmt w:val="bullet"/>
      <w:lvlText w:val="o"/>
      <w:lvlJc w:val="left"/>
      <w:pPr>
        <w:tabs>
          <w:tab w:val="num" w:pos="4077"/>
        </w:tabs>
        <w:ind w:left="4077" w:hanging="330"/>
      </w:pPr>
      <w:rPr>
        <w:rFonts w:ascii="Arial" w:eastAsia="Times New Roman" w:hAnsi="Arial"/>
        <w:color w:val="000000"/>
        <w:position w:val="0"/>
        <w:sz w:val="22"/>
        <w:u w:color="000000"/>
      </w:rPr>
    </w:lvl>
    <w:lvl w:ilvl="5">
      <w:start w:val="1"/>
      <w:numFmt w:val="bullet"/>
      <w:lvlText w:val="▪"/>
      <w:lvlJc w:val="left"/>
      <w:pPr>
        <w:tabs>
          <w:tab w:val="num" w:pos="4797"/>
        </w:tabs>
        <w:ind w:left="4797" w:hanging="330"/>
      </w:pPr>
      <w:rPr>
        <w:rFonts w:ascii="Arial" w:eastAsia="Times New Roman" w:hAnsi="Arial"/>
        <w:color w:val="000000"/>
        <w:position w:val="0"/>
        <w:sz w:val="22"/>
        <w:u w:color="000000"/>
      </w:rPr>
    </w:lvl>
    <w:lvl w:ilvl="6">
      <w:start w:val="1"/>
      <w:numFmt w:val="bullet"/>
      <w:lvlText w:val="•"/>
      <w:lvlJc w:val="left"/>
      <w:pPr>
        <w:tabs>
          <w:tab w:val="num" w:pos="5517"/>
        </w:tabs>
        <w:ind w:left="5517" w:hanging="330"/>
      </w:pPr>
      <w:rPr>
        <w:rFonts w:ascii="Arial" w:eastAsia="Times New Roman" w:hAnsi="Arial"/>
        <w:color w:val="000000"/>
        <w:position w:val="0"/>
        <w:sz w:val="22"/>
        <w:u w:color="000000"/>
      </w:rPr>
    </w:lvl>
    <w:lvl w:ilvl="7">
      <w:start w:val="1"/>
      <w:numFmt w:val="bullet"/>
      <w:lvlText w:val="o"/>
      <w:lvlJc w:val="left"/>
      <w:pPr>
        <w:tabs>
          <w:tab w:val="num" w:pos="6237"/>
        </w:tabs>
        <w:ind w:left="6237" w:hanging="330"/>
      </w:pPr>
      <w:rPr>
        <w:rFonts w:ascii="Arial" w:eastAsia="Times New Roman" w:hAnsi="Arial"/>
        <w:color w:val="000000"/>
        <w:position w:val="0"/>
        <w:sz w:val="22"/>
        <w:u w:color="000000"/>
      </w:rPr>
    </w:lvl>
    <w:lvl w:ilvl="8">
      <w:start w:val="1"/>
      <w:numFmt w:val="bullet"/>
      <w:lvlText w:val="▪"/>
      <w:lvlJc w:val="left"/>
      <w:pPr>
        <w:tabs>
          <w:tab w:val="num" w:pos="6957"/>
        </w:tabs>
        <w:ind w:left="6957" w:hanging="330"/>
      </w:pPr>
      <w:rPr>
        <w:rFonts w:ascii="Arial" w:eastAsia="Times New Roman" w:hAnsi="Arial"/>
        <w:color w:val="000000"/>
        <w:position w:val="0"/>
        <w:sz w:val="22"/>
        <w:u w:color="000000"/>
      </w:rPr>
    </w:lvl>
  </w:abstractNum>
  <w:abstractNum w:abstractNumId="6">
    <w:nsid w:val="203C5A55"/>
    <w:multiLevelType w:val="multilevel"/>
    <w:tmpl w:val="62663EB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21045CF8"/>
    <w:multiLevelType w:val="multilevel"/>
    <w:tmpl w:val="D5744F5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nsid w:val="21265D86"/>
    <w:multiLevelType w:val="multilevel"/>
    <w:tmpl w:val="3820942A"/>
    <w:lvl w:ilvl="0">
      <w:numFmt w:val="bullet"/>
      <w:lvlText w:val="•"/>
      <w:lvlJc w:val="left"/>
      <w:pPr>
        <w:tabs>
          <w:tab w:val="num" w:pos="720"/>
        </w:tabs>
        <w:ind w:left="720" w:hanging="360"/>
      </w:pPr>
      <w:rPr>
        <w:rFonts w:ascii="Arial" w:eastAsia="Times New Roman" w:hAnsi="Arial"/>
        <w:color w:val="000000"/>
        <w:position w:val="0"/>
        <w:sz w:val="20"/>
        <w:u w:color="000000"/>
      </w:rPr>
    </w:lvl>
    <w:lvl w:ilvl="1">
      <w:start w:val="1"/>
      <w:numFmt w:val="bullet"/>
      <w:lvlText w:val="o"/>
      <w:lvlJc w:val="left"/>
      <w:pPr>
        <w:tabs>
          <w:tab w:val="num" w:pos="1410"/>
        </w:tabs>
        <w:ind w:left="1410" w:hanging="330"/>
      </w:pPr>
      <w:rPr>
        <w:rFonts w:ascii="Arial" w:eastAsia="Times New Roman" w:hAnsi="Arial"/>
        <w:color w:val="000000"/>
        <w:position w:val="0"/>
        <w:sz w:val="22"/>
        <w:u w:color="000000"/>
      </w:rPr>
    </w:lvl>
    <w:lvl w:ilvl="2">
      <w:start w:val="1"/>
      <w:numFmt w:val="bullet"/>
      <w:lvlText w:val="▪"/>
      <w:lvlJc w:val="left"/>
      <w:pPr>
        <w:tabs>
          <w:tab w:val="num" w:pos="2130"/>
        </w:tabs>
        <w:ind w:left="2130" w:hanging="330"/>
      </w:pPr>
      <w:rPr>
        <w:rFonts w:ascii="Arial" w:eastAsia="Times New Roman" w:hAnsi="Arial"/>
        <w:color w:val="000000"/>
        <w:position w:val="0"/>
        <w:sz w:val="22"/>
        <w:u w:color="000000"/>
      </w:rPr>
    </w:lvl>
    <w:lvl w:ilvl="3">
      <w:start w:val="1"/>
      <w:numFmt w:val="bullet"/>
      <w:lvlText w:val="•"/>
      <w:lvlJc w:val="left"/>
      <w:pPr>
        <w:tabs>
          <w:tab w:val="num" w:pos="2850"/>
        </w:tabs>
        <w:ind w:left="2850" w:hanging="330"/>
      </w:pPr>
      <w:rPr>
        <w:rFonts w:ascii="Arial" w:eastAsia="Times New Roman" w:hAnsi="Arial"/>
        <w:color w:val="000000"/>
        <w:position w:val="0"/>
        <w:sz w:val="22"/>
        <w:u w:color="000000"/>
      </w:rPr>
    </w:lvl>
    <w:lvl w:ilvl="4">
      <w:start w:val="1"/>
      <w:numFmt w:val="bullet"/>
      <w:lvlText w:val="o"/>
      <w:lvlJc w:val="left"/>
      <w:pPr>
        <w:tabs>
          <w:tab w:val="num" w:pos="3570"/>
        </w:tabs>
        <w:ind w:left="3570" w:hanging="330"/>
      </w:pPr>
      <w:rPr>
        <w:rFonts w:ascii="Arial" w:eastAsia="Times New Roman" w:hAnsi="Arial"/>
        <w:color w:val="000000"/>
        <w:position w:val="0"/>
        <w:sz w:val="22"/>
        <w:u w:color="000000"/>
      </w:rPr>
    </w:lvl>
    <w:lvl w:ilvl="5">
      <w:start w:val="1"/>
      <w:numFmt w:val="bullet"/>
      <w:lvlText w:val="▪"/>
      <w:lvlJc w:val="left"/>
      <w:pPr>
        <w:tabs>
          <w:tab w:val="num" w:pos="4290"/>
        </w:tabs>
        <w:ind w:left="4290" w:hanging="330"/>
      </w:pPr>
      <w:rPr>
        <w:rFonts w:ascii="Arial" w:eastAsia="Times New Roman" w:hAnsi="Arial"/>
        <w:color w:val="000000"/>
        <w:position w:val="0"/>
        <w:sz w:val="22"/>
        <w:u w:color="000000"/>
      </w:rPr>
    </w:lvl>
    <w:lvl w:ilvl="6">
      <w:start w:val="1"/>
      <w:numFmt w:val="bullet"/>
      <w:lvlText w:val="•"/>
      <w:lvlJc w:val="left"/>
      <w:pPr>
        <w:tabs>
          <w:tab w:val="num" w:pos="5010"/>
        </w:tabs>
        <w:ind w:left="5010" w:hanging="330"/>
      </w:pPr>
      <w:rPr>
        <w:rFonts w:ascii="Arial" w:eastAsia="Times New Roman" w:hAnsi="Arial"/>
        <w:color w:val="000000"/>
        <w:position w:val="0"/>
        <w:sz w:val="22"/>
        <w:u w:color="000000"/>
      </w:rPr>
    </w:lvl>
    <w:lvl w:ilvl="7">
      <w:start w:val="1"/>
      <w:numFmt w:val="bullet"/>
      <w:lvlText w:val="o"/>
      <w:lvlJc w:val="left"/>
      <w:pPr>
        <w:tabs>
          <w:tab w:val="num" w:pos="5730"/>
        </w:tabs>
        <w:ind w:left="5730" w:hanging="330"/>
      </w:pPr>
      <w:rPr>
        <w:rFonts w:ascii="Arial" w:eastAsia="Times New Roman" w:hAnsi="Arial"/>
        <w:color w:val="000000"/>
        <w:position w:val="0"/>
        <w:sz w:val="22"/>
        <w:u w:color="000000"/>
      </w:rPr>
    </w:lvl>
    <w:lvl w:ilvl="8">
      <w:start w:val="1"/>
      <w:numFmt w:val="bullet"/>
      <w:lvlText w:val="▪"/>
      <w:lvlJc w:val="left"/>
      <w:pPr>
        <w:tabs>
          <w:tab w:val="num" w:pos="6450"/>
        </w:tabs>
        <w:ind w:left="6450" w:hanging="330"/>
      </w:pPr>
      <w:rPr>
        <w:rFonts w:ascii="Arial" w:eastAsia="Times New Roman" w:hAnsi="Arial"/>
        <w:color w:val="000000"/>
        <w:position w:val="0"/>
        <w:sz w:val="22"/>
        <w:u w:color="000000"/>
      </w:rPr>
    </w:lvl>
  </w:abstractNum>
  <w:abstractNum w:abstractNumId="9">
    <w:nsid w:val="2AB35319"/>
    <w:multiLevelType w:val="multilevel"/>
    <w:tmpl w:val="6FC6632A"/>
    <w:styleLink w:val="List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0">
    <w:nsid w:val="2ABB0E21"/>
    <w:multiLevelType w:val="multilevel"/>
    <w:tmpl w:val="93909E74"/>
    <w:styleLink w:val="List7"/>
    <w:lvl w:ilvl="0">
      <w:numFmt w:val="bullet"/>
      <w:lvlText w:val="•"/>
      <w:lvlJc w:val="left"/>
      <w:pPr>
        <w:tabs>
          <w:tab w:val="num" w:pos="567"/>
        </w:tabs>
        <w:ind w:left="567" w:hanging="567"/>
      </w:pPr>
      <w:rPr>
        <w:rFonts w:ascii="Arial" w:eastAsia="Times New Roman" w:hAnsi="Arial"/>
        <w:color w:val="000000"/>
        <w:position w:val="0"/>
        <w:sz w:val="24"/>
        <w:u w:color="000000"/>
      </w:rPr>
    </w:lvl>
    <w:lvl w:ilvl="1">
      <w:start w:val="1"/>
      <w:numFmt w:val="bullet"/>
      <w:lvlText w:val="o"/>
      <w:lvlJc w:val="left"/>
      <w:pPr>
        <w:tabs>
          <w:tab w:val="num" w:pos="1410"/>
        </w:tabs>
        <w:ind w:left="1410" w:hanging="330"/>
      </w:pPr>
      <w:rPr>
        <w:rFonts w:ascii="Arial" w:eastAsia="Times New Roman" w:hAnsi="Arial"/>
        <w:color w:val="000000"/>
        <w:position w:val="0"/>
        <w:sz w:val="22"/>
        <w:u w:color="000000"/>
      </w:rPr>
    </w:lvl>
    <w:lvl w:ilvl="2">
      <w:start w:val="1"/>
      <w:numFmt w:val="bullet"/>
      <w:lvlText w:val="▪"/>
      <w:lvlJc w:val="left"/>
      <w:pPr>
        <w:tabs>
          <w:tab w:val="num" w:pos="2130"/>
        </w:tabs>
        <w:ind w:left="2130" w:hanging="330"/>
      </w:pPr>
      <w:rPr>
        <w:rFonts w:ascii="Arial" w:eastAsia="Times New Roman" w:hAnsi="Arial"/>
        <w:color w:val="000000"/>
        <w:position w:val="0"/>
        <w:sz w:val="22"/>
        <w:u w:color="000000"/>
      </w:rPr>
    </w:lvl>
    <w:lvl w:ilvl="3">
      <w:start w:val="1"/>
      <w:numFmt w:val="bullet"/>
      <w:lvlText w:val="•"/>
      <w:lvlJc w:val="left"/>
      <w:pPr>
        <w:tabs>
          <w:tab w:val="num" w:pos="2850"/>
        </w:tabs>
        <w:ind w:left="2850" w:hanging="330"/>
      </w:pPr>
      <w:rPr>
        <w:rFonts w:ascii="Arial" w:eastAsia="Times New Roman" w:hAnsi="Arial"/>
        <w:color w:val="000000"/>
        <w:position w:val="0"/>
        <w:sz w:val="22"/>
        <w:u w:color="000000"/>
      </w:rPr>
    </w:lvl>
    <w:lvl w:ilvl="4">
      <w:start w:val="1"/>
      <w:numFmt w:val="bullet"/>
      <w:lvlText w:val="o"/>
      <w:lvlJc w:val="left"/>
      <w:pPr>
        <w:tabs>
          <w:tab w:val="num" w:pos="3570"/>
        </w:tabs>
        <w:ind w:left="3570" w:hanging="330"/>
      </w:pPr>
      <w:rPr>
        <w:rFonts w:ascii="Arial" w:eastAsia="Times New Roman" w:hAnsi="Arial"/>
        <w:color w:val="000000"/>
        <w:position w:val="0"/>
        <w:sz w:val="22"/>
        <w:u w:color="000000"/>
      </w:rPr>
    </w:lvl>
    <w:lvl w:ilvl="5">
      <w:start w:val="1"/>
      <w:numFmt w:val="bullet"/>
      <w:lvlText w:val="▪"/>
      <w:lvlJc w:val="left"/>
      <w:pPr>
        <w:tabs>
          <w:tab w:val="num" w:pos="4290"/>
        </w:tabs>
        <w:ind w:left="4290" w:hanging="330"/>
      </w:pPr>
      <w:rPr>
        <w:rFonts w:ascii="Arial" w:eastAsia="Times New Roman" w:hAnsi="Arial"/>
        <w:color w:val="000000"/>
        <w:position w:val="0"/>
        <w:sz w:val="22"/>
        <w:u w:color="000000"/>
      </w:rPr>
    </w:lvl>
    <w:lvl w:ilvl="6">
      <w:start w:val="1"/>
      <w:numFmt w:val="bullet"/>
      <w:lvlText w:val="•"/>
      <w:lvlJc w:val="left"/>
      <w:pPr>
        <w:tabs>
          <w:tab w:val="num" w:pos="5010"/>
        </w:tabs>
        <w:ind w:left="5010" w:hanging="330"/>
      </w:pPr>
      <w:rPr>
        <w:rFonts w:ascii="Arial" w:eastAsia="Times New Roman" w:hAnsi="Arial"/>
        <w:color w:val="000000"/>
        <w:position w:val="0"/>
        <w:sz w:val="22"/>
        <w:u w:color="000000"/>
      </w:rPr>
    </w:lvl>
    <w:lvl w:ilvl="7">
      <w:start w:val="1"/>
      <w:numFmt w:val="bullet"/>
      <w:lvlText w:val="o"/>
      <w:lvlJc w:val="left"/>
      <w:pPr>
        <w:tabs>
          <w:tab w:val="num" w:pos="5730"/>
        </w:tabs>
        <w:ind w:left="5730" w:hanging="330"/>
      </w:pPr>
      <w:rPr>
        <w:rFonts w:ascii="Arial" w:eastAsia="Times New Roman" w:hAnsi="Arial"/>
        <w:color w:val="000000"/>
        <w:position w:val="0"/>
        <w:sz w:val="22"/>
        <w:u w:color="000000"/>
      </w:rPr>
    </w:lvl>
    <w:lvl w:ilvl="8">
      <w:start w:val="1"/>
      <w:numFmt w:val="bullet"/>
      <w:lvlText w:val="▪"/>
      <w:lvlJc w:val="left"/>
      <w:pPr>
        <w:tabs>
          <w:tab w:val="num" w:pos="6450"/>
        </w:tabs>
        <w:ind w:left="6450" w:hanging="330"/>
      </w:pPr>
      <w:rPr>
        <w:rFonts w:ascii="Arial" w:eastAsia="Times New Roman" w:hAnsi="Arial"/>
        <w:color w:val="000000"/>
        <w:position w:val="0"/>
        <w:sz w:val="22"/>
        <w:u w:color="000000"/>
      </w:rPr>
    </w:lvl>
  </w:abstractNum>
  <w:abstractNum w:abstractNumId="11">
    <w:nsid w:val="2C0325F3"/>
    <w:multiLevelType w:val="multilevel"/>
    <w:tmpl w:val="49B416FE"/>
    <w:styleLink w:val="List14"/>
    <w:lvl w:ilvl="0">
      <w:numFmt w:val="bullet"/>
      <w:lvlText w:val="•"/>
      <w:lvlJc w:val="left"/>
      <w:pPr>
        <w:tabs>
          <w:tab w:val="num" w:pos="720"/>
        </w:tabs>
        <w:ind w:left="720" w:hanging="360"/>
      </w:pPr>
      <w:rPr>
        <w:rFonts w:ascii="Arial" w:eastAsia="Times New Roman" w:hAnsi="Arial"/>
        <w:color w:val="000000"/>
        <w:position w:val="0"/>
        <w:sz w:val="20"/>
        <w:u w:color="000000"/>
      </w:rPr>
    </w:lvl>
    <w:lvl w:ilvl="1">
      <w:start w:val="1"/>
      <w:numFmt w:val="bullet"/>
      <w:lvlText w:val="o"/>
      <w:lvlJc w:val="left"/>
      <w:pPr>
        <w:tabs>
          <w:tab w:val="num" w:pos="1410"/>
        </w:tabs>
        <w:ind w:left="1410" w:hanging="330"/>
      </w:pPr>
      <w:rPr>
        <w:rFonts w:ascii="Arial" w:eastAsia="Times New Roman" w:hAnsi="Arial"/>
        <w:color w:val="000000"/>
        <w:position w:val="0"/>
        <w:sz w:val="22"/>
        <w:u w:color="000000"/>
      </w:rPr>
    </w:lvl>
    <w:lvl w:ilvl="2">
      <w:start w:val="1"/>
      <w:numFmt w:val="bullet"/>
      <w:lvlText w:val="▪"/>
      <w:lvlJc w:val="left"/>
      <w:pPr>
        <w:tabs>
          <w:tab w:val="num" w:pos="2130"/>
        </w:tabs>
        <w:ind w:left="2130" w:hanging="330"/>
      </w:pPr>
      <w:rPr>
        <w:rFonts w:ascii="Arial" w:eastAsia="Times New Roman" w:hAnsi="Arial"/>
        <w:color w:val="000000"/>
        <w:position w:val="0"/>
        <w:sz w:val="22"/>
        <w:u w:color="000000"/>
      </w:rPr>
    </w:lvl>
    <w:lvl w:ilvl="3">
      <w:start w:val="1"/>
      <w:numFmt w:val="bullet"/>
      <w:lvlText w:val="•"/>
      <w:lvlJc w:val="left"/>
      <w:pPr>
        <w:tabs>
          <w:tab w:val="num" w:pos="2850"/>
        </w:tabs>
        <w:ind w:left="2850" w:hanging="330"/>
      </w:pPr>
      <w:rPr>
        <w:rFonts w:ascii="Arial" w:eastAsia="Times New Roman" w:hAnsi="Arial"/>
        <w:color w:val="000000"/>
        <w:position w:val="0"/>
        <w:sz w:val="22"/>
        <w:u w:color="000000"/>
      </w:rPr>
    </w:lvl>
    <w:lvl w:ilvl="4">
      <w:start w:val="1"/>
      <w:numFmt w:val="bullet"/>
      <w:lvlText w:val="o"/>
      <w:lvlJc w:val="left"/>
      <w:pPr>
        <w:tabs>
          <w:tab w:val="num" w:pos="3570"/>
        </w:tabs>
        <w:ind w:left="3570" w:hanging="330"/>
      </w:pPr>
      <w:rPr>
        <w:rFonts w:ascii="Arial" w:eastAsia="Times New Roman" w:hAnsi="Arial"/>
        <w:color w:val="000000"/>
        <w:position w:val="0"/>
        <w:sz w:val="22"/>
        <w:u w:color="000000"/>
      </w:rPr>
    </w:lvl>
    <w:lvl w:ilvl="5">
      <w:start w:val="1"/>
      <w:numFmt w:val="bullet"/>
      <w:lvlText w:val="▪"/>
      <w:lvlJc w:val="left"/>
      <w:pPr>
        <w:tabs>
          <w:tab w:val="num" w:pos="4290"/>
        </w:tabs>
        <w:ind w:left="4290" w:hanging="330"/>
      </w:pPr>
      <w:rPr>
        <w:rFonts w:ascii="Arial" w:eastAsia="Times New Roman" w:hAnsi="Arial"/>
        <w:color w:val="000000"/>
        <w:position w:val="0"/>
        <w:sz w:val="22"/>
        <w:u w:color="000000"/>
      </w:rPr>
    </w:lvl>
    <w:lvl w:ilvl="6">
      <w:start w:val="1"/>
      <w:numFmt w:val="bullet"/>
      <w:lvlText w:val="•"/>
      <w:lvlJc w:val="left"/>
      <w:pPr>
        <w:tabs>
          <w:tab w:val="num" w:pos="5010"/>
        </w:tabs>
        <w:ind w:left="5010" w:hanging="330"/>
      </w:pPr>
      <w:rPr>
        <w:rFonts w:ascii="Arial" w:eastAsia="Times New Roman" w:hAnsi="Arial"/>
        <w:color w:val="000000"/>
        <w:position w:val="0"/>
        <w:sz w:val="22"/>
        <w:u w:color="000000"/>
      </w:rPr>
    </w:lvl>
    <w:lvl w:ilvl="7">
      <w:start w:val="1"/>
      <w:numFmt w:val="bullet"/>
      <w:lvlText w:val="o"/>
      <w:lvlJc w:val="left"/>
      <w:pPr>
        <w:tabs>
          <w:tab w:val="num" w:pos="5730"/>
        </w:tabs>
        <w:ind w:left="5730" w:hanging="330"/>
      </w:pPr>
      <w:rPr>
        <w:rFonts w:ascii="Arial" w:eastAsia="Times New Roman" w:hAnsi="Arial"/>
        <w:color w:val="000000"/>
        <w:position w:val="0"/>
        <w:sz w:val="22"/>
        <w:u w:color="000000"/>
      </w:rPr>
    </w:lvl>
    <w:lvl w:ilvl="8">
      <w:start w:val="1"/>
      <w:numFmt w:val="bullet"/>
      <w:lvlText w:val="▪"/>
      <w:lvlJc w:val="left"/>
      <w:pPr>
        <w:tabs>
          <w:tab w:val="num" w:pos="6450"/>
        </w:tabs>
        <w:ind w:left="6450" w:hanging="330"/>
      </w:pPr>
      <w:rPr>
        <w:rFonts w:ascii="Arial" w:eastAsia="Times New Roman" w:hAnsi="Arial"/>
        <w:color w:val="000000"/>
        <w:position w:val="0"/>
        <w:sz w:val="22"/>
        <w:u w:color="000000"/>
      </w:rPr>
    </w:lvl>
  </w:abstractNum>
  <w:abstractNum w:abstractNumId="12">
    <w:nsid w:val="2FB15C38"/>
    <w:multiLevelType w:val="multilevel"/>
    <w:tmpl w:val="1CA401D2"/>
    <w:lvl w:ilvl="0">
      <w:numFmt w:val="bullet"/>
      <w:lvlText w:val="•"/>
      <w:lvlJc w:val="left"/>
      <w:pPr>
        <w:tabs>
          <w:tab w:val="num" w:pos="567"/>
        </w:tabs>
        <w:ind w:left="567" w:hanging="567"/>
      </w:pPr>
      <w:rPr>
        <w:color w:val="000000"/>
        <w:position w:val="0"/>
        <w:sz w:val="24"/>
        <w:u w:color="000000"/>
      </w:rPr>
    </w:lvl>
    <w:lvl w:ilvl="1">
      <w:start w:val="1"/>
      <w:numFmt w:val="bullet"/>
      <w:lvlText w:val="o"/>
      <w:lvlJc w:val="left"/>
      <w:pPr>
        <w:tabs>
          <w:tab w:val="num" w:pos="1410"/>
        </w:tabs>
        <w:ind w:left="1410" w:hanging="330"/>
      </w:pPr>
      <w:rPr>
        <w:color w:val="000000"/>
        <w:position w:val="0"/>
        <w:sz w:val="22"/>
        <w:u w:color="000000"/>
      </w:rPr>
    </w:lvl>
    <w:lvl w:ilvl="2">
      <w:start w:val="1"/>
      <w:numFmt w:val="bullet"/>
      <w:lvlText w:val="▪"/>
      <w:lvlJc w:val="left"/>
      <w:pPr>
        <w:tabs>
          <w:tab w:val="num" w:pos="2130"/>
        </w:tabs>
        <w:ind w:left="2130" w:hanging="330"/>
      </w:pPr>
      <w:rPr>
        <w:color w:val="000000"/>
        <w:position w:val="0"/>
        <w:sz w:val="22"/>
        <w:u w:color="000000"/>
      </w:rPr>
    </w:lvl>
    <w:lvl w:ilvl="3">
      <w:start w:val="1"/>
      <w:numFmt w:val="bullet"/>
      <w:lvlText w:val="•"/>
      <w:lvlJc w:val="left"/>
      <w:pPr>
        <w:tabs>
          <w:tab w:val="num" w:pos="2850"/>
        </w:tabs>
        <w:ind w:left="2850" w:hanging="330"/>
      </w:pPr>
      <w:rPr>
        <w:color w:val="000000"/>
        <w:position w:val="0"/>
        <w:sz w:val="22"/>
        <w:u w:color="000000"/>
      </w:rPr>
    </w:lvl>
    <w:lvl w:ilvl="4">
      <w:start w:val="1"/>
      <w:numFmt w:val="bullet"/>
      <w:lvlText w:val="o"/>
      <w:lvlJc w:val="left"/>
      <w:pPr>
        <w:tabs>
          <w:tab w:val="num" w:pos="3570"/>
        </w:tabs>
        <w:ind w:left="3570" w:hanging="330"/>
      </w:pPr>
      <w:rPr>
        <w:color w:val="000000"/>
        <w:position w:val="0"/>
        <w:sz w:val="22"/>
        <w:u w:color="000000"/>
      </w:rPr>
    </w:lvl>
    <w:lvl w:ilvl="5">
      <w:start w:val="1"/>
      <w:numFmt w:val="bullet"/>
      <w:lvlText w:val="▪"/>
      <w:lvlJc w:val="left"/>
      <w:pPr>
        <w:tabs>
          <w:tab w:val="num" w:pos="4290"/>
        </w:tabs>
        <w:ind w:left="4290" w:hanging="330"/>
      </w:pPr>
      <w:rPr>
        <w:color w:val="000000"/>
        <w:position w:val="0"/>
        <w:sz w:val="22"/>
        <w:u w:color="000000"/>
      </w:rPr>
    </w:lvl>
    <w:lvl w:ilvl="6">
      <w:start w:val="1"/>
      <w:numFmt w:val="bullet"/>
      <w:lvlText w:val="•"/>
      <w:lvlJc w:val="left"/>
      <w:pPr>
        <w:tabs>
          <w:tab w:val="num" w:pos="5010"/>
        </w:tabs>
        <w:ind w:left="5010" w:hanging="330"/>
      </w:pPr>
      <w:rPr>
        <w:color w:val="000000"/>
        <w:position w:val="0"/>
        <w:sz w:val="22"/>
        <w:u w:color="000000"/>
      </w:rPr>
    </w:lvl>
    <w:lvl w:ilvl="7">
      <w:start w:val="1"/>
      <w:numFmt w:val="bullet"/>
      <w:lvlText w:val="o"/>
      <w:lvlJc w:val="left"/>
      <w:pPr>
        <w:tabs>
          <w:tab w:val="num" w:pos="5730"/>
        </w:tabs>
        <w:ind w:left="5730" w:hanging="330"/>
      </w:pPr>
      <w:rPr>
        <w:color w:val="000000"/>
        <w:position w:val="0"/>
        <w:sz w:val="22"/>
        <w:u w:color="000000"/>
      </w:rPr>
    </w:lvl>
    <w:lvl w:ilvl="8">
      <w:start w:val="1"/>
      <w:numFmt w:val="bullet"/>
      <w:lvlText w:val="▪"/>
      <w:lvlJc w:val="left"/>
      <w:pPr>
        <w:tabs>
          <w:tab w:val="num" w:pos="6450"/>
        </w:tabs>
        <w:ind w:left="6450" w:hanging="330"/>
      </w:pPr>
      <w:rPr>
        <w:color w:val="000000"/>
        <w:position w:val="0"/>
        <w:sz w:val="22"/>
        <w:u w:color="000000"/>
      </w:rPr>
    </w:lvl>
  </w:abstractNum>
  <w:abstractNum w:abstractNumId="13">
    <w:nsid w:val="31012A9C"/>
    <w:multiLevelType w:val="multilevel"/>
    <w:tmpl w:val="C7A4725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nsid w:val="3D1D45D3"/>
    <w:multiLevelType w:val="multilevel"/>
    <w:tmpl w:val="D3889566"/>
    <w:styleLink w:val="List12"/>
    <w:lvl w:ilvl="0">
      <w:start w:val="1"/>
      <w:numFmt w:val="low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5">
    <w:nsid w:val="3E0C2322"/>
    <w:multiLevelType w:val="multilevel"/>
    <w:tmpl w:val="F2E879C0"/>
    <w:styleLink w:val="List6"/>
    <w:lvl w:ilvl="0">
      <w:numFmt w:val="bullet"/>
      <w:lvlText w:val="•"/>
      <w:lvlJc w:val="left"/>
      <w:pPr>
        <w:tabs>
          <w:tab w:val="num" w:pos="720"/>
        </w:tabs>
        <w:ind w:left="720" w:hanging="360"/>
      </w:pPr>
      <w:rPr>
        <w:rFonts w:ascii="Arial" w:eastAsia="Times New Roman" w:hAnsi="Arial"/>
        <w:color w:val="000000"/>
        <w:position w:val="0"/>
        <w:sz w:val="28"/>
        <w:u w:color="000000"/>
      </w:rPr>
    </w:lvl>
    <w:lvl w:ilvl="1">
      <w:start w:val="1"/>
      <w:numFmt w:val="bullet"/>
      <w:lvlText w:val="o"/>
      <w:lvlJc w:val="left"/>
      <w:pPr>
        <w:tabs>
          <w:tab w:val="num" w:pos="1440"/>
        </w:tabs>
        <w:ind w:left="1440" w:hanging="360"/>
      </w:pPr>
      <w:rPr>
        <w:rFonts w:ascii="Arial" w:eastAsia="Times New Roman" w:hAnsi="Arial"/>
        <w:color w:val="000000"/>
        <w:position w:val="0"/>
        <w:sz w:val="24"/>
        <w:u w:color="000000"/>
      </w:rPr>
    </w:lvl>
    <w:lvl w:ilvl="2">
      <w:start w:val="1"/>
      <w:numFmt w:val="bullet"/>
      <w:lvlText w:val="▪"/>
      <w:lvlJc w:val="left"/>
      <w:pPr>
        <w:tabs>
          <w:tab w:val="num" w:pos="2160"/>
        </w:tabs>
        <w:ind w:left="2160" w:hanging="360"/>
      </w:pPr>
      <w:rPr>
        <w:rFonts w:ascii="Arial" w:eastAsia="Times New Roman" w:hAnsi="Arial"/>
        <w:color w:val="000000"/>
        <w:position w:val="0"/>
        <w:sz w:val="24"/>
        <w:u w:color="000000"/>
      </w:rPr>
    </w:lvl>
    <w:lvl w:ilvl="3">
      <w:start w:val="1"/>
      <w:numFmt w:val="bullet"/>
      <w:lvlText w:val="•"/>
      <w:lvlJc w:val="left"/>
      <w:pPr>
        <w:tabs>
          <w:tab w:val="num" w:pos="2880"/>
        </w:tabs>
        <w:ind w:left="2880" w:hanging="360"/>
      </w:pPr>
      <w:rPr>
        <w:rFonts w:ascii="Arial" w:eastAsia="Times New Roman" w:hAnsi="Arial"/>
        <w:color w:val="000000"/>
        <w:position w:val="0"/>
        <w:sz w:val="24"/>
        <w:u w:color="000000"/>
      </w:rPr>
    </w:lvl>
    <w:lvl w:ilvl="4">
      <w:start w:val="1"/>
      <w:numFmt w:val="bullet"/>
      <w:lvlText w:val="o"/>
      <w:lvlJc w:val="left"/>
      <w:pPr>
        <w:tabs>
          <w:tab w:val="num" w:pos="3600"/>
        </w:tabs>
        <w:ind w:left="3600" w:hanging="360"/>
      </w:pPr>
      <w:rPr>
        <w:rFonts w:ascii="Arial" w:eastAsia="Times New Roman" w:hAnsi="Arial"/>
        <w:color w:val="000000"/>
        <w:position w:val="0"/>
        <w:sz w:val="24"/>
        <w:u w:color="000000"/>
      </w:rPr>
    </w:lvl>
    <w:lvl w:ilvl="5">
      <w:start w:val="1"/>
      <w:numFmt w:val="bullet"/>
      <w:lvlText w:val="▪"/>
      <w:lvlJc w:val="left"/>
      <w:pPr>
        <w:tabs>
          <w:tab w:val="num" w:pos="4320"/>
        </w:tabs>
        <w:ind w:left="4320" w:hanging="360"/>
      </w:pPr>
      <w:rPr>
        <w:rFonts w:ascii="Arial" w:eastAsia="Times New Roman" w:hAnsi="Arial"/>
        <w:color w:val="000000"/>
        <w:position w:val="0"/>
        <w:sz w:val="24"/>
        <w:u w:color="000000"/>
      </w:rPr>
    </w:lvl>
    <w:lvl w:ilvl="6">
      <w:start w:val="1"/>
      <w:numFmt w:val="bullet"/>
      <w:lvlText w:val="•"/>
      <w:lvlJc w:val="left"/>
      <w:pPr>
        <w:tabs>
          <w:tab w:val="num" w:pos="5040"/>
        </w:tabs>
        <w:ind w:left="5040" w:hanging="360"/>
      </w:pPr>
      <w:rPr>
        <w:rFonts w:ascii="Arial" w:eastAsia="Times New Roman" w:hAnsi="Arial"/>
        <w:color w:val="000000"/>
        <w:position w:val="0"/>
        <w:sz w:val="24"/>
        <w:u w:color="000000"/>
      </w:rPr>
    </w:lvl>
    <w:lvl w:ilvl="7">
      <w:start w:val="1"/>
      <w:numFmt w:val="bullet"/>
      <w:lvlText w:val="o"/>
      <w:lvlJc w:val="left"/>
      <w:pPr>
        <w:tabs>
          <w:tab w:val="num" w:pos="5760"/>
        </w:tabs>
        <w:ind w:left="5760" w:hanging="360"/>
      </w:pPr>
      <w:rPr>
        <w:rFonts w:ascii="Arial" w:eastAsia="Times New Roman" w:hAnsi="Arial"/>
        <w:color w:val="000000"/>
        <w:position w:val="0"/>
        <w:sz w:val="24"/>
        <w:u w:color="000000"/>
      </w:rPr>
    </w:lvl>
    <w:lvl w:ilvl="8">
      <w:start w:val="1"/>
      <w:numFmt w:val="bullet"/>
      <w:lvlText w:val="▪"/>
      <w:lvlJc w:val="left"/>
      <w:pPr>
        <w:tabs>
          <w:tab w:val="num" w:pos="6480"/>
        </w:tabs>
        <w:ind w:left="6480" w:hanging="360"/>
      </w:pPr>
      <w:rPr>
        <w:rFonts w:ascii="Arial" w:eastAsia="Times New Roman" w:hAnsi="Arial"/>
        <w:color w:val="000000"/>
        <w:position w:val="0"/>
        <w:sz w:val="24"/>
        <w:u w:color="000000"/>
      </w:rPr>
    </w:lvl>
  </w:abstractNum>
  <w:abstractNum w:abstractNumId="16">
    <w:nsid w:val="419F241A"/>
    <w:multiLevelType w:val="multilevel"/>
    <w:tmpl w:val="68E470C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nsid w:val="42197C92"/>
    <w:multiLevelType w:val="multilevel"/>
    <w:tmpl w:val="6FF2330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nsid w:val="44DC627C"/>
    <w:multiLevelType w:val="multilevel"/>
    <w:tmpl w:val="F4725060"/>
    <w:styleLink w:val="List9"/>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9">
    <w:nsid w:val="45FD4DBE"/>
    <w:multiLevelType w:val="multilevel"/>
    <w:tmpl w:val="59F0AF86"/>
    <w:lvl w:ilvl="0">
      <w:numFmt w:val="bullet"/>
      <w:lvlText w:val="•"/>
      <w:lvlJc w:val="left"/>
      <w:pPr>
        <w:tabs>
          <w:tab w:val="num" w:pos="720"/>
        </w:tabs>
        <w:ind w:left="720" w:hanging="360"/>
      </w:pPr>
      <w:rPr>
        <w:rFonts w:ascii="Arial" w:eastAsia="Times New Roman" w:hAnsi="Arial"/>
        <w:color w:val="000000"/>
        <w:position w:val="0"/>
        <w:sz w:val="20"/>
        <w:u w:color="000000"/>
      </w:rPr>
    </w:lvl>
    <w:lvl w:ilvl="1">
      <w:start w:val="1"/>
      <w:numFmt w:val="bullet"/>
      <w:lvlText w:val="o"/>
      <w:lvlJc w:val="left"/>
      <w:pPr>
        <w:tabs>
          <w:tab w:val="num" w:pos="1410"/>
        </w:tabs>
        <w:ind w:left="1410" w:hanging="330"/>
      </w:pPr>
      <w:rPr>
        <w:rFonts w:ascii="Arial" w:eastAsia="Times New Roman" w:hAnsi="Arial"/>
        <w:color w:val="000000"/>
        <w:position w:val="0"/>
        <w:sz w:val="22"/>
        <w:u w:color="000000"/>
      </w:rPr>
    </w:lvl>
    <w:lvl w:ilvl="2">
      <w:start w:val="1"/>
      <w:numFmt w:val="bullet"/>
      <w:lvlText w:val="▪"/>
      <w:lvlJc w:val="left"/>
      <w:pPr>
        <w:tabs>
          <w:tab w:val="num" w:pos="2130"/>
        </w:tabs>
        <w:ind w:left="2130" w:hanging="330"/>
      </w:pPr>
      <w:rPr>
        <w:rFonts w:ascii="Arial" w:eastAsia="Times New Roman" w:hAnsi="Arial"/>
        <w:color w:val="000000"/>
        <w:position w:val="0"/>
        <w:sz w:val="22"/>
        <w:u w:color="000000"/>
      </w:rPr>
    </w:lvl>
    <w:lvl w:ilvl="3">
      <w:start w:val="1"/>
      <w:numFmt w:val="bullet"/>
      <w:lvlText w:val="•"/>
      <w:lvlJc w:val="left"/>
      <w:pPr>
        <w:tabs>
          <w:tab w:val="num" w:pos="2850"/>
        </w:tabs>
        <w:ind w:left="2850" w:hanging="330"/>
      </w:pPr>
      <w:rPr>
        <w:rFonts w:ascii="Arial" w:eastAsia="Times New Roman" w:hAnsi="Arial"/>
        <w:color w:val="000000"/>
        <w:position w:val="0"/>
        <w:sz w:val="22"/>
        <w:u w:color="000000"/>
      </w:rPr>
    </w:lvl>
    <w:lvl w:ilvl="4">
      <w:start w:val="1"/>
      <w:numFmt w:val="bullet"/>
      <w:lvlText w:val="o"/>
      <w:lvlJc w:val="left"/>
      <w:pPr>
        <w:tabs>
          <w:tab w:val="num" w:pos="3570"/>
        </w:tabs>
        <w:ind w:left="3570" w:hanging="330"/>
      </w:pPr>
      <w:rPr>
        <w:rFonts w:ascii="Arial" w:eastAsia="Times New Roman" w:hAnsi="Arial"/>
        <w:color w:val="000000"/>
        <w:position w:val="0"/>
        <w:sz w:val="22"/>
        <w:u w:color="000000"/>
      </w:rPr>
    </w:lvl>
    <w:lvl w:ilvl="5">
      <w:start w:val="1"/>
      <w:numFmt w:val="bullet"/>
      <w:lvlText w:val="▪"/>
      <w:lvlJc w:val="left"/>
      <w:pPr>
        <w:tabs>
          <w:tab w:val="num" w:pos="4290"/>
        </w:tabs>
        <w:ind w:left="4290" w:hanging="330"/>
      </w:pPr>
      <w:rPr>
        <w:rFonts w:ascii="Arial" w:eastAsia="Times New Roman" w:hAnsi="Arial"/>
        <w:color w:val="000000"/>
        <w:position w:val="0"/>
        <w:sz w:val="22"/>
        <w:u w:color="000000"/>
      </w:rPr>
    </w:lvl>
    <w:lvl w:ilvl="6">
      <w:start w:val="1"/>
      <w:numFmt w:val="bullet"/>
      <w:lvlText w:val="•"/>
      <w:lvlJc w:val="left"/>
      <w:pPr>
        <w:tabs>
          <w:tab w:val="num" w:pos="5010"/>
        </w:tabs>
        <w:ind w:left="5010" w:hanging="330"/>
      </w:pPr>
      <w:rPr>
        <w:rFonts w:ascii="Arial" w:eastAsia="Times New Roman" w:hAnsi="Arial"/>
        <w:color w:val="000000"/>
        <w:position w:val="0"/>
        <w:sz w:val="22"/>
        <w:u w:color="000000"/>
      </w:rPr>
    </w:lvl>
    <w:lvl w:ilvl="7">
      <w:start w:val="1"/>
      <w:numFmt w:val="bullet"/>
      <w:lvlText w:val="o"/>
      <w:lvlJc w:val="left"/>
      <w:pPr>
        <w:tabs>
          <w:tab w:val="num" w:pos="5730"/>
        </w:tabs>
        <w:ind w:left="5730" w:hanging="330"/>
      </w:pPr>
      <w:rPr>
        <w:rFonts w:ascii="Arial" w:eastAsia="Times New Roman" w:hAnsi="Arial"/>
        <w:color w:val="000000"/>
        <w:position w:val="0"/>
        <w:sz w:val="22"/>
        <w:u w:color="000000"/>
      </w:rPr>
    </w:lvl>
    <w:lvl w:ilvl="8">
      <w:start w:val="1"/>
      <w:numFmt w:val="bullet"/>
      <w:lvlText w:val="▪"/>
      <w:lvlJc w:val="left"/>
      <w:pPr>
        <w:tabs>
          <w:tab w:val="num" w:pos="6450"/>
        </w:tabs>
        <w:ind w:left="6450" w:hanging="330"/>
      </w:pPr>
      <w:rPr>
        <w:rFonts w:ascii="Arial" w:eastAsia="Times New Roman" w:hAnsi="Arial"/>
        <w:color w:val="000000"/>
        <w:position w:val="0"/>
        <w:sz w:val="22"/>
        <w:u w:color="000000"/>
      </w:rPr>
    </w:lvl>
  </w:abstractNum>
  <w:abstractNum w:abstractNumId="20">
    <w:nsid w:val="46736637"/>
    <w:multiLevelType w:val="multilevel"/>
    <w:tmpl w:val="0DE4512A"/>
    <w:styleLink w:val="List10"/>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1">
    <w:nsid w:val="47C7510C"/>
    <w:multiLevelType w:val="multilevel"/>
    <w:tmpl w:val="E8EC69DE"/>
    <w:styleLink w:val="List2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2">
    <w:nsid w:val="49F50DF4"/>
    <w:multiLevelType w:val="multilevel"/>
    <w:tmpl w:val="EB0CABAA"/>
    <w:lvl w:ilvl="0">
      <w:numFmt w:val="bullet"/>
      <w:lvlText w:val="•"/>
      <w:lvlJc w:val="left"/>
      <w:pPr>
        <w:tabs>
          <w:tab w:val="num" w:pos="720"/>
        </w:tabs>
        <w:ind w:left="720" w:hanging="360"/>
      </w:pPr>
      <w:rPr>
        <w:rFonts w:ascii="Arial" w:eastAsia="Times New Roman" w:hAnsi="Arial"/>
        <w:color w:val="000000"/>
        <w:position w:val="0"/>
        <w:sz w:val="20"/>
        <w:u w:color="000000"/>
      </w:rPr>
    </w:lvl>
    <w:lvl w:ilvl="1">
      <w:start w:val="1"/>
      <w:numFmt w:val="bullet"/>
      <w:lvlText w:val="o"/>
      <w:lvlJc w:val="left"/>
      <w:pPr>
        <w:tabs>
          <w:tab w:val="num" w:pos="1410"/>
        </w:tabs>
        <w:ind w:left="1410" w:hanging="330"/>
      </w:pPr>
      <w:rPr>
        <w:rFonts w:ascii="Arial" w:eastAsia="Times New Roman" w:hAnsi="Arial"/>
        <w:color w:val="000000"/>
        <w:position w:val="0"/>
        <w:sz w:val="22"/>
        <w:u w:color="000000"/>
      </w:rPr>
    </w:lvl>
    <w:lvl w:ilvl="2">
      <w:start w:val="1"/>
      <w:numFmt w:val="bullet"/>
      <w:lvlText w:val="▪"/>
      <w:lvlJc w:val="left"/>
      <w:pPr>
        <w:tabs>
          <w:tab w:val="num" w:pos="2130"/>
        </w:tabs>
        <w:ind w:left="2130" w:hanging="330"/>
      </w:pPr>
      <w:rPr>
        <w:rFonts w:ascii="Arial" w:eastAsia="Times New Roman" w:hAnsi="Arial"/>
        <w:color w:val="000000"/>
        <w:position w:val="0"/>
        <w:sz w:val="22"/>
        <w:u w:color="000000"/>
      </w:rPr>
    </w:lvl>
    <w:lvl w:ilvl="3">
      <w:start w:val="1"/>
      <w:numFmt w:val="bullet"/>
      <w:lvlText w:val="•"/>
      <w:lvlJc w:val="left"/>
      <w:pPr>
        <w:tabs>
          <w:tab w:val="num" w:pos="2850"/>
        </w:tabs>
        <w:ind w:left="2850" w:hanging="330"/>
      </w:pPr>
      <w:rPr>
        <w:rFonts w:ascii="Arial" w:eastAsia="Times New Roman" w:hAnsi="Arial"/>
        <w:color w:val="000000"/>
        <w:position w:val="0"/>
        <w:sz w:val="22"/>
        <w:u w:color="000000"/>
      </w:rPr>
    </w:lvl>
    <w:lvl w:ilvl="4">
      <w:start w:val="1"/>
      <w:numFmt w:val="bullet"/>
      <w:lvlText w:val="o"/>
      <w:lvlJc w:val="left"/>
      <w:pPr>
        <w:tabs>
          <w:tab w:val="num" w:pos="3570"/>
        </w:tabs>
        <w:ind w:left="3570" w:hanging="330"/>
      </w:pPr>
      <w:rPr>
        <w:rFonts w:ascii="Arial" w:eastAsia="Times New Roman" w:hAnsi="Arial"/>
        <w:color w:val="000000"/>
        <w:position w:val="0"/>
        <w:sz w:val="22"/>
        <w:u w:color="000000"/>
      </w:rPr>
    </w:lvl>
    <w:lvl w:ilvl="5">
      <w:start w:val="1"/>
      <w:numFmt w:val="bullet"/>
      <w:lvlText w:val="▪"/>
      <w:lvlJc w:val="left"/>
      <w:pPr>
        <w:tabs>
          <w:tab w:val="num" w:pos="4290"/>
        </w:tabs>
        <w:ind w:left="4290" w:hanging="330"/>
      </w:pPr>
      <w:rPr>
        <w:rFonts w:ascii="Arial" w:eastAsia="Times New Roman" w:hAnsi="Arial"/>
        <w:color w:val="000000"/>
        <w:position w:val="0"/>
        <w:sz w:val="22"/>
        <w:u w:color="000000"/>
      </w:rPr>
    </w:lvl>
    <w:lvl w:ilvl="6">
      <w:start w:val="1"/>
      <w:numFmt w:val="bullet"/>
      <w:lvlText w:val="•"/>
      <w:lvlJc w:val="left"/>
      <w:pPr>
        <w:tabs>
          <w:tab w:val="num" w:pos="5010"/>
        </w:tabs>
        <w:ind w:left="5010" w:hanging="330"/>
      </w:pPr>
      <w:rPr>
        <w:rFonts w:ascii="Arial" w:eastAsia="Times New Roman" w:hAnsi="Arial"/>
        <w:color w:val="000000"/>
        <w:position w:val="0"/>
        <w:sz w:val="22"/>
        <w:u w:color="000000"/>
      </w:rPr>
    </w:lvl>
    <w:lvl w:ilvl="7">
      <w:start w:val="1"/>
      <w:numFmt w:val="bullet"/>
      <w:lvlText w:val="o"/>
      <w:lvlJc w:val="left"/>
      <w:pPr>
        <w:tabs>
          <w:tab w:val="num" w:pos="5730"/>
        </w:tabs>
        <w:ind w:left="5730" w:hanging="330"/>
      </w:pPr>
      <w:rPr>
        <w:rFonts w:ascii="Arial" w:eastAsia="Times New Roman" w:hAnsi="Arial"/>
        <w:color w:val="000000"/>
        <w:position w:val="0"/>
        <w:sz w:val="22"/>
        <w:u w:color="000000"/>
      </w:rPr>
    </w:lvl>
    <w:lvl w:ilvl="8">
      <w:start w:val="1"/>
      <w:numFmt w:val="bullet"/>
      <w:lvlText w:val="▪"/>
      <w:lvlJc w:val="left"/>
      <w:pPr>
        <w:tabs>
          <w:tab w:val="num" w:pos="6450"/>
        </w:tabs>
        <w:ind w:left="6450" w:hanging="330"/>
      </w:pPr>
      <w:rPr>
        <w:rFonts w:ascii="Arial" w:eastAsia="Times New Roman" w:hAnsi="Arial"/>
        <w:color w:val="000000"/>
        <w:position w:val="0"/>
        <w:sz w:val="22"/>
        <w:u w:color="000000"/>
      </w:rPr>
    </w:lvl>
  </w:abstractNum>
  <w:abstractNum w:abstractNumId="23">
    <w:nsid w:val="4AD04339"/>
    <w:multiLevelType w:val="multilevel"/>
    <w:tmpl w:val="54D8581C"/>
    <w:lvl w:ilvl="0">
      <w:numFmt w:val="bullet"/>
      <w:lvlText w:val="•"/>
      <w:lvlJc w:val="left"/>
      <w:pPr>
        <w:tabs>
          <w:tab w:val="num" w:pos="720"/>
        </w:tabs>
        <w:ind w:left="720" w:hanging="360"/>
      </w:pPr>
      <w:rPr>
        <w:rFonts w:ascii="Arial" w:eastAsia="Times New Roman" w:hAnsi="Arial"/>
        <w:color w:val="000000"/>
        <w:position w:val="0"/>
        <w:sz w:val="20"/>
        <w:u w:color="000000"/>
      </w:rPr>
    </w:lvl>
    <w:lvl w:ilvl="1">
      <w:start w:val="1"/>
      <w:numFmt w:val="bullet"/>
      <w:lvlText w:val="o"/>
      <w:lvlJc w:val="left"/>
      <w:pPr>
        <w:tabs>
          <w:tab w:val="num" w:pos="1410"/>
        </w:tabs>
        <w:ind w:left="1410" w:hanging="330"/>
      </w:pPr>
      <w:rPr>
        <w:rFonts w:ascii="Arial" w:eastAsia="Times New Roman" w:hAnsi="Arial"/>
        <w:color w:val="000000"/>
        <w:position w:val="0"/>
        <w:sz w:val="22"/>
        <w:u w:color="000000"/>
      </w:rPr>
    </w:lvl>
    <w:lvl w:ilvl="2">
      <w:start w:val="1"/>
      <w:numFmt w:val="bullet"/>
      <w:lvlText w:val="▪"/>
      <w:lvlJc w:val="left"/>
      <w:pPr>
        <w:tabs>
          <w:tab w:val="num" w:pos="2130"/>
        </w:tabs>
        <w:ind w:left="2130" w:hanging="330"/>
      </w:pPr>
      <w:rPr>
        <w:rFonts w:ascii="Arial" w:eastAsia="Times New Roman" w:hAnsi="Arial"/>
        <w:color w:val="000000"/>
        <w:position w:val="0"/>
        <w:sz w:val="22"/>
        <w:u w:color="000000"/>
      </w:rPr>
    </w:lvl>
    <w:lvl w:ilvl="3">
      <w:start w:val="1"/>
      <w:numFmt w:val="bullet"/>
      <w:lvlText w:val="•"/>
      <w:lvlJc w:val="left"/>
      <w:pPr>
        <w:tabs>
          <w:tab w:val="num" w:pos="2850"/>
        </w:tabs>
        <w:ind w:left="2850" w:hanging="330"/>
      </w:pPr>
      <w:rPr>
        <w:rFonts w:ascii="Arial" w:eastAsia="Times New Roman" w:hAnsi="Arial"/>
        <w:color w:val="000000"/>
        <w:position w:val="0"/>
        <w:sz w:val="22"/>
        <w:u w:color="000000"/>
      </w:rPr>
    </w:lvl>
    <w:lvl w:ilvl="4">
      <w:start w:val="1"/>
      <w:numFmt w:val="bullet"/>
      <w:lvlText w:val="o"/>
      <w:lvlJc w:val="left"/>
      <w:pPr>
        <w:tabs>
          <w:tab w:val="num" w:pos="3570"/>
        </w:tabs>
        <w:ind w:left="3570" w:hanging="330"/>
      </w:pPr>
      <w:rPr>
        <w:rFonts w:ascii="Arial" w:eastAsia="Times New Roman" w:hAnsi="Arial"/>
        <w:color w:val="000000"/>
        <w:position w:val="0"/>
        <w:sz w:val="22"/>
        <w:u w:color="000000"/>
      </w:rPr>
    </w:lvl>
    <w:lvl w:ilvl="5">
      <w:start w:val="1"/>
      <w:numFmt w:val="bullet"/>
      <w:lvlText w:val="▪"/>
      <w:lvlJc w:val="left"/>
      <w:pPr>
        <w:tabs>
          <w:tab w:val="num" w:pos="4290"/>
        </w:tabs>
        <w:ind w:left="4290" w:hanging="330"/>
      </w:pPr>
      <w:rPr>
        <w:rFonts w:ascii="Arial" w:eastAsia="Times New Roman" w:hAnsi="Arial"/>
        <w:color w:val="000000"/>
        <w:position w:val="0"/>
        <w:sz w:val="22"/>
        <w:u w:color="000000"/>
      </w:rPr>
    </w:lvl>
    <w:lvl w:ilvl="6">
      <w:start w:val="1"/>
      <w:numFmt w:val="bullet"/>
      <w:lvlText w:val="•"/>
      <w:lvlJc w:val="left"/>
      <w:pPr>
        <w:tabs>
          <w:tab w:val="num" w:pos="5010"/>
        </w:tabs>
        <w:ind w:left="5010" w:hanging="330"/>
      </w:pPr>
      <w:rPr>
        <w:rFonts w:ascii="Arial" w:eastAsia="Times New Roman" w:hAnsi="Arial"/>
        <w:color w:val="000000"/>
        <w:position w:val="0"/>
        <w:sz w:val="22"/>
        <w:u w:color="000000"/>
      </w:rPr>
    </w:lvl>
    <w:lvl w:ilvl="7">
      <w:start w:val="1"/>
      <w:numFmt w:val="bullet"/>
      <w:lvlText w:val="o"/>
      <w:lvlJc w:val="left"/>
      <w:pPr>
        <w:tabs>
          <w:tab w:val="num" w:pos="5730"/>
        </w:tabs>
        <w:ind w:left="5730" w:hanging="330"/>
      </w:pPr>
      <w:rPr>
        <w:rFonts w:ascii="Arial" w:eastAsia="Times New Roman" w:hAnsi="Arial"/>
        <w:color w:val="000000"/>
        <w:position w:val="0"/>
        <w:sz w:val="22"/>
        <w:u w:color="000000"/>
      </w:rPr>
    </w:lvl>
    <w:lvl w:ilvl="8">
      <w:start w:val="1"/>
      <w:numFmt w:val="bullet"/>
      <w:lvlText w:val="▪"/>
      <w:lvlJc w:val="left"/>
      <w:pPr>
        <w:tabs>
          <w:tab w:val="num" w:pos="6450"/>
        </w:tabs>
        <w:ind w:left="6450" w:hanging="330"/>
      </w:pPr>
      <w:rPr>
        <w:rFonts w:ascii="Arial" w:eastAsia="Times New Roman" w:hAnsi="Arial"/>
        <w:color w:val="000000"/>
        <w:position w:val="0"/>
        <w:sz w:val="22"/>
        <w:u w:color="000000"/>
      </w:rPr>
    </w:lvl>
  </w:abstractNum>
  <w:abstractNum w:abstractNumId="24">
    <w:nsid w:val="4DC967CF"/>
    <w:multiLevelType w:val="multilevel"/>
    <w:tmpl w:val="8F3A4272"/>
    <w:lvl w:ilvl="0">
      <w:numFmt w:val="bullet"/>
      <w:lvlText w:val="•"/>
      <w:lvlJc w:val="left"/>
      <w:pPr>
        <w:tabs>
          <w:tab w:val="num" w:pos="720"/>
        </w:tabs>
        <w:ind w:left="720" w:hanging="360"/>
      </w:pPr>
      <w:rPr>
        <w:rFonts w:ascii="Arial" w:eastAsia="Times New Roman" w:hAnsi="Arial"/>
        <w:color w:val="000000"/>
        <w:position w:val="0"/>
        <w:sz w:val="28"/>
        <w:u w:color="000000"/>
      </w:rPr>
    </w:lvl>
    <w:lvl w:ilvl="1">
      <w:start w:val="1"/>
      <w:numFmt w:val="bullet"/>
      <w:lvlText w:val="o"/>
      <w:lvlJc w:val="left"/>
      <w:pPr>
        <w:tabs>
          <w:tab w:val="num" w:pos="1440"/>
        </w:tabs>
        <w:ind w:left="1440" w:hanging="360"/>
      </w:pPr>
      <w:rPr>
        <w:rFonts w:ascii="Arial" w:eastAsia="Times New Roman" w:hAnsi="Arial"/>
        <w:color w:val="000000"/>
        <w:position w:val="0"/>
        <w:sz w:val="24"/>
        <w:u w:color="000000"/>
      </w:rPr>
    </w:lvl>
    <w:lvl w:ilvl="2">
      <w:start w:val="1"/>
      <w:numFmt w:val="bullet"/>
      <w:lvlText w:val="▪"/>
      <w:lvlJc w:val="left"/>
      <w:pPr>
        <w:tabs>
          <w:tab w:val="num" w:pos="2160"/>
        </w:tabs>
        <w:ind w:left="2160" w:hanging="360"/>
      </w:pPr>
      <w:rPr>
        <w:rFonts w:ascii="Arial" w:eastAsia="Times New Roman" w:hAnsi="Arial"/>
        <w:color w:val="000000"/>
        <w:position w:val="0"/>
        <w:sz w:val="24"/>
        <w:u w:color="000000"/>
      </w:rPr>
    </w:lvl>
    <w:lvl w:ilvl="3">
      <w:start w:val="1"/>
      <w:numFmt w:val="bullet"/>
      <w:lvlText w:val="•"/>
      <w:lvlJc w:val="left"/>
      <w:pPr>
        <w:tabs>
          <w:tab w:val="num" w:pos="2880"/>
        </w:tabs>
        <w:ind w:left="2880" w:hanging="360"/>
      </w:pPr>
      <w:rPr>
        <w:rFonts w:ascii="Arial" w:eastAsia="Times New Roman" w:hAnsi="Arial"/>
        <w:color w:val="000000"/>
        <w:position w:val="0"/>
        <w:sz w:val="24"/>
        <w:u w:color="000000"/>
      </w:rPr>
    </w:lvl>
    <w:lvl w:ilvl="4">
      <w:start w:val="1"/>
      <w:numFmt w:val="bullet"/>
      <w:lvlText w:val="o"/>
      <w:lvlJc w:val="left"/>
      <w:pPr>
        <w:tabs>
          <w:tab w:val="num" w:pos="3600"/>
        </w:tabs>
        <w:ind w:left="3600" w:hanging="360"/>
      </w:pPr>
      <w:rPr>
        <w:rFonts w:ascii="Arial" w:eastAsia="Times New Roman" w:hAnsi="Arial"/>
        <w:color w:val="000000"/>
        <w:position w:val="0"/>
        <w:sz w:val="24"/>
        <w:u w:color="000000"/>
      </w:rPr>
    </w:lvl>
    <w:lvl w:ilvl="5">
      <w:start w:val="1"/>
      <w:numFmt w:val="bullet"/>
      <w:lvlText w:val="▪"/>
      <w:lvlJc w:val="left"/>
      <w:pPr>
        <w:tabs>
          <w:tab w:val="num" w:pos="4320"/>
        </w:tabs>
        <w:ind w:left="4320" w:hanging="360"/>
      </w:pPr>
      <w:rPr>
        <w:rFonts w:ascii="Arial" w:eastAsia="Times New Roman" w:hAnsi="Arial"/>
        <w:color w:val="000000"/>
        <w:position w:val="0"/>
        <w:sz w:val="24"/>
        <w:u w:color="000000"/>
      </w:rPr>
    </w:lvl>
    <w:lvl w:ilvl="6">
      <w:start w:val="1"/>
      <w:numFmt w:val="bullet"/>
      <w:lvlText w:val="•"/>
      <w:lvlJc w:val="left"/>
      <w:pPr>
        <w:tabs>
          <w:tab w:val="num" w:pos="5040"/>
        </w:tabs>
        <w:ind w:left="5040" w:hanging="360"/>
      </w:pPr>
      <w:rPr>
        <w:rFonts w:ascii="Arial" w:eastAsia="Times New Roman" w:hAnsi="Arial"/>
        <w:color w:val="000000"/>
        <w:position w:val="0"/>
        <w:sz w:val="24"/>
        <w:u w:color="000000"/>
      </w:rPr>
    </w:lvl>
    <w:lvl w:ilvl="7">
      <w:start w:val="1"/>
      <w:numFmt w:val="bullet"/>
      <w:lvlText w:val="o"/>
      <w:lvlJc w:val="left"/>
      <w:pPr>
        <w:tabs>
          <w:tab w:val="num" w:pos="5760"/>
        </w:tabs>
        <w:ind w:left="5760" w:hanging="360"/>
      </w:pPr>
      <w:rPr>
        <w:rFonts w:ascii="Arial" w:eastAsia="Times New Roman" w:hAnsi="Arial"/>
        <w:color w:val="000000"/>
        <w:position w:val="0"/>
        <w:sz w:val="24"/>
        <w:u w:color="000000"/>
      </w:rPr>
    </w:lvl>
    <w:lvl w:ilvl="8">
      <w:start w:val="1"/>
      <w:numFmt w:val="bullet"/>
      <w:lvlText w:val="▪"/>
      <w:lvlJc w:val="left"/>
      <w:pPr>
        <w:tabs>
          <w:tab w:val="num" w:pos="6480"/>
        </w:tabs>
        <w:ind w:left="6480" w:hanging="360"/>
      </w:pPr>
      <w:rPr>
        <w:rFonts w:ascii="Arial" w:eastAsia="Times New Roman" w:hAnsi="Arial"/>
        <w:color w:val="000000"/>
        <w:position w:val="0"/>
        <w:sz w:val="24"/>
        <w:u w:color="000000"/>
      </w:rPr>
    </w:lvl>
  </w:abstractNum>
  <w:abstractNum w:abstractNumId="25">
    <w:nsid w:val="5A7D3400"/>
    <w:multiLevelType w:val="multilevel"/>
    <w:tmpl w:val="235016CE"/>
    <w:styleLink w:val="List3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nsid w:val="641829F8"/>
    <w:multiLevelType w:val="multilevel"/>
    <w:tmpl w:val="95767D78"/>
    <w:styleLink w:val="List5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nsid w:val="6C0839B6"/>
    <w:multiLevelType w:val="multilevel"/>
    <w:tmpl w:val="57F861E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nsid w:val="70647683"/>
    <w:multiLevelType w:val="multilevel"/>
    <w:tmpl w:val="8FA8C6F2"/>
    <w:styleLink w:val="List13"/>
    <w:lvl w:ilvl="0">
      <w:start w:val="1"/>
      <w:numFmt w:val="low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9">
    <w:nsid w:val="72A03A67"/>
    <w:multiLevelType w:val="multilevel"/>
    <w:tmpl w:val="7C8EBD92"/>
    <w:styleLink w:val="List15"/>
    <w:lvl w:ilvl="0">
      <w:numFmt w:val="bullet"/>
      <w:lvlText w:val="•"/>
      <w:lvlJc w:val="left"/>
      <w:pPr>
        <w:tabs>
          <w:tab w:val="num" w:pos="720"/>
        </w:tabs>
        <w:ind w:left="720" w:hanging="360"/>
      </w:pPr>
      <w:rPr>
        <w:rFonts w:ascii="Arial" w:eastAsia="Times New Roman" w:hAnsi="Arial"/>
        <w:color w:val="000000"/>
        <w:position w:val="0"/>
        <w:sz w:val="20"/>
        <w:u w:color="000000"/>
      </w:rPr>
    </w:lvl>
    <w:lvl w:ilvl="1">
      <w:start w:val="1"/>
      <w:numFmt w:val="bullet"/>
      <w:lvlText w:val="o"/>
      <w:lvlJc w:val="left"/>
      <w:pPr>
        <w:tabs>
          <w:tab w:val="num" w:pos="1410"/>
        </w:tabs>
        <w:ind w:left="1410" w:hanging="330"/>
      </w:pPr>
      <w:rPr>
        <w:rFonts w:ascii="Arial" w:eastAsia="Times New Roman" w:hAnsi="Arial"/>
        <w:color w:val="000000"/>
        <w:position w:val="0"/>
        <w:sz w:val="22"/>
        <w:u w:color="000000"/>
      </w:rPr>
    </w:lvl>
    <w:lvl w:ilvl="2">
      <w:start w:val="1"/>
      <w:numFmt w:val="bullet"/>
      <w:lvlText w:val="▪"/>
      <w:lvlJc w:val="left"/>
      <w:pPr>
        <w:tabs>
          <w:tab w:val="num" w:pos="2130"/>
        </w:tabs>
        <w:ind w:left="2130" w:hanging="330"/>
      </w:pPr>
      <w:rPr>
        <w:rFonts w:ascii="Arial" w:eastAsia="Times New Roman" w:hAnsi="Arial"/>
        <w:color w:val="000000"/>
        <w:position w:val="0"/>
        <w:sz w:val="22"/>
        <w:u w:color="000000"/>
      </w:rPr>
    </w:lvl>
    <w:lvl w:ilvl="3">
      <w:start w:val="1"/>
      <w:numFmt w:val="bullet"/>
      <w:lvlText w:val="•"/>
      <w:lvlJc w:val="left"/>
      <w:pPr>
        <w:tabs>
          <w:tab w:val="num" w:pos="2850"/>
        </w:tabs>
        <w:ind w:left="2850" w:hanging="330"/>
      </w:pPr>
      <w:rPr>
        <w:rFonts w:ascii="Arial" w:eastAsia="Times New Roman" w:hAnsi="Arial"/>
        <w:color w:val="000000"/>
        <w:position w:val="0"/>
        <w:sz w:val="22"/>
        <w:u w:color="000000"/>
      </w:rPr>
    </w:lvl>
    <w:lvl w:ilvl="4">
      <w:start w:val="1"/>
      <w:numFmt w:val="bullet"/>
      <w:lvlText w:val="o"/>
      <w:lvlJc w:val="left"/>
      <w:pPr>
        <w:tabs>
          <w:tab w:val="num" w:pos="3570"/>
        </w:tabs>
        <w:ind w:left="3570" w:hanging="330"/>
      </w:pPr>
      <w:rPr>
        <w:rFonts w:ascii="Arial" w:eastAsia="Times New Roman" w:hAnsi="Arial"/>
        <w:color w:val="000000"/>
        <w:position w:val="0"/>
        <w:sz w:val="22"/>
        <w:u w:color="000000"/>
      </w:rPr>
    </w:lvl>
    <w:lvl w:ilvl="5">
      <w:start w:val="1"/>
      <w:numFmt w:val="bullet"/>
      <w:lvlText w:val="▪"/>
      <w:lvlJc w:val="left"/>
      <w:pPr>
        <w:tabs>
          <w:tab w:val="num" w:pos="4290"/>
        </w:tabs>
        <w:ind w:left="4290" w:hanging="330"/>
      </w:pPr>
      <w:rPr>
        <w:rFonts w:ascii="Arial" w:eastAsia="Times New Roman" w:hAnsi="Arial"/>
        <w:color w:val="000000"/>
        <w:position w:val="0"/>
        <w:sz w:val="22"/>
        <w:u w:color="000000"/>
      </w:rPr>
    </w:lvl>
    <w:lvl w:ilvl="6">
      <w:start w:val="1"/>
      <w:numFmt w:val="bullet"/>
      <w:lvlText w:val="•"/>
      <w:lvlJc w:val="left"/>
      <w:pPr>
        <w:tabs>
          <w:tab w:val="num" w:pos="5010"/>
        </w:tabs>
        <w:ind w:left="5010" w:hanging="330"/>
      </w:pPr>
      <w:rPr>
        <w:rFonts w:ascii="Arial" w:eastAsia="Times New Roman" w:hAnsi="Arial"/>
        <w:color w:val="000000"/>
        <w:position w:val="0"/>
        <w:sz w:val="22"/>
        <w:u w:color="000000"/>
      </w:rPr>
    </w:lvl>
    <w:lvl w:ilvl="7">
      <w:start w:val="1"/>
      <w:numFmt w:val="bullet"/>
      <w:lvlText w:val="o"/>
      <w:lvlJc w:val="left"/>
      <w:pPr>
        <w:tabs>
          <w:tab w:val="num" w:pos="5730"/>
        </w:tabs>
        <w:ind w:left="5730" w:hanging="330"/>
      </w:pPr>
      <w:rPr>
        <w:rFonts w:ascii="Arial" w:eastAsia="Times New Roman" w:hAnsi="Arial"/>
        <w:color w:val="000000"/>
        <w:position w:val="0"/>
        <w:sz w:val="22"/>
        <w:u w:color="000000"/>
      </w:rPr>
    </w:lvl>
    <w:lvl w:ilvl="8">
      <w:start w:val="1"/>
      <w:numFmt w:val="bullet"/>
      <w:lvlText w:val="▪"/>
      <w:lvlJc w:val="left"/>
      <w:pPr>
        <w:tabs>
          <w:tab w:val="num" w:pos="6450"/>
        </w:tabs>
        <w:ind w:left="6450" w:hanging="330"/>
      </w:pPr>
      <w:rPr>
        <w:rFonts w:ascii="Arial" w:eastAsia="Times New Roman" w:hAnsi="Arial"/>
        <w:color w:val="000000"/>
        <w:position w:val="0"/>
        <w:sz w:val="22"/>
        <w:u w:color="000000"/>
      </w:rPr>
    </w:lvl>
  </w:abstractNum>
  <w:abstractNum w:abstractNumId="30">
    <w:nsid w:val="73541D22"/>
    <w:multiLevelType w:val="multilevel"/>
    <w:tmpl w:val="94C01B52"/>
    <w:styleLink w:val="List0"/>
    <w:lvl w:ilvl="0">
      <w:start w:val="1"/>
      <w:numFmt w:val="decimal"/>
      <w:lvlText w:val="%1."/>
      <w:lvlJc w:val="left"/>
      <w:rPr>
        <w:rFonts w:cs="Times New Roman"/>
        <w:color w:val="000000"/>
        <w:position w:val="0"/>
      </w:rPr>
    </w:lvl>
    <w:lvl w:ilvl="1">
      <w:start w:val="1"/>
      <w:numFmt w:val="decimal"/>
      <w:lvlText w:val="%1.%2."/>
      <w:lvlJc w:val="left"/>
      <w:rPr>
        <w:rFonts w:cs="Times New Roman"/>
        <w:color w:val="000000"/>
        <w:position w:val="0"/>
      </w:rPr>
    </w:lvl>
    <w:lvl w:ilvl="2">
      <w:start w:val="1"/>
      <w:numFmt w:val="decimal"/>
      <w:lvlText w:val="%1.%2.%3."/>
      <w:lvlJc w:val="left"/>
      <w:rPr>
        <w:rFonts w:cs="Times New Roman"/>
        <w:color w:val="000000"/>
        <w:position w:val="0"/>
      </w:rPr>
    </w:lvl>
    <w:lvl w:ilvl="3">
      <w:start w:val="1"/>
      <w:numFmt w:val="decimal"/>
      <w:lvlText w:val="%1.%2.%3.%4."/>
      <w:lvlJc w:val="left"/>
      <w:rPr>
        <w:rFonts w:cs="Times New Roman"/>
        <w:color w:val="000000"/>
        <w:position w:val="0"/>
      </w:rPr>
    </w:lvl>
    <w:lvl w:ilvl="4">
      <w:start w:val="1"/>
      <w:numFmt w:val="decimal"/>
      <w:lvlText w:val="%1.%2.%3.%4.%5."/>
      <w:lvlJc w:val="left"/>
      <w:rPr>
        <w:rFonts w:cs="Times New Roman"/>
        <w:color w:val="000000"/>
        <w:position w:val="0"/>
      </w:rPr>
    </w:lvl>
    <w:lvl w:ilvl="5">
      <w:start w:val="1"/>
      <w:numFmt w:val="decimal"/>
      <w:lvlText w:val="%1.%2.%3.%4.%5.%6."/>
      <w:lvlJc w:val="left"/>
      <w:rPr>
        <w:rFonts w:cs="Times New Roman"/>
        <w:color w:val="000000"/>
        <w:position w:val="0"/>
      </w:rPr>
    </w:lvl>
    <w:lvl w:ilvl="6">
      <w:start w:val="1"/>
      <w:numFmt w:val="decimal"/>
      <w:lvlText w:val="%1.%2.%3.%4.%5.%6.%7."/>
      <w:lvlJc w:val="left"/>
      <w:rPr>
        <w:rFonts w:cs="Times New Roman"/>
        <w:color w:val="000000"/>
        <w:position w:val="0"/>
      </w:rPr>
    </w:lvl>
    <w:lvl w:ilvl="7">
      <w:start w:val="1"/>
      <w:numFmt w:val="decimal"/>
      <w:lvlText w:val="%1.%2.%3.%4.%5.%6.%7.%8."/>
      <w:lvlJc w:val="left"/>
      <w:rPr>
        <w:rFonts w:cs="Times New Roman"/>
        <w:color w:val="000000"/>
        <w:position w:val="0"/>
      </w:rPr>
    </w:lvl>
    <w:lvl w:ilvl="8">
      <w:start w:val="1"/>
      <w:numFmt w:val="decimal"/>
      <w:lvlText w:val="%1.%2.%3.%4.%5.%6.%7.%8.%9."/>
      <w:lvlJc w:val="left"/>
      <w:rPr>
        <w:rFonts w:cs="Times New Roman"/>
        <w:color w:val="000000"/>
        <w:position w:val="0"/>
      </w:rPr>
    </w:lvl>
  </w:abstractNum>
  <w:abstractNum w:abstractNumId="31">
    <w:nsid w:val="787F021D"/>
    <w:multiLevelType w:val="multilevel"/>
    <w:tmpl w:val="0706B4C2"/>
    <w:styleLink w:val="List11"/>
    <w:lvl w:ilvl="0">
      <w:start w:val="1"/>
      <w:numFmt w:val="decimal"/>
      <w:lvlText w:val="%1."/>
      <w:lvlJc w:val="left"/>
      <w:rPr>
        <w:rFonts w:cs="Times New Roman"/>
        <w:color w:val="FF40FF"/>
        <w:position w:val="0"/>
      </w:rPr>
    </w:lvl>
    <w:lvl w:ilvl="1">
      <w:start w:val="1"/>
      <w:numFmt w:val="lowerLetter"/>
      <w:lvlText w:val="%2."/>
      <w:lvlJc w:val="left"/>
      <w:rPr>
        <w:rFonts w:cs="Times New Roman"/>
        <w:color w:val="FF40FF"/>
        <w:position w:val="0"/>
      </w:rPr>
    </w:lvl>
    <w:lvl w:ilvl="2">
      <w:start w:val="1"/>
      <w:numFmt w:val="lowerRoman"/>
      <w:lvlText w:val="%3."/>
      <w:lvlJc w:val="left"/>
      <w:rPr>
        <w:rFonts w:cs="Times New Roman"/>
        <w:color w:val="FF40FF"/>
        <w:position w:val="0"/>
      </w:rPr>
    </w:lvl>
    <w:lvl w:ilvl="3">
      <w:start w:val="1"/>
      <w:numFmt w:val="decimal"/>
      <w:lvlText w:val="%4."/>
      <w:lvlJc w:val="left"/>
      <w:rPr>
        <w:rFonts w:cs="Times New Roman"/>
        <w:color w:val="FF40FF"/>
        <w:position w:val="0"/>
      </w:rPr>
    </w:lvl>
    <w:lvl w:ilvl="4">
      <w:start w:val="1"/>
      <w:numFmt w:val="lowerLetter"/>
      <w:lvlText w:val="%5."/>
      <w:lvlJc w:val="left"/>
      <w:rPr>
        <w:rFonts w:cs="Times New Roman"/>
        <w:color w:val="FF40FF"/>
        <w:position w:val="0"/>
      </w:rPr>
    </w:lvl>
    <w:lvl w:ilvl="5">
      <w:start w:val="1"/>
      <w:numFmt w:val="lowerRoman"/>
      <w:lvlText w:val="%6."/>
      <w:lvlJc w:val="left"/>
      <w:rPr>
        <w:rFonts w:cs="Times New Roman"/>
        <w:color w:val="FF40FF"/>
        <w:position w:val="0"/>
      </w:rPr>
    </w:lvl>
    <w:lvl w:ilvl="6">
      <w:start w:val="1"/>
      <w:numFmt w:val="decimal"/>
      <w:lvlText w:val="%7."/>
      <w:lvlJc w:val="left"/>
      <w:rPr>
        <w:rFonts w:cs="Times New Roman"/>
        <w:color w:val="FF40FF"/>
        <w:position w:val="0"/>
      </w:rPr>
    </w:lvl>
    <w:lvl w:ilvl="7">
      <w:start w:val="1"/>
      <w:numFmt w:val="lowerLetter"/>
      <w:lvlText w:val="%8."/>
      <w:lvlJc w:val="left"/>
      <w:rPr>
        <w:rFonts w:cs="Times New Roman"/>
        <w:color w:val="FF40FF"/>
        <w:position w:val="0"/>
      </w:rPr>
    </w:lvl>
    <w:lvl w:ilvl="8">
      <w:start w:val="1"/>
      <w:numFmt w:val="lowerRoman"/>
      <w:lvlText w:val="%9."/>
      <w:lvlJc w:val="left"/>
      <w:rPr>
        <w:rFonts w:cs="Times New Roman"/>
        <w:color w:val="FF40FF"/>
        <w:position w:val="0"/>
      </w:rPr>
    </w:lvl>
  </w:abstractNum>
  <w:abstractNum w:abstractNumId="32">
    <w:nsid w:val="7A531BD9"/>
    <w:multiLevelType w:val="hybridMultilevel"/>
    <w:tmpl w:val="3860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2961D4"/>
    <w:multiLevelType w:val="hybridMultilevel"/>
    <w:tmpl w:val="7D82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436F58"/>
    <w:multiLevelType w:val="multilevel"/>
    <w:tmpl w:val="A8C4006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30"/>
  </w:num>
  <w:num w:numId="2">
    <w:abstractNumId w:val="9"/>
  </w:num>
  <w:num w:numId="3">
    <w:abstractNumId w:val="21"/>
  </w:num>
  <w:num w:numId="4">
    <w:abstractNumId w:val="17"/>
  </w:num>
  <w:num w:numId="5">
    <w:abstractNumId w:val="25"/>
  </w:num>
  <w:num w:numId="6">
    <w:abstractNumId w:val="27"/>
  </w:num>
  <w:num w:numId="7">
    <w:abstractNumId w:val="6"/>
  </w:num>
  <w:num w:numId="8">
    <w:abstractNumId w:val="4"/>
  </w:num>
  <w:num w:numId="9">
    <w:abstractNumId w:val="7"/>
  </w:num>
  <w:num w:numId="10">
    <w:abstractNumId w:val="34"/>
  </w:num>
  <w:num w:numId="11">
    <w:abstractNumId w:val="13"/>
  </w:num>
  <w:num w:numId="12">
    <w:abstractNumId w:val="16"/>
  </w:num>
  <w:num w:numId="13">
    <w:abstractNumId w:val="26"/>
  </w:num>
  <w:num w:numId="14">
    <w:abstractNumId w:val="24"/>
  </w:num>
  <w:num w:numId="15">
    <w:abstractNumId w:val="15"/>
  </w:num>
  <w:num w:numId="16">
    <w:abstractNumId w:val="0"/>
  </w:num>
  <w:num w:numId="17">
    <w:abstractNumId w:val="12"/>
  </w:num>
  <w:num w:numId="18">
    <w:abstractNumId w:val="10"/>
  </w:num>
  <w:num w:numId="19">
    <w:abstractNumId w:val="3"/>
  </w:num>
  <w:num w:numId="20">
    <w:abstractNumId w:val="18"/>
  </w:num>
  <w:num w:numId="21">
    <w:abstractNumId w:val="20"/>
  </w:num>
  <w:num w:numId="22">
    <w:abstractNumId w:val="31"/>
    <w:lvlOverride w:ilvl="0">
      <w:lvl w:ilvl="0">
        <w:start w:val="1"/>
        <w:numFmt w:val="decimal"/>
        <w:lvlText w:val="%1."/>
        <w:lvlJc w:val="left"/>
        <w:rPr>
          <w:rFonts w:cs="Times New Roman"/>
          <w:color w:val="auto"/>
          <w:position w:val="0"/>
        </w:rPr>
      </w:lvl>
    </w:lvlOverride>
  </w:num>
  <w:num w:numId="23">
    <w:abstractNumId w:val="14"/>
  </w:num>
  <w:num w:numId="24">
    <w:abstractNumId w:val="28"/>
  </w:num>
  <w:num w:numId="25">
    <w:abstractNumId w:val="23"/>
  </w:num>
  <w:num w:numId="26">
    <w:abstractNumId w:val="22"/>
  </w:num>
  <w:num w:numId="27">
    <w:abstractNumId w:val="8"/>
  </w:num>
  <w:num w:numId="28">
    <w:abstractNumId w:val="19"/>
  </w:num>
  <w:num w:numId="29">
    <w:abstractNumId w:val="11"/>
  </w:num>
  <w:num w:numId="30">
    <w:abstractNumId w:val="1"/>
  </w:num>
  <w:num w:numId="31">
    <w:abstractNumId w:val="29"/>
  </w:num>
  <w:num w:numId="32">
    <w:abstractNumId w:val="2"/>
  </w:num>
  <w:num w:numId="33">
    <w:abstractNumId w:val="5"/>
  </w:num>
  <w:num w:numId="34">
    <w:abstractNumId w:val="31"/>
  </w:num>
  <w:num w:numId="35">
    <w:abstractNumId w:val="3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71A"/>
    <w:rsid w:val="0001271D"/>
    <w:rsid w:val="00044B64"/>
    <w:rsid w:val="00064D07"/>
    <w:rsid w:val="000A46FB"/>
    <w:rsid w:val="000C3459"/>
    <w:rsid w:val="000C7727"/>
    <w:rsid w:val="00162622"/>
    <w:rsid w:val="00165300"/>
    <w:rsid w:val="001930FB"/>
    <w:rsid w:val="0023514A"/>
    <w:rsid w:val="0025221A"/>
    <w:rsid w:val="002629F1"/>
    <w:rsid w:val="002974F2"/>
    <w:rsid w:val="002E49AE"/>
    <w:rsid w:val="00324A91"/>
    <w:rsid w:val="00330E67"/>
    <w:rsid w:val="003371D8"/>
    <w:rsid w:val="003534F3"/>
    <w:rsid w:val="00435A3A"/>
    <w:rsid w:val="00460E7E"/>
    <w:rsid w:val="004A0767"/>
    <w:rsid w:val="00501616"/>
    <w:rsid w:val="00515CBF"/>
    <w:rsid w:val="005674FF"/>
    <w:rsid w:val="00574AF3"/>
    <w:rsid w:val="005834DA"/>
    <w:rsid w:val="005B69F4"/>
    <w:rsid w:val="005C0077"/>
    <w:rsid w:val="005C58F3"/>
    <w:rsid w:val="005D31AF"/>
    <w:rsid w:val="005D62C1"/>
    <w:rsid w:val="006246FD"/>
    <w:rsid w:val="00671E4C"/>
    <w:rsid w:val="006F11E3"/>
    <w:rsid w:val="006F5EF9"/>
    <w:rsid w:val="00704012"/>
    <w:rsid w:val="00713AA0"/>
    <w:rsid w:val="00716075"/>
    <w:rsid w:val="00752C56"/>
    <w:rsid w:val="007531C7"/>
    <w:rsid w:val="0077379D"/>
    <w:rsid w:val="007828DE"/>
    <w:rsid w:val="007945EF"/>
    <w:rsid w:val="007C5357"/>
    <w:rsid w:val="007C6503"/>
    <w:rsid w:val="007D5CD2"/>
    <w:rsid w:val="007F6711"/>
    <w:rsid w:val="008306F2"/>
    <w:rsid w:val="00834050"/>
    <w:rsid w:val="00882BB4"/>
    <w:rsid w:val="00884797"/>
    <w:rsid w:val="00891B8A"/>
    <w:rsid w:val="008E2C8C"/>
    <w:rsid w:val="008E4C91"/>
    <w:rsid w:val="008F2A84"/>
    <w:rsid w:val="009168F6"/>
    <w:rsid w:val="00957F81"/>
    <w:rsid w:val="00965769"/>
    <w:rsid w:val="009836EF"/>
    <w:rsid w:val="009D671A"/>
    <w:rsid w:val="009F4C81"/>
    <w:rsid w:val="00A012D9"/>
    <w:rsid w:val="00A555CD"/>
    <w:rsid w:val="00AA15D4"/>
    <w:rsid w:val="00AA4E17"/>
    <w:rsid w:val="00AB0306"/>
    <w:rsid w:val="00AC024D"/>
    <w:rsid w:val="00AC19CC"/>
    <w:rsid w:val="00B01D71"/>
    <w:rsid w:val="00B7300D"/>
    <w:rsid w:val="00B7775A"/>
    <w:rsid w:val="00B90B52"/>
    <w:rsid w:val="00B96C53"/>
    <w:rsid w:val="00BA622A"/>
    <w:rsid w:val="00BB1350"/>
    <w:rsid w:val="00BC581D"/>
    <w:rsid w:val="00BE539B"/>
    <w:rsid w:val="00C04929"/>
    <w:rsid w:val="00C5286E"/>
    <w:rsid w:val="00D04FAC"/>
    <w:rsid w:val="00D26E45"/>
    <w:rsid w:val="00D87193"/>
    <w:rsid w:val="00D92A51"/>
    <w:rsid w:val="00D97E4C"/>
    <w:rsid w:val="00E65E3F"/>
    <w:rsid w:val="00E96953"/>
    <w:rsid w:val="00EC2198"/>
    <w:rsid w:val="00ED40D7"/>
    <w:rsid w:val="00EE0886"/>
    <w:rsid w:val="00EE7D8F"/>
    <w:rsid w:val="00F213B8"/>
    <w:rsid w:val="00F372E5"/>
    <w:rsid w:val="00F802D5"/>
    <w:rsid w:val="00FA7AAD"/>
    <w:rsid w:val="00FD43C4"/>
    <w:rsid w:val="00FE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1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u w:color="000000"/>
    </w:rPr>
  </w:style>
  <w:style w:type="paragraph" w:styleId="Heading1">
    <w:name w:val="heading 1"/>
    <w:basedOn w:val="Normal"/>
    <w:next w:val="Normal"/>
    <w:link w:val="Heading1Char"/>
    <w:uiPriority w:val="99"/>
    <w:qFormat/>
    <w:rsid w:val="009D671A"/>
    <w:pPr>
      <w:keepNext/>
      <w:outlineLvl w:val="0"/>
    </w:pPr>
    <w:rPr>
      <w:b/>
      <w:bCs/>
      <w:kern w:val="32"/>
      <w:sz w:val="28"/>
      <w:szCs w:val="28"/>
      <w:lang w:eastAsia="en-GB"/>
    </w:rPr>
  </w:style>
  <w:style w:type="paragraph" w:styleId="Heading2">
    <w:name w:val="heading 2"/>
    <w:basedOn w:val="Normal"/>
    <w:next w:val="Normal"/>
    <w:link w:val="Heading2Char"/>
    <w:uiPriority w:val="99"/>
    <w:qFormat/>
    <w:rsid w:val="009D671A"/>
    <w:pPr>
      <w:keepNext/>
      <w:keepLines/>
      <w:spacing w:before="200"/>
      <w:outlineLvl w:val="1"/>
    </w:pPr>
    <w:rPr>
      <w:rFonts w:ascii="Cambria" w:hAnsi="Cambria" w:cs="Cambria"/>
      <w:b/>
      <w:bCs/>
      <w:color w:val="4F81BD"/>
      <w:sz w:val="26"/>
      <w:szCs w:val="26"/>
      <w:u w:color="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671A"/>
    <w:rPr>
      <w:rFonts w:ascii="Arial" w:eastAsia="Times New Roman" w:hAnsi="Arial" w:cs="Arial"/>
      <w:b/>
      <w:bCs/>
      <w:color w:val="000000"/>
      <w:kern w:val="32"/>
      <w:sz w:val="28"/>
      <w:szCs w:val="28"/>
      <w:u w:color="000000"/>
      <w:lang w:val="en-US" w:eastAsia="en-GB" w:bidi="ar-SA"/>
    </w:rPr>
  </w:style>
  <w:style w:type="character" w:customStyle="1" w:styleId="Heading2Char">
    <w:name w:val="Heading 2 Char"/>
    <w:basedOn w:val="DefaultParagraphFont"/>
    <w:link w:val="Heading2"/>
    <w:uiPriority w:val="99"/>
    <w:locked/>
    <w:rsid w:val="009D671A"/>
    <w:rPr>
      <w:rFonts w:ascii="Cambria" w:eastAsia="Times New Roman" w:hAnsi="Cambria" w:cs="Cambria"/>
      <w:b/>
      <w:bCs/>
      <w:color w:val="4F81BD"/>
      <w:sz w:val="26"/>
      <w:szCs w:val="26"/>
      <w:u w:color="4F81BD"/>
      <w:lang w:val="en-US" w:eastAsia="en-GB" w:bidi="ar-SA"/>
    </w:rPr>
  </w:style>
  <w:style w:type="paragraph" w:customStyle="1" w:styleId="HeaderFooter">
    <w:name w:val="Header &amp; Footer"/>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lang w:val="en-GB" w:eastAsia="en-GB"/>
    </w:rPr>
  </w:style>
  <w:style w:type="paragraph" w:styleId="Footer">
    <w:name w:val="footer"/>
    <w:basedOn w:val="Normal"/>
    <w:link w:val="FooterChar"/>
    <w:uiPriority w:val="99"/>
    <w:rsid w:val="009D671A"/>
    <w:pPr>
      <w:tabs>
        <w:tab w:val="center" w:pos="4153"/>
        <w:tab w:val="right" w:pos="8306"/>
      </w:tabs>
    </w:pPr>
    <w:rPr>
      <w:rFonts w:eastAsia="Arial Unicode MS" w:hAnsi="Arial Unicode MS" w:cs="Arial Unicode MS"/>
      <w:lang w:eastAsia="en-GB"/>
    </w:rPr>
  </w:style>
  <w:style w:type="character" w:customStyle="1" w:styleId="FooterChar">
    <w:name w:val="Footer Char"/>
    <w:basedOn w:val="DefaultParagraphFont"/>
    <w:link w:val="Footer"/>
    <w:uiPriority w:val="99"/>
    <w:locked/>
    <w:rsid w:val="009D671A"/>
    <w:rPr>
      <w:rFonts w:ascii="Arial" w:eastAsia="Arial Unicode MS" w:hAnsi="Arial Unicode MS" w:cs="Arial Unicode MS"/>
      <w:color w:val="000000"/>
      <w:sz w:val="22"/>
      <w:szCs w:val="22"/>
      <w:u w:color="000000"/>
      <w:lang w:val="en-US" w:eastAsia="en-GB" w:bidi="ar-SA"/>
    </w:rPr>
  </w:style>
  <w:style w:type="paragraph" w:customStyle="1" w:styleId="BodyText1">
    <w:name w:val="Body Text1"/>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spacing w:before="240" w:after="120"/>
    </w:pPr>
    <w:rPr>
      <w:rFonts w:ascii="Arial" w:hAnsi="Arial" w:cs="Arial"/>
      <w:color w:val="000000"/>
      <w:sz w:val="20"/>
      <w:szCs w:val="20"/>
      <w:u w:color="000000"/>
      <w:lang w:eastAsia="en-GB"/>
    </w:rPr>
  </w:style>
  <w:style w:type="character" w:customStyle="1" w:styleId="Hyperlink0">
    <w:name w:val="Hyperlink.0"/>
    <w:basedOn w:val="DefaultParagraphFont"/>
    <w:uiPriority w:val="99"/>
    <w:rsid w:val="009D671A"/>
    <w:rPr>
      <w:rFonts w:cs="Times New Roman"/>
      <w:color w:val="0000FF"/>
      <w:u w:val="single" w:color="0000FF"/>
    </w:rPr>
  </w:style>
  <w:style w:type="paragraph" w:styleId="ListParagraph">
    <w:name w:val="List Paragraph"/>
    <w:basedOn w:val="Normal"/>
    <w:uiPriority w:val="99"/>
    <w:qFormat/>
    <w:rsid w:val="009D671A"/>
    <w:pPr>
      <w:ind w:left="720"/>
    </w:pPr>
    <w:rPr>
      <w:lang w:eastAsia="en-GB"/>
    </w:rPr>
  </w:style>
  <w:style w:type="paragraph" w:customStyle="1" w:styleId="Normal111pt">
    <w:name w:val="Normal 1 11pt"/>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spacing w:before="120" w:after="120"/>
    </w:pPr>
    <w:rPr>
      <w:rFonts w:ascii="Arial" w:eastAsia="Arial Unicode MS" w:hAnsi="Arial Unicode MS" w:cs="Arial Unicode MS"/>
      <w:color w:val="000000"/>
      <w:u w:color="000000"/>
      <w:lang w:eastAsia="en-GB"/>
    </w:rPr>
  </w:style>
  <w:style w:type="paragraph" w:customStyle="1" w:styleId="Default">
    <w:name w:val="Default"/>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sz w:val="24"/>
      <w:szCs w:val="24"/>
      <w:u w:color="000000"/>
      <w:lang w:eastAsia="en-GB"/>
    </w:rPr>
  </w:style>
  <w:style w:type="paragraph" w:customStyle="1" w:styleId="Bodytext">
    <w:name w:val="Bodytext"/>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sz w:val="24"/>
      <w:szCs w:val="24"/>
      <w:u w:color="000000"/>
      <w:lang w:eastAsia="en-GB"/>
    </w:rPr>
  </w:style>
  <w:style w:type="paragraph" w:customStyle="1" w:styleId="Subsection">
    <w:name w:val="Subsection"/>
    <w:uiPriority w:val="99"/>
    <w:rsid w:val="009D671A"/>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284"/>
    </w:pPr>
    <w:rPr>
      <w:rFonts w:ascii="Arial" w:eastAsia="Arial Unicode MS" w:hAnsi="Arial Unicode MS" w:cs="Arial Unicode MS"/>
      <w:b/>
      <w:bCs/>
      <w:color w:val="0072C6"/>
      <w:sz w:val="28"/>
      <w:szCs w:val="28"/>
      <w:u w:color="0072C6"/>
      <w:lang w:eastAsia="en-GB"/>
    </w:rPr>
  </w:style>
  <w:style w:type="paragraph" w:styleId="NoSpacing">
    <w:name w:val="No Spacing"/>
    <w:uiPriority w:val="99"/>
    <w:qFormat/>
    <w:rsid w:val="009D671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u w:color="000000"/>
      <w:lang w:eastAsia="en-GB"/>
    </w:rPr>
  </w:style>
  <w:style w:type="paragraph" w:styleId="Quote">
    <w:name w:val="Quote"/>
    <w:basedOn w:val="Normal"/>
    <w:next w:val="Normal"/>
    <w:link w:val="QuoteChar"/>
    <w:uiPriority w:val="99"/>
    <w:qFormat/>
    <w:rsid w:val="009D671A"/>
    <w:pPr>
      <w:spacing w:after="120" w:line="276" w:lineRule="auto"/>
      <w:ind w:left="720"/>
    </w:pPr>
    <w:rPr>
      <w:rFonts w:eastAsia="Arial Unicode MS" w:hAnsi="Arial Unicode MS" w:cs="Arial Unicode MS"/>
      <w:i/>
      <w:iCs/>
      <w:color w:val="404040"/>
      <w:sz w:val="20"/>
      <w:szCs w:val="20"/>
      <w:u w:color="404040"/>
      <w:lang w:eastAsia="en-GB"/>
    </w:rPr>
  </w:style>
  <w:style w:type="character" w:customStyle="1" w:styleId="QuoteChar">
    <w:name w:val="Quote Char"/>
    <w:basedOn w:val="DefaultParagraphFont"/>
    <w:link w:val="Quote"/>
    <w:uiPriority w:val="99"/>
    <w:locked/>
    <w:rsid w:val="009D671A"/>
    <w:rPr>
      <w:rFonts w:ascii="Arial" w:eastAsia="Arial Unicode MS" w:hAnsi="Arial Unicode MS" w:cs="Arial Unicode MS"/>
      <w:i/>
      <w:iCs/>
      <w:color w:val="404040"/>
      <w:u w:color="404040"/>
      <w:lang w:val="en-US" w:eastAsia="en-GB" w:bidi="ar-SA"/>
    </w:rPr>
  </w:style>
  <w:style w:type="paragraph" w:customStyle="1" w:styleId="Body">
    <w:name w:val="Body"/>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u w:color="000000"/>
      <w:lang w:val="en-GB" w:eastAsia="en-GB"/>
    </w:rPr>
  </w:style>
  <w:style w:type="paragraph" w:styleId="BalloonText">
    <w:name w:val="Balloon Text"/>
    <w:basedOn w:val="Normal"/>
    <w:link w:val="BalloonTextChar"/>
    <w:uiPriority w:val="99"/>
    <w:rsid w:val="009D671A"/>
    <w:rPr>
      <w:rFonts w:ascii="Tahoma" w:hAnsi="Tahoma" w:cs="Tahoma"/>
      <w:sz w:val="16"/>
      <w:szCs w:val="16"/>
    </w:rPr>
  </w:style>
  <w:style w:type="character" w:customStyle="1" w:styleId="BalloonTextChar">
    <w:name w:val="Balloon Text Char"/>
    <w:basedOn w:val="DefaultParagraphFont"/>
    <w:link w:val="BalloonText"/>
    <w:uiPriority w:val="99"/>
    <w:locked/>
    <w:rsid w:val="009D671A"/>
    <w:rPr>
      <w:rFonts w:ascii="Tahoma" w:eastAsia="Times New Roman" w:hAnsi="Tahoma" w:cs="Tahoma"/>
      <w:color w:val="000000"/>
      <w:sz w:val="16"/>
      <w:szCs w:val="16"/>
      <w:u w:color="000000"/>
    </w:rPr>
  </w:style>
  <w:style w:type="paragraph" w:styleId="Header">
    <w:name w:val="header"/>
    <w:basedOn w:val="Normal"/>
    <w:link w:val="HeaderChar"/>
    <w:uiPriority w:val="99"/>
    <w:rsid w:val="00C04929"/>
    <w:pPr>
      <w:tabs>
        <w:tab w:val="center" w:pos="4680"/>
        <w:tab w:val="right" w:pos="9360"/>
      </w:tabs>
    </w:pPr>
  </w:style>
  <w:style w:type="character" w:customStyle="1" w:styleId="HeaderChar">
    <w:name w:val="Header Char"/>
    <w:basedOn w:val="DefaultParagraphFont"/>
    <w:link w:val="Header"/>
    <w:uiPriority w:val="99"/>
    <w:locked/>
    <w:rsid w:val="00C04929"/>
    <w:rPr>
      <w:rFonts w:ascii="Arial" w:eastAsia="Times New Roman" w:hAnsi="Arial" w:cs="Arial"/>
      <w:color w:val="000000"/>
      <w:sz w:val="22"/>
      <w:szCs w:val="22"/>
      <w:u w:color="000000"/>
    </w:rPr>
  </w:style>
  <w:style w:type="character" w:styleId="CommentReference">
    <w:name w:val="annotation reference"/>
    <w:basedOn w:val="DefaultParagraphFont"/>
    <w:uiPriority w:val="99"/>
    <w:rsid w:val="006F5EF9"/>
    <w:rPr>
      <w:rFonts w:cs="Times New Roman"/>
      <w:sz w:val="16"/>
      <w:szCs w:val="16"/>
    </w:rPr>
  </w:style>
  <w:style w:type="paragraph" w:styleId="CommentText">
    <w:name w:val="annotation text"/>
    <w:basedOn w:val="Normal"/>
    <w:link w:val="CommentTextChar"/>
    <w:uiPriority w:val="99"/>
    <w:rsid w:val="006F5EF9"/>
    <w:rPr>
      <w:sz w:val="20"/>
      <w:szCs w:val="20"/>
    </w:rPr>
  </w:style>
  <w:style w:type="character" w:customStyle="1" w:styleId="CommentTextChar">
    <w:name w:val="Comment Text Char"/>
    <w:basedOn w:val="DefaultParagraphFont"/>
    <w:link w:val="CommentText"/>
    <w:uiPriority w:val="99"/>
    <w:locked/>
    <w:rsid w:val="006F5EF9"/>
    <w:rPr>
      <w:rFonts w:ascii="Arial" w:eastAsia="Times New Roman" w:hAnsi="Arial" w:cs="Arial"/>
      <w:color w:val="000000"/>
      <w:u w:color="000000"/>
    </w:rPr>
  </w:style>
  <w:style w:type="paragraph" w:styleId="CommentSubject">
    <w:name w:val="annotation subject"/>
    <w:basedOn w:val="CommentText"/>
    <w:next w:val="CommentText"/>
    <w:link w:val="CommentSubjectChar"/>
    <w:uiPriority w:val="99"/>
    <w:rsid w:val="006F5EF9"/>
    <w:rPr>
      <w:b/>
      <w:bCs/>
    </w:rPr>
  </w:style>
  <w:style w:type="character" w:customStyle="1" w:styleId="CommentSubjectChar">
    <w:name w:val="Comment Subject Char"/>
    <w:basedOn w:val="CommentTextChar"/>
    <w:link w:val="CommentSubject"/>
    <w:uiPriority w:val="99"/>
    <w:locked/>
    <w:rsid w:val="006F5EF9"/>
    <w:rPr>
      <w:rFonts w:ascii="Arial" w:eastAsia="Times New Roman" w:hAnsi="Arial" w:cs="Arial"/>
      <w:b/>
      <w:bCs/>
      <w:color w:val="000000"/>
      <w:u w:color="000000"/>
    </w:rPr>
  </w:style>
  <w:style w:type="numbering" w:customStyle="1" w:styleId="List8">
    <w:name w:val="List 8"/>
    <w:rsid w:val="0097639C"/>
    <w:pPr>
      <w:numPr>
        <w:numId w:val="19"/>
      </w:numPr>
    </w:pPr>
  </w:style>
  <w:style w:type="numbering" w:customStyle="1" w:styleId="List41">
    <w:name w:val="List 41"/>
    <w:rsid w:val="0097639C"/>
    <w:pPr>
      <w:numPr>
        <w:numId w:val="8"/>
      </w:numPr>
    </w:pPr>
  </w:style>
  <w:style w:type="numbering" w:customStyle="1" w:styleId="List16">
    <w:name w:val="List 16"/>
    <w:rsid w:val="0097639C"/>
    <w:pPr>
      <w:numPr>
        <w:numId w:val="33"/>
      </w:numPr>
    </w:pPr>
  </w:style>
  <w:style w:type="numbering" w:customStyle="1" w:styleId="List1">
    <w:name w:val="List 1"/>
    <w:rsid w:val="0097639C"/>
    <w:pPr>
      <w:numPr>
        <w:numId w:val="2"/>
      </w:numPr>
    </w:pPr>
  </w:style>
  <w:style w:type="numbering" w:customStyle="1" w:styleId="List7">
    <w:name w:val="List 7"/>
    <w:rsid w:val="0097639C"/>
    <w:pPr>
      <w:numPr>
        <w:numId w:val="18"/>
      </w:numPr>
    </w:pPr>
  </w:style>
  <w:style w:type="numbering" w:customStyle="1" w:styleId="List14">
    <w:name w:val="List 14"/>
    <w:rsid w:val="0097639C"/>
    <w:pPr>
      <w:numPr>
        <w:numId w:val="29"/>
      </w:numPr>
    </w:pPr>
  </w:style>
  <w:style w:type="numbering" w:customStyle="1" w:styleId="List12">
    <w:name w:val="List 12"/>
    <w:rsid w:val="0097639C"/>
    <w:pPr>
      <w:numPr>
        <w:numId w:val="23"/>
      </w:numPr>
    </w:pPr>
  </w:style>
  <w:style w:type="numbering" w:customStyle="1" w:styleId="List6">
    <w:name w:val="List 6"/>
    <w:rsid w:val="0097639C"/>
    <w:pPr>
      <w:numPr>
        <w:numId w:val="15"/>
      </w:numPr>
    </w:pPr>
  </w:style>
  <w:style w:type="numbering" w:customStyle="1" w:styleId="List9">
    <w:name w:val="List 9"/>
    <w:rsid w:val="0097639C"/>
    <w:pPr>
      <w:numPr>
        <w:numId w:val="20"/>
      </w:numPr>
    </w:pPr>
  </w:style>
  <w:style w:type="numbering" w:customStyle="1" w:styleId="List10">
    <w:name w:val="List 10"/>
    <w:rsid w:val="0097639C"/>
    <w:pPr>
      <w:numPr>
        <w:numId w:val="21"/>
      </w:numPr>
    </w:pPr>
  </w:style>
  <w:style w:type="numbering" w:customStyle="1" w:styleId="List21">
    <w:name w:val="List 21"/>
    <w:rsid w:val="0097639C"/>
    <w:pPr>
      <w:numPr>
        <w:numId w:val="3"/>
      </w:numPr>
    </w:pPr>
  </w:style>
  <w:style w:type="numbering" w:customStyle="1" w:styleId="List31">
    <w:name w:val="List 31"/>
    <w:rsid w:val="0097639C"/>
    <w:pPr>
      <w:numPr>
        <w:numId w:val="5"/>
      </w:numPr>
    </w:pPr>
  </w:style>
  <w:style w:type="numbering" w:customStyle="1" w:styleId="List51">
    <w:name w:val="List 51"/>
    <w:rsid w:val="0097639C"/>
    <w:pPr>
      <w:numPr>
        <w:numId w:val="13"/>
      </w:numPr>
    </w:pPr>
  </w:style>
  <w:style w:type="numbering" w:customStyle="1" w:styleId="List13">
    <w:name w:val="List 13"/>
    <w:rsid w:val="0097639C"/>
    <w:pPr>
      <w:numPr>
        <w:numId w:val="24"/>
      </w:numPr>
    </w:pPr>
  </w:style>
  <w:style w:type="numbering" w:customStyle="1" w:styleId="List15">
    <w:name w:val="List 15"/>
    <w:rsid w:val="0097639C"/>
    <w:pPr>
      <w:numPr>
        <w:numId w:val="31"/>
      </w:numPr>
    </w:pPr>
  </w:style>
  <w:style w:type="numbering" w:customStyle="1" w:styleId="List0">
    <w:name w:val="List 0"/>
    <w:rsid w:val="0097639C"/>
    <w:pPr>
      <w:numPr>
        <w:numId w:val="1"/>
      </w:numPr>
    </w:pPr>
  </w:style>
  <w:style w:type="numbering" w:customStyle="1" w:styleId="List11">
    <w:name w:val="List 11"/>
    <w:rsid w:val="0097639C"/>
    <w:pPr>
      <w:numPr>
        <w:numId w:val="34"/>
      </w:numPr>
    </w:pPr>
  </w:style>
  <w:style w:type="table" w:styleId="TableGrid">
    <w:name w:val="Table Grid"/>
    <w:basedOn w:val="TableNormal"/>
    <w:uiPriority w:val="59"/>
    <w:rsid w:val="00752C56"/>
    <w:rPr>
      <w:rFonts w:ascii="Calibri" w:eastAsia="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1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u w:color="000000"/>
    </w:rPr>
  </w:style>
  <w:style w:type="paragraph" w:styleId="Heading1">
    <w:name w:val="heading 1"/>
    <w:basedOn w:val="Normal"/>
    <w:next w:val="Normal"/>
    <w:link w:val="Heading1Char"/>
    <w:uiPriority w:val="99"/>
    <w:qFormat/>
    <w:rsid w:val="009D671A"/>
    <w:pPr>
      <w:keepNext/>
      <w:outlineLvl w:val="0"/>
    </w:pPr>
    <w:rPr>
      <w:b/>
      <w:bCs/>
      <w:kern w:val="32"/>
      <w:sz w:val="28"/>
      <w:szCs w:val="28"/>
      <w:lang w:eastAsia="en-GB"/>
    </w:rPr>
  </w:style>
  <w:style w:type="paragraph" w:styleId="Heading2">
    <w:name w:val="heading 2"/>
    <w:basedOn w:val="Normal"/>
    <w:next w:val="Normal"/>
    <w:link w:val="Heading2Char"/>
    <w:uiPriority w:val="99"/>
    <w:qFormat/>
    <w:rsid w:val="009D671A"/>
    <w:pPr>
      <w:keepNext/>
      <w:keepLines/>
      <w:spacing w:before="200"/>
      <w:outlineLvl w:val="1"/>
    </w:pPr>
    <w:rPr>
      <w:rFonts w:ascii="Cambria" w:hAnsi="Cambria" w:cs="Cambria"/>
      <w:b/>
      <w:bCs/>
      <w:color w:val="4F81BD"/>
      <w:sz w:val="26"/>
      <w:szCs w:val="26"/>
      <w:u w:color="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671A"/>
    <w:rPr>
      <w:rFonts w:ascii="Arial" w:eastAsia="Times New Roman" w:hAnsi="Arial" w:cs="Arial"/>
      <w:b/>
      <w:bCs/>
      <w:color w:val="000000"/>
      <w:kern w:val="32"/>
      <w:sz w:val="28"/>
      <w:szCs w:val="28"/>
      <w:u w:color="000000"/>
      <w:lang w:val="en-US" w:eastAsia="en-GB" w:bidi="ar-SA"/>
    </w:rPr>
  </w:style>
  <w:style w:type="character" w:customStyle="1" w:styleId="Heading2Char">
    <w:name w:val="Heading 2 Char"/>
    <w:basedOn w:val="DefaultParagraphFont"/>
    <w:link w:val="Heading2"/>
    <w:uiPriority w:val="99"/>
    <w:locked/>
    <w:rsid w:val="009D671A"/>
    <w:rPr>
      <w:rFonts w:ascii="Cambria" w:eastAsia="Times New Roman" w:hAnsi="Cambria" w:cs="Cambria"/>
      <w:b/>
      <w:bCs/>
      <w:color w:val="4F81BD"/>
      <w:sz w:val="26"/>
      <w:szCs w:val="26"/>
      <w:u w:color="4F81BD"/>
      <w:lang w:val="en-US" w:eastAsia="en-GB" w:bidi="ar-SA"/>
    </w:rPr>
  </w:style>
  <w:style w:type="paragraph" w:customStyle="1" w:styleId="HeaderFooter">
    <w:name w:val="Header &amp; Footer"/>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lang w:val="en-GB" w:eastAsia="en-GB"/>
    </w:rPr>
  </w:style>
  <w:style w:type="paragraph" w:styleId="Footer">
    <w:name w:val="footer"/>
    <w:basedOn w:val="Normal"/>
    <w:link w:val="FooterChar"/>
    <w:uiPriority w:val="99"/>
    <w:rsid w:val="009D671A"/>
    <w:pPr>
      <w:tabs>
        <w:tab w:val="center" w:pos="4153"/>
        <w:tab w:val="right" w:pos="8306"/>
      </w:tabs>
    </w:pPr>
    <w:rPr>
      <w:rFonts w:eastAsia="Arial Unicode MS" w:hAnsi="Arial Unicode MS" w:cs="Arial Unicode MS"/>
      <w:lang w:eastAsia="en-GB"/>
    </w:rPr>
  </w:style>
  <w:style w:type="character" w:customStyle="1" w:styleId="FooterChar">
    <w:name w:val="Footer Char"/>
    <w:basedOn w:val="DefaultParagraphFont"/>
    <w:link w:val="Footer"/>
    <w:uiPriority w:val="99"/>
    <w:locked/>
    <w:rsid w:val="009D671A"/>
    <w:rPr>
      <w:rFonts w:ascii="Arial" w:eastAsia="Arial Unicode MS" w:hAnsi="Arial Unicode MS" w:cs="Arial Unicode MS"/>
      <w:color w:val="000000"/>
      <w:sz w:val="22"/>
      <w:szCs w:val="22"/>
      <w:u w:color="000000"/>
      <w:lang w:val="en-US" w:eastAsia="en-GB" w:bidi="ar-SA"/>
    </w:rPr>
  </w:style>
  <w:style w:type="paragraph" w:customStyle="1" w:styleId="BodyText1">
    <w:name w:val="Body Text1"/>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spacing w:before="240" w:after="120"/>
    </w:pPr>
    <w:rPr>
      <w:rFonts w:ascii="Arial" w:hAnsi="Arial" w:cs="Arial"/>
      <w:color w:val="000000"/>
      <w:sz w:val="20"/>
      <w:szCs w:val="20"/>
      <w:u w:color="000000"/>
      <w:lang w:eastAsia="en-GB"/>
    </w:rPr>
  </w:style>
  <w:style w:type="character" w:customStyle="1" w:styleId="Hyperlink0">
    <w:name w:val="Hyperlink.0"/>
    <w:basedOn w:val="DefaultParagraphFont"/>
    <w:uiPriority w:val="99"/>
    <w:rsid w:val="009D671A"/>
    <w:rPr>
      <w:rFonts w:cs="Times New Roman"/>
      <w:color w:val="0000FF"/>
      <w:u w:val="single" w:color="0000FF"/>
    </w:rPr>
  </w:style>
  <w:style w:type="paragraph" w:styleId="ListParagraph">
    <w:name w:val="List Paragraph"/>
    <w:basedOn w:val="Normal"/>
    <w:uiPriority w:val="99"/>
    <w:qFormat/>
    <w:rsid w:val="009D671A"/>
    <w:pPr>
      <w:ind w:left="720"/>
    </w:pPr>
    <w:rPr>
      <w:lang w:eastAsia="en-GB"/>
    </w:rPr>
  </w:style>
  <w:style w:type="paragraph" w:customStyle="1" w:styleId="Normal111pt">
    <w:name w:val="Normal 1 11pt"/>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spacing w:before="120" w:after="120"/>
    </w:pPr>
    <w:rPr>
      <w:rFonts w:ascii="Arial" w:eastAsia="Arial Unicode MS" w:hAnsi="Arial Unicode MS" w:cs="Arial Unicode MS"/>
      <w:color w:val="000000"/>
      <w:u w:color="000000"/>
      <w:lang w:eastAsia="en-GB"/>
    </w:rPr>
  </w:style>
  <w:style w:type="paragraph" w:customStyle="1" w:styleId="Default">
    <w:name w:val="Default"/>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sz w:val="24"/>
      <w:szCs w:val="24"/>
      <w:u w:color="000000"/>
      <w:lang w:eastAsia="en-GB"/>
    </w:rPr>
  </w:style>
  <w:style w:type="paragraph" w:customStyle="1" w:styleId="Bodytext">
    <w:name w:val="Bodytext"/>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sz w:val="24"/>
      <w:szCs w:val="24"/>
      <w:u w:color="000000"/>
      <w:lang w:eastAsia="en-GB"/>
    </w:rPr>
  </w:style>
  <w:style w:type="paragraph" w:customStyle="1" w:styleId="Subsection">
    <w:name w:val="Subsection"/>
    <w:uiPriority w:val="99"/>
    <w:rsid w:val="009D671A"/>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284"/>
    </w:pPr>
    <w:rPr>
      <w:rFonts w:ascii="Arial" w:eastAsia="Arial Unicode MS" w:hAnsi="Arial Unicode MS" w:cs="Arial Unicode MS"/>
      <w:b/>
      <w:bCs/>
      <w:color w:val="0072C6"/>
      <w:sz w:val="28"/>
      <w:szCs w:val="28"/>
      <w:u w:color="0072C6"/>
      <w:lang w:eastAsia="en-GB"/>
    </w:rPr>
  </w:style>
  <w:style w:type="paragraph" w:styleId="NoSpacing">
    <w:name w:val="No Spacing"/>
    <w:uiPriority w:val="99"/>
    <w:qFormat/>
    <w:rsid w:val="009D671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u w:color="000000"/>
      <w:lang w:eastAsia="en-GB"/>
    </w:rPr>
  </w:style>
  <w:style w:type="paragraph" w:styleId="Quote">
    <w:name w:val="Quote"/>
    <w:basedOn w:val="Normal"/>
    <w:next w:val="Normal"/>
    <w:link w:val="QuoteChar"/>
    <w:uiPriority w:val="99"/>
    <w:qFormat/>
    <w:rsid w:val="009D671A"/>
    <w:pPr>
      <w:spacing w:after="120" w:line="276" w:lineRule="auto"/>
      <w:ind w:left="720"/>
    </w:pPr>
    <w:rPr>
      <w:rFonts w:eastAsia="Arial Unicode MS" w:hAnsi="Arial Unicode MS" w:cs="Arial Unicode MS"/>
      <w:i/>
      <w:iCs/>
      <w:color w:val="404040"/>
      <w:sz w:val="20"/>
      <w:szCs w:val="20"/>
      <w:u w:color="404040"/>
      <w:lang w:eastAsia="en-GB"/>
    </w:rPr>
  </w:style>
  <w:style w:type="character" w:customStyle="1" w:styleId="QuoteChar">
    <w:name w:val="Quote Char"/>
    <w:basedOn w:val="DefaultParagraphFont"/>
    <w:link w:val="Quote"/>
    <w:uiPriority w:val="99"/>
    <w:locked/>
    <w:rsid w:val="009D671A"/>
    <w:rPr>
      <w:rFonts w:ascii="Arial" w:eastAsia="Arial Unicode MS" w:hAnsi="Arial Unicode MS" w:cs="Arial Unicode MS"/>
      <w:i/>
      <w:iCs/>
      <w:color w:val="404040"/>
      <w:u w:color="404040"/>
      <w:lang w:val="en-US" w:eastAsia="en-GB" w:bidi="ar-SA"/>
    </w:rPr>
  </w:style>
  <w:style w:type="paragraph" w:customStyle="1" w:styleId="Body">
    <w:name w:val="Body"/>
    <w:uiPriority w:val="99"/>
    <w:rsid w:val="009D671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w:color w:val="000000"/>
      <w:u w:color="000000"/>
      <w:lang w:val="en-GB" w:eastAsia="en-GB"/>
    </w:rPr>
  </w:style>
  <w:style w:type="paragraph" w:styleId="BalloonText">
    <w:name w:val="Balloon Text"/>
    <w:basedOn w:val="Normal"/>
    <w:link w:val="BalloonTextChar"/>
    <w:uiPriority w:val="99"/>
    <w:rsid w:val="009D671A"/>
    <w:rPr>
      <w:rFonts w:ascii="Tahoma" w:hAnsi="Tahoma" w:cs="Tahoma"/>
      <w:sz w:val="16"/>
      <w:szCs w:val="16"/>
    </w:rPr>
  </w:style>
  <w:style w:type="character" w:customStyle="1" w:styleId="BalloonTextChar">
    <w:name w:val="Balloon Text Char"/>
    <w:basedOn w:val="DefaultParagraphFont"/>
    <w:link w:val="BalloonText"/>
    <w:uiPriority w:val="99"/>
    <w:locked/>
    <w:rsid w:val="009D671A"/>
    <w:rPr>
      <w:rFonts w:ascii="Tahoma" w:eastAsia="Times New Roman" w:hAnsi="Tahoma" w:cs="Tahoma"/>
      <w:color w:val="000000"/>
      <w:sz w:val="16"/>
      <w:szCs w:val="16"/>
      <w:u w:color="000000"/>
    </w:rPr>
  </w:style>
  <w:style w:type="paragraph" w:styleId="Header">
    <w:name w:val="header"/>
    <w:basedOn w:val="Normal"/>
    <w:link w:val="HeaderChar"/>
    <w:uiPriority w:val="99"/>
    <w:rsid w:val="00C04929"/>
    <w:pPr>
      <w:tabs>
        <w:tab w:val="center" w:pos="4680"/>
        <w:tab w:val="right" w:pos="9360"/>
      </w:tabs>
    </w:pPr>
  </w:style>
  <w:style w:type="character" w:customStyle="1" w:styleId="HeaderChar">
    <w:name w:val="Header Char"/>
    <w:basedOn w:val="DefaultParagraphFont"/>
    <w:link w:val="Header"/>
    <w:uiPriority w:val="99"/>
    <w:locked/>
    <w:rsid w:val="00C04929"/>
    <w:rPr>
      <w:rFonts w:ascii="Arial" w:eastAsia="Times New Roman" w:hAnsi="Arial" w:cs="Arial"/>
      <w:color w:val="000000"/>
      <w:sz w:val="22"/>
      <w:szCs w:val="22"/>
      <w:u w:color="000000"/>
    </w:rPr>
  </w:style>
  <w:style w:type="character" w:styleId="CommentReference">
    <w:name w:val="annotation reference"/>
    <w:basedOn w:val="DefaultParagraphFont"/>
    <w:uiPriority w:val="99"/>
    <w:rsid w:val="006F5EF9"/>
    <w:rPr>
      <w:rFonts w:cs="Times New Roman"/>
      <w:sz w:val="16"/>
      <w:szCs w:val="16"/>
    </w:rPr>
  </w:style>
  <w:style w:type="paragraph" w:styleId="CommentText">
    <w:name w:val="annotation text"/>
    <w:basedOn w:val="Normal"/>
    <w:link w:val="CommentTextChar"/>
    <w:uiPriority w:val="99"/>
    <w:rsid w:val="006F5EF9"/>
    <w:rPr>
      <w:sz w:val="20"/>
      <w:szCs w:val="20"/>
    </w:rPr>
  </w:style>
  <w:style w:type="character" w:customStyle="1" w:styleId="CommentTextChar">
    <w:name w:val="Comment Text Char"/>
    <w:basedOn w:val="DefaultParagraphFont"/>
    <w:link w:val="CommentText"/>
    <w:uiPriority w:val="99"/>
    <w:locked/>
    <w:rsid w:val="006F5EF9"/>
    <w:rPr>
      <w:rFonts w:ascii="Arial" w:eastAsia="Times New Roman" w:hAnsi="Arial" w:cs="Arial"/>
      <w:color w:val="000000"/>
      <w:u w:color="000000"/>
    </w:rPr>
  </w:style>
  <w:style w:type="paragraph" w:styleId="CommentSubject">
    <w:name w:val="annotation subject"/>
    <w:basedOn w:val="CommentText"/>
    <w:next w:val="CommentText"/>
    <w:link w:val="CommentSubjectChar"/>
    <w:uiPriority w:val="99"/>
    <w:rsid w:val="006F5EF9"/>
    <w:rPr>
      <w:b/>
      <w:bCs/>
    </w:rPr>
  </w:style>
  <w:style w:type="character" w:customStyle="1" w:styleId="CommentSubjectChar">
    <w:name w:val="Comment Subject Char"/>
    <w:basedOn w:val="CommentTextChar"/>
    <w:link w:val="CommentSubject"/>
    <w:uiPriority w:val="99"/>
    <w:locked/>
    <w:rsid w:val="006F5EF9"/>
    <w:rPr>
      <w:rFonts w:ascii="Arial" w:eastAsia="Times New Roman" w:hAnsi="Arial" w:cs="Arial"/>
      <w:b/>
      <w:bCs/>
      <w:color w:val="000000"/>
      <w:u w:color="000000"/>
    </w:rPr>
  </w:style>
  <w:style w:type="numbering" w:customStyle="1" w:styleId="List8">
    <w:name w:val="List 8"/>
    <w:rsid w:val="0097639C"/>
    <w:pPr>
      <w:numPr>
        <w:numId w:val="19"/>
      </w:numPr>
    </w:pPr>
  </w:style>
  <w:style w:type="numbering" w:customStyle="1" w:styleId="List41">
    <w:name w:val="List 41"/>
    <w:rsid w:val="0097639C"/>
    <w:pPr>
      <w:numPr>
        <w:numId w:val="8"/>
      </w:numPr>
    </w:pPr>
  </w:style>
  <w:style w:type="numbering" w:customStyle="1" w:styleId="List16">
    <w:name w:val="List 16"/>
    <w:rsid w:val="0097639C"/>
    <w:pPr>
      <w:numPr>
        <w:numId w:val="33"/>
      </w:numPr>
    </w:pPr>
  </w:style>
  <w:style w:type="numbering" w:customStyle="1" w:styleId="List1">
    <w:name w:val="List 1"/>
    <w:rsid w:val="0097639C"/>
    <w:pPr>
      <w:numPr>
        <w:numId w:val="2"/>
      </w:numPr>
    </w:pPr>
  </w:style>
  <w:style w:type="numbering" w:customStyle="1" w:styleId="List7">
    <w:name w:val="List 7"/>
    <w:rsid w:val="0097639C"/>
    <w:pPr>
      <w:numPr>
        <w:numId w:val="18"/>
      </w:numPr>
    </w:pPr>
  </w:style>
  <w:style w:type="numbering" w:customStyle="1" w:styleId="List14">
    <w:name w:val="List 14"/>
    <w:rsid w:val="0097639C"/>
    <w:pPr>
      <w:numPr>
        <w:numId w:val="29"/>
      </w:numPr>
    </w:pPr>
  </w:style>
  <w:style w:type="numbering" w:customStyle="1" w:styleId="List12">
    <w:name w:val="List 12"/>
    <w:rsid w:val="0097639C"/>
    <w:pPr>
      <w:numPr>
        <w:numId w:val="23"/>
      </w:numPr>
    </w:pPr>
  </w:style>
  <w:style w:type="numbering" w:customStyle="1" w:styleId="List6">
    <w:name w:val="List 6"/>
    <w:rsid w:val="0097639C"/>
    <w:pPr>
      <w:numPr>
        <w:numId w:val="15"/>
      </w:numPr>
    </w:pPr>
  </w:style>
  <w:style w:type="numbering" w:customStyle="1" w:styleId="List9">
    <w:name w:val="List 9"/>
    <w:rsid w:val="0097639C"/>
    <w:pPr>
      <w:numPr>
        <w:numId w:val="20"/>
      </w:numPr>
    </w:pPr>
  </w:style>
  <w:style w:type="numbering" w:customStyle="1" w:styleId="List10">
    <w:name w:val="List 10"/>
    <w:rsid w:val="0097639C"/>
    <w:pPr>
      <w:numPr>
        <w:numId w:val="21"/>
      </w:numPr>
    </w:pPr>
  </w:style>
  <w:style w:type="numbering" w:customStyle="1" w:styleId="List21">
    <w:name w:val="List 21"/>
    <w:rsid w:val="0097639C"/>
    <w:pPr>
      <w:numPr>
        <w:numId w:val="3"/>
      </w:numPr>
    </w:pPr>
  </w:style>
  <w:style w:type="numbering" w:customStyle="1" w:styleId="List31">
    <w:name w:val="List 31"/>
    <w:rsid w:val="0097639C"/>
    <w:pPr>
      <w:numPr>
        <w:numId w:val="5"/>
      </w:numPr>
    </w:pPr>
  </w:style>
  <w:style w:type="numbering" w:customStyle="1" w:styleId="List51">
    <w:name w:val="List 51"/>
    <w:rsid w:val="0097639C"/>
    <w:pPr>
      <w:numPr>
        <w:numId w:val="13"/>
      </w:numPr>
    </w:pPr>
  </w:style>
  <w:style w:type="numbering" w:customStyle="1" w:styleId="List13">
    <w:name w:val="List 13"/>
    <w:rsid w:val="0097639C"/>
    <w:pPr>
      <w:numPr>
        <w:numId w:val="24"/>
      </w:numPr>
    </w:pPr>
  </w:style>
  <w:style w:type="numbering" w:customStyle="1" w:styleId="List15">
    <w:name w:val="List 15"/>
    <w:rsid w:val="0097639C"/>
    <w:pPr>
      <w:numPr>
        <w:numId w:val="31"/>
      </w:numPr>
    </w:pPr>
  </w:style>
  <w:style w:type="numbering" w:customStyle="1" w:styleId="List0">
    <w:name w:val="List 0"/>
    <w:rsid w:val="0097639C"/>
    <w:pPr>
      <w:numPr>
        <w:numId w:val="1"/>
      </w:numPr>
    </w:pPr>
  </w:style>
  <w:style w:type="numbering" w:customStyle="1" w:styleId="List11">
    <w:name w:val="List 11"/>
    <w:rsid w:val="0097639C"/>
    <w:pPr>
      <w:numPr>
        <w:numId w:val="34"/>
      </w:numPr>
    </w:pPr>
  </w:style>
  <w:style w:type="table" w:styleId="TableGrid">
    <w:name w:val="Table Grid"/>
    <w:basedOn w:val="TableNormal"/>
    <w:uiPriority w:val="59"/>
    <w:rsid w:val="00752C56"/>
    <w:rPr>
      <w:rFonts w:ascii="Calibri" w:eastAsia="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3479">
      <w:bodyDiv w:val="1"/>
      <w:marLeft w:val="0"/>
      <w:marRight w:val="0"/>
      <w:marTop w:val="0"/>
      <w:marBottom w:val="0"/>
      <w:divBdr>
        <w:top w:val="none" w:sz="0" w:space="0" w:color="auto"/>
        <w:left w:val="none" w:sz="0" w:space="0" w:color="auto"/>
        <w:bottom w:val="none" w:sz="0" w:space="0" w:color="auto"/>
        <w:right w:val="none" w:sz="0" w:space="0" w:color="auto"/>
      </w:divBdr>
    </w:div>
    <w:div w:id="620843900">
      <w:marLeft w:val="0"/>
      <w:marRight w:val="0"/>
      <w:marTop w:val="0"/>
      <w:marBottom w:val="0"/>
      <w:divBdr>
        <w:top w:val="none" w:sz="0" w:space="0" w:color="auto"/>
        <w:left w:val="none" w:sz="0" w:space="0" w:color="auto"/>
        <w:bottom w:val="none" w:sz="0" w:space="0" w:color="auto"/>
        <w:right w:val="none" w:sz="0" w:space="0" w:color="auto"/>
      </w:divBdr>
    </w:div>
    <w:div w:id="620843901">
      <w:marLeft w:val="0"/>
      <w:marRight w:val="0"/>
      <w:marTop w:val="0"/>
      <w:marBottom w:val="0"/>
      <w:divBdr>
        <w:top w:val="none" w:sz="0" w:space="0" w:color="auto"/>
        <w:left w:val="none" w:sz="0" w:space="0" w:color="auto"/>
        <w:bottom w:val="none" w:sz="0" w:space="0" w:color="auto"/>
        <w:right w:val="none" w:sz="0" w:space="0" w:color="auto"/>
      </w:divBdr>
    </w:div>
    <w:div w:id="12962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90CC4-B44B-4DF2-B93A-AA801608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2420</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HWPH-TR</Company>
  <LinksUpToDate>false</LinksUpToDate>
  <CharactersWithSpaces>15968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Hedges</dc:creator>
  <cp:lastModifiedBy>Gemma Broadbent - Category Manager  (IM&amp;T)</cp:lastModifiedBy>
  <cp:revision>11</cp:revision>
  <dcterms:created xsi:type="dcterms:W3CDTF">2017-10-26T08:52:00Z</dcterms:created>
  <dcterms:modified xsi:type="dcterms:W3CDTF">2017-11-13T15:23:00Z</dcterms:modified>
</cp:coreProperties>
</file>