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74345478"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6E0F8F61" w:rsidR="006A3905" w:rsidRDefault="0048592D" w:rsidP="002468CA">
      <w:pPr>
        <w:pStyle w:val="DefaultText"/>
        <w:jc w:val="center"/>
        <w:rPr>
          <w:rFonts w:ascii="Arial" w:hAnsi="Arial" w:cs="Arial"/>
          <w:b/>
          <w:bCs/>
          <w:sz w:val="28"/>
          <w:szCs w:val="28"/>
          <w:lang w:val="en-GB"/>
        </w:rPr>
      </w:pPr>
      <w:r w:rsidRPr="00D4764B">
        <w:rPr>
          <w:rFonts w:ascii="Arial" w:hAnsi="Arial" w:cs="Arial"/>
          <w:b/>
          <w:bCs/>
          <w:sz w:val="28"/>
          <w:szCs w:val="28"/>
          <w:lang w:val="en-GB"/>
        </w:rPr>
        <w:t>CLEAN AIR TECHNOLOGIES LTD</w:t>
      </w: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06104243" w14:textId="04E8009B" w:rsidR="00E676F5" w:rsidRDefault="0048592D"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sidRPr="0048592D">
        <w:rPr>
          <w:rFonts w:ascii="Arial" w:hAnsi="Arial" w:cs="Arial"/>
          <w:b/>
          <w:bCs/>
          <w:sz w:val="28"/>
          <w:szCs w:val="28"/>
          <w:lang w:val="en-GB"/>
        </w:rPr>
        <w:t>THE PROVISION  FOR THE INSTALLATION OF DETONATOR TESTBUILDING LOCAL EXHAUST VENTILATION (LEV)</w:t>
      </w:r>
    </w:p>
    <w:p w14:paraId="44B43564" w14:textId="77777777" w:rsidR="002468CA" w:rsidRDefault="002468CA" w:rsidP="002468CA">
      <w:pPr>
        <w:ind w:left="-108"/>
      </w:pPr>
    </w:p>
    <w:p w14:paraId="50712195" w14:textId="77777777" w:rsidR="002468CA" w:rsidRDefault="002468CA" w:rsidP="002468CA"/>
    <w:p w14:paraId="1F222C52" w14:textId="77777777" w:rsidR="002468CA" w:rsidRDefault="002468CA" w:rsidP="002468CA">
      <w:pPr>
        <w:pStyle w:val="DefaultText"/>
        <w:rPr>
          <w:lang w:val="en-GB"/>
        </w:rPr>
      </w:pPr>
    </w:p>
    <w:p w14:paraId="16AC8D73" w14:textId="77777777" w:rsidR="002468CA" w:rsidRDefault="002468CA" w:rsidP="0048592D">
      <w:pPr>
        <w:pStyle w:val="DefaultText"/>
        <w:jc w:val="center"/>
        <w:rPr>
          <w:lang w:val="en-GB"/>
        </w:rPr>
      </w:pPr>
    </w:p>
    <w:p w14:paraId="74BB3BBB" w14:textId="7F9741BE" w:rsidR="002468CA" w:rsidRPr="001D6EBF" w:rsidRDefault="0048592D" w:rsidP="0048592D">
      <w:pPr>
        <w:pStyle w:val="DefaultText"/>
        <w:jc w:val="center"/>
        <w:rPr>
          <w:rFonts w:ascii="Arial" w:hAnsi="Arial" w:cs="Arial"/>
          <w:b/>
          <w:bCs/>
          <w:sz w:val="40"/>
          <w:szCs w:val="40"/>
          <w:lang w:val="en-GB"/>
        </w:rPr>
      </w:pPr>
      <w:r w:rsidRPr="001D6EBF">
        <w:rPr>
          <w:rFonts w:ascii="Arial" w:hAnsi="Arial" w:cs="Arial"/>
          <w:b/>
          <w:bCs/>
          <w:sz w:val="40"/>
          <w:szCs w:val="40"/>
          <w:lang w:val="en-GB"/>
        </w:rPr>
        <w:t xml:space="preserve">HSE </w:t>
      </w:r>
      <w:r w:rsidR="00C316A8">
        <w:rPr>
          <w:rFonts w:ascii="Arial" w:hAnsi="Arial" w:cs="Arial"/>
          <w:b/>
          <w:bCs/>
          <w:sz w:val="40"/>
          <w:szCs w:val="40"/>
          <w:lang w:val="en-GB"/>
        </w:rPr>
        <w:t>/</w:t>
      </w:r>
      <w:r w:rsidRPr="001D6EBF">
        <w:rPr>
          <w:rFonts w:ascii="Arial" w:hAnsi="Arial" w:cs="Arial"/>
          <w:b/>
          <w:bCs/>
          <w:sz w:val="40"/>
          <w:szCs w:val="40"/>
          <w:lang w:val="en-GB"/>
        </w:rPr>
        <w:t>T4520</w:t>
      </w: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53FABD4E" w:rsidR="006D4068" w:rsidRPr="00153A85" w:rsidRDefault="00671296" w:rsidP="00F20F0D">
      <w:pPr>
        <w:pStyle w:val="DefaultText"/>
        <w:suppressAutoHyphens/>
        <w:jc w:val="both"/>
        <w:rPr>
          <w:rFonts w:ascii="Arial" w:hAnsi="Arial"/>
          <w:noProof/>
          <w:lang w:val="en-GB"/>
        </w:rPr>
      </w:pPr>
      <w:r>
        <w:rPr>
          <w:rFonts w:ascii="Arial" w:hAnsi="Arial"/>
          <w:b/>
          <w:noProof/>
          <w:lang w:val="en-GB"/>
        </w:rPr>
        <w:t xml:space="preserve">Clean Air Technologies </w:t>
      </w:r>
      <w:r w:rsidR="006D4068" w:rsidRPr="00153A85">
        <w:rPr>
          <w:rFonts w:ascii="Arial" w:hAnsi="Arial"/>
          <w:noProof/>
          <w:lang w:val="en-GB"/>
        </w:rPr>
        <w:t xml:space="preserve">, company registration number </w:t>
      </w:r>
      <w:r w:rsidR="001563D6" w:rsidRPr="001563D6">
        <w:rPr>
          <w:rFonts w:ascii="Arial" w:hAnsi="Arial"/>
          <w:noProof/>
          <w:lang w:val="en-GB"/>
        </w:rPr>
        <w:t>GB702706269</w:t>
      </w:r>
      <w:r w:rsidR="006D4068" w:rsidRPr="00153A85">
        <w:rPr>
          <w:rFonts w:ascii="Arial" w:hAnsi="Arial"/>
          <w:noProof/>
          <w:lang w:val="en-GB"/>
        </w:rPr>
        <w:t xml:space="preserve"> and whose registered office is at </w:t>
      </w:r>
      <w:r w:rsidR="00F20F0D" w:rsidRPr="00F20F0D">
        <w:rPr>
          <w:rFonts w:ascii="Arial" w:hAnsi="Arial"/>
          <w:noProof/>
          <w:lang w:val="en-GB"/>
        </w:rPr>
        <w:t>Epsilon House, Laser Quay, Rochester,</w:t>
      </w:r>
      <w:r w:rsidR="00F20F0D">
        <w:rPr>
          <w:rFonts w:ascii="Arial" w:hAnsi="Arial"/>
          <w:noProof/>
          <w:lang w:val="en-GB"/>
        </w:rPr>
        <w:t xml:space="preserve"> </w:t>
      </w:r>
      <w:r w:rsidR="00F20F0D" w:rsidRPr="00F20F0D">
        <w:rPr>
          <w:rFonts w:ascii="Arial" w:hAnsi="Arial"/>
          <w:noProof/>
          <w:lang w:val="en-GB"/>
        </w:rPr>
        <w:t>ME2 4HU</w:t>
      </w:r>
      <w:r w:rsidR="006D4068" w:rsidRPr="00153A85">
        <w:rPr>
          <w:rFonts w:ascii="Arial" w:hAnsi="Arial"/>
          <w:noProof/>
          <w:lang w:val="en-GB"/>
        </w:rPr>
        <w:t xml:space="preserve"> (hereinafter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6C1988B6" w:rsidR="006D4068" w:rsidRPr="00153A85" w:rsidRDefault="006D4068" w:rsidP="0092358F">
      <w:pPr>
        <w:pStyle w:val="DefaultText"/>
        <w:suppressAutoHyphens/>
        <w:jc w:val="both"/>
        <w:rPr>
          <w:rFonts w:ascii="Arial" w:hAnsi="Arial" w:cs="Arial"/>
          <w:noProof/>
          <w:szCs w:val="24"/>
          <w:lang w:val="en-GB"/>
        </w:rPr>
      </w:pPr>
      <w:r w:rsidRPr="00153A85">
        <w:rPr>
          <w:rFonts w:ascii="Arial" w:hAnsi="Arial" w:cs="Arial"/>
          <w:noProof/>
          <w:szCs w:val="24"/>
          <w:lang w:val="en-GB"/>
        </w:rPr>
        <w:t>The Contractor was successful as a result of a</w:t>
      </w:r>
      <w:r w:rsidRPr="007C22E3">
        <w:rPr>
          <w:rFonts w:ascii="Arial" w:hAnsi="Arial" w:cs="Arial"/>
          <w:bCs/>
          <w:noProof/>
          <w:szCs w:val="24"/>
          <w:lang w:val="en-GB"/>
        </w:rPr>
        <w:t xml:space="preserve"> </w:t>
      </w:r>
      <w:r w:rsidR="007C22E3" w:rsidRPr="007C22E3">
        <w:rPr>
          <w:rFonts w:ascii="Arial" w:hAnsi="Arial" w:cs="Arial"/>
          <w:bCs/>
          <w:noProof/>
          <w:szCs w:val="24"/>
          <w:lang w:val="en-GB"/>
        </w:rPr>
        <w:t>tender</w:t>
      </w:r>
      <w:r w:rsidRPr="00153A85">
        <w:rPr>
          <w:rFonts w:ascii="Arial" w:hAnsi="Arial" w:cs="Arial"/>
          <w:noProof/>
          <w:szCs w:val="24"/>
          <w:lang w:val="en-GB"/>
        </w:rPr>
        <w:t xml:space="preserve"> exercise to deliver </w:t>
      </w:r>
      <w:r w:rsidR="007C22E3" w:rsidRPr="007C22E3">
        <w:rPr>
          <w:rFonts w:ascii="Arial" w:hAnsi="Arial" w:cs="Arial"/>
          <w:b/>
          <w:bCs/>
          <w:noProof/>
          <w:szCs w:val="24"/>
          <w:lang w:val="en-GB"/>
        </w:rPr>
        <w:t>The Provision  For The Installation Of Detonator Testbuilding Local Exhaust Ventilation (Lev)</w:t>
      </w:r>
      <w:r w:rsidR="007C22E3">
        <w:rPr>
          <w:rFonts w:ascii="Arial" w:hAnsi="Arial" w:cs="Arial"/>
          <w:b/>
          <w:bCs/>
          <w:noProof/>
          <w:szCs w:val="24"/>
          <w:lang w:val="en-GB"/>
        </w:rPr>
        <w:t>.</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9F6FB03" w14:textId="77777777" w:rsidR="002F3321" w:rsidRDefault="002F3321"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9DA3083" w14:textId="77777777" w:rsidR="002F3321" w:rsidRDefault="002F3321"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A954501" w14:textId="77777777" w:rsidR="002F3321" w:rsidRDefault="002F3321"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5C6391BF"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w:t>
      </w:r>
      <w:r w:rsidR="002F3321">
        <w:rPr>
          <w:rFonts w:ascii="Arial" w:hAnsi="Arial"/>
          <w:noProof/>
          <w:lang w:val="en-GB"/>
        </w:rPr>
        <w:t xml:space="preserve"> 1</w:t>
      </w:r>
      <w:r w:rsidR="002F3321" w:rsidRPr="00EA0293">
        <w:rPr>
          <w:rFonts w:ascii="Arial" w:hAnsi="Arial"/>
          <w:b/>
          <w:bCs/>
          <w:noProof/>
          <w:lang w:val="en-GB"/>
        </w:rPr>
        <w:t>3</w:t>
      </w:r>
      <w:r w:rsidR="002F3321" w:rsidRPr="00EA0293">
        <w:rPr>
          <w:rFonts w:ascii="Arial" w:hAnsi="Arial"/>
          <w:b/>
          <w:bCs/>
          <w:noProof/>
          <w:vertAlign w:val="superscript"/>
          <w:lang w:val="en-GB"/>
        </w:rPr>
        <w:t>th</w:t>
      </w:r>
      <w:r w:rsidR="002F3321" w:rsidRPr="00EA0293">
        <w:rPr>
          <w:rFonts w:ascii="Arial" w:hAnsi="Arial"/>
          <w:b/>
          <w:bCs/>
          <w:noProof/>
          <w:lang w:val="en-GB"/>
        </w:rPr>
        <w:t xml:space="preserve"> March 2024 </w:t>
      </w:r>
      <w:r w:rsidR="006D4068" w:rsidRPr="00153A85">
        <w:rPr>
          <w:rFonts w:ascii="Arial" w:hAnsi="Arial"/>
          <w:noProof/>
          <w:lang w:val="en-GB"/>
        </w:rPr>
        <w:t xml:space="preserve">and shall be completed by </w:t>
      </w:r>
      <w:r w:rsidR="00EA0293">
        <w:rPr>
          <w:rFonts w:ascii="Arial" w:hAnsi="Arial"/>
          <w:b/>
          <w:noProof/>
          <w:lang w:val="en-GB"/>
        </w:rPr>
        <w:t>17</w:t>
      </w:r>
      <w:r w:rsidR="00EA0293" w:rsidRPr="00EA0293">
        <w:rPr>
          <w:rFonts w:ascii="Arial" w:hAnsi="Arial"/>
          <w:b/>
          <w:noProof/>
          <w:vertAlign w:val="superscript"/>
          <w:lang w:val="en-GB"/>
        </w:rPr>
        <w:t>th</w:t>
      </w:r>
      <w:r w:rsidR="00EA0293">
        <w:rPr>
          <w:rFonts w:ascii="Arial" w:hAnsi="Arial"/>
          <w:b/>
          <w:noProof/>
          <w:lang w:val="en-GB"/>
        </w:rPr>
        <w:t xml:space="preserve"> May 2024</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0AEC0E95"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A83FC7">
        <w:rPr>
          <w:rFonts w:ascii="Arial" w:hAnsi="Arial" w:cs="Arial"/>
          <w:noProof/>
          <w:lang w:val="en-GB"/>
        </w:rPr>
        <w:t>53,268</w:t>
      </w:r>
      <w:r w:rsidR="006A3905">
        <w:rPr>
          <w:rFonts w:ascii="Arial" w:hAnsi="Arial" w:cs="Arial"/>
          <w:noProof/>
          <w:lang w:val="en-GB"/>
        </w:rPr>
        <w:t>,</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62AE0DC0" w14:textId="5BCAC0BE" w:rsidR="00824D45" w:rsidRDefault="00EF3BBD" w:rsidP="008D3DF8">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768E785A" w14:textId="77777777" w:rsidR="008D3DF8" w:rsidRPr="008D3DF8" w:rsidRDefault="008D3DF8" w:rsidP="008D3DF8">
      <w:pPr>
        <w:pStyle w:val="ListBullet"/>
        <w:keepLines/>
        <w:tabs>
          <w:tab w:val="clear" w:pos="566"/>
          <w:tab w:val="left" w:pos="720"/>
        </w:tabs>
        <w:suppressAutoHyphens/>
        <w:ind w:left="720" w:hanging="720"/>
        <w:rPr>
          <w:rFonts w:ascii="Arial" w:hAnsi="Arial" w:cs="Arial"/>
          <w:color w:val="0000FF"/>
          <w:u w:val="single"/>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49A5B44D" w:rsidR="00E251E6" w:rsidRPr="004D576B"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The Contractor shall provide</w:t>
      </w:r>
      <w:r w:rsidR="00C56B5E">
        <w:rPr>
          <w:rFonts w:ascii="Arial" w:hAnsi="Arial" w:cs="Arial"/>
          <w:szCs w:val="24"/>
        </w:rPr>
        <w:t xml:space="preserve"> the deliverables detailed in Schedule A.</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0030FA33" w14:textId="77777777" w:rsidR="008D3DF8" w:rsidRDefault="008D3DF8" w:rsidP="0092358F">
      <w:pPr>
        <w:shd w:val="clear" w:color="auto" w:fill="FFFFFF"/>
        <w:rPr>
          <w:rFonts w:ascii="Arial" w:hAnsi="Arial" w:cs="Arial"/>
          <w:b/>
          <w:color w:val="000000"/>
          <w:szCs w:val="24"/>
          <w:lang w:eastAsia="en-GB"/>
        </w:rPr>
      </w:pPr>
    </w:p>
    <w:p w14:paraId="4D22478B" w14:textId="77777777" w:rsidR="008D3DF8" w:rsidRDefault="008D3DF8"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lastRenderedPageBreak/>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7E949E43" w:rsidR="007F54BA" w:rsidRPr="00105A8F" w:rsidRDefault="007F54BA" w:rsidP="00105A8F">
      <w:pPr>
        <w:ind w:left="720" w:hanging="720"/>
        <w:rPr>
          <w:b/>
        </w:rPr>
      </w:pPr>
      <w:r w:rsidRPr="00105A8F">
        <w:rPr>
          <w:b/>
        </w:rPr>
        <w:t>13.</w:t>
      </w:r>
      <w:r w:rsidRPr="00105A8F">
        <w:rPr>
          <w:b/>
        </w:rPr>
        <w:tab/>
      </w:r>
      <w:r w:rsidR="008D3DF8" w:rsidRPr="008D3DF8">
        <w:rPr>
          <w:rFonts w:asciiTheme="minorBidi" w:hAnsiTheme="minorBidi" w:cstheme="minorBidi"/>
          <w:b/>
          <w:szCs w:val="24"/>
        </w:rPr>
        <w:t xml:space="preserve">TRANSPARENCY </w:t>
      </w:r>
    </w:p>
    <w:p w14:paraId="4AE8B129" w14:textId="77777777" w:rsidR="007F54BA" w:rsidRPr="00105A8F" w:rsidRDefault="007F54BA" w:rsidP="007F54BA">
      <w:pPr>
        <w:tabs>
          <w:tab w:val="center" w:pos="709"/>
          <w:tab w:val="right" w:pos="8306"/>
        </w:tabs>
        <w:ind w:left="705" w:hanging="705"/>
      </w:pPr>
    </w:p>
    <w:p w14:paraId="5BE14AD5" w14:textId="77777777" w:rsidR="007F54BA" w:rsidRPr="00105A8F" w:rsidRDefault="007F54BA" w:rsidP="007F54BA">
      <w:pPr>
        <w:ind w:left="705" w:hanging="705"/>
        <w:rPr>
          <w:rFonts w:asciiTheme="minorBidi" w:hAnsiTheme="minorBidi" w:cstheme="minorBidi"/>
        </w:rPr>
      </w:pPr>
      <w:r w:rsidRPr="00105A8F">
        <w:t>13.1</w:t>
      </w:r>
      <w:r w:rsidRPr="00105A8F">
        <w:rPr>
          <w:rFonts w:asciiTheme="minorBidi" w:hAnsiTheme="minorBidi" w:cstheme="minorBidi"/>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105A8F" w:rsidRDefault="007F54BA" w:rsidP="007F54BA">
      <w:pPr>
        <w:rPr>
          <w:rFonts w:asciiTheme="minorBidi" w:hAnsiTheme="minorBidi" w:cstheme="minorBidi"/>
        </w:rPr>
      </w:pPr>
    </w:p>
    <w:p w14:paraId="5099D8CB" w14:textId="77777777" w:rsidR="007F54BA" w:rsidRPr="00105A8F" w:rsidRDefault="007F54BA" w:rsidP="007F54BA">
      <w:pPr>
        <w:ind w:left="705" w:hanging="705"/>
        <w:rPr>
          <w:rFonts w:asciiTheme="minorBidi" w:hAnsiTheme="minorBidi" w:cstheme="minorBidi"/>
        </w:rPr>
      </w:pPr>
      <w:r w:rsidRPr="00105A8F">
        <w:rPr>
          <w:rFonts w:asciiTheme="minorBidi" w:hAnsiTheme="minorBidi" w:cstheme="minorBidi"/>
        </w:rPr>
        <w:t>13.2</w:t>
      </w:r>
      <w:r w:rsidRPr="00105A8F">
        <w:rPr>
          <w:rFonts w:asciiTheme="minorBidi" w:hAnsiTheme="minorBidi" w:cstheme="minorBidi"/>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105A8F" w:rsidRDefault="007F54BA" w:rsidP="007F54BA">
      <w:pPr>
        <w:rPr>
          <w:rFonts w:asciiTheme="minorBidi" w:hAnsiTheme="minorBidi" w:cstheme="minorBidi"/>
        </w:rPr>
      </w:pPr>
    </w:p>
    <w:p w14:paraId="6EB48E9F" w14:textId="77777777" w:rsidR="007F54BA" w:rsidRPr="00105A8F" w:rsidRDefault="007F54BA" w:rsidP="007F54BA">
      <w:pPr>
        <w:tabs>
          <w:tab w:val="center" w:pos="709"/>
          <w:tab w:val="right" w:pos="8306"/>
        </w:tabs>
        <w:ind w:left="705" w:hanging="705"/>
        <w:rPr>
          <w:rFonts w:asciiTheme="minorBidi" w:hAnsiTheme="minorBidi" w:cstheme="minorBidi"/>
        </w:rPr>
      </w:pPr>
      <w:r w:rsidRPr="00105A8F">
        <w:rPr>
          <w:rFonts w:asciiTheme="minorBidi" w:hAnsiTheme="minorBidi" w:cstheme="minorBidi"/>
        </w:rPr>
        <w:t>13.3</w:t>
      </w:r>
      <w:r w:rsidRPr="00105A8F">
        <w:rPr>
          <w:rFonts w:asciiTheme="minorBidi" w:hAnsiTheme="minorBidi" w:cstheme="minorBidi"/>
        </w:rPr>
        <w:tab/>
      </w:r>
      <w:r w:rsidRPr="00105A8F">
        <w:rPr>
          <w:rFonts w:asciiTheme="minorBidi" w:hAnsiTheme="minorBidi" w:cstheme="minorBidi"/>
        </w:rPr>
        <w:tab/>
        <w:t>By exception, requests for redaction will be subject to the public interest test and redaction will only be agreed where</w:t>
      </w:r>
      <w:r w:rsidRPr="00105A8F">
        <w:rPr>
          <w:rFonts w:asciiTheme="minorBidi" w:hAnsiTheme="minorBidi" w:cstheme="minorBidi"/>
          <w:lang w:val="en"/>
        </w:rPr>
        <w:t xml:space="preserve"> the public interest in withholding the information outweighs the public interest in disclosure.  You</w:t>
      </w:r>
      <w:r w:rsidRPr="00105A8F">
        <w:rPr>
          <w:rFonts w:asciiTheme="minorBidi" w:hAnsiTheme="minorBidi" w:cstheme="minorBidi"/>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105A8F" w:rsidRDefault="007F54BA" w:rsidP="007F54BA">
      <w:pPr>
        <w:tabs>
          <w:tab w:val="center" w:pos="709"/>
          <w:tab w:val="right" w:pos="8306"/>
        </w:tabs>
        <w:ind w:left="705" w:hanging="705"/>
      </w:pP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37A1C8AC" w14:textId="77777777" w:rsidR="008D3DF8" w:rsidRDefault="008D3DF8" w:rsidP="003D319A">
      <w:pPr>
        <w:pStyle w:val="NumberList"/>
        <w:tabs>
          <w:tab w:val="left" w:pos="720"/>
        </w:tabs>
        <w:suppressAutoHyphens/>
        <w:ind w:left="709" w:hanging="709"/>
        <w:jc w:val="both"/>
        <w:rPr>
          <w:rFonts w:ascii="Arial" w:hAnsi="Arial" w:cs="Arial"/>
        </w:rPr>
      </w:pPr>
    </w:p>
    <w:p w14:paraId="0A7B4ABC" w14:textId="77777777" w:rsidR="008D3DF8" w:rsidRDefault="008D3DF8"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lastRenderedPageBreak/>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77777777"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6639E367" w14:textId="77777777" w:rsidR="00802B51" w:rsidRPr="00153A85" w:rsidRDefault="00802B5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68A6FC4B" w14:textId="018CC4B0" w:rsidR="00F20F0D" w:rsidRDefault="00F20F0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CLEAN AIR TECHNOLOGIES</w:t>
            </w:r>
          </w:p>
          <w:p w14:paraId="70A518F7" w14:textId="26D8DD1A" w:rsidR="0011757A" w:rsidRPr="00F20F0D" w:rsidRDefault="00F20F0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noProof/>
              </w:rPr>
            </w:pPr>
            <w:r w:rsidRPr="00F20F0D">
              <w:rPr>
                <w:rFonts w:ascii="Arial" w:hAnsi="Arial" w:cs="Arial"/>
                <w:noProof/>
              </w:rPr>
              <w:t>Epsilon House, Laser Quay, Rochester, ME2 4HU</w:t>
            </w:r>
          </w:p>
          <w:p w14:paraId="08BBAFDF" w14:textId="77777777" w:rsidR="0011757A" w:rsidRPr="00603B93" w:rsidRDefault="0011757A" w:rsidP="0011757A">
            <w:pPr>
              <w:tabs>
                <w:tab w:val="left" w:pos="851"/>
              </w:tabs>
              <w:jc w:val="left"/>
              <w:textAlignment w:val="auto"/>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074DC4"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noProof/>
          <w:lang w:val="en-GB"/>
        </w:rPr>
      </w:pPr>
    </w:p>
    <w:p w14:paraId="125A7274" w14:textId="7E2D741D" w:rsidR="006D4068" w:rsidRPr="00074DC4" w:rsidRDefault="006D4068" w:rsidP="004F719C">
      <w:pPr>
        <w:rPr>
          <w:rFonts w:ascii="Arial" w:hAnsi="Arial" w:cs="Arial"/>
        </w:rPr>
      </w:pPr>
      <w:r w:rsidRPr="00074DC4">
        <w:rPr>
          <w:rFonts w:ascii="Arial" w:hAnsi="Arial" w:cs="Arial"/>
          <w:noProof/>
        </w:rPr>
        <w:t xml:space="preserve">The Contractor shall undertake the following </w:t>
      </w:r>
      <w:r w:rsidR="00697C59" w:rsidRPr="00074DC4">
        <w:rPr>
          <w:rFonts w:ascii="Arial" w:hAnsi="Arial" w:cs="Arial"/>
          <w:noProof/>
        </w:rPr>
        <w:t>Statement of Service</w:t>
      </w:r>
      <w:r w:rsidRPr="00074DC4">
        <w:rPr>
          <w:rFonts w:ascii="Arial" w:hAnsi="Arial" w:cs="Arial"/>
          <w:noProof/>
        </w:rPr>
        <w:t xml:space="preserve"> titled,</w:t>
      </w:r>
      <w:r w:rsidR="00802B51" w:rsidRPr="00074DC4">
        <w:rPr>
          <w:rFonts w:ascii="Arial" w:hAnsi="Arial" w:cs="Arial"/>
        </w:rPr>
        <w:t xml:space="preserve"> </w:t>
      </w:r>
      <w:r w:rsidR="00074DC4" w:rsidRPr="00074DC4">
        <w:rPr>
          <w:rFonts w:ascii="Arial" w:hAnsi="Arial" w:cs="Arial"/>
        </w:rPr>
        <w:t>The Provision  For The Installation Of Detonator Test</w:t>
      </w:r>
      <w:r w:rsidR="009638DE">
        <w:rPr>
          <w:rFonts w:ascii="Arial" w:hAnsi="Arial" w:cs="Arial"/>
        </w:rPr>
        <w:t xml:space="preserve"> </w:t>
      </w:r>
      <w:r w:rsidR="00074DC4" w:rsidRPr="00074DC4">
        <w:rPr>
          <w:rFonts w:ascii="Arial" w:hAnsi="Arial" w:cs="Arial"/>
        </w:rPr>
        <w:t xml:space="preserve">building Local Exhaust Ventilation (Lev) </w:t>
      </w:r>
    </w:p>
    <w:p w14:paraId="32E57BCC" w14:textId="77777777" w:rsidR="006D4068" w:rsidRPr="00074DC4" w:rsidRDefault="006D4068" w:rsidP="00074DC4"/>
    <w:p w14:paraId="28CB08AB" w14:textId="77777777" w:rsidR="006D4068" w:rsidRPr="00153A85" w:rsidRDefault="006D4068" w:rsidP="006D4068">
      <w:pPr>
        <w:pStyle w:val="DefaultText2"/>
        <w:tabs>
          <w:tab w:val="left" w:pos="851"/>
        </w:tabs>
        <w:ind w:left="851" w:hanging="851"/>
        <w:rPr>
          <w:rFonts w:ascii="Arial" w:hAnsi="Arial"/>
          <w:noProof/>
          <w:lang w:val="en-GB"/>
        </w:rPr>
      </w:pPr>
    </w:p>
    <w:bookmarkStart w:id="0" w:name="_MON_1772544111"/>
    <w:bookmarkEnd w:id="0"/>
    <w:p w14:paraId="10184D82" w14:textId="5FA8A82D" w:rsidR="006D4068" w:rsidRDefault="009D6CC5" w:rsidP="006D4068">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6448B7F0">
          <v:shape id="_x0000_i1026" type="#_x0000_t75" style="width:74.25pt;height:49.5pt" o:ole="">
            <v:imagedata r:id="rId12" o:title=""/>
          </v:shape>
          <o:OLEObject Type="Embed" ProgID="Word.Document.12" ShapeID="_x0000_i1026" DrawAspect="Icon" ObjectID="_1774345476" r:id="rId13">
            <o:FieldCodes>\s</o:FieldCodes>
          </o:OLEObject>
        </w:object>
      </w:r>
    </w:p>
    <w:p w14:paraId="0B3D15DC" w14:textId="77777777" w:rsidR="009D6CC5" w:rsidRDefault="009D6CC5" w:rsidP="006D4068">
      <w:pPr>
        <w:pStyle w:val="DefaultText2"/>
        <w:tabs>
          <w:tab w:val="left" w:pos="851"/>
        </w:tabs>
        <w:ind w:left="851" w:hanging="851"/>
        <w:rPr>
          <w:rFonts w:ascii="Arial" w:hAnsi="Arial"/>
          <w:b/>
          <w:noProof/>
          <w:sz w:val="20"/>
          <w:lang w:val="en-GB"/>
        </w:rPr>
      </w:pPr>
    </w:p>
    <w:p w14:paraId="5AB39DE5" w14:textId="77777777" w:rsidR="009D6CC5" w:rsidRDefault="009D6CC5" w:rsidP="006D4068">
      <w:pPr>
        <w:pStyle w:val="DefaultText2"/>
        <w:tabs>
          <w:tab w:val="left" w:pos="851"/>
        </w:tabs>
        <w:ind w:left="851" w:hanging="851"/>
        <w:rPr>
          <w:rFonts w:ascii="Arial" w:hAnsi="Arial"/>
          <w:b/>
          <w:noProof/>
          <w:sz w:val="20"/>
          <w:lang w:val="en-GB"/>
        </w:rPr>
      </w:pPr>
    </w:p>
    <w:p w14:paraId="2F488C72" w14:textId="77777777" w:rsidR="003E67A3" w:rsidRDefault="003E67A3" w:rsidP="006D4068">
      <w:pPr>
        <w:pStyle w:val="DefaultText2"/>
        <w:tabs>
          <w:tab w:val="left" w:pos="851"/>
        </w:tabs>
        <w:ind w:left="851" w:hanging="851"/>
        <w:rPr>
          <w:rFonts w:ascii="Arial" w:hAnsi="Arial"/>
          <w:b/>
          <w:noProof/>
          <w:sz w:val="20"/>
          <w:lang w:val="en-GB"/>
        </w:rPr>
      </w:pPr>
    </w:p>
    <w:p w14:paraId="0A8B853C" w14:textId="6828E761" w:rsidR="003E67A3" w:rsidRDefault="003E67A3" w:rsidP="006D4068">
      <w:pPr>
        <w:pStyle w:val="DefaultText2"/>
        <w:tabs>
          <w:tab w:val="left" w:pos="851"/>
        </w:tabs>
        <w:ind w:left="851" w:hanging="851"/>
        <w:rPr>
          <w:rFonts w:ascii="Arial" w:hAnsi="Arial"/>
          <w:b/>
          <w:noProof/>
          <w:sz w:val="20"/>
          <w:lang w:val="en-GB"/>
        </w:rPr>
      </w:pPr>
    </w:p>
    <w:p w14:paraId="1FEC4257" w14:textId="77777777" w:rsidR="003E67A3" w:rsidRDefault="003E67A3" w:rsidP="006D4068">
      <w:pPr>
        <w:pStyle w:val="DefaultText2"/>
        <w:tabs>
          <w:tab w:val="left" w:pos="851"/>
        </w:tabs>
        <w:ind w:left="851" w:hanging="851"/>
        <w:rPr>
          <w:rFonts w:ascii="Arial" w:hAnsi="Arial"/>
          <w:b/>
          <w:noProof/>
          <w:sz w:val="20"/>
          <w:lang w:val="en-GB"/>
        </w:rPr>
      </w:pP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1" w:name="_MON_1772545250"/>
    <w:bookmarkEnd w:id="1"/>
    <w:p w14:paraId="3B9332DB" w14:textId="602627BC" w:rsidR="005A1317" w:rsidRDefault="003A4A75"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32CF3290">
          <v:shape id="_x0000_i1029" type="#_x0000_t75" style="width:74.25pt;height:49.5pt" o:ole="">
            <v:imagedata r:id="rId14" o:title=""/>
          </v:shape>
          <o:OLEObject Type="Embed" ProgID="Word.Document.12" ShapeID="_x0000_i1029" DrawAspect="Icon" ObjectID="_1774345477" r:id="rId15">
            <o:FieldCodes>\s</o:FieldCodes>
          </o:OLEObject>
        </w:object>
      </w:r>
      <w:r w:rsidR="006D4068"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1682708F"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26D36E6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183E667E"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2CEEAEC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5BB44C01"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ED4AD4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008AB14"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797E4C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33028C69" w14:textId="77777777" w:rsidR="006D4068" w:rsidRPr="00153A85" w:rsidRDefault="006D4068" w:rsidP="001E7B38">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CF49F8" w14:paraId="0BA08C5B" w14:textId="77777777" w:rsidTr="0010210D">
        <w:tc>
          <w:tcPr>
            <w:tcW w:w="4500" w:type="dxa"/>
          </w:tcPr>
          <w:p w14:paraId="11226ED3" w14:textId="274809E8" w:rsidR="00667086" w:rsidRPr="00C316A8" w:rsidRDefault="00CF49F8" w:rsidP="00667086">
            <w:pPr>
              <w:pStyle w:val="DefaultText2"/>
              <w:tabs>
                <w:tab w:val="left" w:pos="567"/>
                <w:tab w:val="left" w:pos="3402"/>
              </w:tabs>
              <w:ind w:left="567" w:hanging="567"/>
              <w:rPr>
                <w:rFonts w:ascii="Arial" w:hAnsi="Arial" w:cs="Arial"/>
                <w:noProof/>
                <w:lang w:val="en-GB"/>
              </w:rPr>
            </w:pPr>
            <w:r w:rsidRPr="00C316A8">
              <w:rPr>
                <w:rFonts w:ascii="Arial" w:hAnsi="Arial" w:cs="Arial"/>
                <w:noProof/>
                <w:lang w:val="en-GB"/>
              </w:rPr>
              <w:t>Science Directorate</w:t>
            </w:r>
          </w:p>
          <w:p w14:paraId="2007A266" w14:textId="77777777" w:rsidR="00CF49F8" w:rsidRPr="00C316A8" w:rsidRDefault="00CF49F8" w:rsidP="00667086">
            <w:pPr>
              <w:pStyle w:val="DefaultText2"/>
              <w:tabs>
                <w:tab w:val="left" w:pos="567"/>
                <w:tab w:val="left" w:pos="3402"/>
              </w:tabs>
              <w:ind w:left="567" w:hanging="567"/>
              <w:rPr>
                <w:rFonts w:ascii="Arial" w:hAnsi="Arial" w:cs="Arial"/>
                <w:noProof/>
                <w:lang w:val="en-GB"/>
              </w:rPr>
            </w:pPr>
            <w:r w:rsidRPr="00C316A8">
              <w:rPr>
                <w:rFonts w:ascii="Arial" w:hAnsi="Arial" w:cs="Arial"/>
                <w:noProof/>
                <w:lang w:val="en-GB"/>
              </w:rPr>
              <w:t xml:space="preserve">Harpur Hill </w:t>
            </w:r>
          </w:p>
          <w:p w14:paraId="49C0F109" w14:textId="3A42641E" w:rsidR="00CF49F8" w:rsidRPr="00CF49F8" w:rsidRDefault="00CF49F8" w:rsidP="00667086">
            <w:pPr>
              <w:pStyle w:val="DefaultText2"/>
              <w:tabs>
                <w:tab w:val="left" w:pos="567"/>
                <w:tab w:val="left" w:pos="3402"/>
              </w:tabs>
              <w:ind w:left="567" w:hanging="567"/>
              <w:rPr>
                <w:rFonts w:ascii="Arial" w:hAnsi="Arial" w:cs="Arial"/>
                <w:noProof/>
                <w:lang w:val="fr-FR"/>
              </w:rPr>
            </w:pPr>
            <w:r w:rsidRPr="00CF49F8">
              <w:rPr>
                <w:rFonts w:ascii="Arial" w:hAnsi="Arial" w:cs="Arial"/>
                <w:noProof/>
                <w:lang w:val="fr-FR"/>
              </w:rPr>
              <w:t xml:space="preserve">Buxton </w:t>
            </w:r>
          </w:p>
          <w:p w14:paraId="4670A15B" w14:textId="5C4CE314" w:rsidR="00CF49F8" w:rsidRDefault="00CF49F8" w:rsidP="00667086">
            <w:pPr>
              <w:pStyle w:val="DefaultText2"/>
              <w:tabs>
                <w:tab w:val="left" w:pos="567"/>
                <w:tab w:val="left" w:pos="3402"/>
              </w:tabs>
              <w:ind w:left="567" w:hanging="567"/>
              <w:rPr>
                <w:rFonts w:ascii="Arial" w:hAnsi="Arial" w:cs="Arial"/>
                <w:noProof/>
                <w:lang w:val="fr-FR"/>
              </w:rPr>
            </w:pPr>
            <w:r w:rsidRPr="00CF49F8">
              <w:rPr>
                <w:rFonts w:ascii="Arial" w:hAnsi="Arial" w:cs="Arial"/>
                <w:noProof/>
                <w:lang w:val="fr-FR"/>
              </w:rPr>
              <w:t>Derbyshire</w:t>
            </w:r>
          </w:p>
          <w:p w14:paraId="01831B12" w14:textId="77777777" w:rsidR="00CF49F8" w:rsidRDefault="00CF49F8" w:rsidP="00667086">
            <w:pPr>
              <w:pStyle w:val="DefaultText2"/>
              <w:tabs>
                <w:tab w:val="left" w:pos="567"/>
                <w:tab w:val="left" w:pos="3402"/>
              </w:tabs>
              <w:ind w:left="567" w:hanging="567"/>
              <w:rPr>
                <w:rFonts w:ascii="Arial" w:hAnsi="Arial" w:cs="Arial"/>
                <w:noProof/>
                <w:lang w:val="fr-FR"/>
              </w:rPr>
            </w:pPr>
          </w:p>
          <w:p w14:paraId="284355E1" w14:textId="77777777" w:rsidR="00CF49F8" w:rsidRDefault="00CF49F8" w:rsidP="00667086">
            <w:pPr>
              <w:pStyle w:val="DefaultText2"/>
              <w:tabs>
                <w:tab w:val="left" w:pos="567"/>
                <w:tab w:val="left" w:pos="3402"/>
              </w:tabs>
              <w:ind w:left="567" w:hanging="567"/>
              <w:rPr>
                <w:noProof/>
                <w:lang w:val="fr-FR"/>
              </w:rPr>
            </w:pPr>
          </w:p>
          <w:p w14:paraId="22FE0CE9" w14:textId="640772A1" w:rsidR="00667086" w:rsidRPr="00D57F29" w:rsidRDefault="00667086" w:rsidP="00667086">
            <w:pPr>
              <w:pStyle w:val="DefaultText2"/>
              <w:tabs>
                <w:tab w:val="left" w:pos="567"/>
                <w:tab w:val="left" w:pos="3402"/>
              </w:tabs>
              <w:ind w:left="567" w:hanging="567"/>
              <w:rPr>
                <w:noProof/>
                <w:lang w:val="fr-FR"/>
              </w:rPr>
            </w:pPr>
          </w:p>
        </w:tc>
        <w:tc>
          <w:tcPr>
            <w:tcW w:w="4508" w:type="dxa"/>
          </w:tcPr>
          <w:p w14:paraId="07420AAF" w14:textId="77777777" w:rsidR="006D4068" w:rsidRPr="00D57F29" w:rsidRDefault="006D4068" w:rsidP="0010210D">
            <w:pPr>
              <w:pStyle w:val="DefaultText"/>
              <w:rPr>
                <w:noProof/>
                <w:lang w:val="fr-FR"/>
              </w:rPr>
            </w:pPr>
          </w:p>
        </w:tc>
      </w:tr>
    </w:tbl>
    <w:p w14:paraId="29353C0D" w14:textId="77777777" w:rsidR="006D4068" w:rsidRPr="00D57F29" w:rsidRDefault="006D4068" w:rsidP="006D4068">
      <w:pPr>
        <w:pStyle w:val="DefaultText2"/>
        <w:tabs>
          <w:tab w:val="left" w:pos="851"/>
        </w:tabs>
        <w:ind w:left="851" w:hanging="851"/>
        <w:rPr>
          <w:rFonts w:ascii="Arial" w:hAnsi="Arial"/>
          <w:b/>
          <w:noProof/>
          <w:sz w:val="20"/>
          <w:lang w:val="fr-FR"/>
        </w:rPr>
      </w:pPr>
    </w:p>
    <w:p w14:paraId="7A4D9304" w14:textId="77777777" w:rsidR="006D4068" w:rsidRPr="00D57F29" w:rsidRDefault="006D4068" w:rsidP="006D4068">
      <w:pPr>
        <w:pStyle w:val="DefaultText2"/>
        <w:tabs>
          <w:tab w:val="left" w:pos="851"/>
        </w:tabs>
        <w:ind w:left="851" w:hanging="851"/>
        <w:rPr>
          <w:rFonts w:ascii="Arial" w:hAnsi="Arial"/>
          <w:b/>
          <w:noProof/>
          <w:sz w:val="20"/>
          <w:lang w:val="fr-FR"/>
        </w:rPr>
      </w:pPr>
    </w:p>
    <w:p w14:paraId="394A056B" w14:textId="5F81D656" w:rsidR="0050176C" w:rsidRPr="00B04DEF" w:rsidRDefault="0041284B" w:rsidP="00B04DEF">
      <w:pPr>
        <w:pStyle w:val="DefaultText2"/>
        <w:tabs>
          <w:tab w:val="left" w:pos="851"/>
        </w:tabs>
        <w:rPr>
          <w:rFonts w:ascii="Arial" w:hAnsi="Arial"/>
          <w:b/>
          <w:noProof/>
          <w:sz w:val="20"/>
          <w:lang w:val="fr-FR"/>
        </w:rPr>
      </w:pPr>
      <w:r w:rsidRPr="00CF49F8">
        <w:rPr>
          <w:rStyle w:val="Strong"/>
          <w:rFonts w:ascii="Arial" w:hAnsi="Arial" w:cs="Arial"/>
          <w:b w:val="0"/>
          <w:iCs/>
          <w:szCs w:val="24"/>
          <w:lang w:val="fr-FR"/>
        </w:rPr>
        <w:br w:type="page"/>
      </w:r>
    </w:p>
    <w:p w14:paraId="67BEBEA6" w14:textId="77777777" w:rsidR="0050176C" w:rsidRPr="00CF49F8" w:rsidRDefault="0050176C" w:rsidP="00A65353">
      <w:pPr>
        <w:pStyle w:val="DefaultText2"/>
        <w:tabs>
          <w:tab w:val="left" w:pos="851"/>
        </w:tabs>
        <w:suppressAutoHyphens/>
        <w:rPr>
          <w:rFonts w:ascii="Arial" w:hAnsi="Arial" w:cs="Arial"/>
          <w:sz w:val="16"/>
          <w:szCs w:val="16"/>
          <w:lang w:val="fr-FR"/>
        </w:rPr>
      </w:pPr>
    </w:p>
    <w:p w14:paraId="5B675D5C" w14:textId="77777777" w:rsidR="00B04DEF" w:rsidRPr="00A97C01" w:rsidRDefault="00B04DEF" w:rsidP="00B04DEF">
      <w:pPr>
        <w:tabs>
          <w:tab w:val="left" w:pos="709"/>
        </w:tabs>
        <w:suppressAutoHyphens/>
        <w:ind w:left="709" w:hanging="709"/>
        <w:rPr>
          <w:rFonts w:ascii="Arial" w:hAnsi="Arial" w:cs="Arial"/>
          <w:b/>
          <w:sz w:val="20"/>
        </w:rPr>
      </w:pPr>
      <w:r w:rsidRPr="00A97C01">
        <w:rPr>
          <w:rFonts w:ascii="Arial" w:hAnsi="Arial" w:cs="Arial"/>
          <w:b/>
          <w:sz w:val="20"/>
        </w:rPr>
        <w:t>Annex 2</w:t>
      </w:r>
    </w:p>
    <w:p w14:paraId="2775770D" w14:textId="77777777" w:rsidR="00B04DEF" w:rsidRDefault="00B04DEF" w:rsidP="00B04DEF">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0650563" w14:textId="77777777" w:rsidR="00B04DEF" w:rsidRDefault="00B04DEF" w:rsidP="00B04DEF">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B04DEF" w:rsidRPr="00603B93" w14:paraId="4F90D717" w14:textId="77777777" w:rsidTr="002B1683">
        <w:tc>
          <w:tcPr>
            <w:tcW w:w="9241" w:type="dxa"/>
            <w:shd w:val="clear" w:color="auto" w:fill="auto"/>
          </w:tcPr>
          <w:p w14:paraId="1E8C94BD" w14:textId="77777777" w:rsidR="00B04DEF" w:rsidRDefault="00B04DEF" w:rsidP="002B1683">
            <w:pPr>
              <w:tabs>
                <w:tab w:val="left" w:pos="709"/>
              </w:tabs>
              <w:suppressAutoHyphens/>
              <w:ind w:left="709" w:hanging="709"/>
              <w:jc w:val="left"/>
              <w:rPr>
                <w:rFonts w:ascii="Arial" w:hAnsi="Arial" w:cs="Arial"/>
                <w:b/>
                <w:sz w:val="20"/>
              </w:rPr>
            </w:pPr>
          </w:p>
          <w:p w14:paraId="1232CE1C" w14:textId="77777777" w:rsidR="00B04DEF" w:rsidRPr="00812FEC" w:rsidRDefault="00B04DEF" w:rsidP="002B1683">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4219CB88" w14:textId="77777777" w:rsidR="00B04DEF" w:rsidRPr="00812FEC" w:rsidRDefault="00B04DEF" w:rsidP="002B1683">
            <w:pPr>
              <w:tabs>
                <w:tab w:val="left" w:pos="709"/>
              </w:tabs>
              <w:suppressAutoHyphens/>
              <w:ind w:left="709" w:hanging="709"/>
              <w:jc w:val="left"/>
              <w:rPr>
                <w:rFonts w:ascii="Arial" w:hAnsi="Arial" w:cs="Arial"/>
                <w:b/>
                <w:sz w:val="20"/>
              </w:rPr>
            </w:pPr>
          </w:p>
          <w:p w14:paraId="72A2058F" w14:textId="77777777" w:rsidR="00B04DEF" w:rsidRPr="00812FEC" w:rsidRDefault="00B04DEF" w:rsidP="002B168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CBC2108" w14:textId="77777777" w:rsidR="00B04DEF" w:rsidRPr="00812FEC" w:rsidRDefault="00B04DEF" w:rsidP="002B1683">
            <w:pPr>
              <w:tabs>
                <w:tab w:val="left" w:pos="709"/>
              </w:tabs>
              <w:suppressAutoHyphens/>
              <w:ind w:left="709" w:hanging="709"/>
              <w:jc w:val="left"/>
              <w:rPr>
                <w:rFonts w:ascii="Arial" w:hAnsi="Arial" w:cs="Arial"/>
                <w:color w:val="000000"/>
                <w:sz w:val="20"/>
              </w:rPr>
            </w:pPr>
          </w:p>
          <w:p w14:paraId="684C00E7" w14:textId="77777777" w:rsidR="00B04DEF" w:rsidRPr="00812FEC" w:rsidRDefault="00B04DEF" w:rsidP="002B168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46CB8552" w14:textId="77777777" w:rsidR="00B04DEF" w:rsidRPr="00812FEC" w:rsidRDefault="00B04DEF" w:rsidP="002B1683">
            <w:pPr>
              <w:tabs>
                <w:tab w:val="left" w:pos="709"/>
              </w:tabs>
              <w:suppressAutoHyphens/>
              <w:ind w:left="709" w:hanging="709"/>
              <w:jc w:val="left"/>
              <w:rPr>
                <w:rFonts w:ascii="Arial" w:hAnsi="Arial" w:cs="Arial"/>
                <w:color w:val="000000"/>
                <w:sz w:val="20"/>
              </w:rPr>
            </w:pPr>
          </w:p>
          <w:p w14:paraId="08C667BE" w14:textId="77777777" w:rsidR="00B04DEF" w:rsidRPr="00812FEC" w:rsidRDefault="00B04DEF" w:rsidP="002B168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E86AC68" w14:textId="77777777" w:rsidR="00B04DEF" w:rsidRPr="00812FEC" w:rsidRDefault="00B04DEF" w:rsidP="002B1683">
            <w:pPr>
              <w:tabs>
                <w:tab w:val="left" w:pos="709"/>
              </w:tabs>
              <w:suppressAutoHyphens/>
              <w:jc w:val="left"/>
              <w:rPr>
                <w:rFonts w:ascii="Arial" w:hAnsi="Arial" w:cs="Arial"/>
                <w:b/>
                <w:sz w:val="20"/>
              </w:rPr>
            </w:pPr>
          </w:p>
        </w:tc>
      </w:tr>
      <w:tr w:rsidR="00B04DEF" w:rsidRPr="00603B93" w14:paraId="50418CF6" w14:textId="77777777" w:rsidTr="002B1683">
        <w:tc>
          <w:tcPr>
            <w:tcW w:w="9241" w:type="dxa"/>
            <w:shd w:val="clear" w:color="auto" w:fill="auto"/>
          </w:tcPr>
          <w:p w14:paraId="029867DF" w14:textId="77777777" w:rsidR="00B04DEF" w:rsidRDefault="00B04DEF" w:rsidP="002B1683">
            <w:pPr>
              <w:tabs>
                <w:tab w:val="left" w:pos="709"/>
              </w:tabs>
              <w:suppressAutoHyphens/>
              <w:ind w:left="709" w:hanging="709"/>
              <w:jc w:val="left"/>
              <w:rPr>
                <w:rFonts w:ascii="Arial" w:hAnsi="Arial" w:cs="Arial"/>
                <w:b/>
                <w:color w:val="000000"/>
                <w:sz w:val="20"/>
              </w:rPr>
            </w:pPr>
          </w:p>
          <w:p w14:paraId="2BD599AC" w14:textId="77777777" w:rsidR="00B04DEF" w:rsidRDefault="00B04DEF" w:rsidP="002B1683">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C753627" w14:textId="77777777" w:rsidR="00B04DEF" w:rsidRDefault="00B04DEF" w:rsidP="002B1683">
            <w:pPr>
              <w:tabs>
                <w:tab w:val="left" w:pos="709"/>
              </w:tabs>
              <w:suppressAutoHyphens/>
              <w:ind w:left="709" w:hanging="709"/>
              <w:jc w:val="left"/>
              <w:rPr>
                <w:rFonts w:ascii="Arial" w:hAnsi="Arial" w:cs="Arial"/>
                <w:b/>
                <w:color w:val="000000"/>
                <w:sz w:val="20"/>
              </w:rPr>
            </w:pPr>
          </w:p>
          <w:p w14:paraId="77AB3867" w14:textId="77777777" w:rsidR="00B04DEF" w:rsidRPr="0050176C" w:rsidRDefault="00B04DEF" w:rsidP="002B1683">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7E9FB722" w14:textId="77777777" w:rsidR="00B04DEF" w:rsidRPr="00812FEC" w:rsidRDefault="00B04DEF" w:rsidP="002B1683">
            <w:pPr>
              <w:tabs>
                <w:tab w:val="left" w:pos="709"/>
              </w:tabs>
              <w:suppressAutoHyphens/>
              <w:ind w:left="709" w:hanging="709"/>
              <w:jc w:val="left"/>
              <w:rPr>
                <w:rFonts w:ascii="Arial" w:hAnsi="Arial" w:cs="Arial"/>
                <w:b/>
                <w:color w:val="000000"/>
                <w:sz w:val="20"/>
              </w:rPr>
            </w:pPr>
          </w:p>
        </w:tc>
      </w:tr>
    </w:tbl>
    <w:p w14:paraId="7DC98BB6" w14:textId="77777777" w:rsidR="00B04DEF" w:rsidRDefault="00B04DEF" w:rsidP="00B04DEF">
      <w:pPr>
        <w:tabs>
          <w:tab w:val="left" w:pos="709"/>
        </w:tabs>
        <w:suppressAutoHyphens/>
        <w:ind w:left="709" w:hanging="709"/>
        <w:jc w:val="left"/>
        <w:rPr>
          <w:rFonts w:ascii="Arial Bold" w:hAnsi="Arial Bold" w:cs="Arial"/>
          <w:b/>
          <w:szCs w:val="24"/>
        </w:rPr>
      </w:pPr>
    </w:p>
    <w:p w14:paraId="3801B6DC" w14:textId="77777777" w:rsidR="00B04DEF" w:rsidRPr="0050176C" w:rsidRDefault="00B04DEF" w:rsidP="00B04DEF">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34D0E592" w14:textId="77777777" w:rsidR="00B04DEF" w:rsidRPr="0050176C" w:rsidRDefault="00B04DEF" w:rsidP="00B04DEF">
      <w:pPr>
        <w:tabs>
          <w:tab w:val="left" w:pos="709"/>
        </w:tabs>
        <w:suppressAutoHyphens/>
        <w:ind w:left="709" w:hanging="709"/>
        <w:jc w:val="left"/>
        <w:rPr>
          <w:rFonts w:ascii="Arial" w:hAnsi="Arial" w:cs="Arial"/>
          <w:b/>
          <w:caps/>
          <w:sz w:val="22"/>
          <w:szCs w:val="22"/>
        </w:rPr>
      </w:pPr>
    </w:p>
    <w:p w14:paraId="4D03EF19" w14:textId="77777777" w:rsidR="00B04DEF" w:rsidRPr="00812FEC" w:rsidRDefault="00B04DEF" w:rsidP="00B04DEF">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2AF882DA" w14:textId="77777777" w:rsidR="00B04DEF" w:rsidRDefault="00B04DEF" w:rsidP="00B04DEF">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B04DEF" w:rsidRPr="00603B93" w14:paraId="64A276D2" w14:textId="77777777" w:rsidTr="002B1683">
        <w:tc>
          <w:tcPr>
            <w:tcW w:w="9241" w:type="dxa"/>
            <w:shd w:val="clear" w:color="auto" w:fill="auto"/>
          </w:tcPr>
          <w:p w14:paraId="1AC0A6D6" w14:textId="77777777" w:rsidR="00B04DEF" w:rsidRDefault="00B04DEF" w:rsidP="002B1683">
            <w:pPr>
              <w:tabs>
                <w:tab w:val="left" w:pos="709"/>
              </w:tabs>
              <w:suppressAutoHyphens/>
              <w:ind w:left="709" w:hanging="709"/>
              <w:jc w:val="left"/>
              <w:rPr>
                <w:rFonts w:ascii="Arial" w:hAnsi="Arial" w:cs="Arial"/>
                <w:b/>
                <w:sz w:val="20"/>
              </w:rPr>
            </w:pPr>
          </w:p>
          <w:p w14:paraId="6BCD17B6" w14:textId="77777777" w:rsidR="00B04DEF" w:rsidRPr="00812FEC" w:rsidRDefault="00B04DEF" w:rsidP="002B1683">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36139542" w14:textId="77777777" w:rsidR="00B04DEF" w:rsidRPr="00812FEC" w:rsidRDefault="00B04DEF" w:rsidP="002B1683">
            <w:pPr>
              <w:tabs>
                <w:tab w:val="left" w:pos="709"/>
              </w:tabs>
              <w:suppressAutoHyphens/>
              <w:ind w:left="709" w:hanging="709"/>
              <w:jc w:val="left"/>
              <w:rPr>
                <w:rFonts w:ascii="Arial" w:hAnsi="Arial" w:cs="Arial"/>
                <w:sz w:val="20"/>
              </w:rPr>
            </w:pPr>
          </w:p>
          <w:p w14:paraId="2851CD6F"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6542E799" w14:textId="77777777" w:rsidR="00B04DEF" w:rsidRPr="00812FEC" w:rsidRDefault="00B04DEF" w:rsidP="002B1683">
            <w:pPr>
              <w:tabs>
                <w:tab w:val="left" w:pos="709"/>
              </w:tabs>
              <w:suppressAutoHyphens/>
              <w:ind w:left="709" w:hanging="709"/>
              <w:jc w:val="left"/>
              <w:rPr>
                <w:rFonts w:ascii="Arial" w:hAnsi="Arial" w:cs="Arial"/>
                <w:sz w:val="20"/>
              </w:rPr>
            </w:pPr>
          </w:p>
          <w:p w14:paraId="52BBD556"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0AF42EA5" w14:textId="77777777" w:rsidR="00B04DEF" w:rsidRPr="00812FEC" w:rsidRDefault="00B04DEF" w:rsidP="002B1683">
            <w:pPr>
              <w:tabs>
                <w:tab w:val="left" w:pos="709"/>
              </w:tabs>
              <w:suppressAutoHyphens/>
              <w:ind w:left="709" w:hanging="709"/>
              <w:jc w:val="left"/>
              <w:rPr>
                <w:rFonts w:ascii="Arial" w:hAnsi="Arial" w:cs="Arial"/>
                <w:sz w:val="20"/>
              </w:rPr>
            </w:pPr>
          </w:p>
          <w:p w14:paraId="54AE20B8"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372A1633" w14:textId="77777777" w:rsidR="00B04DEF" w:rsidRPr="00812FEC" w:rsidRDefault="00B04DEF" w:rsidP="002B1683">
            <w:pPr>
              <w:tabs>
                <w:tab w:val="left" w:pos="709"/>
              </w:tabs>
              <w:suppressAutoHyphens/>
              <w:jc w:val="left"/>
              <w:rPr>
                <w:rFonts w:ascii="Arial" w:hAnsi="Arial" w:cs="Arial"/>
                <w:sz w:val="20"/>
              </w:rPr>
            </w:pPr>
          </w:p>
        </w:tc>
      </w:tr>
      <w:tr w:rsidR="00B04DEF" w:rsidRPr="00603B93" w14:paraId="7B919D89" w14:textId="77777777" w:rsidTr="002B1683">
        <w:tc>
          <w:tcPr>
            <w:tcW w:w="9241" w:type="dxa"/>
            <w:shd w:val="clear" w:color="auto" w:fill="auto"/>
          </w:tcPr>
          <w:p w14:paraId="47B53D64" w14:textId="77777777" w:rsidR="00B04DEF" w:rsidRDefault="00B04DEF" w:rsidP="002B1683">
            <w:pPr>
              <w:tabs>
                <w:tab w:val="left" w:pos="709"/>
              </w:tabs>
              <w:suppressAutoHyphens/>
              <w:ind w:left="709" w:hanging="709"/>
              <w:jc w:val="left"/>
              <w:rPr>
                <w:rFonts w:ascii="Arial" w:hAnsi="Arial" w:cs="Arial"/>
                <w:b/>
                <w:sz w:val="20"/>
              </w:rPr>
            </w:pPr>
          </w:p>
          <w:p w14:paraId="0F00FCC6" w14:textId="77777777" w:rsidR="00B04DEF" w:rsidRPr="00812FEC" w:rsidRDefault="00B04DEF" w:rsidP="002B1683">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33EDEA6F" w14:textId="77777777" w:rsidR="00B04DEF" w:rsidRPr="00812FEC" w:rsidRDefault="00B04DEF" w:rsidP="002B1683">
            <w:pPr>
              <w:tabs>
                <w:tab w:val="left" w:pos="709"/>
              </w:tabs>
              <w:suppressAutoHyphens/>
              <w:ind w:left="709" w:hanging="709"/>
              <w:jc w:val="left"/>
              <w:rPr>
                <w:rFonts w:ascii="Arial" w:hAnsi="Arial" w:cs="Arial"/>
                <w:sz w:val="20"/>
              </w:rPr>
            </w:pPr>
          </w:p>
          <w:p w14:paraId="49476822"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5372C8F3" w14:textId="77777777" w:rsidR="00B04DEF" w:rsidRPr="00812FEC" w:rsidRDefault="00B04DEF" w:rsidP="002B1683">
            <w:pPr>
              <w:tabs>
                <w:tab w:val="left" w:pos="709"/>
              </w:tabs>
              <w:suppressAutoHyphens/>
              <w:ind w:left="709" w:hanging="709"/>
              <w:jc w:val="left"/>
              <w:rPr>
                <w:rFonts w:ascii="Arial" w:hAnsi="Arial" w:cs="Arial"/>
                <w:sz w:val="20"/>
              </w:rPr>
            </w:pPr>
          </w:p>
          <w:p w14:paraId="759401FE"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4A1D66CF" w14:textId="77777777" w:rsidR="00B04DEF" w:rsidRPr="00812FEC" w:rsidRDefault="00B04DEF" w:rsidP="002B1683">
            <w:pPr>
              <w:tabs>
                <w:tab w:val="left" w:pos="709"/>
              </w:tabs>
              <w:suppressAutoHyphens/>
              <w:ind w:left="709" w:hanging="709"/>
              <w:jc w:val="left"/>
              <w:rPr>
                <w:rFonts w:ascii="Arial" w:hAnsi="Arial" w:cs="Arial"/>
                <w:sz w:val="20"/>
              </w:rPr>
            </w:pPr>
          </w:p>
          <w:p w14:paraId="64FDDEA6"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7A538322" w14:textId="77777777" w:rsidR="00B04DEF" w:rsidRPr="00812FEC" w:rsidRDefault="00B04DEF" w:rsidP="002B1683">
            <w:pPr>
              <w:tabs>
                <w:tab w:val="left" w:pos="709"/>
              </w:tabs>
              <w:suppressAutoHyphens/>
              <w:ind w:left="709" w:hanging="709"/>
              <w:jc w:val="left"/>
              <w:rPr>
                <w:rFonts w:ascii="Arial" w:hAnsi="Arial" w:cs="Arial"/>
                <w:sz w:val="20"/>
              </w:rPr>
            </w:pPr>
          </w:p>
          <w:p w14:paraId="70DAA0B7" w14:textId="77777777" w:rsidR="00B04DEF" w:rsidRPr="00812FEC" w:rsidRDefault="00B04DEF" w:rsidP="002B1683">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0E5485F1" w14:textId="77777777" w:rsidR="00B04DEF" w:rsidRPr="00812FEC" w:rsidRDefault="00B04DEF" w:rsidP="002B1683">
            <w:pPr>
              <w:tabs>
                <w:tab w:val="left" w:pos="709"/>
              </w:tabs>
              <w:suppressAutoHyphens/>
              <w:ind w:left="709" w:hanging="709"/>
              <w:jc w:val="left"/>
              <w:rPr>
                <w:rFonts w:ascii="Arial" w:hAnsi="Arial" w:cs="Arial"/>
                <w:sz w:val="20"/>
              </w:rPr>
            </w:pPr>
          </w:p>
          <w:p w14:paraId="5BA332F5" w14:textId="77777777" w:rsidR="00B04DEF" w:rsidRPr="00812FEC" w:rsidRDefault="00B04DEF" w:rsidP="002B1683">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1EE6DAFD" w14:textId="77777777" w:rsidR="00B04DEF" w:rsidRPr="00812FEC" w:rsidRDefault="00B04DEF" w:rsidP="002B1683">
            <w:pPr>
              <w:tabs>
                <w:tab w:val="left" w:pos="709"/>
              </w:tabs>
              <w:suppressAutoHyphens/>
              <w:ind w:left="709" w:hanging="709"/>
              <w:jc w:val="left"/>
              <w:rPr>
                <w:rFonts w:ascii="Arial" w:hAnsi="Arial" w:cs="Arial"/>
                <w:sz w:val="20"/>
              </w:rPr>
            </w:pPr>
          </w:p>
          <w:p w14:paraId="196BEAAA" w14:textId="77777777" w:rsidR="00B04DEF" w:rsidRPr="00812FEC" w:rsidRDefault="00B04DEF" w:rsidP="002B1683">
            <w:pPr>
              <w:tabs>
                <w:tab w:val="left" w:pos="709"/>
              </w:tabs>
              <w:suppressAutoHyphens/>
              <w:ind w:left="709" w:hanging="709"/>
              <w:jc w:val="left"/>
              <w:rPr>
                <w:rFonts w:ascii="Arial" w:hAnsi="Arial" w:cs="Arial"/>
                <w:sz w:val="20"/>
              </w:rPr>
            </w:pPr>
          </w:p>
          <w:p w14:paraId="5C162B90" w14:textId="77777777" w:rsidR="00B04DEF" w:rsidRPr="00812FEC" w:rsidRDefault="00B04DEF" w:rsidP="002B1683">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99208CE" w14:textId="77777777" w:rsidR="00B04DEF" w:rsidRPr="00812FEC" w:rsidRDefault="00B04DEF" w:rsidP="002B1683">
            <w:pPr>
              <w:tabs>
                <w:tab w:val="left" w:pos="709"/>
              </w:tabs>
              <w:suppressAutoHyphens/>
              <w:ind w:left="709" w:hanging="709"/>
              <w:jc w:val="left"/>
              <w:rPr>
                <w:rFonts w:ascii="Arial" w:hAnsi="Arial" w:cs="Arial"/>
                <w:b/>
                <w:sz w:val="20"/>
              </w:rPr>
            </w:pPr>
          </w:p>
          <w:p w14:paraId="5268AA57" w14:textId="77777777" w:rsidR="00B04DEF" w:rsidRPr="00812FEC" w:rsidRDefault="00B04DEF" w:rsidP="002B168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45BADD7" w14:textId="77777777" w:rsidR="00B04DEF" w:rsidRPr="00812FEC" w:rsidRDefault="00B04DEF" w:rsidP="002B168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1C28C99B" w14:textId="77777777" w:rsidR="00B04DEF" w:rsidRPr="00812FEC" w:rsidRDefault="00B04DEF" w:rsidP="002B1683">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63CAF122" w14:textId="77777777" w:rsidR="00B04DEF" w:rsidRPr="00812FEC" w:rsidRDefault="00B04DEF" w:rsidP="002B1683">
            <w:pPr>
              <w:tabs>
                <w:tab w:val="left" w:pos="709"/>
              </w:tabs>
              <w:suppressAutoHyphens/>
              <w:jc w:val="left"/>
              <w:rPr>
                <w:rFonts w:ascii="Arial" w:hAnsi="Arial" w:cs="Arial"/>
                <w:sz w:val="20"/>
              </w:rPr>
            </w:pPr>
          </w:p>
        </w:tc>
      </w:tr>
    </w:tbl>
    <w:p w14:paraId="1C557819" w14:textId="77777777" w:rsidR="00B04DEF" w:rsidRPr="00A65353" w:rsidRDefault="00B04DEF" w:rsidP="00B04DEF">
      <w:pPr>
        <w:tabs>
          <w:tab w:val="left" w:pos="709"/>
        </w:tabs>
        <w:suppressAutoHyphens/>
        <w:ind w:left="709" w:hanging="709"/>
        <w:jc w:val="left"/>
        <w:rPr>
          <w:rFonts w:ascii="Arial" w:hAnsi="Arial" w:cs="Arial"/>
          <w:b/>
          <w:szCs w:val="24"/>
        </w:rPr>
      </w:pPr>
    </w:p>
    <w:p w14:paraId="15ED1D25" w14:textId="77777777" w:rsidR="00B04DEF" w:rsidRDefault="00B04DEF" w:rsidP="00B04DEF">
      <w:pPr>
        <w:pStyle w:val="DefaultText2"/>
        <w:tabs>
          <w:tab w:val="left" w:pos="851"/>
        </w:tabs>
        <w:suppressAutoHyphens/>
        <w:rPr>
          <w:rFonts w:ascii="Arial" w:hAnsi="Arial" w:cs="Arial"/>
          <w:sz w:val="16"/>
          <w:szCs w:val="16"/>
        </w:rPr>
      </w:pPr>
    </w:p>
    <w:p w14:paraId="4483C18C" w14:textId="77777777" w:rsidR="00B04DEF" w:rsidRDefault="00B04DEF" w:rsidP="00B04DEF">
      <w:pPr>
        <w:pStyle w:val="DefaultText2"/>
        <w:tabs>
          <w:tab w:val="left" w:pos="851"/>
        </w:tabs>
        <w:suppressAutoHyphens/>
        <w:rPr>
          <w:rFonts w:ascii="Arial" w:hAnsi="Arial" w:cs="Arial"/>
          <w:sz w:val="16"/>
          <w:szCs w:val="16"/>
        </w:rPr>
      </w:pPr>
    </w:p>
    <w:p w14:paraId="0DA4FF0A" w14:textId="77777777" w:rsidR="00B04DEF" w:rsidRPr="0050176C" w:rsidRDefault="00B04DEF" w:rsidP="00B04DEF">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1BA4CBE9" w14:textId="1B387FB1" w:rsidR="00A65353" w:rsidRPr="0050176C" w:rsidRDefault="00A65353" w:rsidP="00A65353">
      <w:pPr>
        <w:pStyle w:val="DefaultText2"/>
        <w:tabs>
          <w:tab w:val="left" w:pos="851"/>
        </w:tabs>
        <w:suppressAutoHyphens/>
        <w:rPr>
          <w:rFonts w:ascii="Arial" w:hAnsi="Arial" w:cs="Arial"/>
          <w:sz w:val="16"/>
          <w:szCs w:val="16"/>
        </w:rPr>
      </w:pPr>
    </w:p>
    <w:sectPr w:rsidR="00A65353" w:rsidRPr="0050176C" w:rsidSect="006D4068">
      <w:headerReference w:type="default" r:id="rId16"/>
      <w:footerReference w:type="default" r:id="rId17"/>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1A7A" w14:textId="77777777" w:rsidR="006C556D" w:rsidRDefault="006C556D">
      <w:r>
        <w:separator/>
      </w:r>
    </w:p>
  </w:endnote>
  <w:endnote w:type="continuationSeparator" w:id="0">
    <w:p w14:paraId="745BC01C" w14:textId="77777777" w:rsidR="006C556D" w:rsidRDefault="006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A62A" w14:textId="77777777" w:rsidR="006C556D" w:rsidRDefault="006C556D">
      <w:r>
        <w:separator/>
      </w:r>
    </w:p>
  </w:footnote>
  <w:footnote w:type="continuationSeparator" w:id="0">
    <w:p w14:paraId="3B353045" w14:textId="77777777" w:rsidR="006C556D" w:rsidRDefault="006C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82C60B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7C22E3">
      <w:rPr>
        <w:rFonts w:ascii="Arial" w:hAnsi="Arial" w:cs="Arial"/>
        <w:b/>
        <w:sz w:val="20"/>
      </w:rPr>
      <w:t>4520</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713F"/>
    <w:rsid w:val="000423CF"/>
    <w:rsid w:val="00052F61"/>
    <w:rsid w:val="00054F09"/>
    <w:rsid w:val="00060468"/>
    <w:rsid w:val="00062C09"/>
    <w:rsid w:val="0006629B"/>
    <w:rsid w:val="00074DC4"/>
    <w:rsid w:val="000853B6"/>
    <w:rsid w:val="00085B2C"/>
    <w:rsid w:val="00090C69"/>
    <w:rsid w:val="000937AD"/>
    <w:rsid w:val="00093D1C"/>
    <w:rsid w:val="000B0BA3"/>
    <w:rsid w:val="000B2403"/>
    <w:rsid w:val="000C039B"/>
    <w:rsid w:val="000C3A34"/>
    <w:rsid w:val="000D4035"/>
    <w:rsid w:val="000D5DFE"/>
    <w:rsid w:val="000D7A68"/>
    <w:rsid w:val="000E6A1C"/>
    <w:rsid w:val="0010210D"/>
    <w:rsid w:val="00103CDD"/>
    <w:rsid w:val="001044CD"/>
    <w:rsid w:val="00105A8F"/>
    <w:rsid w:val="0011368C"/>
    <w:rsid w:val="00113DB3"/>
    <w:rsid w:val="0011757A"/>
    <w:rsid w:val="001418B0"/>
    <w:rsid w:val="00142AD6"/>
    <w:rsid w:val="001563D6"/>
    <w:rsid w:val="00161764"/>
    <w:rsid w:val="001635E7"/>
    <w:rsid w:val="00165973"/>
    <w:rsid w:val="00167E9C"/>
    <w:rsid w:val="00173553"/>
    <w:rsid w:val="00173635"/>
    <w:rsid w:val="001802D9"/>
    <w:rsid w:val="00197382"/>
    <w:rsid w:val="001A51D1"/>
    <w:rsid w:val="001B39FF"/>
    <w:rsid w:val="001C26D4"/>
    <w:rsid w:val="001D6EBF"/>
    <w:rsid w:val="001D7AD8"/>
    <w:rsid w:val="001E69BE"/>
    <w:rsid w:val="001E7B38"/>
    <w:rsid w:val="001F4912"/>
    <w:rsid w:val="00201939"/>
    <w:rsid w:val="00205909"/>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44B5"/>
    <w:rsid w:val="0029522E"/>
    <w:rsid w:val="002A19E3"/>
    <w:rsid w:val="002A31A7"/>
    <w:rsid w:val="002A7240"/>
    <w:rsid w:val="002C0B32"/>
    <w:rsid w:val="002C1F23"/>
    <w:rsid w:val="002C442E"/>
    <w:rsid w:val="002D0C6A"/>
    <w:rsid w:val="002E3507"/>
    <w:rsid w:val="002E65D5"/>
    <w:rsid w:val="002F3321"/>
    <w:rsid w:val="002F5FDA"/>
    <w:rsid w:val="00307744"/>
    <w:rsid w:val="00314004"/>
    <w:rsid w:val="00315074"/>
    <w:rsid w:val="00321E10"/>
    <w:rsid w:val="00337213"/>
    <w:rsid w:val="0034766C"/>
    <w:rsid w:val="00347873"/>
    <w:rsid w:val="00350447"/>
    <w:rsid w:val="003513E1"/>
    <w:rsid w:val="003700CE"/>
    <w:rsid w:val="003736B8"/>
    <w:rsid w:val="003774B7"/>
    <w:rsid w:val="00382400"/>
    <w:rsid w:val="0038711B"/>
    <w:rsid w:val="003916DA"/>
    <w:rsid w:val="00395FE0"/>
    <w:rsid w:val="00396177"/>
    <w:rsid w:val="003A4140"/>
    <w:rsid w:val="003A4A75"/>
    <w:rsid w:val="003B019F"/>
    <w:rsid w:val="003B66CB"/>
    <w:rsid w:val="003C06A8"/>
    <w:rsid w:val="003C25FF"/>
    <w:rsid w:val="003C2ED2"/>
    <w:rsid w:val="003C6091"/>
    <w:rsid w:val="003C74E3"/>
    <w:rsid w:val="003D319A"/>
    <w:rsid w:val="003E67A3"/>
    <w:rsid w:val="003F10B5"/>
    <w:rsid w:val="003F468A"/>
    <w:rsid w:val="003F59D5"/>
    <w:rsid w:val="004030F2"/>
    <w:rsid w:val="0041284B"/>
    <w:rsid w:val="00423746"/>
    <w:rsid w:val="0043404D"/>
    <w:rsid w:val="00447350"/>
    <w:rsid w:val="0046212E"/>
    <w:rsid w:val="004707D7"/>
    <w:rsid w:val="0048411A"/>
    <w:rsid w:val="0048592D"/>
    <w:rsid w:val="004951BE"/>
    <w:rsid w:val="004D576B"/>
    <w:rsid w:val="004E4491"/>
    <w:rsid w:val="004E55A2"/>
    <w:rsid w:val="004F719C"/>
    <w:rsid w:val="00500876"/>
    <w:rsid w:val="0050176C"/>
    <w:rsid w:val="00513B2F"/>
    <w:rsid w:val="00522527"/>
    <w:rsid w:val="005304FD"/>
    <w:rsid w:val="00555007"/>
    <w:rsid w:val="005568F8"/>
    <w:rsid w:val="005620A0"/>
    <w:rsid w:val="00570F0A"/>
    <w:rsid w:val="00581226"/>
    <w:rsid w:val="00590156"/>
    <w:rsid w:val="00595B2C"/>
    <w:rsid w:val="005A1317"/>
    <w:rsid w:val="005A2D64"/>
    <w:rsid w:val="005A7370"/>
    <w:rsid w:val="005B2C51"/>
    <w:rsid w:val="005B7077"/>
    <w:rsid w:val="005C182B"/>
    <w:rsid w:val="005D0580"/>
    <w:rsid w:val="005D63C6"/>
    <w:rsid w:val="005E2081"/>
    <w:rsid w:val="005E32B9"/>
    <w:rsid w:val="005F1168"/>
    <w:rsid w:val="00602214"/>
    <w:rsid w:val="00603B93"/>
    <w:rsid w:val="00606D5A"/>
    <w:rsid w:val="00613173"/>
    <w:rsid w:val="00621AF8"/>
    <w:rsid w:val="00622B2C"/>
    <w:rsid w:val="006258D9"/>
    <w:rsid w:val="00631851"/>
    <w:rsid w:val="00633B55"/>
    <w:rsid w:val="006362AB"/>
    <w:rsid w:val="0063773A"/>
    <w:rsid w:val="006425F3"/>
    <w:rsid w:val="00643A6E"/>
    <w:rsid w:val="00661073"/>
    <w:rsid w:val="00663ADF"/>
    <w:rsid w:val="0066653C"/>
    <w:rsid w:val="00667086"/>
    <w:rsid w:val="00671296"/>
    <w:rsid w:val="00675ECD"/>
    <w:rsid w:val="00697C59"/>
    <w:rsid w:val="006A0D96"/>
    <w:rsid w:val="006A3905"/>
    <w:rsid w:val="006B76C7"/>
    <w:rsid w:val="006C556D"/>
    <w:rsid w:val="006C5AC4"/>
    <w:rsid w:val="006D4068"/>
    <w:rsid w:val="006E0037"/>
    <w:rsid w:val="006E06E4"/>
    <w:rsid w:val="006F018E"/>
    <w:rsid w:val="00702B2C"/>
    <w:rsid w:val="007036C6"/>
    <w:rsid w:val="00705556"/>
    <w:rsid w:val="0071274E"/>
    <w:rsid w:val="007143F0"/>
    <w:rsid w:val="00722FCC"/>
    <w:rsid w:val="00726FC9"/>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C02B0"/>
    <w:rsid w:val="007C22E3"/>
    <w:rsid w:val="007C2A32"/>
    <w:rsid w:val="007D2146"/>
    <w:rsid w:val="007D750C"/>
    <w:rsid w:val="007E3363"/>
    <w:rsid w:val="007E48E4"/>
    <w:rsid w:val="007F54BA"/>
    <w:rsid w:val="00802B51"/>
    <w:rsid w:val="00804703"/>
    <w:rsid w:val="00812FEC"/>
    <w:rsid w:val="00821D2C"/>
    <w:rsid w:val="0082339A"/>
    <w:rsid w:val="00824D45"/>
    <w:rsid w:val="00831BC8"/>
    <w:rsid w:val="008420FD"/>
    <w:rsid w:val="0084620C"/>
    <w:rsid w:val="0084676D"/>
    <w:rsid w:val="00851F2D"/>
    <w:rsid w:val="008540CB"/>
    <w:rsid w:val="00854D9A"/>
    <w:rsid w:val="00860EE0"/>
    <w:rsid w:val="00870A1E"/>
    <w:rsid w:val="0087249C"/>
    <w:rsid w:val="00872FCD"/>
    <w:rsid w:val="008854E2"/>
    <w:rsid w:val="00885EFD"/>
    <w:rsid w:val="00891FEB"/>
    <w:rsid w:val="00892B57"/>
    <w:rsid w:val="00895EC3"/>
    <w:rsid w:val="008A6AC4"/>
    <w:rsid w:val="008B3517"/>
    <w:rsid w:val="008C2A2F"/>
    <w:rsid w:val="008C472A"/>
    <w:rsid w:val="008D3DF8"/>
    <w:rsid w:val="008D7016"/>
    <w:rsid w:val="008D7B4F"/>
    <w:rsid w:val="008E58AA"/>
    <w:rsid w:val="008F06CA"/>
    <w:rsid w:val="008F3787"/>
    <w:rsid w:val="009077F7"/>
    <w:rsid w:val="00911AE8"/>
    <w:rsid w:val="009221AC"/>
    <w:rsid w:val="0092358F"/>
    <w:rsid w:val="00923D55"/>
    <w:rsid w:val="00930799"/>
    <w:rsid w:val="00940CE1"/>
    <w:rsid w:val="00941FA1"/>
    <w:rsid w:val="00945CEB"/>
    <w:rsid w:val="009468E8"/>
    <w:rsid w:val="00955C8E"/>
    <w:rsid w:val="00955E30"/>
    <w:rsid w:val="00963003"/>
    <w:rsid w:val="009638DE"/>
    <w:rsid w:val="00964459"/>
    <w:rsid w:val="009872D6"/>
    <w:rsid w:val="00990CCC"/>
    <w:rsid w:val="00993F3D"/>
    <w:rsid w:val="009A6E39"/>
    <w:rsid w:val="009B53F0"/>
    <w:rsid w:val="009C4BE9"/>
    <w:rsid w:val="009C60C3"/>
    <w:rsid w:val="009D1DBA"/>
    <w:rsid w:val="009D24F3"/>
    <w:rsid w:val="009D4721"/>
    <w:rsid w:val="009D6547"/>
    <w:rsid w:val="009D6CC5"/>
    <w:rsid w:val="009D7A7C"/>
    <w:rsid w:val="009E01CF"/>
    <w:rsid w:val="009E41B6"/>
    <w:rsid w:val="009E43BE"/>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3FC7"/>
    <w:rsid w:val="00A85531"/>
    <w:rsid w:val="00A95417"/>
    <w:rsid w:val="00A95DCC"/>
    <w:rsid w:val="00AA7D8A"/>
    <w:rsid w:val="00AB0232"/>
    <w:rsid w:val="00AB77CD"/>
    <w:rsid w:val="00AC1328"/>
    <w:rsid w:val="00AC2841"/>
    <w:rsid w:val="00AC579D"/>
    <w:rsid w:val="00AE6203"/>
    <w:rsid w:val="00AE7789"/>
    <w:rsid w:val="00AE7998"/>
    <w:rsid w:val="00AF1160"/>
    <w:rsid w:val="00B04DEF"/>
    <w:rsid w:val="00B05B13"/>
    <w:rsid w:val="00B06B75"/>
    <w:rsid w:val="00B209FF"/>
    <w:rsid w:val="00B220B2"/>
    <w:rsid w:val="00B30880"/>
    <w:rsid w:val="00B40AFF"/>
    <w:rsid w:val="00B42A96"/>
    <w:rsid w:val="00B434CE"/>
    <w:rsid w:val="00B671E8"/>
    <w:rsid w:val="00B71386"/>
    <w:rsid w:val="00B74483"/>
    <w:rsid w:val="00B817AD"/>
    <w:rsid w:val="00B84D8F"/>
    <w:rsid w:val="00B853DD"/>
    <w:rsid w:val="00B94F52"/>
    <w:rsid w:val="00BA4ADC"/>
    <w:rsid w:val="00BB167D"/>
    <w:rsid w:val="00BB6316"/>
    <w:rsid w:val="00BC4805"/>
    <w:rsid w:val="00C004FC"/>
    <w:rsid w:val="00C16C22"/>
    <w:rsid w:val="00C20489"/>
    <w:rsid w:val="00C22238"/>
    <w:rsid w:val="00C316A8"/>
    <w:rsid w:val="00C32422"/>
    <w:rsid w:val="00C45A42"/>
    <w:rsid w:val="00C51768"/>
    <w:rsid w:val="00C53DAD"/>
    <w:rsid w:val="00C56B5E"/>
    <w:rsid w:val="00C6156F"/>
    <w:rsid w:val="00C63D50"/>
    <w:rsid w:val="00C65CB6"/>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9D9"/>
    <w:rsid w:val="00CF2D2D"/>
    <w:rsid w:val="00CF49F8"/>
    <w:rsid w:val="00D035A9"/>
    <w:rsid w:val="00D04BFC"/>
    <w:rsid w:val="00D112B7"/>
    <w:rsid w:val="00D34876"/>
    <w:rsid w:val="00D3512C"/>
    <w:rsid w:val="00D35884"/>
    <w:rsid w:val="00D36A33"/>
    <w:rsid w:val="00D413C4"/>
    <w:rsid w:val="00D4764B"/>
    <w:rsid w:val="00D56EBB"/>
    <w:rsid w:val="00D5725E"/>
    <w:rsid w:val="00D57F29"/>
    <w:rsid w:val="00D66E1D"/>
    <w:rsid w:val="00D703A4"/>
    <w:rsid w:val="00D70F55"/>
    <w:rsid w:val="00D73615"/>
    <w:rsid w:val="00D73B3A"/>
    <w:rsid w:val="00D7454E"/>
    <w:rsid w:val="00D7637B"/>
    <w:rsid w:val="00D81946"/>
    <w:rsid w:val="00D94023"/>
    <w:rsid w:val="00DA27B2"/>
    <w:rsid w:val="00DA2A5F"/>
    <w:rsid w:val="00DA2A91"/>
    <w:rsid w:val="00DB344E"/>
    <w:rsid w:val="00DB6A20"/>
    <w:rsid w:val="00DD1819"/>
    <w:rsid w:val="00DD4F5F"/>
    <w:rsid w:val="00DD6284"/>
    <w:rsid w:val="00DF4342"/>
    <w:rsid w:val="00E17C6B"/>
    <w:rsid w:val="00E23389"/>
    <w:rsid w:val="00E24A10"/>
    <w:rsid w:val="00E251E6"/>
    <w:rsid w:val="00E37FFA"/>
    <w:rsid w:val="00E41407"/>
    <w:rsid w:val="00E52107"/>
    <w:rsid w:val="00E548B8"/>
    <w:rsid w:val="00E57899"/>
    <w:rsid w:val="00E676F5"/>
    <w:rsid w:val="00E710BF"/>
    <w:rsid w:val="00E72B43"/>
    <w:rsid w:val="00E74742"/>
    <w:rsid w:val="00E86200"/>
    <w:rsid w:val="00E863FB"/>
    <w:rsid w:val="00E921CF"/>
    <w:rsid w:val="00EA0293"/>
    <w:rsid w:val="00EB4072"/>
    <w:rsid w:val="00EC1A86"/>
    <w:rsid w:val="00ED1B50"/>
    <w:rsid w:val="00ED55C0"/>
    <w:rsid w:val="00ED7378"/>
    <w:rsid w:val="00EE20C0"/>
    <w:rsid w:val="00EF3BBD"/>
    <w:rsid w:val="00F01FA8"/>
    <w:rsid w:val="00F03348"/>
    <w:rsid w:val="00F12F34"/>
    <w:rsid w:val="00F14F10"/>
    <w:rsid w:val="00F20F0D"/>
    <w:rsid w:val="00F22DD1"/>
    <w:rsid w:val="00F24EB1"/>
    <w:rsid w:val="00F427C9"/>
    <w:rsid w:val="00F703B1"/>
    <w:rsid w:val="00F768FC"/>
    <w:rsid w:val="00F846A7"/>
    <w:rsid w:val="00FA226D"/>
    <w:rsid w:val="00FA2943"/>
    <w:rsid w:val="00FA3540"/>
    <w:rsid w:val="00FA64BF"/>
    <w:rsid w:val="00FA6E13"/>
    <w:rsid w:val="00FB4467"/>
    <w:rsid w:val="00FB5DAD"/>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16332</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Jackie Fairclough</cp:lastModifiedBy>
  <cp:revision>32</cp:revision>
  <cp:lastPrinted>2017-04-24T14:21:00Z</cp:lastPrinted>
  <dcterms:created xsi:type="dcterms:W3CDTF">2024-03-21T15:48:00Z</dcterms:created>
  <dcterms:modified xsi:type="dcterms:W3CDTF">2024-04-11T11:58:00Z</dcterms:modified>
</cp:coreProperties>
</file>