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90AE54" w14:textId="77777777" w:rsidR="003B05CC" w:rsidRDefault="003B05CC">
      <w:pPr>
        <w:widowControl w:val="0"/>
        <w:autoSpaceDE w:val="0"/>
        <w:autoSpaceDN w:val="0"/>
        <w:adjustRightInd w:val="0"/>
        <w:spacing w:after="200" w:line="276" w:lineRule="auto"/>
        <w:ind w:left="120" w:right="114"/>
        <w:rPr>
          <w:rFonts w:ascii="Arial" w:hAnsi="Arial" w:cs="Arial"/>
          <w:sz w:val="24"/>
          <w:szCs w:val="24"/>
        </w:rPr>
      </w:pPr>
    </w:p>
    <w:p w14:paraId="537C89CE" w14:textId="77777777" w:rsidR="00881AD7" w:rsidRPr="00E54028" w:rsidRDefault="00881AD7" w:rsidP="00881AD7">
      <w:pPr>
        <w:widowControl w:val="0"/>
        <w:autoSpaceDE w:val="0"/>
        <w:autoSpaceDN w:val="0"/>
        <w:adjustRightInd w:val="0"/>
        <w:spacing w:after="260" w:line="240" w:lineRule="auto"/>
        <w:ind w:left="120"/>
        <w:jc w:val="center"/>
        <w:rPr>
          <w:rFonts w:ascii="Arial" w:hAnsi="Arial" w:cs="Arial"/>
          <w:b/>
          <w:sz w:val="24"/>
          <w:szCs w:val="24"/>
        </w:rPr>
      </w:pPr>
      <w:r w:rsidRPr="00E54028">
        <w:rPr>
          <w:rFonts w:ascii="Arial" w:hAnsi="Arial" w:cs="Arial"/>
          <w:b/>
          <w:sz w:val="24"/>
          <w:szCs w:val="24"/>
        </w:rPr>
        <w:t xml:space="preserve">SCHEDULE 2 STATEMENT OF REQUIREMENT for </w:t>
      </w:r>
      <w:bookmarkStart w:id="0" w:name="_Hlk5884665"/>
      <w:r w:rsidRPr="00E54028">
        <w:rPr>
          <w:rFonts w:ascii="Arial" w:hAnsi="Arial" w:cs="Arial"/>
          <w:b/>
          <w:sz w:val="24"/>
          <w:szCs w:val="24"/>
        </w:rPr>
        <w:t>Consultancy in Support of Terminating the PFI Contract for the Defence Sixth Form College Welbeck</w:t>
      </w:r>
      <w:bookmarkEnd w:id="0"/>
    </w:p>
    <w:p w14:paraId="6BBF9400" w14:textId="77777777" w:rsidR="00881AD7" w:rsidRPr="00343F2A" w:rsidRDefault="00881AD7" w:rsidP="00881AD7">
      <w:pPr>
        <w:spacing w:after="0" w:line="240" w:lineRule="auto"/>
        <w:rPr>
          <w:rFonts w:ascii="Arial" w:hAnsi="Arial" w:cs="Arial"/>
          <w:b/>
          <w:u w:val="single"/>
        </w:rPr>
      </w:pPr>
      <w:r w:rsidRPr="00343F2A">
        <w:rPr>
          <w:rFonts w:ascii="Arial" w:hAnsi="Arial" w:cs="Arial"/>
          <w:b/>
          <w:u w:val="single"/>
        </w:rPr>
        <w:t>High level Requirement</w:t>
      </w:r>
    </w:p>
    <w:p w14:paraId="2F9DC0FB" w14:textId="77777777" w:rsidR="00881AD7" w:rsidRPr="00343F2A" w:rsidRDefault="00881AD7" w:rsidP="00881AD7">
      <w:pPr>
        <w:spacing w:after="0" w:line="240" w:lineRule="auto"/>
        <w:rPr>
          <w:rFonts w:ascii="Arial" w:hAnsi="Arial" w:cs="Arial"/>
          <w:b/>
          <w:u w:val="single"/>
        </w:rPr>
      </w:pPr>
    </w:p>
    <w:p w14:paraId="5201361F" w14:textId="77777777" w:rsidR="00881AD7" w:rsidRPr="00343F2A" w:rsidRDefault="00881AD7" w:rsidP="00881AD7">
      <w:pPr>
        <w:pStyle w:val="ListParagraph"/>
        <w:numPr>
          <w:ilvl w:val="0"/>
          <w:numId w:val="4"/>
        </w:numPr>
        <w:spacing w:after="0" w:line="240" w:lineRule="auto"/>
        <w:ind w:left="0" w:firstLine="0"/>
        <w:rPr>
          <w:rFonts w:ascii="Arial" w:hAnsi="Arial" w:cs="Arial"/>
        </w:rPr>
      </w:pPr>
      <w:r w:rsidRPr="00343F2A">
        <w:rPr>
          <w:rFonts w:ascii="Arial" w:hAnsi="Arial" w:cs="Arial"/>
        </w:rPr>
        <w:t>There is a requirement that the Defence Academy (DefAc) conducts contractual negotiations with Minerva Education and Training Ltd (MET(L)) to terminate the Defence Sixth Form College</w:t>
      </w:r>
      <w:r>
        <w:rPr>
          <w:rFonts w:ascii="Arial" w:hAnsi="Arial" w:cs="Arial"/>
        </w:rPr>
        <w:t xml:space="preserve"> (DSFC)</w:t>
      </w:r>
      <w:r w:rsidRPr="00343F2A">
        <w:rPr>
          <w:rFonts w:ascii="Arial" w:hAnsi="Arial" w:cs="Arial"/>
        </w:rPr>
        <w:t xml:space="preserve"> P</w:t>
      </w:r>
      <w:r>
        <w:rPr>
          <w:rFonts w:ascii="Arial" w:hAnsi="Arial" w:cs="Arial"/>
        </w:rPr>
        <w:t xml:space="preserve">rivate </w:t>
      </w:r>
      <w:r w:rsidRPr="00343F2A">
        <w:rPr>
          <w:rFonts w:ascii="Arial" w:hAnsi="Arial" w:cs="Arial"/>
        </w:rPr>
        <w:t>F</w:t>
      </w:r>
      <w:r>
        <w:rPr>
          <w:rFonts w:ascii="Arial" w:hAnsi="Arial" w:cs="Arial"/>
        </w:rPr>
        <w:t>inance Initiative (PFI)</w:t>
      </w:r>
      <w:r w:rsidRPr="00343F2A">
        <w:rPr>
          <w:rFonts w:ascii="Arial" w:hAnsi="Arial" w:cs="Arial"/>
        </w:rPr>
        <w:t xml:space="preserve"> in </w:t>
      </w:r>
      <w:r>
        <w:rPr>
          <w:rFonts w:ascii="Arial" w:hAnsi="Arial" w:cs="Arial"/>
        </w:rPr>
        <w:t xml:space="preserve">Q2 </w:t>
      </w:r>
      <w:r w:rsidRPr="00343F2A">
        <w:rPr>
          <w:rFonts w:ascii="Arial" w:hAnsi="Arial" w:cs="Arial"/>
        </w:rPr>
        <w:t>2021 when the final cohort of students complete their studies, in line with S</w:t>
      </w:r>
      <w:r>
        <w:rPr>
          <w:rFonts w:ascii="Arial" w:hAnsi="Arial" w:cs="Arial"/>
        </w:rPr>
        <w:t xml:space="preserve">ecretary </w:t>
      </w:r>
      <w:r w:rsidRPr="00343F2A">
        <w:rPr>
          <w:rFonts w:ascii="Arial" w:hAnsi="Arial" w:cs="Arial"/>
        </w:rPr>
        <w:t>of</w:t>
      </w:r>
      <w:r>
        <w:rPr>
          <w:rFonts w:ascii="Arial" w:hAnsi="Arial" w:cs="Arial"/>
        </w:rPr>
        <w:t xml:space="preserve"> </w:t>
      </w:r>
      <w:r w:rsidRPr="00343F2A">
        <w:rPr>
          <w:rFonts w:ascii="Arial" w:hAnsi="Arial" w:cs="Arial"/>
        </w:rPr>
        <w:t>S</w:t>
      </w:r>
      <w:r>
        <w:rPr>
          <w:rFonts w:ascii="Arial" w:hAnsi="Arial" w:cs="Arial"/>
        </w:rPr>
        <w:t>tate (SofS)</w:t>
      </w:r>
      <w:r w:rsidRPr="00343F2A">
        <w:rPr>
          <w:rFonts w:ascii="Arial" w:hAnsi="Arial" w:cs="Arial"/>
        </w:rPr>
        <w:t xml:space="preserve"> direction.  This is a component part of closing the Defence Technical Officer and Engineer Entry Scheme (DTOEES) and replacing it with the new S</w:t>
      </w:r>
      <w:r>
        <w:rPr>
          <w:rFonts w:ascii="Arial" w:hAnsi="Arial" w:cs="Arial"/>
        </w:rPr>
        <w:t xml:space="preserve">cience </w:t>
      </w:r>
      <w:r w:rsidRPr="00343F2A">
        <w:rPr>
          <w:rFonts w:ascii="Arial" w:hAnsi="Arial" w:cs="Arial"/>
        </w:rPr>
        <w:t>T</w:t>
      </w:r>
      <w:r>
        <w:rPr>
          <w:rFonts w:ascii="Arial" w:hAnsi="Arial" w:cs="Arial"/>
        </w:rPr>
        <w:t xml:space="preserve">echnology </w:t>
      </w:r>
      <w:r w:rsidRPr="00343F2A">
        <w:rPr>
          <w:rFonts w:ascii="Arial" w:hAnsi="Arial" w:cs="Arial"/>
        </w:rPr>
        <w:t>E</w:t>
      </w:r>
      <w:r>
        <w:rPr>
          <w:rFonts w:ascii="Arial" w:hAnsi="Arial" w:cs="Arial"/>
        </w:rPr>
        <w:t xml:space="preserve">ngineering and </w:t>
      </w:r>
      <w:r w:rsidRPr="00343F2A">
        <w:rPr>
          <w:rFonts w:ascii="Arial" w:hAnsi="Arial" w:cs="Arial"/>
        </w:rPr>
        <w:t>M</w:t>
      </w:r>
      <w:r>
        <w:rPr>
          <w:rFonts w:ascii="Arial" w:hAnsi="Arial" w:cs="Arial"/>
        </w:rPr>
        <w:t>athematics (STEM)</w:t>
      </w:r>
      <w:r w:rsidRPr="00343F2A">
        <w:rPr>
          <w:rFonts w:ascii="Arial" w:hAnsi="Arial" w:cs="Arial"/>
        </w:rPr>
        <w:t xml:space="preserve"> Graduate Inflow Scheme (SGIS).  </w:t>
      </w:r>
    </w:p>
    <w:p w14:paraId="13863468" w14:textId="77777777" w:rsidR="00881AD7" w:rsidRPr="00343F2A" w:rsidRDefault="00881AD7" w:rsidP="00881AD7">
      <w:pPr>
        <w:pStyle w:val="ListParagraph"/>
        <w:spacing w:after="0" w:line="240" w:lineRule="auto"/>
        <w:ind w:left="0"/>
        <w:rPr>
          <w:rFonts w:ascii="Arial" w:hAnsi="Arial" w:cs="Arial"/>
        </w:rPr>
      </w:pPr>
      <w:r w:rsidRPr="00343F2A">
        <w:rPr>
          <w:rFonts w:ascii="Arial" w:hAnsi="Arial" w:cs="Arial"/>
        </w:rPr>
        <w:t xml:space="preserve"> </w:t>
      </w:r>
    </w:p>
    <w:p w14:paraId="5D8E3C48" w14:textId="77777777" w:rsidR="00881AD7" w:rsidRPr="00343F2A" w:rsidRDefault="00881AD7" w:rsidP="00881AD7">
      <w:pPr>
        <w:pStyle w:val="ListParagraph"/>
        <w:spacing w:after="0" w:line="240" w:lineRule="auto"/>
        <w:ind w:left="0"/>
        <w:rPr>
          <w:rFonts w:ascii="Arial" w:hAnsi="Arial" w:cs="Arial"/>
        </w:rPr>
      </w:pPr>
    </w:p>
    <w:p w14:paraId="34AB8C2B" w14:textId="77777777" w:rsidR="00881AD7" w:rsidRPr="00343F2A" w:rsidRDefault="00881AD7" w:rsidP="00881AD7">
      <w:pPr>
        <w:spacing w:after="0" w:line="240" w:lineRule="auto"/>
        <w:rPr>
          <w:rFonts w:ascii="Arial" w:hAnsi="Arial" w:cs="Arial"/>
          <w:b/>
          <w:u w:val="single"/>
        </w:rPr>
      </w:pPr>
      <w:r w:rsidRPr="00343F2A">
        <w:rPr>
          <w:rFonts w:ascii="Arial" w:hAnsi="Arial" w:cs="Arial"/>
          <w:b/>
          <w:u w:val="single"/>
        </w:rPr>
        <w:t>Length of Contract</w:t>
      </w:r>
    </w:p>
    <w:p w14:paraId="342D2AAF" w14:textId="77777777" w:rsidR="00881AD7" w:rsidRPr="00343F2A" w:rsidRDefault="00881AD7" w:rsidP="00881AD7">
      <w:pPr>
        <w:spacing w:after="0" w:line="240" w:lineRule="auto"/>
        <w:rPr>
          <w:rFonts w:ascii="Arial" w:hAnsi="Arial" w:cs="Arial"/>
          <w:b/>
          <w:u w:val="single"/>
        </w:rPr>
      </w:pPr>
    </w:p>
    <w:p w14:paraId="43CB45FA" w14:textId="77777777" w:rsidR="00881AD7" w:rsidRPr="00343F2A" w:rsidRDefault="00881AD7" w:rsidP="00881AD7">
      <w:pPr>
        <w:pStyle w:val="ListParagraph"/>
        <w:numPr>
          <w:ilvl w:val="0"/>
          <w:numId w:val="4"/>
        </w:numPr>
        <w:spacing w:after="0" w:line="240" w:lineRule="auto"/>
        <w:ind w:left="0" w:right="66" w:firstLine="0"/>
        <w:rPr>
          <w:rFonts w:ascii="Arial" w:hAnsi="Arial" w:cs="Arial"/>
        </w:rPr>
      </w:pPr>
      <w:r w:rsidRPr="00343F2A">
        <w:rPr>
          <w:rFonts w:ascii="Arial" w:hAnsi="Arial" w:cs="Arial"/>
        </w:rPr>
        <w:t xml:space="preserve">This is an output based </w:t>
      </w:r>
      <w:r>
        <w:rPr>
          <w:rFonts w:ascii="Arial" w:hAnsi="Arial" w:cs="Arial"/>
        </w:rPr>
        <w:t>C</w:t>
      </w:r>
      <w:r w:rsidRPr="00343F2A">
        <w:rPr>
          <w:rFonts w:ascii="Arial" w:hAnsi="Arial" w:cs="Arial"/>
        </w:rPr>
        <w:t>ontract</w:t>
      </w:r>
      <w:r>
        <w:rPr>
          <w:rFonts w:ascii="Arial" w:hAnsi="Arial" w:cs="Arial"/>
        </w:rPr>
        <w:t xml:space="preserve"> and in line with Crown Commercial Services Framework policy, shall have a duration of no longer than 9 months.</w:t>
      </w:r>
      <w:r w:rsidRPr="00343F2A">
        <w:rPr>
          <w:rFonts w:ascii="Arial" w:hAnsi="Arial" w:cs="Arial"/>
        </w:rPr>
        <w:t xml:space="preserve">  The </w:t>
      </w:r>
      <w:r>
        <w:rPr>
          <w:rFonts w:ascii="Arial" w:hAnsi="Arial" w:cs="Arial"/>
        </w:rPr>
        <w:t>Contractor</w:t>
      </w:r>
      <w:r w:rsidRPr="00343F2A">
        <w:rPr>
          <w:rFonts w:ascii="Arial" w:hAnsi="Arial" w:cs="Arial"/>
        </w:rPr>
        <w:t xml:space="preserve"> must </w:t>
      </w:r>
      <w:r>
        <w:rPr>
          <w:rFonts w:ascii="Arial" w:hAnsi="Arial" w:cs="Arial"/>
        </w:rPr>
        <w:t>notify the Authority</w:t>
      </w:r>
      <w:r w:rsidRPr="00343F2A">
        <w:rPr>
          <w:rFonts w:ascii="Arial" w:hAnsi="Arial" w:cs="Arial"/>
        </w:rPr>
        <w:t xml:space="preserve"> any elements of the work package that are at risk of delay due to </w:t>
      </w:r>
      <w:r>
        <w:rPr>
          <w:rFonts w:ascii="Arial" w:hAnsi="Arial" w:cs="Arial"/>
        </w:rPr>
        <w:t>Authority</w:t>
      </w:r>
      <w:r w:rsidRPr="00343F2A">
        <w:rPr>
          <w:rFonts w:ascii="Arial" w:hAnsi="Arial" w:cs="Arial"/>
        </w:rPr>
        <w:t xml:space="preserve"> stakeholder not engaging</w:t>
      </w:r>
      <w:r>
        <w:rPr>
          <w:rFonts w:ascii="Arial" w:hAnsi="Arial" w:cs="Arial"/>
        </w:rPr>
        <w:t xml:space="preserve">, and must be </w:t>
      </w:r>
      <w:r w:rsidRPr="00343F2A">
        <w:rPr>
          <w:rFonts w:ascii="Arial" w:hAnsi="Arial" w:cs="Arial"/>
        </w:rPr>
        <w:t>raised at the first opportunity.</w:t>
      </w:r>
      <w:r>
        <w:rPr>
          <w:rFonts w:ascii="Arial" w:hAnsi="Arial" w:cs="Arial"/>
        </w:rPr>
        <w:t xml:space="preserve">  </w:t>
      </w:r>
    </w:p>
    <w:p w14:paraId="68486FD2" w14:textId="77777777" w:rsidR="00881AD7" w:rsidRDefault="00881AD7" w:rsidP="00881AD7">
      <w:pPr>
        <w:spacing w:after="0" w:line="240" w:lineRule="auto"/>
        <w:rPr>
          <w:rFonts w:ascii="Arial" w:hAnsi="Arial" w:cs="Arial"/>
        </w:rPr>
      </w:pPr>
    </w:p>
    <w:p w14:paraId="3DF6A9A0" w14:textId="77777777" w:rsidR="00881AD7" w:rsidRDefault="00881AD7" w:rsidP="00881AD7">
      <w:pPr>
        <w:spacing w:after="0" w:line="240" w:lineRule="auto"/>
        <w:rPr>
          <w:rFonts w:ascii="Arial" w:hAnsi="Arial" w:cs="Arial"/>
        </w:rPr>
      </w:pPr>
      <w:r w:rsidRPr="006941FB">
        <w:rPr>
          <w:rFonts w:ascii="Arial" w:hAnsi="Arial" w:cs="Arial"/>
          <w:b/>
          <w:u w:val="single"/>
        </w:rPr>
        <w:t>On Site Presence</w:t>
      </w:r>
    </w:p>
    <w:p w14:paraId="3AD62CE7" w14:textId="77777777" w:rsidR="00881AD7" w:rsidRDefault="00881AD7" w:rsidP="00881AD7">
      <w:pPr>
        <w:spacing w:after="0" w:line="240" w:lineRule="auto"/>
        <w:rPr>
          <w:rFonts w:ascii="Arial" w:hAnsi="Arial" w:cs="Arial"/>
        </w:rPr>
      </w:pPr>
    </w:p>
    <w:p w14:paraId="45856239" w14:textId="77777777" w:rsidR="00881AD7" w:rsidRDefault="00881AD7" w:rsidP="00881AD7">
      <w:pPr>
        <w:pStyle w:val="ListParagraph"/>
        <w:numPr>
          <w:ilvl w:val="0"/>
          <w:numId w:val="4"/>
        </w:numPr>
        <w:spacing w:after="0" w:line="240" w:lineRule="auto"/>
        <w:ind w:left="0" w:firstLine="0"/>
        <w:rPr>
          <w:rFonts w:ascii="Arial" w:hAnsi="Arial" w:cs="Arial"/>
        </w:rPr>
      </w:pPr>
      <w:r>
        <w:rPr>
          <w:rFonts w:ascii="Arial" w:hAnsi="Arial" w:cs="Arial"/>
        </w:rPr>
        <w:t>On site presence will be as required by Business needs.</w:t>
      </w:r>
    </w:p>
    <w:p w14:paraId="2916096A" w14:textId="77777777" w:rsidR="00881AD7" w:rsidRDefault="00881AD7" w:rsidP="00881AD7">
      <w:pPr>
        <w:spacing w:after="0" w:line="240" w:lineRule="auto"/>
        <w:rPr>
          <w:rFonts w:ascii="Arial" w:hAnsi="Arial" w:cs="Arial"/>
        </w:rPr>
      </w:pPr>
    </w:p>
    <w:p w14:paraId="4D73DFC7" w14:textId="77777777" w:rsidR="00881AD7" w:rsidRPr="00270071" w:rsidRDefault="00881AD7" w:rsidP="00881AD7">
      <w:pPr>
        <w:spacing w:after="0" w:line="240" w:lineRule="auto"/>
        <w:rPr>
          <w:rFonts w:ascii="Arial" w:hAnsi="Arial" w:cs="Arial"/>
          <w:b/>
          <w:u w:val="single"/>
        </w:rPr>
      </w:pPr>
      <w:r w:rsidRPr="00270071">
        <w:rPr>
          <w:rFonts w:ascii="Arial" w:hAnsi="Arial" w:cs="Arial"/>
          <w:b/>
          <w:u w:val="single"/>
        </w:rPr>
        <w:t>Scope of work</w:t>
      </w:r>
    </w:p>
    <w:p w14:paraId="715CBEF0" w14:textId="77777777" w:rsidR="00881AD7" w:rsidRDefault="00881AD7" w:rsidP="00881AD7">
      <w:pPr>
        <w:spacing w:after="0" w:line="240" w:lineRule="auto"/>
        <w:rPr>
          <w:rFonts w:ascii="Arial" w:hAnsi="Arial" w:cs="Arial"/>
        </w:rPr>
      </w:pPr>
    </w:p>
    <w:p w14:paraId="0E1601BD" w14:textId="29385E14" w:rsidR="00881AD7" w:rsidRPr="00CA23F5" w:rsidRDefault="00881AD7" w:rsidP="00881AD7">
      <w:pPr>
        <w:pStyle w:val="ListParagraph"/>
        <w:numPr>
          <w:ilvl w:val="0"/>
          <w:numId w:val="4"/>
        </w:numPr>
        <w:spacing w:after="0" w:line="240" w:lineRule="auto"/>
        <w:rPr>
          <w:rFonts w:ascii="Arial" w:hAnsi="Arial" w:cs="Arial"/>
        </w:rPr>
      </w:pPr>
      <w:r>
        <w:rPr>
          <w:rFonts w:ascii="Arial" w:hAnsi="Arial" w:cs="Arial"/>
        </w:rPr>
        <w:t xml:space="preserve">     </w:t>
      </w:r>
      <w:r w:rsidRPr="00CA23F5">
        <w:rPr>
          <w:rFonts w:ascii="Arial" w:hAnsi="Arial" w:cs="Arial"/>
        </w:rPr>
        <w:t xml:space="preserve">Working closely with DefAc, and its legal advisers, PwC (the Supplier) will provide the strategic and transactional advisory     </w:t>
      </w:r>
    </w:p>
    <w:p w14:paraId="7D4D6F92" w14:textId="727DF656" w:rsidR="00881AD7" w:rsidRPr="00CA23F5" w:rsidRDefault="00881AD7" w:rsidP="00881AD7">
      <w:pPr>
        <w:pStyle w:val="ListParagraph"/>
        <w:spacing w:after="0" w:line="240" w:lineRule="auto"/>
        <w:ind w:left="360"/>
        <w:rPr>
          <w:rFonts w:ascii="Arial" w:hAnsi="Arial" w:cs="Arial"/>
        </w:rPr>
      </w:pPr>
      <w:r w:rsidRPr="00CA23F5">
        <w:rPr>
          <w:rFonts w:ascii="Arial" w:hAnsi="Arial" w:cs="Arial"/>
        </w:rPr>
        <w:t xml:space="preserve">     services set out below. </w:t>
      </w:r>
    </w:p>
    <w:p w14:paraId="1EBE31EC" w14:textId="77777777" w:rsidR="00881AD7" w:rsidRPr="00CA23F5" w:rsidRDefault="00881AD7" w:rsidP="00881AD7">
      <w:pPr>
        <w:pStyle w:val="ListParagraph"/>
        <w:spacing w:after="0" w:line="240" w:lineRule="auto"/>
        <w:ind w:left="360"/>
        <w:rPr>
          <w:rFonts w:ascii="Arial" w:hAnsi="Arial" w:cs="Arial"/>
        </w:rPr>
      </w:pPr>
    </w:p>
    <w:p w14:paraId="018DE435" w14:textId="77777777" w:rsidR="00881AD7" w:rsidRDefault="00881AD7" w:rsidP="00881AD7">
      <w:pPr>
        <w:pStyle w:val="ListParagraph"/>
        <w:spacing w:after="0" w:line="240" w:lineRule="auto"/>
        <w:ind w:left="360"/>
        <w:rPr>
          <w:rFonts w:ascii="Arial" w:hAnsi="Arial" w:cs="Arial"/>
        </w:rPr>
      </w:pPr>
      <w:r w:rsidRPr="00CA23F5">
        <w:rPr>
          <w:rFonts w:ascii="Arial" w:hAnsi="Arial" w:cs="Arial"/>
        </w:rPr>
        <w:t xml:space="preserve">     The Supplier will not be providing legal advisory services.</w:t>
      </w:r>
    </w:p>
    <w:p w14:paraId="3B7884F2" w14:textId="77777777" w:rsidR="00881AD7" w:rsidRDefault="00881AD7" w:rsidP="00881AD7">
      <w:pPr>
        <w:spacing w:after="0" w:line="240" w:lineRule="auto"/>
        <w:ind w:firstLine="720"/>
        <w:rPr>
          <w:rFonts w:ascii="Arial" w:hAnsi="Arial" w:cs="Arial"/>
        </w:rPr>
      </w:pPr>
    </w:p>
    <w:p w14:paraId="1990FA87" w14:textId="77777777" w:rsidR="00881AD7" w:rsidRDefault="00881AD7" w:rsidP="00881AD7">
      <w:pPr>
        <w:spacing w:after="0" w:line="240" w:lineRule="auto"/>
        <w:ind w:firstLine="720"/>
        <w:rPr>
          <w:rFonts w:ascii="Arial" w:hAnsi="Arial" w:cs="Arial"/>
        </w:rPr>
      </w:pPr>
    </w:p>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2100"/>
        <w:gridCol w:w="2215"/>
        <w:gridCol w:w="3242"/>
        <w:gridCol w:w="1862"/>
      </w:tblGrid>
      <w:tr w:rsidR="00017F15" w:rsidRPr="00017F15" w14:paraId="2E890160" w14:textId="77777777" w:rsidTr="00B64F00">
        <w:trPr>
          <w:jc w:val="center"/>
        </w:trPr>
        <w:tc>
          <w:tcPr>
            <w:tcW w:w="1561" w:type="dxa"/>
            <w:shd w:val="clear" w:color="auto" w:fill="auto"/>
          </w:tcPr>
          <w:p w14:paraId="69E7DE57" w14:textId="77777777" w:rsidR="00881AD7" w:rsidRPr="00017F15" w:rsidRDefault="00881AD7" w:rsidP="00017F15">
            <w:pPr>
              <w:spacing w:after="0" w:line="240" w:lineRule="auto"/>
              <w:rPr>
                <w:rFonts w:ascii="Arial" w:hAnsi="Arial" w:cs="Arial"/>
                <w:b/>
                <w:lang w:eastAsia="en-US"/>
              </w:rPr>
            </w:pPr>
            <w:r w:rsidRPr="00017F15">
              <w:rPr>
                <w:rFonts w:ascii="Arial" w:hAnsi="Arial" w:cs="Arial"/>
                <w:b/>
                <w:lang w:eastAsia="en-US"/>
              </w:rPr>
              <w:t>Requirement</w:t>
            </w:r>
          </w:p>
          <w:p w14:paraId="7F498C83" w14:textId="77777777" w:rsidR="00881AD7" w:rsidRPr="00017F15" w:rsidRDefault="00881AD7" w:rsidP="00017F15">
            <w:pPr>
              <w:spacing w:after="0" w:line="240" w:lineRule="auto"/>
              <w:rPr>
                <w:rFonts w:ascii="Arial" w:hAnsi="Arial" w:cs="Arial"/>
                <w:b/>
                <w:color w:val="FF0000"/>
                <w:lang w:eastAsia="en-US"/>
              </w:rPr>
            </w:pPr>
            <w:r w:rsidRPr="00017F15">
              <w:rPr>
                <w:rFonts w:ascii="Arial" w:hAnsi="Arial" w:cs="Arial"/>
                <w:b/>
                <w:lang w:eastAsia="en-US"/>
              </w:rPr>
              <w:t>Task</w:t>
            </w:r>
          </w:p>
        </w:tc>
        <w:tc>
          <w:tcPr>
            <w:tcW w:w="2100" w:type="dxa"/>
            <w:shd w:val="clear" w:color="auto" w:fill="auto"/>
          </w:tcPr>
          <w:p w14:paraId="43A086C9" w14:textId="77777777" w:rsidR="00881AD7" w:rsidRPr="00017F15" w:rsidRDefault="00881AD7" w:rsidP="00017F15">
            <w:pPr>
              <w:spacing w:after="0" w:line="240" w:lineRule="auto"/>
              <w:rPr>
                <w:rFonts w:ascii="Arial" w:hAnsi="Arial" w:cs="Arial"/>
                <w:b/>
                <w:lang w:eastAsia="en-US"/>
              </w:rPr>
            </w:pPr>
            <w:r w:rsidRPr="00017F15">
              <w:rPr>
                <w:rFonts w:ascii="Arial" w:hAnsi="Arial" w:cs="Arial"/>
                <w:b/>
                <w:lang w:eastAsia="en-US"/>
              </w:rPr>
              <w:t>Topic</w:t>
            </w:r>
          </w:p>
        </w:tc>
        <w:tc>
          <w:tcPr>
            <w:tcW w:w="2215" w:type="dxa"/>
            <w:shd w:val="clear" w:color="auto" w:fill="auto"/>
          </w:tcPr>
          <w:p w14:paraId="005F96FA" w14:textId="77777777" w:rsidR="00881AD7" w:rsidRPr="00017F15" w:rsidRDefault="00881AD7" w:rsidP="00017F15">
            <w:pPr>
              <w:spacing w:after="0" w:line="240" w:lineRule="auto"/>
              <w:rPr>
                <w:rFonts w:ascii="Arial" w:hAnsi="Arial" w:cs="Arial"/>
                <w:b/>
                <w:lang w:eastAsia="en-US"/>
              </w:rPr>
            </w:pPr>
            <w:r w:rsidRPr="00017F15">
              <w:rPr>
                <w:rFonts w:ascii="Arial" w:hAnsi="Arial" w:cs="Arial"/>
                <w:b/>
                <w:lang w:eastAsia="en-US"/>
              </w:rPr>
              <w:t>Deliverable(s)</w:t>
            </w:r>
          </w:p>
        </w:tc>
        <w:tc>
          <w:tcPr>
            <w:tcW w:w="3242" w:type="dxa"/>
            <w:shd w:val="clear" w:color="auto" w:fill="auto"/>
          </w:tcPr>
          <w:p w14:paraId="6E2FB302" w14:textId="77777777" w:rsidR="00881AD7" w:rsidRPr="00017F15" w:rsidRDefault="00881AD7" w:rsidP="00017F15">
            <w:pPr>
              <w:spacing w:after="0" w:line="240" w:lineRule="auto"/>
              <w:rPr>
                <w:rFonts w:ascii="Arial" w:hAnsi="Arial" w:cs="Arial"/>
                <w:b/>
                <w:lang w:eastAsia="en-US"/>
              </w:rPr>
            </w:pPr>
            <w:r w:rsidRPr="00017F15">
              <w:rPr>
                <w:rFonts w:ascii="Arial" w:hAnsi="Arial" w:cs="Arial"/>
                <w:b/>
                <w:lang w:eastAsia="en-US"/>
              </w:rPr>
              <w:t>Description</w:t>
            </w:r>
          </w:p>
        </w:tc>
        <w:tc>
          <w:tcPr>
            <w:tcW w:w="1862" w:type="dxa"/>
            <w:shd w:val="clear" w:color="auto" w:fill="auto"/>
          </w:tcPr>
          <w:p w14:paraId="36F34ACA" w14:textId="77777777" w:rsidR="00881AD7" w:rsidRPr="00017F15" w:rsidRDefault="00881AD7" w:rsidP="00017F15">
            <w:pPr>
              <w:spacing w:after="0" w:line="240" w:lineRule="auto"/>
              <w:rPr>
                <w:rFonts w:ascii="Arial" w:hAnsi="Arial" w:cs="Arial"/>
                <w:b/>
                <w:lang w:eastAsia="en-US"/>
              </w:rPr>
            </w:pPr>
            <w:r w:rsidRPr="00017F15">
              <w:rPr>
                <w:rFonts w:ascii="Arial" w:hAnsi="Arial" w:cs="Arial"/>
                <w:b/>
                <w:lang w:eastAsia="en-US"/>
              </w:rPr>
              <w:t>Anticipated Delivery Period</w:t>
            </w:r>
          </w:p>
        </w:tc>
      </w:tr>
      <w:tr w:rsidR="00017F15" w:rsidRPr="00017F15" w14:paraId="6AA92D3E" w14:textId="77777777" w:rsidTr="00B64F00">
        <w:trPr>
          <w:jc w:val="center"/>
        </w:trPr>
        <w:tc>
          <w:tcPr>
            <w:tcW w:w="1561" w:type="dxa"/>
            <w:shd w:val="clear" w:color="auto" w:fill="auto"/>
          </w:tcPr>
          <w:p w14:paraId="5906791E" w14:textId="77777777" w:rsidR="00881AD7" w:rsidRPr="00017F15" w:rsidRDefault="00881AD7" w:rsidP="00017F15">
            <w:pPr>
              <w:spacing w:after="0" w:line="240" w:lineRule="auto"/>
              <w:rPr>
                <w:rFonts w:ascii="Arial" w:hAnsi="Arial" w:cs="Arial"/>
                <w:lang w:eastAsia="en-US"/>
              </w:rPr>
            </w:pPr>
            <w:r w:rsidRPr="00017F15">
              <w:rPr>
                <w:rFonts w:ascii="Arial" w:hAnsi="Arial" w:cs="Arial"/>
                <w:lang w:eastAsia="en-US"/>
              </w:rPr>
              <w:t>1</w:t>
            </w:r>
          </w:p>
        </w:tc>
        <w:tc>
          <w:tcPr>
            <w:tcW w:w="2100" w:type="dxa"/>
            <w:shd w:val="clear" w:color="auto" w:fill="auto"/>
          </w:tcPr>
          <w:p w14:paraId="68616B68" w14:textId="77777777" w:rsidR="00881AD7" w:rsidRPr="00017F15" w:rsidRDefault="00881AD7" w:rsidP="00017F15">
            <w:pPr>
              <w:spacing w:after="0" w:line="240" w:lineRule="auto"/>
              <w:rPr>
                <w:rFonts w:ascii="Arial" w:hAnsi="Arial" w:cs="Arial"/>
                <w:lang w:eastAsia="en-US"/>
              </w:rPr>
            </w:pPr>
            <w:r w:rsidRPr="00017F15">
              <w:rPr>
                <w:rFonts w:ascii="Arial" w:hAnsi="Arial" w:cs="Arial"/>
                <w:lang w:eastAsia="en-US"/>
              </w:rPr>
              <w:t>Implementation Strategy</w:t>
            </w:r>
          </w:p>
        </w:tc>
        <w:tc>
          <w:tcPr>
            <w:tcW w:w="2215" w:type="dxa"/>
            <w:shd w:val="clear" w:color="auto" w:fill="auto"/>
          </w:tcPr>
          <w:p w14:paraId="668DEBF8" w14:textId="77777777" w:rsidR="00881AD7" w:rsidRPr="00017F15" w:rsidRDefault="00881AD7" w:rsidP="00017F15">
            <w:pPr>
              <w:pStyle w:val="ListParagraph"/>
              <w:numPr>
                <w:ilvl w:val="0"/>
                <w:numId w:val="9"/>
              </w:numPr>
              <w:spacing w:after="0" w:line="240" w:lineRule="auto"/>
              <w:rPr>
                <w:rFonts w:ascii="Arial" w:hAnsi="Arial" w:cs="Arial"/>
              </w:rPr>
            </w:pPr>
            <w:r w:rsidRPr="00017F15">
              <w:rPr>
                <w:rFonts w:ascii="Arial" w:hAnsi="Arial" w:cs="Arial"/>
              </w:rPr>
              <w:t>Advice on the options and preferred commercial approach</w:t>
            </w:r>
          </w:p>
          <w:p w14:paraId="0CFBD6FF" w14:textId="77777777" w:rsidR="00881AD7" w:rsidRPr="00017F15" w:rsidRDefault="00881AD7" w:rsidP="00017F15">
            <w:pPr>
              <w:pStyle w:val="ListParagraph"/>
              <w:numPr>
                <w:ilvl w:val="0"/>
                <w:numId w:val="9"/>
              </w:numPr>
              <w:spacing w:after="0" w:line="240" w:lineRule="auto"/>
              <w:rPr>
                <w:rFonts w:ascii="Arial" w:hAnsi="Arial" w:cs="Arial"/>
              </w:rPr>
            </w:pPr>
            <w:r w:rsidRPr="00017F15">
              <w:rPr>
                <w:rFonts w:ascii="Arial" w:hAnsi="Arial" w:cs="Arial"/>
              </w:rPr>
              <w:t>Project/transition timetable</w:t>
            </w:r>
          </w:p>
          <w:p w14:paraId="3473A1D2" w14:textId="77777777" w:rsidR="00881AD7" w:rsidRPr="00017F15" w:rsidRDefault="00881AD7" w:rsidP="00017F15">
            <w:pPr>
              <w:pStyle w:val="ListParagraph"/>
              <w:numPr>
                <w:ilvl w:val="0"/>
                <w:numId w:val="9"/>
              </w:numPr>
              <w:spacing w:after="0" w:line="240" w:lineRule="auto"/>
              <w:rPr>
                <w:rFonts w:ascii="Arial" w:hAnsi="Arial" w:cs="Arial"/>
              </w:rPr>
            </w:pPr>
            <w:r w:rsidRPr="00017F15">
              <w:rPr>
                <w:rFonts w:ascii="Arial" w:hAnsi="Arial" w:cs="Arial"/>
              </w:rPr>
              <w:t>Support to DefAc in the dialogue with Minerva to agree project timetable and agreed options</w:t>
            </w:r>
          </w:p>
        </w:tc>
        <w:tc>
          <w:tcPr>
            <w:tcW w:w="3242" w:type="dxa"/>
            <w:shd w:val="clear" w:color="auto" w:fill="auto"/>
          </w:tcPr>
          <w:p w14:paraId="5313BD12" w14:textId="65602F9C" w:rsidR="00881AD7" w:rsidRPr="00017F15" w:rsidRDefault="00881AD7" w:rsidP="00017F15">
            <w:pPr>
              <w:pStyle w:val="ListParagraph"/>
              <w:numPr>
                <w:ilvl w:val="0"/>
                <w:numId w:val="2"/>
              </w:numPr>
              <w:spacing w:before="100" w:beforeAutospacing="1" w:after="100" w:afterAutospacing="1" w:line="240" w:lineRule="auto"/>
              <w:ind w:left="364" w:hanging="364"/>
              <w:rPr>
                <w:rFonts w:ascii="Arial" w:hAnsi="Arial" w:cs="Arial"/>
              </w:rPr>
            </w:pPr>
            <w:r w:rsidRPr="00017F15">
              <w:rPr>
                <w:rFonts w:ascii="Arial" w:hAnsi="Arial" w:cs="Arial"/>
              </w:rPr>
              <w:t xml:space="preserve">Assist to define DefAc’s objectives and requirements </w:t>
            </w:r>
            <w:r w:rsidR="004802FA">
              <w:rPr>
                <w:rFonts w:ascii="Arial" w:hAnsi="Arial" w:cs="Arial"/>
              </w:rPr>
              <w:t>for eac</w:t>
            </w:r>
            <w:r w:rsidR="000D57EB">
              <w:rPr>
                <w:rFonts w:ascii="Arial" w:hAnsi="Arial" w:cs="Arial"/>
              </w:rPr>
              <w:t>h</w:t>
            </w:r>
            <w:r w:rsidR="004802FA">
              <w:rPr>
                <w:rFonts w:ascii="Arial" w:hAnsi="Arial" w:cs="Arial"/>
              </w:rPr>
              <w:t xml:space="preserve"> of the key workstreams </w:t>
            </w:r>
            <w:r w:rsidRPr="00017F15">
              <w:rPr>
                <w:rFonts w:ascii="Arial" w:hAnsi="Arial" w:cs="Arial"/>
              </w:rPr>
              <w:t xml:space="preserve">through to </w:t>
            </w:r>
            <w:r w:rsidR="004802FA">
              <w:rPr>
                <w:rFonts w:ascii="Arial" w:hAnsi="Arial" w:cs="Arial"/>
              </w:rPr>
              <w:t>September</w:t>
            </w:r>
            <w:r w:rsidRPr="00017F15">
              <w:rPr>
                <w:rFonts w:ascii="Arial" w:hAnsi="Arial" w:cs="Arial"/>
              </w:rPr>
              <w:t xml:space="preserve"> 2021</w:t>
            </w:r>
          </w:p>
          <w:p w14:paraId="374935D4" w14:textId="6952DD2A" w:rsidR="00881AD7" w:rsidRPr="00017F15" w:rsidRDefault="00881AD7" w:rsidP="00017F15">
            <w:pPr>
              <w:pStyle w:val="ListParagraph"/>
              <w:numPr>
                <w:ilvl w:val="0"/>
                <w:numId w:val="2"/>
              </w:numPr>
              <w:spacing w:before="100" w:beforeAutospacing="1" w:after="100" w:afterAutospacing="1" w:line="240" w:lineRule="auto"/>
              <w:ind w:left="364" w:hanging="364"/>
              <w:rPr>
                <w:rFonts w:ascii="Arial" w:hAnsi="Arial" w:cs="Arial"/>
              </w:rPr>
            </w:pPr>
            <w:r w:rsidRPr="00017F15">
              <w:rPr>
                <w:rFonts w:ascii="Arial" w:hAnsi="Arial" w:cs="Arial"/>
              </w:rPr>
              <w:t xml:space="preserve">Assist </w:t>
            </w:r>
            <w:r w:rsidR="004802FA">
              <w:rPr>
                <w:rFonts w:ascii="Arial" w:hAnsi="Arial" w:cs="Arial"/>
              </w:rPr>
              <w:t xml:space="preserve">DefAc to </w:t>
            </w:r>
            <w:r w:rsidRPr="00017F15">
              <w:rPr>
                <w:rFonts w:ascii="Arial" w:hAnsi="Arial" w:cs="Arial"/>
              </w:rPr>
              <w:t>develop the options and preferred commercial approach to pursuing these objectives with Minerva</w:t>
            </w:r>
          </w:p>
          <w:p w14:paraId="0EA2DB23" w14:textId="77777777" w:rsidR="00881AD7" w:rsidRPr="00017F15" w:rsidRDefault="00881AD7" w:rsidP="00017F15">
            <w:pPr>
              <w:pStyle w:val="ListParagraph"/>
              <w:numPr>
                <w:ilvl w:val="0"/>
                <w:numId w:val="2"/>
              </w:numPr>
              <w:spacing w:before="100" w:beforeAutospacing="1" w:after="100" w:afterAutospacing="1" w:line="240" w:lineRule="auto"/>
              <w:ind w:left="364" w:hanging="364"/>
              <w:rPr>
                <w:rFonts w:ascii="Arial" w:hAnsi="Arial" w:cs="Arial"/>
              </w:rPr>
            </w:pPr>
            <w:r w:rsidRPr="00017F15">
              <w:rPr>
                <w:rFonts w:ascii="Arial" w:hAnsi="Arial" w:cs="Arial"/>
              </w:rPr>
              <w:t xml:space="preserve">Develop a negotiating strategy for key aspects of DefAc’s desired outcome, </w:t>
            </w:r>
            <w:r w:rsidRPr="00017F15">
              <w:rPr>
                <w:rFonts w:ascii="Arial" w:hAnsi="Arial" w:cs="Arial"/>
              </w:rPr>
              <w:lastRenderedPageBreak/>
              <w:t>assessing relevant options and evidencing preferred positions</w:t>
            </w:r>
          </w:p>
          <w:p w14:paraId="18BD8E61" w14:textId="77777777" w:rsidR="00881AD7" w:rsidRPr="00017F15" w:rsidRDefault="00881AD7" w:rsidP="00017F15">
            <w:pPr>
              <w:pStyle w:val="ListParagraph"/>
              <w:numPr>
                <w:ilvl w:val="0"/>
                <w:numId w:val="2"/>
              </w:numPr>
              <w:spacing w:before="100" w:beforeAutospacing="1" w:after="100" w:afterAutospacing="1" w:line="240" w:lineRule="auto"/>
              <w:ind w:left="364" w:hanging="364"/>
              <w:rPr>
                <w:rFonts w:ascii="Arial" w:hAnsi="Arial" w:cs="Arial"/>
              </w:rPr>
            </w:pPr>
            <w:r w:rsidRPr="00017F15">
              <w:rPr>
                <w:rFonts w:ascii="Arial" w:hAnsi="Arial" w:cs="Arial"/>
              </w:rPr>
              <w:t>Develop a proposed project/transaction timetable that is consistent with agreed approach and strategy</w:t>
            </w:r>
          </w:p>
          <w:p w14:paraId="3B0BEFB6" w14:textId="275A0D8A" w:rsidR="00881AD7" w:rsidRPr="00017F15" w:rsidRDefault="00881AD7" w:rsidP="00017F15">
            <w:pPr>
              <w:pStyle w:val="ListParagraph"/>
              <w:numPr>
                <w:ilvl w:val="0"/>
                <w:numId w:val="2"/>
              </w:numPr>
              <w:spacing w:before="100" w:beforeAutospacing="1" w:after="100" w:afterAutospacing="1" w:line="240" w:lineRule="auto"/>
              <w:ind w:left="364" w:hanging="364"/>
              <w:rPr>
                <w:rFonts w:ascii="Arial" w:hAnsi="Arial" w:cs="Arial"/>
              </w:rPr>
            </w:pPr>
            <w:r w:rsidRPr="00017F15">
              <w:rPr>
                <w:rFonts w:ascii="Arial" w:hAnsi="Arial" w:cs="Arial"/>
              </w:rPr>
              <w:t xml:space="preserve">Assist DefAc </w:t>
            </w:r>
            <w:r w:rsidR="004802FA">
              <w:rPr>
                <w:rFonts w:ascii="Arial" w:hAnsi="Arial" w:cs="Arial"/>
              </w:rPr>
              <w:t xml:space="preserve">to </w:t>
            </w:r>
            <w:r w:rsidRPr="00017F15">
              <w:rPr>
                <w:rFonts w:ascii="Arial" w:hAnsi="Arial" w:cs="Arial"/>
              </w:rPr>
              <w:t>brief Minerva on its intentions and proposed plan for implementing the requirements of the recent announcement</w:t>
            </w:r>
          </w:p>
        </w:tc>
        <w:tc>
          <w:tcPr>
            <w:tcW w:w="1862" w:type="dxa"/>
            <w:shd w:val="clear" w:color="auto" w:fill="auto"/>
          </w:tcPr>
          <w:p w14:paraId="53F7F61A" w14:textId="360F62F1" w:rsidR="00881AD7" w:rsidRPr="00017F15" w:rsidRDefault="00443B8F" w:rsidP="00017F15">
            <w:pPr>
              <w:spacing w:after="0" w:line="240" w:lineRule="auto"/>
              <w:rPr>
                <w:rFonts w:ascii="Arial" w:hAnsi="Arial" w:cs="Arial"/>
                <w:lang w:eastAsia="en-US"/>
              </w:rPr>
            </w:pPr>
            <w:r>
              <w:rPr>
                <w:rFonts w:ascii="Arial" w:hAnsi="Arial" w:cs="Arial"/>
                <w:lang w:eastAsia="en-US"/>
              </w:rPr>
              <w:lastRenderedPageBreak/>
              <w:t>Continuous activity</w:t>
            </w:r>
          </w:p>
        </w:tc>
      </w:tr>
      <w:tr w:rsidR="00017F15" w:rsidRPr="00017F15" w14:paraId="03835BD2" w14:textId="77777777" w:rsidTr="00B64F00">
        <w:trPr>
          <w:jc w:val="center"/>
        </w:trPr>
        <w:tc>
          <w:tcPr>
            <w:tcW w:w="1561" w:type="dxa"/>
            <w:shd w:val="clear" w:color="auto" w:fill="auto"/>
          </w:tcPr>
          <w:p w14:paraId="77398FA4" w14:textId="77777777" w:rsidR="00881AD7" w:rsidRPr="00017F15" w:rsidRDefault="00881AD7" w:rsidP="00017F15">
            <w:pPr>
              <w:spacing w:after="0" w:line="240" w:lineRule="auto"/>
              <w:rPr>
                <w:rFonts w:ascii="Arial" w:hAnsi="Arial" w:cs="Arial"/>
                <w:lang w:eastAsia="en-US"/>
              </w:rPr>
            </w:pPr>
            <w:r w:rsidRPr="00017F15">
              <w:rPr>
                <w:rFonts w:ascii="Arial" w:hAnsi="Arial" w:cs="Arial"/>
                <w:lang w:eastAsia="en-US"/>
              </w:rPr>
              <w:t>2</w:t>
            </w:r>
          </w:p>
        </w:tc>
        <w:tc>
          <w:tcPr>
            <w:tcW w:w="2100" w:type="dxa"/>
            <w:shd w:val="clear" w:color="auto" w:fill="auto"/>
          </w:tcPr>
          <w:p w14:paraId="76488AE6" w14:textId="77777777" w:rsidR="00881AD7" w:rsidRPr="00017F15" w:rsidRDefault="00881AD7" w:rsidP="00017F15">
            <w:pPr>
              <w:spacing w:after="0" w:line="240" w:lineRule="auto"/>
              <w:rPr>
                <w:rFonts w:ascii="Arial" w:hAnsi="Arial" w:cs="Arial"/>
                <w:lang w:eastAsia="en-US"/>
              </w:rPr>
            </w:pPr>
            <w:r w:rsidRPr="00017F15">
              <w:rPr>
                <w:rFonts w:ascii="Arial" w:hAnsi="Arial" w:cs="Arial"/>
                <w:lang w:eastAsia="en-US"/>
              </w:rPr>
              <w:t>Post-July 2021 Site Use Strategy</w:t>
            </w:r>
          </w:p>
        </w:tc>
        <w:tc>
          <w:tcPr>
            <w:tcW w:w="2215" w:type="dxa"/>
            <w:shd w:val="clear" w:color="auto" w:fill="auto"/>
          </w:tcPr>
          <w:p w14:paraId="3E321F92" w14:textId="77777777" w:rsidR="00881AD7" w:rsidRPr="00017F15" w:rsidRDefault="00881AD7" w:rsidP="00017F15">
            <w:pPr>
              <w:pStyle w:val="ListParagraph"/>
              <w:numPr>
                <w:ilvl w:val="0"/>
                <w:numId w:val="10"/>
              </w:numPr>
              <w:spacing w:after="0" w:line="240" w:lineRule="auto"/>
              <w:ind w:left="355"/>
              <w:rPr>
                <w:rFonts w:ascii="Arial" w:hAnsi="Arial" w:cs="Arial"/>
              </w:rPr>
            </w:pPr>
            <w:r w:rsidRPr="00017F15">
              <w:rPr>
                <w:rFonts w:ascii="Arial" w:hAnsi="Arial" w:cs="Arial"/>
              </w:rPr>
              <w:t>Advice on impact of any future option on PFI amendments and implementation strategy</w:t>
            </w:r>
          </w:p>
          <w:p w14:paraId="23F1FAF5" w14:textId="77777777" w:rsidR="00881AD7" w:rsidRPr="00017F15" w:rsidRDefault="00881AD7" w:rsidP="00017F15">
            <w:pPr>
              <w:pStyle w:val="ListParagraph"/>
              <w:numPr>
                <w:ilvl w:val="0"/>
                <w:numId w:val="10"/>
              </w:numPr>
              <w:spacing w:after="0" w:line="240" w:lineRule="auto"/>
              <w:ind w:left="355"/>
              <w:rPr>
                <w:rFonts w:ascii="Arial" w:hAnsi="Arial" w:cs="Arial"/>
              </w:rPr>
            </w:pPr>
            <w:r w:rsidRPr="00017F15">
              <w:rPr>
                <w:rFonts w:ascii="Arial" w:hAnsi="Arial" w:cs="Arial"/>
              </w:rPr>
              <w:t>Transition plan</w:t>
            </w:r>
          </w:p>
          <w:p w14:paraId="15355775" w14:textId="0C92E72F" w:rsidR="00881AD7" w:rsidRPr="001A6B37" w:rsidRDefault="00881AD7" w:rsidP="001A6B37">
            <w:pPr>
              <w:pStyle w:val="ListParagraph"/>
              <w:spacing w:after="0" w:line="240" w:lineRule="auto"/>
              <w:ind w:left="355"/>
              <w:rPr>
                <w:rFonts w:ascii="Arial" w:hAnsi="Arial" w:cs="Arial"/>
                <w:strike/>
              </w:rPr>
            </w:pPr>
          </w:p>
        </w:tc>
        <w:tc>
          <w:tcPr>
            <w:tcW w:w="3242" w:type="dxa"/>
            <w:shd w:val="clear" w:color="auto" w:fill="auto"/>
          </w:tcPr>
          <w:p w14:paraId="18294B00" w14:textId="77777777" w:rsidR="00881AD7" w:rsidRPr="00017F15" w:rsidRDefault="00881AD7" w:rsidP="00017F15">
            <w:pPr>
              <w:pStyle w:val="ListParagraph"/>
              <w:numPr>
                <w:ilvl w:val="0"/>
                <w:numId w:val="6"/>
              </w:numPr>
              <w:spacing w:after="0" w:line="240" w:lineRule="auto"/>
              <w:rPr>
                <w:rFonts w:ascii="Arial" w:hAnsi="Arial" w:cs="Arial"/>
              </w:rPr>
            </w:pPr>
            <w:r w:rsidRPr="00017F15">
              <w:rPr>
                <w:rFonts w:ascii="Arial" w:hAnsi="Arial" w:cs="Arial"/>
              </w:rPr>
              <w:t>Assist DefAc consider how potential future options for the site impact the required PFI amendments and the broader agreed implementation strategy</w:t>
            </w:r>
          </w:p>
          <w:p w14:paraId="032F08F5" w14:textId="77777777" w:rsidR="00881AD7" w:rsidRPr="00017F15" w:rsidRDefault="00881AD7" w:rsidP="00017F15">
            <w:pPr>
              <w:pStyle w:val="ListParagraph"/>
              <w:numPr>
                <w:ilvl w:val="0"/>
                <w:numId w:val="6"/>
              </w:numPr>
              <w:spacing w:after="0" w:line="240" w:lineRule="auto"/>
              <w:rPr>
                <w:rFonts w:ascii="Arial" w:hAnsi="Arial" w:cs="Arial"/>
              </w:rPr>
            </w:pPr>
            <w:r w:rsidRPr="00017F15">
              <w:rPr>
                <w:rFonts w:ascii="Arial" w:hAnsi="Arial" w:cs="Arial"/>
              </w:rPr>
              <w:t>Assist DefAc develop a plan that provides a process for transitioning to the new preferred use of the site, and which aligns with the broader agreed implementation strategy</w:t>
            </w:r>
          </w:p>
          <w:p w14:paraId="3E775D32" w14:textId="08EF2E88" w:rsidR="00881AD7" w:rsidRPr="00017F15" w:rsidRDefault="00881AD7" w:rsidP="001A6B37">
            <w:pPr>
              <w:pStyle w:val="ListParagraph"/>
              <w:spacing w:after="0" w:line="240" w:lineRule="auto"/>
              <w:ind w:left="360"/>
              <w:rPr>
                <w:rFonts w:ascii="Arial" w:hAnsi="Arial" w:cs="Arial"/>
              </w:rPr>
            </w:pPr>
          </w:p>
        </w:tc>
        <w:tc>
          <w:tcPr>
            <w:tcW w:w="1862" w:type="dxa"/>
            <w:shd w:val="clear" w:color="auto" w:fill="auto"/>
          </w:tcPr>
          <w:p w14:paraId="043F17DE" w14:textId="5AD8C064" w:rsidR="00881AD7" w:rsidRPr="00017F15" w:rsidRDefault="00443B8F" w:rsidP="00017F15">
            <w:pPr>
              <w:spacing w:after="0" w:line="240" w:lineRule="auto"/>
              <w:rPr>
                <w:rFonts w:ascii="Arial" w:hAnsi="Arial" w:cs="Arial"/>
                <w:lang w:eastAsia="en-US"/>
              </w:rPr>
            </w:pPr>
            <w:r>
              <w:rPr>
                <w:rFonts w:ascii="Arial" w:hAnsi="Arial" w:cs="Arial"/>
                <w:lang w:eastAsia="en-US"/>
              </w:rPr>
              <w:t>Continuous activity</w:t>
            </w:r>
          </w:p>
        </w:tc>
      </w:tr>
      <w:tr w:rsidR="00017F15" w:rsidRPr="00017F15" w14:paraId="5AA6D91F" w14:textId="77777777" w:rsidTr="00B64F00">
        <w:trPr>
          <w:jc w:val="center"/>
        </w:trPr>
        <w:tc>
          <w:tcPr>
            <w:tcW w:w="1561" w:type="dxa"/>
            <w:shd w:val="clear" w:color="auto" w:fill="auto"/>
          </w:tcPr>
          <w:p w14:paraId="6166354B" w14:textId="77777777" w:rsidR="00881AD7" w:rsidRPr="00017F15" w:rsidRDefault="00881AD7" w:rsidP="00017F15">
            <w:pPr>
              <w:spacing w:after="0" w:line="240" w:lineRule="auto"/>
              <w:rPr>
                <w:rFonts w:ascii="Arial" w:hAnsi="Arial" w:cs="Arial"/>
                <w:lang w:eastAsia="en-US"/>
              </w:rPr>
            </w:pPr>
            <w:r w:rsidRPr="00017F15">
              <w:rPr>
                <w:rFonts w:ascii="Arial" w:hAnsi="Arial" w:cs="Arial"/>
                <w:lang w:eastAsia="en-US"/>
              </w:rPr>
              <w:t>3</w:t>
            </w:r>
          </w:p>
        </w:tc>
        <w:tc>
          <w:tcPr>
            <w:tcW w:w="2100" w:type="dxa"/>
            <w:shd w:val="clear" w:color="auto" w:fill="auto"/>
          </w:tcPr>
          <w:p w14:paraId="29176C51" w14:textId="77777777" w:rsidR="00881AD7" w:rsidRPr="00017F15" w:rsidRDefault="00881AD7" w:rsidP="00017F15">
            <w:pPr>
              <w:spacing w:after="0" w:line="240" w:lineRule="auto"/>
              <w:rPr>
                <w:rFonts w:ascii="Arial" w:hAnsi="Arial" w:cs="Arial"/>
                <w:lang w:eastAsia="en-US"/>
              </w:rPr>
            </w:pPr>
            <w:r w:rsidRPr="00017F15">
              <w:rPr>
                <w:rFonts w:ascii="Arial" w:hAnsi="Arial" w:cs="Arial"/>
                <w:lang w:eastAsia="en-US"/>
              </w:rPr>
              <w:t>Support to negotiations</w:t>
            </w:r>
          </w:p>
        </w:tc>
        <w:tc>
          <w:tcPr>
            <w:tcW w:w="2215" w:type="dxa"/>
            <w:shd w:val="clear" w:color="auto" w:fill="auto"/>
          </w:tcPr>
          <w:p w14:paraId="02A332C0" w14:textId="54B21867" w:rsidR="00881AD7" w:rsidRPr="00017F15" w:rsidRDefault="00881AD7" w:rsidP="00017F15">
            <w:pPr>
              <w:pStyle w:val="ListParagraph"/>
              <w:numPr>
                <w:ilvl w:val="0"/>
                <w:numId w:val="11"/>
              </w:numPr>
              <w:spacing w:after="0" w:line="240" w:lineRule="auto"/>
              <w:rPr>
                <w:rFonts w:ascii="Arial" w:hAnsi="Arial" w:cs="Arial"/>
              </w:rPr>
            </w:pPr>
            <w:r w:rsidRPr="00017F15">
              <w:rPr>
                <w:rFonts w:ascii="Arial" w:hAnsi="Arial" w:cs="Arial"/>
              </w:rPr>
              <w:t>Advice on specific negotiation matters for DefAc</w:t>
            </w:r>
            <w:r w:rsidR="004802FA">
              <w:rPr>
                <w:rFonts w:ascii="Arial" w:hAnsi="Arial" w:cs="Arial"/>
              </w:rPr>
              <w:t xml:space="preserve"> across key workstreams agreed with Minerva.</w:t>
            </w:r>
          </w:p>
          <w:p w14:paraId="49DEA2A0" w14:textId="77777777" w:rsidR="00881AD7" w:rsidRPr="00017F15" w:rsidRDefault="00881AD7" w:rsidP="00017F15">
            <w:pPr>
              <w:pStyle w:val="ListParagraph"/>
              <w:numPr>
                <w:ilvl w:val="0"/>
                <w:numId w:val="11"/>
              </w:numPr>
              <w:spacing w:after="0" w:line="240" w:lineRule="auto"/>
              <w:rPr>
                <w:rFonts w:ascii="Arial" w:hAnsi="Arial" w:cs="Arial"/>
              </w:rPr>
            </w:pPr>
            <w:r w:rsidRPr="00017F15">
              <w:rPr>
                <w:rFonts w:ascii="Arial" w:hAnsi="Arial" w:cs="Arial"/>
              </w:rPr>
              <w:t>Advice on proposals made by Minerva</w:t>
            </w:r>
          </w:p>
          <w:p w14:paraId="7D11BAC7" w14:textId="77777777" w:rsidR="00881AD7" w:rsidRPr="00017F15" w:rsidRDefault="00881AD7" w:rsidP="00017F15">
            <w:pPr>
              <w:pStyle w:val="ListParagraph"/>
              <w:numPr>
                <w:ilvl w:val="0"/>
                <w:numId w:val="11"/>
              </w:numPr>
              <w:spacing w:after="0" w:line="240" w:lineRule="auto"/>
              <w:rPr>
                <w:rFonts w:ascii="Arial" w:hAnsi="Arial" w:cs="Arial"/>
              </w:rPr>
            </w:pPr>
            <w:r w:rsidRPr="00017F15">
              <w:rPr>
                <w:rFonts w:ascii="Arial" w:hAnsi="Arial" w:cs="Arial"/>
              </w:rPr>
              <w:t>Advice on arrangements to implement positions agreed with Minerva</w:t>
            </w:r>
          </w:p>
          <w:p w14:paraId="2C374F4B" w14:textId="4859A3E1" w:rsidR="00881AD7" w:rsidRPr="00017F15" w:rsidRDefault="00881AD7" w:rsidP="00017F15">
            <w:pPr>
              <w:pStyle w:val="ListParagraph"/>
              <w:numPr>
                <w:ilvl w:val="0"/>
                <w:numId w:val="11"/>
              </w:numPr>
              <w:spacing w:after="0" w:line="240" w:lineRule="auto"/>
              <w:rPr>
                <w:rFonts w:ascii="Arial" w:hAnsi="Arial" w:cs="Arial"/>
              </w:rPr>
            </w:pPr>
            <w:r w:rsidRPr="00017F15">
              <w:rPr>
                <w:rFonts w:ascii="Arial" w:hAnsi="Arial" w:cs="Arial"/>
              </w:rPr>
              <w:t>Support to DefAc’s negotiations with Minerva</w:t>
            </w:r>
          </w:p>
        </w:tc>
        <w:tc>
          <w:tcPr>
            <w:tcW w:w="3242" w:type="dxa"/>
            <w:shd w:val="clear" w:color="auto" w:fill="auto"/>
          </w:tcPr>
          <w:p w14:paraId="60E9B268" w14:textId="31F0C9A1" w:rsidR="00881AD7" w:rsidRPr="00017F15" w:rsidRDefault="00881AD7" w:rsidP="00017F15">
            <w:pPr>
              <w:pStyle w:val="ListParagraph"/>
              <w:numPr>
                <w:ilvl w:val="0"/>
                <w:numId w:val="7"/>
              </w:numPr>
              <w:spacing w:after="0" w:line="240" w:lineRule="auto"/>
              <w:rPr>
                <w:rFonts w:ascii="Arial" w:hAnsi="Arial" w:cs="Arial"/>
              </w:rPr>
            </w:pPr>
            <w:r w:rsidRPr="00017F15">
              <w:rPr>
                <w:rFonts w:ascii="Arial" w:hAnsi="Arial" w:cs="Arial"/>
              </w:rPr>
              <w:t>Assist and advise DefAc in its discussions with Minerva through the period of the commercial negotiations required to achieve DefAc's objectives</w:t>
            </w:r>
          </w:p>
          <w:p w14:paraId="006E2889" w14:textId="77777777" w:rsidR="00881AD7" w:rsidRPr="00017F15" w:rsidRDefault="00881AD7" w:rsidP="00017F15">
            <w:pPr>
              <w:pStyle w:val="ListParagraph"/>
              <w:numPr>
                <w:ilvl w:val="0"/>
                <w:numId w:val="7"/>
              </w:numPr>
              <w:spacing w:after="0" w:line="240" w:lineRule="auto"/>
              <w:rPr>
                <w:rFonts w:ascii="Arial" w:hAnsi="Arial" w:cs="Arial"/>
              </w:rPr>
            </w:pPr>
            <w:r w:rsidRPr="00017F15">
              <w:rPr>
                <w:rFonts w:ascii="Arial" w:hAnsi="Arial" w:cs="Arial"/>
              </w:rPr>
              <w:t>Assist DefAc develop position papers and analysis as required on relevant commercial/financial matters to inform the negotiations</w:t>
            </w:r>
          </w:p>
          <w:p w14:paraId="1D15C0B3" w14:textId="7D73E5A0" w:rsidR="00881AD7" w:rsidRPr="00017F15" w:rsidRDefault="00881AD7" w:rsidP="00017F15">
            <w:pPr>
              <w:pStyle w:val="ListParagraph"/>
              <w:numPr>
                <w:ilvl w:val="0"/>
                <w:numId w:val="7"/>
              </w:numPr>
              <w:spacing w:after="0" w:line="240" w:lineRule="auto"/>
              <w:rPr>
                <w:rFonts w:ascii="Arial" w:hAnsi="Arial" w:cs="Arial"/>
              </w:rPr>
            </w:pPr>
            <w:r w:rsidRPr="00017F15">
              <w:rPr>
                <w:rFonts w:ascii="Arial" w:hAnsi="Arial" w:cs="Arial"/>
              </w:rPr>
              <w:t>Assess commercial and financial proposals made by Minerva (including the quantification of any cost as associated with terminating the contract), and assist DefAc in its response</w:t>
            </w:r>
            <w:r w:rsidR="004802FA">
              <w:rPr>
                <w:rFonts w:ascii="Arial" w:hAnsi="Arial" w:cs="Arial"/>
              </w:rPr>
              <w:t xml:space="preserve"> to Minerva</w:t>
            </w:r>
          </w:p>
          <w:p w14:paraId="378EDE50" w14:textId="77777777" w:rsidR="00881AD7" w:rsidRDefault="00881AD7" w:rsidP="00017F15">
            <w:pPr>
              <w:pStyle w:val="ListParagraph"/>
              <w:numPr>
                <w:ilvl w:val="0"/>
                <w:numId w:val="7"/>
              </w:numPr>
              <w:spacing w:after="0" w:line="240" w:lineRule="auto"/>
              <w:rPr>
                <w:rFonts w:ascii="Arial" w:hAnsi="Arial" w:cs="Arial"/>
              </w:rPr>
            </w:pPr>
            <w:r w:rsidRPr="00017F15">
              <w:rPr>
                <w:rFonts w:ascii="Arial" w:hAnsi="Arial" w:cs="Arial"/>
              </w:rPr>
              <w:t xml:space="preserve">Provide review and support to the development of formal arrangements </w:t>
            </w:r>
            <w:r w:rsidRPr="00017F15">
              <w:rPr>
                <w:rFonts w:ascii="Arial" w:hAnsi="Arial" w:cs="Arial"/>
              </w:rPr>
              <w:lastRenderedPageBreak/>
              <w:t>needed to implement commercial agreements reached with Minerva</w:t>
            </w:r>
          </w:p>
          <w:p w14:paraId="668E5DF4" w14:textId="5CBD2967" w:rsidR="004802FA" w:rsidRPr="00017F15" w:rsidRDefault="004802FA" w:rsidP="001A6B37">
            <w:pPr>
              <w:pStyle w:val="ListParagraph"/>
              <w:spacing w:after="0" w:line="240" w:lineRule="auto"/>
              <w:ind w:left="360"/>
              <w:rPr>
                <w:rFonts w:ascii="Arial" w:hAnsi="Arial" w:cs="Arial"/>
              </w:rPr>
            </w:pPr>
          </w:p>
        </w:tc>
        <w:tc>
          <w:tcPr>
            <w:tcW w:w="1862" w:type="dxa"/>
            <w:shd w:val="clear" w:color="auto" w:fill="auto"/>
          </w:tcPr>
          <w:p w14:paraId="7EB7578E" w14:textId="5FEA4290" w:rsidR="00881AD7" w:rsidRPr="00017F15" w:rsidRDefault="00443B8F" w:rsidP="00017F15">
            <w:pPr>
              <w:spacing w:after="0" w:line="240" w:lineRule="auto"/>
              <w:rPr>
                <w:rFonts w:ascii="Arial" w:hAnsi="Arial" w:cs="Arial"/>
                <w:lang w:eastAsia="en-US"/>
              </w:rPr>
            </w:pPr>
            <w:r>
              <w:rPr>
                <w:rFonts w:ascii="Arial" w:hAnsi="Arial" w:cs="Arial"/>
                <w:lang w:eastAsia="en-US"/>
              </w:rPr>
              <w:lastRenderedPageBreak/>
              <w:t>Continuous activity</w:t>
            </w:r>
          </w:p>
        </w:tc>
      </w:tr>
      <w:tr w:rsidR="00017F15" w:rsidRPr="00017F15" w14:paraId="74ACFFDB" w14:textId="77777777" w:rsidTr="00B64F00">
        <w:trPr>
          <w:jc w:val="center"/>
        </w:trPr>
        <w:tc>
          <w:tcPr>
            <w:tcW w:w="1561" w:type="dxa"/>
            <w:shd w:val="clear" w:color="auto" w:fill="auto"/>
          </w:tcPr>
          <w:p w14:paraId="4DE461E3" w14:textId="77777777" w:rsidR="00881AD7" w:rsidRPr="00017F15" w:rsidRDefault="00881AD7" w:rsidP="00017F15">
            <w:pPr>
              <w:spacing w:after="0" w:line="240" w:lineRule="auto"/>
              <w:rPr>
                <w:rFonts w:ascii="Arial" w:hAnsi="Arial" w:cs="Arial"/>
                <w:lang w:eastAsia="en-US"/>
              </w:rPr>
            </w:pPr>
            <w:r w:rsidRPr="00017F15">
              <w:rPr>
                <w:rFonts w:ascii="Arial" w:hAnsi="Arial" w:cs="Arial"/>
                <w:lang w:eastAsia="en-US"/>
              </w:rPr>
              <w:t>4</w:t>
            </w:r>
          </w:p>
        </w:tc>
        <w:tc>
          <w:tcPr>
            <w:tcW w:w="2100" w:type="dxa"/>
            <w:shd w:val="clear" w:color="auto" w:fill="auto"/>
          </w:tcPr>
          <w:p w14:paraId="4D8C2352" w14:textId="77777777" w:rsidR="00881AD7" w:rsidRPr="00017F15" w:rsidRDefault="00881AD7" w:rsidP="00017F15">
            <w:pPr>
              <w:spacing w:after="0" w:line="240" w:lineRule="auto"/>
              <w:rPr>
                <w:rFonts w:ascii="Arial" w:hAnsi="Arial" w:cs="Arial"/>
                <w:lang w:eastAsia="en-US"/>
              </w:rPr>
            </w:pPr>
            <w:r w:rsidRPr="00017F15">
              <w:rPr>
                <w:rFonts w:ascii="Arial" w:hAnsi="Arial" w:cs="Arial"/>
                <w:lang w:eastAsia="en-US"/>
              </w:rPr>
              <w:t>Tax</w:t>
            </w:r>
          </w:p>
        </w:tc>
        <w:tc>
          <w:tcPr>
            <w:tcW w:w="2215" w:type="dxa"/>
            <w:shd w:val="clear" w:color="auto" w:fill="auto"/>
          </w:tcPr>
          <w:p w14:paraId="1433E32C" w14:textId="77777777" w:rsidR="00881AD7" w:rsidRPr="00017F15" w:rsidRDefault="00881AD7" w:rsidP="00017F15">
            <w:pPr>
              <w:pStyle w:val="ListParagraph"/>
              <w:numPr>
                <w:ilvl w:val="0"/>
                <w:numId w:val="12"/>
              </w:numPr>
              <w:spacing w:after="0" w:line="240" w:lineRule="auto"/>
              <w:ind w:left="355"/>
              <w:rPr>
                <w:rFonts w:ascii="Arial" w:hAnsi="Arial" w:cs="Arial"/>
              </w:rPr>
            </w:pPr>
            <w:r w:rsidRPr="00017F15">
              <w:rPr>
                <w:rFonts w:ascii="Arial" w:hAnsi="Arial" w:cs="Arial"/>
              </w:rPr>
              <w:t>Provision of specific tax advice as required</w:t>
            </w:r>
          </w:p>
        </w:tc>
        <w:tc>
          <w:tcPr>
            <w:tcW w:w="3242" w:type="dxa"/>
            <w:shd w:val="clear" w:color="auto" w:fill="auto"/>
          </w:tcPr>
          <w:p w14:paraId="259ED56B" w14:textId="77777777" w:rsidR="00881AD7" w:rsidRPr="00017F15" w:rsidRDefault="00881AD7" w:rsidP="00017F15">
            <w:pPr>
              <w:pStyle w:val="ListParagraph"/>
              <w:numPr>
                <w:ilvl w:val="0"/>
                <w:numId w:val="8"/>
              </w:numPr>
              <w:tabs>
                <w:tab w:val="left" w:pos="704"/>
              </w:tabs>
              <w:spacing w:after="0" w:line="240" w:lineRule="auto"/>
              <w:rPr>
                <w:rFonts w:ascii="Arial" w:hAnsi="Arial" w:cs="Arial"/>
              </w:rPr>
            </w:pPr>
            <w:r w:rsidRPr="00017F15">
              <w:rPr>
                <w:rFonts w:ascii="Arial" w:hAnsi="Arial" w:cs="Arial"/>
              </w:rPr>
              <w:t>Provide support on any tax and VAT matters that may arise in the context of agreeing the commercial arrangements between the parties</w:t>
            </w:r>
          </w:p>
        </w:tc>
        <w:tc>
          <w:tcPr>
            <w:tcW w:w="1862" w:type="dxa"/>
            <w:shd w:val="clear" w:color="auto" w:fill="auto"/>
          </w:tcPr>
          <w:p w14:paraId="596E39D1" w14:textId="3908689A" w:rsidR="00881AD7" w:rsidRPr="00017F15" w:rsidRDefault="00CB1814" w:rsidP="00017F15">
            <w:pPr>
              <w:spacing w:after="0" w:line="240" w:lineRule="auto"/>
              <w:rPr>
                <w:rFonts w:ascii="Arial" w:hAnsi="Arial" w:cs="Arial"/>
                <w:lang w:eastAsia="en-US"/>
              </w:rPr>
            </w:pPr>
            <w:r>
              <w:rPr>
                <w:rFonts w:ascii="Arial" w:hAnsi="Arial" w:cs="Arial"/>
                <w:lang w:eastAsia="en-US"/>
              </w:rPr>
              <w:t>Scope of support to be agreed upon commencement</w:t>
            </w:r>
          </w:p>
        </w:tc>
      </w:tr>
      <w:tr w:rsidR="00017F15" w:rsidRPr="00017F15" w14:paraId="21B5C23F" w14:textId="77777777" w:rsidTr="00B64F00">
        <w:trPr>
          <w:jc w:val="center"/>
        </w:trPr>
        <w:tc>
          <w:tcPr>
            <w:tcW w:w="1561" w:type="dxa"/>
            <w:shd w:val="clear" w:color="auto" w:fill="auto"/>
          </w:tcPr>
          <w:p w14:paraId="2BE07B35" w14:textId="77777777" w:rsidR="00881AD7" w:rsidRPr="00017F15" w:rsidRDefault="00881AD7" w:rsidP="00017F15">
            <w:pPr>
              <w:spacing w:after="0" w:line="240" w:lineRule="auto"/>
              <w:rPr>
                <w:rFonts w:ascii="Arial" w:hAnsi="Arial" w:cs="Arial"/>
                <w:lang w:eastAsia="en-US"/>
              </w:rPr>
            </w:pPr>
            <w:r w:rsidRPr="00017F15">
              <w:rPr>
                <w:rFonts w:ascii="Arial" w:hAnsi="Arial" w:cs="Arial"/>
                <w:lang w:eastAsia="en-US"/>
              </w:rPr>
              <w:t>5</w:t>
            </w:r>
          </w:p>
        </w:tc>
        <w:tc>
          <w:tcPr>
            <w:tcW w:w="2100" w:type="dxa"/>
            <w:shd w:val="clear" w:color="auto" w:fill="auto"/>
          </w:tcPr>
          <w:p w14:paraId="5DE36377" w14:textId="77777777" w:rsidR="00881AD7" w:rsidRPr="00017F15" w:rsidRDefault="00881AD7" w:rsidP="00017F15">
            <w:pPr>
              <w:spacing w:after="0" w:line="240" w:lineRule="auto"/>
              <w:rPr>
                <w:rFonts w:ascii="Arial" w:hAnsi="Arial" w:cs="Arial"/>
                <w:lang w:eastAsia="en-US"/>
              </w:rPr>
            </w:pPr>
            <w:r w:rsidRPr="00017F15">
              <w:rPr>
                <w:rFonts w:ascii="Arial" w:hAnsi="Arial" w:cs="Arial"/>
                <w:lang w:eastAsia="en-US"/>
              </w:rPr>
              <w:t>Stakeholder Management</w:t>
            </w:r>
          </w:p>
        </w:tc>
        <w:tc>
          <w:tcPr>
            <w:tcW w:w="2215" w:type="dxa"/>
            <w:shd w:val="clear" w:color="auto" w:fill="auto"/>
          </w:tcPr>
          <w:p w14:paraId="776BA372" w14:textId="77777777" w:rsidR="00881AD7" w:rsidRPr="00017F15" w:rsidRDefault="00881AD7" w:rsidP="00017F15">
            <w:pPr>
              <w:pStyle w:val="ListParagraph"/>
              <w:numPr>
                <w:ilvl w:val="0"/>
                <w:numId w:val="8"/>
              </w:numPr>
              <w:spacing w:after="0" w:line="240" w:lineRule="auto"/>
              <w:rPr>
                <w:rFonts w:ascii="Arial" w:hAnsi="Arial" w:cs="Arial"/>
              </w:rPr>
            </w:pPr>
            <w:r w:rsidRPr="00017F15">
              <w:rPr>
                <w:rFonts w:ascii="Arial" w:hAnsi="Arial" w:cs="Arial"/>
              </w:rPr>
              <w:t>Preparation of supporting papers and presentations</w:t>
            </w:r>
          </w:p>
          <w:p w14:paraId="776A36BC" w14:textId="77777777" w:rsidR="00881AD7" w:rsidRPr="00017F15" w:rsidRDefault="00881AD7" w:rsidP="00017F15">
            <w:pPr>
              <w:pStyle w:val="ListParagraph"/>
              <w:numPr>
                <w:ilvl w:val="0"/>
                <w:numId w:val="8"/>
              </w:numPr>
              <w:spacing w:after="0" w:line="240" w:lineRule="auto"/>
              <w:rPr>
                <w:rFonts w:ascii="Arial" w:hAnsi="Arial" w:cs="Arial"/>
              </w:rPr>
            </w:pPr>
            <w:r w:rsidRPr="00017F15">
              <w:rPr>
                <w:rFonts w:ascii="Arial" w:hAnsi="Arial" w:cs="Arial"/>
              </w:rPr>
              <w:t>Attendance at stakeholder meetings</w:t>
            </w:r>
          </w:p>
        </w:tc>
        <w:tc>
          <w:tcPr>
            <w:tcW w:w="3242" w:type="dxa"/>
            <w:shd w:val="clear" w:color="auto" w:fill="auto"/>
          </w:tcPr>
          <w:p w14:paraId="40C2C0E9" w14:textId="3E960CED" w:rsidR="00881AD7" w:rsidRDefault="00881AD7" w:rsidP="00017F15">
            <w:pPr>
              <w:pStyle w:val="ListParagraph"/>
              <w:ind w:left="505" w:hanging="505"/>
              <w:rPr>
                <w:rFonts w:ascii="Arial" w:hAnsi="Arial" w:cs="Arial"/>
              </w:rPr>
            </w:pPr>
            <w:r w:rsidRPr="00017F15">
              <w:rPr>
                <w:rFonts w:ascii="Arial" w:hAnsi="Arial" w:cs="Arial"/>
              </w:rPr>
              <w:sym w:font="Symbol" w:char="F0B7"/>
            </w:r>
            <w:r w:rsidRPr="00017F15">
              <w:rPr>
                <w:rFonts w:ascii="Arial" w:hAnsi="Arial" w:cs="Arial"/>
              </w:rPr>
              <w:t xml:space="preserve">     Assist DefAc as required in presenting its strategy, position and the case for proceeding with any agreed</w:t>
            </w:r>
            <w:r w:rsidR="004802FA">
              <w:rPr>
                <w:rFonts w:ascii="Arial" w:hAnsi="Arial" w:cs="Arial"/>
              </w:rPr>
              <w:t xml:space="preserve"> arrangements within MoD and to other government stakeholders</w:t>
            </w:r>
          </w:p>
          <w:p w14:paraId="1D7AB4B2" w14:textId="3EEF3D37" w:rsidR="004802FA" w:rsidRPr="00017F15" w:rsidRDefault="004802FA" w:rsidP="001A6B37">
            <w:pPr>
              <w:pStyle w:val="ListParagraph"/>
              <w:numPr>
                <w:ilvl w:val="0"/>
                <w:numId w:val="13"/>
              </w:numPr>
              <w:rPr>
                <w:rFonts w:ascii="Arial" w:hAnsi="Arial" w:cs="Arial"/>
              </w:rPr>
            </w:pPr>
            <w:r w:rsidRPr="000B277E">
              <w:rPr>
                <w:rFonts w:ascii="Arial" w:hAnsi="Arial" w:cs="Arial"/>
              </w:rPr>
              <w:t>Assist in the preparation of relevant inputs to approvals processes (including Review Notes).</w:t>
            </w:r>
          </w:p>
          <w:p w14:paraId="7093F93D" w14:textId="601299D6" w:rsidR="00881AD7" w:rsidRPr="00017F15" w:rsidRDefault="00881AD7" w:rsidP="00017F15">
            <w:pPr>
              <w:pStyle w:val="ListParagraph"/>
              <w:ind w:left="505" w:hanging="505"/>
              <w:rPr>
                <w:rFonts w:ascii="Arial" w:hAnsi="Arial" w:cs="Arial"/>
              </w:rPr>
            </w:pPr>
          </w:p>
        </w:tc>
        <w:tc>
          <w:tcPr>
            <w:tcW w:w="1862" w:type="dxa"/>
            <w:shd w:val="clear" w:color="auto" w:fill="auto"/>
          </w:tcPr>
          <w:p w14:paraId="77CD8009" w14:textId="77777777" w:rsidR="00881AD7" w:rsidRPr="00017F15" w:rsidRDefault="00881AD7" w:rsidP="00017F15">
            <w:pPr>
              <w:spacing w:after="0" w:line="240" w:lineRule="auto"/>
              <w:rPr>
                <w:rFonts w:ascii="Arial" w:hAnsi="Arial" w:cs="Arial"/>
                <w:lang w:eastAsia="en-US"/>
              </w:rPr>
            </w:pPr>
            <w:r w:rsidRPr="00017F15">
              <w:rPr>
                <w:rFonts w:ascii="Arial" w:hAnsi="Arial" w:cs="Arial"/>
                <w:lang w:eastAsia="en-US"/>
              </w:rPr>
              <w:t>Continuous Activity</w:t>
            </w:r>
          </w:p>
        </w:tc>
      </w:tr>
      <w:tr w:rsidR="00017F15" w:rsidRPr="00017F15" w14:paraId="2421C087" w14:textId="77777777" w:rsidTr="00B64F00">
        <w:trPr>
          <w:jc w:val="center"/>
        </w:trPr>
        <w:tc>
          <w:tcPr>
            <w:tcW w:w="1561" w:type="dxa"/>
            <w:shd w:val="clear" w:color="auto" w:fill="auto"/>
          </w:tcPr>
          <w:p w14:paraId="54E9B0CB" w14:textId="77777777" w:rsidR="00881AD7" w:rsidRPr="00017F15" w:rsidRDefault="00881AD7" w:rsidP="00017F15">
            <w:pPr>
              <w:spacing w:after="0" w:line="240" w:lineRule="auto"/>
              <w:rPr>
                <w:rFonts w:ascii="Arial" w:hAnsi="Arial" w:cs="Arial"/>
                <w:lang w:eastAsia="en-US"/>
              </w:rPr>
            </w:pPr>
            <w:r w:rsidRPr="00017F15">
              <w:rPr>
                <w:rFonts w:ascii="Arial" w:hAnsi="Arial" w:cs="Arial"/>
                <w:lang w:eastAsia="en-US"/>
              </w:rPr>
              <w:t>6</w:t>
            </w:r>
          </w:p>
        </w:tc>
        <w:tc>
          <w:tcPr>
            <w:tcW w:w="2100" w:type="dxa"/>
            <w:shd w:val="clear" w:color="auto" w:fill="auto"/>
          </w:tcPr>
          <w:p w14:paraId="243047A5" w14:textId="77777777" w:rsidR="00881AD7" w:rsidRPr="00017F15" w:rsidRDefault="00881AD7" w:rsidP="00017F15">
            <w:pPr>
              <w:spacing w:after="0" w:line="240" w:lineRule="auto"/>
              <w:rPr>
                <w:rFonts w:ascii="Arial" w:hAnsi="Arial" w:cs="Arial"/>
                <w:lang w:eastAsia="en-US"/>
              </w:rPr>
            </w:pPr>
            <w:r w:rsidRPr="00017F15">
              <w:rPr>
                <w:rFonts w:ascii="Arial" w:hAnsi="Arial" w:cs="Arial"/>
                <w:lang w:eastAsia="en-US"/>
              </w:rPr>
              <w:t>Governance</w:t>
            </w:r>
          </w:p>
        </w:tc>
        <w:tc>
          <w:tcPr>
            <w:tcW w:w="2215" w:type="dxa"/>
            <w:shd w:val="clear" w:color="auto" w:fill="auto"/>
          </w:tcPr>
          <w:p w14:paraId="6B394DFF" w14:textId="77777777" w:rsidR="00881AD7" w:rsidRPr="00017F15" w:rsidRDefault="00881AD7" w:rsidP="00017F15">
            <w:pPr>
              <w:pStyle w:val="ListParagraph"/>
              <w:numPr>
                <w:ilvl w:val="0"/>
                <w:numId w:val="8"/>
              </w:numPr>
              <w:spacing w:after="0" w:line="240" w:lineRule="auto"/>
              <w:rPr>
                <w:rFonts w:ascii="Arial" w:hAnsi="Arial" w:cs="Arial"/>
              </w:rPr>
            </w:pPr>
            <w:r w:rsidRPr="00017F15">
              <w:rPr>
                <w:rFonts w:ascii="Arial" w:hAnsi="Arial" w:cs="Arial"/>
              </w:rPr>
              <w:t>Attendance at checkpoint meetings</w:t>
            </w:r>
          </w:p>
        </w:tc>
        <w:tc>
          <w:tcPr>
            <w:tcW w:w="3242" w:type="dxa"/>
            <w:shd w:val="clear" w:color="auto" w:fill="auto"/>
          </w:tcPr>
          <w:p w14:paraId="10720D4D" w14:textId="44A49D94" w:rsidR="00881AD7" w:rsidRPr="00017F15" w:rsidRDefault="00881AD7" w:rsidP="00017F15">
            <w:pPr>
              <w:pStyle w:val="ListParagraph"/>
              <w:numPr>
                <w:ilvl w:val="0"/>
                <w:numId w:val="3"/>
              </w:numPr>
              <w:spacing w:after="0" w:line="240" w:lineRule="auto"/>
              <w:ind w:left="505" w:hanging="505"/>
              <w:rPr>
                <w:rFonts w:ascii="Arial" w:hAnsi="Arial" w:cs="Arial"/>
              </w:rPr>
            </w:pPr>
            <w:r w:rsidRPr="00017F15">
              <w:rPr>
                <w:rFonts w:ascii="Arial" w:hAnsi="Arial" w:cs="Arial"/>
              </w:rPr>
              <w:t xml:space="preserve">Dial-in to </w:t>
            </w:r>
            <w:r w:rsidR="000D57EB">
              <w:rPr>
                <w:rFonts w:ascii="Arial" w:hAnsi="Arial" w:cs="Arial"/>
              </w:rPr>
              <w:t>agreed</w:t>
            </w:r>
            <w:r w:rsidR="000D57EB" w:rsidRPr="00017F15">
              <w:rPr>
                <w:rFonts w:ascii="Arial" w:hAnsi="Arial" w:cs="Arial"/>
              </w:rPr>
              <w:t xml:space="preserve"> </w:t>
            </w:r>
            <w:r w:rsidRPr="00017F15">
              <w:rPr>
                <w:rFonts w:ascii="Arial" w:hAnsi="Arial" w:cs="Arial"/>
              </w:rPr>
              <w:t>checkpoint meeting with Authority PM and Project Management Office (PMO) updating on progress against agreed plan</w:t>
            </w:r>
          </w:p>
          <w:p w14:paraId="0274F88D" w14:textId="3F48276A" w:rsidR="00881AD7" w:rsidRDefault="00881AD7" w:rsidP="00017F15">
            <w:pPr>
              <w:pStyle w:val="ListParagraph"/>
              <w:numPr>
                <w:ilvl w:val="0"/>
                <w:numId w:val="5"/>
              </w:numPr>
              <w:tabs>
                <w:tab w:val="left" w:pos="670"/>
              </w:tabs>
              <w:spacing w:after="0" w:line="240" w:lineRule="auto"/>
              <w:ind w:left="505" w:hanging="505"/>
              <w:rPr>
                <w:rFonts w:ascii="Arial" w:hAnsi="Arial" w:cs="Arial"/>
              </w:rPr>
            </w:pPr>
            <w:r w:rsidRPr="00017F15">
              <w:rPr>
                <w:rFonts w:ascii="Arial" w:hAnsi="Arial" w:cs="Arial"/>
              </w:rPr>
              <w:t>Attend Ad Hoc meetings as required</w:t>
            </w:r>
          </w:p>
          <w:p w14:paraId="4E1CEC84" w14:textId="4339C26E" w:rsidR="004802FA" w:rsidRPr="004802FA" w:rsidRDefault="004802FA" w:rsidP="004802FA">
            <w:pPr>
              <w:pStyle w:val="ListParagraph"/>
              <w:numPr>
                <w:ilvl w:val="0"/>
                <w:numId w:val="5"/>
              </w:numPr>
              <w:tabs>
                <w:tab w:val="left" w:pos="670"/>
              </w:tabs>
              <w:spacing w:after="0" w:line="240" w:lineRule="auto"/>
              <w:ind w:left="505" w:hanging="505"/>
              <w:rPr>
                <w:rFonts w:ascii="Arial" w:hAnsi="Arial" w:cs="Arial"/>
              </w:rPr>
            </w:pPr>
            <w:r>
              <w:rPr>
                <w:rFonts w:ascii="Arial" w:hAnsi="Arial" w:cs="Arial"/>
              </w:rPr>
              <w:t>Prepare briefing papers for internal preparatory meetings to support discussions with Minerva</w:t>
            </w:r>
          </w:p>
          <w:p w14:paraId="5C6FE7D4" w14:textId="77777777" w:rsidR="00881AD7" w:rsidRPr="00017F15" w:rsidRDefault="00881AD7" w:rsidP="00017F15">
            <w:pPr>
              <w:pStyle w:val="ListParagraph"/>
              <w:tabs>
                <w:tab w:val="left" w:pos="670"/>
              </w:tabs>
              <w:ind w:left="505" w:hanging="505"/>
              <w:rPr>
                <w:rFonts w:ascii="Arial" w:hAnsi="Arial" w:cs="Arial"/>
              </w:rPr>
            </w:pPr>
          </w:p>
        </w:tc>
        <w:tc>
          <w:tcPr>
            <w:tcW w:w="1862" w:type="dxa"/>
            <w:shd w:val="clear" w:color="auto" w:fill="auto"/>
          </w:tcPr>
          <w:p w14:paraId="4C1D891B" w14:textId="77777777" w:rsidR="00881AD7" w:rsidRPr="00017F15" w:rsidRDefault="00881AD7" w:rsidP="00017F15">
            <w:pPr>
              <w:spacing w:after="0" w:line="240" w:lineRule="auto"/>
              <w:rPr>
                <w:rFonts w:ascii="Arial" w:hAnsi="Arial" w:cs="Arial"/>
                <w:lang w:eastAsia="en-US"/>
              </w:rPr>
            </w:pPr>
            <w:r w:rsidRPr="00017F15">
              <w:rPr>
                <w:rFonts w:ascii="Arial" w:hAnsi="Arial" w:cs="Arial"/>
                <w:lang w:eastAsia="en-US"/>
              </w:rPr>
              <w:t>Continuous Activity</w:t>
            </w:r>
          </w:p>
        </w:tc>
      </w:tr>
      <w:tr w:rsidR="00017F15" w:rsidRPr="00017F15" w14:paraId="4EF6EFBB" w14:textId="77777777" w:rsidTr="00B64F00">
        <w:trPr>
          <w:jc w:val="center"/>
        </w:trPr>
        <w:tc>
          <w:tcPr>
            <w:tcW w:w="1561" w:type="dxa"/>
            <w:shd w:val="clear" w:color="auto" w:fill="auto"/>
          </w:tcPr>
          <w:p w14:paraId="63D10F74" w14:textId="77777777" w:rsidR="00881AD7" w:rsidRPr="00017F15" w:rsidRDefault="00881AD7" w:rsidP="00017F15">
            <w:pPr>
              <w:spacing w:after="0" w:line="240" w:lineRule="auto"/>
              <w:rPr>
                <w:rFonts w:ascii="Arial" w:hAnsi="Arial" w:cs="Arial"/>
                <w:lang w:eastAsia="en-US"/>
              </w:rPr>
            </w:pPr>
            <w:r w:rsidRPr="00017F15">
              <w:rPr>
                <w:rFonts w:ascii="Arial" w:hAnsi="Arial" w:cs="Arial"/>
                <w:lang w:eastAsia="en-US"/>
              </w:rPr>
              <w:t>8</w:t>
            </w:r>
          </w:p>
        </w:tc>
        <w:tc>
          <w:tcPr>
            <w:tcW w:w="2100" w:type="dxa"/>
            <w:shd w:val="clear" w:color="auto" w:fill="auto"/>
          </w:tcPr>
          <w:p w14:paraId="664AB5CC" w14:textId="77777777" w:rsidR="00881AD7" w:rsidRPr="00017F15" w:rsidRDefault="00881AD7" w:rsidP="00017F15">
            <w:pPr>
              <w:spacing w:after="0" w:line="240" w:lineRule="auto"/>
              <w:rPr>
                <w:rFonts w:ascii="Arial" w:hAnsi="Arial" w:cs="Arial"/>
                <w:lang w:eastAsia="en-US"/>
              </w:rPr>
            </w:pPr>
            <w:r w:rsidRPr="00017F15">
              <w:rPr>
                <w:rFonts w:ascii="Arial" w:hAnsi="Arial" w:cs="Arial"/>
                <w:lang w:eastAsia="en-US"/>
              </w:rPr>
              <w:t>Knowledge Transfer</w:t>
            </w:r>
          </w:p>
        </w:tc>
        <w:tc>
          <w:tcPr>
            <w:tcW w:w="2215" w:type="dxa"/>
            <w:shd w:val="clear" w:color="auto" w:fill="auto"/>
          </w:tcPr>
          <w:p w14:paraId="5B2D3916" w14:textId="77777777" w:rsidR="00881AD7" w:rsidRPr="00017F15" w:rsidRDefault="00881AD7" w:rsidP="00017F15">
            <w:pPr>
              <w:pStyle w:val="ListParagraph"/>
              <w:numPr>
                <w:ilvl w:val="0"/>
                <w:numId w:val="8"/>
              </w:numPr>
              <w:spacing w:after="0" w:line="240" w:lineRule="auto"/>
              <w:rPr>
                <w:rFonts w:ascii="Arial" w:hAnsi="Arial" w:cs="Arial"/>
              </w:rPr>
            </w:pPr>
            <w:r w:rsidRPr="00017F15">
              <w:rPr>
                <w:rFonts w:ascii="Arial" w:hAnsi="Arial" w:cs="Arial"/>
              </w:rPr>
              <w:t>Transfer all relevant documentation (to the extent required under the contract) on the completion of work</w:t>
            </w:r>
          </w:p>
        </w:tc>
        <w:tc>
          <w:tcPr>
            <w:tcW w:w="3242" w:type="dxa"/>
            <w:shd w:val="clear" w:color="auto" w:fill="auto"/>
          </w:tcPr>
          <w:p w14:paraId="70F3E2FF" w14:textId="77777777" w:rsidR="00881AD7" w:rsidRPr="00017F15" w:rsidRDefault="00881AD7" w:rsidP="00017F15">
            <w:pPr>
              <w:pStyle w:val="ListParagraph"/>
              <w:numPr>
                <w:ilvl w:val="0"/>
                <w:numId w:val="3"/>
              </w:numPr>
              <w:spacing w:after="0" w:line="240" w:lineRule="auto"/>
              <w:ind w:left="505" w:hanging="505"/>
              <w:rPr>
                <w:rFonts w:ascii="Arial" w:hAnsi="Arial" w:cs="Arial"/>
              </w:rPr>
            </w:pPr>
            <w:r w:rsidRPr="00017F15">
              <w:rPr>
                <w:rFonts w:ascii="Arial" w:hAnsi="Arial" w:cs="Arial"/>
              </w:rPr>
              <w:t>Transfer all relevant documentation gathered to PMO</w:t>
            </w:r>
          </w:p>
          <w:p w14:paraId="575840F4" w14:textId="77777777" w:rsidR="00881AD7" w:rsidRPr="00017F15" w:rsidRDefault="00881AD7" w:rsidP="00017F15">
            <w:pPr>
              <w:pStyle w:val="ListParagraph"/>
              <w:numPr>
                <w:ilvl w:val="0"/>
                <w:numId w:val="3"/>
              </w:numPr>
              <w:spacing w:after="0" w:line="240" w:lineRule="auto"/>
              <w:ind w:left="505" w:hanging="505"/>
              <w:rPr>
                <w:rFonts w:ascii="Arial" w:hAnsi="Arial" w:cs="Arial"/>
              </w:rPr>
            </w:pPr>
            <w:r w:rsidRPr="00017F15">
              <w:rPr>
                <w:rFonts w:ascii="Arial" w:hAnsi="Arial" w:cs="Arial"/>
              </w:rPr>
              <w:t>Attend project closure meeting</w:t>
            </w:r>
          </w:p>
        </w:tc>
        <w:tc>
          <w:tcPr>
            <w:tcW w:w="1862" w:type="dxa"/>
            <w:shd w:val="clear" w:color="auto" w:fill="auto"/>
          </w:tcPr>
          <w:p w14:paraId="6FC0B544" w14:textId="77777777" w:rsidR="00881AD7" w:rsidRPr="00017F15" w:rsidRDefault="00881AD7" w:rsidP="00017F15">
            <w:pPr>
              <w:spacing w:after="0" w:line="240" w:lineRule="auto"/>
              <w:rPr>
                <w:rFonts w:ascii="Arial" w:hAnsi="Arial" w:cs="Arial"/>
                <w:sz w:val="20"/>
                <w:szCs w:val="20"/>
                <w:lang w:eastAsia="en-US"/>
              </w:rPr>
            </w:pPr>
            <w:r w:rsidRPr="00017F15">
              <w:rPr>
                <w:rFonts w:ascii="Arial" w:hAnsi="Arial" w:cs="Arial"/>
                <w:sz w:val="20"/>
                <w:szCs w:val="20"/>
                <w:lang w:eastAsia="en-US"/>
              </w:rPr>
              <w:t>On Conclusion of Delivery</w:t>
            </w:r>
          </w:p>
        </w:tc>
      </w:tr>
      <w:tr w:rsidR="004802FA" w:rsidRPr="00017F15" w14:paraId="147163D0" w14:textId="77777777" w:rsidTr="00B64F00">
        <w:trPr>
          <w:jc w:val="center"/>
        </w:trPr>
        <w:tc>
          <w:tcPr>
            <w:tcW w:w="1561" w:type="dxa"/>
            <w:shd w:val="clear" w:color="auto" w:fill="auto"/>
          </w:tcPr>
          <w:p w14:paraId="3DC6CC3D" w14:textId="0A4FCCD5" w:rsidR="004802FA" w:rsidRPr="00017F15" w:rsidRDefault="004802FA" w:rsidP="004802FA">
            <w:pPr>
              <w:spacing w:after="0" w:line="240" w:lineRule="auto"/>
              <w:rPr>
                <w:rFonts w:ascii="Arial" w:hAnsi="Arial" w:cs="Arial"/>
                <w:lang w:eastAsia="en-US"/>
              </w:rPr>
            </w:pPr>
            <w:r>
              <w:rPr>
                <w:rFonts w:ascii="Arial" w:hAnsi="Arial" w:cs="Arial"/>
                <w:lang w:eastAsia="en-US"/>
              </w:rPr>
              <w:t>9</w:t>
            </w:r>
          </w:p>
        </w:tc>
        <w:tc>
          <w:tcPr>
            <w:tcW w:w="2100" w:type="dxa"/>
            <w:shd w:val="clear" w:color="auto" w:fill="auto"/>
          </w:tcPr>
          <w:p w14:paraId="0E9613EF" w14:textId="7A3E13C0" w:rsidR="004802FA" w:rsidRPr="00017F15" w:rsidRDefault="000D57EB" w:rsidP="004802FA">
            <w:pPr>
              <w:spacing w:after="0" w:line="240" w:lineRule="auto"/>
              <w:rPr>
                <w:rFonts w:ascii="Arial" w:hAnsi="Arial" w:cs="Arial"/>
                <w:lang w:eastAsia="en-US"/>
              </w:rPr>
            </w:pPr>
            <w:r>
              <w:rPr>
                <w:rFonts w:ascii="Arial" w:hAnsi="Arial" w:cs="Arial"/>
                <w:lang w:eastAsia="en-US"/>
              </w:rPr>
              <w:t>Finalisation process</w:t>
            </w:r>
          </w:p>
        </w:tc>
        <w:tc>
          <w:tcPr>
            <w:tcW w:w="2215" w:type="dxa"/>
            <w:shd w:val="clear" w:color="auto" w:fill="auto"/>
          </w:tcPr>
          <w:p w14:paraId="2E876E26" w14:textId="250464FC" w:rsidR="004802FA" w:rsidRPr="00017F15" w:rsidRDefault="004802FA" w:rsidP="004802FA">
            <w:pPr>
              <w:pStyle w:val="ListParagraph"/>
              <w:numPr>
                <w:ilvl w:val="0"/>
                <w:numId w:val="8"/>
              </w:numPr>
              <w:spacing w:after="0" w:line="240" w:lineRule="auto"/>
              <w:rPr>
                <w:rFonts w:ascii="Arial" w:hAnsi="Arial" w:cs="Arial"/>
              </w:rPr>
            </w:pPr>
            <w:r>
              <w:rPr>
                <w:rFonts w:ascii="Arial" w:hAnsi="Arial" w:cs="Arial"/>
              </w:rPr>
              <w:t>Support MoD in preparing for and executing</w:t>
            </w:r>
            <w:r w:rsidR="000D57EB">
              <w:rPr>
                <w:rFonts w:ascii="Arial" w:hAnsi="Arial" w:cs="Arial"/>
              </w:rPr>
              <w:t xml:space="preserve"> any debt related </w:t>
            </w:r>
            <w:r w:rsidR="00787FA4">
              <w:rPr>
                <w:rFonts w:ascii="Arial" w:hAnsi="Arial" w:cs="Arial"/>
              </w:rPr>
              <w:t xml:space="preserve">breakage </w:t>
            </w:r>
            <w:r w:rsidR="00787FA4">
              <w:rPr>
                <w:rFonts w:ascii="Arial" w:hAnsi="Arial" w:cs="Arial"/>
              </w:rPr>
              <w:lastRenderedPageBreak/>
              <w:t>arrangements</w:t>
            </w:r>
          </w:p>
        </w:tc>
        <w:tc>
          <w:tcPr>
            <w:tcW w:w="3242" w:type="dxa"/>
            <w:shd w:val="clear" w:color="auto" w:fill="auto"/>
          </w:tcPr>
          <w:p w14:paraId="1C9975BC" w14:textId="48410467" w:rsidR="004802FA" w:rsidRPr="00017F15" w:rsidRDefault="004802FA" w:rsidP="00787FA4">
            <w:pPr>
              <w:pStyle w:val="ListParagraph"/>
              <w:numPr>
                <w:ilvl w:val="0"/>
                <w:numId w:val="3"/>
              </w:numPr>
              <w:spacing w:after="0" w:line="240" w:lineRule="auto"/>
              <w:ind w:left="505" w:hanging="505"/>
              <w:rPr>
                <w:rFonts w:ascii="Arial" w:hAnsi="Arial" w:cs="Arial"/>
              </w:rPr>
            </w:pPr>
            <w:r>
              <w:rPr>
                <w:rFonts w:ascii="Arial" w:hAnsi="Arial" w:cs="Arial"/>
              </w:rPr>
              <w:lastRenderedPageBreak/>
              <w:t>Support dry runs</w:t>
            </w:r>
            <w:r w:rsidR="00787FA4">
              <w:rPr>
                <w:rFonts w:ascii="Arial" w:hAnsi="Arial" w:cs="Arial"/>
              </w:rPr>
              <w:t>,</w:t>
            </w:r>
            <w:r w:rsidR="00A35D68">
              <w:rPr>
                <w:rFonts w:ascii="Arial" w:hAnsi="Arial" w:cs="Arial"/>
              </w:rPr>
              <w:t xml:space="preserve"> </w:t>
            </w:r>
            <w:r w:rsidR="00787FA4">
              <w:rPr>
                <w:rFonts w:ascii="Arial" w:hAnsi="Arial" w:cs="Arial"/>
              </w:rPr>
              <w:t>p</w:t>
            </w:r>
            <w:r>
              <w:rPr>
                <w:rFonts w:ascii="Arial" w:hAnsi="Arial" w:cs="Arial"/>
              </w:rPr>
              <w:t>reparation</w:t>
            </w:r>
            <w:r w:rsidR="00787FA4">
              <w:rPr>
                <w:rFonts w:ascii="Arial" w:hAnsi="Arial" w:cs="Arial"/>
              </w:rPr>
              <w:t>, and close out process for debt related arrangements.</w:t>
            </w:r>
          </w:p>
        </w:tc>
        <w:tc>
          <w:tcPr>
            <w:tcW w:w="1862" w:type="dxa"/>
            <w:shd w:val="clear" w:color="auto" w:fill="auto"/>
          </w:tcPr>
          <w:p w14:paraId="46465D2D" w14:textId="7E0AFA2C" w:rsidR="004802FA" w:rsidRPr="001A6B37" w:rsidRDefault="004802FA" w:rsidP="004802FA">
            <w:pPr>
              <w:spacing w:after="0" w:line="240" w:lineRule="auto"/>
              <w:rPr>
                <w:rFonts w:ascii="Arial" w:hAnsi="Arial" w:cs="Arial"/>
                <w:lang w:eastAsia="en-US"/>
              </w:rPr>
            </w:pPr>
            <w:r w:rsidRPr="001A6B37">
              <w:rPr>
                <w:rFonts w:ascii="Arial" w:hAnsi="Arial" w:cs="Arial"/>
                <w:lang w:eastAsia="en-US"/>
              </w:rPr>
              <w:t>Continuous activity leading up to conclusion of delivery.</w:t>
            </w:r>
          </w:p>
        </w:tc>
      </w:tr>
    </w:tbl>
    <w:p w14:paraId="7257C6DA" w14:textId="77777777" w:rsidR="00881AD7" w:rsidRDefault="00881AD7" w:rsidP="00881AD7"/>
    <w:p w14:paraId="596D0ECC" w14:textId="156E44F6" w:rsidR="004802FA" w:rsidRPr="001A6B37" w:rsidRDefault="00903275" w:rsidP="00881AD7">
      <w:pPr>
        <w:spacing w:after="0" w:line="240" w:lineRule="auto"/>
        <w:rPr>
          <w:rFonts w:ascii="Arial" w:hAnsi="Arial" w:cs="Arial"/>
        </w:rPr>
      </w:pPr>
      <w:r w:rsidRPr="00B64F00">
        <w:rPr>
          <w:rFonts w:ascii="Arial" w:hAnsi="Arial" w:cs="Arial"/>
        </w:rPr>
        <w:t xml:space="preserve">The </w:t>
      </w:r>
      <w:r w:rsidR="00D97AAB" w:rsidRPr="00B64F00">
        <w:rPr>
          <w:rFonts w:ascii="Arial" w:hAnsi="Arial" w:cs="Arial"/>
        </w:rPr>
        <w:t>Supplier requirements</w:t>
      </w:r>
      <w:r w:rsidR="004802FA" w:rsidRPr="00B64F00">
        <w:rPr>
          <w:rFonts w:ascii="Arial" w:hAnsi="Arial" w:cs="Arial"/>
        </w:rPr>
        <w:t xml:space="preserve"> as set out in the table above </w:t>
      </w:r>
      <w:r w:rsidRPr="00B64F00">
        <w:rPr>
          <w:rFonts w:ascii="Arial" w:hAnsi="Arial" w:cs="Arial"/>
        </w:rPr>
        <w:t xml:space="preserve">include a number of continuous </w:t>
      </w:r>
      <w:r w:rsidR="00D97AAB" w:rsidRPr="00B64F00">
        <w:rPr>
          <w:rFonts w:ascii="Arial" w:hAnsi="Arial" w:cs="Arial"/>
        </w:rPr>
        <w:t xml:space="preserve">activities </w:t>
      </w:r>
      <w:r w:rsidRPr="00B64F00">
        <w:rPr>
          <w:rFonts w:ascii="Arial" w:hAnsi="Arial" w:cs="Arial"/>
        </w:rPr>
        <w:t xml:space="preserve">which </w:t>
      </w:r>
      <w:r w:rsidR="00D97AAB" w:rsidRPr="00B64F00">
        <w:rPr>
          <w:rFonts w:ascii="Arial" w:hAnsi="Arial" w:cs="Arial"/>
        </w:rPr>
        <w:t xml:space="preserve">will follow on from the prior Call off </w:t>
      </w:r>
      <w:r w:rsidR="00844793" w:rsidRPr="00B64F00">
        <w:rPr>
          <w:rFonts w:ascii="Arial" w:hAnsi="Arial" w:cs="Arial"/>
        </w:rPr>
        <w:t>A</w:t>
      </w:r>
      <w:r w:rsidR="00D97AAB" w:rsidRPr="00B64F00">
        <w:rPr>
          <w:rFonts w:ascii="Arial" w:hAnsi="Arial" w:cs="Arial"/>
        </w:rPr>
        <w:t>greement</w:t>
      </w:r>
      <w:r w:rsidR="00844793" w:rsidRPr="00B64F00">
        <w:rPr>
          <w:rFonts w:ascii="Arial" w:hAnsi="Arial" w:cs="Arial"/>
        </w:rPr>
        <w:t xml:space="preserve"> </w:t>
      </w:r>
      <w:r w:rsidR="00D97AAB" w:rsidRPr="00B64F00">
        <w:rPr>
          <w:rFonts w:ascii="Arial" w:hAnsi="Arial" w:cs="Arial"/>
        </w:rPr>
        <w:t>dated 12</w:t>
      </w:r>
      <w:r w:rsidR="00D97AAB" w:rsidRPr="00B64F00">
        <w:rPr>
          <w:rFonts w:ascii="Arial" w:hAnsi="Arial" w:cs="Arial"/>
          <w:vertAlign w:val="superscript"/>
        </w:rPr>
        <w:t>th</w:t>
      </w:r>
      <w:r w:rsidR="00D97AAB" w:rsidRPr="00B64F00">
        <w:rPr>
          <w:rFonts w:ascii="Arial" w:hAnsi="Arial" w:cs="Arial"/>
        </w:rPr>
        <w:t xml:space="preserve"> March 2020</w:t>
      </w:r>
      <w:r w:rsidR="00F84A90" w:rsidRPr="00B64F00">
        <w:rPr>
          <w:rFonts w:ascii="Arial" w:hAnsi="Arial" w:cs="Arial"/>
        </w:rPr>
        <w:t xml:space="preserve"> (the “Expired Contract”)</w:t>
      </w:r>
      <w:r w:rsidRPr="00B64F00">
        <w:rPr>
          <w:rFonts w:ascii="Arial" w:hAnsi="Arial" w:cs="Arial"/>
        </w:rPr>
        <w:t xml:space="preserve">. </w:t>
      </w:r>
      <w:r w:rsidR="00F84A90" w:rsidRPr="00B64F00">
        <w:rPr>
          <w:rFonts w:ascii="Arial" w:hAnsi="Arial" w:cs="Arial"/>
        </w:rPr>
        <w:t>The Customer agrees that the Supplier holds no responsibility or liability to Customer in relation to the Services above under the Expired Contract. </w:t>
      </w:r>
    </w:p>
    <w:p w14:paraId="73F33632" w14:textId="77777777" w:rsidR="00B64F00" w:rsidRDefault="00B64F00" w:rsidP="00B64F00">
      <w:pPr>
        <w:tabs>
          <w:tab w:val="left" w:pos="7560"/>
        </w:tabs>
        <w:spacing w:after="0" w:line="240" w:lineRule="auto"/>
        <w:rPr>
          <w:rFonts w:ascii="Arial" w:hAnsi="Arial" w:cs="Arial"/>
          <w:b/>
        </w:rPr>
      </w:pPr>
      <w:r>
        <w:rPr>
          <w:rFonts w:ascii="Arial" w:hAnsi="Arial" w:cs="Arial"/>
          <w:b/>
        </w:rPr>
        <w:tab/>
      </w:r>
    </w:p>
    <w:p w14:paraId="2C7484F2" w14:textId="6539C2CE" w:rsidR="00881AD7" w:rsidRPr="00CA23F5" w:rsidRDefault="00881AD7" w:rsidP="00B64F00">
      <w:pPr>
        <w:tabs>
          <w:tab w:val="left" w:pos="7560"/>
        </w:tabs>
        <w:spacing w:after="0" w:line="240" w:lineRule="auto"/>
        <w:rPr>
          <w:rFonts w:ascii="Arial" w:hAnsi="Arial" w:cs="Arial"/>
          <w:b/>
        </w:rPr>
      </w:pPr>
      <w:r w:rsidRPr="00CA23F5">
        <w:rPr>
          <w:rFonts w:ascii="Arial" w:hAnsi="Arial" w:cs="Arial"/>
          <w:b/>
        </w:rPr>
        <w:t>Terms and Conditions</w:t>
      </w:r>
    </w:p>
    <w:p w14:paraId="0D1CF330" w14:textId="77777777" w:rsidR="00881AD7" w:rsidRPr="00CA23F5" w:rsidRDefault="00881AD7" w:rsidP="00881AD7">
      <w:pPr>
        <w:spacing w:after="0" w:line="240" w:lineRule="auto"/>
        <w:rPr>
          <w:rFonts w:ascii="Arial" w:hAnsi="Arial" w:cs="Arial"/>
        </w:rPr>
      </w:pPr>
    </w:p>
    <w:p w14:paraId="2AAA1F8D" w14:textId="77777777" w:rsidR="00881AD7" w:rsidRPr="00CA23F5" w:rsidRDefault="00881AD7" w:rsidP="00881AD7">
      <w:pPr>
        <w:spacing w:after="0" w:line="240" w:lineRule="auto"/>
        <w:rPr>
          <w:rFonts w:ascii="Arial" w:hAnsi="Arial" w:cs="Arial"/>
        </w:rPr>
      </w:pPr>
      <w:r w:rsidRPr="00CA23F5">
        <w:rPr>
          <w:rFonts w:ascii="Arial" w:hAnsi="Arial" w:cs="Arial"/>
        </w:rPr>
        <w:t>Work will be contracted under the Crown Commercial Service framework MCF2 Lot [4].</w:t>
      </w:r>
    </w:p>
    <w:p w14:paraId="5B893704" w14:textId="77777777" w:rsidR="00881AD7" w:rsidRDefault="00881AD7" w:rsidP="00881AD7">
      <w:pPr>
        <w:spacing w:after="0" w:line="240" w:lineRule="auto"/>
        <w:rPr>
          <w:rFonts w:ascii="Arial" w:hAnsi="Arial" w:cs="Arial"/>
          <w:b/>
        </w:rPr>
      </w:pPr>
    </w:p>
    <w:p w14:paraId="24E1D222" w14:textId="77777777" w:rsidR="00CB1814" w:rsidRDefault="00CB1814" w:rsidP="00881AD7">
      <w:pPr>
        <w:spacing w:after="0" w:line="240" w:lineRule="auto"/>
        <w:rPr>
          <w:rFonts w:ascii="Arial" w:hAnsi="Arial" w:cs="Arial"/>
          <w:b/>
        </w:rPr>
      </w:pPr>
    </w:p>
    <w:p w14:paraId="3A1089A4" w14:textId="40129B6F" w:rsidR="00881AD7" w:rsidRPr="00CA23F5" w:rsidRDefault="00881AD7" w:rsidP="00881AD7">
      <w:pPr>
        <w:spacing w:after="0" w:line="240" w:lineRule="auto"/>
        <w:rPr>
          <w:rFonts w:ascii="Arial" w:hAnsi="Arial" w:cs="Arial"/>
        </w:rPr>
      </w:pPr>
      <w:r w:rsidRPr="00CA23F5">
        <w:rPr>
          <w:rFonts w:ascii="Arial" w:hAnsi="Arial" w:cs="Arial"/>
          <w:b/>
        </w:rPr>
        <w:t xml:space="preserve">Costs </w:t>
      </w:r>
    </w:p>
    <w:p w14:paraId="277D35B7" w14:textId="77777777" w:rsidR="00881AD7" w:rsidRPr="00CA23F5" w:rsidRDefault="00881AD7" w:rsidP="00881AD7">
      <w:pPr>
        <w:spacing w:after="0" w:line="240" w:lineRule="auto"/>
        <w:rPr>
          <w:rFonts w:ascii="Arial" w:hAnsi="Arial" w:cs="Arial"/>
        </w:rPr>
      </w:pPr>
    </w:p>
    <w:p w14:paraId="09827EDB" w14:textId="77777777" w:rsidR="00881AD7" w:rsidRPr="00CA23F5" w:rsidRDefault="00881AD7" w:rsidP="00881AD7">
      <w:pPr>
        <w:spacing w:after="0" w:line="240" w:lineRule="auto"/>
        <w:rPr>
          <w:rFonts w:ascii="Arial" w:hAnsi="Arial" w:cs="Arial"/>
        </w:rPr>
      </w:pPr>
      <w:r w:rsidRPr="00CA23F5">
        <w:rPr>
          <w:rFonts w:ascii="Arial" w:hAnsi="Arial" w:cs="Arial"/>
        </w:rPr>
        <w:t>Costs will be based using the fee rates from MCF2 Lot 4 being:</w:t>
      </w:r>
    </w:p>
    <w:p w14:paraId="6E495512" w14:textId="77777777" w:rsidR="00881AD7" w:rsidRPr="00CA23F5" w:rsidRDefault="00881AD7" w:rsidP="00881AD7">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2268"/>
      </w:tblGrid>
      <w:tr w:rsidR="00881AD7" w:rsidRPr="00017F15" w14:paraId="3E97B5F2" w14:textId="77777777" w:rsidTr="00017F15">
        <w:tc>
          <w:tcPr>
            <w:tcW w:w="4957" w:type="dxa"/>
            <w:shd w:val="clear" w:color="auto" w:fill="auto"/>
          </w:tcPr>
          <w:p w14:paraId="0E51989D" w14:textId="77777777" w:rsidR="00881AD7" w:rsidRPr="00017F15" w:rsidRDefault="00881AD7" w:rsidP="00017F15">
            <w:pPr>
              <w:spacing w:after="0" w:line="240" w:lineRule="auto"/>
              <w:jc w:val="center"/>
              <w:rPr>
                <w:rFonts w:ascii="Arial" w:hAnsi="Arial" w:cs="Arial"/>
                <w:b/>
                <w:lang w:eastAsia="en-US"/>
              </w:rPr>
            </w:pPr>
            <w:r w:rsidRPr="00017F15">
              <w:rPr>
                <w:rFonts w:ascii="Arial" w:hAnsi="Arial" w:cs="Arial"/>
                <w:b/>
                <w:lang w:eastAsia="en-US"/>
              </w:rPr>
              <w:t>Grade</w:t>
            </w:r>
          </w:p>
        </w:tc>
        <w:tc>
          <w:tcPr>
            <w:tcW w:w="2268" w:type="dxa"/>
            <w:shd w:val="clear" w:color="auto" w:fill="auto"/>
          </w:tcPr>
          <w:p w14:paraId="6B588949" w14:textId="77777777" w:rsidR="00881AD7" w:rsidRPr="00017F15" w:rsidRDefault="00881AD7" w:rsidP="00017F15">
            <w:pPr>
              <w:spacing w:after="0" w:line="240" w:lineRule="auto"/>
              <w:jc w:val="center"/>
              <w:rPr>
                <w:rFonts w:ascii="Arial" w:hAnsi="Arial" w:cs="Arial"/>
                <w:b/>
                <w:lang w:eastAsia="en-US"/>
              </w:rPr>
            </w:pPr>
            <w:r w:rsidRPr="00017F15">
              <w:rPr>
                <w:rFonts w:ascii="Arial" w:hAnsi="Arial" w:cs="Arial"/>
                <w:b/>
                <w:lang w:eastAsia="en-US"/>
              </w:rPr>
              <w:t>Day rate (£)</w:t>
            </w:r>
          </w:p>
        </w:tc>
      </w:tr>
      <w:tr w:rsidR="00881AD7" w:rsidRPr="00017F15" w14:paraId="6F09149A" w14:textId="77777777" w:rsidTr="00017F15">
        <w:tc>
          <w:tcPr>
            <w:tcW w:w="4957" w:type="dxa"/>
            <w:shd w:val="clear" w:color="auto" w:fill="auto"/>
          </w:tcPr>
          <w:p w14:paraId="5D2BEBA4" w14:textId="77777777" w:rsidR="00881AD7" w:rsidRPr="00017F15" w:rsidRDefault="00881AD7" w:rsidP="00017F15">
            <w:pPr>
              <w:spacing w:after="0" w:line="240" w:lineRule="auto"/>
              <w:rPr>
                <w:rFonts w:ascii="Arial" w:hAnsi="Arial" w:cs="Arial"/>
                <w:lang w:eastAsia="en-US"/>
              </w:rPr>
            </w:pPr>
            <w:r w:rsidRPr="00017F15">
              <w:rPr>
                <w:rFonts w:ascii="Arial" w:hAnsi="Arial" w:cs="Arial"/>
                <w:lang w:eastAsia="en-US"/>
              </w:rPr>
              <w:t xml:space="preserve">Partner/Managing Director </w:t>
            </w:r>
          </w:p>
        </w:tc>
        <w:tc>
          <w:tcPr>
            <w:tcW w:w="2268" w:type="dxa"/>
            <w:shd w:val="clear" w:color="auto" w:fill="auto"/>
          </w:tcPr>
          <w:p w14:paraId="78FBCD8A" w14:textId="26C35255" w:rsidR="00881AD7" w:rsidRPr="00017F15" w:rsidRDefault="007D3E8E" w:rsidP="00017F15">
            <w:pPr>
              <w:spacing w:after="0" w:line="240" w:lineRule="auto"/>
              <w:jc w:val="center"/>
              <w:rPr>
                <w:rFonts w:ascii="Arial" w:hAnsi="Arial" w:cs="Arial"/>
                <w:lang w:eastAsia="en-US"/>
              </w:rPr>
            </w:pPr>
            <w:r>
              <w:rPr>
                <w:rFonts w:ascii="Arial" w:hAnsi="Arial" w:cs="Arial"/>
                <w:lang w:eastAsia="en-US"/>
              </w:rPr>
              <w:t>*REDACTED*</w:t>
            </w:r>
          </w:p>
        </w:tc>
      </w:tr>
      <w:tr w:rsidR="00881AD7" w:rsidRPr="00017F15" w14:paraId="51BB2759" w14:textId="77777777" w:rsidTr="00017F15">
        <w:tc>
          <w:tcPr>
            <w:tcW w:w="4957" w:type="dxa"/>
            <w:shd w:val="clear" w:color="auto" w:fill="auto"/>
          </w:tcPr>
          <w:p w14:paraId="4A684052" w14:textId="77777777" w:rsidR="00881AD7" w:rsidRPr="00017F15" w:rsidRDefault="00881AD7" w:rsidP="00017F15">
            <w:pPr>
              <w:spacing w:after="0" w:line="240" w:lineRule="auto"/>
              <w:rPr>
                <w:rFonts w:ascii="Arial" w:hAnsi="Arial" w:cs="Arial"/>
                <w:lang w:eastAsia="en-US"/>
              </w:rPr>
            </w:pPr>
            <w:r w:rsidRPr="00017F15">
              <w:rPr>
                <w:rFonts w:ascii="Arial" w:hAnsi="Arial" w:cs="Arial"/>
                <w:lang w:eastAsia="en-US"/>
              </w:rPr>
              <w:t>Managing Consultant/Associate Director</w:t>
            </w:r>
          </w:p>
        </w:tc>
        <w:tc>
          <w:tcPr>
            <w:tcW w:w="2268" w:type="dxa"/>
            <w:shd w:val="clear" w:color="auto" w:fill="auto"/>
          </w:tcPr>
          <w:p w14:paraId="1C7864AE" w14:textId="082A1418" w:rsidR="00881AD7" w:rsidRPr="00017F15" w:rsidRDefault="007D3E8E" w:rsidP="00017F15">
            <w:pPr>
              <w:spacing w:after="0" w:line="240" w:lineRule="auto"/>
              <w:jc w:val="center"/>
              <w:rPr>
                <w:rFonts w:ascii="Arial" w:hAnsi="Arial" w:cs="Arial"/>
                <w:lang w:eastAsia="en-US"/>
              </w:rPr>
            </w:pPr>
            <w:r>
              <w:rPr>
                <w:rFonts w:ascii="Arial" w:hAnsi="Arial" w:cs="Arial"/>
                <w:lang w:eastAsia="en-US"/>
              </w:rPr>
              <w:t>*REDACTED*</w:t>
            </w:r>
          </w:p>
        </w:tc>
      </w:tr>
      <w:tr w:rsidR="00881AD7" w:rsidRPr="00017F15" w14:paraId="081F334F" w14:textId="77777777" w:rsidTr="00017F15">
        <w:tc>
          <w:tcPr>
            <w:tcW w:w="4957" w:type="dxa"/>
            <w:shd w:val="clear" w:color="auto" w:fill="auto"/>
          </w:tcPr>
          <w:p w14:paraId="13E16DC2" w14:textId="77777777" w:rsidR="00881AD7" w:rsidRPr="00017F15" w:rsidRDefault="00881AD7" w:rsidP="00017F15">
            <w:pPr>
              <w:spacing w:after="0" w:line="240" w:lineRule="auto"/>
              <w:rPr>
                <w:rFonts w:ascii="Arial" w:hAnsi="Arial" w:cs="Arial"/>
                <w:lang w:eastAsia="en-US"/>
              </w:rPr>
            </w:pPr>
            <w:r w:rsidRPr="00017F15">
              <w:rPr>
                <w:rFonts w:ascii="Arial" w:hAnsi="Arial" w:cs="Arial"/>
                <w:lang w:eastAsia="en-US"/>
              </w:rPr>
              <w:t xml:space="preserve">Principal Consultant </w:t>
            </w:r>
          </w:p>
        </w:tc>
        <w:tc>
          <w:tcPr>
            <w:tcW w:w="2268" w:type="dxa"/>
            <w:shd w:val="clear" w:color="auto" w:fill="auto"/>
          </w:tcPr>
          <w:p w14:paraId="4A3C5895" w14:textId="4929801E" w:rsidR="00881AD7" w:rsidRPr="00017F15" w:rsidRDefault="007D3E8E" w:rsidP="00017F15">
            <w:pPr>
              <w:spacing w:after="0" w:line="240" w:lineRule="auto"/>
              <w:jc w:val="center"/>
              <w:rPr>
                <w:rFonts w:ascii="Arial" w:hAnsi="Arial" w:cs="Arial"/>
                <w:lang w:eastAsia="en-US"/>
              </w:rPr>
            </w:pPr>
            <w:r>
              <w:rPr>
                <w:rFonts w:ascii="Arial" w:hAnsi="Arial" w:cs="Arial"/>
                <w:lang w:eastAsia="en-US"/>
              </w:rPr>
              <w:t>*REDACTED*</w:t>
            </w:r>
          </w:p>
        </w:tc>
      </w:tr>
      <w:tr w:rsidR="00881AD7" w:rsidRPr="00017F15" w14:paraId="0AEA7D8A" w14:textId="77777777" w:rsidTr="00017F15">
        <w:tc>
          <w:tcPr>
            <w:tcW w:w="4957" w:type="dxa"/>
            <w:shd w:val="clear" w:color="auto" w:fill="auto"/>
          </w:tcPr>
          <w:p w14:paraId="300015BF" w14:textId="77777777" w:rsidR="00881AD7" w:rsidRPr="00017F15" w:rsidRDefault="00881AD7" w:rsidP="00017F15">
            <w:pPr>
              <w:spacing w:after="0" w:line="240" w:lineRule="auto"/>
              <w:rPr>
                <w:rFonts w:ascii="Arial" w:hAnsi="Arial" w:cs="Arial"/>
                <w:lang w:eastAsia="en-US"/>
              </w:rPr>
            </w:pPr>
            <w:r w:rsidRPr="00017F15">
              <w:rPr>
                <w:rFonts w:ascii="Arial" w:hAnsi="Arial" w:cs="Arial"/>
                <w:lang w:eastAsia="en-US"/>
              </w:rPr>
              <w:t>Senior Consultant/Manager</w:t>
            </w:r>
          </w:p>
        </w:tc>
        <w:tc>
          <w:tcPr>
            <w:tcW w:w="2268" w:type="dxa"/>
            <w:shd w:val="clear" w:color="auto" w:fill="auto"/>
          </w:tcPr>
          <w:p w14:paraId="0E4F1522" w14:textId="75BEC92E" w:rsidR="00881AD7" w:rsidRPr="00017F15" w:rsidRDefault="007D3E8E" w:rsidP="00017F15">
            <w:pPr>
              <w:spacing w:after="0" w:line="240" w:lineRule="auto"/>
              <w:jc w:val="center"/>
              <w:rPr>
                <w:rFonts w:ascii="Arial" w:hAnsi="Arial" w:cs="Arial"/>
                <w:lang w:eastAsia="en-US"/>
              </w:rPr>
            </w:pPr>
            <w:r>
              <w:rPr>
                <w:rFonts w:ascii="Arial" w:hAnsi="Arial" w:cs="Arial"/>
                <w:lang w:eastAsia="en-US"/>
              </w:rPr>
              <w:t>*REDACTED*</w:t>
            </w:r>
          </w:p>
        </w:tc>
      </w:tr>
      <w:tr w:rsidR="00881AD7" w:rsidRPr="00017F15" w14:paraId="33FCD8F5" w14:textId="77777777" w:rsidTr="00017F15">
        <w:tc>
          <w:tcPr>
            <w:tcW w:w="4957" w:type="dxa"/>
            <w:shd w:val="clear" w:color="auto" w:fill="auto"/>
          </w:tcPr>
          <w:p w14:paraId="60DED5D9" w14:textId="77777777" w:rsidR="00881AD7" w:rsidRPr="00017F15" w:rsidRDefault="00881AD7" w:rsidP="00017F15">
            <w:pPr>
              <w:spacing w:after="0" w:line="240" w:lineRule="auto"/>
              <w:rPr>
                <w:rFonts w:ascii="Arial" w:hAnsi="Arial" w:cs="Arial"/>
                <w:lang w:eastAsia="en-US"/>
              </w:rPr>
            </w:pPr>
            <w:r w:rsidRPr="00017F15">
              <w:rPr>
                <w:rFonts w:ascii="Arial" w:hAnsi="Arial" w:cs="Arial"/>
                <w:lang w:eastAsia="en-US"/>
              </w:rPr>
              <w:t xml:space="preserve">Consultant </w:t>
            </w:r>
          </w:p>
        </w:tc>
        <w:tc>
          <w:tcPr>
            <w:tcW w:w="2268" w:type="dxa"/>
            <w:shd w:val="clear" w:color="auto" w:fill="auto"/>
          </w:tcPr>
          <w:p w14:paraId="5FBEC0F1" w14:textId="5EFA7C01" w:rsidR="00881AD7" w:rsidRPr="00017F15" w:rsidRDefault="007D3E8E" w:rsidP="00017F15">
            <w:pPr>
              <w:spacing w:after="0" w:line="240" w:lineRule="auto"/>
              <w:jc w:val="center"/>
              <w:rPr>
                <w:rFonts w:ascii="Arial" w:hAnsi="Arial" w:cs="Arial"/>
                <w:lang w:eastAsia="en-US"/>
              </w:rPr>
            </w:pPr>
            <w:r>
              <w:rPr>
                <w:rFonts w:ascii="Arial" w:hAnsi="Arial" w:cs="Arial"/>
                <w:lang w:eastAsia="en-US"/>
              </w:rPr>
              <w:t>*REDACTED*</w:t>
            </w:r>
            <w:bookmarkStart w:id="1" w:name="_GoBack"/>
            <w:bookmarkEnd w:id="1"/>
          </w:p>
        </w:tc>
      </w:tr>
    </w:tbl>
    <w:p w14:paraId="061C0F11" w14:textId="77777777" w:rsidR="00881AD7" w:rsidRPr="00CA23F5" w:rsidRDefault="00881AD7" w:rsidP="00881AD7">
      <w:pPr>
        <w:spacing w:after="0" w:line="240" w:lineRule="auto"/>
        <w:rPr>
          <w:rFonts w:ascii="Arial" w:hAnsi="Arial" w:cs="Arial"/>
        </w:rPr>
      </w:pPr>
    </w:p>
    <w:p w14:paraId="7D7AAD67" w14:textId="77777777" w:rsidR="00881AD7" w:rsidRPr="00CA23F5" w:rsidRDefault="00881AD7" w:rsidP="00881AD7">
      <w:pPr>
        <w:pStyle w:val="ListParagraph"/>
        <w:tabs>
          <w:tab w:val="left" w:pos="567"/>
        </w:tabs>
        <w:spacing w:after="0" w:line="240" w:lineRule="auto"/>
        <w:ind w:left="0"/>
        <w:rPr>
          <w:rFonts w:ascii="Arial" w:hAnsi="Arial" w:cs="Arial"/>
        </w:rPr>
      </w:pPr>
      <w:r w:rsidRPr="00CA23F5">
        <w:rPr>
          <w:rFonts w:ascii="Arial" w:hAnsi="Arial" w:cs="Arial"/>
        </w:rPr>
        <w:t xml:space="preserve">The above day rates exclude VAT and expenses, which would be charged in line with the arrangements, set out in MCF2 Lot </w:t>
      </w:r>
      <w:r>
        <w:rPr>
          <w:rFonts w:ascii="Arial" w:hAnsi="Arial" w:cs="Arial"/>
        </w:rPr>
        <w:t>[</w:t>
      </w:r>
      <w:r w:rsidRPr="00CA23F5">
        <w:rPr>
          <w:rFonts w:ascii="Arial" w:hAnsi="Arial" w:cs="Arial"/>
        </w:rPr>
        <w:t>4</w:t>
      </w:r>
      <w:r>
        <w:rPr>
          <w:rFonts w:ascii="Arial" w:hAnsi="Arial" w:cs="Arial"/>
        </w:rPr>
        <w:t>]</w:t>
      </w:r>
      <w:r w:rsidRPr="00CA23F5">
        <w:rPr>
          <w:rFonts w:ascii="Arial" w:hAnsi="Arial" w:cs="Arial"/>
        </w:rPr>
        <w:t>.</w:t>
      </w:r>
    </w:p>
    <w:p w14:paraId="665B4B64" w14:textId="77777777" w:rsidR="00881AD7" w:rsidRPr="00CA23F5" w:rsidRDefault="00881AD7" w:rsidP="00881AD7">
      <w:pPr>
        <w:pStyle w:val="ListParagraph"/>
        <w:tabs>
          <w:tab w:val="left" w:pos="567"/>
        </w:tabs>
        <w:spacing w:after="0" w:line="240" w:lineRule="auto"/>
        <w:ind w:left="0"/>
        <w:rPr>
          <w:rFonts w:ascii="Arial" w:hAnsi="Arial" w:cs="Arial"/>
        </w:rPr>
      </w:pPr>
    </w:p>
    <w:p w14:paraId="576828A6" w14:textId="77777777" w:rsidR="00881AD7" w:rsidRPr="00CA23F5" w:rsidRDefault="00881AD7" w:rsidP="00881AD7">
      <w:pPr>
        <w:pStyle w:val="ListParagraph"/>
        <w:tabs>
          <w:tab w:val="left" w:pos="567"/>
        </w:tabs>
        <w:spacing w:after="0" w:line="240" w:lineRule="auto"/>
        <w:ind w:left="0"/>
        <w:rPr>
          <w:rFonts w:ascii="Arial" w:hAnsi="Arial" w:cs="Arial"/>
        </w:rPr>
      </w:pPr>
      <w:r w:rsidRPr="00CA23F5">
        <w:rPr>
          <w:rFonts w:ascii="Arial" w:hAnsi="Arial" w:cs="Arial"/>
        </w:rPr>
        <w:t xml:space="preserve">Work will be charged on a time and materials basis at the above rates. On appointment, DefAc and the Supplier will meet to agree the phasing of work, indicative budgets and arrangements to provide for DefAc with appropriate control over the scope of the Suppliers work and monitoring of the level of costs being incurred. </w:t>
      </w:r>
    </w:p>
    <w:p w14:paraId="51EC42AB" w14:textId="77777777" w:rsidR="00881AD7" w:rsidRPr="00CA23F5" w:rsidRDefault="00881AD7" w:rsidP="00881AD7">
      <w:pPr>
        <w:pStyle w:val="ListParagraph"/>
        <w:tabs>
          <w:tab w:val="left" w:pos="567"/>
        </w:tabs>
        <w:spacing w:after="0" w:line="240" w:lineRule="auto"/>
        <w:ind w:left="0"/>
        <w:rPr>
          <w:rFonts w:ascii="Arial" w:hAnsi="Arial" w:cs="Arial"/>
        </w:rPr>
      </w:pPr>
    </w:p>
    <w:p w14:paraId="6FC67635" w14:textId="77777777" w:rsidR="00881AD7" w:rsidRPr="00CA23F5" w:rsidRDefault="00881AD7" w:rsidP="00881AD7">
      <w:pPr>
        <w:pStyle w:val="ListParagraph"/>
        <w:tabs>
          <w:tab w:val="left" w:pos="567"/>
        </w:tabs>
        <w:spacing w:after="0" w:line="240" w:lineRule="auto"/>
        <w:ind w:left="0"/>
        <w:rPr>
          <w:rFonts w:ascii="Arial" w:hAnsi="Arial" w:cs="Arial"/>
        </w:rPr>
      </w:pPr>
      <w:r w:rsidRPr="00CA23F5">
        <w:rPr>
          <w:rFonts w:ascii="Arial" w:hAnsi="Arial" w:cs="Arial"/>
        </w:rPr>
        <w:t>Subject to any alternative arrangement to be agreed between DefAC and the Supplier, costs will be invoiced on a monthly basis.</w:t>
      </w:r>
    </w:p>
    <w:p w14:paraId="2BB1B229" w14:textId="77777777" w:rsidR="00350EFE" w:rsidRDefault="00350EFE" w:rsidP="00881AD7">
      <w:pPr>
        <w:widowControl w:val="0"/>
        <w:autoSpaceDE w:val="0"/>
        <w:autoSpaceDN w:val="0"/>
        <w:adjustRightInd w:val="0"/>
        <w:spacing w:after="200" w:line="276" w:lineRule="auto"/>
        <w:ind w:left="120" w:right="114"/>
        <w:jc w:val="center"/>
        <w:rPr>
          <w:rFonts w:ascii="Arial" w:hAnsi="Arial" w:cs="Arial"/>
          <w:sz w:val="24"/>
          <w:szCs w:val="24"/>
        </w:rPr>
      </w:pPr>
    </w:p>
    <w:p w14:paraId="5B0C9FBE" w14:textId="77777777" w:rsidR="00350EFE" w:rsidRDefault="00750F06" w:rsidP="00750F06">
      <w:pPr>
        <w:widowControl w:val="0"/>
        <w:autoSpaceDE w:val="0"/>
        <w:autoSpaceDN w:val="0"/>
        <w:adjustRightInd w:val="0"/>
        <w:spacing w:after="60" w:line="240" w:lineRule="auto"/>
        <w:rPr>
          <w:rFonts w:ascii="Arial" w:hAnsi="Arial" w:cs="Arial"/>
          <w:color w:val="000000"/>
        </w:rPr>
      </w:pPr>
      <w:r>
        <w:rPr>
          <w:rFonts w:ascii="Arial" w:hAnsi="Arial" w:cs="Arial"/>
          <w:color w:val="000000"/>
        </w:rPr>
        <w:t xml:space="preserve"> </w:t>
      </w:r>
    </w:p>
    <w:p w14:paraId="0E59157E" w14:textId="77777777" w:rsidR="00350EFE" w:rsidRDefault="00350EFE">
      <w:pPr>
        <w:widowControl w:val="0"/>
        <w:autoSpaceDE w:val="0"/>
        <w:autoSpaceDN w:val="0"/>
        <w:adjustRightInd w:val="0"/>
        <w:spacing w:after="200" w:line="276" w:lineRule="auto"/>
        <w:ind w:left="120" w:right="114"/>
        <w:rPr>
          <w:rFonts w:ascii="Arial" w:hAnsi="Arial" w:cs="Arial"/>
          <w:sz w:val="24"/>
          <w:szCs w:val="24"/>
        </w:rPr>
      </w:pPr>
      <w:bookmarkStart w:id="2" w:name="page_total_master0"/>
      <w:bookmarkStart w:id="3" w:name="page_total"/>
      <w:bookmarkEnd w:id="2"/>
      <w:bookmarkEnd w:id="3"/>
    </w:p>
    <w:sectPr w:rsidR="00350EFE" w:rsidSect="003B05CC">
      <w:footerReference w:type="default" r:id="rId10"/>
      <w:pgSz w:w="11900" w:h="16820"/>
      <w:pgMar w:top="1420" w:right="1320" w:bottom="1420" w:left="1320" w:header="567" w:footer="70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35976" w14:textId="77777777" w:rsidR="00A03679" w:rsidRDefault="00A03679">
      <w:pPr>
        <w:spacing w:after="0" w:line="240" w:lineRule="auto"/>
      </w:pPr>
      <w:r>
        <w:separator/>
      </w:r>
    </w:p>
  </w:endnote>
  <w:endnote w:type="continuationSeparator" w:id="0">
    <w:p w14:paraId="41E4716E" w14:textId="77777777" w:rsidR="00A03679" w:rsidRDefault="00A03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98B69" w14:textId="77777777" w:rsidR="00350EFE" w:rsidRDefault="00350EFE">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cs="Calibri"/>
        <w:color w:val="000000"/>
      </w:rPr>
      <w:pgNum/>
    </w:r>
  </w:p>
  <w:p w14:paraId="07C623F9" w14:textId="77777777" w:rsidR="00350EFE" w:rsidRDefault="00350EFE">
    <w:pPr>
      <w:widowControl w:val="0"/>
      <w:tabs>
        <w:tab w:val="center" w:pos="4621"/>
        <w:tab w:val="right" w:pos="9134"/>
      </w:tabs>
      <w:autoSpaceDE w:val="0"/>
      <w:autoSpaceDN w:val="0"/>
      <w:adjustRightInd w:val="0"/>
      <w:spacing w:after="0" w:line="240" w:lineRule="auto"/>
      <w:ind w:left="120" w:right="114"/>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C210F" w14:textId="77777777" w:rsidR="00A03679" w:rsidRDefault="00A03679">
      <w:pPr>
        <w:spacing w:after="0" w:line="240" w:lineRule="auto"/>
      </w:pPr>
      <w:r>
        <w:separator/>
      </w:r>
    </w:p>
  </w:footnote>
  <w:footnote w:type="continuationSeparator" w:id="0">
    <w:p w14:paraId="1711CCE6" w14:textId="77777777" w:rsidR="00A03679" w:rsidRDefault="00A036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A1F4A"/>
    <w:multiLevelType w:val="hybridMultilevel"/>
    <w:tmpl w:val="2CEA7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C55784"/>
    <w:multiLevelType w:val="hybridMultilevel"/>
    <w:tmpl w:val="5038F6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0A2C55"/>
    <w:multiLevelType w:val="hybridMultilevel"/>
    <w:tmpl w:val="DFFC4F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034697"/>
    <w:multiLevelType w:val="hybridMultilevel"/>
    <w:tmpl w:val="AE4E7AA6"/>
    <w:lvl w:ilvl="0" w:tplc="08090001">
      <w:start w:val="1"/>
      <w:numFmt w:val="bullet"/>
      <w:lvlText w:val=""/>
      <w:lvlJc w:val="left"/>
      <w:pPr>
        <w:ind w:left="617" w:hanging="360"/>
      </w:pPr>
      <w:rPr>
        <w:rFonts w:ascii="Symbol" w:hAnsi="Symbol" w:hint="default"/>
      </w:rPr>
    </w:lvl>
    <w:lvl w:ilvl="1" w:tplc="08090003">
      <w:start w:val="1"/>
      <w:numFmt w:val="bullet"/>
      <w:lvlText w:val="o"/>
      <w:lvlJc w:val="left"/>
      <w:pPr>
        <w:ind w:left="1337" w:hanging="360"/>
      </w:pPr>
      <w:rPr>
        <w:rFonts w:ascii="Courier New" w:hAnsi="Courier New" w:hint="default"/>
      </w:rPr>
    </w:lvl>
    <w:lvl w:ilvl="2" w:tplc="08090005" w:tentative="1">
      <w:start w:val="1"/>
      <w:numFmt w:val="bullet"/>
      <w:lvlText w:val=""/>
      <w:lvlJc w:val="left"/>
      <w:pPr>
        <w:ind w:left="2057" w:hanging="360"/>
      </w:pPr>
      <w:rPr>
        <w:rFonts w:ascii="Wingdings" w:hAnsi="Wingdings" w:hint="default"/>
      </w:rPr>
    </w:lvl>
    <w:lvl w:ilvl="3" w:tplc="08090001" w:tentative="1">
      <w:start w:val="1"/>
      <w:numFmt w:val="bullet"/>
      <w:lvlText w:val=""/>
      <w:lvlJc w:val="left"/>
      <w:pPr>
        <w:ind w:left="2777" w:hanging="360"/>
      </w:pPr>
      <w:rPr>
        <w:rFonts w:ascii="Symbol" w:hAnsi="Symbol" w:hint="default"/>
      </w:rPr>
    </w:lvl>
    <w:lvl w:ilvl="4" w:tplc="08090003" w:tentative="1">
      <w:start w:val="1"/>
      <w:numFmt w:val="bullet"/>
      <w:lvlText w:val="o"/>
      <w:lvlJc w:val="left"/>
      <w:pPr>
        <w:ind w:left="3497" w:hanging="360"/>
      </w:pPr>
      <w:rPr>
        <w:rFonts w:ascii="Courier New" w:hAnsi="Courier New" w:hint="default"/>
      </w:rPr>
    </w:lvl>
    <w:lvl w:ilvl="5" w:tplc="08090005" w:tentative="1">
      <w:start w:val="1"/>
      <w:numFmt w:val="bullet"/>
      <w:lvlText w:val=""/>
      <w:lvlJc w:val="left"/>
      <w:pPr>
        <w:ind w:left="4217" w:hanging="360"/>
      </w:pPr>
      <w:rPr>
        <w:rFonts w:ascii="Wingdings" w:hAnsi="Wingdings" w:hint="default"/>
      </w:rPr>
    </w:lvl>
    <w:lvl w:ilvl="6" w:tplc="08090001" w:tentative="1">
      <w:start w:val="1"/>
      <w:numFmt w:val="bullet"/>
      <w:lvlText w:val=""/>
      <w:lvlJc w:val="left"/>
      <w:pPr>
        <w:ind w:left="4937" w:hanging="360"/>
      </w:pPr>
      <w:rPr>
        <w:rFonts w:ascii="Symbol" w:hAnsi="Symbol" w:hint="default"/>
      </w:rPr>
    </w:lvl>
    <w:lvl w:ilvl="7" w:tplc="08090003" w:tentative="1">
      <w:start w:val="1"/>
      <w:numFmt w:val="bullet"/>
      <w:lvlText w:val="o"/>
      <w:lvlJc w:val="left"/>
      <w:pPr>
        <w:ind w:left="5657" w:hanging="360"/>
      </w:pPr>
      <w:rPr>
        <w:rFonts w:ascii="Courier New" w:hAnsi="Courier New" w:hint="default"/>
      </w:rPr>
    </w:lvl>
    <w:lvl w:ilvl="8" w:tplc="08090005" w:tentative="1">
      <w:start w:val="1"/>
      <w:numFmt w:val="bullet"/>
      <w:lvlText w:val=""/>
      <w:lvlJc w:val="left"/>
      <w:pPr>
        <w:ind w:left="6377" w:hanging="360"/>
      </w:pPr>
      <w:rPr>
        <w:rFonts w:ascii="Wingdings" w:hAnsi="Wingdings" w:hint="default"/>
      </w:rPr>
    </w:lvl>
  </w:abstractNum>
  <w:abstractNum w:abstractNumId="4" w15:restartNumberingAfterBreak="0">
    <w:nsid w:val="4DAA2689"/>
    <w:multiLevelType w:val="hybridMultilevel"/>
    <w:tmpl w:val="D542E6B2"/>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50435854"/>
    <w:multiLevelType w:val="hybridMultilevel"/>
    <w:tmpl w:val="D2D61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54054D"/>
    <w:multiLevelType w:val="hybridMultilevel"/>
    <w:tmpl w:val="A258AD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266870"/>
    <w:multiLevelType w:val="hybridMultilevel"/>
    <w:tmpl w:val="E6108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FD238FB"/>
    <w:multiLevelType w:val="hybridMultilevel"/>
    <w:tmpl w:val="9C366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2CF6C9F"/>
    <w:multiLevelType w:val="hybridMultilevel"/>
    <w:tmpl w:val="D77C6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743EAC"/>
    <w:multiLevelType w:val="hybridMultilevel"/>
    <w:tmpl w:val="0B727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55131A"/>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2" w15:restartNumberingAfterBreak="0">
    <w:nsid w:val="7FDC68BE"/>
    <w:multiLevelType w:val="hybridMultilevel"/>
    <w:tmpl w:val="27E87BD4"/>
    <w:lvl w:ilvl="0" w:tplc="08090001">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1"/>
  </w:num>
  <w:num w:numId="2">
    <w:abstractNumId w:val="3"/>
  </w:num>
  <w:num w:numId="3">
    <w:abstractNumId w:val="6"/>
  </w:num>
  <w:num w:numId="4">
    <w:abstractNumId w:val="4"/>
  </w:num>
  <w:num w:numId="5">
    <w:abstractNumId w:val="12"/>
  </w:num>
  <w:num w:numId="6">
    <w:abstractNumId w:val="7"/>
  </w:num>
  <w:num w:numId="7">
    <w:abstractNumId w:val="0"/>
  </w:num>
  <w:num w:numId="8">
    <w:abstractNumId w:val="8"/>
  </w:num>
  <w:num w:numId="9">
    <w:abstractNumId w:val="2"/>
  </w:num>
  <w:num w:numId="10">
    <w:abstractNumId w:val="9"/>
  </w:num>
  <w:num w:numId="11">
    <w:abstractNumId w:val="1"/>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665C"/>
    <w:rsid w:val="00017F15"/>
    <w:rsid w:val="0003065E"/>
    <w:rsid w:val="000944CD"/>
    <w:rsid w:val="000B759D"/>
    <w:rsid w:val="000C76D7"/>
    <w:rsid w:val="000D57EB"/>
    <w:rsid w:val="000E1544"/>
    <w:rsid w:val="000F5A64"/>
    <w:rsid w:val="00115B3E"/>
    <w:rsid w:val="00187EBC"/>
    <w:rsid w:val="001A6B37"/>
    <w:rsid w:val="00255A3B"/>
    <w:rsid w:val="00270071"/>
    <w:rsid w:val="002C7ABC"/>
    <w:rsid w:val="00343F2A"/>
    <w:rsid w:val="00350EFE"/>
    <w:rsid w:val="003B05CC"/>
    <w:rsid w:val="003F1A53"/>
    <w:rsid w:val="00443B8F"/>
    <w:rsid w:val="004551CF"/>
    <w:rsid w:val="004802FA"/>
    <w:rsid w:val="004B4B4B"/>
    <w:rsid w:val="00556878"/>
    <w:rsid w:val="0056081B"/>
    <w:rsid w:val="00650A34"/>
    <w:rsid w:val="006658D6"/>
    <w:rsid w:val="006713F6"/>
    <w:rsid w:val="006941FB"/>
    <w:rsid w:val="00750F06"/>
    <w:rsid w:val="00787FA4"/>
    <w:rsid w:val="007D3E8E"/>
    <w:rsid w:val="007E6E3B"/>
    <w:rsid w:val="007F3595"/>
    <w:rsid w:val="00815BF3"/>
    <w:rsid w:val="008436ED"/>
    <w:rsid w:val="00844793"/>
    <w:rsid w:val="00845C9C"/>
    <w:rsid w:val="00881AD7"/>
    <w:rsid w:val="008E0162"/>
    <w:rsid w:val="00903275"/>
    <w:rsid w:val="00A03679"/>
    <w:rsid w:val="00A35D68"/>
    <w:rsid w:val="00A71BE7"/>
    <w:rsid w:val="00A93739"/>
    <w:rsid w:val="00B64F00"/>
    <w:rsid w:val="00CA23F5"/>
    <w:rsid w:val="00CB1814"/>
    <w:rsid w:val="00D63DEC"/>
    <w:rsid w:val="00D8665C"/>
    <w:rsid w:val="00D86E4C"/>
    <w:rsid w:val="00D97AAB"/>
    <w:rsid w:val="00DD4081"/>
    <w:rsid w:val="00DE4214"/>
    <w:rsid w:val="00E152B4"/>
    <w:rsid w:val="00E17570"/>
    <w:rsid w:val="00E54028"/>
    <w:rsid w:val="00E71AB3"/>
    <w:rsid w:val="00E71CA4"/>
    <w:rsid w:val="00F33BA7"/>
    <w:rsid w:val="00F84A90"/>
    <w:rsid w:val="00FF1B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F16670"/>
  <w14:defaultImageDpi w14:val="0"/>
  <w15:docId w15:val="{9389D595-D2DB-4CAE-9F3C-E85A72981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1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1AD7"/>
    <w:pPr>
      <w:spacing w:after="120" w:line="276" w:lineRule="auto"/>
      <w:ind w:left="720"/>
      <w:contextualSpacing/>
    </w:pPr>
    <w:rPr>
      <w:lang w:eastAsia="en-US"/>
    </w:rPr>
  </w:style>
  <w:style w:type="character" w:styleId="Hyperlink">
    <w:name w:val="Hyperlink"/>
    <w:uiPriority w:val="99"/>
    <w:unhideWhenUsed/>
    <w:rsid w:val="00650A34"/>
    <w:rPr>
      <w:rFonts w:ascii="Times New Roman" w:hAnsi="Times New Roman" w:cs="Times New Roman"/>
      <w:color w:val="0563C1"/>
      <w:u w:val="single"/>
    </w:rPr>
  </w:style>
  <w:style w:type="character" w:styleId="CommentReference">
    <w:name w:val="annotation reference"/>
    <w:uiPriority w:val="99"/>
    <w:semiHidden/>
    <w:unhideWhenUsed/>
    <w:rsid w:val="004802FA"/>
    <w:rPr>
      <w:sz w:val="16"/>
      <w:szCs w:val="16"/>
    </w:rPr>
  </w:style>
  <w:style w:type="paragraph" w:styleId="CommentText">
    <w:name w:val="annotation text"/>
    <w:basedOn w:val="Normal"/>
    <w:link w:val="CommentTextChar"/>
    <w:uiPriority w:val="99"/>
    <w:semiHidden/>
    <w:unhideWhenUsed/>
    <w:rsid w:val="004802FA"/>
    <w:rPr>
      <w:sz w:val="20"/>
      <w:szCs w:val="20"/>
    </w:rPr>
  </w:style>
  <w:style w:type="character" w:customStyle="1" w:styleId="CommentTextChar">
    <w:name w:val="Comment Text Char"/>
    <w:basedOn w:val="DefaultParagraphFont"/>
    <w:link w:val="CommentText"/>
    <w:uiPriority w:val="99"/>
    <w:semiHidden/>
    <w:rsid w:val="004802FA"/>
  </w:style>
  <w:style w:type="paragraph" w:styleId="CommentSubject">
    <w:name w:val="annotation subject"/>
    <w:basedOn w:val="CommentText"/>
    <w:next w:val="CommentText"/>
    <w:link w:val="CommentSubjectChar"/>
    <w:uiPriority w:val="99"/>
    <w:semiHidden/>
    <w:unhideWhenUsed/>
    <w:rsid w:val="004802FA"/>
    <w:rPr>
      <w:b/>
      <w:bCs/>
    </w:rPr>
  </w:style>
  <w:style w:type="character" w:customStyle="1" w:styleId="CommentSubjectChar">
    <w:name w:val="Comment Subject Char"/>
    <w:link w:val="CommentSubject"/>
    <w:uiPriority w:val="99"/>
    <w:semiHidden/>
    <w:rsid w:val="004802FA"/>
    <w:rPr>
      <w:b/>
      <w:bCs/>
    </w:rPr>
  </w:style>
  <w:style w:type="paragraph" w:styleId="Revision">
    <w:name w:val="Revision"/>
    <w:hidden/>
    <w:uiPriority w:val="99"/>
    <w:semiHidden/>
    <w:rsid w:val="004802FA"/>
    <w:rPr>
      <w:sz w:val="22"/>
      <w:szCs w:val="22"/>
    </w:rPr>
  </w:style>
  <w:style w:type="paragraph" w:styleId="BalloonText">
    <w:name w:val="Balloon Text"/>
    <w:basedOn w:val="Normal"/>
    <w:link w:val="BalloonTextChar"/>
    <w:uiPriority w:val="99"/>
    <w:semiHidden/>
    <w:unhideWhenUsed/>
    <w:rsid w:val="004802F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802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C337677FEF724485E94808144B7BCB" ma:contentTypeVersion="12" ma:contentTypeDescription="Create a new document." ma:contentTypeScope="" ma:versionID="4ded93aaa602c6f1304ba29a637393f7">
  <xsd:schema xmlns:xsd="http://www.w3.org/2001/XMLSchema" xmlns:xs="http://www.w3.org/2001/XMLSchema" xmlns:p="http://schemas.microsoft.com/office/2006/metadata/properties" xmlns:ns3="4b01d69e-b746-4649-a28e-d47254d98ecb" xmlns:ns4="5436e7ac-6ffc-4eab-8962-434951d2ac32" targetNamespace="http://schemas.microsoft.com/office/2006/metadata/properties" ma:root="true" ma:fieldsID="2e06df654d3ccadb9554f853a61da651" ns3:_="" ns4:_="">
    <xsd:import namespace="4b01d69e-b746-4649-a28e-d47254d98ecb"/>
    <xsd:import namespace="5436e7ac-6ffc-4eab-8962-434951d2ac32"/>
    <xsd:element name="properties">
      <xsd:complexType>
        <xsd:sequence>
          <xsd:element name="documentManagement">
            <xsd:complexType>
              <xsd:all>
                <xsd:element ref="ns3:Source_x0020_Folder_x0020_Path" minOccurs="0"/>
                <xsd:element ref="ns3:File_x0020_System_x0020_Path" minOccurs="0"/>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01d69e-b746-4649-a28e-d47254d98ecb" elementFormDefault="qualified">
    <xsd:import namespace="http://schemas.microsoft.com/office/2006/documentManagement/types"/>
    <xsd:import namespace="http://schemas.microsoft.com/office/infopath/2007/PartnerControls"/>
    <xsd:element name="Source_x0020_Folder_x0020_Path" ma:index="8" nillable="true" ma:displayName="Source Folder Path" ma:description="" ma:internalName="Source_x0020_Folder_x0020_Path">
      <xsd:simpleType>
        <xsd:restriction base="dms:Text">
          <xsd:maxLength value="255"/>
        </xsd:restriction>
      </xsd:simpleType>
    </xsd:element>
    <xsd:element name="File_x0020_System_x0020_Path" ma:index="9" nillable="true" ma:displayName="File System Path" ma:description="" ma:internalName="File_x0020_System_x0020_Path">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36e7ac-6ffc-4eab-8962-434951d2ac3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e_x0020_System_x0020_Path xmlns="4b01d69e-b746-4649-a28e-d47254d98ecb" xsi:nil="true"/>
    <Source_x0020_Folder_x0020_Path xmlns="4b01d69e-b746-4649-a28e-d47254d98ecb" xsi:nil="true"/>
  </documentManagement>
</p:properties>
</file>

<file path=customXml/itemProps1.xml><?xml version="1.0" encoding="utf-8"?>
<ds:datastoreItem xmlns:ds="http://schemas.openxmlformats.org/officeDocument/2006/customXml" ds:itemID="{1F7372B3-DFED-46AF-AECB-4F11E15E68A8}">
  <ds:schemaRefs>
    <ds:schemaRef ds:uri="http://schemas.microsoft.com/sharepoint/v3/contenttype/forms"/>
  </ds:schemaRefs>
</ds:datastoreItem>
</file>

<file path=customXml/itemProps2.xml><?xml version="1.0" encoding="utf-8"?>
<ds:datastoreItem xmlns:ds="http://schemas.openxmlformats.org/officeDocument/2006/customXml" ds:itemID="{C68EC949-2D32-4845-876D-45BE16BB1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01d69e-b746-4649-a28e-d47254d98ecb"/>
    <ds:schemaRef ds:uri="5436e7ac-6ffc-4eab-8962-434951d2a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E21526-A721-4399-9694-1E19D3584E51}">
  <ds:schemaRefs>
    <ds:schemaRef ds:uri="http://schemas.microsoft.com/office/2006/metadata/properties"/>
    <ds:schemaRef ds:uri="http://schemas.microsoft.com/office/infopath/2007/PartnerControls"/>
    <ds:schemaRef ds:uri="4b01d69e-b746-4649-a28e-d47254d98ec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959</Words>
  <Characters>5470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Hall, Andrew Mr (UKStratCom-Comrcl C2-07)</dc:creator>
  <cp:keywords/>
  <dc:description>Generated by Oracle BI Publisher 10.1.3.4.2</dc:description>
  <cp:lastModifiedBy>Hall, Andrew Mr (UKStratCom-Comrcl C2-07)</cp:lastModifiedBy>
  <cp:revision>3</cp:revision>
  <dcterms:created xsi:type="dcterms:W3CDTF">2021-01-05T16:58:00Z</dcterms:created>
  <dcterms:modified xsi:type="dcterms:W3CDTF">2021-07-28T09:26:00Z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0x0101008EC337677FEF724485E94808144B7BCB</vt:lpwstr>
  </property>
</Properties>
</file>