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F89BE" w14:textId="772EA0C9" w:rsidR="00727110" w:rsidRDefault="00727110" w:rsidP="00685F4E">
      <w:pPr>
        <w:rPr>
          <w:sz w:val="56"/>
          <w:szCs w:val="56"/>
        </w:rPr>
      </w:pPr>
    </w:p>
    <w:p w14:paraId="64B420C7" w14:textId="77777777" w:rsidR="00727110" w:rsidRPr="002D0A64" w:rsidRDefault="00727110" w:rsidP="00685F4E">
      <w:pPr>
        <w:jc w:val="center"/>
        <w:rPr>
          <w:rFonts w:ascii="Arial" w:hAnsi="Arial" w:cs="Arial"/>
          <w:sz w:val="52"/>
          <w:szCs w:val="52"/>
        </w:rPr>
      </w:pPr>
      <w:r w:rsidRPr="002D0A64">
        <w:rPr>
          <w:rFonts w:ascii="Arial" w:hAnsi="Arial" w:cs="Arial"/>
          <w:sz w:val="52"/>
          <w:szCs w:val="52"/>
        </w:rPr>
        <w:t>Global Facilities Management and Related Services Dynamic Purchasing System – including Procurement of Generation 2 FM Services in Asia Pacific</w:t>
      </w:r>
    </w:p>
    <w:p w14:paraId="6D5A5B91" w14:textId="77777777" w:rsidR="00727110" w:rsidRPr="002D0A64" w:rsidRDefault="00043829" w:rsidP="00685F4E">
      <w:pPr>
        <w:jc w:val="center"/>
        <w:rPr>
          <w:rFonts w:ascii="Arial" w:hAnsi="Arial" w:cs="Arial"/>
          <w:sz w:val="52"/>
          <w:szCs w:val="52"/>
        </w:rPr>
      </w:pPr>
      <w:r w:rsidRPr="002D0A64">
        <w:rPr>
          <w:rFonts w:ascii="Arial" w:hAnsi="Arial" w:cs="Arial"/>
          <w:sz w:val="52"/>
          <w:szCs w:val="52"/>
        </w:rPr>
        <w:t>Procurement</w:t>
      </w:r>
      <w:r w:rsidR="00727110" w:rsidRPr="002D0A64">
        <w:rPr>
          <w:rFonts w:ascii="Arial" w:hAnsi="Arial" w:cs="Arial"/>
          <w:sz w:val="52"/>
          <w:szCs w:val="52"/>
        </w:rPr>
        <w:t xml:space="preserve"> Document</w:t>
      </w:r>
    </w:p>
    <w:p w14:paraId="1652AF0E" w14:textId="77777777" w:rsidR="005019A3" w:rsidRDefault="005019A3" w:rsidP="00685F4E">
      <w:pPr>
        <w:jc w:val="center"/>
        <w:rPr>
          <w:sz w:val="52"/>
          <w:szCs w:val="52"/>
        </w:rPr>
      </w:pPr>
    </w:p>
    <w:p w14:paraId="46029C4F" w14:textId="1028BF56" w:rsidR="00727110" w:rsidRPr="00B92766" w:rsidRDefault="00B92766" w:rsidP="00B92766">
      <w:pPr>
        <w:spacing w:after="160" w:line="259" w:lineRule="auto"/>
      </w:pPr>
      <w:r>
        <w:br w:type="page"/>
      </w:r>
    </w:p>
    <w:p w14:paraId="6D336E38" w14:textId="77777777" w:rsidR="00BC261E" w:rsidRDefault="00727110" w:rsidP="00685F4E">
      <w:pPr>
        <w:jc w:val="center"/>
        <w:rPr>
          <w:rFonts w:ascii="Arial" w:hAnsi="Arial" w:cs="Arial"/>
          <w:b/>
          <w:sz w:val="24"/>
          <w:szCs w:val="24"/>
        </w:rPr>
      </w:pPr>
      <w:r w:rsidRPr="00727110">
        <w:rPr>
          <w:rFonts w:ascii="Arial" w:hAnsi="Arial" w:cs="Arial"/>
          <w:b/>
          <w:sz w:val="24"/>
          <w:szCs w:val="24"/>
        </w:rPr>
        <w:lastRenderedPageBreak/>
        <w:t>Contents</w:t>
      </w:r>
    </w:p>
    <w:p w14:paraId="69184D48" w14:textId="07459094" w:rsidR="00727110" w:rsidRDefault="00727110" w:rsidP="006A01FF">
      <w:pPr>
        <w:pStyle w:val="ListParagraph"/>
        <w:numPr>
          <w:ilvl w:val="0"/>
          <w:numId w:val="2"/>
        </w:numPr>
        <w:spacing w:after="120" w:line="480" w:lineRule="auto"/>
        <w:rPr>
          <w:rFonts w:ascii="Arial" w:hAnsi="Arial" w:cs="Arial"/>
          <w:sz w:val="24"/>
          <w:szCs w:val="24"/>
        </w:rPr>
      </w:pPr>
      <w:r>
        <w:rPr>
          <w:rFonts w:ascii="Arial" w:hAnsi="Arial" w:cs="Arial"/>
          <w:sz w:val="24"/>
          <w:szCs w:val="24"/>
        </w:rPr>
        <w:t>Structure of the Document</w:t>
      </w:r>
      <w:r w:rsidR="00D429D0">
        <w:rPr>
          <w:rFonts w:ascii="Arial" w:hAnsi="Arial" w:cs="Arial"/>
          <w:sz w:val="24"/>
          <w:szCs w:val="24"/>
        </w:rPr>
        <w:t xml:space="preserve"> and Important Information</w:t>
      </w:r>
    </w:p>
    <w:p w14:paraId="6459B592" w14:textId="77777777" w:rsidR="00727110" w:rsidRDefault="00727110" w:rsidP="006A01FF">
      <w:pPr>
        <w:pStyle w:val="ListParagraph"/>
        <w:numPr>
          <w:ilvl w:val="0"/>
          <w:numId w:val="2"/>
        </w:numPr>
        <w:spacing w:after="120" w:line="480" w:lineRule="auto"/>
        <w:rPr>
          <w:rFonts w:ascii="Arial" w:hAnsi="Arial" w:cs="Arial"/>
          <w:sz w:val="24"/>
          <w:szCs w:val="24"/>
        </w:rPr>
      </w:pPr>
      <w:r>
        <w:rPr>
          <w:rFonts w:ascii="Arial" w:hAnsi="Arial" w:cs="Arial"/>
          <w:sz w:val="24"/>
          <w:szCs w:val="24"/>
        </w:rPr>
        <w:t>Introduction – The FCO</w:t>
      </w:r>
    </w:p>
    <w:p w14:paraId="609789E3" w14:textId="1D50F747" w:rsidR="00727110" w:rsidRDefault="00727110" w:rsidP="006A01FF">
      <w:pPr>
        <w:pStyle w:val="ListParagraph"/>
        <w:numPr>
          <w:ilvl w:val="0"/>
          <w:numId w:val="2"/>
        </w:numPr>
        <w:spacing w:after="120" w:line="480" w:lineRule="auto"/>
        <w:rPr>
          <w:rFonts w:ascii="Arial" w:hAnsi="Arial" w:cs="Arial"/>
          <w:sz w:val="24"/>
          <w:szCs w:val="24"/>
        </w:rPr>
      </w:pPr>
      <w:r>
        <w:rPr>
          <w:rFonts w:ascii="Arial" w:hAnsi="Arial" w:cs="Arial"/>
          <w:sz w:val="24"/>
          <w:szCs w:val="24"/>
        </w:rPr>
        <w:t>FM Service Provision – Vision and Objectives</w:t>
      </w:r>
    </w:p>
    <w:p w14:paraId="462B17AA" w14:textId="011D1C7F" w:rsidR="001F5EDE" w:rsidRPr="00B10278" w:rsidRDefault="001F5EDE" w:rsidP="006A01FF">
      <w:pPr>
        <w:pStyle w:val="ListParagraph"/>
        <w:numPr>
          <w:ilvl w:val="0"/>
          <w:numId w:val="2"/>
        </w:numPr>
        <w:spacing w:after="120" w:line="480" w:lineRule="auto"/>
        <w:rPr>
          <w:rFonts w:ascii="Arial" w:hAnsi="Arial" w:cs="Arial"/>
          <w:sz w:val="24"/>
          <w:szCs w:val="24"/>
        </w:rPr>
      </w:pPr>
      <w:r>
        <w:rPr>
          <w:rFonts w:ascii="Arial" w:hAnsi="Arial" w:cs="Arial"/>
          <w:sz w:val="24"/>
          <w:szCs w:val="24"/>
        </w:rPr>
        <w:t>The Global DPS – Scope of Services</w:t>
      </w:r>
    </w:p>
    <w:p w14:paraId="3091C03A" w14:textId="06189708" w:rsidR="00240367" w:rsidRPr="00240367" w:rsidRDefault="00240367" w:rsidP="006A01FF">
      <w:pPr>
        <w:pStyle w:val="ListParagraph"/>
        <w:numPr>
          <w:ilvl w:val="0"/>
          <w:numId w:val="2"/>
        </w:numPr>
        <w:spacing w:after="120" w:line="480" w:lineRule="auto"/>
        <w:rPr>
          <w:rFonts w:ascii="Arial" w:hAnsi="Arial" w:cs="Arial"/>
          <w:sz w:val="24"/>
          <w:szCs w:val="24"/>
        </w:rPr>
      </w:pPr>
      <w:r>
        <w:rPr>
          <w:rFonts w:ascii="Arial" w:hAnsi="Arial" w:cs="Arial"/>
          <w:sz w:val="24"/>
          <w:szCs w:val="24"/>
        </w:rPr>
        <w:t>The Global DPS</w:t>
      </w:r>
      <w:r w:rsidR="001F5EDE">
        <w:rPr>
          <w:rFonts w:ascii="Arial" w:hAnsi="Arial" w:cs="Arial"/>
          <w:sz w:val="24"/>
          <w:szCs w:val="24"/>
        </w:rPr>
        <w:t xml:space="preserve"> – Geographic Scope</w:t>
      </w:r>
    </w:p>
    <w:p w14:paraId="62884716" w14:textId="77777777" w:rsidR="00727110" w:rsidRDefault="00727110" w:rsidP="006A01FF">
      <w:pPr>
        <w:pStyle w:val="ListParagraph"/>
        <w:numPr>
          <w:ilvl w:val="0"/>
          <w:numId w:val="2"/>
        </w:numPr>
        <w:spacing w:after="120" w:line="480" w:lineRule="auto"/>
        <w:rPr>
          <w:rFonts w:ascii="Arial" w:hAnsi="Arial" w:cs="Arial"/>
          <w:sz w:val="24"/>
          <w:szCs w:val="24"/>
        </w:rPr>
      </w:pPr>
      <w:r>
        <w:rPr>
          <w:rFonts w:ascii="Arial" w:hAnsi="Arial" w:cs="Arial"/>
          <w:sz w:val="24"/>
          <w:szCs w:val="24"/>
        </w:rPr>
        <w:t>The FCO in Asia Pacific</w:t>
      </w:r>
    </w:p>
    <w:p w14:paraId="211C04EA" w14:textId="77777777" w:rsidR="00727110" w:rsidRDefault="00727110" w:rsidP="006A01FF">
      <w:pPr>
        <w:pStyle w:val="ListParagraph"/>
        <w:numPr>
          <w:ilvl w:val="0"/>
          <w:numId w:val="2"/>
        </w:numPr>
        <w:spacing w:after="120" w:line="480" w:lineRule="auto"/>
        <w:rPr>
          <w:rFonts w:ascii="Arial" w:hAnsi="Arial" w:cs="Arial"/>
          <w:sz w:val="24"/>
          <w:szCs w:val="24"/>
        </w:rPr>
      </w:pPr>
      <w:r>
        <w:rPr>
          <w:rFonts w:ascii="Arial" w:hAnsi="Arial" w:cs="Arial"/>
          <w:sz w:val="24"/>
          <w:szCs w:val="24"/>
        </w:rPr>
        <w:t>Key Commercial Principles</w:t>
      </w:r>
    </w:p>
    <w:p w14:paraId="4AF54A64" w14:textId="77777777" w:rsidR="00727110" w:rsidRDefault="00727110" w:rsidP="006A01FF">
      <w:pPr>
        <w:pStyle w:val="ListParagraph"/>
        <w:numPr>
          <w:ilvl w:val="0"/>
          <w:numId w:val="2"/>
        </w:numPr>
        <w:spacing w:after="120" w:line="480" w:lineRule="auto"/>
        <w:rPr>
          <w:rFonts w:ascii="Arial" w:hAnsi="Arial" w:cs="Arial"/>
          <w:sz w:val="24"/>
          <w:szCs w:val="24"/>
        </w:rPr>
      </w:pPr>
      <w:r>
        <w:rPr>
          <w:rFonts w:ascii="Arial" w:hAnsi="Arial" w:cs="Arial"/>
          <w:sz w:val="24"/>
          <w:szCs w:val="24"/>
        </w:rPr>
        <w:t>Procurement Route and Timeframe</w:t>
      </w:r>
    </w:p>
    <w:p w14:paraId="3F33BFCF" w14:textId="77777777" w:rsidR="00727110" w:rsidRDefault="00727110" w:rsidP="006A01FF">
      <w:pPr>
        <w:pStyle w:val="ListParagraph"/>
        <w:numPr>
          <w:ilvl w:val="0"/>
          <w:numId w:val="2"/>
        </w:numPr>
        <w:spacing w:after="120" w:line="480" w:lineRule="auto"/>
        <w:rPr>
          <w:rFonts w:ascii="Arial" w:hAnsi="Arial" w:cs="Arial"/>
          <w:sz w:val="24"/>
          <w:szCs w:val="24"/>
        </w:rPr>
      </w:pPr>
      <w:r>
        <w:rPr>
          <w:rFonts w:ascii="Arial" w:hAnsi="Arial" w:cs="Arial"/>
          <w:sz w:val="24"/>
          <w:szCs w:val="24"/>
        </w:rPr>
        <w:t>Instructions for Using the FCO’s Jaggaer Portal</w:t>
      </w:r>
    </w:p>
    <w:p w14:paraId="3F524E1A" w14:textId="1198D4F3" w:rsidR="006F61A1" w:rsidRDefault="006F61A1" w:rsidP="006A01FF">
      <w:pPr>
        <w:spacing w:after="120" w:line="480" w:lineRule="auto"/>
        <w:ind w:left="360"/>
        <w:rPr>
          <w:rFonts w:ascii="Arial" w:hAnsi="Arial" w:cs="Arial"/>
          <w:sz w:val="24"/>
          <w:szCs w:val="24"/>
        </w:rPr>
      </w:pPr>
      <w:r>
        <w:rPr>
          <w:rFonts w:ascii="Arial" w:hAnsi="Arial" w:cs="Arial"/>
          <w:sz w:val="24"/>
          <w:szCs w:val="24"/>
        </w:rPr>
        <w:t xml:space="preserve">Appendix A: </w:t>
      </w:r>
      <w:r w:rsidR="003A3D0E">
        <w:rPr>
          <w:rFonts w:ascii="Arial" w:hAnsi="Arial" w:cs="Arial"/>
          <w:sz w:val="24"/>
          <w:szCs w:val="24"/>
        </w:rPr>
        <w:t>Selection Questionnaire – Notes for Completion</w:t>
      </w:r>
    </w:p>
    <w:p w14:paraId="538B167B" w14:textId="77777777" w:rsidR="006F61A1" w:rsidRDefault="006F61A1" w:rsidP="006A01FF">
      <w:pPr>
        <w:spacing w:after="120" w:line="480" w:lineRule="auto"/>
        <w:ind w:left="360"/>
        <w:rPr>
          <w:rFonts w:ascii="Arial" w:hAnsi="Arial" w:cs="Arial"/>
          <w:sz w:val="24"/>
          <w:szCs w:val="24"/>
        </w:rPr>
      </w:pPr>
      <w:r>
        <w:rPr>
          <w:rFonts w:ascii="Arial" w:hAnsi="Arial" w:cs="Arial"/>
          <w:sz w:val="24"/>
          <w:szCs w:val="24"/>
        </w:rPr>
        <w:t xml:space="preserve">Appendix B: </w:t>
      </w:r>
      <w:r w:rsidRPr="006F61A1">
        <w:rPr>
          <w:rFonts w:ascii="Arial" w:hAnsi="Arial" w:cs="Arial"/>
          <w:sz w:val="24"/>
          <w:szCs w:val="24"/>
        </w:rPr>
        <w:t>Evaluation Criteria</w:t>
      </w:r>
    </w:p>
    <w:p w14:paraId="17D190C1" w14:textId="77777777" w:rsidR="006A01FF" w:rsidRDefault="006F61A1" w:rsidP="006A01FF">
      <w:pPr>
        <w:spacing w:after="120" w:line="480" w:lineRule="auto"/>
        <w:ind w:left="360"/>
        <w:rPr>
          <w:rFonts w:ascii="Arial" w:hAnsi="Arial" w:cs="Arial"/>
          <w:sz w:val="24"/>
          <w:szCs w:val="24"/>
        </w:rPr>
      </w:pPr>
      <w:r>
        <w:rPr>
          <w:rFonts w:ascii="Arial" w:hAnsi="Arial" w:cs="Arial"/>
          <w:sz w:val="24"/>
          <w:szCs w:val="24"/>
        </w:rPr>
        <w:t>Appendix C: Requirem</w:t>
      </w:r>
      <w:r w:rsidR="006A01FF">
        <w:rPr>
          <w:rFonts w:ascii="Arial" w:hAnsi="Arial" w:cs="Arial"/>
          <w:sz w:val="24"/>
          <w:szCs w:val="24"/>
        </w:rPr>
        <w:t>ents when Working with the FCO</w:t>
      </w:r>
    </w:p>
    <w:p w14:paraId="050FBF1F" w14:textId="21E4C8CC" w:rsidR="007203BA" w:rsidRDefault="007203BA" w:rsidP="006A01FF">
      <w:pPr>
        <w:spacing w:after="120" w:line="480" w:lineRule="auto"/>
        <w:ind w:left="360"/>
        <w:rPr>
          <w:rFonts w:ascii="Arial" w:hAnsi="Arial" w:cs="Arial"/>
          <w:sz w:val="24"/>
          <w:szCs w:val="24"/>
        </w:rPr>
      </w:pPr>
      <w:r>
        <w:rPr>
          <w:rFonts w:ascii="Arial" w:hAnsi="Arial" w:cs="Arial"/>
          <w:sz w:val="24"/>
          <w:szCs w:val="24"/>
        </w:rPr>
        <w:t>Appendix D: Financial Viability Risk Assessment Tool Guidance</w:t>
      </w:r>
    </w:p>
    <w:p w14:paraId="60F7F407" w14:textId="4442A9EA" w:rsidR="00603F53" w:rsidRPr="004E19F0" w:rsidRDefault="00603F53" w:rsidP="006A01FF">
      <w:pPr>
        <w:spacing w:after="120" w:line="480" w:lineRule="auto"/>
        <w:ind w:left="360"/>
        <w:rPr>
          <w:rFonts w:ascii="Arial" w:hAnsi="Arial" w:cs="Arial"/>
          <w:color w:val="000000"/>
          <w:sz w:val="24"/>
          <w:szCs w:val="24"/>
        </w:rPr>
      </w:pPr>
      <w:r w:rsidRPr="004E19F0">
        <w:rPr>
          <w:rFonts w:ascii="Arial" w:hAnsi="Arial" w:cs="Arial"/>
          <w:sz w:val="24"/>
          <w:szCs w:val="24"/>
        </w:rPr>
        <w:t xml:space="preserve">Appendix E: </w:t>
      </w:r>
      <w:r w:rsidRPr="004E19F0">
        <w:rPr>
          <w:rFonts w:ascii="Arial" w:hAnsi="Arial" w:cs="Arial"/>
          <w:color w:val="000000"/>
          <w:sz w:val="24"/>
          <w:szCs w:val="24"/>
        </w:rPr>
        <w:t>Overview of Properties in Scope in Asia-Pacific</w:t>
      </w:r>
    </w:p>
    <w:p w14:paraId="4C7D46B5" w14:textId="7A4F4A72" w:rsidR="00603F53" w:rsidRPr="004E19F0" w:rsidRDefault="00603F53" w:rsidP="006A01FF">
      <w:pPr>
        <w:spacing w:after="120" w:line="480" w:lineRule="auto"/>
        <w:ind w:left="360"/>
        <w:rPr>
          <w:rFonts w:ascii="Arial" w:hAnsi="Arial" w:cs="Arial"/>
          <w:sz w:val="24"/>
          <w:szCs w:val="24"/>
        </w:rPr>
      </w:pPr>
      <w:r w:rsidRPr="004E19F0">
        <w:rPr>
          <w:rFonts w:ascii="Arial" w:hAnsi="Arial" w:cs="Arial"/>
          <w:color w:val="000000"/>
          <w:sz w:val="24"/>
          <w:szCs w:val="24"/>
        </w:rPr>
        <w:t>Appendix F: Copy of Confidentiality Agreement</w:t>
      </w:r>
    </w:p>
    <w:p w14:paraId="4F9CC671" w14:textId="77777777" w:rsidR="006F61A1" w:rsidRDefault="006F61A1" w:rsidP="00685F4E">
      <w:pPr>
        <w:spacing w:after="160"/>
        <w:rPr>
          <w:rFonts w:ascii="Arial" w:hAnsi="Arial" w:cs="Arial"/>
          <w:sz w:val="24"/>
          <w:szCs w:val="24"/>
        </w:rPr>
      </w:pPr>
      <w:r>
        <w:rPr>
          <w:rFonts w:ascii="Arial" w:hAnsi="Arial" w:cs="Arial"/>
          <w:sz w:val="24"/>
          <w:szCs w:val="24"/>
        </w:rPr>
        <w:br w:type="page"/>
      </w:r>
    </w:p>
    <w:p w14:paraId="4C75B145" w14:textId="4D81B360" w:rsidR="006F61A1" w:rsidRDefault="006F61A1" w:rsidP="00685F4E">
      <w:pPr>
        <w:pStyle w:val="ListParagraph"/>
        <w:numPr>
          <w:ilvl w:val="0"/>
          <w:numId w:val="3"/>
        </w:numPr>
        <w:spacing w:before="240"/>
        <w:ind w:hanging="720"/>
        <w:rPr>
          <w:rFonts w:ascii="Arial" w:hAnsi="Arial" w:cs="Arial"/>
          <w:b/>
          <w:sz w:val="24"/>
          <w:szCs w:val="24"/>
        </w:rPr>
      </w:pPr>
      <w:r>
        <w:rPr>
          <w:rFonts w:ascii="Arial" w:hAnsi="Arial" w:cs="Arial"/>
          <w:b/>
          <w:sz w:val="24"/>
          <w:szCs w:val="24"/>
        </w:rPr>
        <w:lastRenderedPageBreak/>
        <w:t>Structure of the Document</w:t>
      </w:r>
      <w:r w:rsidR="00F321CE">
        <w:rPr>
          <w:rFonts w:ascii="Arial" w:hAnsi="Arial" w:cs="Arial"/>
          <w:b/>
          <w:sz w:val="24"/>
          <w:szCs w:val="24"/>
        </w:rPr>
        <w:t xml:space="preserve"> and Important Information</w:t>
      </w:r>
    </w:p>
    <w:p w14:paraId="5A1E8433" w14:textId="5F219048" w:rsidR="006F61A1" w:rsidRDefault="006F61A1" w:rsidP="00685F4E">
      <w:pPr>
        <w:spacing w:after="120"/>
        <w:rPr>
          <w:rFonts w:ascii="Arial" w:hAnsi="Arial" w:cs="Arial"/>
          <w:sz w:val="24"/>
          <w:szCs w:val="24"/>
        </w:rPr>
      </w:pPr>
      <w:r>
        <w:rPr>
          <w:rFonts w:ascii="Arial" w:hAnsi="Arial" w:cs="Arial"/>
          <w:sz w:val="24"/>
          <w:szCs w:val="24"/>
        </w:rPr>
        <w:t xml:space="preserve">This document provides information </w:t>
      </w:r>
      <w:r w:rsidR="00184653">
        <w:rPr>
          <w:rFonts w:ascii="Arial" w:hAnsi="Arial" w:cs="Arial"/>
          <w:sz w:val="24"/>
          <w:szCs w:val="24"/>
        </w:rPr>
        <w:t xml:space="preserve">on, </w:t>
      </w:r>
      <w:r>
        <w:rPr>
          <w:rFonts w:ascii="Arial" w:hAnsi="Arial" w:cs="Arial"/>
          <w:sz w:val="24"/>
          <w:szCs w:val="24"/>
        </w:rPr>
        <w:t xml:space="preserve">and requirements </w:t>
      </w:r>
      <w:r w:rsidR="00184653">
        <w:rPr>
          <w:rFonts w:ascii="Arial" w:hAnsi="Arial" w:cs="Arial"/>
          <w:sz w:val="24"/>
          <w:szCs w:val="24"/>
        </w:rPr>
        <w:t xml:space="preserve">for, </w:t>
      </w:r>
      <w:r>
        <w:rPr>
          <w:rFonts w:ascii="Arial" w:hAnsi="Arial" w:cs="Arial"/>
          <w:sz w:val="24"/>
          <w:szCs w:val="24"/>
        </w:rPr>
        <w:t xml:space="preserve">responses </w:t>
      </w:r>
      <w:r w:rsidR="00184653">
        <w:rPr>
          <w:rFonts w:ascii="Arial" w:hAnsi="Arial" w:cs="Arial"/>
          <w:sz w:val="24"/>
          <w:szCs w:val="24"/>
        </w:rPr>
        <w:t>to</w:t>
      </w:r>
      <w:r>
        <w:rPr>
          <w:rFonts w:ascii="Arial" w:hAnsi="Arial" w:cs="Arial"/>
          <w:sz w:val="24"/>
          <w:szCs w:val="24"/>
        </w:rPr>
        <w:t xml:space="preserve"> the </w:t>
      </w:r>
      <w:r w:rsidR="005019A3">
        <w:rPr>
          <w:rFonts w:ascii="Arial" w:hAnsi="Arial" w:cs="Arial"/>
          <w:sz w:val="24"/>
          <w:szCs w:val="24"/>
        </w:rPr>
        <w:t xml:space="preserve">primary </w:t>
      </w:r>
      <w:r>
        <w:rPr>
          <w:rFonts w:ascii="Arial" w:hAnsi="Arial" w:cs="Arial"/>
          <w:sz w:val="24"/>
          <w:szCs w:val="24"/>
        </w:rPr>
        <w:t>shortlisting</w:t>
      </w:r>
      <w:r w:rsidR="005019A3">
        <w:rPr>
          <w:rFonts w:ascii="Arial" w:hAnsi="Arial" w:cs="Arial"/>
          <w:sz w:val="24"/>
          <w:szCs w:val="24"/>
        </w:rPr>
        <w:t xml:space="preserve"> </w:t>
      </w:r>
      <w:r>
        <w:rPr>
          <w:rFonts w:ascii="Arial" w:hAnsi="Arial" w:cs="Arial"/>
          <w:sz w:val="24"/>
          <w:szCs w:val="24"/>
        </w:rPr>
        <w:t xml:space="preserve">stage of the Foreign and Commonwealth Office’s (FCO) procurement process to establish a </w:t>
      </w:r>
      <w:r w:rsidR="00802879">
        <w:rPr>
          <w:rFonts w:ascii="Arial" w:hAnsi="Arial" w:cs="Arial"/>
          <w:sz w:val="24"/>
          <w:szCs w:val="24"/>
        </w:rPr>
        <w:t>g</w:t>
      </w:r>
      <w:r>
        <w:rPr>
          <w:rFonts w:ascii="Arial" w:hAnsi="Arial" w:cs="Arial"/>
          <w:sz w:val="24"/>
          <w:szCs w:val="24"/>
        </w:rPr>
        <w:t xml:space="preserve">lobal </w:t>
      </w:r>
      <w:r w:rsidR="007203BA">
        <w:rPr>
          <w:rFonts w:ascii="Arial" w:hAnsi="Arial" w:cs="Arial"/>
          <w:sz w:val="24"/>
          <w:szCs w:val="24"/>
        </w:rPr>
        <w:t>Dynamic Purchasing System (DPS)</w:t>
      </w:r>
      <w:r>
        <w:rPr>
          <w:rFonts w:ascii="Arial" w:hAnsi="Arial" w:cs="Arial"/>
          <w:sz w:val="24"/>
          <w:szCs w:val="24"/>
        </w:rPr>
        <w:t xml:space="preserve"> for Facilities Management and Related Services</w:t>
      </w:r>
      <w:r w:rsidR="00955B98">
        <w:rPr>
          <w:rFonts w:ascii="Arial" w:hAnsi="Arial" w:cs="Arial"/>
          <w:sz w:val="24"/>
          <w:szCs w:val="24"/>
        </w:rPr>
        <w:t xml:space="preserve"> (the Procurement</w:t>
      </w:r>
      <w:r w:rsidR="00184653">
        <w:rPr>
          <w:rFonts w:ascii="Arial" w:hAnsi="Arial" w:cs="Arial"/>
          <w:sz w:val="24"/>
          <w:szCs w:val="24"/>
        </w:rPr>
        <w:t>)</w:t>
      </w:r>
      <w:r>
        <w:rPr>
          <w:rFonts w:ascii="Arial" w:hAnsi="Arial" w:cs="Arial"/>
          <w:sz w:val="24"/>
          <w:szCs w:val="24"/>
        </w:rPr>
        <w:t xml:space="preserve">. </w:t>
      </w:r>
      <w:r w:rsidR="00240367">
        <w:rPr>
          <w:rFonts w:ascii="Arial" w:hAnsi="Arial" w:cs="Arial"/>
          <w:sz w:val="24"/>
          <w:szCs w:val="24"/>
        </w:rPr>
        <w:t>The sections that follow provide</w:t>
      </w:r>
      <w:r w:rsidR="00184653">
        <w:rPr>
          <w:rFonts w:ascii="Arial" w:hAnsi="Arial" w:cs="Arial"/>
          <w:sz w:val="24"/>
          <w:szCs w:val="24"/>
        </w:rPr>
        <w:t xml:space="preserve"> information on</w:t>
      </w:r>
      <w:r w:rsidR="00240367">
        <w:rPr>
          <w:rFonts w:ascii="Arial" w:hAnsi="Arial" w:cs="Arial"/>
          <w:sz w:val="24"/>
          <w:szCs w:val="24"/>
        </w:rPr>
        <w:t xml:space="preserve">: </w:t>
      </w:r>
    </w:p>
    <w:p w14:paraId="5FC27417" w14:textId="599D4090" w:rsidR="00240367" w:rsidRDefault="00426145" w:rsidP="00685F4E">
      <w:pPr>
        <w:pStyle w:val="ListParagraph"/>
        <w:numPr>
          <w:ilvl w:val="0"/>
          <w:numId w:val="5"/>
        </w:numPr>
        <w:spacing w:after="120"/>
        <w:rPr>
          <w:rFonts w:ascii="Arial" w:hAnsi="Arial" w:cs="Arial"/>
          <w:sz w:val="24"/>
          <w:szCs w:val="24"/>
        </w:rPr>
      </w:pPr>
      <w:r>
        <w:rPr>
          <w:rFonts w:ascii="Arial" w:hAnsi="Arial" w:cs="Arial"/>
          <w:sz w:val="24"/>
          <w:szCs w:val="24"/>
        </w:rPr>
        <w:t>T</w:t>
      </w:r>
      <w:r w:rsidR="00240367" w:rsidRPr="005019A3">
        <w:rPr>
          <w:rFonts w:ascii="Arial" w:hAnsi="Arial" w:cs="Arial"/>
          <w:sz w:val="24"/>
          <w:szCs w:val="24"/>
        </w:rPr>
        <w:t>he FCO</w:t>
      </w:r>
      <w:r w:rsidR="005019A3">
        <w:rPr>
          <w:rFonts w:ascii="Arial" w:hAnsi="Arial" w:cs="Arial"/>
          <w:sz w:val="24"/>
          <w:szCs w:val="24"/>
        </w:rPr>
        <w:t xml:space="preserve">’s </w:t>
      </w:r>
      <w:r w:rsidR="00240367">
        <w:rPr>
          <w:rFonts w:ascii="Arial" w:hAnsi="Arial" w:cs="Arial"/>
          <w:sz w:val="24"/>
          <w:szCs w:val="24"/>
        </w:rPr>
        <w:t xml:space="preserve">objectives for </w:t>
      </w:r>
      <w:r w:rsidR="00184653">
        <w:rPr>
          <w:rFonts w:ascii="Arial" w:hAnsi="Arial" w:cs="Arial"/>
          <w:sz w:val="24"/>
          <w:szCs w:val="24"/>
        </w:rPr>
        <w:t>the Procurement</w:t>
      </w:r>
      <w:r w:rsidR="00240367">
        <w:rPr>
          <w:rFonts w:ascii="Arial" w:hAnsi="Arial" w:cs="Arial"/>
          <w:sz w:val="24"/>
          <w:szCs w:val="24"/>
        </w:rPr>
        <w:t>;</w:t>
      </w:r>
    </w:p>
    <w:p w14:paraId="41EC6ED9" w14:textId="07FD4693" w:rsidR="00240367" w:rsidRDefault="00426145" w:rsidP="00685F4E">
      <w:pPr>
        <w:pStyle w:val="ListParagraph"/>
        <w:numPr>
          <w:ilvl w:val="0"/>
          <w:numId w:val="5"/>
        </w:numPr>
        <w:rPr>
          <w:rFonts w:ascii="Arial" w:hAnsi="Arial" w:cs="Arial"/>
          <w:sz w:val="24"/>
          <w:szCs w:val="24"/>
        </w:rPr>
      </w:pPr>
      <w:r>
        <w:rPr>
          <w:rFonts w:ascii="Arial" w:hAnsi="Arial" w:cs="Arial"/>
          <w:sz w:val="24"/>
          <w:szCs w:val="24"/>
        </w:rPr>
        <w:t>T</w:t>
      </w:r>
      <w:r w:rsidR="00240367">
        <w:rPr>
          <w:rFonts w:ascii="Arial" w:hAnsi="Arial" w:cs="Arial"/>
          <w:sz w:val="24"/>
          <w:szCs w:val="24"/>
        </w:rPr>
        <w:t>he procurement route</w:t>
      </w:r>
      <w:r>
        <w:rPr>
          <w:rFonts w:ascii="Arial" w:hAnsi="Arial" w:cs="Arial"/>
          <w:sz w:val="24"/>
          <w:szCs w:val="24"/>
        </w:rPr>
        <w:t xml:space="preserve"> and</w:t>
      </w:r>
      <w:r w:rsidR="00B14B89">
        <w:rPr>
          <w:rFonts w:ascii="Arial" w:hAnsi="Arial" w:cs="Arial"/>
          <w:sz w:val="24"/>
          <w:szCs w:val="24"/>
        </w:rPr>
        <w:t xml:space="preserve"> </w:t>
      </w:r>
      <w:r w:rsidR="005019A3" w:rsidRPr="005019A3">
        <w:rPr>
          <w:rFonts w:ascii="Arial" w:hAnsi="Arial" w:cs="Arial"/>
          <w:sz w:val="24"/>
          <w:szCs w:val="24"/>
        </w:rPr>
        <w:t>timeframes</w:t>
      </w:r>
      <w:r w:rsidR="00240367" w:rsidRPr="005019A3">
        <w:rPr>
          <w:rFonts w:ascii="Arial" w:hAnsi="Arial" w:cs="Arial"/>
          <w:sz w:val="24"/>
          <w:szCs w:val="24"/>
        </w:rPr>
        <w:t>;</w:t>
      </w:r>
    </w:p>
    <w:p w14:paraId="2665422A" w14:textId="11459A2B" w:rsidR="00240367" w:rsidRDefault="00426145" w:rsidP="00685F4E">
      <w:pPr>
        <w:pStyle w:val="ListParagraph"/>
        <w:numPr>
          <w:ilvl w:val="0"/>
          <w:numId w:val="5"/>
        </w:numPr>
        <w:rPr>
          <w:rFonts w:ascii="Arial" w:hAnsi="Arial" w:cs="Arial"/>
          <w:sz w:val="24"/>
          <w:szCs w:val="24"/>
        </w:rPr>
      </w:pPr>
      <w:r>
        <w:rPr>
          <w:rFonts w:ascii="Arial" w:hAnsi="Arial" w:cs="Arial"/>
          <w:sz w:val="24"/>
          <w:szCs w:val="24"/>
        </w:rPr>
        <w:t>T</w:t>
      </w:r>
      <w:r w:rsidR="00240367">
        <w:rPr>
          <w:rFonts w:ascii="Arial" w:hAnsi="Arial" w:cs="Arial"/>
          <w:sz w:val="24"/>
          <w:szCs w:val="24"/>
        </w:rPr>
        <w:t xml:space="preserve">he first work package (Asia Pacific) to be procured </w:t>
      </w:r>
      <w:r w:rsidR="00B14B89">
        <w:rPr>
          <w:rFonts w:ascii="Arial" w:hAnsi="Arial" w:cs="Arial"/>
          <w:sz w:val="24"/>
          <w:szCs w:val="24"/>
        </w:rPr>
        <w:t xml:space="preserve">through the DPS, which will run </w:t>
      </w:r>
      <w:r w:rsidR="00240367">
        <w:rPr>
          <w:rFonts w:ascii="Arial" w:hAnsi="Arial" w:cs="Arial"/>
          <w:sz w:val="24"/>
          <w:szCs w:val="24"/>
        </w:rPr>
        <w:t xml:space="preserve">concurrently with the establishment of the DPS </w:t>
      </w:r>
      <w:r w:rsidR="00B14B89">
        <w:rPr>
          <w:rFonts w:ascii="Arial" w:hAnsi="Arial" w:cs="Arial"/>
          <w:sz w:val="24"/>
          <w:szCs w:val="24"/>
        </w:rPr>
        <w:t>(</w:t>
      </w:r>
      <w:r w:rsidR="00240367">
        <w:rPr>
          <w:rFonts w:ascii="Arial" w:hAnsi="Arial" w:cs="Arial"/>
          <w:sz w:val="24"/>
          <w:szCs w:val="24"/>
        </w:rPr>
        <w:t xml:space="preserve">including the countries, properties and services that the </w:t>
      </w:r>
      <w:r w:rsidR="00B14B89">
        <w:rPr>
          <w:rFonts w:ascii="Arial" w:hAnsi="Arial" w:cs="Arial"/>
          <w:sz w:val="24"/>
          <w:szCs w:val="24"/>
        </w:rPr>
        <w:t>first work package will cover)</w:t>
      </w:r>
      <w:r w:rsidR="00240367">
        <w:rPr>
          <w:rFonts w:ascii="Arial" w:hAnsi="Arial" w:cs="Arial"/>
          <w:sz w:val="24"/>
          <w:szCs w:val="24"/>
        </w:rPr>
        <w:t>;</w:t>
      </w:r>
    </w:p>
    <w:p w14:paraId="15A81C1A" w14:textId="6B7CF418" w:rsidR="00240367" w:rsidRDefault="00426145" w:rsidP="00685F4E">
      <w:pPr>
        <w:pStyle w:val="ListParagraph"/>
        <w:numPr>
          <w:ilvl w:val="0"/>
          <w:numId w:val="5"/>
        </w:numPr>
        <w:rPr>
          <w:rFonts w:ascii="Arial" w:hAnsi="Arial" w:cs="Arial"/>
          <w:sz w:val="24"/>
          <w:szCs w:val="24"/>
        </w:rPr>
      </w:pPr>
      <w:r>
        <w:rPr>
          <w:rFonts w:ascii="Arial" w:hAnsi="Arial" w:cs="Arial"/>
          <w:sz w:val="24"/>
          <w:szCs w:val="24"/>
        </w:rPr>
        <w:t>T</w:t>
      </w:r>
      <w:r w:rsidR="005019A3">
        <w:rPr>
          <w:rFonts w:ascii="Arial" w:hAnsi="Arial" w:cs="Arial"/>
          <w:sz w:val="24"/>
          <w:szCs w:val="24"/>
        </w:rPr>
        <w:t>he key commercial principles</w:t>
      </w:r>
      <w:r w:rsidR="006E1607">
        <w:rPr>
          <w:rFonts w:ascii="Arial" w:hAnsi="Arial" w:cs="Arial"/>
          <w:sz w:val="24"/>
          <w:szCs w:val="24"/>
        </w:rPr>
        <w:t>;</w:t>
      </w:r>
    </w:p>
    <w:p w14:paraId="6D4AD8ED" w14:textId="5BF9B6A9" w:rsidR="00B14B89" w:rsidRDefault="00426145" w:rsidP="00685F4E">
      <w:pPr>
        <w:pStyle w:val="ListParagraph"/>
        <w:numPr>
          <w:ilvl w:val="0"/>
          <w:numId w:val="5"/>
        </w:numPr>
        <w:rPr>
          <w:rFonts w:ascii="Arial" w:hAnsi="Arial" w:cs="Arial"/>
          <w:sz w:val="24"/>
          <w:szCs w:val="24"/>
        </w:rPr>
      </w:pPr>
      <w:r>
        <w:rPr>
          <w:rFonts w:ascii="Arial" w:hAnsi="Arial" w:cs="Arial"/>
          <w:sz w:val="24"/>
          <w:szCs w:val="24"/>
        </w:rPr>
        <w:t>A</w:t>
      </w:r>
      <w:r w:rsidR="00240367">
        <w:rPr>
          <w:rFonts w:ascii="Arial" w:hAnsi="Arial" w:cs="Arial"/>
          <w:sz w:val="24"/>
          <w:szCs w:val="24"/>
        </w:rPr>
        <w:t xml:space="preserve">ccessing the </w:t>
      </w:r>
      <w:r w:rsidR="004557F7">
        <w:rPr>
          <w:rFonts w:ascii="Arial" w:hAnsi="Arial" w:cs="Arial"/>
          <w:sz w:val="24"/>
          <w:szCs w:val="24"/>
        </w:rPr>
        <w:t>S</w:t>
      </w:r>
      <w:r w:rsidR="00B14B89">
        <w:rPr>
          <w:rFonts w:ascii="Arial" w:hAnsi="Arial" w:cs="Arial"/>
          <w:sz w:val="24"/>
          <w:szCs w:val="24"/>
        </w:rPr>
        <w:t>election Questionnaire (S</w:t>
      </w:r>
      <w:r w:rsidR="004557F7">
        <w:rPr>
          <w:rFonts w:ascii="Arial" w:hAnsi="Arial" w:cs="Arial"/>
          <w:sz w:val="24"/>
          <w:szCs w:val="24"/>
        </w:rPr>
        <w:t>Q</w:t>
      </w:r>
      <w:r w:rsidR="00B14B89">
        <w:rPr>
          <w:rFonts w:ascii="Arial" w:hAnsi="Arial" w:cs="Arial"/>
          <w:sz w:val="24"/>
          <w:szCs w:val="24"/>
        </w:rPr>
        <w:t>)</w:t>
      </w:r>
      <w:r w:rsidR="00240367">
        <w:rPr>
          <w:rFonts w:ascii="Arial" w:hAnsi="Arial" w:cs="Arial"/>
          <w:sz w:val="24"/>
          <w:szCs w:val="24"/>
        </w:rPr>
        <w:t xml:space="preserve"> via the FCO’s Jaggaer </w:t>
      </w:r>
      <w:r w:rsidR="00966229">
        <w:rPr>
          <w:rFonts w:ascii="Arial" w:hAnsi="Arial" w:cs="Arial"/>
          <w:sz w:val="24"/>
          <w:szCs w:val="24"/>
        </w:rPr>
        <w:t xml:space="preserve">e-sourcing </w:t>
      </w:r>
      <w:r w:rsidR="00240367">
        <w:rPr>
          <w:rFonts w:ascii="Arial" w:hAnsi="Arial" w:cs="Arial"/>
          <w:sz w:val="24"/>
          <w:szCs w:val="24"/>
        </w:rPr>
        <w:t>portal</w:t>
      </w:r>
      <w:r w:rsidR="00BC016A">
        <w:rPr>
          <w:rFonts w:ascii="Arial" w:hAnsi="Arial" w:cs="Arial"/>
          <w:sz w:val="24"/>
          <w:szCs w:val="24"/>
        </w:rPr>
        <w:t>;</w:t>
      </w:r>
    </w:p>
    <w:p w14:paraId="6B70E0E0" w14:textId="79A6164A" w:rsidR="00240367" w:rsidRDefault="00426145" w:rsidP="00685F4E">
      <w:pPr>
        <w:pStyle w:val="ListParagraph"/>
        <w:numPr>
          <w:ilvl w:val="0"/>
          <w:numId w:val="5"/>
        </w:numPr>
        <w:rPr>
          <w:rFonts w:ascii="Arial" w:hAnsi="Arial" w:cs="Arial"/>
          <w:sz w:val="24"/>
          <w:szCs w:val="24"/>
        </w:rPr>
      </w:pPr>
      <w:r>
        <w:rPr>
          <w:rFonts w:ascii="Arial" w:hAnsi="Arial" w:cs="Arial"/>
          <w:sz w:val="24"/>
          <w:szCs w:val="24"/>
        </w:rPr>
        <w:t>T</w:t>
      </w:r>
      <w:r w:rsidR="00B14B89">
        <w:rPr>
          <w:rFonts w:ascii="Arial" w:hAnsi="Arial" w:cs="Arial"/>
          <w:sz w:val="24"/>
          <w:szCs w:val="24"/>
        </w:rPr>
        <w:t>he selection criteria that will be used at the primary shortlisting stage for the Procurement</w:t>
      </w:r>
      <w:r w:rsidR="00240367">
        <w:rPr>
          <w:rFonts w:ascii="Arial" w:hAnsi="Arial" w:cs="Arial"/>
          <w:sz w:val="24"/>
          <w:szCs w:val="24"/>
        </w:rPr>
        <w:t>; and</w:t>
      </w:r>
    </w:p>
    <w:p w14:paraId="646FD70D" w14:textId="22FD325E" w:rsidR="00240367" w:rsidRDefault="00426145" w:rsidP="00685F4E">
      <w:pPr>
        <w:pStyle w:val="ListParagraph"/>
        <w:numPr>
          <w:ilvl w:val="0"/>
          <w:numId w:val="5"/>
        </w:numPr>
        <w:rPr>
          <w:rFonts w:ascii="Arial" w:hAnsi="Arial" w:cs="Arial"/>
          <w:sz w:val="24"/>
          <w:szCs w:val="24"/>
        </w:rPr>
      </w:pPr>
      <w:r>
        <w:rPr>
          <w:rFonts w:ascii="Arial" w:hAnsi="Arial" w:cs="Arial"/>
          <w:sz w:val="24"/>
          <w:szCs w:val="24"/>
        </w:rPr>
        <w:t>W</w:t>
      </w:r>
      <w:r w:rsidR="00240367" w:rsidRPr="005019A3">
        <w:rPr>
          <w:rFonts w:ascii="Arial" w:hAnsi="Arial" w:cs="Arial"/>
          <w:sz w:val="24"/>
          <w:szCs w:val="24"/>
        </w:rPr>
        <w:t>orking with the FCO.</w:t>
      </w:r>
    </w:p>
    <w:p w14:paraId="117BC66F" w14:textId="5A1F2336" w:rsidR="00D429D0" w:rsidRPr="00D429D0" w:rsidRDefault="00D429D0" w:rsidP="00685F4E">
      <w:pPr>
        <w:spacing w:after="120"/>
        <w:rPr>
          <w:rFonts w:ascii="Arial" w:hAnsi="Arial" w:cs="Arial"/>
          <w:sz w:val="24"/>
          <w:szCs w:val="24"/>
          <w:u w:val="single"/>
        </w:rPr>
      </w:pPr>
      <w:r w:rsidRPr="00D429D0">
        <w:rPr>
          <w:rFonts w:ascii="Arial" w:hAnsi="Arial" w:cs="Arial"/>
          <w:sz w:val="24"/>
          <w:szCs w:val="24"/>
          <w:u w:val="single"/>
        </w:rPr>
        <w:t>Important information:</w:t>
      </w:r>
    </w:p>
    <w:p w14:paraId="3199FA4C" w14:textId="4516A9C5" w:rsidR="00240367" w:rsidRDefault="00240367" w:rsidP="00685F4E">
      <w:pPr>
        <w:spacing w:after="120"/>
        <w:rPr>
          <w:rFonts w:ascii="Arial" w:hAnsi="Arial" w:cs="Arial"/>
          <w:sz w:val="24"/>
          <w:szCs w:val="24"/>
        </w:rPr>
      </w:pPr>
      <w:r>
        <w:rPr>
          <w:rFonts w:ascii="Arial" w:hAnsi="Arial" w:cs="Arial"/>
          <w:sz w:val="24"/>
          <w:szCs w:val="24"/>
        </w:rPr>
        <w:t>Key actions for organisation</w:t>
      </w:r>
      <w:r w:rsidR="00966229">
        <w:rPr>
          <w:rFonts w:ascii="Arial" w:hAnsi="Arial" w:cs="Arial"/>
          <w:sz w:val="24"/>
          <w:szCs w:val="24"/>
        </w:rPr>
        <w:t>s</w:t>
      </w:r>
      <w:r w:rsidR="004557F7">
        <w:rPr>
          <w:rFonts w:ascii="Arial" w:hAnsi="Arial" w:cs="Arial"/>
          <w:sz w:val="24"/>
          <w:szCs w:val="24"/>
        </w:rPr>
        <w:t xml:space="preserve"> wishing to t</w:t>
      </w:r>
      <w:r>
        <w:rPr>
          <w:rFonts w:ascii="Arial" w:hAnsi="Arial" w:cs="Arial"/>
          <w:sz w:val="24"/>
          <w:szCs w:val="24"/>
        </w:rPr>
        <w:t xml:space="preserve">ender for this opportunity are: </w:t>
      </w:r>
    </w:p>
    <w:p w14:paraId="7B23F0A6" w14:textId="10FDB074" w:rsidR="00240367" w:rsidRDefault="00240367" w:rsidP="00685F4E">
      <w:pPr>
        <w:pStyle w:val="ListParagraph"/>
        <w:numPr>
          <w:ilvl w:val="0"/>
          <w:numId w:val="6"/>
        </w:numPr>
        <w:spacing w:after="120"/>
        <w:rPr>
          <w:rFonts w:ascii="Arial" w:hAnsi="Arial" w:cs="Arial"/>
          <w:sz w:val="24"/>
          <w:szCs w:val="24"/>
        </w:rPr>
      </w:pPr>
      <w:r>
        <w:rPr>
          <w:rFonts w:ascii="Arial" w:hAnsi="Arial" w:cs="Arial"/>
          <w:sz w:val="24"/>
          <w:szCs w:val="24"/>
        </w:rPr>
        <w:t>Read and understand the FCO’s requirements, as set out</w:t>
      </w:r>
      <w:r w:rsidR="00F706BD">
        <w:rPr>
          <w:rFonts w:ascii="Arial" w:hAnsi="Arial" w:cs="Arial"/>
          <w:sz w:val="24"/>
          <w:szCs w:val="24"/>
        </w:rPr>
        <w:t xml:space="preserve"> in sections 2-6;</w:t>
      </w:r>
      <w:r>
        <w:rPr>
          <w:rFonts w:ascii="Arial" w:hAnsi="Arial" w:cs="Arial"/>
          <w:sz w:val="24"/>
          <w:szCs w:val="24"/>
        </w:rPr>
        <w:t xml:space="preserve"> </w:t>
      </w:r>
    </w:p>
    <w:p w14:paraId="2CD4159B" w14:textId="3CE61838" w:rsidR="00240367" w:rsidRDefault="00240367" w:rsidP="00685F4E">
      <w:pPr>
        <w:pStyle w:val="ListParagraph"/>
        <w:numPr>
          <w:ilvl w:val="0"/>
          <w:numId w:val="6"/>
        </w:numPr>
        <w:rPr>
          <w:rFonts w:ascii="Arial" w:hAnsi="Arial" w:cs="Arial"/>
          <w:sz w:val="24"/>
          <w:szCs w:val="24"/>
        </w:rPr>
      </w:pPr>
      <w:r>
        <w:rPr>
          <w:rFonts w:ascii="Arial" w:hAnsi="Arial" w:cs="Arial"/>
          <w:sz w:val="24"/>
          <w:szCs w:val="24"/>
        </w:rPr>
        <w:t>Follow the instructions for acces</w:t>
      </w:r>
      <w:r w:rsidR="00B114BD">
        <w:rPr>
          <w:rFonts w:ascii="Arial" w:hAnsi="Arial" w:cs="Arial"/>
          <w:sz w:val="24"/>
          <w:szCs w:val="24"/>
        </w:rPr>
        <w:t xml:space="preserve">sing the SQ, </w:t>
      </w:r>
      <w:r w:rsidR="00966229">
        <w:rPr>
          <w:rFonts w:ascii="Arial" w:hAnsi="Arial" w:cs="Arial"/>
          <w:sz w:val="24"/>
          <w:szCs w:val="24"/>
        </w:rPr>
        <w:t>provided</w:t>
      </w:r>
      <w:r w:rsidR="00F706BD">
        <w:rPr>
          <w:rFonts w:ascii="Arial" w:hAnsi="Arial" w:cs="Arial"/>
          <w:sz w:val="24"/>
          <w:szCs w:val="24"/>
        </w:rPr>
        <w:t xml:space="preserve"> in section 9;</w:t>
      </w:r>
    </w:p>
    <w:p w14:paraId="5F4D942D" w14:textId="03B2AC1F" w:rsidR="00240367" w:rsidRDefault="00240367" w:rsidP="00685F4E">
      <w:pPr>
        <w:pStyle w:val="ListParagraph"/>
        <w:numPr>
          <w:ilvl w:val="0"/>
          <w:numId w:val="6"/>
        </w:numPr>
        <w:rPr>
          <w:rFonts w:ascii="Arial" w:hAnsi="Arial" w:cs="Arial"/>
          <w:sz w:val="24"/>
          <w:szCs w:val="24"/>
        </w:rPr>
      </w:pPr>
      <w:r>
        <w:rPr>
          <w:rFonts w:ascii="Arial" w:hAnsi="Arial" w:cs="Arial"/>
          <w:sz w:val="24"/>
          <w:szCs w:val="24"/>
        </w:rPr>
        <w:t xml:space="preserve">Complete the online SQ and all accompanying documents on the Jaggaer portal, including providing necessary supporting information </w:t>
      </w:r>
      <w:r w:rsidR="00966229">
        <w:rPr>
          <w:rFonts w:ascii="Arial" w:hAnsi="Arial" w:cs="Arial"/>
          <w:sz w:val="24"/>
          <w:szCs w:val="24"/>
        </w:rPr>
        <w:t>(</w:t>
      </w:r>
      <w:r>
        <w:rPr>
          <w:rFonts w:ascii="Arial" w:hAnsi="Arial" w:cs="Arial"/>
          <w:sz w:val="24"/>
          <w:szCs w:val="24"/>
        </w:rPr>
        <w:t>as attachments</w:t>
      </w:r>
      <w:r w:rsidR="00966229">
        <w:rPr>
          <w:rFonts w:ascii="Arial" w:hAnsi="Arial" w:cs="Arial"/>
          <w:sz w:val="24"/>
          <w:szCs w:val="24"/>
        </w:rPr>
        <w:t>)</w:t>
      </w:r>
      <w:r w:rsidR="00F706BD">
        <w:rPr>
          <w:rFonts w:ascii="Arial" w:hAnsi="Arial" w:cs="Arial"/>
          <w:sz w:val="24"/>
          <w:szCs w:val="24"/>
        </w:rPr>
        <w:t xml:space="preserve"> where applicable; and</w:t>
      </w:r>
    </w:p>
    <w:p w14:paraId="3E3A7D61" w14:textId="77777777" w:rsidR="00240367" w:rsidRDefault="00240367" w:rsidP="00685F4E">
      <w:pPr>
        <w:pStyle w:val="ListParagraph"/>
        <w:numPr>
          <w:ilvl w:val="0"/>
          <w:numId w:val="6"/>
        </w:numPr>
        <w:rPr>
          <w:rFonts w:ascii="Arial" w:hAnsi="Arial" w:cs="Arial"/>
          <w:sz w:val="24"/>
          <w:szCs w:val="24"/>
        </w:rPr>
      </w:pPr>
      <w:r>
        <w:rPr>
          <w:rFonts w:ascii="Arial" w:hAnsi="Arial" w:cs="Arial"/>
          <w:sz w:val="24"/>
          <w:szCs w:val="24"/>
        </w:rPr>
        <w:t xml:space="preserve">Note the general requirements for working with the FCO in Appendix C. </w:t>
      </w:r>
    </w:p>
    <w:p w14:paraId="64E8D5D1" w14:textId="086206B1" w:rsidR="00240367" w:rsidRPr="0004056D" w:rsidRDefault="00E43201" w:rsidP="00685F4E">
      <w:pPr>
        <w:rPr>
          <w:rFonts w:ascii="Arial" w:hAnsi="Arial" w:cs="Arial"/>
          <w:b/>
          <w:sz w:val="24"/>
          <w:szCs w:val="24"/>
        </w:rPr>
      </w:pPr>
      <w:r w:rsidRPr="0004056D">
        <w:rPr>
          <w:rFonts w:ascii="Arial" w:hAnsi="Arial" w:cs="Arial"/>
          <w:b/>
          <w:sz w:val="24"/>
          <w:szCs w:val="24"/>
        </w:rPr>
        <w:t>All responses m</w:t>
      </w:r>
      <w:r w:rsidR="00F34333">
        <w:rPr>
          <w:rFonts w:ascii="Arial" w:hAnsi="Arial" w:cs="Arial"/>
          <w:b/>
          <w:sz w:val="24"/>
          <w:szCs w:val="24"/>
        </w:rPr>
        <w:t xml:space="preserve">ust be returned no later than </w:t>
      </w:r>
      <w:r w:rsidR="00F34333" w:rsidRPr="00376964">
        <w:rPr>
          <w:rFonts w:ascii="Arial" w:hAnsi="Arial" w:cs="Arial"/>
          <w:b/>
          <w:sz w:val="24"/>
          <w:szCs w:val="24"/>
        </w:rPr>
        <w:t>17</w:t>
      </w:r>
      <w:r w:rsidRPr="0004056D">
        <w:rPr>
          <w:rFonts w:ascii="Arial" w:hAnsi="Arial" w:cs="Arial"/>
          <w:b/>
          <w:sz w:val="24"/>
          <w:szCs w:val="24"/>
        </w:rPr>
        <w:t>:00hrs</w:t>
      </w:r>
      <w:r w:rsidR="005019A3">
        <w:rPr>
          <w:rFonts w:ascii="Arial" w:hAnsi="Arial" w:cs="Arial"/>
          <w:b/>
          <w:sz w:val="24"/>
          <w:szCs w:val="24"/>
        </w:rPr>
        <w:t xml:space="preserve"> (BST)</w:t>
      </w:r>
      <w:r w:rsidRPr="0004056D">
        <w:rPr>
          <w:rFonts w:ascii="Arial" w:hAnsi="Arial" w:cs="Arial"/>
          <w:b/>
          <w:sz w:val="24"/>
          <w:szCs w:val="24"/>
        </w:rPr>
        <w:t xml:space="preserve"> on </w:t>
      </w:r>
      <w:r w:rsidR="00DB4E5D">
        <w:rPr>
          <w:rFonts w:ascii="Arial" w:hAnsi="Arial" w:cs="Arial"/>
          <w:b/>
          <w:sz w:val="24"/>
          <w:szCs w:val="24"/>
        </w:rPr>
        <w:t>Monday 21</w:t>
      </w:r>
      <w:r w:rsidR="00DB4E5D" w:rsidRPr="00DB4E5D">
        <w:rPr>
          <w:rFonts w:ascii="Arial" w:hAnsi="Arial" w:cs="Arial"/>
          <w:b/>
          <w:sz w:val="24"/>
          <w:szCs w:val="24"/>
          <w:vertAlign w:val="superscript"/>
        </w:rPr>
        <w:t>st</w:t>
      </w:r>
      <w:r w:rsidRPr="00DB4E5D">
        <w:rPr>
          <w:rFonts w:ascii="Arial" w:hAnsi="Arial" w:cs="Arial"/>
          <w:b/>
          <w:sz w:val="24"/>
          <w:szCs w:val="24"/>
          <w:vertAlign w:val="superscript"/>
        </w:rPr>
        <w:t xml:space="preserve"> </w:t>
      </w:r>
      <w:r w:rsidRPr="0004056D">
        <w:rPr>
          <w:rFonts w:ascii="Arial" w:hAnsi="Arial" w:cs="Arial"/>
          <w:b/>
          <w:sz w:val="24"/>
          <w:szCs w:val="24"/>
        </w:rPr>
        <w:t xml:space="preserve">October 2019. </w:t>
      </w:r>
    </w:p>
    <w:p w14:paraId="535F9C20" w14:textId="77777777" w:rsidR="00E43201" w:rsidRDefault="00E43201" w:rsidP="00685F4E">
      <w:pPr>
        <w:spacing w:after="120"/>
        <w:rPr>
          <w:rFonts w:ascii="Arial" w:hAnsi="Arial" w:cs="Arial"/>
          <w:sz w:val="24"/>
          <w:szCs w:val="24"/>
        </w:rPr>
      </w:pPr>
      <w:r>
        <w:rPr>
          <w:rFonts w:ascii="Arial" w:hAnsi="Arial" w:cs="Arial"/>
          <w:sz w:val="24"/>
          <w:szCs w:val="24"/>
        </w:rPr>
        <w:t xml:space="preserve">Further details on the format of the </w:t>
      </w:r>
      <w:r w:rsidR="00B14B89">
        <w:rPr>
          <w:rFonts w:ascii="Arial" w:hAnsi="Arial" w:cs="Arial"/>
          <w:sz w:val="24"/>
          <w:szCs w:val="24"/>
        </w:rPr>
        <w:t xml:space="preserve">SQ </w:t>
      </w:r>
      <w:r>
        <w:rPr>
          <w:rFonts w:ascii="Arial" w:hAnsi="Arial" w:cs="Arial"/>
          <w:sz w:val="24"/>
          <w:szCs w:val="24"/>
        </w:rPr>
        <w:t>response req</w:t>
      </w:r>
      <w:r w:rsidR="00B114BD">
        <w:rPr>
          <w:rFonts w:ascii="Arial" w:hAnsi="Arial" w:cs="Arial"/>
          <w:sz w:val="24"/>
          <w:szCs w:val="24"/>
        </w:rPr>
        <w:t>uired are provided in section 8</w:t>
      </w:r>
      <w:r w:rsidR="007A0B52">
        <w:rPr>
          <w:rFonts w:ascii="Arial" w:hAnsi="Arial" w:cs="Arial"/>
          <w:sz w:val="24"/>
          <w:szCs w:val="24"/>
        </w:rPr>
        <w:t xml:space="preserve"> of this document.</w:t>
      </w:r>
    </w:p>
    <w:p w14:paraId="15F5525E" w14:textId="77777777" w:rsidR="00E43201" w:rsidRDefault="00B14B89" w:rsidP="00685F4E">
      <w:pPr>
        <w:spacing w:after="120"/>
        <w:rPr>
          <w:rFonts w:ascii="Arial" w:hAnsi="Arial" w:cs="Arial"/>
          <w:sz w:val="24"/>
          <w:szCs w:val="24"/>
        </w:rPr>
      </w:pPr>
      <w:r>
        <w:rPr>
          <w:rFonts w:ascii="Arial" w:hAnsi="Arial" w:cs="Arial"/>
          <w:sz w:val="24"/>
          <w:szCs w:val="24"/>
        </w:rPr>
        <w:t>All</w:t>
      </w:r>
      <w:r w:rsidR="00E43201">
        <w:rPr>
          <w:rFonts w:ascii="Arial" w:hAnsi="Arial" w:cs="Arial"/>
          <w:sz w:val="24"/>
          <w:szCs w:val="24"/>
        </w:rPr>
        <w:t xml:space="preserve"> enquiries relating to th</w:t>
      </w:r>
      <w:r>
        <w:rPr>
          <w:rFonts w:ascii="Arial" w:hAnsi="Arial" w:cs="Arial"/>
          <w:sz w:val="24"/>
          <w:szCs w:val="24"/>
        </w:rPr>
        <w:t xml:space="preserve">is Procurement (including </w:t>
      </w:r>
      <w:r w:rsidR="00E43201">
        <w:rPr>
          <w:rFonts w:ascii="Arial" w:hAnsi="Arial" w:cs="Arial"/>
          <w:sz w:val="24"/>
          <w:szCs w:val="24"/>
        </w:rPr>
        <w:t xml:space="preserve">completion of </w:t>
      </w:r>
      <w:r>
        <w:rPr>
          <w:rFonts w:ascii="Arial" w:hAnsi="Arial" w:cs="Arial"/>
          <w:sz w:val="24"/>
          <w:szCs w:val="24"/>
        </w:rPr>
        <w:t xml:space="preserve">SQ </w:t>
      </w:r>
      <w:r w:rsidR="00E43201">
        <w:rPr>
          <w:rFonts w:ascii="Arial" w:hAnsi="Arial" w:cs="Arial"/>
          <w:sz w:val="24"/>
          <w:szCs w:val="24"/>
        </w:rPr>
        <w:t>responses</w:t>
      </w:r>
      <w:r>
        <w:rPr>
          <w:rFonts w:ascii="Arial" w:hAnsi="Arial" w:cs="Arial"/>
          <w:sz w:val="24"/>
          <w:szCs w:val="24"/>
        </w:rPr>
        <w:t xml:space="preserve"> and </w:t>
      </w:r>
      <w:r w:rsidR="00E43201">
        <w:rPr>
          <w:rFonts w:ascii="Arial" w:hAnsi="Arial" w:cs="Arial"/>
          <w:sz w:val="24"/>
          <w:szCs w:val="24"/>
        </w:rPr>
        <w:t>requests for clarification</w:t>
      </w:r>
      <w:r>
        <w:rPr>
          <w:rFonts w:ascii="Arial" w:hAnsi="Arial" w:cs="Arial"/>
          <w:sz w:val="24"/>
          <w:szCs w:val="24"/>
        </w:rPr>
        <w:t>)</w:t>
      </w:r>
      <w:r w:rsidR="00E43201">
        <w:rPr>
          <w:rFonts w:ascii="Arial" w:hAnsi="Arial" w:cs="Arial"/>
          <w:sz w:val="24"/>
          <w:szCs w:val="24"/>
        </w:rPr>
        <w:t xml:space="preserve"> must be submitted through the Jaggaer portal. </w:t>
      </w:r>
    </w:p>
    <w:p w14:paraId="7F659259" w14:textId="77777777" w:rsidR="00E43201" w:rsidRDefault="00E43201" w:rsidP="00685F4E">
      <w:pPr>
        <w:spacing w:after="120"/>
        <w:rPr>
          <w:rFonts w:ascii="Arial" w:hAnsi="Arial" w:cs="Arial"/>
          <w:sz w:val="24"/>
          <w:szCs w:val="24"/>
        </w:rPr>
      </w:pPr>
      <w:r>
        <w:rPr>
          <w:rFonts w:ascii="Arial" w:hAnsi="Arial" w:cs="Arial"/>
          <w:sz w:val="24"/>
          <w:szCs w:val="24"/>
        </w:rPr>
        <w:t xml:space="preserve">Responses to </w:t>
      </w:r>
      <w:r w:rsidR="00EB131D">
        <w:rPr>
          <w:rFonts w:ascii="Arial" w:hAnsi="Arial" w:cs="Arial"/>
          <w:sz w:val="24"/>
          <w:szCs w:val="24"/>
        </w:rPr>
        <w:t xml:space="preserve">enquiries </w:t>
      </w:r>
      <w:r>
        <w:rPr>
          <w:rFonts w:ascii="Arial" w:hAnsi="Arial" w:cs="Arial"/>
          <w:sz w:val="24"/>
          <w:szCs w:val="24"/>
        </w:rPr>
        <w:t xml:space="preserve">and requests for clarification will be copied to all participating Tenderers, where appropriate. </w:t>
      </w:r>
      <w:r w:rsidR="00EB131D" w:rsidRPr="00B14B89">
        <w:rPr>
          <w:rFonts w:ascii="Arial" w:hAnsi="Arial" w:cs="Arial"/>
          <w:sz w:val="24"/>
          <w:szCs w:val="24"/>
        </w:rPr>
        <w:t xml:space="preserve">Tenderers </w:t>
      </w:r>
      <w:r w:rsidR="00EB131D">
        <w:rPr>
          <w:rFonts w:ascii="Arial" w:hAnsi="Arial" w:cs="Arial"/>
          <w:sz w:val="24"/>
          <w:szCs w:val="24"/>
        </w:rPr>
        <w:t xml:space="preserve">must </w:t>
      </w:r>
      <w:r w:rsidR="00EB131D" w:rsidRPr="00B14B89">
        <w:rPr>
          <w:rFonts w:ascii="Arial" w:hAnsi="Arial" w:cs="Arial"/>
          <w:sz w:val="24"/>
          <w:szCs w:val="24"/>
        </w:rPr>
        <w:t xml:space="preserve">clearly identify any </w:t>
      </w:r>
      <w:r w:rsidR="00EB131D">
        <w:rPr>
          <w:rFonts w:ascii="Arial" w:hAnsi="Arial" w:cs="Arial"/>
          <w:sz w:val="24"/>
          <w:szCs w:val="24"/>
        </w:rPr>
        <w:t xml:space="preserve">enquiries/requests for </w:t>
      </w:r>
      <w:r w:rsidR="00EB131D" w:rsidRPr="00B14B89">
        <w:rPr>
          <w:rFonts w:ascii="Arial" w:hAnsi="Arial" w:cs="Arial"/>
          <w:sz w:val="24"/>
          <w:szCs w:val="24"/>
        </w:rPr>
        <w:t>clarification</w:t>
      </w:r>
      <w:r w:rsidR="00EB131D">
        <w:rPr>
          <w:rFonts w:ascii="Arial" w:hAnsi="Arial" w:cs="Arial"/>
          <w:sz w:val="24"/>
          <w:szCs w:val="24"/>
        </w:rPr>
        <w:t xml:space="preserve"> which </w:t>
      </w:r>
      <w:r w:rsidR="00EB131D" w:rsidRPr="00B14B89">
        <w:rPr>
          <w:rFonts w:ascii="Arial" w:hAnsi="Arial" w:cs="Arial"/>
          <w:sz w:val="24"/>
          <w:szCs w:val="24"/>
        </w:rPr>
        <w:t>they consider are confidential.</w:t>
      </w:r>
      <w:r w:rsidR="00EB131D">
        <w:rPr>
          <w:rFonts w:ascii="Arial" w:hAnsi="Arial" w:cs="Arial"/>
          <w:sz w:val="24"/>
          <w:szCs w:val="24"/>
        </w:rPr>
        <w:t xml:space="preserve"> If the FCO disagrees with an assertion of confidentiality, the FCO will contact the relevant Tenderer and ask it whether it wishes to </w:t>
      </w:r>
      <w:r w:rsidR="00EB131D" w:rsidRPr="00362EFA">
        <w:rPr>
          <w:rFonts w:ascii="Arial" w:hAnsi="Arial" w:cs="Arial"/>
          <w:sz w:val="24"/>
          <w:szCs w:val="24"/>
        </w:rPr>
        <w:t xml:space="preserve">withdraw </w:t>
      </w:r>
      <w:r w:rsidR="00EB131D">
        <w:rPr>
          <w:rFonts w:ascii="Arial" w:hAnsi="Arial" w:cs="Arial"/>
          <w:sz w:val="24"/>
          <w:szCs w:val="24"/>
        </w:rPr>
        <w:t xml:space="preserve">the enquiry/request. </w:t>
      </w:r>
      <w:r w:rsidR="00EB131D" w:rsidRPr="00362EFA">
        <w:rPr>
          <w:rFonts w:ascii="Arial" w:hAnsi="Arial" w:cs="Arial"/>
          <w:sz w:val="24"/>
          <w:szCs w:val="24"/>
        </w:rPr>
        <w:t>I</w:t>
      </w:r>
      <w:r w:rsidR="00EB131D">
        <w:rPr>
          <w:rFonts w:ascii="Arial" w:hAnsi="Arial" w:cs="Arial"/>
          <w:sz w:val="24"/>
          <w:szCs w:val="24"/>
        </w:rPr>
        <w:t xml:space="preserve">f it is not </w:t>
      </w:r>
      <w:r w:rsidR="00EB131D">
        <w:rPr>
          <w:rFonts w:ascii="Arial" w:hAnsi="Arial" w:cs="Arial"/>
          <w:sz w:val="24"/>
          <w:szCs w:val="24"/>
        </w:rPr>
        <w:lastRenderedPageBreak/>
        <w:t xml:space="preserve">withdrawn the FCO will copy its response to all participating Tenderers in a </w:t>
      </w:r>
      <w:r w:rsidR="00EB131D" w:rsidRPr="00362EFA">
        <w:rPr>
          <w:rFonts w:ascii="Arial" w:hAnsi="Arial" w:cs="Arial"/>
          <w:sz w:val="24"/>
          <w:szCs w:val="24"/>
        </w:rPr>
        <w:t>suitably anonymous form</w:t>
      </w:r>
      <w:r w:rsidR="00EB131D">
        <w:rPr>
          <w:rFonts w:ascii="Arial" w:hAnsi="Arial" w:cs="Arial"/>
          <w:sz w:val="24"/>
          <w:szCs w:val="24"/>
        </w:rPr>
        <w:t>.</w:t>
      </w:r>
    </w:p>
    <w:p w14:paraId="76AC54FE" w14:textId="759FFA38" w:rsidR="007073C8" w:rsidRDefault="00E43201" w:rsidP="00685F4E">
      <w:pPr>
        <w:spacing w:after="120"/>
        <w:rPr>
          <w:rFonts w:ascii="Arial" w:hAnsi="Arial" w:cs="Arial"/>
          <w:sz w:val="24"/>
          <w:szCs w:val="24"/>
        </w:rPr>
      </w:pPr>
      <w:r>
        <w:rPr>
          <w:rFonts w:ascii="Arial" w:hAnsi="Arial" w:cs="Arial"/>
          <w:sz w:val="24"/>
          <w:szCs w:val="24"/>
        </w:rPr>
        <w:t xml:space="preserve">Whilst every effort has been made to ensure this Procurement Document is accurate, </w:t>
      </w:r>
      <w:r w:rsidR="003643D7">
        <w:rPr>
          <w:rFonts w:ascii="Arial" w:hAnsi="Arial" w:cs="Arial"/>
          <w:sz w:val="24"/>
          <w:szCs w:val="24"/>
        </w:rPr>
        <w:t>it</w:t>
      </w:r>
      <w:r w:rsidR="00D429D0">
        <w:rPr>
          <w:rFonts w:ascii="Arial" w:hAnsi="Arial" w:cs="Arial"/>
          <w:sz w:val="24"/>
          <w:szCs w:val="24"/>
        </w:rPr>
        <w:t xml:space="preserve"> is </w:t>
      </w:r>
      <w:r>
        <w:rPr>
          <w:rFonts w:ascii="Arial" w:hAnsi="Arial" w:cs="Arial"/>
          <w:sz w:val="24"/>
          <w:szCs w:val="24"/>
        </w:rPr>
        <w:t>provide</w:t>
      </w:r>
      <w:r w:rsidR="00D429D0">
        <w:rPr>
          <w:rFonts w:ascii="Arial" w:hAnsi="Arial" w:cs="Arial"/>
          <w:sz w:val="24"/>
          <w:szCs w:val="24"/>
        </w:rPr>
        <w:t>d for</w:t>
      </w:r>
      <w:r>
        <w:rPr>
          <w:rFonts w:ascii="Arial" w:hAnsi="Arial" w:cs="Arial"/>
          <w:sz w:val="24"/>
          <w:szCs w:val="24"/>
        </w:rPr>
        <w:t xml:space="preserve"> information only. The FCO, its employees, agents and advisors do not accept liability or responsibility for the accuracy or completeness of this Procurement Document</w:t>
      </w:r>
      <w:r w:rsidR="00F05500">
        <w:rPr>
          <w:rFonts w:ascii="Arial" w:hAnsi="Arial" w:cs="Arial"/>
          <w:sz w:val="24"/>
          <w:szCs w:val="24"/>
        </w:rPr>
        <w:t xml:space="preserve"> and information contained therein</w:t>
      </w:r>
      <w:r>
        <w:rPr>
          <w:rFonts w:ascii="Arial" w:hAnsi="Arial" w:cs="Arial"/>
          <w:sz w:val="24"/>
          <w:szCs w:val="24"/>
        </w:rPr>
        <w:t xml:space="preserve">. </w:t>
      </w:r>
    </w:p>
    <w:p w14:paraId="4C458D6F" w14:textId="77777777" w:rsidR="00727110" w:rsidRPr="006E1607" w:rsidRDefault="007073C8" w:rsidP="00685F4E">
      <w:pPr>
        <w:spacing w:after="160"/>
        <w:rPr>
          <w:rFonts w:ascii="Arial" w:hAnsi="Arial" w:cs="Arial"/>
          <w:sz w:val="24"/>
          <w:szCs w:val="24"/>
        </w:rPr>
      </w:pPr>
      <w:r>
        <w:rPr>
          <w:rFonts w:ascii="Arial" w:hAnsi="Arial" w:cs="Arial"/>
          <w:sz w:val="24"/>
          <w:szCs w:val="24"/>
        </w:rPr>
        <w:br w:type="page"/>
      </w:r>
    </w:p>
    <w:p w14:paraId="234FAA3A" w14:textId="77777777" w:rsidR="00E43201" w:rsidRDefault="00E43201" w:rsidP="00685F4E">
      <w:pPr>
        <w:pStyle w:val="ListParagraph"/>
        <w:numPr>
          <w:ilvl w:val="0"/>
          <w:numId w:val="3"/>
        </w:numPr>
        <w:spacing w:before="240"/>
        <w:ind w:hanging="720"/>
        <w:rPr>
          <w:rFonts w:ascii="Arial" w:hAnsi="Arial" w:cs="Arial"/>
          <w:b/>
          <w:sz w:val="24"/>
        </w:rPr>
      </w:pPr>
      <w:r>
        <w:rPr>
          <w:rFonts w:ascii="Arial" w:hAnsi="Arial" w:cs="Arial"/>
          <w:b/>
          <w:sz w:val="24"/>
        </w:rPr>
        <w:lastRenderedPageBreak/>
        <w:t>Introduction – The FCO</w:t>
      </w:r>
    </w:p>
    <w:p w14:paraId="424230D0" w14:textId="77777777" w:rsidR="00E43201" w:rsidRDefault="00E43201" w:rsidP="00685F4E">
      <w:pPr>
        <w:spacing w:after="120"/>
        <w:rPr>
          <w:rFonts w:ascii="Arial" w:hAnsi="Arial" w:cs="Arial"/>
          <w:sz w:val="24"/>
        </w:rPr>
      </w:pPr>
      <w:r>
        <w:rPr>
          <w:rFonts w:ascii="Arial" w:hAnsi="Arial" w:cs="Arial"/>
          <w:sz w:val="24"/>
        </w:rPr>
        <w:t>The FCO promotes the United Kingdom’s interests overseas, supporting our citizens and business</w:t>
      </w:r>
      <w:r w:rsidR="00966229">
        <w:rPr>
          <w:rFonts w:ascii="Arial" w:hAnsi="Arial" w:cs="Arial"/>
          <w:sz w:val="24"/>
        </w:rPr>
        <w:t>es</w:t>
      </w:r>
      <w:r>
        <w:rPr>
          <w:rFonts w:ascii="Arial" w:hAnsi="Arial" w:cs="Arial"/>
          <w:sz w:val="24"/>
        </w:rPr>
        <w:t xml:space="preserve"> around the globe. </w:t>
      </w:r>
    </w:p>
    <w:p w14:paraId="005768D1" w14:textId="77777777" w:rsidR="00E43201" w:rsidRDefault="00E43201" w:rsidP="00685F4E">
      <w:pPr>
        <w:spacing w:after="120"/>
        <w:rPr>
          <w:rFonts w:ascii="Arial" w:hAnsi="Arial" w:cs="Arial"/>
          <w:sz w:val="24"/>
        </w:rPr>
      </w:pPr>
      <w:r>
        <w:rPr>
          <w:rFonts w:ascii="Arial" w:hAnsi="Arial" w:cs="Arial"/>
          <w:sz w:val="24"/>
        </w:rPr>
        <w:t>As set out in the most recently published Single Department Plan</w:t>
      </w:r>
      <w:r>
        <w:rPr>
          <w:rStyle w:val="FootnoteReference"/>
          <w:rFonts w:ascii="Arial" w:hAnsi="Arial" w:cs="Arial"/>
          <w:sz w:val="24"/>
        </w:rPr>
        <w:footnoteReference w:id="2"/>
      </w:r>
      <w:r>
        <w:rPr>
          <w:rFonts w:ascii="Arial" w:hAnsi="Arial" w:cs="Arial"/>
          <w:sz w:val="24"/>
        </w:rPr>
        <w:t xml:space="preserve">, the FCO’s purpose and vision is to build a truly Global Britain, which is outward looking and confident on the world stage. The FCO is central to delivering a successful Global Britain. </w:t>
      </w:r>
    </w:p>
    <w:p w14:paraId="345CD7D1" w14:textId="77777777" w:rsidR="00E43201" w:rsidRDefault="00E43201" w:rsidP="00685F4E">
      <w:pPr>
        <w:spacing w:after="120"/>
        <w:rPr>
          <w:rFonts w:ascii="Arial" w:hAnsi="Arial" w:cs="Arial"/>
          <w:sz w:val="24"/>
        </w:rPr>
      </w:pPr>
      <w:r>
        <w:rPr>
          <w:rFonts w:ascii="Arial" w:hAnsi="Arial" w:cs="Arial"/>
          <w:sz w:val="24"/>
        </w:rPr>
        <w:t xml:space="preserve">Supporting this purpose and vision are a number of key departmental objectives: </w:t>
      </w:r>
    </w:p>
    <w:p w14:paraId="68D0481D" w14:textId="77777777" w:rsidR="00E43201" w:rsidRDefault="00E43201" w:rsidP="00685F4E">
      <w:pPr>
        <w:pStyle w:val="ListParagraph"/>
        <w:numPr>
          <w:ilvl w:val="0"/>
          <w:numId w:val="7"/>
        </w:numPr>
        <w:spacing w:after="120"/>
        <w:rPr>
          <w:rFonts w:ascii="Arial" w:hAnsi="Arial" w:cs="Arial"/>
          <w:sz w:val="24"/>
        </w:rPr>
      </w:pPr>
      <w:r>
        <w:rPr>
          <w:rFonts w:ascii="Arial" w:hAnsi="Arial" w:cs="Arial"/>
          <w:sz w:val="24"/>
        </w:rPr>
        <w:t>Protect our people</w:t>
      </w:r>
    </w:p>
    <w:p w14:paraId="196B6AF0" w14:textId="77777777" w:rsidR="00E43201" w:rsidRDefault="00E43201" w:rsidP="00685F4E">
      <w:pPr>
        <w:pStyle w:val="ListParagraph"/>
        <w:numPr>
          <w:ilvl w:val="0"/>
          <w:numId w:val="7"/>
        </w:numPr>
        <w:spacing w:after="120"/>
        <w:rPr>
          <w:rFonts w:ascii="Arial" w:hAnsi="Arial" w:cs="Arial"/>
          <w:sz w:val="24"/>
        </w:rPr>
      </w:pPr>
      <w:r>
        <w:rPr>
          <w:rFonts w:ascii="Arial" w:hAnsi="Arial" w:cs="Arial"/>
          <w:sz w:val="24"/>
        </w:rPr>
        <w:t>Project our global influence</w:t>
      </w:r>
    </w:p>
    <w:p w14:paraId="48F229F7" w14:textId="77777777" w:rsidR="00604B4E" w:rsidRDefault="00E43201" w:rsidP="00685F4E">
      <w:pPr>
        <w:pStyle w:val="ListParagraph"/>
        <w:numPr>
          <w:ilvl w:val="0"/>
          <w:numId w:val="7"/>
        </w:numPr>
        <w:spacing w:after="120"/>
        <w:rPr>
          <w:rFonts w:ascii="Arial" w:hAnsi="Arial" w:cs="Arial"/>
          <w:sz w:val="24"/>
        </w:rPr>
      </w:pPr>
      <w:r>
        <w:rPr>
          <w:rFonts w:ascii="Arial" w:hAnsi="Arial" w:cs="Arial"/>
          <w:sz w:val="24"/>
        </w:rPr>
        <w:t>Promote our prosperity</w:t>
      </w:r>
    </w:p>
    <w:p w14:paraId="0D40CC17" w14:textId="77777777" w:rsidR="00604B4E" w:rsidRPr="003D63B0" w:rsidRDefault="00E43201" w:rsidP="00685F4E">
      <w:pPr>
        <w:pStyle w:val="ListParagraph"/>
        <w:numPr>
          <w:ilvl w:val="0"/>
          <w:numId w:val="7"/>
        </w:numPr>
        <w:spacing w:after="120"/>
        <w:rPr>
          <w:rFonts w:ascii="Arial" w:hAnsi="Arial" w:cs="Arial"/>
          <w:sz w:val="24"/>
        </w:rPr>
      </w:pPr>
      <w:r w:rsidRPr="003D63B0">
        <w:rPr>
          <w:rFonts w:ascii="Arial" w:hAnsi="Arial" w:cs="Arial"/>
          <w:sz w:val="24"/>
        </w:rPr>
        <w:t>Manage our business</w:t>
      </w:r>
    </w:p>
    <w:p w14:paraId="09E23C4A" w14:textId="77777777" w:rsidR="005E5AFF" w:rsidRDefault="00E43201" w:rsidP="00685F4E">
      <w:pPr>
        <w:spacing w:after="120"/>
        <w:rPr>
          <w:rFonts w:ascii="Arial" w:hAnsi="Arial" w:cs="Arial"/>
          <w:sz w:val="24"/>
        </w:rPr>
      </w:pPr>
      <w:r>
        <w:rPr>
          <w:rFonts w:ascii="Arial" w:hAnsi="Arial" w:cs="Arial"/>
          <w:sz w:val="24"/>
        </w:rPr>
        <w:t xml:space="preserve">The FCO’s global estate totals </w:t>
      </w:r>
      <w:r w:rsidR="00966229">
        <w:rPr>
          <w:rFonts w:ascii="Arial" w:hAnsi="Arial" w:cs="Arial"/>
          <w:sz w:val="24"/>
        </w:rPr>
        <w:t xml:space="preserve">approximately </w:t>
      </w:r>
      <w:r>
        <w:rPr>
          <w:rFonts w:ascii="Arial" w:hAnsi="Arial" w:cs="Arial"/>
          <w:sz w:val="24"/>
        </w:rPr>
        <w:t>5,400 properties and comprises a diverse range of assets that include</w:t>
      </w:r>
      <w:r w:rsidR="005E5AFF">
        <w:rPr>
          <w:rFonts w:ascii="Arial" w:hAnsi="Arial" w:cs="Arial"/>
          <w:sz w:val="24"/>
        </w:rPr>
        <w:t>:</w:t>
      </w:r>
    </w:p>
    <w:p w14:paraId="472FA39F" w14:textId="4ADF30B0" w:rsidR="00E43201" w:rsidRDefault="005E5AFF" w:rsidP="00685F4E">
      <w:pPr>
        <w:pStyle w:val="ListParagraph"/>
        <w:numPr>
          <w:ilvl w:val="0"/>
          <w:numId w:val="8"/>
        </w:numPr>
        <w:spacing w:after="120"/>
        <w:rPr>
          <w:rFonts w:ascii="Arial" w:hAnsi="Arial" w:cs="Arial"/>
          <w:sz w:val="24"/>
        </w:rPr>
      </w:pPr>
      <w:r>
        <w:rPr>
          <w:rFonts w:ascii="Arial" w:hAnsi="Arial" w:cs="Arial"/>
          <w:sz w:val="24"/>
        </w:rPr>
        <w:t>O</w:t>
      </w:r>
      <w:r w:rsidR="00E43201" w:rsidRPr="005E5AFF">
        <w:rPr>
          <w:rFonts w:ascii="Arial" w:hAnsi="Arial" w:cs="Arial"/>
          <w:sz w:val="24"/>
        </w:rPr>
        <w:t>ffice properties (</w:t>
      </w:r>
      <w:r w:rsidR="00F706BD">
        <w:rPr>
          <w:rFonts w:ascii="Arial" w:hAnsi="Arial" w:cs="Arial"/>
          <w:sz w:val="24"/>
        </w:rPr>
        <w:t>Embassies, High Commissions, C</w:t>
      </w:r>
      <w:r>
        <w:rPr>
          <w:rFonts w:ascii="Arial" w:hAnsi="Arial" w:cs="Arial"/>
          <w:sz w:val="24"/>
        </w:rPr>
        <w:t>onsulates);</w:t>
      </w:r>
    </w:p>
    <w:p w14:paraId="09A4E235" w14:textId="77777777" w:rsidR="005E5AFF" w:rsidRDefault="005E5AFF" w:rsidP="00685F4E">
      <w:pPr>
        <w:pStyle w:val="ListParagraph"/>
        <w:numPr>
          <w:ilvl w:val="0"/>
          <w:numId w:val="8"/>
        </w:numPr>
        <w:spacing w:after="120"/>
        <w:rPr>
          <w:rFonts w:ascii="Arial" w:hAnsi="Arial" w:cs="Arial"/>
          <w:sz w:val="24"/>
        </w:rPr>
      </w:pPr>
      <w:r>
        <w:rPr>
          <w:rFonts w:ascii="Arial" w:hAnsi="Arial" w:cs="Arial"/>
          <w:sz w:val="24"/>
        </w:rPr>
        <w:t xml:space="preserve">Representational properties (Official Residences and staff residential property occupied by those with representational functions within their roles); </w:t>
      </w:r>
    </w:p>
    <w:p w14:paraId="1586BDC2" w14:textId="2234A69B" w:rsidR="005E5AFF" w:rsidRDefault="005E5AFF" w:rsidP="00685F4E">
      <w:pPr>
        <w:pStyle w:val="ListParagraph"/>
        <w:numPr>
          <w:ilvl w:val="0"/>
          <w:numId w:val="8"/>
        </w:numPr>
        <w:spacing w:after="120"/>
        <w:rPr>
          <w:rFonts w:ascii="Arial" w:hAnsi="Arial" w:cs="Arial"/>
          <w:sz w:val="24"/>
        </w:rPr>
      </w:pPr>
      <w:r>
        <w:rPr>
          <w:rFonts w:ascii="Arial" w:hAnsi="Arial" w:cs="Arial"/>
          <w:sz w:val="24"/>
        </w:rPr>
        <w:t>Staff residential accommodation (owned and leased accommodation for FCO staff and</w:t>
      </w:r>
      <w:r w:rsidR="00955B98">
        <w:rPr>
          <w:rFonts w:ascii="Arial" w:hAnsi="Arial" w:cs="Arial"/>
          <w:sz w:val="24"/>
        </w:rPr>
        <w:t xml:space="preserve"> the staff of One HMG Partners A</w:t>
      </w:r>
      <w:r>
        <w:rPr>
          <w:rFonts w:ascii="Arial" w:hAnsi="Arial" w:cs="Arial"/>
          <w:sz w:val="24"/>
        </w:rPr>
        <w:t>cross Government (PAGs) posted overseas); and</w:t>
      </w:r>
    </w:p>
    <w:p w14:paraId="6D2A7F49" w14:textId="08E6EA7F" w:rsidR="005E5AFF" w:rsidRDefault="005E5AFF" w:rsidP="00685F4E">
      <w:pPr>
        <w:pStyle w:val="ListParagraph"/>
        <w:numPr>
          <w:ilvl w:val="0"/>
          <w:numId w:val="8"/>
        </w:numPr>
        <w:spacing w:after="120"/>
        <w:rPr>
          <w:rFonts w:ascii="Arial" w:hAnsi="Arial" w:cs="Arial"/>
          <w:sz w:val="24"/>
        </w:rPr>
      </w:pPr>
      <w:r>
        <w:rPr>
          <w:rFonts w:ascii="Arial" w:hAnsi="Arial" w:cs="Arial"/>
          <w:sz w:val="24"/>
        </w:rPr>
        <w:t>Other supporting properties (stores, parking</w:t>
      </w:r>
      <w:r w:rsidR="00955B98">
        <w:rPr>
          <w:rFonts w:ascii="Arial" w:hAnsi="Arial" w:cs="Arial"/>
          <w:sz w:val="24"/>
        </w:rPr>
        <w:t>,</w:t>
      </w:r>
      <w:r>
        <w:rPr>
          <w:rFonts w:ascii="Arial" w:hAnsi="Arial" w:cs="Arial"/>
          <w:sz w:val="24"/>
        </w:rPr>
        <w:t xml:space="preserve"> etc.)</w:t>
      </w:r>
    </w:p>
    <w:p w14:paraId="1261FC1F" w14:textId="77777777" w:rsidR="005E5AFF" w:rsidRDefault="005E5AFF" w:rsidP="00685F4E">
      <w:pPr>
        <w:spacing w:after="120"/>
        <w:rPr>
          <w:rFonts w:ascii="Arial" w:hAnsi="Arial" w:cs="Arial"/>
          <w:sz w:val="24"/>
        </w:rPr>
      </w:pPr>
      <w:r>
        <w:rPr>
          <w:rFonts w:ascii="Arial" w:hAnsi="Arial" w:cs="Arial"/>
          <w:sz w:val="24"/>
        </w:rPr>
        <w:t xml:space="preserve">The annual category spend on FM and related services is in excess of £152m. </w:t>
      </w:r>
      <w:r w:rsidRPr="005019A3">
        <w:rPr>
          <w:rFonts w:ascii="Arial" w:hAnsi="Arial" w:cs="Arial"/>
          <w:sz w:val="24"/>
        </w:rPr>
        <w:t>This includes in-house locally engaged (LE) staff delivering these services.</w:t>
      </w:r>
      <w:r>
        <w:rPr>
          <w:rFonts w:ascii="Arial" w:hAnsi="Arial" w:cs="Arial"/>
          <w:sz w:val="24"/>
        </w:rPr>
        <w:t xml:space="preserve"> </w:t>
      </w:r>
    </w:p>
    <w:p w14:paraId="5411FA9E" w14:textId="2953106E" w:rsidR="005E5AFF" w:rsidRDefault="005E5AFF" w:rsidP="00685F4E">
      <w:pPr>
        <w:spacing w:after="120"/>
        <w:rPr>
          <w:rFonts w:ascii="Arial" w:hAnsi="Arial" w:cs="Arial"/>
          <w:sz w:val="24"/>
        </w:rPr>
      </w:pPr>
      <w:r>
        <w:rPr>
          <w:rFonts w:ascii="Arial" w:hAnsi="Arial" w:cs="Arial"/>
          <w:sz w:val="24"/>
        </w:rPr>
        <w:t xml:space="preserve">FM services are currently delivered across FCO </w:t>
      </w:r>
      <w:r w:rsidR="00432AC7">
        <w:rPr>
          <w:rFonts w:ascii="Arial" w:hAnsi="Arial" w:cs="Arial"/>
          <w:sz w:val="24"/>
        </w:rPr>
        <w:t>locations (Posts)</w:t>
      </w:r>
      <w:r>
        <w:rPr>
          <w:rFonts w:ascii="Arial" w:hAnsi="Arial" w:cs="Arial"/>
          <w:sz w:val="24"/>
        </w:rPr>
        <w:t xml:space="preserve"> through a range of delivery models. There are currently two regional integrated FM contracts, with single suppliers, in Asia Pacific and Europe, together accounting for 27.8% of global spend (c</w:t>
      </w:r>
      <w:r w:rsidR="00955B98">
        <w:rPr>
          <w:rFonts w:ascii="Arial" w:hAnsi="Arial" w:cs="Arial"/>
          <w:sz w:val="24"/>
        </w:rPr>
        <w:t xml:space="preserve">. </w:t>
      </w:r>
      <w:r>
        <w:rPr>
          <w:rFonts w:ascii="Arial" w:hAnsi="Arial" w:cs="Arial"/>
          <w:sz w:val="24"/>
        </w:rPr>
        <w:t xml:space="preserve">£42m per annum). Intelligent Client contract management is provided by a specialist, professional FM Client Unit (FMCU). </w:t>
      </w:r>
    </w:p>
    <w:p w14:paraId="50C85291" w14:textId="77777777" w:rsidR="005E5AFF" w:rsidRDefault="005E5AFF" w:rsidP="00685F4E">
      <w:pPr>
        <w:spacing w:after="120"/>
        <w:rPr>
          <w:rFonts w:ascii="Arial" w:hAnsi="Arial" w:cs="Arial"/>
          <w:sz w:val="24"/>
        </w:rPr>
      </w:pPr>
      <w:r>
        <w:rPr>
          <w:rFonts w:ascii="Arial" w:hAnsi="Arial" w:cs="Arial"/>
          <w:sz w:val="24"/>
        </w:rPr>
        <w:t xml:space="preserve">In the rest of Posts, mixed economy models are used, including: </w:t>
      </w:r>
    </w:p>
    <w:p w14:paraId="30147658" w14:textId="77777777" w:rsidR="005E5AFF" w:rsidRDefault="005E5AFF" w:rsidP="00685F4E">
      <w:pPr>
        <w:pStyle w:val="ListParagraph"/>
        <w:numPr>
          <w:ilvl w:val="0"/>
          <w:numId w:val="9"/>
        </w:numPr>
        <w:spacing w:after="120"/>
        <w:rPr>
          <w:rFonts w:ascii="Arial" w:hAnsi="Arial" w:cs="Arial"/>
          <w:sz w:val="24"/>
        </w:rPr>
      </w:pPr>
      <w:r>
        <w:rPr>
          <w:rFonts w:ascii="Arial" w:hAnsi="Arial" w:cs="Arial"/>
          <w:sz w:val="24"/>
        </w:rPr>
        <w:t>The out-tasking of specific services (cleaning, specialist maintenance) through single-service line contracts in single countries;</w:t>
      </w:r>
    </w:p>
    <w:p w14:paraId="1C0CD680" w14:textId="77777777" w:rsidR="005E5AFF" w:rsidRDefault="00826613" w:rsidP="00685F4E">
      <w:pPr>
        <w:pStyle w:val="ListParagraph"/>
        <w:numPr>
          <w:ilvl w:val="0"/>
          <w:numId w:val="9"/>
        </w:numPr>
        <w:spacing w:after="120"/>
        <w:rPr>
          <w:rFonts w:ascii="Arial" w:hAnsi="Arial" w:cs="Arial"/>
          <w:sz w:val="24"/>
        </w:rPr>
      </w:pPr>
      <w:r>
        <w:rPr>
          <w:rFonts w:ascii="Arial" w:hAnsi="Arial" w:cs="Arial"/>
          <w:sz w:val="24"/>
        </w:rPr>
        <w:t>D</w:t>
      </w:r>
      <w:r w:rsidR="005E5AFF">
        <w:rPr>
          <w:rFonts w:ascii="Arial" w:hAnsi="Arial" w:cs="Arial"/>
          <w:sz w:val="24"/>
        </w:rPr>
        <w:t>irect delivery of FM services through LE staff and ‘handypersons’</w:t>
      </w:r>
      <w:r w:rsidR="00013115">
        <w:rPr>
          <w:rFonts w:ascii="Arial" w:hAnsi="Arial" w:cs="Arial"/>
          <w:sz w:val="24"/>
        </w:rPr>
        <w:t xml:space="preserve">; and </w:t>
      </w:r>
    </w:p>
    <w:p w14:paraId="72774D80" w14:textId="128EC2A2" w:rsidR="0082387C" w:rsidRDefault="00013115" w:rsidP="00685F4E">
      <w:pPr>
        <w:pStyle w:val="ListParagraph"/>
        <w:numPr>
          <w:ilvl w:val="0"/>
          <w:numId w:val="9"/>
        </w:numPr>
        <w:spacing w:after="120"/>
        <w:rPr>
          <w:rFonts w:ascii="Arial" w:hAnsi="Arial" w:cs="Arial"/>
          <w:sz w:val="24"/>
        </w:rPr>
      </w:pPr>
      <w:r>
        <w:rPr>
          <w:rFonts w:ascii="Arial" w:hAnsi="Arial" w:cs="Arial"/>
          <w:sz w:val="24"/>
        </w:rPr>
        <w:lastRenderedPageBreak/>
        <w:t>Assurance of Health and Safety procedures delivered to the FMCU by FCO Services (a FCO owned commercial trading fund) and delivered through a network of Technical Works Officers (TWOs) and Sup</w:t>
      </w:r>
      <w:r w:rsidR="0082387C">
        <w:rPr>
          <w:rFonts w:ascii="Arial" w:hAnsi="Arial" w:cs="Arial"/>
          <w:sz w:val="24"/>
        </w:rPr>
        <w:t>ervisors (TWSs); and</w:t>
      </w:r>
    </w:p>
    <w:p w14:paraId="6001D4A8" w14:textId="3A5CF39A" w:rsidR="00013115" w:rsidRPr="0082387C" w:rsidRDefault="00013115" w:rsidP="00685F4E">
      <w:pPr>
        <w:pStyle w:val="ListParagraph"/>
        <w:numPr>
          <w:ilvl w:val="0"/>
          <w:numId w:val="9"/>
        </w:numPr>
        <w:spacing w:after="120"/>
        <w:rPr>
          <w:rFonts w:ascii="Arial" w:hAnsi="Arial" w:cs="Arial"/>
          <w:sz w:val="24"/>
        </w:rPr>
      </w:pPr>
      <w:r w:rsidRPr="0082387C">
        <w:rPr>
          <w:rFonts w:ascii="Arial" w:hAnsi="Arial" w:cs="Arial"/>
          <w:sz w:val="24"/>
        </w:rPr>
        <w:t xml:space="preserve">Management of </w:t>
      </w:r>
      <w:r w:rsidR="0082387C">
        <w:rPr>
          <w:rFonts w:ascii="Arial" w:hAnsi="Arial" w:cs="Arial"/>
          <w:sz w:val="24"/>
        </w:rPr>
        <w:t>the above</w:t>
      </w:r>
      <w:r w:rsidRPr="0082387C">
        <w:rPr>
          <w:rFonts w:ascii="Arial" w:hAnsi="Arial" w:cs="Arial"/>
          <w:sz w:val="24"/>
        </w:rPr>
        <w:t xml:space="preserve"> services is undertaken locally through Corporate Services Teams</w:t>
      </w:r>
      <w:r w:rsidR="00061815" w:rsidRPr="0082387C">
        <w:rPr>
          <w:rFonts w:ascii="Arial" w:hAnsi="Arial" w:cs="Arial"/>
          <w:sz w:val="24"/>
        </w:rPr>
        <w:t xml:space="preserve"> responsible for the corporate operations of each Post</w:t>
      </w:r>
      <w:r w:rsidRPr="0082387C">
        <w:rPr>
          <w:rFonts w:ascii="Arial" w:hAnsi="Arial" w:cs="Arial"/>
          <w:sz w:val="24"/>
        </w:rPr>
        <w:t xml:space="preserve">. </w:t>
      </w:r>
    </w:p>
    <w:p w14:paraId="41481BCE" w14:textId="77777777" w:rsidR="00013115" w:rsidRDefault="00480C8F" w:rsidP="00685F4E">
      <w:pPr>
        <w:spacing w:after="120"/>
        <w:rPr>
          <w:rFonts w:ascii="Arial" w:hAnsi="Arial" w:cs="Arial"/>
          <w:sz w:val="24"/>
        </w:rPr>
      </w:pPr>
      <w:r>
        <w:rPr>
          <w:rFonts w:ascii="Arial" w:hAnsi="Arial" w:cs="Arial"/>
          <w:sz w:val="24"/>
        </w:rPr>
        <w:t xml:space="preserve">The FCO’s first regional contract in the UK and Europe is now in its second generation, and was re-procured utilising the Crown Commercial Service FM Framework. The new contract, with Interserve, was signed in July 2018 and went live in December 2018. </w:t>
      </w:r>
    </w:p>
    <w:p w14:paraId="065F8176" w14:textId="6B99FE2C" w:rsidR="00480C8F" w:rsidRDefault="003F32B5" w:rsidP="00685F4E">
      <w:pPr>
        <w:spacing w:after="120"/>
        <w:rPr>
          <w:rFonts w:ascii="Arial" w:hAnsi="Arial" w:cs="Arial"/>
          <w:sz w:val="24"/>
        </w:rPr>
      </w:pPr>
      <w:r>
        <w:rPr>
          <w:rFonts w:ascii="Arial" w:hAnsi="Arial" w:cs="Arial"/>
          <w:sz w:val="24"/>
        </w:rPr>
        <w:t xml:space="preserve">The FCO’s second regional contract in Asia Pacific with </w:t>
      </w:r>
      <w:r w:rsidR="00562FA0">
        <w:rPr>
          <w:rFonts w:ascii="Arial" w:hAnsi="Arial" w:cs="Arial"/>
          <w:sz w:val="24"/>
        </w:rPr>
        <w:t xml:space="preserve">ISS commenced on 1 April 2011. </w:t>
      </w:r>
      <w:r w:rsidR="00480C8F">
        <w:rPr>
          <w:rFonts w:ascii="Arial" w:hAnsi="Arial" w:cs="Arial"/>
          <w:sz w:val="24"/>
        </w:rPr>
        <w:t>Th</w:t>
      </w:r>
      <w:r>
        <w:rPr>
          <w:rFonts w:ascii="Arial" w:hAnsi="Arial" w:cs="Arial"/>
          <w:sz w:val="24"/>
        </w:rPr>
        <w:t>is</w:t>
      </w:r>
      <w:r w:rsidR="00480C8F">
        <w:rPr>
          <w:rFonts w:ascii="Arial" w:hAnsi="Arial" w:cs="Arial"/>
          <w:sz w:val="24"/>
        </w:rPr>
        <w:t xml:space="preserve"> contract</w:t>
      </w:r>
      <w:r w:rsidR="00061815">
        <w:rPr>
          <w:rFonts w:ascii="Arial" w:hAnsi="Arial" w:cs="Arial"/>
          <w:sz w:val="24"/>
        </w:rPr>
        <w:t>,</w:t>
      </w:r>
      <w:r w:rsidR="00480C8F">
        <w:rPr>
          <w:rFonts w:ascii="Arial" w:hAnsi="Arial" w:cs="Arial"/>
          <w:sz w:val="24"/>
        </w:rPr>
        <w:t xml:space="preserve"> for the provision </w:t>
      </w:r>
      <w:r w:rsidR="00BC56E7">
        <w:rPr>
          <w:rFonts w:ascii="Arial" w:hAnsi="Arial" w:cs="Arial"/>
          <w:sz w:val="24"/>
        </w:rPr>
        <w:t xml:space="preserve">of FM services across 24 Posts </w:t>
      </w:r>
      <w:r w:rsidR="00480C8F">
        <w:rPr>
          <w:rFonts w:ascii="Arial" w:hAnsi="Arial" w:cs="Arial"/>
          <w:sz w:val="24"/>
        </w:rPr>
        <w:t>in 13 countries</w:t>
      </w:r>
      <w:r w:rsidR="004E19F0">
        <w:rPr>
          <w:rFonts w:ascii="Arial" w:hAnsi="Arial" w:cs="Arial"/>
          <w:sz w:val="24"/>
        </w:rPr>
        <w:t>, will</w:t>
      </w:r>
      <w:r w:rsidR="00480C8F">
        <w:rPr>
          <w:rFonts w:ascii="Arial" w:hAnsi="Arial" w:cs="Arial"/>
          <w:sz w:val="24"/>
        </w:rPr>
        <w:t xml:space="preserve"> expire on 31</w:t>
      </w:r>
      <w:r w:rsidR="00480C8F" w:rsidRPr="00480C8F">
        <w:rPr>
          <w:rFonts w:ascii="Arial" w:hAnsi="Arial" w:cs="Arial"/>
          <w:sz w:val="24"/>
          <w:vertAlign w:val="superscript"/>
        </w:rPr>
        <w:t>st</w:t>
      </w:r>
      <w:r w:rsidR="00480C8F">
        <w:rPr>
          <w:rFonts w:ascii="Arial" w:hAnsi="Arial" w:cs="Arial"/>
          <w:sz w:val="24"/>
        </w:rPr>
        <w:t xml:space="preserve"> March 2021. It is therefore a primary objective of this </w:t>
      </w:r>
      <w:r w:rsidR="00525B5D">
        <w:rPr>
          <w:rFonts w:ascii="Arial" w:hAnsi="Arial" w:cs="Arial"/>
          <w:sz w:val="24"/>
        </w:rPr>
        <w:t>P</w:t>
      </w:r>
      <w:r w:rsidR="007073C8">
        <w:rPr>
          <w:rFonts w:ascii="Arial" w:hAnsi="Arial" w:cs="Arial"/>
          <w:sz w:val="24"/>
        </w:rPr>
        <w:t xml:space="preserve">rocurement </w:t>
      </w:r>
      <w:r w:rsidR="00480C8F">
        <w:rPr>
          <w:rFonts w:ascii="Arial" w:hAnsi="Arial" w:cs="Arial"/>
          <w:sz w:val="24"/>
        </w:rPr>
        <w:t>to provide for the continuity of supply of FM services to these 24 Posts from 1</w:t>
      </w:r>
      <w:r w:rsidR="00480C8F" w:rsidRPr="00480C8F">
        <w:rPr>
          <w:rFonts w:ascii="Arial" w:hAnsi="Arial" w:cs="Arial"/>
          <w:sz w:val="24"/>
          <w:vertAlign w:val="superscript"/>
        </w:rPr>
        <w:t>st</w:t>
      </w:r>
      <w:r w:rsidR="00480C8F">
        <w:rPr>
          <w:rFonts w:ascii="Arial" w:hAnsi="Arial" w:cs="Arial"/>
          <w:sz w:val="24"/>
        </w:rPr>
        <w:t xml:space="preserve"> April 2021 onwards. </w:t>
      </w:r>
    </w:p>
    <w:p w14:paraId="18F63442" w14:textId="766B064B" w:rsidR="00480C8F" w:rsidRDefault="00480C8F" w:rsidP="00685F4E">
      <w:pPr>
        <w:spacing w:after="120"/>
        <w:rPr>
          <w:rFonts w:ascii="Arial" w:hAnsi="Arial" w:cs="Arial"/>
          <w:sz w:val="24"/>
        </w:rPr>
      </w:pPr>
      <w:r>
        <w:rPr>
          <w:rFonts w:ascii="Arial" w:hAnsi="Arial" w:cs="Arial"/>
          <w:sz w:val="24"/>
        </w:rPr>
        <w:t xml:space="preserve">Another key FCO objective is to pursue further consolidation of FM service delivery, where appropriate. The FCO </w:t>
      </w:r>
      <w:r w:rsidR="00525B5D">
        <w:rPr>
          <w:rFonts w:ascii="Arial" w:hAnsi="Arial" w:cs="Arial"/>
          <w:sz w:val="24"/>
        </w:rPr>
        <w:t>is therefore seeking</w:t>
      </w:r>
      <w:r>
        <w:rPr>
          <w:rFonts w:ascii="Arial" w:hAnsi="Arial" w:cs="Arial"/>
          <w:sz w:val="24"/>
        </w:rPr>
        <w:t xml:space="preserve"> to establish a </w:t>
      </w:r>
      <w:r w:rsidRPr="005019A3">
        <w:rPr>
          <w:rFonts w:ascii="Arial" w:hAnsi="Arial" w:cs="Arial"/>
          <w:sz w:val="24"/>
        </w:rPr>
        <w:t>g</w:t>
      </w:r>
      <w:r>
        <w:rPr>
          <w:rFonts w:ascii="Arial" w:hAnsi="Arial" w:cs="Arial"/>
          <w:sz w:val="24"/>
        </w:rPr>
        <w:t xml:space="preserve">lobal DPS, concurrently with the procurement of the first work package to be awarded through the DPS – Asia Pacific. </w:t>
      </w:r>
    </w:p>
    <w:p w14:paraId="383F77C8" w14:textId="77777777" w:rsidR="00480C8F" w:rsidRDefault="00480C8F" w:rsidP="00685F4E">
      <w:pPr>
        <w:spacing w:after="120"/>
        <w:rPr>
          <w:rFonts w:ascii="Arial" w:hAnsi="Arial" w:cs="Arial"/>
          <w:sz w:val="24"/>
        </w:rPr>
      </w:pPr>
      <w:r>
        <w:rPr>
          <w:rFonts w:ascii="Arial" w:hAnsi="Arial" w:cs="Arial"/>
          <w:sz w:val="24"/>
        </w:rPr>
        <w:t xml:space="preserve">Further information on the FCO can be found on its website at: </w:t>
      </w:r>
    </w:p>
    <w:p w14:paraId="75E30925" w14:textId="77777777" w:rsidR="007073C8" w:rsidRDefault="00DB4E5D" w:rsidP="00685F4E">
      <w:pPr>
        <w:spacing w:after="120"/>
        <w:rPr>
          <w:rStyle w:val="Hyperlink"/>
          <w:rFonts w:ascii="Arial" w:hAnsi="Arial" w:cs="Arial"/>
          <w:sz w:val="24"/>
        </w:rPr>
      </w:pPr>
      <w:hyperlink r:id="rId11" w:history="1">
        <w:r w:rsidR="00480C8F" w:rsidRPr="004B45AC">
          <w:rPr>
            <w:rStyle w:val="Hyperlink"/>
            <w:rFonts w:ascii="Arial" w:hAnsi="Arial" w:cs="Arial"/>
            <w:sz w:val="24"/>
          </w:rPr>
          <w:t>www.fco.gov.uk</w:t>
        </w:r>
      </w:hyperlink>
    </w:p>
    <w:p w14:paraId="21E2DA50" w14:textId="77777777" w:rsidR="00480C8F" w:rsidRPr="007073C8" w:rsidRDefault="007073C8" w:rsidP="00685F4E">
      <w:pPr>
        <w:spacing w:after="160"/>
        <w:rPr>
          <w:rFonts w:ascii="Arial" w:hAnsi="Arial" w:cs="Arial"/>
          <w:b/>
          <w:sz w:val="24"/>
        </w:rPr>
      </w:pPr>
      <w:r w:rsidRPr="007073C8">
        <w:rPr>
          <w:rFonts w:ascii="Arial" w:hAnsi="Arial" w:cs="Arial"/>
          <w:b/>
          <w:sz w:val="24"/>
        </w:rPr>
        <w:br w:type="page"/>
      </w:r>
    </w:p>
    <w:p w14:paraId="16DDEAEF" w14:textId="77777777" w:rsidR="005E5AFF" w:rsidRDefault="00480C8F" w:rsidP="00685F4E">
      <w:pPr>
        <w:pStyle w:val="ListParagraph"/>
        <w:numPr>
          <w:ilvl w:val="0"/>
          <w:numId w:val="3"/>
        </w:numPr>
        <w:spacing w:before="240"/>
        <w:ind w:hanging="720"/>
        <w:rPr>
          <w:rFonts w:ascii="Arial" w:hAnsi="Arial" w:cs="Arial"/>
          <w:b/>
          <w:sz w:val="24"/>
        </w:rPr>
      </w:pPr>
      <w:r>
        <w:rPr>
          <w:rFonts w:ascii="Arial" w:hAnsi="Arial" w:cs="Arial"/>
          <w:b/>
          <w:sz w:val="24"/>
        </w:rPr>
        <w:lastRenderedPageBreak/>
        <w:t>FM Service Provision – Vision and Objectives</w:t>
      </w:r>
    </w:p>
    <w:p w14:paraId="5A8A8B52" w14:textId="6AE7550C" w:rsidR="00480C8F" w:rsidRPr="00480C8F" w:rsidRDefault="00EB131D" w:rsidP="00685F4E">
      <w:pPr>
        <w:spacing w:after="120"/>
        <w:rPr>
          <w:rFonts w:ascii="Arial" w:hAnsi="Arial" w:cs="Arial"/>
          <w:sz w:val="24"/>
        </w:rPr>
      </w:pPr>
      <w:r>
        <w:rPr>
          <w:rFonts w:ascii="Arial" w:hAnsi="Arial" w:cs="Arial"/>
          <w:sz w:val="24"/>
        </w:rPr>
        <w:t xml:space="preserve">The </w:t>
      </w:r>
      <w:r w:rsidR="00480C8F">
        <w:rPr>
          <w:rFonts w:ascii="Arial" w:hAnsi="Arial" w:cs="Arial"/>
          <w:sz w:val="24"/>
        </w:rPr>
        <w:t>global DPS</w:t>
      </w:r>
      <w:r>
        <w:rPr>
          <w:rFonts w:ascii="Arial" w:hAnsi="Arial" w:cs="Arial"/>
          <w:sz w:val="24"/>
        </w:rPr>
        <w:t xml:space="preserve"> </w:t>
      </w:r>
      <w:r w:rsidR="006B7381">
        <w:rPr>
          <w:rFonts w:ascii="Arial" w:hAnsi="Arial" w:cs="Arial"/>
          <w:sz w:val="24"/>
        </w:rPr>
        <w:t xml:space="preserve">will enable </w:t>
      </w:r>
      <w:r w:rsidR="00372B57">
        <w:rPr>
          <w:rFonts w:ascii="Arial" w:hAnsi="Arial" w:cs="Arial"/>
          <w:sz w:val="24"/>
        </w:rPr>
        <w:t xml:space="preserve">the FCO </w:t>
      </w:r>
      <w:r w:rsidR="006B7381">
        <w:rPr>
          <w:rFonts w:ascii="Arial" w:hAnsi="Arial" w:cs="Arial"/>
          <w:sz w:val="24"/>
        </w:rPr>
        <w:t xml:space="preserve">to ‘fast-track’ future procurements </w:t>
      </w:r>
      <w:r w:rsidR="00F34338">
        <w:rPr>
          <w:rFonts w:ascii="Arial" w:hAnsi="Arial" w:cs="Arial"/>
          <w:sz w:val="24"/>
        </w:rPr>
        <w:t xml:space="preserve">and re-procurements </w:t>
      </w:r>
      <w:r w:rsidR="006B7381">
        <w:rPr>
          <w:rFonts w:ascii="Arial" w:hAnsi="Arial" w:cs="Arial"/>
          <w:sz w:val="24"/>
        </w:rPr>
        <w:t xml:space="preserve">for consolidated supply of FM services, if/as required. We intend to re-procure services for our Asia Pacific requirement as the first work package to be awarded from the global DPS. </w:t>
      </w:r>
    </w:p>
    <w:p w14:paraId="100FA0FC" w14:textId="012F4163" w:rsidR="006B7381" w:rsidRDefault="006B7381" w:rsidP="00685F4E">
      <w:pPr>
        <w:spacing w:after="120"/>
        <w:rPr>
          <w:rFonts w:ascii="Arial" w:hAnsi="Arial" w:cs="Arial"/>
          <w:sz w:val="24"/>
        </w:rPr>
      </w:pPr>
      <w:r>
        <w:rPr>
          <w:rFonts w:ascii="Arial" w:hAnsi="Arial" w:cs="Arial"/>
          <w:sz w:val="24"/>
        </w:rPr>
        <w:t>The FCO is seeking</w:t>
      </w:r>
      <w:r w:rsidR="007F3AAE">
        <w:rPr>
          <w:rFonts w:ascii="Arial" w:hAnsi="Arial" w:cs="Arial"/>
          <w:sz w:val="24"/>
        </w:rPr>
        <w:t>,</w:t>
      </w:r>
      <w:r w:rsidR="00EB131D">
        <w:rPr>
          <w:rFonts w:ascii="Arial" w:hAnsi="Arial" w:cs="Arial"/>
          <w:sz w:val="24"/>
        </w:rPr>
        <w:t xml:space="preserve"> through the P</w:t>
      </w:r>
      <w:r>
        <w:rPr>
          <w:rFonts w:ascii="Arial" w:hAnsi="Arial" w:cs="Arial"/>
          <w:sz w:val="24"/>
        </w:rPr>
        <w:t>rocurement</w:t>
      </w:r>
      <w:r w:rsidR="007F3AAE">
        <w:rPr>
          <w:rFonts w:ascii="Arial" w:hAnsi="Arial" w:cs="Arial"/>
          <w:sz w:val="24"/>
        </w:rPr>
        <w:t>,</w:t>
      </w:r>
      <w:r>
        <w:rPr>
          <w:rFonts w:ascii="Arial" w:hAnsi="Arial" w:cs="Arial"/>
          <w:sz w:val="24"/>
        </w:rPr>
        <w:t xml:space="preserve"> to move to a performance and info</w:t>
      </w:r>
      <w:r w:rsidR="007F3AAE">
        <w:rPr>
          <w:rFonts w:ascii="Arial" w:hAnsi="Arial" w:cs="Arial"/>
          <w:sz w:val="24"/>
        </w:rPr>
        <w:t>rmation led approach to FM and Related S</w:t>
      </w:r>
      <w:r>
        <w:rPr>
          <w:rFonts w:ascii="Arial" w:hAnsi="Arial" w:cs="Arial"/>
          <w:sz w:val="24"/>
        </w:rPr>
        <w:t>ervices. Speci</w:t>
      </w:r>
      <w:r w:rsidR="00B10278">
        <w:rPr>
          <w:rFonts w:ascii="Arial" w:hAnsi="Arial" w:cs="Arial"/>
          <w:sz w:val="24"/>
        </w:rPr>
        <w:t xml:space="preserve">fically, the </w:t>
      </w:r>
      <w:r w:rsidR="00EB131D">
        <w:rPr>
          <w:rFonts w:ascii="Arial" w:hAnsi="Arial" w:cs="Arial"/>
          <w:sz w:val="24"/>
        </w:rPr>
        <w:t xml:space="preserve">Tenderers admitted to the DPS will be expected, if appointed to carry out a specific work package, </w:t>
      </w:r>
      <w:r>
        <w:rPr>
          <w:rFonts w:ascii="Arial" w:hAnsi="Arial" w:cs="Arial"/>
          <w:sz w:val="24"/>
        </w:rPr>
        <w:t>to deliver</w:t>
      </w:r>
      <w:r w:rsidR="00826613">
        <w:rPr>
          <w:rFonts w:ascii="Arial" w:hAnsi="Arial" w:cs="Arial"/>
          <w:sz w:val="24"/>
        </w:rPr>
        <w:t xml:space="preserve"> services that are</w:t>
      </w:r>
      <w:r>
        <w:rPr>
          <w:rFonts w:ascii="Arial" w:hAnsi="Arial" w:cs="Arial"/>
          <w:sz w:val="24"/>
        </w:rPr>
        <w:t xml:space="preserve">: </w:t>
      </w:r>
    </w:p>
    <w:p w14:paraId="429F8F01" w14:textId="77777777" w:rsidR="00826613" w:rsidRPr="007203BA" w:rsidRDefault="00826613" w:rsidP="00685F4E">
      <w:pPr>
        <w:pStyle w:val="Bullet1"/>
        <w:numPr>
          <w:ilvl w:val="0"/>
          <w:numId w:val="39"/>
        </w:numPr>
        <w:tabs>
          <w:tab w:val="clear" w:pos="1080"/>
          <w:tab w:val="num" w:pos="1843"/>
        </w:tabs>
        <w:spacing w:line="276" w:lineRule="auto"/>
        <w:ind w:left="709" w:hanging="567"/>
        <w:rPr>
          <w:sz w:val="24"/>
          <w:szCs w:val="24"/>
        </w:rPr>
      </w:pPr>
      <w:r w:rsidRPr="007203BA">
        <w:rPr>
          <w:b/>
          <w:sz w:val="24"/>
          <w:szCs w:val="24"/>
        </w:rPr>
        <w:t>Compliant</w:t>
      </w:r>
      <w:r w:rsidRPr="007203BA">
        <w:rPr>
          <w:sz w:val="24"/>
          <w:szCs w:val="24"/>
        </w:rPr>
        <w:t xml:space="preserve"> – the service model and suppliers will ensure the estate remains compliant with relevant </w:t>
      </w:r>
      <w:r w:rsidR="00061815" w:rsidRPr="007203BA">
        <w:rPr>
          <w:sz w:val="24"/>
          <w:szCs w:val="24"/>
        </w:rPr>
        <w:t xml:space="preserve">security, </w:t>
      </w:r>
      <w:r w:rsidRPr="007203BA">
        <w:rPr>
          <w:sz w:val="24"/>
          <w:szCs w:val="24"/>
        </w:rPr>
        <w:t xml:space="preserve">health and safety, legal and FCO policy at all times; </w:t>
      </w:r>
    </w:p>
    <w:p w14:paraId="7E3E00B0" w14:textId="11B7D8BC" w:rsidR="00826613" w:rsidRPr="007203BA" w:rsidRDefault="00826613" w:rsidP="00685F4E">
      <w:pPr>
        <w:pStyle w:val="Bullet1"/>
        <w:numPr>
          <w:ilvl w:val="0"/>
          <w:numId w:val="39"/>
        </w:numPr>
        <w:tabs>
          <w:tab w:val="clear" w:pos="1080"/>
          <w:tab w:val="num" w:pos="1843"/>
        </w:tabs>
        <w:spacing w:line="276" w:lineRule="auto"/>
        <w:ind w:left="709" w:hanging="567"/>
        <w:rPr>
          <w:sz w:val="24"/>
          <w:szCs w:val="24"/>
        </w:rPr>
      </w:pPr>
      <w:r w:rsidRPr="007203BA">
        <w:rPr>
          <w:b/>
          <w:sz w:val="24"/>
          <w:szCs w:val="24"/>
        </w:rPr>
        <w:t>Value for Money and Affordable</w:t>
      </w:r>
      <w:r w:rsidR="007203BA" w:rsidRPr="007203BA">
        <w:rPr>
          <w:b/>
          <w:sz w:val="24"/>
          <w:szCs w:val="24"/>
        </w:rPr>
        <w:t xml:space="preserve"> </w:t>
      </w:r>
      <w:r w:rsidRPr="007203BA">
        <w:rPr>
          <w:sz w:val="24"/>
          <w:szCs w:val="24"/>
        </w:rPr>
        <w:t xml:space="preserve">– the service and new contracts represent best value on an ongoing basis and is affordable in public sector spending terms meeting </w:t>
      </w:r>
      <w:r w:rsidR="00061815" w:rsidRPr="007203BA">
        <w:rPr>
          <w:sz w:val="24"/>
          <w:szCs w:val="24"/>
        </w:rPr>
        <w:t>centrally set</w:t>
      </w:r>
      <w:r w:rsidRPr="007203BA">
        <w:rPr>
          <w:sz w:val="24"/>
          <w:szCs w:val="24"/>
        </w:rPr>
        <w:t xml:space="preserve"> spending review targets;</w:t>
      </w:r>
    </w:p>
    <w:p w14:paraId="2BAD4C49" w14:textId="77777777" w:rsidR="00826613" w:rsidRPr="007203BA" w:rsidRDefault="00826613" w:rsidP="00685F4E">
      <w:pPr>
        <w:pStyle w:val="Bullet1"/>
        <w:numPr>
          <w:ilvl w:val="0"/>
          <w:numId w:val="39"/>
        </w:numPr>
        <w:tabs>
          <w:tab w:val="clear" w:pos="1080"/>
          <w:tab w:val="num" w:pos="1843"/>
        </w:tabs>
        <w:spacing w:line="276" w:lineRule="auto"/>
        <w:ind w:left="709" w:hanging="567"/>
        <w:rPr>
          <w:sz w:val="24"/>
          <w:szCs w:val="24"/>
        </w:rPr>
      </w:pPr>
      <w:r w:rsidRPr="007203BA">
        <w:rPr>
          <w:b/>
          <w:sz w:val="24"/>
          <w:szCs w:val="24"/>
        </w:rPr>
        <w:t>Flexible to change</w:t>
      </w:r>
      <w:r w:rsidRPr="007203BA">
        <w:rPr>
          <w:sz w:val="24"/>
          <w:szCs w:val="24"/>
        </w:rPr>
        <w:t xml:space="preserve"> – the service and new contracts need to be able to adapt to reflect potential changes in FCO and One HMG requirements (such as changes in the size of the estate and number of buildings, transition towards fewer buildings and responsive to major incidents and events);</w:t>
      </w:r>
    </w:p>
    <w:p w14:paraId="3254592C" w14:textId="77777777" w:rsidR="00826613" w:rsidRPr="007203BA" w:rsidRDefault="00826613" w:rsidP="00685F4E">
      <w:pPr>
        <w:pStyle w:val="Bullet1"/>
        <w:numPr>
          <w:ilvl w:val="0"/>
          <w:numId w:val="39"/>
        </w:numPr>
        <w:tabs>
          <w:tab w:val="clear" w:pos="1080"/>
          <w:tab w:val="num" w:pos="1843"/>
        </w:tabs>
        <w:spacing w:line="276" w:lineRule="auto"/>
        <w:ind w:left="709" w:hanging="567"/>
        <w:rPr>
          <w:sz w:val="24"/>
          <w:szCs w:val="24"/>
        </w:rPr>
      </w:pPr>
      <w:r w:rsidRPr="007203BA">
        <w:rPr>
          <w:b/>
          <w:sz w:val="24"/>
          <w:szCs w:val="24"/>
        </w:rPr>
        <w:t>Consistent</w:t>
      </w:r>
      <w:r w:rsidRPr="007203BA">
        <w:rPr>
          <w:sz w:val="24"/>
          <w:szCs w:val="24"/>
        </w:rPr>
        <w:t xml:space="preserve"> – services are delivered across the FCO estate and One HMG platform to meet agreed standards and timescales, that are consistent and communicated to client sites;</w:t>
      </w:r>
    </w:p>
    <w:p w14:paraId="68EDBFDA" w14:textId="77777777" w:rsidR="00826613" w:rsidRPr="007203BA" w:rsidRDefault="00826613" w:rsidP="00685F4E">
      <w:pPr>
        <w:pStyle w:val="Bullet1"/>
        <w:numPr>
          <w:ilvl w:val="0"/>
          <w:numId w:val="39"/>
        </w:numPr>
        <w:tabs>
          <w:tab w:val="clear" w:pos="1080"/>
          <w:tab w:val="num" w:pos="1843"/>
        </w:tabs>
        <w:spacing w:line="276" w:lineRule="auto"/>
        <w:ind w:left="709" w:hanging="567"/>
        <w:rPr>
          <w:sz w:val="24"/>
          <w:szCs w:val="24"/>
        </w:rPr>
      </w:pPr>
      <w:r w:rsidRPr="007203BA">
        <w:rPr>
          <w:b/>
          <w:sz w:val="24"/>
          <w:szCs w:val="24"/>
        </w:rPr>
        <w:t>Asset Management Led</w:t>
      </w:r>
      <w:r w:rsidRPr="007203BA">
        <w:rPr>
          <w:sz w:val="24"/>
          <w:szCs w:val="24"/>
        </w:rPr>
        <w:t xml:space="preserve"> – maintenance is determined from a holistic asset management approach across the estate where decisions on expenditure are made through a thorough asset investment methodology;</w:t>
      </w:r>
    </w:p>
    <w:p w14:paraId="03E60A5B" w14:textId="54EEE2E2" w:rsidR="00826613" w:rsidRPr="007203BA" w:rsidRDefault="00826613" w:rsidP="00685F4E">
      <w:pPr>
        <w:pStyle w:val="Bullet1"/>
        <w:numPr>
          <w:ilvl w:val="0"/>
          <w:numId w:val="39"/>
        </w:numPr>
        <w:tabs>
          <w:tab w:val="clear" w:pos="1080"/>
          <w:tab w:val="num" w:pos="1843"/>
        </w:tabs>
        <w:spacing w:line="276" w:lineRule="auto"/>
        <w:ind w:left="709" w:hanging="567"/>
        <w:rPr>
          <w:sz w:val="24"/>
          <w:szCs w:val="24"/>
        </w:rPr>
      </w:pPr>
      <w:r w:rsidRPr="007203BA">
        <w:rPr>
          <w:b/>
          <w:sz w:val="24"/>
          <w:szCs w:val="24"/>
        </w:rPr>
        <w:t>Performance Led</w:t>
      </w:r>
      <w:r w:rsidR="007F3AAE">
        <w:rPr>
          <w:sz w:val="24"/>
          <w:szCs w:val="24"/>
        </w:rPr>
        <w:t xml:space="preserve"> – use</w:t>
      </w:r>
      <w:r w:rsidRPr="007203BA">
        <w:rPr>
          <w:sz w:val="24"/>
          <w:szCs w:val="24"/>
        </w:rPr>
        <w:t xml:space="preserve"> effective management information to drive continuous performance improvement</w:t>
      </w:r>
      <w:r w:rsidR="007F3AAE">
        <w:rPr>
          <w:sz w:val="24"/>
          <w:szCs w:val="24"/>
        </w:rPr>
        <w:t>, enhance user experience and enable</w:t>
      </w:r>
      <w:r w:rsidRPr="007203BA">
        <w:rPr>
          <w:sz w:val="24"/>
          <w:szCs w:val="24"/>
        </w:rPr>
        <w:t xml:space="preserve"> robust decision-making;</w:t>
      </w:r>
    </w:p>
    <w:p w14:paraId="2B27F7B6" w14:textId="1DE300E9" w:rsidR="00826613" w:rsidRPr="007203BA" w:rsidRDefault="00826613" w:rsidP="00685F4E">
      <w:pPr>
        <w:pStyle w:val="Bullet1"/>
        <w:numPr>
          <w:ilvl w:val="0"/>
          <w:numId w:val="39"/>
        </w:numPr>
        <w:tabs>
          <w:tab w:val="clear" w:pos="1080"/>
          <w:tab w:val="num" w:pos="1843"/>
        </w:tabs>
        <w:spacing w:line="276" w:lineRule="auto"/>
        <w:ind w:left="709" w:hanging="567"/>
        <w:rPr>
          <w:sz w:val="24"/>
          <w:szCs w:val="24"/>
        </w:rPr>
      </w:pPr>
      <w:r w:rsidRPr="007203BA">
        <w:rPr>
          <w:b/>
          <w:sz w:val="24"/>
          <w:szCs w:val="24"/>
        </w:rPr>
        <w:t>Resilient</w:t>
      </w:r>
      <w:r w:rsidR="004F7E99">
        <w:rPr>
          <w:sz w:val="24"/>
          <w:szCs w:val="24"/>
        </w:rPr>
        <w:t xml:space="preserve"> </w:t>
      </w:r>
      <w:r w:rsidR="004F7E99" w:rsidRPr="007203BA">
        <w:rPr>
          <w:sz w:val="24"/>
          <w:szCs w:val="24"/>
        </w:rPr>
        <w:t>–</w:t>
      </w:r>
      <w:r w:rsidRPr="007203BA">
        <w:rPr>
          <w:sz w:val="24"/>
          <w:szCs w:val="24"/>
        </w:rPr>
        <w:t xml:space="preserve"> the provision of services and contract packaging must include the need to guarantee the provision of critical services in all operational circumstances; </w:t>
      </w:r>
    </w:p>
    <w:p w14:paraId="3756D2DD" w14:textId="1878F295" w:rsidR="00826613" w:rsidRPr="007203BA" w:rsidRDefault="00826613" w:rsidP="00685F4E">
      <w:pPr>
        <w:pStyle w:val="Bullet1"/>
        <w:numPr>
          <w:ilvl w:val="0"/>
          <w:numId w:val="39"/>
        </w:numPr>
        <w:tabs>
          <w:tab w:val="clear" w:pos="1080"/>
          <w:tab w:val="num" w:pos="1843"/>
        </w:tabs>
        <w:spacing w:line="276" w:lineRule="auto"/>
        <w:ind w:left="709" w:hanging="567"/>
        <w:rPr>
          <w:sz w:val="24"/>
          <w:szCs w:val="24"/>
        </w:rPr>
      </w:pPr>
      <w:r w:rsidRPr="007203BA">
        <w:rPr>
          <w:b/>
          <w:sz w:val="24"/>
          <w:szCs w:val="24"/>
        </w:rPr>
        <w:t>Proactive</w:t>
      </w:r>
      <w:r w:rsidRPr="007203BA">
        <w:rPr>
          <w:sz w:val="24"/>
          <w:szCs w:val="24"/>
        </w:rPr>
        <w:t xml:space="preserve"> – rather than the</w:t>
      </w:r>
      <w:r w:rsidR="00965DF8">
        <w:rPr>
          <w:sz w:val="24"/>
          <w:szCs w:val="24"/>
        </w:rPr>
        <w:t xml:space="preserve"> service being heavily reactive; and</w:t>
      </w:r>
    </w:p>
    <w:p w14:paraId="18E448A5" w14:textId="77777777" w:rsidR="00826613" w:rsidRPr="007203BA" w:rsidRDefault="00826613" w:rsidP="00685F4E">
      <w:pPr>
        <w:pStyle w:val="Bullet1"/>
        <w:numPr>
          <w:ilvl w:val="0"/>
          <w:numId w:val="39"/>
        </w:numPr>
        <w:tabs>
          <w:tab w:val="clear" w:pos="1080"/>
          <w:tab w:val="num" w:pos="1843"/>
        </w:tabs>
        <w:spacing w:line="276" w:lineRule="auto"/>
        <w:ind w:left="709" w:hanging="567"/>
        <w:rPr>
          <w:sz w:val="24"/>
          <w:szCs w:val="24"/>
        </w:rPr>
      </w:pPr>
      <w:r w:rsidRPr="007203BA">
        <w:rPr>
          <w:b/>
          <w:sz w:val="24"/>
          <w:szCs w:val="24"/>
        </w:rPr>
        <w:t>Innovative and Continuously Improving</w:t>
      </w:r>
      <w:r w:rsidRPr="007203BA">
        <w:rPr>
          <w:sz w:val="24"/>
          <w:szCs w:val="24"/>
        </w:rPr>
        <w:t xml:space="preserve"> – the service providers and client team are forward thinking and continuously improving service over the contract life.</w:t>
      </w:r>
    </w:p>
    <w:p w14:paraId="08C3AC0D" w14:textId="77777777" w:rsidR="00AF370E" w:rsidRDefault="006E1607" w:rsidP="00685F4E">
      <w:pPr>
        <w:spacing w:afterLines="120" w:after="288"/>
        <w:rPr>
          <w:rFonts w:ascii="Arial" w:hAnsi="Arial" w:cs="Arial"/>
          <w:sz w:val="24"/>
        </w:rPr>
      </w:pPr>
      <w:r>
        <w:rPr>
          <w:rFonts w:cs="Arial"/>
          <w:noProof/>
          <w:lang w:eastAsia="en-GB"/>
        </w:rPr>
        <w:lastRenderedPageBreak/>
        <w:drawing>
          <wp:anchor distT="0" distB="0" distL="114300" distR="114300" simplePos="0" relativeHeight="251658240" behindDoc="1" locked="0" layoutInCell="1" allowOverlap="1" wp14:anchorId="4B9B35F4" wp14:editId="1C71B23A">
            <wp:simplePos x="0" y="0"/>
            <wp:positionH relativeFrom="margin">
              <wp:posOffset>806595</wp:posOffset>
            </wp:positionH>
            <wp:positionV relativeFrom="paragraph">
              <wp:posOffset>853384</wp:posOffset>
            </wp:positionV>
            <wp:extent cx="3906520" cy="3289935"/>
            <wp:effectExtent l="0" t="0" r="0" b="571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06520" cy="3289935"/>
                    </a:xfrm>
                    <a:prstGeom prst="rect">
                      <a:avLst/>
                    </a:prstGeom>
                    <a:noFill/>
                  </pic:spPr>
                </pic:pic>
              </a:graphicData>
            </a:graphic>
            <wp14:sizeRelH relativeFrom="page">
              <wp14:pctWidth>0</wp14:pctWidth>
            </wp14:sizeRelH>
            <wp14:sizeRelV relativeFrom="page">
              <wp14:pctHeight>0</wp14:pctHeight>
            </wp14:sizeRelV>
          </wp:anchor>
        </w:drawing>
      </w:r>
      <w:r w:rsidR="00AF370E" w:rsidRPr="00F75004">
        <w:rPr>
          <w:rFonts w:ascii="Arial" w:hAnsi="Arial" w:cs="Arial"/>
          <w:sz w:val="24"/>
          <w:szCs w:val="24"/>
        </w:rPr>
        <w:t>In addition to the above, the following diagram sets out the key themes and areas of focus that have been identified t</w:t>
      </w:r>
      <w:r w:rsidRPr="00F75004">
        <w:rPr>
          <w:rFonts w:ascii="Arial" w:hAnsi="Arial" w:cs="Arial"/>
          <w:sz w:val="24"/>
          <w:szCs w:val="24"/>
        </w:rPr>
        <w:t>h</w:t>
      </w:r>
      <w:r w:rsidR="00AF370E" w:rsidRPr="00F75004">
        <w:rPr>
          <w:rFonts w:ascii="Arial" w:hAnsi="Arial" w:cs="Arial"/>
          <w:sz w:val="24"/>
          <w:szCs w:val="24"/>
        </w:rPr>
        <w:t>rough consultation with the end users and client unit management team for the Asia Pac</w:t>
      </w:r>
      <w:r w:rsidR="007073C8" w:rsidRPr="00974AC2">
        <w:rPr>
          <w:rFonts w:ascii="Arial" w:hAnsi="Arial" w:cs="Arial"/>
          <w:sz w:val="24"/>
          <w:szCs w:val="24"/>
        </w:rPr>
        <w:t>ific</w:t>
      </w:r>
      <w:r w:rsidR="00AF370E" w:rsidRPr="17190AA7">
        <w:rPr>
          <w:rFonts w:ascii="Arial" w:hAnsi="Arial" w:cs="Arial"/>
          <w:sz w:val="24"/>
          <w:szCs w:val="24"/>
        </w:rPr>
        <w:t xml:space="preserve"> </w:t>
      </w:r>
      <w:r w:rsidR="00EB131D" w:rsidRPr="17190AA7">
        <w:rPr>
          <w:rFonts w:ascii="Arial" w:hAnsi="Arial" w:cs="Arial"/>
          <w:sz w:val="24"/>
          <w:szCs w:val="24"/>
        </w:rPr>
        <w:t>work package</w:t>
      </w:r>
      <w:r w:rsidR="00AF370E" w:rsidRPr="17190AA7">
        <w:rPr>
          <w:rFonts w:ascii="Arial" w:hAnsi="Arial" w:cs="Arial"/>
          <w:sz w:val="24"/>
          <w:szCs w:val="24"/>
        </w:rPr>
        <w:t>:</w:t>
      </w:r>
    </w:p>
    <w:p w14:paraId="55AC147C" w14:textId="77777777" w:rsidR="007073C8" w:rsidRDefault="007073C8" w:rsidP="00685F4E">
      <w:pPr>
        <w:spacing w:afterLines="120" w:after="288"/>
        <w:rPr>
          <w:rFonts w:ascii="Arial" w:hAnsi="Arial" w:cs="Arial"/>
          <w:sz w:val="24"/>
        </w:rPr>
      </w:pPr>
    </w:p>
    <w:p w14:paraId="459AC7DE" w14:textId="77777777" w:rsidR="007073C8" w:rsidRDefault="00B10278" w:rsidP="00685F4E">
      <w:pPr>
        <w:spacing w:afterLines="120" w:after="288"/>
        <w:rPr>
          <w:rFonts w:ascii="Arial" w:hAnsi="Arial" w:cs="Arial"/>
          <w:sz w:val="24"/>
        </w:rPr>
      </w:pPr>
      <w:r>
        <w:rPr>
          <w:rFonts w:ascii="Arial" w:hAnsi="Arial" w:cs="Arial"/>
          <w:sz w:val="24"/>
        </w:rPr>
        <w:t xml:space="preserve">Information regarding Service Provider requirements for working with the FCO is provided in Appendix C. </w:t>
      </w:r>
    </w:p>
    <w:p w14:paraId="5DF25BED" w14:textId="77777777" w:rsidR="00B10278" w:rsidRDefault="007073C8" w:rsidP="00685F4E">
      <w:pPr>
        <w:spacing w:afterLines="120" w:after="288"/>
        <w:rPr>
          <w:rFonts w:ascii="Arial" w:hAnsi="Arial" w:cs="Arial"/>
          <w:sz w:val="24"/>
        </w:rPr>
      </w:pPr>
      <w:r>
        <w:rPr>
          <w:rFonts w:ascii="Arial" w:hAnsi="Arial" w:cs="Arial"/>
          <w:sz w:val="24"/>
        </w:rPr>
        <w:br w:type="page"/>
      </w:r>
    </w:p>
    <w:p w14:paraId="35BD697E" w14:textId="11D60C50" w:rsidR="005A3F7E" w:rsidRPr="00F80E25" w:rsidRDefault="009C4D04" w:rsidP="00685F4E">
      <w:pPr>
        <w:pStyle w:val="ListParagraph"/>
        <w:numPr>
          <w:ilvl w:val="0"/>
          <w:numId w:val="3"/>
        </w:numPr>
        <w:spacing w:after="160"/>
        <w:ind w:hanging="720"/>
        <w:rPr>
          <w:rFonts w:ascii="Arial" w:hAnsi="Arial" w:cs="Arial"/>
          <w:b/>
          <w:sz w:val="24"/>
          <w:szCs w:val="27"/>
        </w:rPr>
      </w:pPr>
      <w:r>
        <w:rPr>
          <w:rFonts w:ascii="Arial" w:hAnsi="Arial" w:cs="Arial"/>
          <w:b/>
          <w:sz w:val="24"/>
          <w:szCs w:val="27"/>
        </w:rPr>
        <w:lastRenderedPageBreak/>
        <w:t xml:space="preserve">The </w:t>
      </w:r>
      <w:r w:rsidR="005A3F7E" w:rsidRPr="00F80E25">
        <w:rPr>
          <w:rFonts w:ascii="Arial" w:hAnsi="Arial" w:cs="Arial"/>
          <w:b/>
          <w:sz w:val="24"/>
          <w:szCs w:val="27"/>
        </w:rPr>
        <w:t>Global DPS – Scope of Services</w:t>
      </w:r>
    </w:p>
    <w:p w14:paraId="3E84CACF" w14:textId="77777777" w:rsidR="005A3F7E" w:rsidRDefault="005A3F7E" w:rsidP="00685F4E">
      <w:pPr>
        <w:pStyle w:val="ListParagraph"/>
        <w:spacing w:after="160"/>
        <w:rPr>
          <w:rFonts w:ascii="Arial" w:hAnsi="Arial" w:cs="Arial"/>
          <w:sz w:val="24"/>
          <w:szCs w:val="27"/>
        </w:rPr>
      </w:pPr>
    </w:p>
    <w:p w14:paraId="07653E58" w14:textId="77777777" w:rsidR="00EB131D" w:rsidRDefault="005A3F7E" w:rsidP="00685F4E">
      <w:pPr>
        <w:pStyle w:val="ListParagraph"/>
        <w:spacing w:after="120"/>
        <w:ind w:left="0"/>
        <w:rPr>
          <w:rFonts w:ascii="Arial" w:hAnsi="Arial" w:cs="Arial"/>
          <w:sz w:val="24"/>
          <w:szCs w:val="27"/>
        </w:rPr>
      </w:pPr>
      <w:r w:rsidRPr="005A3F7E">
        <w:rPr>
          <w:rFonts w:ascii="Arial" w:hAnsi="Arial" w:cs="Arial"/>
          <w:sz w:val="24"/>
          <w:szCs w:val="27"/>
        </w:rPr>
        <w:t xml:space="preserve">The range of services that the FCO </w:t>
      </w:r>
      <w:r>
        <w:rPr>
          <w:rFonts w:ascii="Arial" w:hAnsi="Arial" w:cs="Arial"/>
          <w:sz w:val="24"/>
          <w:szCs w:val="27"/>
        </w:rPr>
        <w:t xml:space="preserve">may procure through the </w:t>
      </w:r>
      <w:r w:rsidR="00802879">
        <w:rPr>
          <w:rFonts w:ascii="Arial" w:hAnsi="Arial" w:cs="Arial"/>
          <w:sz w:val="24"/>
          <w:szCs w:val="27"/>
        </w:rPr>
        <w:t>g</w:t>
      </w:r>
      <w:r>
        <w:rPr>
          <w:rFonts w:ascii="Arial" w:hAnsi="Arial" w:cs="Arial"/>
          <w:sz w:val="24"/>
          <w:szCs w:val="27"/>
        </w:rPr>
        <w:t>lobal DPS</w:t>
      </w:r>
      <w:r w:rsidRPr="005A3F7E">
        <w:rPr>
          <w:rFonts w:ascii="Arial" w:hAnsi="Arial" w:cs="Arial"/>
          <w:sz w:val="24"/>
          <w:szCs w:val="27"/>
        </w:rPr>
        <w:t xml:space="preserve"> is provided in the following table together with a high-level description of the service elements. </w:t>
      </w:r>
      <w:r w:rsidR="00013C0C">
        <w:rPr>
          <w:rFonts w:ascii="Arial" w:hAnsi="Arial" w:cs="Arial"/>
          <w:sz w:val="24"/>
          <w:szCs w:val="27"/>
        </w:rPr>
        <w:t>It is possible that n</w:t>
      </w:r>
      <w:r w:rsidR="00013C0C" w:rsidRPr="005A3F7E">
        <w:rPr>
          <w:rFonts w:ascii="Arial" w:hAnsi="Arial" w:cs="Arial"/>
          <w:sz w:val="24"/>
          <w:szCs w:val="27"/>
        </w:rPr>
        <w:t xml:space="preserve">ot all services will be required </w:t>
      </w:r>
      <w:r w:rsidR="00013C0C">
        <w:rPr>
          <w:rFonts w:ascii="Arial" w:hAnsi="Arial" w:cs="Arial"/>
          <w:sz w:val="24"/>
          <w:szCs w:val="27"/>
        </w:rPr>
        <w:t>for each work package being procured through the DPS.</w:t>
      </w:r>
    </w:p>
    <w:p w14:paraId="521572F6" w14:textId="77777777" w:rsidR="00013C0C" w:rsidRDefault="00013C0C" w:rsidP="00685F4E">
      <w:pPr>
        <w:pStyle w:val="ListParagraph"/>
        <w:spacing w:after="120"/>
        <w:ind w:left="0"/>
        <w:rPr>
          <w:rFonts w:ascii="Arial" w:hAnsi="Arial" w:cs="Arial"/>
          <w:sz w:val="24"/>
          <w:szCs w:val="27"/>
        </w:rPr>
      </w:pPr>
    </w:p>
    <w:p w14:paraId="1BE81BAA" w14:textId="4199F132" w:rsidR="005A3F7E" w:rsidRPr="005A3F7E" w:rsidRDefault="005A3F7E" w:rsidP="00685F4E">
      <w:pPr>
        <w:pStyle w:val="ListParagraph"/>
        <w:spacing w:after="120"/>
        <w:ind w:left="0"/>
        <w:rPr>
          <w:rFonts w:ascii="Arial" w:hAnsi="Arial" w:cs="Arial"/>
          <w:sz w:val="24"/>
          <w:szCs w:val="27"/>
        </w:rPr>
      </w:pPr>
      <w:r>
        <w:rPr>
          <w:rFonts w:ascii="Arial" w:hAnsi="Arial" w:cs="Arial"/>
          <w:sz w:val="24"/>
          <w:szCs w:val="27"/>
        </w:rPr>
        <w:t>For each work package</w:t>
      </w:r>
      <w:r w:rsidR="00965DF8">
        <w:rPr>
          <w:rFonts w:ascii="Arial" w:hAnsi="Arial" w:cs="Arial"/>
          <w:sz w:val="24"/>
          <w:szCs w:val="27"/>
        </w:rPr>
        <w:t>,</w:t>
      </w:r>
      <w:r>
        <w:rPr>
          <w:rFonts w:ascii="Arial" w:hAnsi="Arial" w:cs="Arial"/>
          <w:sz w:val="24"/>
          <w:szCs w:val="27"/>
        </w:rPr>
        <w:t xml:space="preserve"> the specific services for each country, Post and property will be specified and set out in a service matrix</w:t>
      </w:r>
      <w:r w:rsidR="00013C0C">
        <w:rPr>
          <w:rFonts w:ascii="Arial" w:hAnsi="Arial" w:cs="Arial"/>
          <w:sz w:val="24"/>
          <w:szCs w:val="27"/>
        </w:rPr>
        <w:t xml:space="preserve"> issued with the tender documents relating to that work package</w:t>
      </w:r>
      <w:r>
        <w:rPr>
          <w:rFonts w:ascii="Arial" w:hAnsi="Arial" w:cs="Arial"/>
          <w:sz w:val="24"/>
          <w:szCs w:val="27"/>
        </w:rPr>
        <w:t xml:space="preserve">. Service providers </w:t>
      </w:r>
      <w:r w:rsidR="009F6BBD">
        <w:rPr>
          <w:rFonts w:ascii="Arial" w:hAnsi="Arial" w:cs="Arial"/>
          <w:sz w:val="24"/>
          <w:szCs w:val="27"/>
        </w:rPr>
        <w:t xml:space="preserve">admitted to the global DPS </w:t>
      </w:r>
      <w:r>
        <w:rPr>
          <w:rFonts w:ascii="Arial" w:hAnsi="Arial" w:cs="Arial"/>
          <w:sz w:val="24"/>
          <w:szCs w:val="27"/>
        </w:rPr>
        <w:t>will be required</w:t>
      </w:r>
      <w:r w:rsidR="00123FAF">
        <w:rPr>
          <w:rFonts w:ascii="Arial" w:hAnsi="Arial" w:cs="Arial"/>
          <w:sz w:val="24"/>
          <w:szCs w:val="27"/>
        </w:rPr>
        <w:t>,</w:t>
      </w:r>
      <w:r>
        <w:rPr>
          <w:rFonts w:ascii="Arial" w:hAnsi="Arial" w:cs="Arial"/>
          <w:sz w:val="24"/>
          <w:szCs w:val="27"/>
        </w:rPr>
        <w:t xml:space="preserve"> </w:t>
      </w:r>
      <w:r w:rsidR="009F6BBD">
        <w:rPr>
          <w:rFonts w:ascii="Arial" w:hAnsi="Arial" w:cs="Arial"/>
          <w:sz w:val="24"/>
          <w:szCs w:val="27"/>
        </w:rPr>
        <w:t>when bidding for work packages</w:t>
      </w:r>
      <w:r w:rsidR="00123FAF">
        <w:rPr>
          <w:rFonts w:ascii="Arial" w:hAnsi="Arial" w:cs="Arial"/>
          <w:sz w:val="24"/>
          <w:szCs w:val="27"/>
        </w:rPr>
        <w:t>,</w:t>
      </w:r>
      <w:r w:rsidR="009F6BBD">
        <w:rPr>
          <w:rFonts w:ascii="Arial" w:hAnsi="Arial" w:cs="Arial"/>
          <w:sz w:val="24"/>
          <w:szCs w:val="27"/>
        </w:rPr>
        <w:t xml:space="preserve"> </w:t>
      </w:r>
      <w:r>
        <w:rPr>
          <w:rFonts w:ascii="Arial" w:hAnsi="Arial" w:cs="Arial"/>
          <w:sz w:val="24"/>
          <w:szCs w:val="27"/>
        </w:rPr>
        <w:t>to demonstrate that they have capability and capacity to deliver the re</w:t>
      </w:r>
      <w:r w:rsidR="00562FA0">
        <w:rPr>
          <w:rFonts w:ascii="Arial" w:hAnsi="Arial" w:cs="Arial"/>
          <w:sz w:val="24"/>
          <w:szCs w:val="27"/>
        </w:rPr>
        <w:t>quired services in each of the c</w:t>
      </w:r>
      <w:r>
        <w:rPr>
          <w:rFonts w:ascii="Arial" w:hAnsi="Arial" w:cs="Arial"/>
          <w:sz w:val="24"/>
          <w:szCs w:val="27"/>
        </w:rPr>
        <w:t xml:space="preserve">ountries/Posts included within the particular work package. </w:t>
      </w:r>
    </w:p>
    <w:tbl>
      <w:tblPr>
        <w:tblStyle w:val="TableGrid"/>
        <w:tblW w:w="0" w:type="auto"/>
        <w:tblLook w:val="04A0" w:firstRow="1" w:lastRow="0" w:firstColumn="1" w:lastColumn="0" w:noHBand="0" w:noVBand="1"/>
      </w:tblPr>
      <w:tblGrid>
        <w:gridCol w:w="2830"/>
        <w:gridCol w:w="6186"/>
      </w:tblGrid>
      <w:tr w:rsidR="005A3F7E" w14:paraId="22471AA2" w14:textId="77777777" w:rsidTr="00F80E25">
        <w:tc>
          <w:tcPr>
            <w:tcW w:w="2830" w:type="dxa"/>
          </w:tcPr>
          <w:p w14:paraId="327A097F" w14:textId="77777777" w:rsidR="005A3F7E" w:rsidRPr="002E7A5F" w:rsidRDefault="005A3F7E" w:rsidP="00685F4E">
            <w:pPr>
              <w:spacing w:after="0"/>
              <w:rPr>
                <w:rFonts w:ascii="Arial" w:hAnsi="Arial" w:cs="Arial"/>
                <w:b/>
                <w:sz w:val="20"/>
                <w:szCs w:val="20"/>
              </w:rPr>
            </w:pPr>
            <w:r w:rsidRPr="002E7A5F">
              <w:rPr>
                <w:rFonts w:ascii="Arial" w:hAnsi="Arial" w:cs="Arial"/>
                <w:b/>
                <w:sz w:val="20"/>
                <w:szCs w:val="20"/>
              </w:rPr>
              <w:t xml:space="preserve">Services within Scope of </w:t>
            </w:r>
            <w:r>
              <w:rPr>
                <w:rFonts w:ascii="Arial" w:hAnsi="Arial" w:cs="Arial"/>
                <w:b/>
                <w:sz w:val="20"/>
                <w:szCs w:val="20"/>
              </w:rPr>
              <w:t xml:space="preserve">Global FM and Related Services DPS </w:t>
            </w:r>
          </w:p>
        </w:tc>
        <w:tc>
          <w:tcPr>
            <w:tcW w:w="6186" w:type="dxa"/>
          </w:tcPr>
          <w:p w14:paraId="0ECB2495" w14:textId="77777777" w:rsidR="005A3F7E" w:rsidRPr="002E7A5F" w:rsidRDefault="005A3F7E" w:rsidP="00685F4E">
            <w:pPr>
              <w:spacing w:after="0"/>
              <w:rPr>
                <w:rFonts w:ascii="Arial" w:hAnsi="Arial" w:cs="Arial"/>
                <w:b/>
                <w:sz w:val="20"/>
                <w:szCs w:val="20"/>
              </w:rPr>
            </w:pPr>
            <w:r w:rsidRPr="002E7A5F">
              <w:rPr>
                <w:rFonts w:ascii="Arial" w:hAnsi="Arial" w:cs="Arial"/>
                <w:b/>
                <w:sz w:val="20"/>
                <w:szCs w:val="20"/>
              </w:rPr>
              <w:t>High Level Description</w:t>
            </w:r>
          </w:p>
        </w:tc>
      </w:tr>
      <w:tr w:rsidR="005A3F7E" w14:paraId="451C47FF" w14:textId="77777777" w:rsidTr="00F80E25">
        <w:tc>
          <w:tcPr>
            <w:tcW w:w="9016" w:type="dxa"/>
            <w:gridSpan w:val="2"/>
          </w:tcPr>
          <w:p w14:paraId="1CD57CAA" w14:textId="77777777" w:rsidR="005A3F7E" w:rsidRPr="00F75004" w:rsidRDefault="005A3F7E" w:rsidP="00685F4E">
            <w:pPr>
              <w:spacing w:after="0"/>
              <w:rPr>
                <w:rFonts w:ascii="Arial" w:hAnsi="Arial" w:cs="Arial"/>
                <w:b/>
                <w:sz w:val="20"/>
                <w:szCs w:val="20"/>
              </w:rPr>
            </w:pPr>
            <w:r w:rsidRPr="00F75004">
              <w:rPr>
                <w:rFonts w:ascii="Arial" w:hAnsi="Arial" w:cs="Arial"/>
                <w:b/>
                <w:sz w:val="20"/>
                <w:szCs w:val="20"/>
              </w:rPr>
              <w:t>Management Services</w:t>
            </w:r>
          </w:p>
        </w:tc>
      </w:tr>
      <w:tr w:rsidR="005A3F7E" w14:paraId="429EF1B8" w14:textId="77777777" w:rsidTr="00F80E25">
        <w:tc>
          <w:tcPr>
            <w:tcW w:w="2830" w:type="dxa"/>
          </w:tcPr>
          <w:p w14:paraId="6902CAFD" w14:textId="77777777" w:rsidR="005A3F7E" w:rsidRPr="002E7A5F" w:rsidRDefault="005A3F7E" w:rsidP="00685F4E">
            <w:pPr>
              <w:spacing w:after="0"/>
              <w:rPr>
                <w:rFonts w:ascii="Arial" w:hAnsi="Arial" w:cs="Arial"/>
                <w:sz w:val="20"/>
                <w:szCs w:val="20"/>
              </w:rPr>
            </w:pPr>
            <w:r w:rsidRPr="002E7A5F">
              <w:rPr>
                <w:rFonts w:ascii="Arial" w:hAnsi="Arial" w:cs="Arial"/>
                <w:sz w:val="20"/>
                <w:szCs w:val="20"/>
              </w:rPr>
              <w:t>Helpdesk</w:t>
            </w:r>
          </w:p>
        </w:tc>
        <w:tc>
          <w:tcPr>
            <w:tcW w:w="6186" w:type="dxa"/>
          </w:tcPr>
          <w:p w14:paraId="2B324572" w14:textId="77777777" w:rsidR="005A3F7E" w:rsidRPr="002E7A5F" w:rsidRDefault="005A3F7E" w:rsidP="00685F4E">
            <w:pPr>
              <w:spacing w:after="0"/>
              <w:rPr>
                <w:rFonts w:ascii="Arial" w:hAnsi="Arial" w:cs="Arial"/>
                <w:sz w:val="20"/>
                <w:szCs w:val="20"/>
              </w:rPr>
            </w:pPr>
            <w:r w:rsidRPr="002E7A5F">
              <w:rPr>
                <w:rFonts w:ascii="Arial" w:hAnsi="Arial" w:cs="Arial"/>
                <w:sz w:val="20"/>
                <w:szCs w:val="20"/>
              </w:rPr>
              <w:t xml:space="preserve">Central recording hub for all service related enquiries and reporting 24 hours per day 365 days per year. </w:t>
            </w:r>
            <w:r w:rsidRPr="002E7A5F">
              <w:rPr>
                <w:rFonts w:ascii="Arial" w:hAnsi="Arial" w:cs="Arial"/>
                <w:color w:val="000000"/>
                <w:sz w:val="20"/>
                <w:szCs w:val="20"/>
              </w:rPr>
              <w:t>The Helpdesk operate</w:t>
            </w:r>
            <w:r w:rsidRPr="002E7A5F">
              <w:rPr>
                <w:rFonts w:ascii="Arial" w:hAnsi="Arial" w:cs="Arial"/>
                <w:sz w:val="20"/>
                <w:szCs w:val="20"/>
              </w:rPr>
              <w:t>s</w:t>
            </w:r>
            <w:r w:rsidRPr="002E7A5F">
              <w:rPr>
                <w:rFonts w:ascii="Arial" w:hAnsi="Arial" w:cs="Arial"/>
                <w:color w:val="000000"/>
                <w:sz w:val="20"/>
                <w:szCs w:val="20"/>
              </w:rPr>
              <w:t xml:space="preserve"> as both a strategic management and quality-monitoring tool and the focus for all day-to-day operational activities across each and every aspect of the FM services. </w:t>
            </w:r>
          </w:p>
        </w:tc>
      </w:tr>
      <w:tr w:rsidR="005A3F7E" w14:paraId="1D393D89" w14:textId="77777777" w:rsidTr="00F80E25">
        <w:tc>
          <w:tcPr>
            <w:tcW w:w="2830" w:type="dxa"/>
          </w:tcPr>
          <w:p w14:paraId="66ABE85F" w14:textId="77777777" w:rsidR="005A3F7E" w:rsidRPr="002E7A5F" w:rsidRDefault="005A3F7E" w:rsidP="00685F4E">
            <w:pPr>
              <w:spacing w:after="0"/>
              <w:rPr>
                <w:rFonts w:ascii="Arial" w:hAnsi="Arial" w:cs="Arial"/>
                <w:sz w:val="20"/>
                <w:szCs w:val="20"/>
              </w:rPr>
            </w:pPr>
            <w:r w:rsidRPr="002E7A5F">
              <w:rPr>
                <w:rFonts w:ascii="Arial" w:hAnsi="Arial" w:cs="Arial"/>
                <w:sz w:val="20"/>
                <w:szCs w:val="20"/>
              </w:rPr>
              <w:t>Performance management and reporting – MIS (Management Information System)</w:t>
            </w:r>
          </w:p>
        </w:tc>
        <w:tc>
          <w:tcPr>
            <w:tcW w:w="6186" w:type="dxa"/>
          </w:tcPr>
          <w:p w14:paraId="6BFE7E1E" w14:textId="5B78A03A" w:rsidR="005A3F7E" w:rsidRPr="002E7A5F" w:rsidRDefault="005A3F7E" w:rsidP="00685F4E">
            <w:pPr>
              <w:spacing w:after="0"/>
              <w:rPr>
                <w:rFonts w:ascii="Arial" w:hAnsi="Arial" w:cs="Arial"/>
                <w:sz w:val="20"/>
                <w:szCs w:val="20"/>
              </w:rPr>
            </w:pPr>
            <w:r w:rsidRPr="002E7A5F">
              <w:rPr>
                <w:rFonts w:ascii="Arial" w:hAnsi="Arial" w:cs="Arial"/>
                <w:sz w:val="20"/>
                <w:szCs w:val="20"/>
              </w:rPr>
              <w:t>Central operating tool for the control and operation of all services in scope including</w:t>
            </w:r>
            <w:r>
              <w:rPr>
                <w:rFonts w:ascii="Arial" w:hAnsi="Arial" w:cs="Arial"/>
                <w:sz w:val="20"/>
                <w:szCs w:val="20"/>
              </w:rPr>
              <w:t xml:space="preserve"> planned and reactive tasks, financial monitoring, </w:t>
            </w:r>
            <w:r w:rsidRPr="002E7A5F">
              <w:rPr>
                <w:rFonts w:ascii="Arial" w:hAnsi="Arial" w:cs="Arial"/>
                <w:sz w:val="20"/>
                <w:szCs w:val="20"/>
              </w:rPr>
              <w:t>estates</w:t>
            </w:r>
            <w:r>
              <w:rPr>
                <w:rFonts w:ascii="Arial" w:hAnsi="Arial" w:cs="Arial"/>
                <w:sz w:val="20"/>
                <w:szCs w:val="20"/>
              </w:rPr>
              <w:t xml:space="preserve"> administration functions etc. </w:t>
            </w:r>
            <w:r w:rsidRPr="002E7A5F">
              <w:rPr>
                <w:rFonts w:ascii="Arial" w:hAnsi="Arial" w:cs="Arial"/>
                <w:sz w:val="20"/>
                <w:szCs w:val="20"/>
              </w:rPr>
              <w:t xml:space="preserve">Providing </w:t>
            </w:r>
            <w:r>
              <w:rPr>
                <w:rFonts w:ascii="Arial" w:hAnsi="Arial" w:cs="Arial"/>
                <w:sz w:val="20"/>
                <w:szCs w:val="20"/>
              </w:rPr>
              <w:t>the FCO’s FMCU</w:t>
            </w:r>
            <w:r w:rsidRPr="002E7A5F">
              <w:rPr>
                <w:rFonts w:ascii="Arial" w:hAnsi="Arial" w:cs="Arial"/>
                <w:sz w:val="20"/>
                <w:szCs w:val="20"/>
              </w:rPr>
              <w:t xml:space="preserve"> with visibility of service provision and effective reporting, including against K</w:t>
            </w:r>
            <w:r w:rsidR="00E16649">
              <w:rPr>
                <w:rFonts w:ascii="Arial" w:hAnsi="Arial" w:cs="Arial"/>
                <w:sz w:val="20"/>
                <w:szCs w:val="20"/>
              </w:rPr>
              <w:t xml:space="preserve">ey </w:t>
            </w:r>
            <w:r w:rsidRPr="002E7A5F">
              <w:rPr>
                <w:rFonts w:ascii="Arial" w:hAnsi="Arial" w:cs="Arial"/>
                <w:sz w:val="20"/>
                <w:szCs w:val="20"/>
              </w:rPr>
              <w:t>P</w:t>
            </w:r>
            <w:r w:rsidR="00E16649">
              <w:rPr>
                <w:rFonts w:ascii="Arial" w:hAnsi="Arial" w:cs="Arial"/>
                <w:sz w:val="20"/>
                <w:szCs w:val="20"/>
              </w:rPr>
              <w:t xml:space="preserve">erformance </w:t>
            </w:r>
            <w:r w:rsidRPr="002E7A5F">
              <w:rPr>
                <w:rFonts w:ascii="Arial" w:hAnsi="Arial" w:cs="Arial"/>
                <w:sz w:val="20"/>
                <w:szCs w:val="20"/>
              </w:rPr>
              <w:t>I</w:t>
            </w:r>
            <w:r w:rsidR="00E16649">
              <w:rPr>
                <w:rFonts w:ascii="Arial" w:hAnsi="Arial" w:cs="Arial"/>
                <w:sz w:val="20"/>
                <w:szCs w:val="20"/>
              </w:rPr>
              <w:t>ndicator</w:t>
            </w:r>
            <w:r w:rsidRPr="002E7A5F">
              <w:rPr>
                <w:rFonts w:ascii="Arial" w:hAnsi="Arial" w:cs="Arial"/>
                <w:sz w:val="20"/>
                <w:szCs w:val="20"/>
              </w:rPr>
              <w:t>s and other relevant targets/data.</w:t>
            </w:r>
          </w:p>
        </w:tc>
      </w:tr>
      <w:tr w:rsidR="00434017" w14:paraId="1046D711" w14:textId="77777777" w:rsidTr="00F80E25">
        <w:tc>
          <w:tcPr>
            <w:tcW w:w="2830" w:type="dxa"/>
          </w:tcPr>
          <w:p w14:paraId="37FA7554" w14:textId="64A0C6E8" w:rsidR="00434017" w:rsidRPr="00F80E25" w:rsidRDefault="00562FA0" w:rsidP="00685F4E">
            <w:pPr>
              <w:spacing w:after="0"/>
              <w:rPr>
                <w:sz w:val="20"/>
                <w:szCs w:val="20"/>
              </w:rPr>
            </w:pPr>
            <w:r>
              <w:rPr>
                <w:rFonts w:ascii="Arial" w:hAnsi="Arial" w:cs="Arial"/>
                <w:sz w:val="20"/>
                <w:szCs w:val="20"/>
              </w:rPr>
              <w:t>Electronic d</w:t>
            </w:r>
            <w:r w:rsidR="00434017" w:rsidRPr="00F80E25">
              <w:rPr>
                <w:rFonts w:ascii="Arial" w:hAnsi="Arial" w:cs="Arial"/>
                <w:sz w:val="20"/>
                <w:szCs w:val="20"/>
              </w:rPr>
              <w:t>ocumen</w:t>
            </w:r>
            <w:r>
              <w:rPr>
                <w:rFonts w:ascii="Arial" w:hAnsi="Arial" w:cs="Arial"/>
                <w:sz w:val="20"/>
                <w:szCs w:val="20"/>
              </w:rPr>
              <w:t>t m</w:t>
            </w:r>
            <w:r w:rsidR="00F75004">
              <w:rPr>
                <w:rFonts w:ascii="Arial" w:hAnsi="Arial" w:cs="Arial"/>
                <w:sz w:val="20"/>
                <w:szCs w:val="20"/>
              </w:rPr>
              <w:t>anagement for the FM service</w:t>
            </w:r>
          </w:p>
          <w:p w14:paraId="1E73F913" w14:textId="77777777" w:rsidR="00434017" w:rsidRPr="002E7A5F" w:rsidRDefault="00434017" w:rsidP="00685F4E">
            <w:pPr>
              <w:spacing w:after="0"/>
              <w:rPr>
                <w:rFonts w:ascii="Arial" w:hAnsi="Arial" w:cs="Arial"/>
                <w:sz w:val="20"/>
                <w:szCs w:val="20"/>
              </w:rPr>
            </w:pPr>
          </w:p>
        </w:tc>
        <w:tc>
          <w:tcPr>
            <w:tcW w:w="6186" w:type="dxa"/>
          </w:tcPr>
          <w:p w14:paraId="62271468" w14:textId="08EDD2EC" w:rsidR="00434017" w:rsidRPr="002E7A5F" w:rsidRDefault="00434017" w:rsidP="00685F4E">
            <w:pPr>
              <w:spacing w:after="0"/>
              <w:rPr>
                <w:rFonts w:ascii="Arial" w:hAnsi="Arial" w:cs="Arial"/>
                <w:sz w:val="20"/>
                <w:szCs w:val="20"/>
              </w:rPr>
            </w:pPr>
            <w:r>
              <w:rPr>
                <w:rFonts w:ascii="Arial" w:hAnsi="Arial" w:cs="Arial"/>
                <w:sz w:val="20"/>
                <w:szCs w:val="20"/>
              </w:rPr>
              <w:t>Document and records management of all property and FM related documents including reports, evidence to support compliance reporting including test certificates, volume and transaction data, financial records</w:t>
            </w:r>
            <w:r w:rsidR="00F75004">
              <w:rPr>
                <w:rFonts w:ascii="Arial" w:hAnsi="Arial" w:cs="Arial"/>
                <w:sz w:val="20"/>
                <w:szCs w:val="20"/>
              </w:rPr>
              <w:t>.</w:t>
            </w:r>
          </w:p>
        </w:tc>
      </w:tr>
      <w:tr w:rsidR="005A3F7E" w14:paraId="7BF0259C" w14:textId="77777777" w:rsidTr="00F80E25">
        <w:tc>
          <w:tcPr>
            <w:tcW w:w="2830" w:type="dxa"/>
          </w:tcPr>
          <w:p w14:paraId="08B54F44" w14:textId="77777777" w:rsidR="005A3F7E" w:rsidRPr="002E7A5F" w:rsidRDefault="005A3F7E" w:rsidP="00685F4E">
            <w:pPr>
              <w:spacing w:after="0"/>
              <w:rPr>
                <w:rFonts w:ascii="Arial" w:hAnsi="Arial" w:cs="Arial"/>
                <w:sz w:val="20"/>
                <w:szCs w:val="20"/>
              </w:rPr>
            </w:pPr>
            <w:r w:rsidRPr="002E7A5F">
              <w:rPr>
                <w:rFonts w:ascii="Arial" w:hAnsi="Arial" w:cs="Arial"/>
                <w:sz w:val="20"/>
                <w:szCs w:val="20"/>
              </w:rPr>
              <w:t>Financial management and admin</w:t>
            </w:r>
            <w:r>
              <w:rPr>
                <w:rFonts w:ascii="Arial" w:hAnsi="Arial" w:cs="Arial"/>
                <w:sz w:val="20"/>
                <w:szCs w:val="20"/>
              </w:rPr>
              <w:t>istration</w:t>
            </w:r>
          </w:p>
        </w:tc>
        <w:tc>
          <w:tcPr>
            <w:tcW w:w="6186" w:type="dxa"/>
          </w:tcPr>
          <w:p w14:paraId="2EAE9E00" w14:textId="3307F5FD" w:rsidR="005A3F7E" w:rsidRPr="002E7A5F" w:rsidRDefault="005A3F7E" w:rsidP="00685F4E">
            <w:pPr>
              <w:spacing w:after="0"/>
              <w:rPr>
                <w:rFonts w:ascii="Arial" w:hAnsi="Arial" w:cs="Arial"/>
                <w:sz w:val="20"/>
                <w:szCs w:val="20"/>
              </w:rPr>
            </w:pPr>
            <w:r w:rsidRPr="002E7A5F">
              <w:rPr>
                <w:rFonts w:ascii="Arial" w:hAnsi="Arial" w:cs="Arial"/>
                <w:sz w:val="20"/>
                <w:szCs w:val="20"/>
              </w:rPr>
              <w:t>Administration activities associated with the provision of services and the processing and financial administration</w:t>
            </w:r>
            <w:r w:rsidR="00434017">
              <w:rPr>
                <w:rFonts w:ascii="Arial" w:hAnsi="Arial" w:cs="Arial"/>
                <w:sz w:val="20"/>
                <w:szCs w:val="20"/>
              </w:rPr>
              <w:t xml:space="preserve"> and payment</w:t>
            </w:r>
            <w:r w:rsidRPr="002E7A5F">
              <w:rPr>
                <w:rFonts w:ascii="Arial" w:hAnsi="Arial" w:cs="Arial"/>
                <w:sz w:val="20"/>
                <w:szCs w:val="20"/>
              </w:rPr>
              <w:t xml:space="preserve"> of FM</w:t>
            </w:r>
            <w:r w:rsidR="00F45D9B">
              <w:rPr>
                <w:rFonts w:ascii="Arial" w:hAnsi="Arial" w:cs="Arial"/>
                <w:sz w:val="20"/>
                <w:szCs w:val="20"/>
              </w:rPr>
              <w:t xml:space="preserve"> and Property Related invoices and </w:t>
            </w:r>
            <w:r w:rsidRPr="002E7A5F">
              <w:rPr>
                <w:rFonts w:ascii="Arial" w:hAnsi="Arial" w:cs="Arial"/>
                <w:sz w:val="20"/>
                <w:szCs w:val="20"/>
              </w:rPr>
              <w:t>payments</w:t>
            </w:r>
            <w:r w:rsidR="00F45D9B">
              <w:rPr>
                <w:rFonts w:ascii="Arial" w:hAnsi="Arial" w:cs="Arial"/>
                <w:sz w:val="20"/>
                <w:szCs w:val="20"/>
              </w:rPr>
              <w:t>.</w:t>
            </w:r>
          </w:p>
        </w:tc>
      </w:tr>
      <w:tr w:rsidR="005A3F7E" w14:paraId="239DCBD5" w14:textId="77777777" w:rsidTr="00F80E25">
        <w:tc>
          <w:tcPr>
            <w:tcW w:w="2830" w:type="dxa"/>
          </w:tcPr>
          <w:p w14:paraId="46DFDA0B" w14:textId="77777777" w:rsidR="005A3F7E" w:rsidRPr="002E7A5F" w:rsidRDefault="005A3F7E" w:rsidP="00685F4E">
            <w:pPr>
              <w:spacing w:after="0"/>
              <w:rPr>
                <w:rFonts w:ascii="Arial" w:hAnsi="Arial" w:cs="Arial"/>
                <w:sz w:val="20"/>
                <w:szCs w:val="20"/>
              </w:rPr>
            </w:pPr>
            <w:r w:rsidRPr="002E7A5F">
              <w:rPr>
                <w:rFonts w:ascii="Arial" w:hAnsi="Arial" w:cs="Arial"/>
                <w:sz w:val="20"/>
                <w:szCs w:val="20"/>
              </w:rPr>
              <w:t>Procurement and supply chain management</w:t>
            </w:r>
          </w:p>
        </w:tc>
        <w:tc>
          <w:tcPr>
            <w:tcW w:w="6186" w:type="dxa"/>
          </w:tcPr>
          <w:p w14:paraId="14BCA1F4" w14:textId="0AEC827B" w:rsidR="005A3F7E" w:rsidRPr="002E7A5F" w:rsidRDefault="005A3F7E" w:rsidP="00685F4E">
            <w:pPr>
              <w:spacing w:after="0"/>
              <w:rPr>
                <w:rFonts w:ascii="Arial" w:hAnsi="Arial" w:cs="Arial"/>
                <w:sz w:val="20"/>
                <w:szCs w:val="20"/>
              </w:rPr>
            </w:pPr>
            <w:r w:rsidRPr="002E7A5F">
              <w:rPr>
                <w:rFonts w:ascii="Arial" w:hAnsi="Arial" w:cs="Arial"/>
                <w:sz w:val="20"/>
                <w:szCs w:val="20"/>
              </w:rPr>
              <w:t xml:space="preserve">Managing and procuring services/provisions/projects through the application of procedures </w:t>
            </w:r>
            <w:r w:rsidR="00965DF8">
              <w:rPr>
                <w:rFonts w:ascii="Arial" w:hAnsi="Arial" w:cs="Arial"/>
                <w:sz w:val="20"/>
                <w:szCs w:val="20"/>
              </w:rPr>
              <w:t xml:space="preserve">to manage/monitor supply chain </w:t>
            </w:r>
            <w:r w:rsidR="00965DF8" w:rsidRPr="007203BA">
              <w:rPr>
                <w:sz w:val="24"/>
                <w:szCs w:val="24"/>
              </w:rPr>
              <w:t>–</w:t>
            </w:r>
            <w:r w:rsidRPr="002E7A5F">
              <w:rPr>
                <w:rFonts w:ascii="Arial" w:hAnsi="Arial" w:cs="Arial"/>
                <w:sz w:val="20"/>
                <w:szCs w:val="20"/>
              </w:rPr>
              <w:t xml:space="preserve"> including sustainable procurement responsibilities and Government guidance.</w:t>
            </w:r>
          </w:p>
        </w:tc>
      </w:tr>
      <w:tr w:rsidR="005A3F7E" w14:paraId="327C3E2F" w14:textId="77777777" w:rsidTr="00F80E25">
        <w:tc>
          <w:tcPr>
            <w:tcW w:w="2830" w:type="dxa"/>
          </w:tcPr>
          <w:p w14:paraId="77A17B13" w14:textId="77777777" w:rsidR="005A3F7E" w:rsidRPr="002E7A5F" w:rsidRDefault="005A3F7E" w:rsidP="00685F4E">
            <w:pPr>
              <w:spacing w:after="0"/>
              <w:rPr>
                <w:rFonts w:ascii="Arial" w:hAnsi="Arial" w:cs="Arial"/>
                <w:sz w:val="20"/>
                <w:szCs w:val="20"/>
              </w:rPr>
            </w:pPr>
            <w:r w:rsidRPr="002E7A5F">
              <w:rPr>
                <w:rFonts w:ascii="Arial" w:hAnsi="Arial" w:cs="Arial"/>
                <w:sz w:val="20"/>
                <w:szCs w:val="20"/>
              </w:rPr>
              <w:t>Quality, health and safety, environmental and sustainability compliance</w:t>
            </w:r>
          </w:p>
        </w:tc>
        <w:tc>
          <w:tcPr>
            <w:tcW w:w="6186" w:type="dxa"/>
          </w:tcPr>
          <w:p w14:paraId="08FB79CC" w14:textId="29C5D750" w:rsidR="005A3F7E" w:rsidRPr="002E7A5F" w:rsidRDefault="005A3F7E" w:rsidP="00685F4E">
            <w:pPr>
              <w:spacing w:after="0"/>
              <w:rPr>
                <w:rFonts w:ascii="Arial" w:hAnsi="Arial" w:cs="Arial"/>
                <w:sz w:val="20"/>
                <w:szCs w:val="20"/>
              </w:rPr>
            </w:pPr>
            <w:r w:rsidRPr="002E7A5F">
              <w:rPr>
                <w:rFonts w:ascii="Arial" w:hAnsi="Arial" w:cs="Arial"/>
                <w:sz w:val="20"/>
                <w:szCs w:val="20"/>
              </w:rPr>
              <w:t xml:space="preserve">Responsibilities in respect </w:t>
            </w:r>
            <w:r>
              <w:rPr>
                <w:rFonts w:ascii="Arial" w:hAnsi="Arial" w:cs="Arial"/>
                <w:sz w:val="20"/>
                <w:szCs w:val="20"/>
              </w:rPr>
              <w:t>of quality, H&amp;S, e</w:t>
            </w:r>
            <w:r w:rsidRPr="002E7A5F">
              <w:rPr>
                <w:rFonts w:ascii="Arial" w:hAnsi="Arial" w:cs="Arial"/>
                <w:sz w:val="20"/>
                <w:szCs w:val="20"/>
              </w:rPr>
              <w:t xml:space="preserve">nvironment and </w:t>
            </w:r>
            <w:r>
              <w:rPr>
                <w:rFonts w:ascii="Arial" w:hAnsi="Arial" w:cs="Arial"/>
                <w:sz w:val="20"/>
                <w:szCs w:val="20"/>
              </w:rPr>
              <w:t>s</w:t>
            </w:r>
            <w:r w:rsidRPr="002E7A5F">
              <w:rPr>
                <w:rFonts w:ascii="Arial" w:hAnsi="Arial" w:cs="Arial"/>
                <w:sz w:val="20"/>
                <w:szCs w:val="20"/>
              </w:rPr>
              <w:t xml:space="preserve">ustainability </w:t>
            </w:r>
            <w:r>
              <w:rPr>
                <w:rFonts w:ascii="Arial" w:hAnsi="Arial" w:cs="Arial"/>
                <w:sz w:val="20"/>
                <w:szCs w:val="20"/>
              </w:rPr>
              <w:t>matters. Covers such aspects as r</w:t>
            </w:r>
            <w:r w:rsidRPr="002E7A5F">
              <w:rPr>
                <w:rFonts w:ascii="Arial" w:hAnsi="Arial" w:cs="Arial"/>
                <w:sz w:val="20"/>
                <w:szCs w:val="20"/>
              </w:rPr>
              <w:t xml:space="preserve">isk </w:t>
            </w:r>
            <w:r>
              <w:rPr>
                <w:rFonts w:ascii="Arial" w:hAnsi="Arial" w:cs="Arial"/>
                <w:sz w:val="20"/>
                <w:szCs w:val="20"/>
              </w:rPr>
              <w:t>a</w:t>
            </w:r>
            <w:r w:rsidRPr="002E7A5F">
              <w:rPr>
                <w:rFonts w:ascii="Arial" w:hAnsi="Arial" w:cs="Arial"/>
                <w:sz w:val="20"/>
                <w:szCs w:val="20"/>
              </w:rPr>
              <w:t>ssessments</w:t>
            </w:r>
            <w:r>
              <w:rPr>
                <w:rFonts w:ascii="Arial" w:hAnsi="Arial" w:cs="Arial"/>
                <w:sz w:val="20"/>
                <w:szCs w:val="20"/>
              </w:rPr>
              <w:t>, audits, o</w:t>
            </w:r>
            <w:r w:rsidRPr="002E7A5F">
              <w:rPr>
                <w:rFonts w:ascii="Arial" w:hAnsi="Arial" w:cs="Arial"/>
                <w:sz w:val="20"/>
                <w:szCs w:val="20"/>
              </w:rPr>
              <w:t>perating platforms and reg</w:t>
            </w:r>
            <w:r w:rsidR="00F45D9B">
              <w:rPr>
                <w:rFonts w:ascii="Arial" w:hAnsi="Arial" w:cs="Arial"/>
                <w:sz w:val="20"/>
                <w:szCs w:val="20"/>
              </w:rPr>
              <w:t xml:space="preserve">istration and </w:t>
            </w:r>
            <w:r>
              <w:rPr>
                <w:rFonts w:ascii="Arial" w:hAnsi="Arial" w:cs="Arial"/>
                <w:sz w:val="20"/>
                <w:szCs w:val="20"/>
              </w:rPr>
              <w:t>a</w:t>
            </w:r>
            <w:r w:rsidRPr="002E7A5F">
              <w:rPr>
                <w:rFonts w:ascii="Arial" w:hAnsi="Arial" w:cs="Arial"/>
                <w:sz w:val="20"/>
                <w:szCs w:val="20"/>
              </w:rPr>
              <w:t>dvice.</w:t>
            </w:r>
          </w:p>
        </w:tc>
      </w:tr>
      <w:tr w:rsidR="005A3F7E" w14:paraId="3F3ADEE0" w14:textId="77777777" w:rsidTr="00F80E25">
        <w:tc>
          <w:tcPr>
            <w:tcW w:w="2830" w:type="dxa"/>
          </w:tcPr>
          <w:p w14:paraId="636A57F4" w14:textId="77777777" w:rsidR="005A3F7E" w:rsidRPr="002E7A5F" w:rsidRDefault="005A3F7E" w:rsidP="00685F4E">
            <w:pPr>
              <w:spacing w:after="0"/>
              <w:rPr>
                <w:rFonts w:ascii="Arial" w:hAnsi="Arial" w:cs="Arial"/>
                <w:sz w:val="20"/>
                <w:szCs w:val="20"/>
              </w:rPr>
            </w:pPr>
            <w:r w:rsidRPr="002E7A5F">
              <w:rPr>
                <w:rFonts w:ascii="Arial" w:hAnsi="Arial" w:cs="Arial"/>
                <w:sz w:val="20"/>
                <w:szCs w:val="20"/>
              </w:rPr>
              <w:t>Disaster recovery and contingency planning</w:t>
            </w:r>
          </w:p>
        </w:tc>
        <w:tc>
          <w:tcPr>
            <w:tcW w:w="6186" w:type="dxa"/>
          </w:tcPr>
          <w:p w14:paraId="01BD2567" w14:textId="77777777" w:rsidR="005A3F7E" w:rsidRDefault="005A3F7E" w:rsidP="00685F4E">
            <w:pPr>
              <w:spacing w:after="0"/>
              <w:rPr>
                <w:rFonts w:ascii="Arial" w:hAnsi="Arial" w:cs="Arial"/>
                <w:sz w:val="20"/>
                <w:szCs w:val="20"/>
              </w:rPr>
            </w:pPr>
            <w:r w:rsidRPr="002E7A5F">
              <w:rPr>
                <w:rFonts w:ascii="Arial" w:hAnsi="Arial" w:cs="Arial"/>
                <w:sz w:val="20"/>
                <w:szCs w:val="20"/>
              </w:rPr>
              <w:t>Business and service continuity to support the FCO in response to disasters/risks and issues.</w:t>
            </w:r>
          </w:p>
          <w:p w14:paraId="50509A43" w14:textId="77777777" w:rsidR="00123FAF" w:rsidRPr="002E7A5F" w:rsidRDefault="00123FAF" w:rsidP="00685F4E">
            <w:pPr>
              <w:spacing w:after="0"/>
              <w:rPr>
                <w:rFonts w:ascii="Arial" w:hAnsi="Arial" w:cs="Arial"/>
                <w:sz w:val="20"/>
                <w:szCs w:val="20"/>
              </w:rPr>
            </w:pPr>
          </w:p>
        </w:tc>
      </w:tr>
      <w:tr w:rsidR="005A3F7E" w14:paraId="0DAF714F" w14:textId="77777777" w:rsidTr="00F80E25">
        <w:tc>
          <w:tcPr>
            <w:tcW w:w="2830" w:type="dxa"/>
          </w:tcPr>
          <w:p w14:paraId="5084FC62" w14:textId="77777777" w:rsidR="005A3F7E" w:rsidRPr="002E7A5F" w:rsidRDefault="005A3F7E" w:rsidP="00685F4E">
            <w:pPr>
              <w:spacing w:after="0"/>
              <w:rPr>
                <w:rFonts w:ascii="Arial" w:hAnsi="Arial" w:cs="Arial"/>
                <w:sz w:val="20"/>
                <w:szCs w:val="20"/>
              </w:rPr>
            </w:pPr>
            <w:r w:rsidRPr="002E7A5F">
              <w:rPr>
                <w:rFonts w:ascii="Arial" w:hAnsi="Arial" w:cs="Arial"/>
                <w:sz w:val="20"/>
                <w:szCs w:val="20"/>
              </w:rPr>
              <w:lastRenderedPageBreak/>
              <w:t>Landlord liaison</w:t>
            </w:r>
          </w:p>
        </w:tc>
        <w:tc>
          <w:tcPr>
            <w:tcW w:w="6186" w:type="dxa"/>
          </w:tcPr>
          <w:p w14:paraId="18D3209C" w14:textId="09C53993" w:rsidR="005A3F7E" w:rsidRDefault="005A3F7E" w:rsidP="00685F4E">
            <w:pPr>
              <w:spacing w:after="0"/>
              <w:rPr>
                <w:rFonts w:ascii="Arial" w:hAnsi="Arial" w:cs="Arial"/>
                <w:sz w:val="20"/>
                <w:szCs w:val="20"/>
              </w:rPr>
            </w:pPr>
            <w:r w:rsidRPr="002E7A5F">
              <w:rPr>
                <w:rFonts w:ascii="Arial" w:hAnsi="Arial" w:cs="Arial"/>
                <w:sz w:val="20"/>
                <w:szCs w:val="20"/>
              </w:rPr>
              <w:t>Managing/coordinating/chasing and closing out services delivered by landlord</w:t>
            </w:r>
            <w:r w:rsidR="00965DF8">
              <w:rPr>
                <w:rFonts w:ascii="Arial" w:hAnsi="Arial" w:cs="Arial"/>
                <w:sz w:val="20"/>
                <w:szCs w:val="20"/>
              </w:rPr>
              <w:t>s</w:t>
            </w:r>
            <w:r w:rsidRPr="002E7A5F">
              <w:rPr>
                <w:rFonts w:ascii="Arial" w:hAnsi="Arial" w:cs="Arial"/>
                <w:sz w:val="20"/>
                <w:szCs w:val="20"/>
              </w:rPr>
              <w:t>.</w:t>
            </w:r>
            <w:r>
              <w:rPr>
                <w:rFonts w:ascii="Arial" w:hAnsi="Arial" w:cs="Arial"/>
                <w:sz w:val="20"/>
                <w:szCs w:val="20"/>
              </w:rPr>
              <w:t xml:space="preserve"> </w:t>
            </w:r>
            <w:r w:rsidRPr="002E7A5F">
              <w:rPr>
                <w:rFonts w:ascii="Arial" w:hAnsi="Arial" w:cs="Arial"/>
                <w:sz w:val="20"/>
                <w:szCs w:val="20"/>
              </w:rPr>
              <w:t>Includes engagement and defining responsibilities.</w:t>
            </w:r>
          </w:p>
          <w:p w14:paraId="7696AE73" w14:textId="77777777" w:rsidR="00123FAF" w:rsidRPr="002E7A5F" w:rsidRDefault="00123FAF" w:rsidP="00685F4E">
            <w:pPr>
              <w:spacing w:after="0"/>
              <w:rPr>
                <w:rFonts w:ascii="Arial" w:hAnsi="Arial" w:cs="Arial"/>
                <w:sz w:val="20"/>
                <w:szCs w:val="20"/>
              </w:rPr>
            </w:pPr>
          </w:p>
        </w:tc>
      </w:tr>
      <w:tr w:rsidR="005A3F7E" w14:paraId="733D67B3" w14:textId="77777777" w:rsidTr="00F80E25">
        <w:tc>
          <w:tcPr>
            <w:tcW w:w="2830" w:type="dxa"/>
          </w:tcPr>
          <w:p w14:paraId="1E9A9D2C" w14:textId="77777777" w:rsidR="005A3F7E" w:rsidRPr="002E7A5F" w:rsidRDefault="005A3F7E" w:rsidP="00685F4E">
            <w:pPr>
              <w:spacing w:after="0"/>
              <w:rPr>
                <w:rFonts w:ascii="Arial" w:hAnsi="Arial" w:cs="Arial"/>
                <w:sz w:val="20"/>
                <w:szCs w:val="20"/>
              </w:rPr>
            </w:pPr>
            <w:r w:rsidRPr="002E7A5F">
              <w:rPr>
                <w:rFonts w:ascii="Arial" w:hAnsi="Arial" w:cs="Arial"/>
                <w:sz w:val="20"/>
                <w:szCs w:val="20"/>
              </w:rPr>
              <w:t>Space management</w:t>
            </w:r>
          </w:p>
        </w:tc>
        <w:tc>
          <w:tcPr>
            <w:tcW w:w="6186" w:type="dxa"/>
          </w:tcPr>
          <w:p w14:paraId="20658F76" w14:textId="7888C597" w:rsidR="00123FAF" w:rsidRPr="002E7A5F" w:rsidRDefault="005A3F7E" w:rsidP="00685F4E">
            <w:pPr>
              <w:spacing w:after="0"/>
              <w:rPr>
                <w:rFonts w:ascii="Arial" w:hAnsi="Arial" w:cs="Arial"/>
                <w:sz w:val="20"/>
                <w:szCs w:val="20"/>
              </w:rPr>
            </w:pPr>
            <w:r w:rsidRPr="002E7A5F">
              <w:rPr>
                <w:rFonts w:ascii="Arial" w:hAnsi="Arial" w:cs="Arial"/>
                <w:sz w:val="20"/>
                <w:szCs w:val="20"/>
              </w:rPr>
              <w:t>Provision of space planning service and advisory space utilisation information – upkeep of plans and use of estate.</w:t>
            </w:r>
          </w:p>
        </w:tc>
      </w:tr>
      <w:tr w:rsidR="005A3F7E" w14:paraId="0709DE42" w14:textId="77777777" w:rsidTr="00F80E25">
        <w:tc>
          <w:tcPr>
            <w:tcW w:w="9016" w:type="dxa"/>
            <w:gridSpan w:val="2"/>
          </w:tcPr>
          <w:p w14:paraId="15C022F5" w14:textId="77777777" w:rsidR="005A3F7E" w:rsidRPr="002E7A5F" w:rsidRDefault="005A3F7E" w:rsidP="00685F4E">
            <w:pPr>
              <w:spacing w:after="0"/>
              <w:rPr>
                <w:rFonts w:ascii="Arial" w:hAnsi="Arial" w:cs="Arial"/>
                <w:b/>
                <w:sz w:val="20"/>
                <w:szCs w:val="20"/>
              </w:rPr>
            </w:pPr>
            <w:r>
              <w:rPr>
                <w:rFonts w:ascii="Arial" w:hAnsi="Arial" w:cs="Arial"/>
                <w:b/>
                <w:sz w:val="20"/>
                <w:szCs w:val="20"/>
              </w:rPr>
              <w:t>Estates Management</w:t>
            </w:r>
          </w:p>
        </w:tc>
      </w:tr>
      <w:tr w:rsidR="005A3F7E" w14:paraId="3ECAEFC1" w14:textId="77777777" w:rsidTr="00F80E25">
        <w:trPr>
          <w:trHeight w:val="1148"/>
        </w:trPr>
        <w:tc>
          <w:tcPr>
            <w:tcW w:w="2830" w:type="dxa"/>
          </w:tcPr>
          <w:p w14:paraId="20A047DF" w14:textId="77777777" w:rsidR="005A3F7E" w:rsidRPr="002E7A5F" w:rsidRDefault="005A3F7E" w:rsidP="00685F4E">
            <w:pPr>
              <w:spacing w:after="0"/>
              <w:rPr>
                <w:rFonts w:ascii="Arial" w:hAnsi="Arial" w:cs="Arial"/>
                <w:sz w:val="20"/>
                <w:szCs w:val="20"/>
              </w:rPr>
            </w:pPr>
            <w:r>
              <w:rPr>
                <w:rFonts w:ascii="Arial" w:hAnsi="Arial" w:cs="Arial"/>
                <w:sz w:val="20"/>
                <w:szCs w:val="20"/>
              </w:rPr>
              <w:t>Portfolio administration</w:t>
            </w:r>
          </w:p>
        </w:tc>
        <w:tc>
          <w:tcPr>
            <w:tcW w:w="6186" w:type="dxa"/>
          </w:tcPr>
          <w:p w14:paraId="3FF1EAD6" w14:textId="77777777" w:rsidR="005A3F7E" w:rsidRPr="0016656F" w:rsidRDefault="005A3F7E" w:rsidP="00685F4E">
            <w:pPr>
              <w:pStyle w:val="EOI-pointa"/>
              <w:spacing w:line="276" w:lineRule="auto"/>
              <w:ind w:left="34"/>
              <w:rPr>
                <w:rFonts w:ascii="Arial" w:eastAsia="Calibri" w:hAnsi="Arial" w:cs="Arial"/>
                <w:sz w:val="20"/>
                <w:lang w:val="en-GB"/>
              </w:rPr>
            </w:pPr>
            <w:r w:rsidRPr="0016656F">
              <w:rPr>
                <w:rFonts w:ascii="Arial" w:eastAsia="Calibri" w:hAnsi="Arial" w:cs="Arial"/>
                <w:sz w:val="20"/>
                <w:lang w:val="en-GB"/>
              </w:rPr>
              <w:t xml:space="preserve">Responsibility for the operation of a banking system for the purpose of banking receipts and payment </w:t>
            </w:r>
            <w:r>
              <w:rPr>
                <w:rFonts w:ascii="Arial" w:eastAsia="Calibri" w:hAnsi="Arial" w:cs="Arial"/>
                <w:sz w:val="20"/>
                <w:lang w:val="en-GB"/>
              </w:rPr>
              <w:t xml:space="preserve">for property and FM related expenditure. </w:t>
            </w:r>
            <w:r w:rsidRPr="0016656F">
              <w:rPr>
                <w:rFonts w:ascii="Arial" w:eastAsia="Calibri" w:hAnsi="Arial" w:cs="Arial"/>
                <w:sz w:val="20"/>
                <w:lang w:val="en-GB"/>
              </w:rPr>
              <w:t>Administration of settlement terms that minimise reimbursement claims</w:t>
            </w:r>
            <w:r>
              <w:rPr>
                <w:rFonts w:ascii="Arial" w:eastAsia="Calibri" w:hAnsi="Arial" w:cs="Arial"/>
                <w:sz w:val="20"/>
                <w:lang w:val="en-GB"/>
              </w:rPr>
              <w:t xml:space="preserve">, including in relation to foreign exchange payments. </w:t>
            </w:r>
            <w:r w:rsidRPr="0016656F">
              <w:rPr>
                <w:rFonts w:ascii="Arial" w:eastAsia="Calibri" w:hAnsi="Arial" w:cs="Arial"/>
                <w:sz w:val="20"/>
                <w:lang w:val="en-GB"/>
              </w:rPr>
              <w:t xml:space="preserve">Provision of cash flow projections. </w:t>
            </w:r>
          </w:p>
        </w:tc>
      </w:tr>
      <w:tr w:rsidR="005A3F7E" w14:paraId="47345D64" w14:textId="77777777" w:rsidTr="00F80E25">
        <w:tc>
          <w:tcPr>
            <w:tcW w:w="2830" w:type="dxa"/>
          </w:tcPr>
          <w:p w14:paraId="0A5C9B0E" w14:textId="77777777" w:rsidR="005A3F7E" w:rsidRPr="002E7A5F" w:rsidRDefault="005A3F7E" w:rsidP="00685F4E">
            <w:pPr>
              <w:spacing w:after="0"/>
              <w:rPr>
                <w:rFonts w:ascii="Arial" w:hAnsi="Arial" w:cs="Arial"/>
                <w:sz w:val="20"/>
                <w:szCs w:val="20"/>
              </w:rPr>
            </w:pPr>
            <w:r>
              <w:rPr>
                <w:rFonts w:ascii="Arial" w:hAnsi="Arial" w:cs="Arial"/>
                <w:sz w:val="20"/>
                <w:szCs w:val="20"/>
              </w:rPr>
              <w:t>Day-to-day property management</w:t>
            </w:r>
          </w:p>
        </w:tc>
        <w:tc>
          <w:tcPr>
            <w:tcW w:w="6186" w:type="dxa"/>
          </w:tcPr>
          <w:p w14:paraId="1DB516B2" w14:textId="77777777" w:rsidR="005A3F7E" w:rsidRPr="0016656F" w:rsidRDefault="005A3F7E" w:rsidP="00685F4E">
            <w:pPr>
              <w:pStyle w:val="Heading3"/>
              <w:keepNext w:val="0"/>
              <w:numPr>
                <w:ilvl w:val="2"/>
                <w:numId w:val="0"/>
              </w:numPr>
              <w:tabs>
                <w:tab w:val="num" w:pos="836"/>
              </w:tabs>
              <w:spacing w:before="60"/>
              <w:outlineLvl w:val="2"/>
              <w:rPr>
                <w:rFonts w:cs="Arial"/>
                <w:sz w:val="20"/>
                <w:szCs w:val="20"/>
              </w:rPr>
            </w:pPr>
            <w:r>
              <w:rPr>
                <w:rFonts w:cs="Arial"/>
                <w:b w:val="0"/>
                <w:sz w:val="20"/>
                <w:szCs w:val="20"/>
              </w:rPr>
              <w:t>Day-to-day management of the p</w:t>
            </w:r>
            <w:r w:rsidRPr="0016656F">
              <w:rPr>
                <w:rFonts w:cs="Arial"/>
                <w:b w:val="0"/>
                <w:sz w:val="20"/>
                <w:szCs w:val="20"/>
              </w:rPr>
              <w:t>roperties</w:t>
            </w:r>
            <w:r w:rsidR="00434017">
              <w:rPr>
                <w:rFonts w:cs="Arial"/>
                <w:b w:val="0"/>
                <w:sz w:val="20"/>
                <w:szCs w:val="20"/>
              </w:rPr>
              <w:t>, critical dates and tenant responsibilities</w:t>
            </w:r>
            <w:r>
              <w:rPr>
                <w:rFonts w:cs="Arial"/>
                <w:b w:val="0"/>
                <w:sz w:val="20"/>
                <w:szCs w:val="20"/>
              </w:rPr>
              <w:t>.</w:t>
            </w:r>
          </w:p>
        </w:tc>
      </w:tr>
      <w:tr w:rsidR="005A3F7E" w14:paraId="098EE83D" w14:textId="77777777" w:rsidTr="00F80E25">
        <w:tc>
          <w:tcPr>
            <w:tcW w:w="9016" w:type="dxa"/>
            <w:gridSpan w:val="2"/>
          </w:tcPr>
          <w:p w14:paraId="3EEF9E0B" w14:textId="77777777" w:rsidR="005A3F7E" w:rsidRPr="002E7A5F" w:rsidRDefault="005A3F7E" w:rsidP="00685F4E">
            <w:pPr>
              <w:spacing w:after="0"/>
              <w:rPr>
                <w:rFonts w:ascii="Arial" w:hAnsi="Arial" w:cs="Arial"/>
                <w:b/>
                <w:sz w:val="20"/>
                <w:szCs w:val="20"/>
              </w:rPr>
            </w:pPr>
            <w:r>
              <w:rPr>
                <w:rFonts w:ascii="Arial" w:hAnsi="Arial" w:cs="Arial"/>
                <w:b/>
                <w:sz w:val="20"/>
                <w:szCs w:val="20"/>
              </w:rPr>
              <w:t>Residential Property</w:t>
            </w:r>
          </w:p>
        </w:tc>
      </w:tr>
      <w:tr w:rsidR="00434017" w14:paraId="0A72EF46" w14:textId="77777777" w:rsidTr="00F80E25">
        <w:tc>
          <w:tcPr>
            <w:tcW w:w="2830" w:type="dxa"/>
          </w:tcPr>
          <w:p w14:paraId="4A701046" w14:textId="2B22ACAC" w:rsidR="00434017" w:rsidRDefault="00562FA0" w:rsidP="00685F4E">
            <w:pPr>
              <w:spacing w:after="0"/>
              <w:rPr>
                <w:rFonts w:ascii="Arial" w:hAnsi="Arial" w:cs="Arial"/>
                <w:sz w:val="20"/>
                <w:szCs w:val="20"/>
              </w:rPr>
            </w:pPr>
            <w:r>
              <w:rPr>
                <w:rFonts w:ascii="Arial" w:hAnsi="Arial" w:cs="Arial"/>
                <w:sz w:val="20"/>
                <w:szCs w:val="20"/>
              </w:rPr>
              <w:t>Staff r</w:t>
            </w:r>
            <w:r w:rsidR="00434017" w:rsidRPr="00F80E25">
              <w:rPr>
                <w:rFonts w:ascii="Arial" w:hAnsi="Arial" w:cs="Arial"/>
                <w:sz w:val="20"/>
                <w:szCs w:val="20"/>
              </w:rPr>
              <w:t xml:space="preserve">esidential </w:t>
            </w:r>
            <w:r>
              <w:rPr>
                <w:rFonts w:ascii="Arial" w:hAnsi="Arial" w:cs="Arial"/>
                <w:sz w:val="20"/>
                <w:szCs w:val="20"/>
              </w:rPr>
              <w:t>p</w:t>
            </w:r>
            <w:r w:rsidR="00434017" w:rsidRPr="00F80E25">
              <w:rPr>
                <w:rFonts w:ascii="Arial" w:hAnsi="Arial" w:cs="Arial"/>
                <w:sz w:val="20"/>
                <w:szCs w:val="20"/>
              </w:rPr>
              <w:t>ro</w:t>
            </w:r>
            <w:r>
              <w:rPr>
                <w:rFonts w:ascii="Arial" w:hAnsi="Arial" w:cs="Arial"/>
                <w:sz w:val="20"/>
                <w:szCs w:val="20"/>
              </w:rPr>
              <w:t>perty m</w:t>
            </w:r>
            <w:r w:rsidR="00434017" w:rsidRPr="00F80E25">
              <w:rPr>
                <w:rFonts w:ascii="Arial" w:hAnsi="Arial" w:cs="Arial"/>
                <w:sz w:val="20"/>
                <w:szCs w:val="20"/>
              </w:rPr>
              <w:t>anagement</w:t>
            </w:r>
          </w:p>
        </w:tc>
        <w:tc>
          <w:tcPr>
            <w:tcW w:w="6186" w:type="dxa"/>
          </w:tcPr>
          <w:p w14:paraId="482D3C66" w14:textId="47DCFA26" w:rsidR="00434017" w:rsidRPr="002E7A5F" w:rsidRDefault="001C33EF" w:rsidP="00685F4E">
            <w:pPr>
              <w:spacing w:after="0"/>
              <w:rPr>
                <w:rFonts w:ascii="Arial" w:hAnsi="Arial" w:cs="Arial"/>
                <w:bCs/>
                <w:sz w:val="20"/>
                <w:szCs w:val="20"/>
                <w:lang w:val="en-AU"/>
              </w:rPr>
            </w:pPr>
            <w:r>
              <w:rPr>
                <w:rFonts w:ascii="Arial" w:hAnsi="Arial" w:cs="Arial"/>
                <w:bCs/>
                <w:sz w:val="20"/>
                <w:szCs w:val="20"/>
                <w:lang w:val="en-AU"/>
              </w:rPr>
              <w:t>Sourcing of staff residential [</w:t>
            </w:r>
            <w:r w:rsidR="004E19F0">
              <w:rPr>
                <w:rFonts w:ascii="Arial" w:hAnsi="Arial" w:cs="Arial"/>
                <w:bCs/>
                <w:sz w:val="20"/>
                <w:szCs w:val="20"/>
                <w:lang w:val="en-AU"/>
              </w:rPr>
              <w:t>property</w:t>
            </w:r>
            <w:r w:rsidR="00434017">
              <w:rPr>
                <w:rFonts w:ascii="Arial" w:hAnsi="Arial" w:cs="Arial"/>
                <w:bCs/>
                <w:sz w:val="20"/>
                <w:szCs w:val="20"/>
                <w:lang w:val="en-AU"/>
              </w:rPr>
              <w:t xml:space="preserve"> (in accordance with FCO space, cost, fire and health and safety standards), management of the user experience in sourcing and viewing properties and the Move </w:t>
            </w:r>
            <w:r w:rsidR="00F75004">
              <w:rPr>
                <w:rFonts w:ascii="Arial" w:hAnsi="Arial" w:cs="Arial"/>
                <w:bCs/>
                <w:sz w:val="20"/>
                <w:szCs w:val="20"/>
                <w:lang w:val="en-AU"/>
              </w:rPr>
              <w:t>I</w:t>
            </w:r>
            <w:r w:rsidR="00434017">
              <w:rPr>
                <w:rFonts w:ascii="Arial" w:hAnsi="Arial" w:cs="Arial"/>
                <w:bCs/>
                <w:sz w:val="20"/>
                <w:szCs w:val="20"/>
                <w:lang w:val="en-AU"/>
              </w:rPr>
              <w:t>n and Move Out process.  Management of furniture and equipment provided as part of staff residential property including sourcing, disposal, allocation and inventory and records management.</w:t>
            </w:r>
          </w:p>
        </w:tc>
      </w:tr>
      <w:tr w:rsidR="005A3F7E" w14:paraId="084B5F3D" w14:textId="77777777" w:rsidTr="00F80E25">
        <w:tc>
          <w:tcPr>
            <w:tcW w:w="2830" w:type="dxa"/>
          </w:tcPr>
          <w:p w14:paraId="7651F837" w14:textId="77777777" w:rsidR="005A3F7E" w:rsidRPr="002E7A5F" w:rsidRDefault="005A3F7E" w:rsidP="00685F4E">
            <w:pPr>
              <w:spacing w:after="0"/>
              <w:rPr>
                <w:rFonts w:ascii="Arial" w:hAnsi="Arial" w:cs="Arial"/>
                <w:sz w:val="20"/>
                <w:szCs w:val="20"/>
              </w:rPr>
            </w:pPr>
            <w:r>
              <w:rPr>
                <w:rFonts w:ascii="Arial" w:hAnsi="Arial" w:cs="Arial"/>
                <w:sz w:val="20"/>
                <w:szCs w:val="20"/>
              </w:rPr>
              <w:t>Residential property maintenance</w:t>
            </w:r>
          </w:p>
        </w:tc>
        <w:tc>
          <w:tcPr>
            <w:tcW w:w="6186" w:type="dxa"/>
          </w:tcPr>
          <w:p w14:paraId="41AC4121" w14:textId="77777777" w:rsidR="005A3F7E" w:rsidRPr="002E7A5F" w:rsidRDefault="005A3F7E" w:rsidP="00685F4E">
            <w:pPr>
              <w:spacing w:after="0"/>
              <w:rPr>
                <w:rFonts w:ascii="Arial" w:hAnsi="Arial" w:cs="Arial"/>
                <w:sz w:val="20"/>
                <w:szCs w:val="20"/>
              </w:rPr>
            </w:pPr>
            <w:r w:rsidRPr="002E7A5F">
              <w:rPr>
                <w:rFonts w:ascii="Arial" w:hAnsi="Arial" w:cs="Arial"/>
                <w:bCs/>
                <w:sz w:val="20"/>
                <w:szCs w:val="20"/>
                <w:lang w:val="en-AU"/>
              </w:rPr>
              <w:t xml:space="preserve">Provision of maintenance services (Hard FM services as above) within staff residential and Official Residences </w:t>
            </w:r>
            <w:r>
              <w:rPr>
                <w:rFonts w:ascii="Arial" w:hAnsi="Arial" w:cs="Arial"/>
                <w:bCs/>
                <w:sz w:val="20"/>
                <w:szCs w:val="20"/>
                <w:lang w:val="en-AU"/>
              </w:rPr>
              <w:t>including health and safety compliance checks relating to gas, electricity, water,</w:t>
            </w:r>
            <w:r w:rsidRPr="002E7A5F">
              <w:rPr>
                <w:rFonts w:ascii="Arial" w:hAnsi="Arial" w:cs="Arial"/>
                <w:bCs/>
                <w:sz w:val="20"/>
                <w:szCs w:val="20"/>
                <w:lang w:val="en-AU"/>
              </w:rPr>
              <w:t xml:space="preserve"> statutory maintenance</w:t>
            </w:r>
            <w:r>
              <w:rPr>
                <w:rFonts w:ascii="Arial" w:hAnsi="Arial" w:cs="Arial"/>
                <w:bCs/>
                <w:sz w:val="20"/>
                <w:szCs w:val="20"/>
                <w:lang w:val="en-AU"/>
              </w:rPr>
              <w:t>, planned maintenance and reactive maintenance and repairs.</w:t>
            </w:r>
          </w:p>
        </w:tc>
      </w:tr>
      <w:tr w:rsidR="005A3F7E" w14:paraId="3C656D53" w14:textId="77777777" w:rsidTr="00F80E25">
        <w:tc>
          <w:tcPr>
            <w:tcW w:w="9016" w:type="dxa"/>
            <w:gridSpan w:val="2"/>
          </w:tcPr>
          <w:p w14:paraId="4E916F3E" w14:textId="77777777" w:rsidR="005A3F7E" w:rsidRPr="002E7A5F" w:rsidRDefault="005A3F7E" w:rsidP="00685F4E">
            <w:pPr>
              <w:spacing w:after="0"/>
              <w:rPr>
                <w:rFonts w:ascii="Arial" w:hAnsi="Arial" w:cs="Arial"/>
                <w:b/>
                <w:sz w:val="20"/>
                <w:szCs w:val="20"/>
              </w:rPr>
            </w:pPr>
            <w:r>
              <w:rPr>
                <w:rFonts w:ascii="Arial" w:hAnsi="Arial" w:cs="Arial"/>
                <w:b/>
                <w:sz w:val="20"/>
                <w:szCs w:val="20"/>
              </w:rPr>
              <w:t>Hard FM Services</w:t>
            </w:r>
          </w:p>
        </w:tc>
      </w:tr>
      <w:tr w:rsidR="005A3F7E" w14:paraId="4D1E3D3F" w14:textId="77777777" w:rsidTr="00F80E25">
        <w:tc>
          <w:tcPr>
            <w:tcW w:w="2830" w:type="dxa"/>
          </w:tcPr>
          <w:p w14:paraId="1A1FCDCA" w14:textId="77777777" w:rsidR="005A3F7E" w:rsidRPr="002E7A5F" w:rsidRDefault="005A3F7E" w:rsidP="00685F4E">
            <w:pPr>
              <w:spacing w:after="0"/>
              <w:rPr>
                <w:rFonts w:ascii="Arial" w:hAnsi="Arial" w:cs="Arial"/>
                <w:sz w:val="20"/>
                <w:szCs w:val="20"/>
              </w:rPr>
            </w:pPr>
            <w:r>
              <w:rPr>
                <w:rFonts w:ascii="Arial" w:hAnsi="Arial" w:cs="Arial"/>
                <w:sz w:val="20"/>
                <w:szCs w:val="20"/>
              </w:rPr>
              <w:t>Building engineering services</w:t>
            </w:r>
          </w:p>
        </w:tc>
        <w:tc>
          <w:tcPr>
            <w:tcW w:w="6186" w:type="dxa"/>
          </w:tcPr>
          <w:p w14:paraId="5126808B" w14:textId="77777777" w:rsidR="005A3F7E" w:rsidRPr="0016656F" w:rsidRDefault="005A3F7E" w:rsidP="00685F4E">
            <w:pPr>
              <w:spacing w:after="0"/>
              <w:rPr>
                <w:rFonts w:ascii="Arial" w:hAnsi="Arial" w:cs="Arial"/>
                <w:sz w:val="20"/>
                <w:szCs w:val="20"/>
              </w:rPr>
            </w:pPr>
            <w:r>
              <w:rPr>
                <w:rFonts w:ascii="Arial" w:hAnsi="Arial" w:cs="Arial"/>
                <w:sz w:val="20"/>
                <w:szCs w:val="20"/>
              </w:rPr>
              <w:t>Provision of b</w:t>
            </w:r>
            <w:r w:rsidRPr="0016656F">
              <w:rPr>
                <w:rFonts w:ascii="Arial" w:hAnsi="Arial" w:cs="Arial"/>
                <w:sz w:val="20"/>
                <w:szCs w:val="20"/>
              </w:rPr>
              <w:t>uildin</w:t>
            </w:r>
            <w:r>
              <w:rPr>
                <w:rFonts w:ascii="Arial" w:hAnsi="Arial" w:cs="Arial"/>
                <w:sz w:val="20"/>
                <w:szCs w:val="20"/>
              </w:rPr>
              <w:t>g engineering services (statutory, planned &amp; reactive m</w:t>
            </w:r>
            <w:r w:rsidRPr="0016656F">
              <w:rPr>
                <w:rFonts w:ascii="Arial" w:hAnsi="Arial" w:cs="Arial"/>
                <w:sz w:val="20"/>
                <w:szCs w:val="20"/>
              </w:rPr>
              <w:t>aintenance) across portfolio, provision of information on asset performance, provision of forward maintenance registers</w:t>
            </w:r>
            <w:r>
              <w:rPr>
                <w:rFonts w:ascii="Arial" w:hAnsi="Arial" w:cs="Arial"/>
                <w:sz w:val="20"/>
                <w:szCs w:val="20"/>
              </w:rPr>
              <w:t>.</w:t>
            </w:r>
          </w:p>
        </w:tc>
      </w:tr>
      <w:tr w:rsidR="005A3F7E" w14:paraId="352BABA2" w14:textId="77777777" w:rsidTr="00F80E25">
        <w:tc>
          <w:tcPr>
            <w:tcW w:w="2830" w:type="dxa"/>
          </w:tcPr>
          <w:p w14:paraId="1C20712E" w14:textId="77777777" w:rsidR="005A3F7E" w:rsidRPr="002E7A5F" w:rsidRDefault="005A3F7E" w:rsidP="00685F4E">
            <w:pPr>
              <w:spacing w:after="0"/>
              <w:rPr>
                <w:rFonts w:ascii="Arial" w:hAnsi="Arial" w:cs="Arial"/>
                <w:sz w:val="20"/>
                <w:szCs w:val="20"/>
              </w:rPr>
            </w:pPr>
            <w:r>
              <w:rPr>
                <w:rFonts w:ascii="Arial" w:hAnsi="Arial" w:cs="Arial"/>
                <w:sz w:val="20"/>
                <w:szCs w:val="20"/>
              </w:rPr>
              <w:t>Building fabric services</w:t>
            </w:r>
          </w:p>
        </w:tc>
        <w:tc>
          <w:tcPr>
            <w:tcW w:w="6186" w:type="dxa"/>
          </w:tcPr>
          <w:p w14:paraId="23A2BCA4" w14:textId="77777777" w:rsidR="005A3F7E" w:rsidRPr="0016656F" w:rsidRDefault="005A3F7E" w:rsidP="00685F4E">
            <w:pPr>
              <w:spacing w:after="0"/>
              <w:rPr>
                <w:rFonts w:ascii="Arial" w:hAnsi="Arial" w:cs="Arial"/>
                <w:sz w:val="20"/>
                <w:szCs w:val="20"/>
              </w:rPr>
            </w:pPr>
            <w:r>
              <w:rPr>
                <w:rFonts w:ascii="Arial" w:hAnsi="Arial" w:cs="Arial"/>
                <w:sz w:val="20"/>
                <w:szCs w:val="20"/>
              </w:rPr>
              <w:t>Provision of b</w:t>
            </w:r>
            <w:r w:rsidRPr="0016656F">
              <w:rPr>
                <w:rFonts w:ascii="Arial" w:hAnsi="Arial" w:cs="Arial"/>
                <w:sz w:val="20"/>
                <w:szCs w:val="20"/>
              </w:rPr>
              <w:t xml:space="preserve">uilding </w:t>
            </w:r>
            <w:r>
              <w:rPr>
                <w:rFonts w:ascii="Arial" w:hAnsi="Arial" w:cs="Arial"/>
                <w:sz w:val="20"/>
                <w:szCs w:val="20"/>
              </w:rPr>
              <w:t>f</w:t>
            </w:r>
            <w:r w:rsidRPr="0016656F">
              <w:rPr>
                <w:rFonts w:ascii="Arial" w:hAnsi="Arial" w:cs="Arial"/>
                <w:sz w:val="20"/>
                <w:szCs w:val="20"/>
              </w:rPr>
              <w:t>abric services (external fabric and internal fabric repairs of buildings) across portfolio</w:t>
            </w:r>
            <w:r>
              <w:rPr>
                <w:rFonts w:ascii="Arial" w:hAnsi="Arial" w:cs="Arial"/>
                <w:sz w:val="20"/>
                <w:szCs w:val="20"/>
              </w:rPr>
              <w:t>.</w:t>
            </w:r>
          </w:p>
        </w:tc>
      </w:tr>
      <w:tr w:rsidR="00434017" w14:paraId="013ACD63" w14:textId="77777777" w:rsidTr="00F80E25">
        <w:tc>
          <w:tcPr>
            <w:tcW w:w="2830" w:type="dxa"/>
          </w:tcPr>
          <w:p w14:paraId="67642756" w14:textId="77777777" w:rsidR="00434017" w:rsidRDefault="00434017" w:rsidP="00685F4E">
            <w:pPr>
              <w:spacing w:after="0"/>
              <w:rPr>
                <w:rFonts w:ascii="Arial" w:hAnsi="Arial" w:cs="Arial"/>
                <w:sz w:val="20"/>
                <w:szCs w:val="20"/>
              </w:rPr>
            </w:pPr>
            <w:r>
              <w:rPr>
                <w:rFonts w:ascii="Arial" w:hAnsi="Arial" w:cs="Arial"/>
                <w:sz w:val="20"/>
                <w:szCs w:val="20"/>
              </w:rPr>
              <w:t>Specialist maintenance for security assets</w:t>
            </w:r>
          </w:p>
        </w:tc>
        <w:tc>
          <w:tcPr>
            <w:tcW w:w="6186" w:type="dxa"/>
          </w:tcPr>
          <w:p w14:paraId="08460502" w14:textId="74268AD7" w:rsidR="00434017" w:rsidRPr="0016656F" w:rsidRDefault="00434017" w:rsidP="00685F4E">
            <w:pPr>
              <w:spacing w:after="0"/>
              <w:rPr>
                <w:rFonts w:ascii="Arial" w:hAnsi="Arial" w:cs="Arial"/>
                <w:sz w:val="20"/>
                <w:szCs w:val="20"/>
              </w:rPr>
            </w:pPr>
            <w:r>
              <w:rPr>
                <w:rFonts w:ascii="Arial" w:hAnsi="Arial" w:cs="Arial"/>
                <w:sz w:val="20"/>
                <w:szCs w:val="20"/>
              </w:rPr>
              <w:t>Planned and reactive maintenance of security assets including CCTV, external access control, barriers, bollards and air-locks</w:t>
            </w:r>
            <w:r w:rsidR="00E65931">
              <w:rPr>
                <w:rFonts w:ascii="Arial" w:hAnsi="Arial" w:cs="Arial"/>
                <w:sz w:val="20"/>
                <w:szCs w:val="20"/>
              </w:rPr>
              <w:t>.</w:t>
            </w:r>
          </w:p>
        </w:tc>
      </w:tr>
      <w:tr w:rsidR="005A3F7E" w14:paraId="056C02BE" w14:textId="77777777" w:rsidTr="00F80E25">
        <w:tc>
          <w:tcPr>
            <w:tcW w:w="2830" w:type="dxa"/>
          </w:tcPr>
          <w:p w14:paraId="47E5F028" w14:textId="77777777" w:rsidR="005A3F7E" w:rsidRPr="002E7A5F" w:rsidRDefault="005A3F7E" w:rsidP="00685F4E">
            <w:pPr>
              <w:spacing w:after="0"/>
              <w:rPr>
                <w:rFonts w:ascii="Arial" w:hAnsi="Arial" w:cs="Arial"/>
                <w:sz w:val="20"/>
                <w:szCs w:val="20"/>
              </w:rPr>
            </w:pPr>
            <w:r>
              <w:rPr>
                <w:rFonts w:ascii="Arial" w:hAnsi="Arial" w:cs="Arial"/>
                <w:sz w:val="20"/>
                <w:szCs w:val="20"/>
              </w:rPr>
              <w:t>Grounds maintenance</w:t>
            </w:r>
          </w:p>
        </w:tc>
        <w:tc>
          <w:tcPr>
            <w:tcW w:w="6186" w:type="dxa"/>
          </w:tcPr>
          <w:p w14:paraId="5B3B1A47" w14:textId="77777777" w:rsidR="005A3F7E" w:rsidRPr="0016656F" w:rsidRDefault="005A3F7E" w:rsidP="00685F4E">
            <w:pPr>
              <w:spacing w:after="0"/>
              <w:rPr>
                <w:rFonts w:ascii="Arial" w:hAnsi="Arial" w:cs="Arial"/>
                <w:sz w:val="20"/>
                <w:szCs w:val="20"/>
              </w:rPr>
            </w:pPr>
            <w:r w:rsidRPr="0016656F">
              <w:rPr>
                <w:rFonts w:ascii="Arial" w:hAnsi="Arial" w:cs="Arial"/>
                <w:sz w:val="20"/>
                <w:szCs w:val="20"/>
              </w:rPr>
              <w:t>Provision of landscaping services (maintenance of external areas) across portfolio</w:t>
            </w:r>
            <w:r>
              <w:rPr>
                <w:rFonts w:ascii="Arial" w:hAnsi="Arial" w:cs="Arial"/>
                <w:sz w:val="20"/>
                <w:szCs w:val="20"/>
              </w:rPr>
              <w:t>.</w:t>
            </w:r>
          </w:p>
        </w:tc>
      </w:tr>
      <w:tr w:rsidR="005A3F7E" w14:paraId="137FC731" w14:textId="77777777" w:rsidTr="00F80E25">
        <w:tc>
          <w:tcPr>
            <w:tcW w:w="9016" w:type="dxa"/>
            <w:gridSpan w:val="2"/>
          </w:tcPr>
          <w:p w14:paraId="1BB1EA8C" w14:textId="77777777" w:rsidR="005A3F7E" w:rsidRPr="002E7A5F" w:rsidRDefault="005A3F7E" w:rsidP="00685F4E">
            <w:pPr>
              <w:spacing w:after="0"/>
              <w:rPr>
                <w:rFonts w:ascii="Arial" w:hAnsi="Arial" w:cs="Arial"/>
                <w:b/>
                <w:sz w:val="20"/>
                <w:szCs w:val="20"/>
              </w:rPr>
            </w:pPr>
            <w:r>
              <w:rPr>
                <w:rFonts w:ascii="Arial" w:hAnsi="Arial" w:cs="Arial"/>
                <w:b/>
                <w:sz w:val="20"/>
                <w:szCs w:val="20"/>
              </w:rPr>
              <w:t>Soft FM Services</w:t>
            </w:r>
          </w:p>
        </w:tc>
      </w:tr>
      <w:tr w:rsidR="005A3F7E" w14:paraId="463C6B20" w14:textId="77777777" w:rsidTr="00F80E25">
        <w:tc>
          <w:tcPr>
            <w:tcW w:w="2830" w:type="dxa"/>
          </w:tcPr>
          <w:p w14:paraId="28095D79" w14:textId="77777777" w:rsidR="005A3F7E" w:rsidRPr="002E7A5F" w:rsidRDefault="005A3F7E" w:rsidP="00685F4E">
            <w:pPr>
              <w:spacing w:after="0"/>
              <w:rPr>
                <w:rFonts w:ascii="Arial" w:hAnsi="Arial" w:cs="Arial"/>
                <w:sz w:val="20"/>
                <w:szCs w:val="20"/>
              </w:rPr>
            </w:pPr>
            <w:r>
              <w:rPr>
                <w:rFonts w:ascii="Arial" w:hAnsi="Arial" w:cs="Arial"/>
                <w:sz w:val="20"/>
                <w:szCs w:val="20"/>
              </w:rPr>
              <w:t>Cleaning services</w:t>
            </w:r>
          </w:p>
        </w:tc>
        <w:tc>
          <w:tcPr>
            <w:tcW w:w="6186" w:type="dxa"/>
          </w:tcPr>
          <w:p w14:paraId="0A53A70E" w14:textId="77777777" w:rsidR="005A3F7E" w:rsidRPr="0016656F" w:rsidRDefault="005A3F7E" w:rsidP="00685F4E">
            <w:pPr>
              <w:spacing w:after="0"/>
              <w:rPr>
                <w:rFonts w:ascii="Arial" w:hAnsi="Arial" w:cs="Arial"/>
                <w:sz w:val="20"/>
                <w:szCs w:val="20"/>
              </w:rPr>
            </w:pPr>
            <w:r w:rsidRPr="0016656F">
              <w:rPr>
                <w:rFonts w:ascii="Arial" w:hAnsi="Arial" w:cs="Arial"/>
                <w:sz w:val="20"/>
                <w:szCs w:val="20"/>
              </w:rPr>
              <w:t xml:space="preserve">Provision of </w:t>
            </w:r>
            <w:r>
              <w:rPr>
                <w:rFonts w:ascii="Arial" w:hAnsi="Arial" w:cs="Arial"/>
                <w:sz w:val="20"/>
                <w:szCs w:val="20"/>
              </w:rPr>
              <w:t>c</w:t>
            </w:r>
            <w:r w:rsidRPr="0016656F">
              <w:rPr>
                <w:rFonts w:ascii="Arial" w:hAnsi="Arial" w:cs="Arial"/>
                <w:sz w:val="20"/>
                <w:szCs w:val="20"/>
              </w:rPr>
              <w:t>atering services (</w:t>
            </w:r>
            <w:r>
              <w:rPr>
                <w:rFonts w:ascii="Arial" w:hAnsi="Arial" w:cs="Arial"/>
                <w:sz w:val="20"/>
                <w:szCs w:val="20"/>
              </w:rPr>
              <w:t xml:space="preserve">staff </w:t>
            </w:r>
            <w:r w:rsidRPr="0016656F">
              <w:rPr>
                <w:rFonts w:ascii="Arial" w:hAnsi="Arial" w:cs="Arial"/>
                <w:sz w:val="20"/>
                <w:szCs w:val="20"/>
              </w:rPr>
              <w:t>restaurants, vending, and hospitality) within Posts</w:t>
            </w:r>
            <w:r>
              <w:rPr>
                <w:rFonts w:ascii="Arial" w:hAnsi="Arial" w:cs="Arial"/>
                <w:sz w:val="20"/>
                <w:szCs w:val="20"/>
              </w:rPr>
              <w:t>.</w:t>
            </w:r>
          </w:p>
        </w:tc>
      </w:tr>
      <w:tr w:rsidR="005A3F7E" w14:paraId="1AF80FC2" w14:textId="77777777" w:rsidTr="00F80E25">
        <w:tc>
          <w:tcPr>
            <w:tcW w:w="2830" w:type="dxa"/>
          </w:tcPr>
          <w:p w14:paraId="16E67675" w14:textId="77777777" w:rsidR="005A3F7E" w:rsidRPr="002E7A5F" w:rsidRDefault="005A3F7E" w:rsidP="00685F4E">
            <w:pPr>
              <w:spacing w:after="0"/>
              <w:rPr>
                <w:rFonts w:ascii="Arial" w:hAnsi="Arial" w:cs="Arial"/>
                <w:sz w:val="20"/>
                <w:szCs w:val="20"/>
              </w:rPr>
            </w:pPr>
            <w:r>
              <w:rPr>
                <w:rFonts w:ascii="Arial" w:hAnsi="Arial" w:cs="Arial"/>
                <w:sz w:val="20"/>
                <w:szCs w:val="20"/>
              </w:rPr>
              <w:t>Room booking services</w:t>
            </w:r>
          </w:p>
        </w:tc>
        <w:tc>
          <w:tcPr>
            <w:tcW w:w="6186" w:type="dxa"/>
          </w:tcPr>
          <w:p w14:paraId="225B1317" w14:textId="77777777" w:rsidR="005A3F7E" w:rsidRPr="0016656F" w:rsidRDefault="005A3F7E" w:rsidP="00685F4E">
            <w:pPr>
              <w:spacing w:after="0"/>
              <w:rPr>
                <w:rFonts w:ascii="Arial" w:hAnsi="Arial" w:cs="Arial"/>
                <w:sz w:val="20"/>
                <w:szCs w:val="20"/>
              </w:rPr>
            </w:pPr>
            <w:r w:rsidRPr="0016656F">
              <w:rPr>
                <w:rFonts w:ascii="Arial" w:hAnsi="Arial" w:cs="Arial"/>
                <w:sz w:val="20"/>
                <w:szCs w:val="20"/>
              </w:rPr>
              <w:t>Provision of room booking services including booking of rooms for meetings, set up of rooms, provision of equipment etc</w:t>
            </w:r>
            <w:r>
              <w:rPr>
                <w:rFonts w:ascii="Arial" w:hAnsi="Arial" w:cs="Arial"/>
                <w:sz w:val="20"/>
                <w:szCs w:val="20"/>
              </w:rPr>
              <w:t>.</w:t>
            </w:r>
            <w:r w:rsidRPr="0016656F">
              <w:rPr>
                <w:rFonts w:ascii="Arial" w:hAnsi="Arial" w:cs="Arial"/>
                <w:sz w:val="20"/>
                <w:szCs w:val="20"/>
              </w:rPr>
              <w:t xml:space="preserve"> and catering as required.  Provide info</w:t>
            </w:r>
            <w:r>
              <w:rPr>
                <w:rFonts w:ascii="Arial" w:hAnsi="Arial" w:cs="Arial"/>
                <w:sz w:val="20"/>
                <w:szCs w:val="20"/>
              </w:rPr>
              <w:t>rmation</w:t>
            </w:r>
            <w:r w:rsidRPr="0016656F">
              <w:rPr>
                <w:rFonts w:ascii="Arial" w:hAnsi="Arial" w:cs="Arial"/>
                <w:sz w:val="20"/>
                <w:szCs w:val="20"/>
              </w:rPr>
              <w:t xml:space="preserve"> on usage and availability</w:t>
            </w:r>
            <w:r>
              <w:rPr>
                <w:rFonts w:ascii="Arial" w:hAnsi="Arial" w:cs="Arial"/>
                <w:sz w:val="20"/>
                <w:szCs w:val="20"/>
              </w:rPr>
              <w:t>.</w:t>
            </w:r>
          </w:p>
        </w:tc>
      </w:tr>
      <w:tr w:rsidR="005A3F7E" w14:paraId="373B1BAB" w14:textId="77777777" w:rsidTr="00F80E25">
        <w:tc>
          <w:tcPr>
            <w:tcW w:w="2830" w:type="dxa"/>
          </w:tcPr>
          <w:p w14:paraId="39813402" w14:textId="77777777" w:rsidR="005A3F7E" w:rsidRPr="002E7A5F" w:rsidRDefault="005A3F7E" w:rsidP="00685F4E">
            <w:pPr>
              <w:spacing w:after="0"/>
              <w:rPr>
                <w:rFonts w:ascii="Arial" w:hAnsi="Arial" w:cs="Arial"/>
                <w:sz w:val="20"/>
                <w:szCs w:val="20"/>
              </w:rPr>
            </w:pPr>
            <w:r>
              <w:rPr>
                <w:rFonts w:ascii="Arial" w:hAnsi="Arial" w:cs="Arial"/>
                <w:sz w:val="20"/>
                <w:szCs w:val="20"/>
              </w:rPr>
              <w:t>Reception services</w:t>
            </w:r>
          </w:p>
        </w:tc>
        <w:tc>
          <w:tcPr>
            <w:tcW w:w="6186" w:type="dxa"/>
          </w:tcPr>
          <w:p w14:paraId="2CB502D9" w14:textId="77777777" w:rsidR="005A3F7E" w:rsidRPr="0016656F" w:rsidRDefault="005A3F7E" w:rsidP="00685F4E">
            <w:pPr>
              <w:spacing w:after="0"/>
              <w:rPr>
                <w:rFonts w:ascii="Arial" w:hAnsi="Arial" w:cs="Arial"/>
                <w:sz w:val="20"/>
                <w:szCs w:val="20"/>
              </w:rPr>
            </w:pPr>
            <w:r w:rsidRPr="0016656F">
              <w:rPr>
                <w:rFonts w:ascii="Arial" w:hAnsi="Arial" w:cs="Arial"/>
                <w:sz w:val="20"/>
                <w:szCs w:val="20"/>
              </w:rPr>
              <w:t>Provision of reception services (dealing with visitors, answering phones, providing assistance) within Posts</w:t>
            </w:r>
            <w:r>
              <w:rPr>
                <w:rFonts w:ascii="Arial" w:hAnsi="Arial" w:cs="Arial"/>
                <w:sz w:val="20"/>
                <w:szCs w:val="20"/>
              </w:rPr>
              <w:t>.</w:t>
            </w:r>
          </w:p>
        </w:tc>
      </w:tr>
      <w:tr w:rsidR="005A3F7E" w14:paraId="7F4B9F24" w14:textId="77777777" w:rsidTr="00F80E25">
        <w:tc>
          <w:tcPr>
            <w:tcW w:w="2830" w:type="dxa"/>
          </w:tcPr>
          <w:p w14:paraId="71A14AFB" w14:textId="77777777" w:rsidR="005A3F7E" w:rsidRPr="002E7A5F" w:rsidRDefault="005A3F7E" w:rsidP="00685F4E">
            <w:pPr>
              <w:spacing w:after="0"/>
              <w:rPr>
                <w:rFonts w:ascii="Arial" w:hAnsi="Arial" w:cs="Arial"/>
                <w:sz w:val="20"/>
                <w:szCs w:val="20"/>
              </w:rPr>
            </w:pPr>
            <w:r>
              <w:rPr>
                <w:rFonts w:ascii="Arial" w:hAnsi="Arial" w:cs="Arial"/>
                <w:sz w:val="20"/>
                <w:szCs w:val="20"/>
              </w:rPr>
              <w:t>Pest control services</w:t>
            </w:r>
          </w:p>
        </w:tc>
        <w:tc>
          <w:tcPr>
            <w:tcW w:w="6186" w:type="dxa"/>
          </w:tcPr>
          <w:p w14:paraId="53C6738C" w14:textId="77777777" w:rsidR="005A3F7E" w:rsidRPr="0016656F" w:rsidRDefault="005A3F7E" w:rsidP="00685F4E">
            <w:pPr>
              <w:spacing w:after="0"/>
              <w:rPr>
                <w:rFonts w:ascii="Arial" w:hAnsi="Arial" w:cs="Arial"/>
                <w:sz w:val="20"/>
                <w:szCs w:val="20"/>
              </w:rPr>
            </w:pPr>
            <w:r w:rsidRPr="0016656F">
              <w:rPr>
                <w:rFonts w:ascii="Arial" w:hAnsi="Arial" w:cs="Arial"/>
                <w:sz w:val="20"/>
                <w:szCs w:val="20"/>
              </w:rPr>
              <w:t>Provision of routine and ad hoc pest services to control vermin on sites</w:t>
            </w:r>
            <w:r>
              <w:rPr>
                <w:rFonts w:ascii="Arial" w:hAnsi="Arial" w:cs="Arial"/>
                <w:sz w:val="20"/>
                <w:szCs w:val="20"/>
              </w:rPr>
              <w:t>.</w:t>
            </w:r>
          </w:p>
        </w:tc>
      </w:tr>
      <w:tr w:rsidR="005A3F7E" w14:paraId="348A876D" w14:textId="77777777" w:rsidTr="00F80E25">
        <w:tc>
          <w:tcPr>
            <w:tcW w:w="2830" w:type="dxa"/>
          </w:tcPr>
          <w:p w14:paraId="13252DC1" w14:textId="77777777" w:rsidR="005A3F7E" w:rsidRPr="002E7A5F" w:rsidRDefault="005A3F7E" w:rsidP="00685F4E">
            <w:pPr>
              <w:spacing w:after="0"/>
              <w:rPr>
                <w:rFonts w:ascii="Arial" w:hAnsi="Arial" w:cs="Arial"/>
                <w:sz w:val="20"/>
                <w:szCs w:val="20"/>
              </w:rPr>
            </w:pPr>
            <w:r>
              <w:rPr>
                <w:rFonts w:ascii="Arial" w:hAnsi="Arial" w:cs="Arial"/>
                <w:sz w:val="20"/>
                <w:szCs w:val="20"/>
              </w:rPr>
              <w:lastRenderedPageBreak/>
              <w:t>Mail and porterage</w:t>
            </w:r>
          </w:p>
        </w:tc>
        <w:tc>
          <w:tcPr>
            <w:tcW w:w="6186" w:type="dxa"/>
          </w:tcPr>
          <w:p w14:paraId="1458FA64" w14:textId="77777777" w:rsidR="005A3F7E" w:rsidRPr="0016656F" w:rsidRDefault="005A3F7E" w:rsidP="00685F4E">
            <w:pPr>
              <w:spacing w:after="0"/>
              <w:rPr>
                <w:rFonts w:ascii="Arial" w:hAnsi="Arial" w:cs="Arial"/>
                <w:sz w:val="20"/>
                <w:szCs w:val="20"/>
              </w:rPr>
            </w:pPr>
            <w:r w:rsidRPr="0016656F">
              <w:rPr>
                <w:rFonts w:ascii="Arial" w:hAnsi="Arial" w:cs="Arial"/>
                <w:sz w:val="20"/>
                <w:szCs w:val="20"/>
              </w:rPr>
              <w:t>Provision of services to carry out general support functions such as m</w:t>
            </w:r>
            <w:r>
              <w:rPr>
                <w:rFonts w:ascii="Arial" w:hAnsi="Arial" w:cs="Arial"/>
                <w:sz w:val="20"/>
                <w:szCs w:val="20"/>
              </w:rPr>
              <w:t>oving and lifting</w:t>
            </w:r>
            <w:r w:rsidR="00B506AF">
              <w:rPr>
                <w:rFonts w:ascii="Arial" w:hAnsi="Arial" w:cs="Arial"/>
                <w:sz w:val="20"/>
                <w:szCs w:val="20"/>
              </w:rPr>
              <w:t xml:space="preserve"> </w:t>
            </w:r>
            <w:r>
              <w:rPr>
                <w:rFonts w:ascii="Arial" w:hAnsi="Arial" w:cs="Arial"/>
                <w:sz w:val="20"/>
                <w:szCs w:val="20"/>
              </w:rPr>
              <w:t xml:space="preserve">and delivering. </w:t>
            </w:r>
            <w:r w:rsidRPr="0016656F">
              <w:rPr>
                <w:rFonts w:ascii="Arial" w:hAnsi="Arial" w:cs="Arial"/>
                <w:sz w:val="20"/>
                <w:szCs w:val="20"/>
              </w:rPr>
              <w:t>Taking receipt of goods/mail inwards and outwards and providing visibility of costs</w:t>
            </w:r>
            <w:r>
              <w:rPr>
                <w:rFonts w:ascii="Arial" w:hAnsi="Arial" w:cs="Arial"/>
                <w:sz w:val="20"/>
                <w:szCs w:val="20"/>
              </w:rPr>
              <w:t>.</w:t>
            </w:r>
            <w:r w:rsidR="00B506AF">
              <w:rPr>
                <w:rFonts w:ascii="Arial" w:hAnsi="Arial" w:cs="Arial"/>
                <w:sz w:val="20"/>
                <w:szCs w:val="20"/>
              </w:rPr>
              <w:t xml:space="preserve">  Support to representational functions and events including set up and clear up.</w:t>
            </w:r>
          </w:p>
        </w:tc>
      </w:tr>
      <w:tr w:rsidR="005A3F7E" w14:paraId="2E7033D5" w14:textId="77777777" w:rsidTr="00F80E25">
        <w:tc>
          <w:tcPr>
            <w:tcW w:w="2830" w:type="dxa"/>
          </w:tcPr>
          <w:p w14:paraId="417A23CF" w14:textId="77777777" w:rsidR="005A3F7E" w:rsidRPr="002E7A5F" w:rsidRDefault="005A3F7E" w:rsidP="00685F4E">
            <w:pPr>
              <w:spacing w:after="0"/>
              <w:rPr>
                <w:rFonts w:ascii="Arial" w:hAnsi="Arial" w:cs="Arial"/>
                <w:sz w:val="20"/>
                <w:szCs w:val="20"/>
              </w:rPr>
            </w:pPr>
            <w:r>
              <w:rPr>
                <w:rFonts w:ascii="Arial" w:hAnsi="Arial" w:cs="Arial"/>
                <w:sz w:val="20"/>
                <w:szCs w:val="20"/>
              </w:rPr>
              <w:t>Office support services</w:t>
            </w:r>
          </w:p>
        </w:tc>
        <w:tc>
          <w:tcPr>
            <w:tcW w:w="6186" w:type="dxa"/>
          </w:tcPr>
          <w:p w14:paraId="05BC936B" w14:textId="77777777" w:rsidR="005A3F7E" w:rsidRPr="0016656F" w:rsidRDefault="005A3F7E" w:rsidP="00685F4E">
            <w:pPr>
              <w:spacing w:after="0"/>
              <w:rPr>
                <w:rFonts w:ascii="Arial" w:hAnsi="Arial" w:cs="Arial"/>
                <w:sz w:val="20"/>
                <w:szCs w:val="20"/>
              </w:rPr>
            </w:pPr>
            <w:r w:rsidRPr="0016656F">
              <w:rPr>
                <w:rFonts w:ascii="Arial" w:hAnsi="Arial" w:cs="Arial"/>
                <w:sz w:val="20"/>
                <w:szCs w:val="20"/>
              </w:rPr>
              <w:t>Management of office equipment agreements and suppliers and ensuring effective order and supply through maintenance/repair etc</w:t>
            </w:r>
            <w:r>
              <w:rPr>
                <w:rFonts w:ascii="Arial" w:hAnsi="Arial" w:cs="Arial"/>
                <w:sz w:val="20"/>
                <w:szCs w:val="20"/>
              </w:rPr>
              <w:t>. Management of stationery supplies.</w:t>
            </w:r>
          </w:p>
        </w:tc>
      </w:tr>
      <w:tr w:rsidR="005A3F7E" w14:paraId="7DEB60F2" w14:textId="77777777" w:rsidTr="00F80E25">
        <w:tc>
          <w:tcPr>
            <w:tcW w:w="2830" w:type="dxa"/>
          </w:tcPr>
          <w:p w14:paraId="2181428E" w14:textId="77777777" w:rsidR="005A3F7E" w:rsidRPr="002E7A5F" w:rsidRDefault="005A3F7E" w:rsidP="00685F4E">
            <w:pPr>
              <w:spacing w:after="0"/>
              <w:rPr>
                <w:rFonts w:ascii="Arial" w:hAnsi="Arial" w:cs="Arial"/>
                <w:sz w:val="20"/>
                <w:szCs w:val="20"/>
              </w:rPr>
            </w:pPr>
            <w:r>
              <w:rPr>
                <w:rFonts w:ascii="Arial" w:hAnsi="Arial" w:cs="Arial"/>
                <w:sz w:val="20"/>
                <w:szCs w:val="20"/>
              </w:rPr>
              <w:t>Cleaning and laundry</w:t>
            </w:r>
          </w:p>
        </w:tc>
        <w:tc>
          <w:tcPr>
            <w:tcW w:w="6186" w:type="dxa"/>
          </w:tcPr>
          <w:p w14:paraId="76E302B2" w14:textId="77777777" w:rsidR="005A3F7E" w:rsidRPr="0016656F" w:rsidRDefault="005A3F7E" w:rsidP="00685F4E">
            <w:pPr>
              <w:spacing w:after="0"/>
              <w:rPr>
                <w:rFonts w:ascii="Arial" w:hAnsi="Arial" w:cs="Arial"/>
                <w:sz w:val="20"/>
                <w:szCs w:val="20"/>
              </w:rPr>
            </w:pPr>
            <w:r w:rsidRPr="0016656F">
              <w:rPr>
                <w:rFonts w:ascii="Arial" w:hAnsi="Arial" w:cs="Arial"/>
                <w:sz w:val="20"/>
                <w:szCs w:val="20"/>
              </w:rPr>
              <w:t>Provision of clean facilities including planned, reactive cleaning, feminine hygiene, waste services, specialist cleaning and ad hoc laundry services</w:t>
            </w:r>
            <w:r>
              <w:rPr>
                <w:rFonts w:ascii="Arial" w:hAnsi="Arial" w:cs="Arial"/>
                <w:sz w:val="20"/>
                <w:szCs w:val="20"/>
              </w:rPr>
              <w:t>.</w:t>
            </w:r>
          </w:p>
        </w:tc>
      </w:tr>
      <w:tr w:rsidR="005A3F7E" w14:paraId="214A8FAF" w14:textId="77777777" w:rsidTr="00F80E25">
        <w:tc>
          <w:tcPr>
            <w:tcW w:w="2830" w:type="dxa"/>
          </w:tcPr>
          <w:p w14:paraId="49F30E89" w14:textId="77777777" w:rsidR="005A3F7E" w:rsidRPr="002E7A5F" w:rsidRDefault="005A3F7E" w:rsidP="00685F4E">
            <w:pPr>
              <w:spacing w:after="0"/>
              <w:rPr>
                <w:rFonts w:ascii="Arial" w:hAnsi="Arial" w:cs="Arial"/>
                <w:sz w:val="20"/>
                <w:szCs w:val="20"/>
              </w:rPr>
            </w:pPr>
            <w:r>
              <w:rPr>
                <w:rFonts w:ascii="Arial" w:hAnsi="Arial" w:cs="Arial"/>
                <w:sz w:val="20"/>
                <w:szCs w:val="20"/>
              </w:rPr>
              <w:t>Security services</w:t>
            </w:r>
          </w:p>
        </w:tc>
        <w:tc>
          <w:tcPr>
            <w:tcW w:w="6186" w:type="dxa"/>
          </w:tcPr>
          <w:p w14:paraId="0C8189E5" w14:textId="77777777" w:rsidR="005A3F7E" w:rsidRDefault="005A3F7E" w:rsidP="00685F4E">
            <w:pPr>
              <w:spacing w:after="0"/>
              <w:rPr>
                <w:rFonts w:ascii="Arial" w:hAnsi="Arial" w:cs="Arial"/>
                <w:sz w:val="20"/>
                <w:szCs w:val="20"/>
              </w:rPr>
            </w:pPr>
            <w:r>
              <w:rPr>
                <w:rFonts w:ascii="Arial" w:hAnsi="Arial" w:cs="Arial"/>
                <w:sz w:val="20"/>
                <w:szCs w:val="20"/>
              </w:rPr>
              <w:t>Provision of manned guarding, access control and electronic monitoring.</w:t>
            </w:r>
          </w:p>
          <w:p w14:paraId="6093CDC9" w14:textId="77777777" w:rsidR="000A4582" w:rsidRPr="0016656F" w:rsidRDefault="000A4582" w:rsidP="00685F4E">
            <w:pPr>
              <w:spacing w:after="0"/>
              <w:rPr>
                <w:rFonts w:ascii="Arial" w:hAnsi="Arial" w:cs="Arial"/>
                <w:sz w:val="20"/>
                <w:szCs w:val="20"/>
              </w:rPr>
            </w:pPr>
          </w:p>
        </w:tc>
      </w:tr>
      <w:tr w:rsidR="009210E6" w:rsidRPr="009210E6" w14:paraId="1FF3FF18" w14:textId="77777777" w:rsidTr="00F80E25">
        <w:tc>
          <w:tcPr>
            <w:tcW w:w="9016" w:type="dxa"/>
            <w:gridSpan w:val="2"/>
          </w:tcPr>
          <w:p w14:paraId="4476E31F" w14:textId="77777777" w:rsidR="009210E6" w:rsidRPr="00F80E25" w:rsidRDefault="009210E6" w:rsidP="00685F4E">
            <w:pPr>
              <w:spacing w:after="0"/>
              <w:rPr>
                <w:rFonts w:ascii="Arial" w:hAnsi="Arial" w:cs="Arial"/>
                <w:b/>
                <w:sz w:val="20"/>
                <w:szCs w:val="20"/>
              </w:rPr>
            </w:pPr>
            <w:r w:rsidRPr="00F80E25">
              <w:rPr>
                <w:rFonts w:ascii="Arial" w:hAnsi="Arial" w:cs="Arial"/>
                <w:b/>
                <w:sz w:val="20"/>
                <w:szCs w:val="20"/>
              </w:rPr>
              <w:t>Workplace Services</w:t>
            </w:r>
          </w:p>
        </w:tc>
      </w:tr>
      <w:tr w:rsidR="009210E6" w14:paraId="2968F284" w14:textId="77777777" w:rsidTr="00F80E25">
        <w:tc>
          <w:tcPr>
            <w:tcW w:w="2830" w:type="dxa"/>
          </w:tcPr>
          <w:p w14:paraId="6E8E0598" w14:textId="5B57A362" w:rsidR="009210E6" w:rsidRDefault="00562FA0" w:rsidP="00685F4E">
            <w:pPr>
              <w:spacing w:after="0"/>
              <w:rPr>
                <w:rFonts w:ascii="Arial" w:hAnsi="Arial" w:cs="Arial"/>
                <w:sz w:val="20"/>
                <w:szCs w:val="20"/>
              </w:rPr>
            </w:pPr>
            <w:r>
              <w:rPr>
                <w:rFonts w:ascii="Arial" w:hAnsi="Arial" w:cs="Arial"/>
                <w:sz w:val="20"/>
                <w:szCs w:val="20"/>
              </w:rPr>
              <w:t>Workplace experience s</w:t>
            </w:r>
            <w:r w:rsidR="009210E6">
              <w:rPr>
                <w:rFonts w:ascii="Arial" w:hAnsi="Arial" w:cs="Arial"/>
                <w:sz w:val="20"/>
                <w:szCs w:val="20"/>
              </w:rPr>
              <w:t>ervices</w:t>
            </w:r>
          </w:p>
        </w:tc>
        <w:tc>
          <w:tcPr>
            <w:tcW w:w="6186" w:type="dxa"/>
          </w:tcPr>
          <w:p w14:paraId="59799C2B" w14:textId="6DEA328D" w:rsidR="009210E6" w:rsidRDefault="009210E6" w:rsidP="00685F4E">
            <w:pPr>
              <w:spacing w:after="0"/>
              <w:rPr>
                <w:rFonts w:ascii="Arial" w:hAnsi="Arial" w:cs="Arial"/>
                <w:sz w:val="20"/>
                <w:szCs w:val="20"/>
              </w:rPr>
            </w:pPr>
            <w:r>
              <w:rPr>
                <w:rFonts w:ascii="Arial" w:hAnsi="Arial" w:cs="Arial"/>
                <w:sz w:val="20"/>
                <w:szCs w:val="20"/>
              </w:rPr>
              <w:t>Workspace experience services – including concierge/development of receptionist services to be higher profile/more aligned to supporting the wider workplace</w:t>
            </w:r>
            <w:r w:rsidR="00BC016A">
              <w:rPr>
                <w:rFonts w:ascii="Arial" w:hAnsi="Arial" w:cs="Arial"/>
                <w:sz w:val="20"/>
                <w:szCs w:val="20"/>
              </w:rPr>
              <w:t xml:space="preserve">, including in relation to elements of IT infrastructure support, such as </w:t>
            </w:r>
            <w:r w:rsidR="004E19F0">
              <w:rPr>
                <w:rFonts w:ascii="Arial" w:hAnsi="Arial" w:cs="Arial"/>
                <w:sz w:val="20"/>
                <w:szCs w:val="20"/>
              </w:rPr>
              <w:t>Wi-Fi</w:t>
            </w:r>
            <w:r w:rsidR="00BC016A">
              <w:rPr>
                <w:rFonts w:ascii="Arial" w:hAnsi="Arial" w:cs="Arial"/>
                <w:sz w:val="20"/>
                <w:szCs w:val="20"/>
              </w:rPr>
              <w:t xml:space="preserve"> and local networks.</w:t>
            </w:r>
          </w:p>
        </w:tc>
      </w:tr>
      <w:tr w:rsidR="009210E6" w14:paraId="4B239386" w14:textId="77777777" w:rsidTr="00F80E25">
        <w:tc>
          <w:tcPr>
            <w:tcW w:w="2830" w:type="dxa"/>
          </w:tcPr>
          <w:p w14:paraId="3A2C8413" w14:textId="3535781D" w:rsidR="009210E6" w:rsidRDefault="00562FA0" w:rsidP="00685F4E">
            <w:pPr>
              <w:spacing w:after="0"/>
              <w:rPr>
                <w:rFonts w:ascii="Arial" w:hAnsi="Arial" w:cs="Arial"/>
                <w:sz w:val="20"/>
                <w:szCs w:val="20"/>
              </w:rPr>
            </w:pPr>
            <w:r>
              <w:rPr>
                <w:rFonts w:ascii="Arial" w:hAnsi="Arial" w:cs="Arial"/>
                <w:sz w:val="20"/>
                <w:szCs w:val="20"/>
              </w:rPr>
              <w:t>Workplace utilisation s</w:t>
            </w:r>
            <w:r w:rsidR="009210E6">
              <w:rPr>
                <w:rFonts w:ascii="Arial" w:hAnsi="Arial" w:cs="Arial"/>
                <w:sz w:val="20"/>
                <w:szCs w:val="20"/>
              </w:rPr>
              <w:t>ervices</w:t>
            </w:r>
          </w:p>
        </w:tc>
        <w:tc>
          <w:tcPr>
            <w:tcW w:w="6186" w:type="dxa"/>
          </w:tcPr>
          <w:p w14:paraId="58D3A9BD" w14:textId="66F1D9E9" w:rsidR="009210E6" w:rsidRDefault="009210E6" w:rsidP="00685F4E">
            <w:pPr>
              <w:spacing w:after="0"/>
              <w:rPr>
                <w:rFonts w:ascii="Arial" w:hAnsi="Arial" w:cs="Arial"/>
                <w:sz w:val="20"/>
                <w:szCs w:val="20"/>
              </w:rPr>
            </w:pPr>
            <w:r>
              <w:rPr>
                <w:rFonts w:ascii="Arial" w:hAnsi="Arial" w:cs="Arial"/>
                <w:sz w:val="20"/>
                <w:szCs w:val="20"/>
              </w:rPr>
              <w:t>Workplace utilisation services including analysis and advice to achieve greater property utilisation and more flexible working</w:t>
            </w:r>
            <w:r w:rsidR="00F75004">
              <w:rPr>
                <w:rFonts w:ascii="Arial" w:hAnsi="Arial" w:cs="Arial"/>
                <w:sz w:val="20"/>
                <w:szCs w:val="20"/>
              </w:rPr>
              <w:t>.</w:t>
            </w:r>
          </w:p>
        </w:tc>
      </w:tr>
      <w:tr w:rsidR="00B506AF" w:rsidRPr="009210E6" w14:paraId="471A756C" w14:textId="77777777" w:rsidTr="00F80E25">
        <w:tc>
          <w:tcPr>
            <w:tcW w:w="9016" w:type="dxa"/>
            <w:gridSpan w:val="2"/>
          </w:tcPr>
          <w:p w14:paraId="2EDF49AE" w14:textId="77777777" w:rsidR="00B506AF" w:rsidRPr="00F80E25" w:rsidRDefault="00B506AF" w:rsidP="00685F4E">
            <w:pPr>
              <w:spacing w:after="0"/>
              <w:rPr>
                <w:rFonts w:ascii="Arial" w:hAnsi="Arial" w:cs="Arial"/>
                <w:b/>
                <w:sz w:val="20"/>
                <w:szCs w:val="20"/>
              </w:rPr>
            </w:pPr>
            <w:r w:rsidRPr="00F80E25">
              <w:rPr>
                <w:rFonts w:ascii="Arial" w:hAnsi="Arial" w:cs="Arial"/>
                <w:b/>
                <w:sz w:val="20"/>
                <w:szCs w:val="20"/>
              </w:rPr>
              <w:t>Project Related Services</w:t>
            </w:r>
          </w:p>
        </w:tc>
      </w:tr>
      <w:tr w:rsidR="009210E6" w14:paraId="13ECB6FB" w14:textId="77777777" w:rsidTr="00F80E25">
        <w:tc>
          <w:tcPr>
            <w:tcW w:w="2830" w:type="dxa"/>
          </w:tcPr>
          <w:p w14:paraId="5D178893" w14:textId="716A800A" w:rsidR="009210E6" w:rsidRPr="00F75004" w:rsidRDefault="00562FA0" w:rsidP="00685F4E">
            <w:pPr>
              <w:pStyle w:val="Default"/>
              <w:spacing w:before="60" w:line="276" w:lineRule="auto"/>
              <w:jc w:val="both"/>
              <w:rPr>
                <w:sz w:val="20"/>
                <w:szCs w:val="20"/>
              </w:rPr>
            </w:pPr>
            <w:r>
              <w:rPr>
                <w:sz w:val="20"/>
                <w:szCs w:val="20"/>
              </w:rPr>
              <w:t>Small/minor p</w:t>
            </w:r>
            <w:r w:rsidR="009210E6" w:rsidRPr="00F75004">
              <w:rPr>
                <w:sz w:val="20"/>
                <w:szCs w:val="20"/>
              </w:rPr>
              <w:t>rojects direct (self) delivery by supplier</w:t>
            </w:r>
          </w:p>
        </w:tc>
        <w:tc>
          <w:tcPr>
            <w:tcW w:w="6186" w:type="dxa"/>
          </w:tcPr>
          <w:p w14:paraId="6ADF4F29" w14:textId="77777777" w:rsidR="009210E6" w:rsidRDefault="00B506AF" w:rsidP="00685F4E">
            <w:pPr>
              <w:spacing w:after="0"/>
              <w:rPr>
                <w:rFonts w:ascii="Arial" w:hAnsi="Arial" w:cs="Arial"/>
                <w:sz w:val="20"/>
                <w:szCs w:val="20"/>
              </w:rPr>
            </w:pPr>
            <w:r>
              <w:rPr>
                <w:rFonts w:ascii="Arial" w:hAnsi="Arial" w:cs="Arial"/>
                <w:sz w:val="20"/>
                <w:szCs w:val="20"/>
              </w:rPr>
              <w:t>Self</w:t>
            </w:r>
            <w:r w:rsidR="00F80E25">
              <w:rPr>
                <w:rFonts w:ascii="Arial" w:hAnsi="Arial" w:cs="Arial"/>
                <w:sz w:val="20"/>
                <w:szCs w:val="20"/>
              </w:rPr>
              <w:t>-</w:t>
            </w:r>
            <w:r>
              <w:rPr>
                <w:rFonts w:ascii="Arial" w:hAnsi="Arial" w:cs="Arial"/>
                <w:sz w:val="20"/>
                <w:szCs w:val="20"/>
              </w:rPr>
              <w:t>delivery of small projects (redecorations, refurbishment, asset replacements) within occupied buildings and or as part of move in and move out processes for staff residential property.</w:t>
            </w:r>
          </w:p>
        </w:tc>
      </w:tr>
      <w:tr w:rsidR="009210E6" w14:paraId="28DB4137" w14:textId="77777777" w:rsidTr="00F80E25">
        <w:tc>
          <w:tcPr>
            <w:tcW w:w="2830" w:type="dxa"/>
          </w:tcPr>
          <w:p w14:paraId="7B3481FD" w14:textId="78F8A94D" w:rsidR="009210E6" w:rsidRPr="00F75004" w:rsidRDefault="00562FA0" w:rsidP="00685F4E">
            <w:pPr>
              <w:pStyle w:val="Default"/>
              <w:spacing w:before="60" w:line="276" w:lineRule="auto"/>
              <w:jc w:val="both"/>
              <w:rPr>
                <w:sz w:val="20"/>
                <w:szCs w:val="20"/>
              </w:rPr>
            </w:pPr>
            <w:r>
              <w:rPr>
                <w:sz w:val="20"/>
                <w:szCs w:val="20"/>
              </w:rPr>
              <w:t>Medium and larger p</w:t>
            </w:r>
            <w:r w:rsidR="009210E6" w:rsidRPr="00F75004">
              <w:rPr>
                <w:sz w:val="20"/>
                <w:szCs w:val="20"/>
              </w:rPr>
              <w:t>rojects procurement and project management</w:t>
            </w:r>
          </w:p>
          <w:p w14:paraId="286BB9B4" w14:textId="77777777" w:rsidR="009210E6" w:rsidRPr="00F75004" w:rsidRDefault="009210E6" w:rsidP="00685F4E">
            <w:pPr>
              <w:pStyle w:val="Default"/>
              <w:spacing w:before="60" w:line="276" w:lineRule="auto"/>
              <w:jc w:val="both"/>
              <w:rPr>
                <w:sz w:val="20"/>
                <w:szCs w:val="20"/>
              </w:rPr>
            </w:pPr>
          </w:p>
        </w:tc>
        <w:tc>
          <w:tcPr>
            <w:tcW w:w="6186" w:type="dxa"/>
          </w:tcPr>
          <w:p w14:paraId="47BFEC5B" w14:textId="25499CC5" w:rsidR="009210E6" w:rsidRDefault="00B506AF" w:rsidP="00685F4E">
            <w:pPr>
              <w:spacing w:after="0"/>
              <w:rPr>
                <w:rFonts w:ascii="Arial" w:hAnsi="Arial" w:cs="Arial"/>
                <w:sz w:val="20"/>
                <w:szCs w:val="20"/>
              </w:rPr>
            </w:pPr>
            <w:r>
              <w:rPr>
                <w:rFonts w:ascii="Arial" w:hAnsi="Arial" w:cs="Arial"/>
                <w:sz w:val="20"/>
                <w:szCs w:val="20"/>
              </w:rPr>
              <w:t>Project management and procurement of medium and large projects within occupied, partially occupied or temporarily vacated properties (including refurbishments, redecorations, asset replacement and/or compliance related works)</w:t>
            </w:r>
            <w:r w:rsidR="00E16649">
              <w:rPr>
                <w:rFonts w:ascii="Arial" w:hAnsi="Arial" w:cs="Arial"/>
                <w:sz w:val="20"/>
                <w:szCs w:val="20"/>
              </w:rPr>
              <w:t>.</w:t>
            </w:r>
          </w:p>
        </w:tc>
      </w:tr>
      <w:tr w:rsidR="009210E6" w14:paraId="0291CE9A" w14:textId="77777777" w:rsidTr="00F80E25">
        <w:tc>
          <w:tcPr>
            <w:tcW w:w="2830" w:type="dxa"/>
          </w:tcPr>
          <w:p w14:paraId="7E61B2DE" w14:textId="436512EB" w:rsidR="009210E6" w:rsidRDefault="00562FA0" w:rsidP="00685F4E">
            <w:pPr>
              <w:spacing w:after="0"/>
              <w:rPr>
                <w:rFonts w:ascii="Arial" w:hAnsi="Arial" w:cs="Arial"/>
                <w:sz w:val="20"/>
                <w:szCs w:val="20"/>
              </w:rPr>
            </w:pPr>
            <w:r>
              <w:rPr>
                <w:rFonts w:ascii="Arial" w:hAnsi="Arial" w:cs="Arial"/>
                <w:sz w:val="20"/>
                <w:szCs w:val="20"/>
              </w:rPr>
              <w:t>Programme m</w:t>
            </w:r>
            <w:r w:rsidR="009210E6">
              <w:rPr>
                <w:rFonts w:ascii="Arial" w:hAnsi="Arial" w:cs="Arial"/>
                <w:sz w:val="20"/>
                <w:szCs w:val="20"/>
              </w:rPr>
              <w:t>anagement</w:t>
            </w:r>
          </w:p>
        </w:tc>
        <w:tc>
          <w:tcPr>
            <w:tcW w:w="6186" w:type="dxa"/>
          </w:tcPr>
          <w:p w14:paraId="0517F154" w14:textId="1B0C2136" w:rsidR="009210E6" w:rsidRDefault="00B506AF" w:rsidP="00685F4E">
            <w:pPr>
              <w:spacing w:after="0"/>
              <w:rPr>
                <w:rFonts w:ascii="Arial" w:hAnsi="Arial" w:cs="Arial"/>
                <w:sz w:val="20"/>
                <w:szCs w:val="20"/>
              </w:rPr>
            </w:pPr>
            <w:r>
              <w:rPr>
                <w:rFonts w:ascii="Arial" w:hAnsi="Arial" w:cs="Arial"/>
                <w:sz w:val="20"/>
                <w:szCs w:val="20"/>
              </w:rPr>
              <w:t>Programme management of a portfolio or maintenance and refurbishment projects</w:t>
            </w:r>
            <w:r w:rsidR="00F75004">
              <w:rPr>
                <w:rFonts w:ascii="Arial" w:hAnsi="Arial" w:cs="Arial"/>
                <w:sz w:val="20"/>
                <w:szCs w:val="20"/>
              </w:rPr>
              <w:t>.</w:t>
            </w:r>
          </w:p>
        </w:tc>
      </w:tr>
      <w:tr w:rsidR="009210E6" w14:paraId="7CF3DEDA" w14:textId="77777777" w:rsidTr="00F80E25">
        <w:tc>
          <w:tcPr>
            <w:tcW w:w="2830" w:type="dxa"/>
          </w:tcPr>
          <w:p w14:paraId="2EAFAE6E" w14:textId="4B82E729" w:rsidR="009210E6" w:rsidRDefault="009210E6" w:rsidP="00685F4E">
            <w:pPr>
              <w:spacing w:after="0"/>
              <w:rPr>
                <w:rFonts w:ascii="Arial" w:hAnsi="Arial" w:cs="Arial"/>
                <w:sz w:val="20"/>
                <w:szCs w:val="20"/>
              </w:rPr>
            </w:pPr>
            <w:r>
              <w:rPr>
                <w:rFonts w:ascii="Arial" w:hAnsi="Arial" w:cs="Arial"/>
                <w:sz w:val="20"/>
                <w:szCs w:val="20"/>
              </w:rPr>
              <w:t xml:space="preserve">Design and </w:t>
            </w:r>
            <w:r w:rsidR="00562FA0">
              <w:rPr>
                <w:rFonts w:ascii="Arial" w:hAnsi="Arial" w:cs="Arial"/>
                <w:sz w:val="20"/>
                <w:szCs w:val="20"/>
              </w:rPr>
              <w:t>p</w:t>
            </w:r>
            <w:r w:rsidR="00B506AF">
              <w:rPr>
                <w:rFonts w:ascii="Arial" w:hAnsi="Arial" w:cs="Arial"/>
                <w:sz w:val="20"/>
                <w:szCs w:val="20"/>
              </w:rPr>
              <w:t>rofe</w:t>
            </w:r>
            <w:r w:rsidR="00562FA0">
              <w:rPr>
                <w:rFonts w:ascii="Arial" w:hAnsi="Arial" w:cs="Arial"/>
                <w:sz w:val="20"/>
                <w:szCs w:val="20"/>
              </w:rPr>
              <w:t>ssional building consultancy s</w:t>
            </w:r>
            <w:r w:rsidR="00B506AF">
              <w:rPr>
                <w:rFonts w:ascii="Arial" w:hAnsi="Arial" w:cs="Arial"/>
                <w:sz w:val="20"/>
                <w:szCs w:val="20"/>
              </w:rPr>
              <w:t>ervices</w:t>
            </w:r>
          </w:p>
        </w:tc>
        <w:tc>
          <w:tcPr>
            <w:tcW w:w="6186" w:type="dxa"/>
          </w:tcPr>
          <w:p w14:paraId="24C38C8E" w14:textId="5140AB7D" w:rsidR="009210E6" w:rsidRDefault="00B506AF" w:rsidP="00685F4E">
            <w:pPr>
              <w:spacing w:after="0"/>
              <w:rPr>
                <w:rFonts w:ascii="Arial" w:hAnsi="Arial" w:cs="Arial"/>
                <w:sz w:val="20"/>
                <w:szCs w:val="20"/>
              </w:rPr>
            </w:pPr>
            <w:r>
              <w:rPr>
                <w:rFonts w:ascii="Arial" w:hAnsi="Arial" w:cs="Arial"/>
                <w:sz w:val="20"/>
                <w:szCs w:val="20"/>
              </w:rPr>
              <w:t>Provision of professional services relating to the scoping, sourcing and delivery of projects across the RIBA project lifecycle stages.  Professional services to include QS, M&amp;E, Civil Engineering, Structural Engineering, Design and Architectural services relating to maintenance, refurbishment, and lifecycle asset replacements</w:t>
            </w:r>
            <w:r w:rsidR="00F75004">
              <w:rPr>
                <w:rFonts w:ascii="Arial" w:hAnsi="Arial" w:cs="Arial"/>
                <w:sz w:val="20"/>
                <w:szCs w:val="20"/>
              </w:rPr>
              <w:t>.</w:t>
            </w:r>
          </w:p>
        </w:tc>
      </w:tr>
      <w:tr w:rsidR="00B506AF" w:rsidRPr="001C0EDB" w14:paraId="089A3D38" w14:textId="77777777" w:rsidTr="00F80E25">
        <w:tc>
          <w:tcPr>
            <w:tcW w:w="9016" w:type="dxa"/>
            <w:gridSpan w:val="2"/>
          </w:tcPr>
          <w:p w14:paraId="32B94509" w14:textId="77777777" w:rsidR="00B506AF" w:rsidRPr="001C0EDB" w:rsidRDefault="00B506AF" w:rsidP="00685F4E">
            <w:pPr>
              <w:spacing w:after="0"/>
              <w:rPr>
                <w:rFonts w:ascii="Arial" w:hAnsi="Arial" w:cs="Arial"/>
                <w:b/>
                <w:sz w:val="20"/>
                <w:szCs w:val="27"/>
              </w:rPr>
            </w:pPr>
            <w:r>
              <w:rPr>
                <w:rFonts w:ascii="Arial" w:hAnsi="Arial" w:cs="Arial"/>
                <w:b/>
                <w:sz w:val="20"/>
                <w:szCs w:val="27"/>
              </w:rPr>
              <w:t xml:space="preserve">Professional Property and </w:t>
            </w:r>
            <w:r w:rsidRPr="001C0EDB">
              <w:rPr>
                <w:rFonts w:ascii="Arial" w:hAnsi="Arial" w:cs="Arial"/>
                <w:b/>
                <w:sz w:val="20"/>
                <w:szCs w:val="27"/>
              </w:rPr>
              <w:t>Estates Management</w:t>
            </w:r>
            <w:r>
              <w:rPr>
                <w:rFonts w:ascii="Arial" w:hAnsi="Arial" w:cs="Arial"/>
                <w:b/>
                <w:sz w:val="20"/>
                <w:szCs w:val="27"/>
              </w:rPr>
              <w:t xml:space="preserve"> Services</w:t>
            </w:r>
          </w:p>
        </w:tc>
      </w:tr>
      <w:tr w:rsidR="00B506AF" w:rsidRPr="0016656F" w14:paraId="4A0D9D7E" w14:textId="77777777" w:rsidTr="00F80E25">
        <w:tc>
          <w:tcPr>
            <w:tcW w:w="2830" w:type="dxa"/>
          </w:tcPr>
          <w:p w14:paraId="202B43BE" w14:textId="77777777" w:rsidR="00B506AF" w:rsidRPr="001C0EDB" w:rsidRDefault="00B506AF" w:rsidP="00685F4E">
            <w:pPr>
              <w:spacing w:after="0"/>
              <w:rPr>
                <w:rFonts w:ascii="Arial" w:hAnsi="Arial" w:cs="Arial"/>
                <w:sz w:val="20"/>
                <w:szCs w:val="27"/>
              </w:rPr>
            </w:pPr>
            <w:r>
              <w:rPr>
                <w:rFonts w:ascii="Arial" w:hAnsi="Arial" w:cs="Arial"/>
                <w:sz w:val="20"/>
                <w:szCs w:val="27"/>
              </w:rPr>
              <w:t>Valuations</w:t>
            </w:r>
          </w:p>
        </w:tc>
        <w:tc>
          <w:tcPr>
            <w:tcW w:w="6186" w:type="dxa"/>
          </w:tcPr>
          <w:p w14:paraId="36D2A4EB" w14:textId="77777777" w:rsidR="00B506AF" w:rsidRPr="0016656F" w:rsidRDefault="00B506AF" w:rsidP="00685F4E">
            <w:pPr>
              <w:pStyle w:val="Heading3"/>
              <w:keepNext w:val="0"/>
              <w:numPr>
                <w:ilvl w:val="2"/>
                <w:numId w:val="0"/>
              </w:numPr>
              <w:tabs>
                <w:tab w:val="num" w:pos="175"/>
              </w:tabs>
              <w:spacing w:before="60" w:after="0"/>
              <w:ind w:left="34"/>
              <w:outlineLvl w:val="2"/>
              <w:rPr>
                <w:rFonts w:cs="Arial"/>
                <w:b w:val="0"/>
                <w:sz w:val="20"/>
                <w:szCs w:val="20"/>
              </w:rPr>
            </w:pPr>
            <w:r w:rsidRPr="0016656F">
              <w:rPr>
                <w:rFonts w:cs="Arial"/>
                <w:b w:val="0"/>
                <w:sz w:val="20"/>
                <w:szCs w:val="20"/>
              </w:rPr>
              <w:t>Providing independent valuations following request from FCO.</w:t>
            </w:r>
          </w:p>
        </w:tc>
      </w:tr>
      <w:tr w:rsidR="00B506AF" w:rsidRPr="0016656F" w14:paraId="515160C5" w14:textId="77777777" w:rsidTr="00F80E25">
        <w:tc>
          <w:tcPr>
            <w:tcW w:w="2830" w:type="dxa"/>
          </w:tcPr>
          <w:p w14:paraId="075FC79D" w14:textId="77777777" w:rsidR="00B506AF" w:rsidRPr="001C0EDB" w:rsidRDefault="00B506AF" w:rsidP="00685F4E">
            <w:pPr>
              <w:spacing w:after="0"/>
              <w:rPr>
                <w:rFonts w:ascii="Arial" w:hAnsi="Arial" w:cs="Arial"/>
                <w:sz w:val="20"/>
                <w:szCs w:val="27"/>
              </w:rPr>
            </w:pPr>
            <w:r>
              <w:rPr>
                <w:rFonts w:ascii="Arial" w:hAnsi="Arial" w:cs="Arial"/>
                <w:sz w:val="20"/>
                <w:szCs w:val="27"/>
              </w:rPr>
              <w:t>Acquisitions</w:t>
            </w:r>
          </w:p>
        </w:tc>
        <w:tc>
          <w:tcPr>
            <w:tcW w:w="6186" w:type="dxa"/>
          </w:tcPr>
          <w:p w14:paraId="0079878A" w14:textId="77777777" w:rsidR="00B506AF" w:rsidRPr="0016656F" w:rsidRDefault="00B506AF" w:rsidP="00685F4E">
            <w:pPr>
              <w:pStyle w:val="Heading3"/>
              <w:keepNext w:val="0"/>
              <w:numPr>
                <w:ilvl w:val="2"/>
                <w:numId w:val="0"/>
              </w:numPr>
              <w:tabs>
                <w:tab w:val="num" w:pos="836"/>
              </w:tabs>
              <w:spacing w:before="60" w:after="0"/>
              <w:outlineLvl w:val="2"/>
              <w:rPr>
                <w:rFonts w:cs="Arial"/>
                <w:sz w:val="20"/>
                <w:szCs w:val="20"/>
              </w:rPr>
            </w:pPr>
            <w:r w:rsidRPr="0016656F">
              <w:rPr>
                <w:rFonts w:cs="Arial"/>
                <w:b w:val="0"/>
                <w:sz w:val="20"/>
                <w:szCs w:val="20"/>
              </w:rPr>
              <w:t>The provision of support, guidance or management on property acquisition.</w:t>
            </w:r>
          </w:p>
        </w:tc>
      </w:tr>
      <w:tr w:rsidR="00B506AF" w:rsidRPr="0016656F" w14:paraId="56D086D2" w14:textId="77777777" w:rsidTr="00F80E25">
        <w:tc>
          <w:tcPr>
            <w:tcW w:w="2830" w:type="dxa"/>
          </w:tcPr>
          <w:p w14:paraId="39FA42C7" w14:textId="77777777" w:rsidR="00B506AF" w:rsidRPr="001C0EDB" w:rsidRDefault="00B506AF" w:rsidP="00685F4E">
            <w:pPr>
              <w:spacing w:after="0"/>
              <w:rPr>
                <w:rFonts w:ascii="Arial" w:hAnsi="Arial" w:cs="Arial"/>
                <w:sz w:val="20"/>
                <w:szCs w:val="27"/>
              </w:rPr>
            </w:pPr>
            <w:r>
              <w:rPr>
                <w:rFonts w:ascii="Arial" w:hAnsi="Arial" w:cs="Arial"/>
                <w:sz w:val="20"/>
                <w:szCs w:val="27"/>
              </w:rPr>
              <w:t>Disposals</w:t>
            </w:r>
          </w:p>
        </w:tc>
        <w:tc>
          <w:tcPr>
            <w:tcW w:w="6186" w:type="dxa"/>
          </w:tcPr>
          <w:p w14:paraId="50E0B019" w14:textId="77777777" w:rsidR="00B506AF" w:rsidRPr="0016656F" w:rsidRDefault="00B506AF" w:rsidP="00685F4E">
            <w:pPr>
              <w:pStyle w:val="Heading3"/>
              <w:keepNext w:val="0"/>
              <w:numPr>
                <w:ilvl w:val="2"/>
                <w:numId w:val="0"/>
              </w:numPr>
              <w:tabs>
                <w:tab w:val="num" w:pos="836"/>
              </w:tabs>
              <w:spacing w:before="60" w:after="0"/>
              <w:outlineLvl w:val="2"/>
              <w:rPr>
                <w:rFonts w:cs="Arial"/>
                <w:sz w:val="20"/>
                <w:szCs w:val="20"/>
              </w:rPr>
            </w:pPr>
            <w:r w:rsidRPr="0016656F">
              <w:rPr>
                <w:rFonts w:cs="Arial"/>
                <w:b w:val="0"/>
                <w:sz w:val="20"/>
                <w:szCs w:val="20"/>
              </w:rPr>
              <w:t>Provision of property disposal services.</w:t>
            </w:r>
          </w:p>
        </w:tc>
      </w:tr>
      <w:tr w:rsidR="00B506AF" w:rsidRPr="0016656F" w14:paraId="01638289" w14:textId="77777777" w:rsidTr="00F80E25">
        <w:tc>
          <w:tcPr>
            <w:tcW w:w="2830" w:type="dxa"/>
          </w:tcPr>
          <w:p w14:paraId="18D11B08" w14:textId="77777777" w:rsidR="00B506AF" w:rsidRPr="001C0EDB" w:rsidRDefault="00B506AF" w:rsidP="00685F4E">
            <w:pPr>
              <w:spacing w:after="0"/>
              <w:rPr>
                <w:rFonts w:ascii="Arial" w:hAnsi="Arial" w:cs="Arial"/>
                <w:sz w:val="20"/>
                <w:szCs w:val="27"/>
              </w:rPr>
            </w:pPr>
            <w:r>
              <w:rPr>
                <w:rFonts w:ascii="Arial" w:hAnsi="Arial" w:cs="Arial"/>
                <w:sz w:val="20"/>
                <w:szCs w:val="27"/>
              </w:rPr>
              <w:t>Asset plans</w:t>
            </w:r>
          </w:p>
        </w:tc>
        <w:tc>
          <w:tcPr>
            <w:tcW w:w="6186" w:type="dxa"/>
          </w:tcPr>
          <w:p w14:paraId="2906B53C" w14:textId="77777777" w:rsidR="00B506AF" w:rsidRPr="0016656F" w:rsidRDefault="00B506AF" w:rsidP="00685F4E">
            <w:pPr>
              <w:pStyle w:val="Heading3"/>
              <w:keepNext w:val="0"/>
              <w:spacing w:before="60" w:after="0"/>
              <w:outlineLvl w:val="2"/>
              <w:rPr>
                <w:rFonts w:eastAsia="Calibri" w:cs="Arial"/>
                <w:b w:val="0"/>
                <w:bCs w:val="0"/>
                <w:sz w:val="20"/>
                <w:szCs w:val="20"/>
              </w:rPr>
            </w:pPr>
            <w:r w:rsidRPr="0016656F">
              <w:rPr>
                <w:rFonts w:eastAsia="Calibri" w:cs="Arial"/>
                <w:b w:val="0"/>
                <w:bCs w:val="0"/>
                <w:sz w:val="20"/>
                <w:szCs w:val="20"/>
              </w:rPr>
              <w:t>Development an</w:t>
            </w:r>
            <w:r>
              <w:rPr>
                <w:rFonts w:eastAsia="Calibri" w:cs="Arial"/>
                <w:b w:val="0"/>
                <w:bCs w:val="0"/>
                <w:sz w:val="20"/>
                <w:szCs w:val="20"/>
              </w:rPr>
              <w:t>d implementation of individual a</w:t>
            </w:r>
            <w:r w:rsidRPr="0016656F">
              <w:rPr>
                <w:rFonts w:eastAsia="Calibri" w:cs="Arial"/>
                <w:b w:val="0"/>
                <w:bCs w:val="0"/>
                <w:sz w:val="20"/>
                <w:szCs w:val="20"/>
              </w:rPr>
              <w:t xml:space="preserve">sset </w:t>
            </w:r>
            <w:r>
              <w:rPr>
                <w:rFonts w:eastAsia="Calibri" w:cs="Arial"/>
                <w:b w:val="0"/>
                <w:bCs w:val="0"/>
                <w:sz w:val="20"/>
                <w:szCs w:val="20"/>
              </w:rPr>
              <w:t>p</w:t>
            </w:r>
            <w:r w:rsidRPr="0016656F">
              <w:rPr>
                <w:rFonts w:eastAsia="Calibri" w:cs="Arial"/>
                <w:b w:val="0"/>
                <w:bCs w:val="0"/>
                <w:sz w:val="20"/>
                <w:szCs w:val="20"/>
              </w:rPr>
              <w:t xml:space="preserve">lans for each </w:t>
            </w:r>
            <w:r>
              <w:rPr>
                <w:rFonts w:eastAsia="Calibri" w:cs="Arial"/>
                <w:b w:val="0"/>
                <w:bCs w:val="0"/>
                <w:sz w:val="20"/>
                <w:szCs w:val="20"/>
              </w:rPr>
              <w:t>p</w:t>
            </w:r>
            <w:r w:rsidRPr="0016656F">
              <w:rPr>
                <w:rFonts w:eastAsia="Calibri" w:cs="Arial"/>
                <w:b w:val="0"/>
                <w:bCs w:val="0"/>
                <w:sz w:val="20"/>
                <w:szCs w:val="20"/>
              </w:rPr>
              <w:t>rop</w:t>
            </w:r>
            <w:r>
              <w:rPr>
                <w:rFonts w:eastAsia="Calibri" w:cs="Arial"/>
                <w:b w:val="0"/>
                <w:bCs w:val="0"/>
                <w:sz w:val="20"/>
                <w:szCs w:val="20"/>
              </w:rPr>
              <w:t xml:space="preserve">erty consistent with Property </w:t>
            </w:r>
            <w:r w:rsidRPr="0016656F">
              <w:rPr>
                <w:rFonts w:eastAsia="Calibri" w:cs="Arial"/>
                <w:b w:val="0"/>
                <w:bCs w:val="0"/>
                <w:sz w:val="20"/>
                <w:szCs w:val="20"/>
              </w:rPr>
              <w:t>Strategic Plan</w:t>
            </w:r>
            <w:r>
              <w:rPr>
                <w:rFonts w:eastAsia="Calibri" w:cs="Arial"/>
                <w:b w:val="0"/>
                <w:bCs w:val="0"/>
                <w:sz w:val="20"/>
                <w:szCs w:val="20"/>
              </w:rPr>
              <w:t>.</w:t>
            </w:r>
          </w:p>
        </w:tc>
      </w:tr>
      <w:tr w:rsidR="00B506AF" w:rsidRPr="0016656F" w14:paraId="51C72E6E" w14:textId="77777777" w:rsidTr="00F80E25">
        <w:tc>
          <w:tcPr>
            <w:tcW w:w="2830" w:type="dxa"/>
          </w:tcPr>
          <w:p w14:paraId="61937D09" w14:textId="77777777" w:rsidR="00B506AF" w:rsidRPr="001C0EDB" w:rsidRDefault="00B506AF" w:rsidP="00685F4E">
            <w:pPr>
              <w:spacing w:after="0"/>
              <w:rPr>
                <w:rFonts w:ascii="Arial" w:hAnsi="Arial" w:cs="Arial"/>
                <w:sz w:val="20"/>
                <w:szCs w:val="27"/>
              </w:rPr>
            </w:pPr>
            <w:r>
              <w:rPr>
                <w:rFonts w:ascii="Arial" w:hAnsi="Arial" w:cs="Arial"/>
                <w:sz w:val="20"/>
                <w:szCs w:val="27"/>
              </w:rPr>
              <w:t>Lease administration</w:t>
            </w:r>
          </w:p>
        </w:tc>
        <w:tc>
          <w:tcPr>
            <w:tcW w:w="6186" w:type="dxa"/>
          </w:tcPr>
          <w:p w14:paraId="7230B61B" w14:textId="77777777" w:rsidR="00B506AF" w:rsidRPr="0016656F" w:rsidRDefault="00B506AF" w:rsidP="00685F4E">
            <w:pPr>
              <w:pStyle w:val="Heading3"/>
              <w:keepNext w:val="0"/>
              <w:numPr>
                <w:ilvl w:val="2"/>
                <w:numId w:val="0"/>
              </w:numPr>
              <w:tabs>
                <w:tab w:val="num" w:pos="836"/>
              </w:tabs>
              <w:spacing w:before="60" w:after="0"/>
              <w:outlineLvl w:val="2"/>
              <w:rPr>
                <w:rFonts w:eastAsia="Calibri" w:cs="Arial"/>
                <w:b w:val="0"/>
                <w:bCs w:val="0"/>
                <w:sz w:val="20"/>
                <w:szCs w:val="20"/>
              </w:rPr>
            </w:pPr>
            <w:r>
              <w:rPr>
                <w:rFonts w:eastAsia="Calibri" w:cs="Arial"/>
                <w:b w:val="0"/>
                <w:bCs w:val="0"/>
                <w:sz w:val="20"/>
                <w:szCs w:val="20"/>
              </w:rPr>
              <w:t xml:space="preserve">Negotiate lease renewal T&amp;Cs. </w:t>
            </w:r>
            <w:r w:rsidRPr="0016656F">
              <w:rPr>
                <w:rFonts w:eastAsia="Calibri" w:cs="Arial"/>
                <w:b w:val="0"/>
                <w:bCs w:val="0"/>
                <w:sz w:val="20"/>
                <w:szCs w:val="20"/>
              </w:rPr>
              <w:t>Negotiate lease surrenders.</w:t>
            </w:r>
            <w:r>
              <w:rPr>
                <w:rFonts w:eastAsia="Calibri" w:cs="Arial"/>
                <w:b w:val="0"/>
                <w:bCs w:val="0"/>
                <w:sz w:val="20"/>
                <w:szCs w:val="20"/>
              </w:rPr>
              <w:t xml:space="preserve"> </w:t>
            </w:r>
            <w:r w:rsidRPr="0016656F">
              <w:rPr>
                <w:rFonts w:eastAsia="Calibri" w:cs="Arial"/>
                <w:b w:val="0"/>
                <w:bCs w:val="0"/>
                <w:sz w:val="20"/>
                <w:szCs w:val="20"/>
              </w:rPr>
              <w:t xml:space="preserve">Identify all current </w:t>
            </w:r>
            <w:r>
              <w:rPr>
                <w:rFonts w:eastAsia="Calibri" w:cs="Arial"/>
                <w:b w:val="0"/>
                <w:bCs w:val="0"/>
                <w:sz w:val="20"/>
                <w:szCs w:val="20"/>
              </w:rPr>
              <w:t>and future vacant space in the p</w:t>
            </w:r>
            <w:r w:rsidRPr="0016656F">
              <w:rPr>
                <w:rFonts w:eastAsia="Calibri" w:cs="Arial"/>
                <w:b w:val="0"/>
                <w:bCs w:val="0"/>
                <w:sz w:val="20"/>
                <w:szCs w:val="20"/>
              </w:rPr>
              <w:t xml:space="preserve">ortfolio and implement a strategy for its reduction. </w:t>
            </w:r>
          </w:p>
        </w:tc>
      </w:tr>
      <w:tr w:rsidR="00B506AF" w:rsidRPr="0016656F" w14:paraId="6B7FB567" w14:textId="77777777" w:rsidTr="00F80E25">
        <w:tc>
          <w:tcPr>
            <w:tcW w:w="2830" w:type="dxa"/>
          </w:tcPr>
          <w:p w14:paraId="614D1F48" w14:textId="77777777" w:rsidR="00B506AF" w:rsidRPr="001C0EDB" w:rsidRDefault="00B506AF" w:rsidP="00685F4E">
            <w:pPr>
              <w:spacing w:after="0"/>
              <w:rPr>
                <w:rFonts w:ascii="Arial" w:hAnsi="Arial" w:cs="Arial"/>
                <w:sz w:val="20"/>
                <w:szCs w:val="27"/>
              </w:rPr>
            </w:pPr>
            <w:r>
              <w:rPr>
                <w:rFonts w:ascii="Arial" w:hAnsi="Arial" w:cs="Arial"/>
                <w:sz w:val="20"/>
                <w:szCs w:val="27"/>
              </w:rPr>
              <w:lastRenderedPageBreak/>
              <w:t>Portfolio strategy</w:t>
            </w:r>
          </w:p>
        </w:tc>
        <w:tc>
          <w:tcPr>
            <w:tcW w:w="6186" w:type="dxa"/>
          </w:tcPr>
          <w:p w14:paraId="66B5E785" w14:textId="77777777" w:rsidR="00B506AF" w:rsidRPr="0016656F" w:rsidRDefault="00B506AF" w:rsidP="00685F4E">
            <w:pPr>
              <w:pStyle w:val="Heading3"/>
              <w:keepNext w:val="0"/>
              <w:numPr>
                <w:ilvl w:val="2"/>
                <w:numId w:val="0"/>
              </w:numPr>
              <w:tabs>
                <w:tab w:val="num" w:pos="34"/>
              </w:tabs>
              <w:spacing w:before="60" w:after="0"/>
              <w:ind w:left="34" w:hanging="34"/>
              <w:outlineLvl w:val="2"/>
              <w:rPr>
                <w:rFonts w:cs="Arial"/>
                <w:sz w:val="20"/>
                <w:szCs w:val="20"/>
              </w:rPr>
            </w:pPr>
            <w:r w:rsidRPr="0016656F">
              <w:rPr>
                <w:rFonts w:cs="Arial"/>
                <w:b w:val="0"/>
                <w:sz w:val="20"/>
                <w:szCs w:val="20"/>
              </w:rPr>
              <w:t>Assistance in the development of</w:t>
            </w:r>
            <w:r>
              <w:rPr>
                <w:rFonts w:cs="Arial"/>
                <w:b w:val="0"/>
                <w:sz w:val="20"/>
                <w:szCs w:val="20"/>
              </w:rPr>
              <w:t xml:space="preserve"> a </w:t>
            </w:r>
            <w:r w:rsidRPr="0016656F">
              <w:rPr>
                <w:rFonts w:cs="Arial"/>
                <w:b w:val="0"/>
                <w:sz w:val="20"/>
                <w:szCs w:val="20"/>
              </w:rPr>
              <w:t>short and l</w:t>
            </w:r>
            <w:r>
              <w:rPr>
                <w:rFonts w:cs="Arial"/>
                <w:b w:val="0"/>
                <w:sz w:val="20"/>
                <w:szCs w:val="20"/>
              </w:rPr>
              <w:t>ong term property strategies to achieve s</w:t>
            </w:r>
            <w:r w:rsidRPr="0016656F">
              <w:rPr>
                <w:rFonts w:cs="Arial"/>
                <w:b w:val="0"/>
                <w:sz w:val="20"/>
                <w:szCs w:val="20"/>
              </w:rPr>
              <w:t xml:space="preserve">trategic </w:t>
            </w:r>
            <w:r>
              <w:rPr>
                <w:rFonts w:cs="Arial"/>
                <w:b w:val="0"/>
                <w:sz w:val="20"/>
                <w:szCs w:val="20"/>
              </w:rPr>
              <w:t>objectives and year-on-</w:t>
            </w:r>
            <w:r w:rsidRPr="0016656F">
              <w:rPr>
                <w:rFonts w:cs="Arial"/>
                <w:b w:val="0"/>
                <w:sz w:val="20"/>
                <w:szCs w:val="20"/>
              </w:rPr>
              <w:t xml:space="preserve">year improvements in the performance of the property portfolio. </w:t>
            </w:r>
          </w:p>
        </w:tc>
      </w:tr>
    </w:tbl>
    <w:p w14:paraId="1D5F1353" w14:textId="77777777" w:rsidR="007073C8" w:rsidRPr="007073C8" w:rsidRDefault="007073C8" w:rsidP="00685F4E">
      <w:pPr>
        <w:spacing w:before="240"/>
        <w:rPr>
          <w:rFonts w:ascii="Arial" w:hAnsi="Arial" w:cs="Arial"/>
          <w:b/>
          <w:sz w:val="24"/>
        </w:rPr>
      </w:pPr>
    </w:p>
    <w:p w14:paraId="63752800" w14:textId="77777777" w:rsidR="007073C8" w:rsidRDefault="007073C8" w:rsidP="00685F4E">
      <w:pPr>
        <w:spacing w:after="160"/>
        <w:rPr>
          <w:rFonts w:ascii="Arial" w:hAnsi="Arial" w:cs="Arial"/>
          <w:b/>
          <w:sz w:val="24"/>
        </w:rPr>
      </w:pPr>
      <w:r>
        <w:rPr>
          <w:rFonts w:ascii="Arial" w:hAnsi="Arial" w:cs="Arial"/>
          <w:b/>
          <w:sz w:val="24"/>
        </w:rPr>
        <w:br w:type="page"/>
      </w:r>
    </w:p>
    <w:p w14:paraId="208C6177" w14:textId="79AE1417" w:rsidR="00B10278" w:rsidRDefault="00B10278" w:rsidP="00685F4E">
      <w:pPr>
        <w:pStyle w:val="ListParagraph"/>
        <w:numPr>
          <w:ilvl w:val="0"/>
          <w:numId w:val="3"/>
        </w:numPr>
        <w:spacing w:before="240"/>
        <w:ind w:hanging="720"/>
        <w:rPr>
          <w:rFonts w:ascii="Arial" w:hAnsi="Arial" w:cs="Arial"/>
          <w:b/>
          <w:sz w:val="24"/>
        </w:rPr>
      </w:pPr>
      <w:r>
        <w:rPr>
          <w:rFonts w:ascii="Arial" w:hAnsi="Arial" w:cs="Arial"/>
          <w:b/>
          <w:sz w:val="24"/>
        </w:rPr>
        <w:lastRenderedPageBreak/>
        <w:t>The Global DPS</w:t>
      </w:r>
      <w:r w:rsidR="001F5EDE">
        <w:rPr>
          <w:rFonts w:ascii="Arial" w:hAnsi="Arial" w:cs="Arial"/>
          <w:b/>
          <w:sz w:val="24"/>
        </w:rPr>
        <w:t xml:space="preserve"> – Geographic Scope</w:t>
      </w:r>
    </w:p>
    <w:p w14:paraId="6620B89D" w14:textId="59B866E9" w:rsidR="00BC016A" w:rsidRDefault="007073C8" w:rsidP="00685F4E">
      <w:pPr>
        <w:spacing w:after="120"/>
        <w:rPr>
          <w:rFonts w:ascii="Arial" w:hAnsi="Arial" w:cs="Arial"/>
          <w:color w:val="000000"/>
          <w:sz w:val="24"/>
          <w:szCs w:val="27"/>
        </w:rPr>
      </w:pPr>
      <w:r>
        <w:rPr>
          <w:rFonts w:ascii="Arial" w:hAnsi="Arial" w:cs="Arial"/>
          <w:color w:val="000000"/>
          <w:sz w:val="24"/>
          <w:szCs w:val="27"/>
        </w:rPr>
        <w:t>The regional FM model employed in Europe and Asia Pacific</w:t>
      </w:r>
      <w:r w:rsidR="002439F8" w:rsidRPr="002439F8">
        <w:rPr>
          <w:rFonts w:ascii="Arial" w:hAnsi="Arial" w:cs="Arial"/>
          <w:color w:val="000000"/>
          <w:sz w:val="24"/>
          <w:szCs w:val="27"/>
        </w:rPr>
        <w:t xml:space="preserve"> has delivered cost savings, greater transparency, and increased assurance ar</w:t>
      </w:r>
      <w:r w:rsidR="001C33EF">
        <w:rPr>
          <w:rFonts w:ascii="Arial" w:hAnsi="Arial" w:cs="Arial"/>
          <w:color w:val="000000"/>
          <w:sz w:val="24"/>
          <w:szCs w:val="27"/>
        </w:rPr>
        <w:t>ound compliance. I</w:t>
      </w:r>
      <w:r w:rsidR="00454B61">
        <w:rPr>
          <w:rFonts w:ascii="Arial" w:hAnsi="Arial" w:cs="Arial"/>
          <w:color w:val="000000"/>
          <w:sz w:val="24"/>
          <w:szCs w:val="27"/>
        </w:rPr>
        <w:t xml:space="preserve">n parallel with this procurement </w:t>
      </w:r>
      <w:r w:rsidR="002439F8" w:rsidRPr="002439F8">
        <w:rPr>
          <w:rFonts w:ascii="Arial" w:hAnsi="Arial" w:cs="Arial"/>
          <w:color w:val="000000"/>
          <w:sz w:val="24"/>
          <w:szCs w:val="27"/>
        </w:rPr>
        <w:t>the FCO</w:t>
      </w:r>
      <w:r w:rsidR="00454B61">
        <w:rPr>
          <w:rFonts w:ascii="Arial" w:hAnsi="Arial" w:cs="Arial"/>
          <w:color w:val="000000"/>
          <w:sz w:val="24"/>
          <w:szCs w:val="27"/>
        </w:rPr>
        <w:t xml:space="preserve"> is developing its</w:t>
      </w:r>
      <w:r w:rsidR="002439F8" w:rsidRPr="002439F8">
        <w:rPr>
          <w:rFonts w:ascii="Arial" w:hAnsi="Arial" w:cs="Arial"/>
          <w:color w:val="000000"/>
          <w:sz w:val="24"/>
          <w:szCs w:val="27"/>
        </w:rPr>
        <w:t xml:space="preserve"> FM category strategy </w:t>
      </w:r>
      <w:r w:rsidR="00454B61">
        <w:rPr>
          <w:rFonts w:ascii="Arial" w:hAnsi="Arial" w:cs="Arial"/>
          <w:color w:val="000000"/>
          <w:sz w:val="24"/>
          <w:szCs w:val="27"/>
        </w:rPr>
        <w:t xml:space="preserve">which is focused on </w:t>
      </w:r>
      <w:r w:rsidR="002439F8" w:rsidRPr="002439F8">
        <w:rPr>
          <w:rFonts w:ascii="Arial" w:hAnsi="Arial" w:cs="Arial"/>
          <w:color w:val="000000"/>
          <w:sz w:val="24"/>
          <w:szCs w:val="27"/>
        </w:rPr>
        <w:t>consolidat</w:t>
      </w:r>
      <w:r w:rsidR="00454B61">
        <w:rPr>
          <w:rFonts w:ascii="Arial" w:hAnsi="Arial" w:cs="Arial"/>
          <w:color w:val="000000"/>
          <w:sz w:val="24"/>
          <w:szCs w:val="27"/>
        </w:rPr>
        <w:t>ing</w:t>
      </w:r>
      <w:r w:rsidR="002439F8" w:rsidRPr="002439F8">
        <w:rPr>
          <w:rFonts w:ascii="Arial" w:hAnsi="Arial" w:cs="Arial"/>
          <w:color w:val="000000"/>
          <w:sz w:val="24"/>
          <w:szCs w:val="27"/>
        </w:rPr>
        <w:t xml:space="preserve"> supply where the market allows it, and where there is an economic case to do so.</w:t>
      </w:r>
      <w:r w:rsidR="00314033">
        <w:rPr>
          <w:rFonts w:ascii="Arial" w:hAnsi="Arial" w:cs="Arial"/>
          <w:color w:val="000000"/>
          <w:sz w:val="24"/>
          <w:szCs w:val="27"/>
        </w:rPr>
        <w:t xml:space="preserve"> </w:t>
      </w:r>
      <w:r w:rsidR="00454B61">
        <w:rPr>
          <w:rFonts w:ascii="Arial" w:hAnsi="Arial" w:cs="Arial"/>
          <w:color w:val="000000"/>
          <w:sz w:val="24"/>
          <w:szCs w:val="27"/>
        </w:rPr>
        <w:t>The FCO has</w:t>
      </w:r>
      <w:r w:rsidR="002439F8" w:rsidRPr="002439F8">
        <w:rPr>
          <w:rFonts w:ascii="Arial" w:hAnsi="Arial" w:cs="Arial"/>
          <w:color w:val="000000"/>
          <w:sz w:val="24"/>
          <w:szCs w:val="27"/>
        </w:rPr>
        <w:t xml:space="preserve"> undert</w:t>
      </w:r>
      <w:r w:rsidR="00454B61">
        <w:rPr>
          <w:rFonts w:ascii="Arial" w:hAnsi="Arial" w:cs="Arial"/>
          <w:color w:val="000000"/>
          <w:sz w:val="24"/>
          <w:szCs w:val="27"/>
        </w:rPr>
        <w:t>aken initial</w:t>
      </w:r>
      <w:r w:rsidR="002439F8" w:rsidRPr="002439F8">
        <w:rPr>
          <w:rFonts w:ascii="Arial" w:hAnsi="Arial" w:cs="Arial"/>
          <w:color w:val="000000"/>
          <w:sz w:val="24"/>
          <w:szCs w:val="27"/>
        </w:rPr>
        <w:t xml:space="preserve"> global market analysis to identify regions where consolidation could be achieved. Our market analysis identified </w:t>
      </w:r>
      <w:r w:rsidR="00BC016A">
        <w:rPr>
          <w:rFonts w:ascii="Arial" w:hAnsi="Arial" w:cs="Arial"/>
          <w:color w:val="000000"/>
          <w:sz w:val="24"/>
          <w:szCs w:val="27"/>
        </w:rPr>
        <w:t>a number of</w:t>
      </w:r>
      <w:r w:rsidR="00BC016A" w:rsidRPr="002439F8">
        <w:rPr>
          <w:rFonts w:ascii="Arial" w:hAnsi="Arial" w:cs="Arial"/>
          <w:color w:val="000000"/>
          <w:sz w:val="24"/>
          <w:szCs w:val="27"/>
        </w:rPr>
        <w:t xml:space="preserve"> </w:t>
      </w:r>
      <w:r w:rsidR="002439F8" w:rsidRPr="002439F8">
        <w:rPr>
          <w:rFonts w:ascii="Arial" w:hAnsi="Arial" w:cs="Arial"/>
          <w:color w:val="000000"/>
          <w:sz w:val="24"/>
          <w:szCs w:val="27"/>
        </w:rPr>
        <w:t>regions</w:t>
      </w:r>
      <w:r w:rsidR="00314033">
        <w:rPr>
          <w:rFonts w:ascii="Arial" w:hAnsi="Arial" w:cs="Arial"/>
          <w:color w:val="000000"/>
          <w:sz w:val="24"/>
          <w:szCs w:val="27"/>
        </w:rPr>
        <w:t xml:space="preserve"> (including </w:t>
      </w:r>
      <w:r w:rsidR="001C33EF">
        <w:rPr>
          <w:rFonts w:ascii="Arial" w:hAnsi="Arial" w:cs="Arial"/>
          <w:color w:val="000000"/>
          <w:sz w:val="24"/>
          <w:szCs w:val="27"/>
        </w:rPr>
        <w:t xml:space="preserve">the </w:t>
      </w:r>
      <w:r w:rsidR="00314033">
        <w:rPr>
          <w:rFonts w:ascii="Arial" w:hAnsi="Arial" w:cs="Arial"/>
          <w:color w:val="000000"/>
          <w:sz w:val="24"/>
          <w:szCs w:val="27"/>
        </w:rPr>
        <w:t>Americas, MENA, Southern Africa and Europe)</w:t>
      </w:r>
      <w:r w:rsidR="002439F8" w:rsidRPr="002439F8">
        <w:rPr>
          <w:rFonts w:ascii="Arial" w:hAnsi="Arial" w:cs="Arial"/>
          <w:color w:val="000000"/>
          <w:sz w:val="24"/>
          <w:szCs w:val="27"/>
        </w:rPr>
        <w:t xml:space="preserve"> where we could benefit from consolidated supply</w:t>
      </w:r>
      <w:r w:rsidR="00BC016A">
        <w:rPr>
          <w:rFonts w:ascii="Arial" w:hAnsi="Arial" w:cs="Arial"/>
          <w:color w:val="000000"/>
          <w:sz w:val="24"/>
          <w:szCs w:val="27"/>
        </w:rPr>
        <w:t>.</w:t>
      </w:r>
      <w:r w:rsidR="002439F8" w:rsidRPr="002439F8">
        <w:rPr>
          <w:rFonts w:ascii="Arial" w:hAnsi="Arial" w:cs="Arial"/>
          <w:color w:val="000000"/>
          <w:sz w:val="24"/>
          <w:szCs w:val="27"/>
        </w:rPr>
        <w:t xml:space="preserve"> </w:t>
      </w:r>
    </w:p>
    <w:p w14:paraId="4483E76D" w14:textId="732A4501" w:rsidR="00B10278" w:rsidRDefault="00BC016A" w:rsidP="00685F4E">
      <w:pPr>
        <w:spacing w:after="120"/>
        <w:rPr>
          <w:rFonts w:ascii="Arial" w:hAnsi="Arial" w:cs="Arial"/>
          <w:sz w:val="24"/>
          <w:szCs w:val="27"/>
        </w:rPr>
      </w:pPr>
      <w:r>
        <w:rPr>
          <w:rFonts w:ascii="Arial" w:hAnsi="Arial" w:cs="Arial"/>
          <w:color w:val="000000"/>
          <w:sz w:val="24"/>
          <w:szCs w:val="27"/>
        </w:rPr>
        <w:t>The</w:t>
      </w:r>
      <w:r w:rsidR="002439F8" w:rsidRPr="002439F8">
        <w:rPr>
          <w:rFonts w:ascii="Arial" w:hAnsi="Arial" w:cs="Arial"/>
          <w:color w:val="000000"/>
          <w:sz w:val="24"/>
          <w:szCs w:val="27"/>
        </w:rPr>
        <w:t xml:space="preserve"> main objective of our </w:t>
      </w:r>
      <w:r w:rsidR="00802879">
        <w:rPr>
          <w:rFonts w:ascii="Arial" w:hAnsi="Arial" w:cs="Arial"/>
          <w:color w:val="000000"/>
          <w:sz w:val="24"/>
          <w:szCs w:val="27"/>
        </w:rPr>
        <w:t>g</w:t>
      </w:r>
      <w:r w:rsidR="002439F8" w:rsidRPr="002439F8">
        <w:rPr>
          <w:rFonts w:ascii="Arial" w:hAnsi="Arial" w:cs="Arial"/>
          <w:color w:val="000000"/>
          <w:sz w:val="24"/>
          <w:szCs w:val="27"/>
        </w:rPr>
        <w:t xml:space="preserve">lobal DPS is to provide a mechanism for developing regional contracts, similar to those we have in Europe and Asia Pacific. </w:t>
      </w:r>
      <w:r>
        <w:rPr>
          <w:rFonts w:ascii="Arial" w:hAnsi="Arial" w:cs="Arial"/>
          <w:color w:val="000000"/>
          <w:sz w:val="24"/>
          <w:szCs w:val="27"/>
        </w:rPr>
        <w:t>W</w:t>
      </w:r>
      <w:r w:rsidR="002439F8" w:rsidRPr="002439F8">
        <w:rPr>
          <w:rFonts w:ascii="Arial" w:hAnsi="Arial" w:cs="Arial"/>
          <w:color w:val="000000"/>
          <w:sz w:val="24"/>
          <w:szCs w:val="27"/>
        </w:rPr>
        <w:t xml:space="preserve">e </w:t>
      </w:r>
      <w:r>
        <w:rPr>
          <w:rFonts w:ascii="Arial" w:hAnsi="Arial" w:cs="Arial"/>
          <w:color w:val="000000"/>
          <w:sz w:val="24"/>
          <w:szCs w:val="27"/>
        </w:rPr>
        <w:t>intend to</w:t>
      </w:r>
      <w:r w:rsidRPr="002439F8">
        <w:rPr>
          <w:rFonts w:ascii="Arial" w:hAnsi="Arial" w:cs="Arial"/>
          <w:color w:val="000000"/>
          <w:sz w:val="24"/>
          <w:szCs w:val="27"/>
        </w:rPr>
        <w:t xml:space="preserve"> </w:t>
      </w:r>
      <w:r w:rsidR="002439F8" w:rsidRPr="002439F8">
        <w:rPr>
          <w:rFonts w:ascii="Arial" w:hAnsi="Arial" w:cs="Arial"/>
          <w:color w:val="000000"/>
          <w:sz w:val="24"/>
          <w:szCs w:val="27"/>
        </w:rPr>
        <w:t xml:space="preserve">use the up-to-date market capability information gathered as part of this SQ process to </w:t>
      </w:r>
      <w:r w:rsidR="00372B57">
        <w:rPr>
          <w:rFonts w:ascii="Arial" w:hAnsi="Arial" w:cs="Arial"/>
          <w:color w:val="000000"/>
          <w:sz w:val="24"/>
          <w:szCs w:val="27"/>
        </w:rPr>
        <w:t xml:space="preserve">support the development of our category strategy including the identification of </w:t>
      </w:r>
      <w:r w:rsidR="002439F8" w:rsidRPr="002439F8">
        <w:rPr>
          <w:rFonts w:ascii="Arial" w:hAnsi="Arial" w:cs="Arial"/>
          <w:color w:val="000000"/>
          <w:sz w:val="24"/>
          <w:szCs w:val="27"/>
        </w:rPr>
        <w:t xml:space="preserve">further </w:t>
      </w:r>
      <w:r w:rsidR="005019A3">
        <w:rPr>
          <w:rFonts w:ascii="Arial" w:hAnsi="Arial" w:cs="Arial"/>
          <w:color w:val="000000"/>
          <w:sz w:val="24"/>
          <w:szCs w:val="27"/>
        </w:rPr>
        <w:t xml:space="preserve">work packages. </w:t>
      </w:r>
      <w:r w:rsidR="00013C0C">
        <w:rPr>
          <w:rFonts w:ascii="Arial" w:hAnsi="Arial" w:cs="Arial"/>
          <w:color w:val="000000"/>
          <w:sz w:val="24"/>
          <w:szCs w:val="27"/>
        </w:rPr>
        <w:t>The regional contract for each work package will be tailored appropri</w:t>
      </w:r>
      <w:r w:rsidR="00F75004">
        <w:rPr>
          <w:rFonts w:ascii="Arial" w:hAnsi="Arial" w:cs="Arial"/>
          <w:color w:val="000000"/>
          <w:sz w:val="24"/>
          <w:szCs w:val="27"/>
        </w:rPr>
        <w:t>ately to that package and issue</w:t>
      </w:r>
      <w:r>
        <w:rPr>
          <w:rFonts w:ascii="Arial" w:hAnsi="Arial" w:cs="Arial"/>
          <w:color w:val="000000"/>
          <w:sz w:val="24"/>
          <w:szCs w:val="27"/>
        </w:rPr>
        <w:t>d</w:t>
      </w:r>
      <w:r w:rsidR="00013C0C">
        <w:rPr>
          <w:rFonts w:ascii="Arial" w:hAnsi="Arial" w:cs="Arial"/>
          <w:color w:val="000000"/>
          <w:sz w:val="24"/>
          <w:szCs w:val="27"/>
        </w:rPr>
        <w:t xml:space="preserve"> alongside the tender documents for the relevant work package. </w:t>
      </w:r>
      <w:r w:rsidR="002439F8">
        <w:rPr>
          <w:rFonts w:ascii="Arial" w:hAnsi="Arial" w:cs="Arial"/>
          <w:sz w:val="24"/>
          <w:szCs w:val="27"/>
        </w:rPr>
        <w:t>Our intent is for the DPS</w:t>
      </w:r>
      <w:r w:rsidR="002439F8" w:rsidRPr="002439F8">
        <w:rPr>
          <w:rFonts w:ascii="Arial" w:hAnsi="Arial" w:cs="Arial"/>
          <w:color w:val="000000"/>
          <w:sz w:val="24"/>
          <w:szCs w:val="27"/>
        </w:rPr>
        <w:t xml:space="preserve"> to fast-track procurements </w:t>
      </w:r>
      <w:r w:rsidR="009F6BBD">
        <w:rPr>
          <w:rFonts w:ascii="Arial" w:hAnsi="Arial" w:cs="Arial"/>
          <w:color w:val="000000"/>
          <w:sz w:val="24"/>
          <w:szCs w:val="27"/>
        </w:rPr>
        <w:t xml:space="preserve">of work packages </w:t>
      </w:r>
      <w:r w:rsidR="002439F8" w:rsidRPr="002439F8">
        <w:rPr>
          <w:rFonts w:ascii="Arial" w:hAnsi="Arial" w:cs="Arial"/>
          <w:sz w:val="24"/>
          <w:szCs w:val="27"/>
        </w:rPr>
        <w:t xml:space="preserve">as participants will </w:t>
      </w:r>
      <w:r w:rsidR="009F6BBD">
        <w:rPr>
          <w:rFonts w:ascii="Arial" w:hAnsi="Arial" w:cs="Arial"/>
          <w:sz w:val="24"/>
          <w:szCs w:val="27"/>
        </w:rPr>
        <w:t xml:space="preserve">have qualified through the SQ and </w:t>
      </w:r>
      <w:r w:rsidR="002439F8" w:rsidRPr="002439F8">
        <w:rPr>
          <w:rFonts w:ascii="Arial" w:hAnsi="Arial" w:cs="Arial"/>
          <w:sz w:val="24"/>
          <w:szCs w:val="27"/>
        </w:rPr>
        <w:t>be signed up to our core terms and global standards</w:t>
      </w:r>
      <w:r w:rsidR="002439F8">
        <w:rPr>
          <w:rFonts w:ascii="Arial" w:hAnsi="Arial" w:cs="Arial"/>
          <w:sz w:val="24"/>
          <w:szCs w:val="27"/>
        </w:rPr>
        <w:t xml:space="preserve">. </w:t>
      </w:r>
    </w:p>
    <w:p w14:paraId="1352083B" w14:textId="355070CB" w:rsidR="002439F8" w:rsidRDefault="00D95D87" w:rsidP="00685F4E">
      <w:pPr>
        <w:spacing w:after="120"/>
        <w:rPr>
          <w:rFonts w:ascii="Arial" w:hAnsi="Arial" w:cs="Arial"/>
          <w:sz w:val="24"/>
          <w:szCs w:val="27"/>
        </w:rPr>
      </w:pPr>
      <w:r>
        <w:rPr>
          <w:rFonts w:ascii="Arial" w:hAnsi="Arial" w:cs="Arial"/>
          <w:sz w:val="24"/>
          <w:szCs w:val="27"/>
        </w:rPr>
        <w:t>Currently, o</w:t>
      </w:r>
      <w:r w:rsidR="002439F8">
        <w:rPr>
          <w:rFonts w:ascii="Arial" w:hAnsi="Arial" w:cs="Arial"/>
          <w:sz w:val="24"/>
          <w:szCs w:val="27"/>
        </w:rPr>
        <w:t xml:space="preserve">ur smallest regional contract covers 13 countries. Therefore, in order to gain entry onto the DPS, Tenderers must be able to deliver our required services in </w:t>
      </w:r>
      <w:r w:rsidR="002439F8" w:rsidRPr="00562FA0">
        <w:rPr>
          <w:rFonts w:ascii="Arial" w:hAnsi="Arial" w:cs="Arial"/>
          <w:b/>
          <w:sz w:val="24"/>
          <w:szCs w:val="27"/>
        </w:rPr>
        <w:t>at least 13 of the countries</w:t>
      </w:r>
      <w:r w:rsidR="00F37D15" w:rsidRPr="00562FA0">
        <w:rPr>
          <w:rFonts w:ascii="Arial" w:hAnsi="Arial" w:cs="Arial"/>
          <w:b/>
          <w:sz w:val="24"/>
          <w:szCs w:val="27"/>
        </w:rPr>
        <w:t xml:space="preserve"> </w:t>
      </w:r>
      <w:r w:rsidR="00FF2227">
        <w:rPr>
          <w:rFonts w:ascii="Arial" w:hAnsi="Arial" w:cs="Arial"/>
          <w:b/>
          <w:sz w:val="24"/>
          <w:szCs w:val="27"/>
        </w:rPr>
        <w:t>where supply can be consolidated, as listed below:</w:t>
      </w:r>
      <w:r>
        <w:rPr>
          <w:rFonts w:ascii="Arial" w:hAnsi="Arial" w:cs="Arial"/>
          <w:sz w:val="24"/>
          <w:szCs w:val="27"/>
        </w:rPr>
        <w:t xml:space="preserve">  </w:t>
      </w:r>
    </w:p>
    <w:tbl>
      <w:tblPr>
        <w:tblStyle w:val="TableGrid"/>
        <w:tblW w:w="0" w:type="auto"/>
        <w:tblLook w:val="04A0" w:firstRow="1" w:lastRow="0" w:firstColumn="1" w:lastColumn="0" w:noHBand="0" w:noVBand="1"/>
      </w:tblPr>
      <w:tblGrid>
        <w:gridCol w:w="1396"/>
        <w:gridCol w:w="1346"/>
        <w:gridCol w:w="1328"/>
        <w:gridCol w:w="1905"/>
        <w:gridCol w:w="1679"/>
        <w:gridCol w:w="1362"/>
      </w:tblGrid>
      <w:tr w:rsidR="00A052EF" w14:paraId="0A721457" w14:textId="77777777" w:rsidTr="004926FB">
        <w:tc>
          <w:tcPr>
            <w:tcW w:w="1410" w:type="dxa"/>
          </w:tcPr>
          <w:p w14:paraId="7BB69CC9" w14:textId="50C68446" w:rsidR="00A052EF" w:rsidRPr="004926FB" w:rsidRDefault="00A052EF" w:rsidP="00685F4E">
            <w:pPr>
              <w:spacing w:after="120"/>
              <w:rPr>
                <w:rFonts w:ascii="Arial" w:hAnsi="Arial" w:cs="Arial"/>
                <w:sz w:val="20"/>
                <w:szCs w:val="20"/>
              </w:rPr>
            </w:pPr>
            <w:r w:rsidRPr="004926FB">
              <w:rPr>
                <w:rFonts w:ascii="Arial" w:hAnsi="Arial" w:cs="Arial"/>
                <w:sz w:val="20"/>
                <w:szCs w:val="20"/>
              </w:rPr>
              <w:t>Asia Pacific</w:t>
            </w:r>
          </w:p>
        </w:tc>
        <w:tc>
          <w:tcPr>
            <w:tcW w:w="2695" w:type="dxa"/>
            <w:gridSpan w:val="2"/>
            <w:tcBorders>
              <w:bottom w:val="single" w:sz="4" w:space="0" w:color="auto"/>
            </w:tcBorders>
          </w:tcPr>
          <w:p w14:paraId="39C0660A" w14:textId="13F645E5" w:rsidR="00A052EF" w:rsidRPr="004926FB" w:rsidRDefault="00A052EF" w:rsidP="00685F4E">
            <w:pPr>
              <w:spacing w:after="120"/>
              <w:rPr>
                <w:rFonts w:ascii="Arial" w:hAnsi="Arial" w:cs="Arial"/>
                <w:sz w:val="20"/>
                <w:szCs w:val="20"/>
              </w:rPr>
            </w:pPr>
            <w:r w:rsidRPr="004926FB">
              <w:rPr>
                <w:rFonts w:ascii="Arial" w:hAnsi="Arial" w:cs="Arial"/>
                <w:sz w:val="20"/>
                <w:szCs w:val="20"/>
              </w:rPr>
              <w:t>Europe</w:t>
            </w:r>
          </w:p>
        </w:tc>
        <w:tc>
          <w:tcPr>
            <w:tcW w:w="1962" w:type="dxa"/>
          </w:tcPr>
          <w:p w14:paraId="25177197" w14:textId="54D729C7" w:rsidR="00A052EF" w:rsidRPr="004926FB" w:rsidRDefault="00A052EF" w:rsidP="00685F4E">
            <w:pPr>
              <w:spacing w:after="120"/>
              <w:rPr>
                <w:rFonts w:ascii="Arial" w:hAnsi="Arial" w:cs="Arial"/>
                <w:sz w:val="20"/>
                <w:szCs w:val="20"/>
              </w:rPr>
            </w:pPr>
            <w:r w:rsidRPr="004926FB">
              <w:rPr>
                <w:rFonts w:ascii="Arial" w:hAnsi="Arial" w:cs="Arial"/>
                <w:sz w:val="20"/>
                <w:szCs w:val="20"/>
              </w:rPr>
              <w:t>Americas</w:t>
            </w:r>
          </w:p>
        </w:tc>
        <w:tc>
          <w:tcPr>
            <w:tcW w:w="1725" w:type="dxa"/>
          </w:tcPr>
          <w:p w14:paraId="0F6D6D2C" w14:textId="7EF975B5" w:rsidR="00A052EF" w:rsidRPr="004926FB" w:rsidRDefault="00A052EF" w:rsidP="00685F4E">
            <w:pPr>
              <w:spacing w:after="120"/>
              <w:rPr>
                <w:rFonts w:ascii="Arial" w:hAnsi="Arial" w:cs="Arial"/>
                <w:sz w:val="20"/>
                <w:szCs w:val="20"/>
              </w:rPr>
            </w:pPr>
            <w:r w:rsidRPr="004926FB">
              <w:rPr>
                <w:rFonts w:ascii="Arial" w:hAnsi="Arial" w:cs="Arial"/>
                <w:sz w:val="20"/>
                <w:szCs w:val="20"/>
              </w:rPr>
              <w:t>Middle East and North Africa</w:t>
            </w:r>
          </w:p>
        </w:tc>
        <w:tc>
          <w:tcPr>
            <w:tcW w:w="1224" w:type="dxa"/>
          </w:tcPr>
          <w:p w14:paraId="7401F71D" w14:textId="0F282E66" w:rsidR="00A052EF" w:rsidRPr="004926FB" w:rsidRDefault="00A052EF" w:rsidP="00685F4E">
            <w:pPr>
              <w:spacing w:after="120"/>
              <w:rPr>
                <w:rFonts w:ascii="Arial" w:hAnsi="Arial" w:cs="Arial"/>
                <w:sz w:val="20"/>
                <w:szCs w:val="20"/>
              </w:rPr>
            </w:pPr>
            <w:r w:rsidRPr="004926FB">
              <w:rPr>
                <w:rFonts w:ascii="Arial" w:hAnsi="Arial" w:cs="Arial"/>
                <w:sz w:val="20"/>
                <w:szCs w:val="20"/>
              </w:rPr>
              <w:t>Southern Africa</w:t>
            </w:r>
          </w:p>
        </w:tc>
      </w:tr>
      <w:tr w:rsidR="003F33F4" w14:paraId="60754673" w14:textId="77777777" w:rsidTr="004926FB">
        <w:trPr>
          <w:trHeight w:val="50"/>
        </w:trPr>
        <w:tc>
          <w:tcPr>
            <w:tcW w:w="1410" w:type="dxa"/>
          </w:tcPr>
          <w:p w14:paraId="6F88FBB1"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Australia</w:t>
            </w:r>
          </w:p>
          <w:p w14:paraId="752CAA7C"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China</w:t>
            </w:r>
          </w:p>
          <w:p w14:paraId="4D955A8C"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Hong Kong</w:t>
            </w:r>
          </w:p>
          <w:p w14:paraId="75BF7E4E"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 xml:space="preserve">Indonesia </w:t>
            </w:r>
          </w:p>
          <w:p w14:paraId="4E5D612F" w14:textId="77777777" w:rsidR="003F33F4" w:rsidRPr="00A052EF" w:rsidRDefault="003F33F4" w:rsidP="003F33F4">
            <w:pPr>
              <w:spacing w:after="0"/>
              <w:rPr>
                <w:rFonts w:ascii="Arial" w:hAnsi="Arial" w:cs="Arial"/>
                <w:sz w:val="20"/>
                <w:szCs w:val="20"/>
              </w:rPr>
            </w:pPr>
            <w:r w:rsidRPr="00A052EF">
              <w:rPr>
                <w:rFonts w:ascii="Arial" w:eastAsia="Times New Roman" w:hAnsi="Arial" w:cs="Arial"/>
                <w:bCs/>
                <w:color w:val="000000"/>
                <w:sz w:val="20"/>
                <w:szCs w:val="20"/>
                <w:lang w:eastAsia="en-GB"/>
              </w:rPr>
              <w:t>Japan</w:t>
            </w:r>
            <w:r w:rsidRPr="00A052EF">
              <w:rPr>
                <w:rFonts w:ascii="Arial" w:hAnsi="Arial" w:cs="Arial"/>
                <w:sz w:val="20"/>
                <w:szCs w:val="20"/>
              </w:rPr>
              <w:t xml:space="preserve"> </w:t>
            </w:r>
          </w:p>
          <w:p w14:paraId="6F6622CF"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Malaysia</w:t>
            </w:r>
          </w:p>
          <w:p w14:paraId="3C525E21"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New Zealand</w:t>
            </w:r>
          </w:p>
          <w:p w14:paraId="3EF1E670"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Philippines</w:t>
            </w:r>
          </w:p>
          <w:p w14:paraId="61223758"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Singapore</w:t>
            </w:r>
          </w:p>
          <w:p w14:paraId="78B210F1"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South Korea</w:t>
            </w:r>
          </w:p>
          <w:p w14:paraId="6240F5EB"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Thailand</w:t>
            </w:r>
          </w:p>
          <w:p w14:paraId="712728B0"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Taiwan</w:t>
            </w:r>
          </w:p>
          <w:p w14:paraId="0650CC7F"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Vietnam</w:t>
            </w:r>
          </w:p>
          <w:p w14:paraId="55830A5F" w14:textId="64C1CE9F" w:rsidR="003F33F4" w:rsidRPr="00A052EF" w:rsidRDefault="003F33F4" w:rsidP="003F33F4">
            <w:pPr>
              <w:spacing w:after="120"/>
              <w:rPr>
                <w:rFonts w:ascii="Arial" w:hAnsi="Arial" w:cs="Arial"/>
                <w:sz w:val="20"/>
                <w:szCs w:val="20"/>
              </w:rPr>
            </w:pPr>
            <w:r w:rsidRPr="00A052EF">
              <w:rPr>
                <w:rFonts w:ascii="Arial" w:eastAsia="Times New Roman" w:hAnsi="Arial" w:cs="Arial"/>
                <w:bCs/>
                <w:color w:val="000000"/>
                <w:sz w:val="20"/>
                <w:szCs w:val="20"/>
                <w:lang w:eastAsia="en-GB"/>
              </w:rPr>
              <w:t>India*</w:t>
            </w:r>
          </w:p>
        </w:tc>
        <w:tc>
          <w:tcPr>
            <w:tcW w:w="1367" w:type="dxa"/>
            <w:tcBorders>
              <w:right w:val="nil"/>
            </w:tcBorders>
          </w:tcPr>
          <w:p w14:paraId="73B15187"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Austria</w:t>
            </w:r>
          </w:p>
          <w:p w14:paraId="74919AAF"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Belgium</w:t>
            </w:r>
          </w:p>
          <w:p w14:paraId="10E8190C"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Bulgaria</w:t>
            </w:r>
          </w:p>
          <w:p w14:paraId="3315A35F"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Croatia</w:t>
            </w:r>
          </w:p>
          <w:p w14:paraId="60294E53"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Cyprus</w:t>
            </w:r>
          </w:p>
          <w:p w14:paraId="2BAEA5B0"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Czech Republic</w:t>
            </w:r>
          </w:p>
          <w:p w14:paraId="66171B1D"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Denmark</w:t>
            </w:r>
          </w:p>
          <w:p w14:paraId="1F7820FF"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Estonia</w:t>
            </w:r>
          </w:p>
          <w:p w14:paraId="5E969AF8"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Finland</w:t>
            </w:r>
          </w:p>
          <w:p w14:paraId="52C40F1C"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France</w:t>
            </w:r>
          </w:p>
          <w:p w14:paraId="4684780B"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Germany</w:t>
            </w:r>
          </w:p>
          <w:p w14:paraId="62FE13CA"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Gibraltar</w:t>
            </w:r>
          </w:p>
          <w:p w14:paraId="484A0566"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Greece</w:t>
            </w:r>
          </w:p>
          <w:p w14:paraId="5ABDEBCD"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Hungary</w:t>
            </w:r>
          </w:p>
          <w:p w14:paraId="430BF7D5"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Iceland</w:t>
            </w:r>
          </w:p>
          <w:p w14:paraId="3D2F707C"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Ireland</w:t>
            </w:r>
          </w:p>
          <w:p w14:paraId="5FFB112C"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Italy</w:t>
            </w:r>
          </w:p>
          <w:p w14:paraId="1F31C444" w14:textId="0A3E30A2" w:rsidR="003F33F4" w:rsidRPr="00A052EF" w:rsidRDefault="003F33F4" w:rsidP="003F33F4">
            <w:pPr>
              <w:spacing w:after="120"/>
              <w:rPr>
                <w:rFonts w:ascii="Arial" w:hAnsi="Arial" w:cs="Arial"/>
                <w:sz w:val="20"/>
                <w:szCs w:val="20"/>
              </w:rPr>
            </w:pPr>
          </w:p>
        </w:tc>
        <w:tc>
          <w:tcPr>
            <w:tcW w:w="1328" w:type="dxa"/>
            <w:tcBorders>
              <w:left w:val="nil"/>
            </w:tcBorders>
          </w:tcPr>
          <w:p w14:paraId="153E8AD7" w14:textId="77777777" w:rsidR="004926FB" w:rsidRPr="00A052EF" w:rsidRDefault="004926FB" w:rsidP="004926FB">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Latvia</w:t>
            </w:r>
          </w:p>
          <w:p w14:paraId="1B6125B6" w14:textId="77777777" w:rsidR="004926FB" w:rsidRPr="00A052EF" w:rsidRDefault="004926FB" w:rsidP="004926FB">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Lithuania</w:t>
            </w:r>
          </w:p>
          <w:p w14:paraId="5224D208" w14:textId="3BCB68A8" w:rsidR="003F33F4" w:rsidRPr="00A052EF" w:rsidRDefault="004926FB" w:rsidP="004926FB">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 xml:space="preserve">Luxembourg </w:t>
            </w:r>
            <w:r w:rsidR="003F33F4" w:rsidRPr="00A052EF">
              <w:rPr>
                <w:rFonts w:ascii="Arial" w:eastAsia="Times New Roman" w:hAnsi="Arial" w:cs="Arial"/>
                <w:bCs/>
                <w:color w:val="000000"/>
                <w:sz w:val="20"/>
                <w:szCs w:val="20"/>
                <w:lang w:eastAsia="en-GB"/>
              </w:rPr>
              <w:t xml:space="preserve">Malta </w:t>
            </w:r>
          </w:p>
          <w:p w14:paraId="699A5F96"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Netherlands</w:t>
            </w:r>
          </w:p>
          <w:p w14:paraId="6251DFCC"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Norway</w:t>
            </w:r>
          </w:p>
          <w:p w14:paraId="7A037AEF"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Poland</w:t>
            </w:r>
          </w:p>
          <w:p w14:paraId="72901D41"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Portugal</w:t>
            </w:r>
          </w:p>
          <w:p w14:paraId="1DBF3F53"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Romania</w:t>
            </w:r>
          </w:p>
          <w:p w14:paraId="4CED1E9B"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Slovakia</w:t>
            </w:r>
          </w:p>
          <w:p w14:paraId="3FBBF6C7"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Slovenia</w:t>
            </w:r>
          </w:p>
          <w:p w14:paraId="28F6FB4C"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Spain</w:t>
            </w:r>
          </w:p>
          <w:p w14:paraId="261365A2"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Sweden</w:t>
            </w:r>
          </w:p>
          <w:p w14:paraId="512EB538"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Switzerland</w:t>
            </w:r>
          </w:p>
          <w:p w14:paraId="07EAF61F"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 xml:space="preserve">Turkey </w:t>
            </w:r>
          </w:p>
          <w:p w14:paraId="5BF0AF65"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Ukraine</w:t>
            </w:r>
          </w:p>
          <w:p w14:paraId="3B858F02" w14:textId="77777777" w:rsidR="003F33F4" w:rsidRPr="00A052EF" w:rsidRDefault="003F33F4" w:rsidP="003F33F4">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United Kingdom</w:t>
            </w:r>
          </w:p>
          <w:p w14:paraId="534331CE" w14:textId="77777777" w:rsidR="003F33F4" w:rsidRPr="00A052EF" w:rsidRDefault="003F33F4" w:rsidP="003F33F4">
            <w:pPr>
              <w:spacing w:after="120"/>
              <w:rPr>
                <w:rFonts w:ascii="Arial" w:hAnsi="Arial" w:cs="Arial"/>
                <w:sz w:val="20"/>
                <w:szCs w:val="20"/>
              </w:rPr>
            </w:pPr>
          </w:p>
        </w:tc>
        <w:tc>
          <w:tcPr>
            <w:tcW w:w="1962" w:type="dxa"/>
          </w:tcPr>
          <w:p w14:paraId="322FE281" w14:textId="77777777" w:rsidR="00A052EF" w:rsidRPr="00A052EF" w:rsidRDefault="00A052EF" w:rsidP="00A052EF">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United States of America</w:t>
            </w:r>
          </w:p>
          <w:p w14:paraId="7211307F" w14:textId="77777777" w:rsidR="00A052EF" w:rsidRPr="00A052EF" w:rsidRDefault="00A052EF" w:rsidP="00A052EF">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Argentina</w:t>
            </w:r>
          </w:p>
          <w:p w14:paraId="187E7CD6" w14:textId="77777777" w:rsidR="00A052EF" w:rsidRPr="00A052EF" w:rsidRDefault="00A052EF" w:rsidP="00A052EF">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Brazil</w:t>
            </w:r>
          </w:p>
          <w:p w14:paraId="4787EB98" w14:textId="77777777" w:rsidR="00A052EF" w:rsidRPr="00A052EF" w:rsidRDefault="00A052EF" w:rsidP="00A052EF">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Canada</w:t>
            </w:r>
          </w:p>
          <w:p w14:paraId="4465F57E" w14:textId="77777777" w:rsidR="00A052EF" w:rsidRPr="00A052EF" w:rsidRDefault="00A052EF" w:rsidP="00A052EF">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Chile</w:t>
            </w:r>
          </w:p>
          <w:p w14:paraId="53DA8227" w14:textId="1687C35C" w:rsidR="003F33F4" w:rsidRPr="00A052EF" w:rsidRDefault="00A052EF" w:rsidP="00A052EF">
            <w:pPr>
              <w:spacing w:after="120"/>
              <w:rPr>
                <w:rFonts w:ascii="Arial" w:hAnsi="Arial" w:cs="Arial"/>
                <w:sz w:val="20"/>
                <w:szCs w:val="20"/>
              </w:rPr>
            </w:pPr>
            <w:r w:rsidRPr="00A052EF">
              <w:rPr>
                <w:rFonts w:ascii="Arial" w:eastAsia="Times New Roman" w:hAnsi="Arial" w:cs="Arial"/>
                <w:bCs/>
                <w:color w:val="000000"/>
                <w:sz w:val="20"/>
                <w:szCs w:val="20"/>
                <w:lang w:eastAsia="en-GB"/>
              </w:rPr>
              <w:t>Mexico</w:t>
            </w:r>
          </w:p>
        </w:tc>
        <w:tc>
          <w:tcPr>
            <w:tcW w:w="1725" w:type="dxa"/>
          </w:tcPr>
          <w:p w14:paraId="662C60AA" w14:textId="77777777" w:rsidR="00A052EF" w:rsidRPr="00A052EF" w:rsidRDefault="00A052EF" w:rsidP="00A052EF">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Bahrain</w:t>
            </w:r>
          </w:p>
          <w:p w14:paraId="4F853924" w14:textId="77777777" w:rsidR="00A052EF" w:rsidRPr="00A052EF" w:rsidRDefault="00A052EF" w:rsidP="00A052EF">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Israel</w:t>
            </w:r>
          </w:p>
          <w:p w14:paraId="44EDFCAF" w14:textId="77777777" w:rsidR="00A052EF" w:rsidRPr="00A052EF" w:rsidRDefault="00A052EF" w:rsidP="00A052EF">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Jordan</w:t>
            </w:r>
          </w:p>
          <w:p w14:paraId="7903A0E9" w14:textId="77777777" w:rsidR="00A052EF" w:rsidRPr="00A052EF" w:rsidRDefault="00A052EF" w:rsidP="00A052EF">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Kuwait</w:t>
            </w:r>
          </w:p>
          <w:p w14:paraId="1B40F499" w14:textId="77777777" w:rsidR="00A052EF" w:rsidRPr="00A052EF" w:rsidRDefault="00A052EF" w:rsidP="00A052EF">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Lebanon</w:t>
            </w:r>
          </w:p>
          <w:p w14:paraId="25F43F11" w14:textId="77777777" w:rsidR="00A052EF" w:rsidRPr="00A052EF" w:rsidRDefault="00A052EF" w:rsidP="00A052EF">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Oman</w:t>
            </w:r>
          </w:p>
          <w:p w14:paraId="26242C78" w14:textId="77777777" w:rsidR="00A052EF" w:rsidRPr="00A052EF" w:rsidRDefault="00A052EF" w:rsidP="00A052EF">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Qatar</w:t>
            </w:r>
          </w:p>
          <w:p w14:paraId="54CAC166" w14:textId="77777777" w:rsidR="00A052EF" w:rsidRPr="00A052EF" w:rsidRDefault="00A052EF" w:rsidP="00A052EF">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Saudi Arabia</w:t>
            </w:r>
          </w:p>
          <w:p w14:paraId="00BFF59A" w14:textId="016A3CAD" w:rsidR="003F33F4" w:rsidRPr="00A052EF" w:rsidRDefault="00A052EF" w:rsidP="00A052EF">
            <w:pPr>
              <w:spacing w:after="120"/>
              <w:rPr>
                <w:rFonts w:ascii="Arial" w:hAnsi="Arial" w:cs="Arial"/>
                <w:sz w:val="20"/>
                <w:szCs w:val="20"/>
              </w:rPr>
            </w:pPr>
            <w:r w:rsidRPr="00A052EF">
              <w:rPr>
                <w:rFonts w:ascii="Arial" w:eastAsia="Times New Roman" w:hAnsi="Arial" w:cs="Arial"/>
                <w:bCs/>
                <w:color w:val="000000"/>
                <w:sz w:val="20"/>
                <w:szCs w:val="20"/>
                <w:lang w:eastAsia="en-GB"/>
              </w:rPr>
              <w:t>United Arab Emirates</w:t>
            </w:r>
          </w:p>
        </w:tc>
        <w:tc>
          <w:tcPr>
            <w:tcW w:w="1224" w:type="dxa"/>
          </w:tcPr>
          <w:p w14:paraId="479D52B9" w14:textId="77777777" w:rsidR="00A052EF" w:rsidRPr="00A052EF" w:rsidRDefault="00A052EF" w:rsidP="00A052EF">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Botswana</w:t>
            </w:r>
          </w:p>
          <w:p w14:paraId="797B6B6E" w14:textId="77777777" w:rsidR="00A052EF" w:rsidRPr="00A052EF" w:rsidRDefault="00A052EF" w:rsidP="00A052EF">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Mozambique</w:t>
            </w:r>
          </w:p>
          <w:p w14:paraId="0ED54E34" w14:textId="77777777" w:rsidR="00A052EF" w:rsidRPr="00A052EF" w:rsidRDefault="00A052EF" w:rsidP="00A052EF">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Namibia</w:t>
            </w:r>
          </w:p>
          <w:p w14:paraId="2825E274" w14:textId="77777777" w:rsidR="00A052EF" w:rsidRPr="00A052EF" w:rsidRDefault="00A052EF" w:rsidP="00A052EF">
            <w:pPr>
              <w:spacing w:after="0"/>
              <w:rPr>
                <w:rFonts w:ascii="Arial" w:eastAsia="Times New Roman" w:hAnsi="Arial" w:cs="Arial"/>
                <w:bCs/>
                <w:color w:val="000000"/>
                <w:sz w:val="20"/>
                <w:szCs w:val="20"/>
                <w:lang w:eastAsia="en-GB"/>
              </w:rPr>
            </w:pPr>
            <w:r w:rsidRPr="00A052EF">
              <w:rPr>
                <w:rFonts w:ascii="Arial" w:eastAsia="Times New Roman" w:hAnsi="Arial" w:cs="Arial"/>
                <w:bCs/>
                <w:color w:val="000000"/>
                <w:sz w:val="20"/>
                <w:szCs w:val="20"/>
                <w:lang w:eastAsia="en-GB"/>
              </w:rPr>
              <w:t>South Africa</w:t>
            </w:r>
          </w:p>
          <w:p w14:paraId="5F3DC9D8" w14:textId="506D5382" w:rsidR="003F33F4" w:rsidRPr="00A052EF" w:rsidRDefault="00A052EF" w:rsidP="00A052EF">
            <w:pPr>
              <w:spacing w:after="120"/>
              <w:rPr>
                <w:rFonts w:ascii="Arial" w:hAnsi="Arial" w:cs="Arial"/>
                <w:sz w:val="20"/>
                <w:szCs w:val="20"/>
              </w:rPr>
            </w:pPr>
            <w:r w:rsidRPr="00A052EF">
              <w:rPr>
                <w:rFonts w:ascii="Arial" w:eastAsia="Times New Roman" w:hAnsi="Arial" w:cs="Arial"/>
                <w:bCs/>
                <w:color w:val="000000"/>
                <w:sz w:val="20"/>
                <w:szCs w:val="20"/>
                <w:lang w:eastAsia="en-GB"/>
              </w:rPr>
              <w:t>Zimbabwe</w:t>
            </w:r>
          </w:p>
        </w:tc>
      </w:tr>
    </w:tbl>
    <w:p w14:paraId="6A03EF4A" w14:textId="77777777" w:rsidR="003F33F4" w:rsidRDefault="003F33F4" w:rsidP="00685F4E">
      <w:pPr>
        <w:spacing w:after="120"/>
        <w:rPr>
          <w:rFonts w:ascii="Arial" w:hAnsi="Arial" w:cs="Arial"/>
          <w:sz w:val="24"/>
          <w:szCs w:val="27"/>
        </w:rPr>
      </w:pPr>
    </w:p>
    <w:p w14:paraId="74E7C410" w14:textId="49FCD070" w:rsidR="00E30EDE" w:rsidRPr="00F80E25" w:rsidRDefault="001A58EA" w:rsidP="00685F4E">
      <w:pPr>
        <w:rPr>
          <w:rFonts w:ascii="Arial" w:hAnsi="Arial" w:cs="Arial"/>
          <w:i/>
          <w:iCs/>
          <w:sz w:val="20"/>
          <w:szCs w:val="27"/>
        </w:rPr>
      </w:pPr>
      <w:r w:rsidRPr="00F80E25">
        <w:rPr>
          <w:rFonts w:ascii="Arial" w:hAnsi="Arial" w:cs="Arial"/>
          <w:i/>
          <w:iCs/>
          <w:sz w:val="20"/>
          <w:szCs w:val="27"/>
        </w:rPr>
        <w:t xml:space="preserve">*India is not currently in-scope for </w:t>
      </w:r>
      <w:r w:rsidR="00E16649">
        <w:rPr>
          <w:rFonts w:ascii="Arial" w:hAnsi="Arial" w:cs="Arial"/>
          <w:i/>
          <w:iCs/>
          <w:sz w:val="20"/>
          <w:szCs w:val="27"/>
        </w:rPr>
        <w:t>the Asia Pacific work package</w:t>
      </w:r>
      <w:r w:rsidRPr="00F80E25">
        <w:rPr>
          <w:rFonts w:ascii="Arial" w:hAnsi="Arial" w:cs="Arial"/>
          <w:i/>
          <w:iCs/>
          <w:sz w:val="20"/>
          <w:szCs w:val="27"/>
        </w:rPr>
        <w:t xml:space="preserve"> due to a number of ongoing and up-coming projects focused on India</w:t>
      </w:r>
      <w:r w:rsidR="00F75004">
        <w:rPr>
          <w:rFonts w:ascii="Arial" w:hAnsi="Arial" w:cs="Arial"/>
          <w:i/>
          <w:iCs/>
          <w:sz w:val="20"/>
          <w:szCs w:val="27"/>
        </w:rPr>
        <w:t>. H</w:t>
      </w:r>
      <w:r w:rsidR="00366D1D" w:rsidRPr="00F80E25">
        <w:rPr>
          <w:rFonts w:ascii="Arial" w:hAnsi="Arial" w:cs="Arial"/>
          <w:i/>
          <w:iCs/>
          <w:sz w:val="20"/>
          <w:szCs w:val="27"/>
        </w:rPr>
        <w:t>owever</w:t>
      </w:r>
      <w:r w:rsidR="00F75004">
        <w:rPr>
          <w:rFonts w:ascii="Arial" w:hAnsi="Arial" w:cs="Arial"/>
          <w:i/>
          <w:iCs/>
          <w:sz w:val="20"/>
          <w:szCs w:val="27"/>
        </w:rPr>
        <w:t>,</w:t>
      </w:r>
      <w:r w:rsidR="00366D1D" w:rsidRPr="00F80E25">
        <w:rPr>
          <w:rFonts w:ascii="Arial" w:hAnsi="Arial" w:cs="Arial"/>
          <w:i/>
          <w:iCs/>
          <w:sz w:val="20"/>
          <w:szCs w:val="27"/>
        </w:rPr>
        <w:t xml:space="preserve"> it may be added at a later date through a </w:t>
      </w:r>
      <w:r w:rsidR="00D05DF5">
        <w:rPr>
          <w:rFonts w:ascii="Arial" w:hAnsi="Arial" w:cs="Arial"/>
          <w:i/>
          <w:iCs/>
          <w:sz w:val="20"/>
          <w:szCs w:val="27"/>
        </w:rPr>
        <w:t xml:space="preserve">specific </w:t>
      </w:r>
      <w:r w:rsidR="00366D1D" w:rsidRPr="00F80E25">
        <w:rPr>
          <w:rFonts w:ascii="Arial" w:hAnsi="Arial" w:cs="Arial"/>
          <w:i/>
          <w:iCs/>
          <w:sz w:val="20"/>
          <w:szCs w:val="27"/>
        </w:rPr>
        <w:t>contract change</w:t>
      </w:r>
      <w:r w:rsidR="00D05DF5">
        <w:rPr>
          <w:rFonts w:ascii="Arial" w:hAnsi="Arial" w:cs="Arial"/>
          <w:i/>
          <w:iCs/>
          <w:sz w:val="20"/>
          <w:szCs w:val="27"/>
        </w:rPr>
        <w:t xml:space="preserve"> mechanism</w:t>
      </w:r>
      <w:r w:rsidRPr="00F80E25">
        <w:rPr>
          <w:rFonts w:ascii="Arial" w:hAnsi="Arial" w:cs="Arial"/>
          <w:i/>
          <w:iCs/>
          <w:sz w:val="20"/>
          <w:szCs w:val="27"/>
        </w:rPr>
        <w:t>.</w:t>
      </w:r>
      <w:r w:rsidR="00123FAF">
        <w:rPr>
          <w:rFonts w:ascii="Arial" w:hAnsi="Arial" w:cs="Arial"/>
          <w:i/>
          <w:iCs/>
          <w:sz w:val="20"/>
          <w:szCs w:val="27"/>
        </w:rPr>
        <w:t xml:space="preserve">  Further d</w:t>
      </w:r>
      <w:r w:rsidR="0077382D">
        <w:rPr>
          <w:rFonts w:ascii="Arial" w:hAnsi="Arial" w:cs="Arial"/>
          <w:i/>
          <w:iCs/>
          <w:sz w:val="20"/>
          <w:szCs w:val="27"/>
        </w:rPr>
        <w:t>etails will be provided in the tender d</w:t>
      </w:r>
      <w:r w:rsidR="00123FAF">
        <w:rPr>
          <w:rFonts w:ascii="Arial" w:hAnsi="Arial" w:cs="Arial"/>
          <w:i/>
          <w:iCs/>
          <w:sz w:val="20"/>
          <w:szCs w:val="27"/>
        </w:rPr>
        <w:t xml:space="preserve">ocuments for </w:t>
      </w:r>
      <w:r w:rsidR="0077382D">
        <w:rPr>
          <w:rFonts w:ascii="Arial" w:hAnsi="Arial" w:cs="Arial"/>
          <w:i/>
          <w:iCs/>
          <w:sz w:val="20"/>
          <w:szCs w:val="27"/>
        </w:rPr>
        <w:t>the Asia Pacific work package.</w:t>
      </w:r>
    </w:p>
    <w:p w14:paraId="7A5982B5" w14:textId="09C3F27C" w:rsidR="002D2127" w:rsidRDefault="3B68CA5B" w:rsidP="00685F4E">
      <w:pPr>
        <w:spacing w:after="120"/>
        <w:rPr>
          <w:rFonts w:ascii="Arial" w:hAnsi="Arial" w:cs="Arial"/>
          <w:sz w:val="24"/>
          <w:szCs w:val="24"/>
        </w:rPr>
      </w:pPr>
      <w:r w:rsidRPr="3B68CA5B">
        <w:rPr>
          <w:rFonts w:ascii="Arial" w:hAnsi="Arial" w:cs="Arial"/>
          <w:sz w:val="24"/>
          <w:szCs w:val="24"/>
        </w:rPr>
        <w:t xml:space="preserve">In the SQ we ask </w:t>
      </w:r>
      <w:r w:rsidR="0077382D">
        <w:rPr>
          <w:rFonts w:ascii="Arial" w:hAnsi="Arial" w:cs="Arial"/>
          <w:sz w:val="24"/>
          <w:szCs w:val="24"/>
        </w:rPr>
        <w:t xml:space="preserve">Tenderers </w:t>
      </w:r>
      <w:r w:rsidRPr="3B68CA5B">
        <w:rPr>
          <w:rFonts w:ascii="Arial" w:hAnsi="Arial" w:cs="Arial"/>
          <w:sz w:val="24"/>
          <w:szCs w:val="24"/>
        </w:rPr>
        <w:t>to provide details of whether they have legal entities delivering similar services (or preferred suppliers/partners) in these and ot</w:t>
      </w:r>
      <w:r w:rsidR="000F50CF">
        <w:rPr>
          <w:rFonts w:ascii="Arial" w:hAnsi="Arial" w:cs="Arial"/>
          <w:sz w:val="24"/>
          <w:szCs w:val="24"/>
        </w:rPr>
        <w:t>her countries by completing an E</w:t>
      </w:r>
      <w:r w:rsidR="0077382D">
        <w:rPr>
          <w:rFonts w:ascii="Arial" w:hAnsi="Arial" w:cs="Arial"/>
          <w:sz w:val="24"/>
          <w:szCs w:val="24"/>
        </w:rPr>
        <w:t>xcel “Capability M</w:t>
      </w:r>
      <w:r w:rsidRPr="3B68CA5B">
        <w:rPr>
          <w:rFonts w:ascii="Arial" w:hAnsi="Arial" w:cs="Arial"/>
          <w:sz w:val="24"/>
          <w:szCs w:val="24"/>
        </w:rPr>
        <w:t>atrix”</w:t>
      </w:r>
      <w:r w:rsidR="00503541">
        <w:rPr>
          <w:rFonts w:ascii="Arial" w:hAnsi="Arial" w:cs="Arial"/>
          <w:sz w:val="24"/>
          <w:szCs w:val="24"/>
        </w:rPr>
        <w:t>.</w:t>
      </w:r>
      <w:r w:rsidRPr="3B68CA5B">
        <w:rPr>
          <w:rFonts w:ascii="Arial" w:hAnsi="Arial" w:cs="Arial"/>
          <w:sz w:val="24"/>
          <w:szCs w:val="24"/>
        </w:rPr>
        <w:t xml:space="preserve"> </w:t>
      </w:r>
    </w:p>
    <w:p w14:paraId="56F86558" w14:textId="402CC25B" w:rsidR="00F37D15" w:rsidRDefault="00314033" w:rsidP="00685F4E">
      <w:pPr>
        <w:spacing w:after="120"/>
        <w:rPr>
          <w:rFonts w:ascii="Arial" w:hAnsi="Arial" w:cs="Arial"/>
          <w:sz w:val="24"/>
          <w:szCs w:val="27"/>
        </w:rPr>
      </w:pPr>
      <w:r>
        <w:rPr>
          <w:rFonts w:ascii="Arial" w:hAnsi="Arial" w:cs="Arial"/>
          <w:sz w:val="24"/>
          <w:szCs w:val="27"/>
        </w:rPr>
        <w:t>In addition to the countries that are identified as being viable candidates for further regional consolidation of supply, we are interested in exploring with the market the potential to leverage suppliers</w:t>
      </w:r>
      <w:r w:rsidR="00974AC2">
        <w:rPr>
          <w:rFonts w:ascii="Arial" w:hAnsi="Arial" w:cs="Arial"/>
          <w:sz w:val="24"/>
          <w:szCs w:val="27"/>
        </w:rPr>
        <w:t>’</w:t>
      </w:r>
      <w:r>
        <w:rPr>
          <w:rFonts w:ascii="Arial" w:hAnsi="Arial" w:cs="Arial"/>
          <w:sz w:val="24"/>
          <w:szCs w:val="27"/>
        </w:rPr>
        <w:t xml:space="preserve"> systems, processes and helpdesks to cover countries where regional outsourced service delivery may not be possible. </w:t>
      </w:r>
    </w:p>
    <w:p w14:paraId="1028F2C8" w14:textId="38ED95F0" w:rsidR="00F37827" w:rsidRDefault="00F37827" w:rsidP="00685F4E">
      <w:pPr>
        <w:spacing w:after="120"/>
        <w:rPr>
          <w:rFonts w:ascii="Arial" w:hAnsi="Arial" w:cs="Arial"/>
          <w:sz w:val="24"/>
          <w:szCs w:val="27"/>
        </w:rPr>
      </w:pPr>
      <w:r w:rsidRPr="3B68CA5B">
        <w:rPr>
          <w:rFonts w:ascii="Arial" w:hAnsi="Arial" w:cs="Arial"/>
          <w:sz w:val="24"/>
          <w:szCs w:val="24"/>
        </w:rPr>
        <w:t xml:space="preserve">We expect the DPS to have an initial duration of 10 years, with the option to extend </w:t>
      </w:r>
      <w:r>
        <w:rPr>
          <w:rFonts w:ascii="Arial" w:hAnsi="Arial" w:cs="Arial"/>
          <w:sz w:val="24"/>
          <w:szCs w:val="24"/>
        </w:rPr>
        <w:t>at the FCO’s discretion</w:t>
      </w:r>
      <w:r w:rsidRPr="3B68CA5B">
        <w:rPr>
          <w:rFonts w:ascii="Arial" w:hAnsi="Arial" w:cs="Arial"/>
          <w:sz w:val="24"/>
          <w:szCs w:val="24"/>
        </w:rPr>
        <w:t xml:space="preserve">. The length </w:t>
      </w:r>
      <w:r>
        <w:rPr>
          <w:rFonts w:ascii="Arial" w:hAnsi="Arial" w:cs="Arial"/>
          <w:sz w:val="24"/>
          <w:szCs w:val="24"/>
        </w:rPr>
        <w:t>of individual work packages may</w:t>
      </w:r>
      <w:r w:rsidRPr="3B68CA5B">
        <w:rPr>
          <w:rFonts w:ascii="Arial" w:hAnsi="Arial" w:cs="Arial"/>
          <w:sz w:val="24"/>
          <w:szCs w:val="24"/>
        </w:rPr>
        <w:t xml:space="preserve"> vary.</w:t>
      </w:r>
    </w:p>
    <w:p w14:paraId="1254CA19" w14:textId="27D6E5CB" w:rsidR="0077382D" w:rsidRDefault="00314033" w:rsidP="00685F4E">
      <w:pPr>
        <w:spacing w:after="120"/>
        <w:rPr>
          <w:rFonts w:ascii="Arial" w:hAnsi="Arial" w:cs="Arial"/>
          <w:sz w:val="24"/>
          <w:szCs w:val="27"/>
        </w:rPr>
      </w:pPr>
      <w:r>
        <w:rPr>
          <w:rFonts w:ascii="Arial" w:hAnsi="Arial" w:cs="Arial"/>
          <w:sz w:val="24"/>
          <w:szCs w:val="27"/>
        </w:rPr>
        <w:t xml:space="preserve"> </w:t>
      </w:r>
    </w:p>
    <w:p w14:paraId="446D154C" w14:textId="6C7205C1" w:rsidR="00314033" w:rsidRDefault="0077382D" w:rsidP="00685F4E">
      <w:pPr>
        <w:spacing w:after="160"/>
        <w:rPr>
          <w:rFonts w:ascii="Arial" w:hAnsi="Arial" w:cs="Arial"/>
          <w:sz w:val="24"/>
          <w:szCs w:val="27"/>
        </w:rPr>
      </w:pPr>
      <w:r>
        <w:rPr>
          <w:rFonts w:ascii="Arial" w:hAnsi="Arial" w:cs="Arial"/>
          <w:sz w:val="24"/>
          <w:szCs w:val="27"/>
        </w:rPr>
        <w:br w:type="page"/>
      </w:r>
    </w:p>
    <w:p w14:paraId="59D9CE7D" w14:textId="77777777" w:rsidR="002439F8" w:rsidRDefault="002439F8" w:rsidP="00685F4E">
      <w:pPr>
        <w:pStyle w:val="ListParagraph"/>
        <w:numPr>
          <w:ilvl w:val="0"/>
          <w:numId w:val="3"/>
        </w:numPr>
        <w:spacing w:before="240"/>
        <w:ind w:hanging="720"/>
        <w:rPr>
          <w:rFonts w:ascii="Arial" w:hAnsi="Arial" w:cs="Arial"/>
          <w:b/>
          <w:sz w:val="24"/>
          <w:szCs w:val="27"/>
        </w:rPr>
      </w:pPr>
      <w:r>
        <w:rPr>
          <w:rFonts w:ascii="Arial" w:hAnsi="Arial" w:cs="Arial"/>
          <w:b/>
          <w:sz w:val="24"/>
          <w:szCs w:val="27"/>
        </w:rPr>
        <w:lastRenderedPageBreak/>
        <w:t>The FCO in Asia Pacific</w:t>
      </w:r>
    </w:p>
    <w:p w14:paraId="13D36E19" w14:textId="07039D82" w:rsidR="002439F8" w:rsidRDefault="002439F8" w:rsidP="00685F4E">
      <w:pPr>
        <w:spacing w:after="120"/>
        <w:rPr>
          <w:rFonts w:ascii="Arial" w:hAnsi="Arial" w:cs="Arial"/>
          <w:sz w:val="24"/>
          <w:szCs w:val="27"/>
        </w:rPr>
      </w:pPr>
      <w:r>
        <w:rPr>
          <w:rFonts w:ascii="Arial" w:hAnsi="Arial" w:cs="Arial"/>
          <w:sz w:val="24"/>
          <w:szCs w:val="27"/>
        </w:rPr>
        <w:t xml:space="preserve">The FCO operates across the Asia Pacific region through a number of offices (including Embassies, High Commissions and Consulates), Official Residences and staff residential properties. Some 1,900 people are employed in diplomatic, consular and support roles in these locations. </w:t>
      </w:r>
    </w:p>
    <w:p w14:paraId="31338302" w14:textId="77777777" w:rsidR="000C1332" w:rsidRDefault="000C1332" w:rsidP="00685F4E">
      <w:pPr>
        <w:spacing w:after="120"/>
        <w:rPr>
          <w:rFonts w:ascii="Arial" w:hAnsi="Arial" w:cs="Arial"/>
          <w:sz w:val="24"/>
          <w:szCs w:val="27"/>
        </w:rPr>
      </w:pPr>
      <w:r>
        <w:rPr>
          <w:rFonts w:ascii="Arial" w:hAnsi="Arial" w:cs="Arial"/>
          <w:sz w:val="24"/>
          <w:szCs w:val="27"/>
        </w:rPr>
        <w:t xml:space="preserve">The FCO also operates some of its consulate services out of Honorary Consulates in countries not represented in the table below. In addition to this, a number of countries’ representative functions are provided from a consolidated location. </w:t>
      </w:r>
    </w:p>
    <w:p w14:paraId="2035B9F9" w14:textId="0EA69CC4" w:rsidR="000C1332" w:rsidRDefault="000C1332" w:rsidP="00685F4E">
      <w:pPr>
        <w:spacing w:after="120"/>
        <w:rPr>
          <w:rFonts w:ascii="Arial" w:hAnsi="Arial" w:cs="Arial"/>
          <w:sz w:val="24"/>
          <w:szCs w:val="27"/>
        </w:rPr>
      </w:pPr>
      <w:r>
        <w:rPr>
          <w:rFonts w:ascii="Arial" w:hAnsi="Arial" w:cs="Arial"/>
          <w:sz w:val="24"/>
          <w:szCs w:val="27"/>
        </w:rPr>
        <w:t xml:space="preserve">The following table provides a high-level overview of the countries, number of properties and indicative size portfolio that </w:t>
      </w:r>
      <w:r w:rsidRPr="002208A9">
        <w:rPr>
          <w:rFonts w:ascii="Arial" w:hAnsi="Arial" w:cs="Arial"/>
          <w:sz w:val="24"/>
          <w:szCs w:val="27"/>
        </w:rPr>
        <w:t>could</w:t>
      </w:r>
      <w:r>
        <w:rPr>
          <w:rFonts w:ascii="Arial" w:hAnsi="Arial" w:cs="Arial"/>
          <w:sz w:val="24"/>
          <w:szCs w:val="27"/>
        </w:rPr>
        <w:t xml:space="preserve"> be included in the Asia Pacific</w:t>
      </w:r>
      <w:r w:rsidR="00013C0C">
        <w:rPr>
          <w:rFonts w:ascii="Arial" w:hAnsi="Arial" w:cs="Arial"/>
          <w:sz w:val="24"/>
          <w:szCs w:val="27"/>
        </w:rPr>
        <w:t xml:space="preserve"> work package</w:t>
      </w:r>
      <w:r>
        <w:rPr>
          <w:rFonts w:ascii="Arial" w:hAnsi="Arial" w:cs="Arial"/>
          <w:sz w:val="24"/>
          <w:szCs w:val="27"/>
        </w:rPr>
        <w:t>. The property portfolio consists of a mix of owned and leased properties.</w:t>
      </w:r>
      <w:r w:rsidR="005F0EC0">
        <w:rPr>
          <w:rFonts w:ascii="Arial" w:hAnsi="Arial" w:cs="Arial"/>
          <w:sz w:val="24"/>
          <w:szCs w:val="27"/>
        </w:rPr>
        <w:t xml:space="preserve"> A full-sized version of this table is provided in Appendix E.</w:t>
      </w:r>
      <w:r>
        <w:rPr>
          <w:rFonts w:ascii="Arial" w:hAnsi="Arial" w:cs="Arial"/>
          <w:sz w:val="24"/>
          <w:szCs w:val="27"/>
        </w:rPr>
        <w:t xml:space="preserve"> </w:t>
      </w:r>
    </w:p>
    <w:p w14:paraId="482C3B8E" w14:textId="07BA094E" w:rsidR="005F49A7" w:rsidRDefault="00CB46C0" w:rsidP="00685F4E">
      <w:pPr>
        <w:rPr>
          <w:rFonts w:ascii="Arial" w:hAnsi="Arial" w:cs="Arial"/>
          <w:sz w:val="24"/>
          <w:szCs w:val="27"/>
        </w:rPr>
      </w:pPr>
      <w:r>
        <w:rPr>
          <w:rFonts w:ascii="Arial" w:hAnsi="Arial" w:cs="Arial"/>
          <w:noProof/>
          <w:sz w:val="24"/>
          <w:szCs w:val="27"/>
          <w:lang w:eastAsia="en-GB"/>
        </w:rPr>
        <w:drawing>
          <wp:inline distT="0" distB="0" distL="0" distR="0" wp14:anchorId="0BF6C09C" wp14:editId="06C11E01">
            <wp:extent cx="6261100" cy="24003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38525" cy="2429982"/>
                    </a:xfrm>
                    <a:prstGeom prst="rect">
                      <a:avLst/>
                    </a:prstGeom>
                    <a:noFill/>
                  </pic:spPr>
                </pic:pic>
              </a:graphicData>
            </a:graphic>
          </wp:inline>
        </w:drawing>
      </w:r>
    </w:p>
    <w:p w14:paraId="63F595F8" w14:textId="4CFBC16B" w:rsidR="000C1332" w:rsidRDefault="000C1332" w:rsidP="00685F4E">
      <w:pPr>
        <w:rPr>
          <w:rFonts w:ascii="Arial" w:hAnsi="Arial" w:cs="Arial"/>
          <w:sz w:val="16"/>
          <w:szCs w:val="27"/>
        </w:rPr>
      </w:pPr>
      <w:r>
        <w:rPr>
          <w:rFonts w:ascii="Arial" w:hAnsi="Arial" w:cs="Arial"/>
          <w:sz w:val="16"/>
          <w:szCs w:val="27"/>
        </w:rPr>
        <w:t xml:space="preserve">* Numbers of buildings may change over the period of the contract. </w:t>
      </w:r>
      <w:r w:rsidR="00CB46C0">
        <w:rPr>
          <w:rFonts w:ascii="Arial" w:hAnsi="Arial" w:cs="Arial"/>
          <w:sz w:val="16"/>
          <w:szCs w:val="27"/>
        </w:rPr>
        <w:t xml:space="preserve">The property portfolio is subject to change, including acquisitions, disposals, asset replacements and </w:t>
      </w:r>
      <w:r w:rsidR="00D04394">
        <w:rPr>
          <w:rFonts w:ascii="Arial" w:hAnsi="Arial" w:cs="Arial"/>
          <w:sz w:val="16"/>
          <w:szCs w:val="27"/>
        </w:rPr>
        <w:t>relocations</w:t>
      </w:r>
      <w:r w:rsidR="00CB46C0">
        <w:rPr>
          <w:rFonts w:ascii="Arial" w:hAnsi="Arial" w:cs="Arial"/>
          <w:sz w:val="16"/>
          <w:szCs w:val="27"/>
        </w:rPr>
        <w:t>.</w:t>
      </w:r>
    </w:p>
    <w:p w14:paraId="5F872DB3" w14:textId="77777777" w:rsidR="000C1332" w:rsidRDefault="000C1332" w:rsidP="00685F4E">
      <w:pPr>
        <w:spacing w:after="120"/>
        <w:rPr>
          <w:rFonts w:ascii="Arial" w:hAnsi="Arial" w:cs="Arial"/>
          <w:sz w:val="24"/>
          <w:szCs w:val="27"/>
        </w:rPr>
      </w:pPr>
      <w:r>
        <w:rPr>
          <w:rFonts w:ascii="Arial" w:hAnsi="Arial" w:cs="Arial"/>
          <w:sz w:val="24"/>
          <w:szCs w:val="27"/>
        </w:rPr>
        <w:t xml:space="preserve">The scope of the Asia Pacific </w:t>
      </w:r>
      <w:r w:rsidR="00013C0C">
        <w:rPr>
          <w:rFonts w:ascii="Arial" w:hAnsi="Arial" w:cs="Arial"/>
          <w:sz w:val="24"/>
          <w:szCs w:val="27"/>
        </w:rPr>
        <w:t xml:space="preserve">work package </w:t>
      </w:r>
      <w:r w:rsidR="000F2A51">
        <w:rPr>
          <w:rFonts w:ascii="Arial" w:hAnsi="Arial" w:cs="Arial"/>
          <w:sz w:val="24"/>
          <w:szCs w:val="27"/>
        </w:rPr>
        <w:t>may also include</w:t>
      </w:r>
      <w:r>
        <w:rPr>
          <w:rFonts w:ascii="Arial" w:hAnsi="Arial" w:cs="Arial"/>
          <w:sz w:val="24"/>
          <w:szCs w:val="27"/>
        </w:rPr>
        <w:t xml:space="preserve">: </w:t>
      </w:r>
    </w:p>
    <w:p w14:paraId="5FF1075D" w14:textId="77777777" w:rsidR="000C1332" w:rsidRDefault="000C1332" w:rsidP="00685F4E">
      <w:pPr>
        <w:pStyle w:val="ListParagraph"/>
        <w:numPr>
          <w:ilvl w:val="0"/>
          <w:numId w:val="11"/>
        </w:numPr>
        <w:spacing w:after="120"/>
        <w:rPr>
          <w:rFonts w:ascii="Arial" w:hAnsi="Arial" w:cs="Arial"/>
          <w:sz w:val="24"/>
          <w:szCs w:val="27"/>
        </w:rPr>
      </w:pPr>
      <w:r>
        <w:rPr>
          <w:rFonts w:ascii="Arial" w:hAnsi="Arial" w:cs="Arial"/>
          <w:sz w:val="24"/>
          <w:szCs w:val="27"/>
        </w:rPr>
        <w:t>The offices of other departments or agencies of the UK Government listed in the Civil Serv</w:t>
      </w:r>
      <w:r w:rsidR="00C424FD">
        <w:rPr>
          <w:rFonts w:ascii="Arial" w:hAnsi="Arial" w:cs="Arial"/>
          <w:sz w:val="24"/>
          <w:szCs w:val="27"/>
        </w:rPr>
        <w:t>ice Yearbook from time to time;</w:t>
      </w:r>
    </w:p>
    <w:p w14:paraId="3CB464BC" w14:textId="277B8CA4" w:rsidR="000C1332" w:rsidRDefault="000C1332" w:rsidP="00685F4E">
      <w:pPr>
        <w:pStyle w:val="ListParagraph"/>
        <w:numPr>
          <w:ilvl w:val="0"/>
          <w:numId w:val="11"/>
        </w:numPr>
        <w:spacing w:after="120"/>
        <w:rPr>
          <w:rFonts w:ascii="Arial" w:hAnsi="Arial" w:cs="Arial"/>
          <w:sz w:val="24"/>
          <w:szCs w:val="27"/>
        </w:rPr>
      </w:pPr>
      <w:r>
        <w:rPr>
          <w:rFonts w:ascii="Arial" w:hAnsi="Arial" w:cs="Arial"/>
          <w:sz w:val="24"/>
          <w:szCs w:val="27"/>
        </w:rPr>
        <w:t xml:space="preserve">Other properties for which FM and </w:t>
      </w:r>
      <w:r w:rsidR="00E7310D">
        <w:rPr>
          <w:rFonts w:ascii="Arial" w:hAnsi="Arial" w:cs="Arial"/>
          <w:sz w:val="24"/>
          <w:szCs w:val="27"/>
        </w:rPr>
        <w:t>Related S</w:t>
      </w:r>
      <w:r>
        <w:rPr>
          <w:rFonts w:ascii="Arial" w:hAnsi="Arial" w:cs="Arial"/>
          <w:sz w:val="24"/>
          <w:szCs w:val="27"/>
        </w:rPr>
        <w:t>ervices may become</w:t>
      </w:r>
      <w:r w:rsidR="00C424FD">
        <w:rPr>
          <w:rFonts w:ascii="Arial" w:hAnsi="Arial" w:cs="Arial"/>
          <w:sz w:val="24"/>
          <w:szCs w:val="27"/>
        </w:rPr>
        <w:t xml:space="preserve"> the responsibility of the FCO; and</w:t>
      </w:r>
    </w:p>
    <w:p w14:paraId="6F8953FD" w14:textId="57D3A45C" w:rsidR="000C1332" w:rsidRDefault="00E7310D" w:rsidP="00685F4E">
      <w:pPr>
        <w:pStyle w:val="ListParagraph"/>
        <w:numPr>
          <w:ilvl w:val="0"/>
          <w:numId w:val="11"/>
        </w:numPr>
        <w:spacing w:after="120"/>
        <w:rPr>
          <w:rFonts w:ascii="Arial" w:hAnsi="Arial" w:cs="Arial"/>
          <w:sz w:val="24"/>
          <w:szCs w:val="27"/>
        </w:rPr>
      </w:pPr>
      <w:r>
        <w:rPr>
          <w:rFonts w:ascii="Arial" w:hAnsi="Arial" w:cs="Arial"/>
          <w:sz w:val="24"/>
          <w:szCs w:val="27"/>
        </w:rPr>
        <w:t>The properties of other g</w:t>
      </w:r>
      <w:r w:rsidR="000C1332">
        <w:rPr>
          <w:rFonts w:ascii="Arial" w:hAnsi="Arial" w:cs="Arial"/>
          <w:sz w:val="24"/>
          <w:szCs w:val="27"/>
        </w:rPr>
        <w:t>overnments, should they, in the future, wish to access simi</w:t>
      </w:r>
      <w:r w:rsidR="00F0428C">
        <w:rPr>
          <w:rFonts w:ascii="Arial" w:hAnsi="Arial" w:cs="Arial"/>
          <w:sz w:val="24"/>
          <w:szCs w:val="27"/>
        </w:rPr>
        <w:t>lar services utilising the global</w:t>
      </w:r>
      <w:r w:rsidR="000C1332">
        <w:rPr>
          <w:rFonts w:ascii="Arial" w:hAnsi="Arial" w:cs="Arial"/>
          <w:sz w:val="24"/>
          <w:szCs w:val="27"/>
        </w:rPr>
        <w:t xml:space="preserve"> DPS. </w:t>
      </w:r>
    </w:p>
    <w:p w14:paraId="3636C5FB" w14:textId="77777777" w:rsidR="0077382D" w:rsidRPr="0077382D" w:rsidRDefault="0077382D" w:rsidP="00685F4E">
      <w:pPr>
        <w:spacing w:after="120"/>
        <w:rPr>
          <w:rFonts w:ascii="Arial" w:hAnsi="Arial" w:cs="Arial"/>
          <w:sz w:val="24"/>
          <w:szCs w:val="27"/>
          <w:u w:val="single"/>
        </w:rPr>
      </w:pPr>
      <w:r w:rsidRPr="0077382D">
        <w:rPr>
          <w:rFonts w:ascii="Arial" w:hAnsi="Arial" w:cs="Arial"/>
          <w:sz w:val="24"/>
          <w:szCs w:val="27"/>
          <w:u w:val="single"/>
        </w:rPr>
        <w:t>Work Package 1 – Asia Pacific</w:t>
      </w:r>
    </w:p>
    <w:p w14:paraId="02680CFF" w14:textId="6E56094B" w:rsidR="00CD4347" w:rsidRDefault="0077382D" w:rsidP="00685F4E">
      <w:pPr>
        <w:spacing w:after="120"/>
        <w:rPr>
          <w:rFonts w:ascii="Arial" w:hAnsi="Arial" w:cs="Arial"/>
          <w:sz w:val="24"/>
          <w:szCs w:val="27"/>
        </w:rPr>
      </w:pPr>
      <w:r w:rsidRPr="0077382D">
        <w:rPr>
          <w:rFonts w:ascii="Arial" w:hAnsi="Arial" w:cs="Arial"/>
          <w:sz w:val="24"/>
          <w:szCs w:val="27"/>
        </w:rPr>
        <w:t xml:space="preserve">The initial contract term will be five years, with the FCO having the option to extend the contract term up to an additional two 12-month periods. The scope of the contract will include the delivery of services to all occupants within FCO buildings </w:t>
      </w:r>
      <w:r w:rsidRPr="0077382D">
        <w:rPr>
          <w:rFonts w:ascii="Arial" w:hAnsi="Arial" w:cs="Arial"/>
          <w:sz w:val="24"/>
          <w:szCs w:val="27"/>
        </w:rPr>
        <w:lastRenderedPageBreak/>
        <w:t xml:space="preserve">whether they are FCO staff, contractors, consultants, staff from Other Government Departments (OGDs), or members of the general public. In addition, the contract will be structured to allow OGDs with buildings and operations overseas to access the services through application of contractual change control. </w:t>
      </w:r>
      <w:r w:rsidR="00CD4347">
        <w:rPr>
          <w:rFonts w:ascii="Arial" w:hAnsi="Arial" w:cs="Arial"/>
          <w:sz w:val="24"/>
          <w:szCs w:val="27"/>
        </w:rPr>
        <w:br w:type="page"/>
      </w:r>
    </w:p>
    <w:p w14:paraId="6CC73E51" w14:textId="77777777" w:rsidR="00C424FD" w:rsidRDefault="00C424FD" w:rsidP="00685F4E">
      <w:pPr>
        <w:pStyle w:val="ListParagraph"/>
        <w:numPr>
          <w:ilvl w:val="0"/>
          <w:numId w:val="3"/>
        </w:numPr>
        <w:spacing w:before="240" w:after="160"/>
        <w:ind w:hanging="720"/>
        <w:rPr>
          <w:rFonts w:ascii="Arial" w:hAnsi="Arial" w:cs="Arial"/>
          <w:b/>
          <w:sz w:val="24"/>
          <w:szCs w:val="27"/>
        </w:rPr>
      </w:pPr>
      <w:r w:rsidRPr="00C424FD">
        <w:rPr>
          <w:rFonts w:ascii="Arial" w:hAnsi="Arial" w:cs="Arial"/>
          <w:b/>
          <w:sz w:val="24"/>
          <w:szCs w:val="27"/>
        </w:rPr>
        <w:lastRenderedPageBreak/>
        <w:t>Key Commercial Principles</w:t>
      </w:r>
    </w:p>
    <w:p w14:paraId="32AEA5A9" w14:textId="195B7F0A" w:rsidR="00C424FD" w:rsidRPr="00D14FFB" w:rsidRDefault="006106C6" w:rsidP="00685F4E">
      <w:pPr>
        <w:spacing w:after="120"/>
        <w:rPr>
          <w:rFonts w:ascii="Arial" w:hAnsi="Arial" w:cs="Arial"/>
          <w:sz w:val="24"/>
          <w:szCs w:val="24"/>
        </w:rPr>
      </w:pPr>
      <w:r w:rsidRPr="00F75004">
        <w:rPr>
          <w:rFonts w:ascii="Arial" w:hAnsi="Arial" w:cs="Arial"/>
          <w:sz w:val="24"/>
          <w:szCs w:val="24"/>
        </w:rPr>
        <w:t>T</w:t>
      </w:r>
      <w:r w:rsidR="00C424FD" w:rsidRPr="00F75004">
        <w:rPr>
          <w:rFonts w:ascii="Arial" w:hAnsi="Arial" w:cs="Arial"/>
          <w:sz w:val="24"/>
          <w:szCs w:val="24"/>
        </w:rPr>
        <w:t xml:space="preserve">he </w:t>
      </w:r>
      <w:r w:rsidR="00802879" w:rsidRPr="00974AC2">
        <w:rPr>
          <w:rFonts w:ascii="Arial" w:hAnsi="Arial" w:cs="Arial"/>
          <w:sz w:val="24"/>
          <w:szCs w:val="24"/>
        </w:rPr>
        <w:t>g</w:t>
      </w:r>
      <w:r w:rsidR="003C49A3" w:rsidRPr="00974AC2">
        <w:rPr>
          <w:rFonts w:ascii="Arial" w:hAnsi="Arial" w:cs="Arial"/>
          <w:sz w:val="24"/>
          <w:szCs w:val="24"/>
        </w:rPr>
        <w:t>lobal DPS</w:t>
      </w:r>
      <w:r w:rsidR="00A7100D">
        <w:rPr>
          <w:rFonts w:ascii="Arial" w:hAnsi="Arial" w:cs="Arial"/>
          <w:sz w:val="24"/>
          <w:szCs w:val="24"/>
        </w:rPr>
        <w:t>,</w:t>
      </w:r>
      <w:r w:rsidR="003C49A3" w:rsidRPr="00974AC2">
        <w:rPr>
          <w:rFonts w:ascii="Arial" w:hAnsi="Arial" w:cs="Arial"/>
          <w:sz w:val="24"/>
          <w:szCs w:val="24"/>
        </w:rPr>
        <w:t xml:space="preserve"> and </w:t>
      </w:r>
      <w:r w:rsidR="00013C0C" w:rsidRPr="00974AC2">
        <w:rPr>
          <w:rFonts w:ascii="Arial" w:hAnsi="Arial" w:cs="Arial"/>
          <w:sz w:val="24"/>
          <w:szCs w:val="24"/>
        </w:rPr>
        <w:t xml:space="preserve">individual </w:t>
      </w:r>
      <w:r w:rsidR="001A58EA" w:rsidRPr="00974AC2">
        <w:rPr>
          <w:rFonts w:ascii="Arial" w:hAnsi="Arial" w:cs="Arial"/>
          <w:sz w:val="24"/>
          <w:szCs w:val="24"/>
        </w:rPr>
        <w:t>contracts for work packages</w:t>
      </w:r>
      <w:r w:rsidR="00203B38" w:rsidRPr="00974AC2">
        <w:rPr>
          <w:rFonts w:ascii="Arial" w:hAnsi="Arial" w:cs="Arial"/>
          <w:sz w:val="24"/>
          <w:szCs w:val="24"/>
        </w:rPr>
        <w:t xml:space="preserve"> </w:t>
      </w:r>
      <w:r w:rsidR="00013C0C" w:rsidRPr="00974AC2">
        <w:rPr>
          <w:rFonts w:ascii="Arial" w:hAnsi="Arial" w:cs="Arial"/>
          <w:sz w:val="24"/>
          <w:szCs w:val="24"/>
        </w:rPr>
        <w:t>procured through the DPS</w:t>
      </w:r>
      <w:r w:rsidR="00A7100D">
        <w:rPr>
          <w:rFonts w:ascii="Arial" w:hAnsi="Arial" w:cs="Arial"/>
          <w:sz w:val="24"/>
          <w:szCs w:val="24"/>
        </w:rPr>
        <w:t>,</w:t>
      </w:r>
      <w:r w:rsidR="00013C0C" w:rsidRPr="00974AC2">
        <w:rPr>
          <w:rFonts w:ascii="Arial" w:hAnsi="Arial" w:cs="Arial"/>
          <w:sz w:val="24"/>
          <w:szCs w:val="24"/>
        </w:rPr>
        <w:t xml:space="preserve"> </w:t>
      </w:r>
      <w:r w:rsidR="00C424FD" w:rsidRPr="00D14FFB">
        <w:rPr>
          <w:rFonts w:ascii="Arial" w:hAnsi="Arial" w:cs="Arial"/>
          <w:sz w:val="24"/>
          <w:szCs w:val="24"/>
        </w:rPr>
        <w:t xml:space="preserve">will be developed to reflect the </w:t>
      </w:r>
      <w:r w:rsidRPr="00D14FFB">
        <w:rPr>
          <w:rFonts w:ascii="Arial" w:hAnsi="Arial" w:cs="Arial"/>
          <w:sz w:val="24"/>
          <w:szCs w:val="24"/>
        </w:rPr>
        <w:t xml:space="preserve">following </w:t>
      </w:r>
      <w:r w:rsidR="00C424FD" w:rsidRPr="00D14FFB">
        <w:rPr>
          <w:rFonts w:ascii="Arial" w:hAnsi="Arial" w:cs="Arial"/>
          <w:sz w:val="24"/>
          <w:szCs w:val="24"/>
        </w:rPr>
        <w:t xml:space="preserve">commercial </w:t>
      </w:r>
      <w:r w:rsidRPr="00D14FFB">
        <w:rPr>
          <w:rFonts w:ascii="Arial" w:hAnsi="Arial" w:cs="Arial"/>
          <w:sz w:val="24"/>
          <w:szCs w:val="24"/>
        </w:rPr>
        <w:t>principles</w:t>
      </w:r>
      <w:r w:rsidR="00C424FD" w:rsidRPr="00D14FFB">
        <w:rPr>
          <w:rFonts w:ascii="Arial" w:hAnsi="Arial" w:cs="Arial"/>
          <w:sz w:val="24"/>
          <w:szCs w:val="24"/>
        </w:rPr>
        <w:t>:</w:t>
      </w:r>
    </w:p>
    <w:p w14:paraId="76D359EF" w14:textId="383E5DFB" w:rsidR="007F3AAE" w:rsidRPr="007F3AAE" w:rsidRDefault="007F3AAE" w:rsidP="00685F4E">
      <w:pPr>
        <w:pStyle w:val="ListParagraph"/>
        <w:numPr>
          <w:ilvl w:val="0"/>
          <w:numId w:val="19"/>
        </w:numPr>
        <w:spacing w:after="120"/>
        <w:rPr>
          <w:rFonts w:ascii="Arial" w:hAnsi="Arial" w:cs="Arial"/>
          <w:sz w:val="24"/>
          <w:szCs w:val="27"/>
        </w:rPr>
      </w:pPr>
      <w:r>
        <w:rPr>
          <w:rFonts w:ascii="Arial" w:eastAsia="Times New Roman" w:hAnsi="Arial" w:cs="Arial"/>
          <w:color w:val="000000"/>
          <w:sz w:val="24"/>
          <w:szCs w:val="24"/>
          <w:lang w:eastAsia="en-GB"/>
        </w:rPr>
        <w:t xml:space="preserve">Individuals leading the bids should engage with the relevant decision-makers within their own organisation to gain the approvals required at each stage of </w:t>
      </w:r>
      <w:r w:rsidR="00F25385">
        <w:rPr>
          <w:rFonts w:ascii="Arial" w:eastAsia="Times New Roman" w:hAnsi="Arial" w:cs="Arial"/>
          <w:color w:val="000000"/>
          <w:sz w:val="24"/>
          <w:szCs w:val="24"/>
          <w:lang w:eastAsia="en-GB"/>
        </w:rPr>
        <w:t>the Procurement in good faith;</w:t>
      </w:r>
    </w:p>
    <w:p w14:paraId="1DDB35C9" w14:textId="01BFF47E" w:rsidR="007F3AAE" w:rsidRPr="007F3AAE" w:rsidRDefault="007F3AAE" w:rsidP="00685F4E">
      <w:pPr>
        <w:pStyle w:val="ListParagraph"/>
        <w:numPr>
          <w:ilvl w:val="0"/>
          <w:numId w:val="19"/>
        </w:numPr>
        <w:spacing w:after="120"/>
        <w:rPr>
          <w:rFonts w:ascii="Arial" w:hAnsi="Arial" w:cs="Arial"/>
          <w:sz w:val="24"/>
          <w:szCs w:val="27"/>
        </w:rPr>
      </w:pPr>
      <w:r>
        <w:rPr>
          <w:rFonts w:ascii="Arial" w:eastAsia="Times New Roman" w:hAnsi="Arial" w:cs="Arial"/>
          <w:color w:val="000000"/>
          <w:sz w:val="24"/>
          <w:szCs w:val="24"/>
          <w:lang w:eastAsia="en-GB"/>
        </w:rPr>
        <w:t>Commitment to high levels of performance by both the FCO FM Client Unit and th</w:t>
      </w:r>
      <w:r w:rsidR="00F25385">
        <w:rPr>
          <w:rFonts w:ascii="Arial" w:eastAsia="Times New Roman" w:hAnsi="Arial" w:cs="Arial"/>
          <w:color w:val="000000"/>
          <w:sz w:val="24"/>
          <w:szCs w:val="24"/>
          <w:lang w:eastAsia="en-GB"/>
        </w:rPr>
        <w:t>e appointed service provider(s);</w:t>
      </w:r>
    </w:p>
    <w:p w14:paraId="704F86DC" w14:textId="0100A98D" w:rsidR="007F3AAE" w:rsidRPr="007F3AAE" w:rsidRDefault="007F3AAE" w:rsidP="00685F4E">
      <w:pPr>
        <w:pStyle w:val="ListParagraph"/>
        <w:numPr>
          <w:ilvl w:val="0"/>
          <w:numId w:val="19"/>
        </w:numPr>
        <w:spacing w:after="120"/>
        <w:rPr>
          <w:rFonts w:ascii="Arial" w:hAnsi="Arial" w:cs="Arial"/>
          <w:sz w:val="24"/>
          <w:szCs w:val="27"/>
        </w:rPr>
      </w:pPr>
      <w:r>
        <w:rPr>
          <w:rFonts w:ascii="Arial" w:eastAsia="Times New Roman" w:hAnsi="Arial" w:cs="Arial"/>
          <w:color w:val="000000"/>
          <w:sz w:val="24"/>
          <w:szCs w:val="24"/>
          <w:lang w:eastAsia="en-GB"/>
        </w:rPr>
        <w:t>Development of a joint culture which promotes fair, op</w:t>
      </w:r>
      <w:r w:rsidR="00F25385">
        <w:rPr>
          <w:rFonts w:ascii="Arial" w:eastAsia="Times New Roman" w:hAnsi="Arial" w:cs="Arial"/>
          <w:color w:val="000000"/>
          <w:sz w:val="24"/>
          <w:szCs w:val="24"/>
          <w:lang w:eastAsia="en-GB"/>
        </w:rPr>
        <w:t>en and honest business dealings;</w:t>
      </w:r>
    </w:p>
    <w:p w14:paraId="388956B4" w14:textId="2BF39B26" w:rsidR="007F3AAE" w:rsidRPr="007F3AAE" w:rsidRDefault="007F3AAE" w:rsidP="00685F4E">
      <w:pPr>
        <w:pStyle w:val="ListParagraph"/>
        <w:numPr>
          <w:ilvl w:val="0"/>
          <w:numId w:val="19"/>
        </w:numPr>
        <w:spacing w:after="120"/>
        <w:rPr>
          <w:rFonts w:ascii="Arial" w:hAnsi="Arial" w:cs="Arial"/>
          <w:sz w:val="24"/>
          <w:szCs w:val="27"/>
        </w:rPr>
      </w:pPr>
      <w:r>
        <w:rPr>
          <w:rFonts w:ascii="Arial" w:eastAsia="Times New Roman" w:hAnsi="Arial" w:cs="Arial"/>
          <w:color w:val="000000"/>
          <w:sz w:val="24"/>
          <w:szCs w:val="24"/>
          <w:lang w:eastAsia="en-GB"/>
        </w:rPr>
        <w:t>The FCO and appointed service provider(s) will work co-operatively with a commitment to ongoing appraisal of service performance and resolution of iss</w:t>
      </w:r>
      <w:r w:rsidR="00F25385">
        <w:rPr>
          <w:rFonts w:ascii="Arial" w:eastAsia="Times New Roman" w:hAnsi="Arial" w:cs="Arial"/>
          <w:color w:val="000000"/>
          <w:sz w:val="24"/>
          <w:szCs w:val="24"/>
          <w:lang w:eastAsia="en-GB"/>
        </w:rPr>
        <w:t>ues in a non-adversarial manner;</w:t>
      </w:r>
    </w:p>
    <w:p w14:paraId="455E117B" w14:textId="370C883D" w:rsidR="007F3AAE" w:rsidRPr="007F3AAE" w:rsidRDefault="00D14FFB" w:rsidP="00685F4E">
      <w:pPr>
        <w:pStyle w:val="ListParagraph"/>
        <w:numPr>
          <w:ilvl w:val="0"/>
          <w:numId w:val="19"/>
        </w:numPr>
        <w:spacing w:after="120"/>
        <w:rPr>
          <w:rFonts w:ascii="Arial" w:hAnsi="Arial" w:cs="Arial"/>
          <w:sz w:val="24"/>
          <w:szCs w:val="27"/>
        </w:rPr>
      </w:pPr>
      <w:r w:rsidRPr="000F50CF">
        <w:rPr>
          <w:rFonts w:ascii="Arial" w:eastAsia="Times New Roman" w:hAnsi="Arial" w:cs="Arial"/>
          <w:color w:val="000000"/>
          <w:sz w:val="24"/>
          <w:szCs w:val="24"/>
          <w:lang w:eastAsia="en-GB"/>
        </w:rPr>
        <w:t xml:space="preserve">Affordable services with </w:t>
      </w:r>
      <w:r w:rsidRPr="00F97552">
        <w:rPr>
          <w:rFonts w:ascii="Arial" w:hAnsi="Arial" w:cs="Arial"/>
          <w:sz w:val="24"/>
          <w:szCs w:val="24"/>
        </w:rPr>
        <w:t>c</w:t>
      </w:r>
      <w:r w:rsidR="002208A9" w:rsidRPr="00F97552">
        <w:rPr>
          <w:rFonts w:ascii="Arial" w:hAnsi="Arial" w:cs="Arial"/>
          <w:sz w:val="24"/>
          <w:szCs w:val="24"/>
        </w:rPr>
        <w:t>ost</w:t>
      </w:r>
      <w:r w:rsidR="002208A9" w:rsidRPr="00F75004">
        <w:rPr>
          <w:rFonts w:ascii="Arial" w:hAnsi="Arial" w:cs="Arial"/>
          <w:sz w:val="24"/>
          <w:szCs w:val="24"/>
        </w:rPr>
        <w:t xml:space="preserve"> certainty</w:t>
      </w:r>
      <w:r w:rsidR="002208A9" w:rsidRPr="00F97552">
        <w:rPr>
          <w:rFonts w:ascii="Arial" w:hAnsi="Arial" w:cs="Arial"/>
          <w:sz w:val="24"/>
          <w:szCs w:val="27"/>
        </w:rPr>
        <w:t xml:space="preserve"> through fixed costs where suitable. </w:t>
      </w:r>
    </w:p>
    <w:p w14:paraId="7734053E" w14:textId="4357AAE3" w:rsidR="00C424FD" w:rsidRDefault="00C424FD" w:rsidP="00685F4E">
      <w:pPr>
        <w:pStyle w:val="ListParagraph"/>
        <w:numPr>
          <w:ilvl w:val="0"/>
          <w:numId w:val="19"/>
        </w:numPr>
        <w:spacing w:after="120"/>
        <w:rPr>
          <w:rFonts w:ascii="Arial" w:hAnsi="Arial" w:cs="Arial"/>
          <w:sz w:val="24"/>
          <w:szCs w:val="27"/>
        </w:rPr>
      </w:pPr>
      <w:r>
        <w:rPr>
          <w:rFonts w:ascii="Arial" w:hAnsi="Arial" w:cs="Arial"/>
          <w:sz w:val="24"/>
          <w:szCs w:val="27"/>
        </w:rPr>
        <w:t>Flexibility to ensure that service provision and contract costs continue to reflect the FCO’s business requirements as they change dur</w:t>
      </w:r>
      <w:r w:rsidR="00F25385">
        <w:rPr>
          <w:rFonts w:ascii="Arial" w:hAnsi="Arial" w:cs="Arial"/>
          <w:sz w:val="24"/>
          <w:szCs w:val="27"/>
        </w:rPr>
        <w:t>ing the life of the contract;</w:t>
      </w:r>
    </w:p>
    <w:p w14:paraId="21BA1F53" w14:textId="6511322D" w:rsidR="00C424FD" w:rsidRDefault="00C424FD" w:rsidP="00685F4E">
      <w:pPr>
        <w:pStyle w:val="ListParagraph"/>
        <w:numPr>
          <w:ilvl w:val="0"/>
          <w:numId w:val="19"/>
        </w:numPr>
        <w:spacing w:after="120"/>
        <w:rPr>
          <w:rFonts w:ascii="Arial" w:hAnsi="Arial" w:cs="Arial"/>
          <w:sz w:val="24"/>
          <w:szCs w:val="27"/>
        </w:rPr>
      </w:pPr>
      <w:r>
        <w:rPr>
          <w:rFonts w:ascii="Arial" w:hAnsi="Arial" w:cs="Arial"/>
          <w:sz w:val="24"/>
          <w:szCs w:val="27"/>
        </w:rPr>
        <w:t xml:space="preserve">A performance regime with Key Performance Indicators (KPIs) that align with the FCO’s business requirements, and which has </w:t>
      </w:r>
      <w:r w:rsidR="00F25385">
        <w:rPr>
          <w:rFonts w:ascii="Arial" w:hAnsi="Arial" w:cs="Arial"/>
          <w:sz w:val="24"/>
          <w:szCs w:val="27"/>
        </w:rPr>
        <w:t>a focus on end-user experience;</w:t>
      </w:r>
    </w:p>
    <w:p w14:paraId="7C507A1B" w14:textId="53786C1E" w:rsidR="00C424FD" w:rsidRDefault="00C424FD" w:rsidP="00685F4E">
      <w:pPr>
        <w:pStyle w:val="ListParagraph"/>
        <w:numPr>
          <w:ilvl w:val="0"/>
          <w:numId w:val="19"/>
        </w:numPr>
        <w:spacing w:after="120"/>
        <w:rPr>
          <w:rFonts w:ascii="Arial" w:hAnsi="Arial" w:cs="Arial"/>
          <w:sz w:val="24"/>
          <w:szCs w:val="27"/>
        </w:rPr>
      </w:pPr>
      <w:r>
        <w:rPr>
          <w:rFonts w:ascii="Arial" w:hAnsi="Arial" w:cs="Arial"/>
          <w:sz w:val="24"/>
          <w:szCs w:val="27"/>
        </w:rPr>
        <w:t>Linking of performance to remuneration with a</w:t>
      </w:r>
      <w:r w:rsidR="00F25385">
        <w:rPr>
          <w:rFonts w:ascii="Arial" w:hAnsi="Arial" w:cs="Arial"/>
          <w:sz w:val="24"/>
          <w:szCs w:val="27"/>
        </w:rPr>
        <w:t>ppropriate rewards and remedies;</w:t>
      </w:r>
      <w:r>
        <w:rPr>
          <w:rFonts w:ascii="Arial" w:hAnsi="Arial" w:cs="Arial"/>
          <w:sz w:val="24"/>
          <w:szCs w:val="27"/>
        </w:rPr>
        <w:t xml:space="preserve"> </w:t>
      </w:r>
    </w:p>
    <w:p w14:paraId="36695E89" w14:textId="26C239F1" w:rsidR="00C424FD" w:rsidRDefault="0077382D" w:rsidP="00685F4E">
      <w:pPr>
        <w:pStyle w:val="ListParagraph"/>
        <w:numPr>
          <w:ilvl w:val="0"/>
          <w:numId w:val="19"/>
        </w:numPr>
        <w:spacing w:after="120"/>
        <w:rPr>
          <w:rFonts w:ascii="Arial" w:hAnsi="Arial" w:cs="Arial"/>
          <w:sz w:val="24"/>
          <w:szCs w:val="27"/>
        </w:rPr>
      </w:pPr>
      <w:r>
        <w:rPr>
          <w:rFonts w:ascii="Arial" w:hAnsi="Arial" w:cs="Arial"/>
          <w:sz w:val="24"/>
          <w:szCs w:val="27"/>
        </w:rPr>
        <w:t>Clearly defined g</w:t>
      </w:r>
      <w:r w:rsidR="00C424FD">
        <w:rPr>
          <w:rFonts w:ascii="Arial" w:hAnsi="Arial" w:cs="Arial"/>
          <w:sz w:val="24"/>
          <w:szCs w:val="27"/>
        </w:rPr>
        <w:t xml:space="preserve">overnance arrangements which provide a structured approach to the management of the relationship at both the </w:t>
      </w:r>
      <w:r w:rsidR="00F25385">
        <w:rPr>
          <w:rFonts w:ascii="Arial" w:hAnsi="Arial" w:cs="Arial"/>
          <w:sz w:val="24"/>
          <w:szCs w:val="27"/>
        </w:rPr>
        <w:t>strategic and operational level;</w:t>
      </w:r>
      <w:r w:rsidR="00C424FD">
        <w:rPr>
          <w:rFonts w:ascii="Arial" w:hAnsi="Arial" w:cs="Arial"/>
          <w:sz w:val="24"/>
          <w:szCs w:val="27"/>
        </w:rPr>
        <w:t xml:space="preserve"> </w:t>
      </w:r>
    </w:p>
    <w:p w14:paraId="035C8A03" w14:textId="211D4846" w:rsidR="00C424FD" w:rsidRDefault="00C424FD" w:rsidP="00685F4E">
      <w:pPr>
        <w:pStyle w:val="ListParagraph"/>
        <w:numPr>
          <w:ilvl w:val="0"/>
          <w:numId w:val="19"/>
        </w:numPr>
        <w:spacing w:after="120"/>
        <w:rPr>
          <w:rFonts w:ascii="Arial" w:hAnsi="Arial" w:cs="Arial"/>
          <w:sz w:val="24"/>
          <w:szCs w:val="27"/>
        </w:rPr>
      </w:pPr>
      <w:r>
        <w:rPr>
          <w:rFonts w:ascii="Arial" w:hAnsi="Arial" w:cs="Arial"/>
          <w:sz w:val="24"/>
          <w:szCs w:val="27"/>
        </w:rPr>
        <w:t>Suitable contractual terms and breakpoints to allow the FCO appropriate levels of interventi</w:t>
      </w:r>
      <w:r w:rsidR="00F25385">
        <w:rPr>
          <w:rFonts w:ascii="Arial" w:hAnsi="Arial" w:cs="Arial"/>
          <w:sz w:val="24"/>
          <w:szCs w:val="27"/>
        </w:rPr>
        <w:t>on in the event of poor service;</w:t>
      </w:r>
    </w:p>
    <w:p w14:paraId="10273935" w14:textId="4B24A8E7" w:rsidR="00C424FD" w:rsidRDefault="001A58EA" w:rsidP="00685F4E">
      <w:pPr>
        <w:pStyle w:val="ListParagraph"/>
        <w:numPr>
          <w:ilvl w:val="0"/>
          <w:numId w:val="19"/>
        </w:numPr>
        <w:spacing w:after="120"/>
        <w:rPr>
          <w:rFonts w:ascii="Arial" w:hAnsi="Arial" w:cs="Arial"/>
          <w:sz w:val="24"/>
          <w:szCs w:val="27"/>
        </w:rPr>
      </w:pPr>
      <w:r>
        <w:rPr>
          <w:rFonts w:ascii="Arial" w:hAnsi="Arial" w:cs="Arial"/>
          <w:sz w:val="24"/>
          <w:szCs w:val="27"/>
        </w:rPr>
        <w:t>C</w:t>
      </w:r>
      <w:r w:rsidR="00C424FD">
        <w:rPr>
          <w:rFonts w:ascii="Arial" w:hAnsi="Arial" w:cs="Arial"/>
          <w:sz w:val="24"/>
          <w:szCs w:val="27"/>
        </w:rPr>
        <w:t>ontract term</w:t>
      </w:r>
      <w:r>
        <w:rPr>
          <w:rFonts w:ascii="Arial" w:hAnsi="Arial" w:cs="Arial"/>
          <w:sz w:val="24"/>
          <w:szCs w:val="27"/>
        </w:rPr>
        <w:t>s</w:t>
      </w:r>
      <w:r w:rsidR="00C424FD">
        <w:rPr>
          <w:rFonts w:ascii="Arial" w:hAnsi="Arial" w:cs="Arial"/>
          <w:sz w:val="24"/>
          <w:szCs w:val="27"/>
        </w:rPr>
        <w:t xml:space="preserve"> that seeks to provide the best value for money and that does not constr</w:t>
      </w:r>
      <w:r w:rsidR="00F25385">
        <w:rPr>
          <w:rFonts w:ascii="Arial" w:hAnsi="Arial" w:cs="Arial"/>
          <w:sz w:val="24"/>
          <w:szCs w:val="27"/>
        </w:rPr>
        <w:t>ain future generation contracts;</w:t>
      </w:r>
      <w:r w:rsidR="00C424FD">
        <w:rPr>
          <w:rFonts w:ascii="Arial" w:hAnsi="Arial" w:cs="Arial"/>
          <w:sz w:val="24"/>
          <w:szCs w:val="27"/>
        </w:rPr>
        <w:t xml:space="preserve"> </w:t>
      </w:r>
    </w:p>
    <w:p w14:paraId="4BCA6EDC" w14:textId="07AB64DF" w:rsidR="00D262EE" w:rsidRDefault="00D262EE" w:rsidP="00685F4E">
      <w:pPr>
        <w:pStyle w:val="ListParagraph"/>
        <w:numPr>
          <w:ilvl w:val="0"/>
          <w:numId w:val="19"/>
        </w:numPr>
        <w:spacing w:after="120"/>
        <w:rPr>
          <w:rFonts w:ascii="Arial" w:hAnsi="Arial" w:cs="Arial"/>
          <w:sz w:val="24"/>
          <w:szCs w:val="27"/>
        </w:rPr>
      </w:pPr>
      <w:r>
        <w:rPr>
          <w:rFonts w:ascii="Arial" w:hAnsi="Arial" w:cs="Arial"/>
          <w:sz w:val="24"/>
          <w:szCs w:val="27"/>
        </w:rPr>
        <w:t xml:space="preserve">Elimination and/or minimisation of </w:t>
      </w:r>
      <w:r w:rsidR="00123FAF">
        <w:rPr>
          <w:rFonts w:ascii="Arial" w:hAnsi="Arial" w:cs="Arial"/>
          <w:sz w:val="24"/>
          <w:szCs w:val="27"/>
        </w:rPr>
        <w:t xml:space="preserve">FCO </w:t>
      </w:r>
      <w:r>
        <w:rPr>
          <w:rFonts w:ascii="Arial" w:hAnsi="Arial" w:cs="Arial"/>
          <w:sz w:val="24"/>
          <w:szCs w:val="27"/>
        </w:rPr>
        <w:t>exposure to</w:t>
      </w:r>
      <w:r w:rsidR="00F25385">
        <w:rPr>
          <w:rFonts w:ascii="Arial" w:hAnsi="Arial" w:cs="Arial"/>
          <w:sz w:val="24"/>
          <w:szCs w:val="27"/>
        </w:rPr>
        <w:t xml:space="preserve"> extra unknown costs; and</w:t>
      </w:r>
      <w:r>
        <w:rPr>
          <w:rFonts w:ascii="Arial" w:hAnsi="Arial" w:cs="Arial"/>
          <w:sz w:val="24"/>
          <w:szCs w:val="27"/>
        </w:rPr>
        <w:t xml:space="preserve"> </w:t>
      </w:r>
    </w:p>
    <w:p w14:paraId="300BC823" w14:textId="77777777" w:rsidR="00D262EE" w:rsidRDefault="00D262EE" w:rsidP="00685F4E">
      <w:pPr>
        <w:pStyle w:val="ListParagraph"/>
        <w:numPr>
          <w:ilvl w:val="0"/>
          <w:numId w:val="19"/>
        </w:numPr>
        <w:spacing w:after="120"/>
        <w:rPr>
          <w:rFonts w:ascii="Arial" w:hAnsi="Arial" w:cs="Arial"/>
          <w:sz w:val="24"/>
          <w:szCs w:val="27"/>
        </w:rPr>
      </w:pPr>
      <w:r>
        <w:rPr>
          <w:rFonts w:ascii="Arial" w:hAnsi="Arial" w:cs="Arial"/>
          <w:sz w:val="24"/>
          <w:szCs w:val="27"/>
        </w:rPr>
        <w:t xml:space="preserve">Appropriate allocation of risk and reward within the contract based on a clear understanding of roles and responsibilities. </w:t>
      </w:r>
    </w:p>
    <w:p w14:paraId="54AF0B6C" w14:textId="77777777" w:rsidR="00371BD2" w:rsidRPr="00D262EE" w:rsidRDefault="00371BD2" w:rsidP="00685F4E">
      <w:pPr>
        <w:spacing w:after="120"/>
        <w:rPr>
          <w:rFonts w:ascii="Arial" w:hAnsi="Arial" w:cs="Arial"/>
          <w:sz w:val="24"/>
          <w:szCs w:val="27"/>
        </w:rPr>
      </w:pPr>
      <w:r>
        <w:rPr>
          <w:rFonts w:ascii="Arial" w:hAnsi="Arial" w:cs="Arial"/>
          <w:sz w:val="24"/>
          <w:szCs w:val="27"/>
        </w:rPr>
        <w:br w:type="page"/>
      </w:r>
    </w:p>
    <w:p w14:paraId="5A560EBE" w14:textId="77777777" w:rsidR="007C60AF" w:rsidRDefault="007C60AF" w:rsidP="00685F4E">
      <w:pPr>
        <w:pStyle w:val="ListParagraph"/>
        <w:numPr>
          <w:ilvl w:val="0"/>
          <w:numId w:val="3"/>
        </w:numPr>
        <w:spacing w:before="240" w:after="160"/>
        <w:ind w:hanging="720"/>
        <w:rPr>
          <w:rFonts w:ascii="Arial" w:hAnsi="Arial" w:cs="Arial"/>
          <w:b/>
          <w:sz w:val="24"/>
          <w:szCs w:val="27"/>
        </w:rPr>
      </w:pPr>
      <w:r>
        <w:rPr>
          <w:rFonts w:ascii="Arial" w:hAnsi="Arial" w:cs="Arial"/>
          <w:b/>
          <w:sz w:val="24"/>
          <w:szCs w:val="27"/>
        </w:rPr>
        <w:lastRenderedPageBreak/>
        <w:t>Procurement Route and Timeframe</w:t>
      </w:r>
    </w:p>
    <w:p w14:paraId="32806711" w14:textId="77777777" w:rsidR="00387065" w:rsidRDefault="00013C0C" w:rsidP="00685F4E">
      <w:pPr>
        <w:spacing w:after="160"/>
        <w:rPr>
          <w:rFonts w:ascii="Arial" w:hAnsi="Arial" w:cs="Arial"/>
          <w:sz w:val="24"/>
          <w:szCs w:val="27"/>
        </w:rPr>
      </w:pPr>
      <w:r>
        <w:rPr>
          <w:rFonts w:ascii="Arial" w:hAnsi="Arial" w:cs="Arial"/>
          <w:sz w:val="24"/>
          <w:szCs w:val="27"/>
        </w:rPr>
        <w:t>The FCO intends to carry out the Procurement in accordance with relevant</w:t>
      </w:r>
      <w:r w:rsidR="007C60AF">
        <w:rPr>
          <w:rFonts w:ascii="Arial" w:hAnsi="Arial" w:cs="Arial"/>
          <w:sz w:val="24"/>
          <w:szCs w:val="27"/>
        </w:rPr>
        <w:t xml:space="preserve"> EU procurement directives</w:t>
      </w:r>
      <w:r w:rsidR="00387065">
        <w:rPr>
          <w:rFonts w:ascii="Arial" w:hAnsi="Arial" w:cs="Arial"/>
          <w:sz w:val="24"/>
          <w:szCs w:val="27"/>
        </w:rPr>
        <w:t xml:space="preserve"> and treaty principles</w:t>
      </w:r>
      <w:r w:rsidR="007C60AF">
        <w:rPr>
          <w:rFonts w:ascii="Arial" w:hAnsi="Arial" w:cs="Arial"/>
          <w:sz w:val="24"/>
          <w:szCs w:val="27"/>
        </w:rPr>
        <w:t xml:space="preserve">.  </w:t>
      </w:r>
    </w:p>
    <w:p w14:paraId="02FEBB11" w14:textId="77777777" w:rsidR="007C60AF" w:rsidRDefault="007C60AF" w:rsidP="00685F4E">
      <w:pPr>
        <w:spacing w:after="160"/>
        <w:rPr>
          <w:rFonts w:ascii="Arial" w:hAnsi="Arial" w:cs="Arial"/>
          <w:sz w:val="24"/>
          <w:szCs w:val="27"/>
        </w:rPr>
      </w:pPr>
      <w:r>
        <w:rPr>
          <w:rFonts w:ascii="Arial" w:hAnsi="Arial" w:cs="Arial"/>
          <w:sz w:val="24"/>
          <w:szCs w:val="27"/>
        </w:rPr>
        <w:t xml:space="preserve">Key steps and their associated timelines are below: </w:t>
      </w:r>
    </w:p>
    <w:p w14:paraId="015B1E06" w14:textId="77777777" w:rsidR="00604B4E" w:rsidRDefault="003F32B5" w:rsidP="00685F4E">
      <w:pPr>
        <w:spacing w:after="160"/>
        <w:rPr>
          <w:rFonts w:ascii="Arial" w:hAnsi="Arial" w:cs="Arial"/>
          <w:sz w:val="24"/>
          <w:szCs w:val="27"/>
        </w:rPr>
      </w:pPr>
      <w:r>
        <w:t> </w:t>
      </w:r>
      <w:bookmarkStart w:id="0" w:name="_GoBack"/>
      <w:bookmarkEnd w:id="0"/>
      <w:r w:rsidRPr="003F32B5">
        <w:rPr>
          <w:noProof/>
          <w:lang w:eastAsia="en-GB"/>
        </w:rPr>
        <w:drawing>
          <wp:inline distT="0" distB="0" distL="0" distR="0" wp14:anchorId="7592DF40" wp14:editId="1E8B8254">
            <wp:extent cx="6307154" cy="2523281"/>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stretch>
                      <a:fillRect/>
                    </a:stretch>
                  </pic:blipFill>
                  <pic:spPr>
                    <a:xfrm>
                      <a:off x="0" y="0"/>
                      <a:ext cx="6316109" cy="2526864"/>
                    </a:xfrm>
                    <a:prstGeom prst="rect">
                      <a:avLst/>
                    </a:prstGeom>
                  </pic:spPr>
                </pic:pic>
              </a:graphicData>
            </a:graphic>
          </wp:inline>
        </w:drawing>
      </w:r>
    </w:p>
    <w:p w14:paraId="1F9B6B0E" w14:textId="77777777" w:rsidR="007B2FEA" w:rsidRDefault="007B2FEA" w:rsidP="00685F4E">
      <w:pPr>
        <w:spacing w:after="160"/>
        <w:rPr>
          <w:rFonts w:ascii="Arial" w:hAnsi="Arial" w:cs="Arial"/>
          <w:sz w:val="24"/>
          <w:szCs w:val="27"/>
        </w:rPr>
      </w:pPr>
    </w:p>
    <w:p w14:paraId="2866BC44" w14:textId="77777777" w:rsidR="00A94FA5" w:rsidRDefault="00A94FA5" w:rsidP="00685F4E">
      <w:pPr>
        <w:spacing w:after="160"/>
        <w:rPr>
          <w:rFonts w:ascii="Arial" w:hAnsi="Arial" w:cs="Arial"/>
          <w:sz w:val="24"/>
          <w:szCs w:val="27"/>
        </w:rPr>
      </w:pPr>
    </w:p>
    <w:tbl>
      <w:tblPr>
        <w:tblStyle w:val="TableGrid"/>
        <w:tblW w:w="0" w:type="auto"/>
        <w:tblLook w:val="04A0" w:firstRow="1" w:lastRow="0" w:firstColumn="1" w:lastColumn="0" w:noHBand="0" w:noVBand="1"/>
      </w:tblPr>
      <w:tblGrid>
        <w:gridCol w:w="1413"/>
        <w:gridCol w:w="5918"/>
        <w:gridCol w:w="1685"/>
      </w:tblGrid>
      <w:tr w:rsidR="00A94FA5" w14:paraId="47FE76EC" w14:textId="77777777" w:rsidTr="002208A9">
        <w:tc>
          <w:tcPr>
            <w:tcW w:w="1413" w:type="dxa"/>
            <w:shd w:val="clear" w:color="auto" w:fill="000000" w:themeFill="text1"/>
          </w:tcPr>
          <w:p w14:paraId="08514EA4" w14:textId="77777777" w:rsidR="002208A9" w:rsidRPr="002208A9" w:rsidRDefault="002208A9" w:rsidP="00685F4E">
            <w:pPr>
              <w:spacing w:after="0"/>
              <w:rPr>
                <w:rFonts w:ascii="Arial" w:hAnsi="Arial" w:cs="Arial"/>
                <w:b/>
                <w:color w:val="FFFFFF" w:themeColor="background1"/>
                <w:sz w:val="20"/>
                <w:szCs w:val="27"/>
              </w:rPr>
            </w:pPr>
            <w:r>
              <w:rPr>
                <w:rFonts w:ascii="Arial" w:hAnsi="Arial" w:cs="Arial"/>
                <w:b/>
                <w:color w:val="FFFFFF" w:themeColor="background1"/>
                <w:sz w:val="20"/>
                <w:szCs w:val="27"/>
              </w:rPr>
              <w:t>Stage</w:t>
            </w:r>
          </w:p>
        </w:tc>
        <w:tc>
          <w:tcPr>
            <w:tcW w:w="5918" w:type="dxa"/>
            <w:shd w:val="clear" w:color="auto" w:fill="000000" w:themeFill="text1"/>
          </w:tcPr>
          <w:p w14:paraId="3242A1D0" w14:textId="77777777" w:rsidR="002208A9" w:rsidRPr="0004056D" w:rsidRDefault="002208A9" w:rsidP="00685F4E">
            <w:pPr>
              <w:spacing w:after="0"/>
              <w:rPr>
                <w:rFonts w:ascii="Arial" w:hAnsi="Arial" w:cs="Arial"/>
                <w:b/>
                <w:color w:val="FFFFFF" w:themeColor="background1"/>
                <w:sz w:val="20"/>
                <w:szCs w:val="27"/>
              </w:rPr>
            </w:pPr>
            <w:r w:rsidRPr="0004056D">
              <w:rPr>
                <w:rFonts w:ascii="Arial" w:hAnsi="Arial" w:cs="Arial"/>
                <w:b/>
                <w:color w:val="FFFFFF" w:themeColor="background1"/>
                <w:sz w:val="20"/>
                <w:szCs w:val="27"/>
              </w:rPr>
              <w:t>Task</w:t>
            </w:r>
          </w:p>
        </w:tc>
        <w:tc>
          <w:tcPr>
            <w:tcW w:w="1685" w:type="dxa"/>
            <w:shd w:val="clear" w:color="auto" w:fill="000000" w:themeFill="text1"/>
          </w:tcPr>
          <w:p w14:paraId="41467B8C" w14:textId="77777777" w:rsidR="002208A9" w:rsidRPr="0004056D" w:rsidRDefault="002208A9" w:rsidP="00685F4E">
            <w:pPr>
              <w:spacing w:after="0"/>
              <w:rPr>
                <w:rFonts w:ascii="Arial" w:hAnsi="Arial" w:cs="Arial"/>
                <w:b/>
                <w:sz w:val="20"/>
                <w:szCs w:val="27"/>
              </w:rPr>
            </w:pPr>
            <w:r w:rsidRPr="0004056D">
              <w:rPr>
                <w:rFonts w:ascii="Arial" w:hAnsi="Arial" w:cs="Arial"/>
                <w:b/>
                <w:sz w:val="20"/>
                <w:szCs w:val="27"/>
              </w:rPr>
              <w:t>Date</w:t>
            </w:r>
          </w:p>
        </w:tc>
      </w:tr>
      <w:tr w:rsidR="00A94FA5" w14:paraId="3D819086" w14:textId="77777777" w:rsidTr="002208A9">
        <w:tc>
          <w:tcPr>
            <w:tcW w:w="1413" w:type="dxa"/>
          </w:tcPr>
          <w:p w14:paraId="082521CA" w14:textId="77777777" w:rsidR="002208A9" w:rsidRDefault="002208A9" w:rsidP="00685F4E">
            <w:pPr>
              <w:spacing w:after="0"/>
              <w:rPr>
                <w:rFonts w:ascii="Arial" w:hAnsi="Arial" w:cs="Arial"/>
                <w:sz w:val="20"/>
                <w:szCs w:val="27"/>
              </w:rPr>
            </w:pPr>
            <w:r>
              <w:rPr>
                <w:rFonts w:ascii="Arial" w:hAnsi="Arial" w:cs="Arial"/>
                <w:sz w:val="20"/>
                <w:szCs w:val="27"/>
              </w:rPr>
              <w:t>1</w:t>
            </w:r>
          </w:p>
        </w:tc>
        <w:tc>
          <w:tcPr>
            <w:tcW w:w="5918" w:type="dxa"/>
          </w:tcPr>
          <w:p w14:paraId="138E04FF" w14:textId="77777777" w:rsidR="002208A9" w:rsidRPr="0004056D" w:rsidRDefault="00013C0C" w:rsidP="00685F4E">
            <w:pPr>
              <w:spacing w:after="0"/>
              <w:rPr>
                <w:rFonts w:ascii="Arial" w:hAnsi="Arial" w:cs="Arial"/>
                <w:sz w:val="20"/>
                <w:szCs w:val="27"/>
              </w:rPr>
            </w:pPr>
            <w:r>
              <w:rPr>
                <w:rFonts w:ascii="Arial" w:hAnsi="Arial" w:cs="Arial"/>
                <w:sz w:val="20"/>
                <w:szCs w:val="27"/>
              </w:rPr>
              <w:t xml:space="preserve">Issue </w:t>
            </w:r>
            <w:r w:rsidR="00383172">
              <w:rPr>
                <w:rFonts w:ascii="Arial" w:hAnsi="Arial" w:cs="Arial"/>
                <w:sz w:val="20"/>
                <w:szCs w:val="27"/>
              </w:rPr>
              <w:t xml:space="preserve">OJEU Notice </w:t>
            </w:r>
            <w:r>
              <w:rPr>
                <w:rFonts w:ascii="Arial" w:hAnsi="Arial" w:cs="Arial"/>
                <w:sz w:val="20"/>
                <w:szCs w:val="27"/>
              </w:rPr>
              <w:t xml:space="preserve">and </w:t>
            </w:r>
            <w:r w:rsidR="00DE502F">
              <w:rPr>
                <w:rFonts w:ascii="Arial" w:hAnsi="Arial" w:cs="Arial"/>
                <w:sz w:val="20"/>
                <w:szCs w:val="27"/>
              </w:rPr>
              <w:t xml:space="preserve">Stage 1A DPS selection requirements through </w:t>
            </w:r>
            <w:r w:rsidR="00383172">
              <w:rPr>
                <w:rFonts w:ascii="Arial" w:hAnsi="Arial" w:cs="Arial"/>
                <w:sz w:val="20"/>
                <w:szCs w:val="27"/>
              </w:rPr>
              <w:t>SQ</w:t>
            </w:r>
            <w:r w:rsidR="002208A9">
              <w:rPr>
                <w:rFonts w:ascii="Arial" w:hAnsi="Arial" w:cs="Arial"/>
                <w:sz w:val="20"/>
                <w:szCs w:val="27"/>
              </w:rPr>
              <w:t xml:space="preserve"> </w:t>
            </w:r>
            <w:r w:rsidR="00DE502F">
              <w:rPr>
                <w:rFonts w:ascii="Arial" w:hAnsi="Arial" w:cs="Arial"/>
                <w:sz w:val="20"/>
                <w:szCs w:val="27"/>
              </w:rPr>
              <w:t>(</w:t>
            </w:r>
            <w:r w:rsidR="002208A9">
              <w:rPr>
                <w:rFonts w:ascii="Arial" w:hAnsi="Arial" w:cs="Arial"/>
                <w:sz w:val="20"/>
                <w:szCs w:val="27"/>
              </w:rPr>
              <w:t>available on Jaggaer</w:t>
            </w:r>
            <w:r w:rsidR="00DE502F">
              <w:rPr>
                <w:rFonts w:ascii="Arial" w:hAnsi="Arial" w:cs="Arial"/>
                <w:sz w:val="20"/>
                <w:szCs w:val="27"/>
              </w:rPr>
              <w:t>)</w:t>
            </w:r>
          </w:p>
        </w:tc>
        <w:tc>
          <w:tcPr>
            <w:tcW w:w="1685" w:type="dxa"/>
          </w:tcPr>
          <w:p w14:paraId="4A627078" w14:textId="3B2414AD" w:rsidR="002208A9" w:rsidRPr="0004056D" w:rsidRDefault="00B84CB3" w:rsidP="00603F53">
            <w:pPr>
              <w:spacing w:after="0"/>
              <w:rPr>
                <w:rFonts w:ascii="Arial" w:hAnsi="Arial" w:cs="Arial"/>
                <w:sz w:val="20"/>
                <w:szCs w:val="27"/>
              </w:rPr>
            </w:pPr>
            <w:r>
              <w:rPr>
                <w:rFonts w:ascii="Arial" w:hAnsi="Arial" w:cs="Arial"/>
                <w:sz w:val="20"/>
                <w:szCs w:val="27"/>
              </w:rPr>
              <w:t>1</w:t>
            </w:r>
            <w:r w:rsidR="00740212">
              <w:rPr>
                <w:rFonts w:ascii="Arial" w:hAnsi="Arial" w:cs="Arial"/>
                <w:sz w:val="20"/>
                <w:szCs w:val="27"/>
              </w:rPr>
              <w:t>9</w:t>
            </w:r>
            <w:r w:rsidR="002208A9" w:rsidRPr="0004056D">
              <w:rPr>
                <w:rFonts w:ascii="Arial" w:hAnsi="Arial" w:cs="Arial"/>
                <w:sz w:val="20"/>
                <w:szCs w:val="27"/>
                <w:vertAlign w:val="superscript"/>
              </w:rPr>
              <w:t>th</w:t>
            </w:r>
            <w:r w:rsidR="002208A9">
              <w:rPr>
                <w:rFonts w:ascii="Arial" w:hAnsi="Arial" w:cs="Arial"/>
                <w:sz w:val="20"/>
                <w:szCs w:val="27"/>
              </w:rPr>
              <w:t xml:space="preserve"> September 2019</w:t>
            </w:r>
          </w:p>
        </w:tc>
      </w:tr>
      <w:tr w:rsidR="00A94FA5" w14:paraId="161E69EF" w14:textId="77777777" w:rsidTr="002208A9">
        <w:tc>
          <w:tcPr>
            <w:tcW w:w="1413" w:type="dxa"/>
          </w:tcPr>
          <w:p w14:paraId="2E9231DB" w14:textId="77777777" w:rsidR="002208A9" w:rsidRDefault="002208A9" w:rsidP="00685F4E">
            <w:pPr>
              <w:spacing w:after="0"/>
              <w:rPr>
                <w:rFonts w:ascii="Arial" w:hAnsi="Arial" w:cs="Arial"/>
                <w:sz w:val="20"/>
                <w:szCs w:val="27"/>
              </w:rPr>
            </w:pPr>
            <w:r>
              <w:rPr>
                <w:rFonts w:ascii="Arial" w:hAnsi="Arial" w:cs="Arial"/>
                <w:sz w:val="20"/>
                <w:szCs w:val="27"/>
              </w:rPr>
              <w:t>1</w:t>
            </w:r>
          </w:p>
        </w:tc>
        <w:tc>
          <w:tcPr>
            <w:tcW w:w="5918" w:type="dxa"/>
          </w:tcPr>
          <w:p w14:paraId="398F7BD8" w14:textId="77777777" w:rsidR="002208A9" w:rsidRPr="0004056D" w:rsidRDefault="002208A9" w:rsidP="00685F4E">
            <w:pPr>
              <w:spacing w:after="0"/>
              <w:rPr>
                <w:rFonts w:ascii="Arial" w:hAnsi="Arial" w:cs="Arial"/>
                <w:sz w:val="20"/>
                <w:szCs w:val="27"/>
              </w:rPr>
            </w:pPr>
            <w:r>
              <w:rPr>
                <w:rFonts w:ascii="Arial" w:hAnsi="Arial" w:cs="Arial"/>
                <w:sz w:val="20"/>
                <w:szCs w:val="27"/>
              </w:rPr>
              <w:t>Receive completed SQs</w:t>
            </w:r>
          </w:p>
        </w:tc>
        <w:tc>
          <w:tcPr>
            <w:tcW w:w="1685" w:type="dxa"/>
          </w:tcPr>
          <w:p w14:paraId="508EECC7" w14:textId="33DC8EB4" w:rsidR="002208A9" w:rsidRPr="0004056D" w:rsidRDefault="00740212" w:rsidP="00603F53">
            <w:pPr>
              <w:spacing w:after="0"/>
              <w:rPr>
                <w:rFonts w:ascii="Arial" w:hAnsi="Arial" w:cs="Arial"/>
                <w:sz w:val="20"/>
                <w:szCs w:val="27"/>
              </w:rPr>
            </w:pPr>
            <w:r>
              <w:rPr>
                <w:rFonts w:ascii="Arial" w:hAnsi="Arial" w:cs="Arial"/>
                <w:sz w:val="20"/>
                <w:szCs w:val="27"/>
              </w:rPr>
              <w:t>21</w:t>
            </w:r>
            <w:r w:rsidRPr="00740212">
              <w:rPr>
                <w:rFonts w:ascii="Arial" w:hAnsi="Arial" w:cs="Arial"/>
                <w:sz w:val="20"/>
                <w:szCs w:val="27"/>
                <w:vertAlign w:val="superscript"/>
              </w:rPr>
              <w:t>st</w:t>
            </w:r>
            <w:r w:rsidR="002208A9">
              <w:rPr>
                <w:rFonts w:ascii="Arial" w:hAnsi="Arial" w:cs="Arial"/>
                <w:sz w:val="20"/>
                <w:szCs w:val="27"/>
              </w:rPr>
              <w:t xml:space="preserve"> October 2019</w:t>
            </w:r>
          </w:p>
        </w:tc>
      </w:tr>
      <w:tr w:rsidR="00A94FA5" w14:paraId="5EAD9A3C" w14:textId="77777777" w:rsidTr="002208A9">
        <w:tc>
          <w:tcPr>
            <w:tcW w:w="1413" w:type="dxa"/>
          </w:tcPr>
          <w:p w14:paraId="27D2AEEC" w14:textId="77777777" w:rsidR="002208A9" w:rsidRDefault="002208A9" w:rsidP="00685F4E">
            <w:pPr>
              <w:spacing w:after="0"/>
              <w:rPr>
                <w:rFonts w:ascii="Arial" w:hAnsi="Arial" w:cs="Arial"/>
                <w:sz w:val="20"/>
                <w:szCs w:val="27"/>
              </w:rPr>
            </w:pPr>
            <w:r>
              <w:rPr>
                <w:rFonts w:ascii="Arial" w:hAnsi="Arial" w:cs="Arial"/>
                <w:sz w:val="20"/>
                <w:szCs w:val="27"/>
              </w:rPr>
              <w:t>2</w:t>
            </w:r>
          </w:p>
        </w:tc>
        <w:tc>
          <w:tcPr>
            <w:tcW w:w="5918" w:type="dxa"/>
          </w:tcPr>
          <w:p w14:paraId="588D56F2" w14:textId="77777777" w:rsidR="00DE502F" w:rsidRDefault="002208A9" w:rsidP="00685F4E">
            <w:pPr>
              <w:spacing w:after="0"/>
              <w:rPr>
                <w:rFonts w:ascii="Arial" w:hAnsi="Arial" w:cs="Arial"/>
                <w:sz w:val="20"/>
                <w:szCs w:val="27"/>
              </w:rPr>
            </w:pPr>
            <w:r>
              <w:rPr>
                <w:rFonts w:ascii="Arial" w:hAnsi="Arial" w:cs="Arial"/>
                <w:sz w:val="20"/>
                <w:szCs w:val="27"/>
              </w:rPr>
              <w:t xml:space="preserve">Issue </w:t>
            </w:r>
            <w:r w:rsidR="00DE502F">
              <w:rPr>
                <w:rFonts w:ascii="Arial" w:hAnsi="Arial" w:cs="Arial"/>
                <w:sz w:val="20"/>
                <w:szCs w:val="27"/>
              </w:rPr>
              <w:t>Stage 1B DPS selection requirements.</w:t>
            </w:r>
          </w:p>
          <w:p w14:paraId="414D5921" w14:textId="77777777" w:rsidR="002208A9" w:rsidRPr="0004056D" w:rsidRDefault="00DE502F" w:rsidP="00685F4E">
            <w:pPr>
              <w:spacing w:after="0"/>
              <w:rPr>
                <w:rFonts w:ascii="Arial" w:hAnsi="Arial" w:cs="Arial"/>
                <w:sz w:val="20"/>
                <w:szCs w:val="27"/>
              </w:rPr>
            </w:pPr>
            <w:r>
              <w:rPr>
                <w:rFonts w:ascii="Arial" w:hAnsi="Arial" w:cs="Arial"/>
                <w:sz w:val="20"/>
                <w:szCs w:val="27"/>
              </w:rPr>
              <w:t xml:space="preserve">Issue tender documents for </w:t>
            </w:r>
            <w:r w:rsidR="00B84CB3">
              <w:rPr>
                <w:rFonts w:ascii="Arial" w:hAnsi="Arial" w:cs="Arial"/>
                <w:sz w:val="20"/>
                <w:szCs w:val="27"/>
              </w:rPr>
              <w:t xml:space="preserve">Asia Pacific </w:t>
            </w:r>
            <w:r>
              <w:rPr>
                <w:rFonts w:ascii="Arial" w:hAnsi="Arial" w:cs="Arial"/>
                <w:sz w:val="20"/>
                <w:szCs w:val="27"/>
              </w:rPr>
              <w:t xml:space="preserve">work package </w:t>
            </w:r>
            <w:r w:rsidR="002208A9">
              <w:rPr>
                <w:rFonts w:ascii="Arial" w:hAnsi="Arial" w:cs="Arial"/>
                <w:sz w:val="20"/>
                <w:szCs w:val="27"/>
              </w:rPr>
              <w:t xml:space="preserve">to </w:t>
            </w:r>
            <w:r>
              <w:rPr>
                <w:rFonts w:ascii="Arial" w:hAnsi="Arial" w:cs="Arial"/>
                <w:sz w:val="20"/>
                <w:szCs w:val="27"/>
              </w:rPr>
              <w:t xml:space="preserve">all Tenderers </w:t>
            </w:r>
            <w:r w:rsidR="002208A9">
              <w:rPr>
                <w:rFonts w:ascii="Arial" w:hAnsi="Arial" w:cs="Arial"/>
                <w:sz w:val="20"/>
                <w:szCs w:val="27"/>
              </w:rPr>
              <w:t xml:space="preserve">shortlisted </w:t>
            </w:r>
            <w:r>
              <w:rPr>
                <w:rFonts w:ascii="Arial" w:hAnsi="Arial" w:cs="Arial"/>
                <w:sz w:val="20"/>
                <w:szCs w:val="27"/>
              </w:rPr>
              <w:t>following Stage 1A</w:t>
            </w:r>
          </w:p>
        </w:tc>
        <w:tc>
          <w:tcPr>
            <w:tcW w:w="1685" w:type="dxa"/>
          </w:tcPr>
          <w:p w14:paraId="4F613150" w14:textId="085A68A5" w:rsidR="002208A9" w:rsidRPr="0004056D" w:rsidRDefault="002208A9" w:rsidP="00603F53">
            <w:pPr>
              <w:spacing w:after="0"/>
              <w:rPr>
                <w:rFonts w:ascii="Arial" w:hAnsi="Arial" w:cs="Arial"/>
                <w:sz w:val="20"/>
                <w:szCs w:val="27"/>
              </w:rPr>
            </w:pPr>
            <w:r>
              <w:rPr>
                <w:rFonts w:ascii="Arial" w:hAnsi="Arial" w:cs="Arial"/>
                <w:sz w:val="20"/>
                <w:szCs w:val="27"/>
              </w:rPr>
              <w:t>1</w:t>
            </w:r>
            <w:r w:rsidR="00603F53">
              <w:rPr>
                <w:rFonts w:ascii="Arial" w:hAnsi="Arial" w:cs="Arial"/>
                <w:sz w:val="20"/>
                <w:szCs w:val="27"/>
              </w:rPr>
              <w:t>7</w:t>
            </w:r>
            <w:r w:rsidRPr="00F34333">
              <w:rPr>
                <w:rFonts w:ascii="Arial" w:hAnsi="Arial" w:cs="Arial"/>
                <w:sz w:val="20"/>
                <w:szCs w:val="27"/>
                <w:vertAlign w:val="superscript"/>
              </w:rPr>
              <w:t>th</w:t>
            </w:r>
            <w:r>
              <w:rPr>
                <w:rFonts w:ascii="Arial" w:hAnsi="Arial" w:cs="Arial"/>
                <w:sz w:val="20"/>
                <w:szCs w:val="27"/>
              </w:rPr>
              <w:t xml:space="preserve"> December 2019</w:t>
            </w:r>
          </w:p>
        </w:tc>
      </w:tr>
      <w:tr w:rsidR="00A94FA5" w14:paraId="0A5C88B1" w14:textId="77777777" w:rsidTr="002208A9">
        <w:tc>
          <w:tcPr>
            <w:tcW w:w="1413" w:type="dxa"/>
          </w:tcPr>
          <w:p w14:paraId="4502D746" w14:textId="77777777" w:rsidR="002208A9" w:rsidRDefault="002208A9" w:rsidP="00685F4E">
            <w:pPr>
              <w:spacing w:after="0"/>
              <w:rPr>
                <w:rFonts w:ascii="Arial" w:hAnsi="Arial" w:cs="Arial"/>
                <w:sz w:val="20"/>
                <w:szCs w:val="27"/>
              </w:rPr>
            </w:pPr>
            <w:r>
              <w:rPr>
                <w:rFonts w:ascii="Arial" w:hAnsi="Arial" w:cs="Arial"/>
                <w:sz w:val="20"/>
                <w:szCs w:val="27"/>
              </w:rPr>
              <w:t>3</w:t>
            </w:r>
          </w:p>
        </w:tc>
        <w:tc>
          <w:tcPr>
            <w:tcW w:w="5918" w:type="dxa"/>
          </w:tcPr>
          <w:p w14:paraId="19096C5A" w14:textId="77777777" w:rsidR="002208A9" w:rsidRPr="0004056D" w:rsidRDefault="002208A9" w:rsidP="00685F4E">
            <w:pPr>
              <w:spacing w:after="0"/>
              <w:rPr>
                <w:rFonts w:ascii="Arial" w:hAnsi="Arial" w:cs="Arial"/>
                <w:sz w:val="20"/>
                <w:szCs w:val="27"/>
              </w:rPr>
            </w:pPr>
            <w:r>
              <w:rPr>
                <w:rFonts w:ascii="Arial" w:hAnsi="Arial" w:cs="Arial"/>
                <w:sz w:val="20"/>
                <w:szCs w:val="27"/>
              </w:rPr>
              <w:t xml:space="preserve">Commence </w:t>
            </w:r>
            <w:r w:rsidR="00DE502F">
              <w:rPr>
                <w:rFonts w:ascii="Arial" w:hAnsi="Arial" w:cs="Arial"/>
                <w:sz w:val="20"/>
                <w:szCs w:val="27"/>
              </w:rPr>
              <w:t xml:space="preserve">clarification period for Asia Pacific work package with </w:t>
            </w:r>
            <w:r>
              <w:rPr>
                <w:rFonts w:ascii="Arial" w:hAnsi="Arial" w:cs="Arial"/>
                <w:sz w:val="20"/>
                <w:szCs w:val="27"/>
              </w:rPr>
              <w:t>shortlisted Tenderers</w:t>
            </w:r>
          </w:p>
        </w:tc>
        <w:tc>
          <w:tcPr>
            <w:tcW w:w="1685" w:type="dxa"/>
          </w:tcPr>
          <w:p w14:paraId="198E7CF5" w14:textId="77777777" w:rsidR="002208A9" w:rsidRPr="0004056D" w:rsidRDefault="00B84CB3" w:rsidP="00685F4E">
            <w:pPr>
              <w:spacing w:after="0"/>
              <w:rPr>
                <w:rFonts w:ascii="Arial" w:hAnsi="Arial" w:cs="Arial"/>
                <w:sz w:val="20"/>
                <w:szCs w:val="27"/>
              </w:rPr>
            </w:pPr>
            <w:r>
              <w:rPr>
                <w:rFonts w:ascii="Arial" w:hAnsi="Arial" w:cs="Arial"/>
                <w:sz w:val="20"/>
                <w:szCs w:val="27"/>
              </w:rPr>
              <w:t>Jan-</w:t>
            </w:r>
            <w:r w:rsidR="002208A9">
              <w:rPr>
                <w:rFonts w:ascii="Arial" w:hAnsi="Arial" w:cs="Arial"/>
                <w:sz w:val="20"/>
                <w:szCs w:val="27"/>
              </w:rPr>
              <w:t>Feb 2020</w:t>
            </w:r>
          </w:p>
        </w:tc>
      </w:tr>
      <w:tr w:rsidR="00A94FA5" w14:paraId="57A37B24" w14:textId="77777777" w:rsidTr="002208A9">
        <w:tc>
          <w:tcPr>
            <w:tcW w:w="1413" w:type="dxa"/>
          </w:tcPr>
          <w:p w14:paraId="1AF49EEF" w14:textId="77777777" w:rsidR="002208A9" w:rsidRDefault="002208A9" w:rsidP="00685F4E">
            <w:pPr>
              <w:spacing w:after="0"/>
              <w:rPr>
                <w:rFonts w:ascii="Arial" w:hAnsi="Arial" w:cs="Arial"/>
                <w:sz w:val="20"/>
                <w:szCs w:val="27"/>
              </w:rPr>
            </w:pPr>
            <w:r>
              <w:rPr>
                <w:rFonts w:ascii="Arial" w:hAnsi="Arial" w:cs="Arial"/>
                <w:sz w:val="20"/>
                <w:szCs w:val="27"/>
              </w:rPr>
              <w:t>4</w:t>
            </w:r>
          </w:p>
        </w:tc>
        <w:tc>
          <w:tcPr>
            <w:tcW w:w="5918" w:type="dxa"/>
          </w:tcPr>
          <w:p w14:paraId="3581E5E1" w14:textId="77777777" w:rsidR="00DE502F" w:rsidRDefault="00DE502F" w:rsidP="00685F4E">
            <w:pPr>
              <w:spacing w:after="0"/>
              <w:rPr>
                <w:rFonts w:ascii="Arial" w:hAnsi="Arial" w:cs="Arial"/>
                <w:sz w:val="20"/>
                <w:szCs w:val="27"/>
              </w:rPr>
            </w:pPr>
            <w:r>
              <w:rPr>
                <w:rFonts w:ascii="Arial" w:hAnsi="Arial" w:cs="Arial"/>
                <w:sz w:val="20"/>
                <w:szCs w:val="27"/>
              </w:rPr>
              <w:t>Receive responses to Stage 1B DPS selection requirements.</w:t>
            </w:r>
          </w:p>
          <w:p w14:paraId="535CC546" w14:textId="77777777" w:rsidR="002208A9" w:rsidRDefault="00DE502F" w:rsidP="00685F4E">
            <w:pPr>
              <w:spacing w:after="0"/>
              <w:rPr>
                <w:rFonts w:ascii="Arial" w:hAnsi="Arial" w:cs="Arial"/>
                <w:sz w:val="20"/>
                <w:szCs w:val="27"/>
              </w:rPr>
            </w:pPr>
            <w:r>
              <w:rPr>
                <w:rFonts w:ascii="Arial" w:hAnsi="Arial" w:cs="Arial"/>
                <w:sz w:val="20"/>
                <w:szCs w:val="27"/>
              </w:rPr>
              <w:t>Receive t</w:t>
            </w:r>
            <w:r w:rsidR="002208A9">
              <w:rPr>
                <w:rFonts w:ascii="Arial" w:hAnsi="Arial" w:cs="Arial"/>
                <w:sz w:val="20"/>
                <w:szCs w:val="27"/>
              </w:rPr>
              <w:t xml:space="preserve">ender responses </w:t>
            </w:r>
            <w:r>
              <w:rPr>
                <w:rFonts w:ascii="Arial" w:hAnsi="Arial" w:cs="Arial"/>
                <w:sz w:val="20"/>
                <w:szCs w:val="27"/>
              </w:rPr>
              <w:t xml:space="preserve">for Asia Pacific work package. </w:t>
            </w:r>
          </w:p>
        </w:tc>
        <w:tc>
          <w:tcPr>
            <w:tcW w:w="1685" w:type="dxa"/>
          </w:tcPr>
          <w:p w14:paraId="2908F4C9" w14:textId="77777777" w:rsidR="002208A9" w:rsidRDefault="002208A9" w:rsidP="00685F4E">
            <w:pPr>
              <w:spacing w:after="0"/>
              <w:rPr>
                <w:rFonts w:ascii="Arial" w:hAnsi="Arial" w:cs="Arial"/>
                <w:sz w:val="20"/>
                <w:szCs w:val="27"/>
              </w:rPr>
            </w:pPr>
            <w:r>
              <w:rPr>
                <w:rFonts w:ascii="Arial" w:hAnsi="Arial" w:cs="Arial"/>
                <w:sz w:val="20"/>
                <w:szCs w:val="27"/>
              </w:rPr>
              <w:t>April 2020</w:t>
            </w:r>
          </w:p>
        </w:tc>
      </w:tr>
      <w:tr w:rsidR="00A94FA5" w14:paraId="5CD1E085" w14:textId="77777777" w:rsidTr="002208A9">
        <w:tc>
          <w:tcPr>
            <w:tcW w:w="1413" w:type="dxa"/>
          </w:tcPr>
          <w:p w14:paraId="35B7EFCB" w14:textId="77777777" w:rsidR="002208A9" w:rsidRDefault="00383172" w:rsidP="00685F4E">
            <w:pPr>
              <w:spacing w:after="0"/>
              <w:rPr>
                <w:rFonts w:ascii="Arial" w:hAnsi="Arial" w:cs="Arial"/>
                <w:sz w:val="20"/>
                <w:szCs w:val="27"/>
              </w:rPr>
            </w:pPr>
            <w:r>
              <w:rPr>
                <w:rFonts w:ascii="Arial" w:hAnsi="Arial" w:cs="Arial"/>
                <w:sz w:val="20"/>
                <w:szCs w:val="27"/>
              </w:rPr>
              <w:t>4</w:t>
            </w:r>
          </w:p>
        </w:tc>
        <w:tc>
          <w:tcPr>
            <w:tcW w:w="5918" w:type="dxa"/>
          </w:tcPr>
          <w:p w14:paraId="6C76FECF" w14:textId="77777777" w:rsidR="00DE502F" w:rsidRDefault="00DE502F" w:rsidP="00685F4E">
            <w:pPr>
              <w:spacing w:after="0"/>
              <w:rPr>
                <w:rFonts w:ascii="Arial" w:hAnsi="Arial" w:cs="Arial"/>
                <w:sz w:val="20"/>
                <w:szCs w:val="27"/>
              </w:rPr>
            </w:pPr>
            <w:r>
              <w:rPr>
                <w:rFonts w:ascii="Arial" w:hAnsi="Arial" w:cs="Arial"/>
                <w:sz w:val="20"/>
                <w:szCs w:val="27"/>
              </w:rPr>
              <w:t>Award places on global DPS to all Tenderers shortlisted following Stage 1B.</w:t>
            </w:r>
          </w:p>
          <w:p w14:paraId="2C1A30A7" w14:textId="77777777" w:rsidR="002208A9" w:rsidRDefault="00DE502F" w:rsidP="00685F4E">
            <w:pPr>
              <w:spacing w:after="0"/>
              <w:rPr>
                <w:rFonts w:ascii="Arial" w:hAnsi="Arial" w:cs="Arial"/>
                <w:sz w:val="20"/>
                <w:szCs w:val="27"/>
              </w:rPr>
            </w:pPr>
            <w:r>
              <w:rPr>
                <w:rFonts w:ascii="Arial" w:hAnsi="Arial" w:cs="Arial"/>
                <w:sz w:val="20"/>
                <w:szCs w:val="27"/>
              </w:rPr>
              <w:t xml:space="preserve">Award contracts for </w:t>
            </w:r>
            <w:r w:rsidR="002208A9">
              <w:rPr>
                <w:rFonts w:ascii="Arial" w:hAnsi="Arial" w:cs="Arial"/>
                <w:sz w:val="20"/>
                <w:szCs w:val="27"/>
              </w:rPr>
              <w:t>Asia Pacific work package</w:t>
            </w:r>
          </w:p>
        </w:tc>
        <w:tc>
          <w:tcPr>
            <w:tcW w:w="1685" w:type="dxa"/>
          </w:tcPr>
          <w:p w14:paraId="03C94E6A" w14:textId="77777777" w:rsidR="002208A9" w:rsidRDefault="002208A9" w:rsidP="00685F4E">
            <w:pPr>
              <w:spacing w:after="0"/>
              <w:rPr>
                <w:rFonts w:ascii="Arial" w:hAnsi="Arial" w:cs="Arial"/>
                <w:sz w:val="20"/>
                <w:szCs w:val="27"/>
              </w:rPr>
            </w:pPr>
            <w:r>
              <w:rPr>
                <w:rFonts w:ascii="Arial" w:hAnsi="Arial" w:cs="Arial"/>
                <w:sz w:val="20"/>
                <w:szCs w:val="27"/>
              </w:rPr>
              <w:t>September 2020</w:t>
            </w:r>
          </w:p>
        </w:tc>
      </w:tr>
      <w:tr w:rsidR="00A94FA5" w14:paraId="0507A3FB" w14:textId="77777777" w:rsidTr="002208A9">
        <w:tc>
          <w:tcPr>
            <w:tcW w:w="1413" w:type="dxa"/>
          </w:tcPr>
          <w:p w14:paraId="7A9F2801" w14:textId="77777777" w:rsidR="002208A9" w:rsidRDefault="00383172" w:rsidP="00685F4E">
            <w:pPr>
              <w:spacing w:after="0"/>
              <w:rPr>
                <w:rFonts w:ascii="Arial" w:hAnsi="Arial" w:cs="Arial"/>
                <w:sz w:val="20"/>
                <w:szCs w:val="27"/>
              </w:rPr>
            </w:pPr>
            <w:r>
              <w:rPr>
                <w:rFonts w:ascii="Arial" w:hAnsi="Arial" w:cs="Arial"/>
                <w:sz w:val="20"/>
                <w:szCs w:val="27"/>
              </w:rPr>
              <w:t>4</w:t>
            </w:r>
          </w:p>
        </w:tc>
        <w:tc>
          <w:tcPr>
            <w:tcW w:w="5918" w:type="dxa"/>
          </w:tcPr>
          <w:p w14:paraId="46CE9876" w14:textId="77777777" w:rsidR="002208A9" w:rsidRDefault="002208A9" w:rsidP="00685F4E">
            <w:pPr>
              <w:spacing w:after="0"/>
              <w:rPr>
                <w:rFonts w:ascii="Arial" w:hAnsi="Arial" w:cs="Arial"/>
                <w:sz w:val="20"/>
                <w:szCs w:val="27"/>
              </w:rPr>
            </w:pPr>
            <w:r>
              <w:rPr>
                <w:rFonts w:ascii="Arial" w:hAnsi="Arial" w:cs="Arial"/>
                <w:sz w:val="20"/>
                <w:szCs w:val="27"/>
              </w:rPr>
              <w:t>DPS and Asia Pacific work package go-live</w:t>
            </w:r>
          </w:p>
        </w:tc>
        <w:tc>
          <w:tcPr>
            <w:tcW w:w="1685" w:type="dxa"/>
          </w:tcPr>
          <w:p w14:paraId="7EBBC87F" w14:textId="77777777" w:rsidR="002208A9" w:rsidRDefault="002208A9" w:rsidP="00685F4E">
            <w:pPr>
              <w:spacing w:after="0"/>
              <w:rPr>
                <w:rFonts w:ascii="Arial" w:hAnsi="Arial" w:cs="Arial"/>
                <w:sz w:val="20"/>
                <w:szCs w:val="27"/>
              </w:rPr>
            </w:pPr>
            <w:r>
              <w:rPr>
                <w:rFonts w:ascii="Arial" w:hAnsi="Arial" w:cs="Arial"/>
                <w:sz w:val="20"/>
                <w:szCs w:val="27"/>
              </w:rPr>
              <w:t>1</w:t>
            </w:r>
            <w:r w:rsidRPr="00F34333">
              <w:rPr>
                <w:rFonts w:ascii="Arial" w:hAnsi="Arial" w:cs="Arial"/>
                <w:sz w:val="20"/>
                <w:szCs w:val="27"/>
                <w:vertAlign w:val="superscript"/>
              </w:rPr>
              <w:t>st</w:t>
            </w:r>
            <w:r>
              <w:rPr>
                <w:rFonts w:ascii="Arial" w:hAnsi="Arial" w:cs="Arial"/>
                <w:sz w:val="20"/>
                <w:szCs w:val="27"/>
              </w:rPr>
              <w:t xml:space="preserve"> April 2021</w:t>
            </w:r>
          </w:p>
        </w:tc>
      </w:tr>
    </w:tbl>
    <w:p w14:paraId="112A80C5" w14:textId="77777777" w:rsidR="00F34333" w:rsidRDefault="00F34333" w:rsidP="00685F4E">
      <w:pPr>
        <w:spacing w:after="160"/>
        <w:rPr>
          <w:rFonts w:ascii="Arial" w:hAnsi="Arial" w:cs="Arial"/>
          <w:sz w:val="24"/>
          <w:szCs w:val="27"/>
        </w:rPr>
      </w:pPr>
    </w:p>
    <w:p w14:paraId="269ABBF7" w14:textId="488930B7" w:rsidR="007B2FEA" w:rsidRPr="00172844" w:rsidRDefault="0077382D" w:rsidP="00685F4E">
      <w:pPr>
        <w:spacing w:after="120"/>
        <w:rPr>
          <w:rFonts w:ascii="Arial" w:hAnsi="Arial" w:cs="Arial"/>
          <w:sz w:val="24"/>
          <w:szCs w:val="24"/>
        </w:rPr>
      </w:pPr>
      <w:r w:rsidRPr="00172844">
        <w:rPr>
          <w:rFonts w:ascii="Arial" w:hAnsi="Arial" w:cs="Arial"/>
          <w:sz w:val="24"/>
          <w:szCs w:val="24"/>
        </w:rPr>
        <w:t>The P</w:t>
      </w:r>
      <w:r w:rsidR="007B2FEA" w:rsidRPr="00172844">
        <w:rPr>
          <w:rFonts w:ascii="Arial" w:hAnsi="Arial" w:cs="Arial"/>
          <w:sz w:val="24"/>
          <w:szCs w:val="24"/>
        </w:rPr>
        <w:t>rocurement involves two main stages as follows:</w:t>
      </w:r>
    </w:p>
    <w:p w14:paraId="1929C7A0" w14:textId="77777777" w:rsidR="007B2FEA" w:rsidRPr="00172844" w:rsidRDefault="007B2FEA" w:rsidP="00685F4E">
      <w:pPr>
        <w:spacing w:after="120"/>
        <w:rPr>
          <w:rFonts w:ascii="Arial" w:eastAsia="Times New Roman" w:hAnsi="Arial" w:cs="Arial"/>
          <w:b/>
          <w:bCs/>
          <w:sz w:val="24"/>
          <w:szCs w:val="24"/>
        </w:rPr>
      </w:pPr>
      <w:r w:rsidRPr="00172844">
        <w:rPr>
          <w:rFonts w:ascii="Arial" w:eastAsia="Times New Roman" w:hAnsi="Arial" w:cs="Arial"/>
          <w:b/>
          <w:bCs/>
          <w:sz w:val="24"/>
          <w:szCs w:val="24"/>
        </w:rPr>
        <w:t xml:space="preserve">Stage 1 - Selection for the DPS </w:t>
      </w:r>
    </w:p>
    <w:p w14:paraId="43E61B39" w14:textId="5A6E1455" w:rsidR="00503541" w:rsidRPr="00172844" w:rsidRDefault="0077382D" w:rsidP="00685F4E">
      <w:pPr>
        <w:numPr>
          <w:ilvl w:val="1"/>
          <w:numId w:val="41"/>
        </w:numPr>
        <w:spacing w:after="120"/>
        <w:rPr>
          <w:rFonts w:ascii="Arial" w:eastAsia="Times New Roman" w:hAnsi="Arial" w:cs="Arial"/>
          <w:sz w:val="24"/>
          <w:szCs w:val="24"/>
        </w:rPr>
      </w:pPr>
      <w:r w:rsidRPr="00172844">
        <w:rPr>
          <w:rFonts w:ascii="Arial" w:eastAsia="Times New Roman" w:hAnsi="Arial" w:cs="Arial"/>
          <w:sz w:val="24"/>
          <w:szCs w:val="24"/>
        </w:rPr>
        <w:lastRenderedPageBreak/>
        <w:t>This stage will have two</w:t>
      </w:r>
      <w:r w:rsidR="00503541" w:rsidRPr="00172844">
        <w:rPr>
          <w:rFonts w:ascii="Arial" w:eastAsia="Times New Roman" w:hAnsi="Arial" w:cs="Arial"/>
          <w:sz w:val="24"/>
          <w:szCs w:val="24"/>
        </w:rPr>
        <w:t xml:space="preserve"> parts: the first</w:t>
      </w:r>
      <w:r w:rsidR="00E16649" w:rsidRPr="00172844">
        <w:rPr>
          <w:rFonts w:ascii="Arial" w:eastAsia="Times New Roman" w:hAnsi="Arial" w:cs="Arial"/>
          <w:sz w:val="24"/>
          <w:szCs w:val="24"/>
        </w:rPr>
        <w:t>,</w:t>
      </w:r>
      <w:r w:rsidR="00503541" w:rsidRPr="00172844">
        <w:rPr>
          <w:rFonts w:ascii="Arial" w:eastAsia="Times New Roman" w:hAnsi="Arial" w:cs="Arial"/>
          <w:sz w:val="24"/>
          <w:szCs w:val="24"/>
        </w:rPr>
        <w:t xml:space="preserve"> a traditional SQ (“</w:t>
      </w:r>
      <w:r w:rsidR="00503541" w:rsidRPr="00172844">
        <w:rPr>
          <w:rFonts w:ascii="Arial" w:eastAsia="Times New Roman" w:hAnsi="Arial" w:cs="Arial"/>
          <w:b/>
          <w:bCs/>
          <w:sz w:val="24"/>
          <w:szCs w:val="24"/>
        </w:rPr>
        <w:t>1A</w:t>
      </w:r>
      <w:r w:rsidR="00503541" w:rsidRPr="00172844">
        <w:rPr>
          <w:rFonts w:ascii="Arial" w:eastAsia="Times New Roman" w:hAnsi="Arial" w:cs="Arial"/>
          <w:sz w:val="24"/>
          <w:szCs w:val="24"/>
        </w:rPr>
        <w:t>”), and the second</w:t>
      </w:r>
      <w:r w:rsidR="00E16649" w:rsidRPr="00172844">
        <w:rPr>
          <w:rFonts w:ascii="Arial" w:eastAsia="Times New Roman" w:hAnsi="Arial" w:cs="Arial"/>
          <w:sz w:val="24"/>
          <w:szCs w:val="24"/>
        </w:rPr>
        <w:t>,</w:t>
      </w:r>
      <w:r w:rsidR="00503541" w:rsidRPr="00172844">
        <w:rPr>
          <w:rFonts w:ascii="Arial" w:eastAsia="Times New Roman" w:hAnsi="Arial" w:cs="Arial"/>
          <w:sz w:val="24"/>
          <w:szCs w:val="24"/>
        </w:rPr>
        <w:t xml:space="preserve"> a requirement to sign up to relevant selection requirements (including a global </w:t>
      </w:r>
      <w:r w:rsidR="00825CE1" w:rsidRPr="00172844">
        <w:rPr>
          <w:rFonts w:ascii="Arial" w:eastAsia="Times New Roman" w:hAnsi="Arial" w:cs="Arial"/>
          <w:sz w:val="24"/>
          <w:szCs w:val="24"/>
        </w:rPr>
        <w:t>DPS</w:t>
      </w:r>
      <w:r w:rsidR="00503541" w:rsidRPr="00172844">
        <w:rPr>
          <w:rFonts w:ascii="Arial" w:eastAsia="Times New Roman" w:hAnsi="Arial" w:cs="Arial"/>
          <w:sz w:val="24"/>
          <w:szCs w:val="24"/>
        </w:rPr>
        <w:t xml:space="preserve"> contract and various standards) (“</w:t>
      </w:r>
      <w:r w:rsidR="00503541" w:rsidRPr="00172844">
        <w:rPr>
          <w:rFonts w:ascii="Arial" w:eastAsia="Times New Roman" w:hAnsi="Arial" w:cs="Arial"/>
          <w:b/>
          <w:bCs/>
          <w:sz w:val="24"/>
          <w:szCs w:val="24"/>
        </w:rPr>
        <w:t>1B</w:t>
      </w:r>
      <w:r w:rsidR="00503541" w:rsidRPr="00172844">
        <w:rPr>
          <w:rFonts w:ascii="Arial" w:eastAsia="Times New Roman" w:hAnsi="Arial" w:cs="Arial"/>
          <w:sz w:val="24"/>
          <w:szCs w:val="24"/>
        </w:rPr>
        <w:t xml:space="preserve">”). </w:t>
      </w:r>
    </w:p>
    <w:p w14:paraId="13CD3164" w14:textId="5D3A7E23" w:rsidR="00172844" w:rsidRPr="00172844" w:rsidRDefault="007B2FEA" w:rsidP="00685F4E">
      <w:pPr>
        <w:numPr>
          <w:ilvl w:val="1"/>
          <w:numId w:val="41"/>
        </w:numPr>
        <w:spacing w:after="120"/>
        <w:rPr>
          <w:rFonts w:ascii="Arial" w:eastAsia="Times New Roman" w:hAnsi="Arial" w:cs="Arial"/>
          <w:sz w:val="24"/>
          <w:szCs w:val="24"/>
        </w:rPr>
      </w:pPr>
      <w:r w:rsidRPr="00172844">
        <w:rPr>
          <w:rFonts w:ascii="Arial" w:eastAsia="Times New Roman" w:hAnsi="Arial" w:cs="Arial"/>
          <w:sz w:val="24"/>
          <w:szCs w:val="24"/>
        </w:rPr>
        <w:t xml:space="preserve">This stage determines which </w:t>
      </w:r>
      <w:r w:rsidR="001700E9" w:rsidRPr="00172844">
        <w:rPr>
          <w:rFonts w:ascii="Arial" w:eastAsia="Times New Roman" w:hAnsi="Arial" w:cs="Arial"/>
          <w:sz w:val="24"/>
          <w:szCs w:val="24"/>
        </w:rPr>
        <w:t>Tenderer</w:t>
      </w:r>
      <w:r w:rsidRPr="00172844">
        <w:rPr>
          <w:rFonts w:ascii="Arial" w:eastAsia="Times New Roman" w:hAnsi="Arial" w:cs="Arial"/>
          <w:sz w:val="24"/>
          <w:szCs w:val="24"/>
        </w:rPr>
        <w:t xml:space="preserve">s are suitable to join the DPS (and </w:t>
      </w:r>
      <w:r w:rsidRPr="00172844">
        <w:rPr>
          <w:rFonts w:ascii="Arial" w:eastAsia="Times New Roman" w:hAnsi="Arial" w:cs="Arial"/>
          <w:sz w:val="24"/>
          <w:szCs w:val="24"/>
          <w:u w:val="single"/>
        </w:rPr>
        <w:t>all</w:t>
      </w:r>
      <w:r w:rsidRPr="00172844">
        <w:rPr>
          <w:rFonts w:ascii="Arial" w:eastAsia="Times New Roman" w:hAnsi="Arial" w:cs="Arial"/>
          <w:sz w:val="24"/>
          <w:szCs w:val="24"/>
        </w:rPr>
        <w:t xml:space="preserve"> those who pass the selection stage will be awarded a place on the global </w:t>
      </w:r>
      <w:r w:rsidR="00825CE1" w:rsidRPr="00172844">
        <w:rPr>
          <w:rFonts w:ascii="Arial" w:eastAsia="Times New Roman" w:hAnsi="Arial" w:cs="Arial"/>
          <w:sz w:val="24"/>
          <w:szCs w:val="24"/>
        </w:rPr>
        <w:t>DPS</w:t>
      </w:r>
      <w:r w:rsidRPr="00172844">
        <w:rPr>
          <w:rFonts w:ascii="Arial" w:eastAsia="Times New Roman" w:hAnsi="Arial" w:cs="Arial"/>
          <w:sz w:val="24"/>
          <w:szCs w:val="24"/>
        </w:rPr>
        <w:t xml:space="preserve">). </w:t>
      </w:r>
    </w:p>
    <w:p w14:paraId="528E6969" w14:textId="77777777" w:rsidR="007B2FEA" w:rsidRPr="00172844" w:rsidRDefault="007B2FEA" w:rsidP="00685F4E">
      <w:pPr>
        <w:spacing w:after="120"/>
        <w:rPr>
          <w:rFonts w:ascii="Arial" w:eastAsia="Times New Roman" w:hAnsi="Arial" w:cs="Arial"/>
          <w:b/>
          <w:bCs/>
          <w:sz w:val="24"/>
          <w:szCs w:val="24"/>
        </w:rPr>
      </w:pPr>
      <w:r w:rsidRPr="00172844">
        <w:rPr>
          <w:rFonts w:ascii="Arial" w:eastAsia="Times New Roman" w:hAnsi="Arial" w:cs="Arial"/>
          <w:b/>
          <w:bCs/>
          <w:sz w:val="24"/>
          <w:szCs w:val="24"/>
        </w:rPr>
        <w:t xml:space="preserve">Stage 2 - Award of individual contracts under the DPS. </w:t>
      </w:r>
    </w:p>
    <w:p w14:paraId="0701CDC7" w14:textId="1697071F" w:rsidR="00172844" w:rsidRPr="00172844" w:rsidRDefault="007B2FEA" w:rsidP="00685F4E">
      <w:pPr>
        <w:numPr>
          <w:ilvl w:val="0"/>
          <w:numId w:val="43"/>
        </w:numPr>
        <w:spacing w:after="120"/>
        <w:rPr>
          <w:rFonts w:ascii="Arial" w:eastAsia="Times New Roman" w:hAnsi="Arial" w:cs="Arial"/>
          <w:sz w:val="24"/>
          <w:szCs w:val="24"/>
        </w:rPr>
      </w:pPr>
      <w:r w:rsidRPr="00172844">
        <w:rPr>
          <w:rFonts w:ascii="Arial" w:eastAsia="Times New Roman" w:hAnsi="Arial" w:cs="Arial"/>
          <w:sz w:val="24"/>
          <w:szCs w:val="24"/>
        </w:rPr>
        <w:t xml:space="preserve">This stage determines which </w:t>
      </w:r>
      <w:r w:rsidR="001700E9" w:rsidRPr="00172844">
        <w:rPr>
          <w:rFonts w:ascii="Arial" w:eastAsia="Times New Roman" w:hAnsi="Arial" w:cs="Arial"/>
          <w:sz w:val="24"/>
          <w:szCs w:val="24"/>
        </w:rPr>
        <w:t xml:space="preserve">Tenderer </w:t>
      </w:r>
      <w:r w:rsidRPr="00172844">
        <w:rPr>
          <w:rFonts w:ascii="Arial" w:eastAsia="Times New Roman" w:hAnsi="Arial" w:cs="Arial"/>
          <w:sz w:val="24"/>
          <w:szCs w:val="24"/>
        </w:rPr>
        <w:t xml:space="preserve">is awarded the </w:t>
      </w:r>
      <w:r w:rsidR="00DE502F" w:rsidRPr="00172844">
        <w:rPr>
          <w:rFonts w:ascii="Arial" w:eastAsia="Times New Roman" w:hAnsi="Arial" w:cs="Arial"/>
          <w:sz w:val="24"/>
          <w:szCs w:val="24"/>
        </w:rPr>
        <w:t xml:space="preserve">contract for the </w:t>
      </w:r>
      <w:r w:rsidRPr="00172844">
        <w:rPr>
          <w:rFonts w:ascii="Arial" w:eastAsia="Times New Roman" w:hAnsi="Arial" w:cs="Arial"/>
          <w:sz w:val="24"/>
          <w:szCs w:val="24"/>
        </w:rPr>
        <w:t>A</w:t>
      </w:r>
      <w:r w:rsidR="00DE502F" w:rsidRPr="00172844">
        <w:rPr>
          <w:rFonts w:ascii="Arial" w:eastAsia="Times New Roman" w:hAnsi="Arial" w:cs="Arial"/>
          <w:sz w:val="24"/>
          <w:szCs w:val="24"/>
        </w:rPr>
        <w:t xml:space="preserve">sia </w:t>
      </w:r>
      <w:r w:rsidRPr="00172844">
        <w:rPr>
          <w:rFonts w:ascii="Arial" w:eastAsia="Times New Roman" w:hAnsi="Arial" w:cs="Arial"/>
          <w:sz w:val="24"/>
          <w:szCs w:val="24"/>
        </w:rPr>
        <w:t>Pac</w:t>
      </w:r>
      <w:r w:rsidR="00DE502F" w:rsidRPr="00172844">
        <w:rPr>
          <w:rFonts w:ascii="Arial" w:eastAsia="Times New Roman" w:hAnsi="Arial" w:cs="Arial"/>
          <w:sz w:val="24"/>
          <w:szCs w:val="24"/>
        </w:rPr>
        <w:t>ific work package</w:t>
      </w:r>
      <w:r w:rsidRPr="00172844">
        <w:rPr>
          <w:rFonts w:ascii="Arial" w:eastAsia="Times New Roman" w:hAnsi="Arial" w:cs="Arial"/>
          <w:sz w:val="24"/>
          <w:szCs w:val="24"/>
        </w:rPr>
        <w:t xml:space="preserve">. </w:t>
      </w:r>
    </w:p>
    <w:p w14:paraId="474F33FB" w14:textId="77777777" w:rsidR="007B2FEA" w:rsidRPr="00172844" w:rsidRDefault="007B2FEA" w:rsidP="00685F4E">
      <w:pPr>
        <w:spacing w:after="120"/>
        <w:rPr>
          <w:rFonts w:ascii="Arial" w:hAnsi="Arial" w:cs="Arial"/>
          <w:sz w:val="24"/>
          <w:szCs w:val="24"/>
        </w:rPr>
      </w:pPr>
      <w:r w:rsidRPr="00172844">
        <w:rPr>
          <w:rFonts w:ascii="Arial" w:hAnsi="Arial" w:cs="Arial"/>
          <w:sz w:val="24"/>
          <w:szCs w:val="24"/>
        </w:rPr>
        <w:t xml:space="preserve">The </w:t>
      </w:r>
      <w:r w:rsidR="00160EBF" w:rsidRPr="00172844">
        <w:rPr>
          <w:rFonts w:ascii="Arial" w:hAnsi="Arial" w:cs="Arial"/>
          <w:sz w:val="24"/>
          <w:szCs w:val="24"/>
        </w:rPr>
        <w:t xml:space="preserve">FCO will be undertaking Stage 1B and Stage 2 concurrently. </w:t>
      </w:r>
    </w:p>
    <w:p w14:paraId="4489EC91" w14:textId="4367836E" w:rsidR="00587DD1" w:rsidRPr="00172844" w:rsidRDefault="00160EBF" w:rsidP="00685F4E">
      <w:pPr>
        <w:spacing w:after="120"/>
        <w:rPr>
          <w:rFonts w:ascii="Arial" w:hAnsi="Arial" w:cs="Arial"/>
          <w:sz w:val="24"/>
          <w:szCs w:val="24"/>
        </w:rPr>
      </w:pPr>
      <w:r w:rsidRPr="00172844">
        <w:rPr>
          <w:rFonts w:ascii="Arial" w:hAnsi="Arial" w:cs="Arial"/>
          <w:sz w:val="24"/>
          <w:szCs w:val="24"/>
        </w:rPr>
        <w:t>Further details o</w:t>
      </w:r>
      <w:r w:rsidR="00825CE1" w:rsidRPr="00172844">
        <w:rPr>
          <w:rFonts w:ascii="Arial" w:hAnsi="Arial" w:cs="Arial"/>
          <w:sz w:val="24"/>
          <w:szCs w:val="24"/>
        </w:rPr>
        <w:t>f each stage are</w:t>
      </w:r>
      <w:r w:rsidRPr="00172844">
        <w:rPr>
          <w:rFonts w:ascii="Arial" w:hAnsi="Arial" w:cs="Arial"/>
          <w:sz w:val="24"/>
          <w:szCs w:val="24"/>
        </w:rPr>
        <w:t xml:space="preserve"> outlined below:</w:t>
      </w:r>
    </w:p>
    <w:p w14:paraId="7A454772" w14:textId="77777777" w:rsidR="00587DD1" w:rsidRPr="00172844" w:rsidRDefault="00F14C7F" w:rsidP="00685F4E">
      <w:pPr>
        <w:spacing w:before="240" w:after="120"/>
        <w:rPr>
          <w:rFonts w:ascii="Arial" w:hAnsi="Arial" w:cs="Arial"/>
          <w:b/>
          <w:sz w:val="24"/>
          <w:szCs w:val="24"/>
        </w:rPr>
      </w:pPr>
      <w:r w:rsidRPr="00172844">
        <w:rPr>
          <w:rFonts w:ascii="Arial" w:hAnsi="Arial" w:cs="Arial"/>
          <w:b/>
          <w:sz w:val="24"/>
          <w:szCs w:val="24"/>
        </w:rPr>
        <w:t>Stage 1</w:t>
      </w:r>
      <w:r w:rsidR="007B2FEA" w:rsidRPr="00172844">
        <w:rPr>
          <w:rFonts w:ascii="Arial" w:hAnsi="Arial" w:cs="Arial"/>
          <w:b/>
          <w:sz w:val="24"/>
          <w:szCs w:val="24"/>
        </w:rPr>
        <w:t>A</w:t>
      </w:r>
      <w:r w:rsidRPr="00172844">
        <w:rPr>
          <w:rFonts w:ascii="Arial" w:hAnsi="Arial" w:cs="Arial"/>
          <w:b/>
          <w:sz w:val="24"/>
          <w:szCs w:val="24"/>
        </w:rPr>
        <w:t xml:space="preserve"> </w:t>
      </w:r>
    </w:p>
    <w:p w14:paraId="4ED2D946" w14:textId="77777777" w:rsidR="00587DD1" w:rsidRPr="00172844" w:rsidRDefault="00587DD1" w:rsidP="00685F4E">
      <w:pPr>
        <w:spacing w:after="120"/>
        <w:rPr>
          <w:rFonts w:ascii="Arial" w:hAnsi="Arial" w:cs="Arial"/>
          <w:sz w:val="24"/>
          <w:szCs w:val="24"/>
        </w:rPr>
      </w:pPr>
      <w:r w:rsidRPr="00172844">
        <w:rPr>
          <w:rFonts w:ascii="Arial" w:hAnsi="Arial" w:cs="Arial"/>
          <w:sz w:val="24"/>
          <w:szCs w:val="24"/>
        </w:rPr>
        <w:t>Documentation for this stage comprises:</w:t>
      </w:r>
    </w:p>
    <w:p w14:paraId="09E62BD3" w14:textId="6037142C" w:rsidR="00F14C7F" w:rsidRPr="00172844" w:rsidRDefault="00F14C7F" w:rsidP="00685F4E">
      <w:pPr>
        <w:pStyle w:val="ListParagraph"/>
        <w:numPr>
          <w:ilvl w:val="0"/>
          <w:numId w:val="23"/>
        </w:numPr>
        <w:spacing w:after="120"/>
        <w:rPr>
          <w:rFonts w:ascii="Arial" w:hAnsi="Arial" w:cs="Arial"/>
          <w:sz w:val="24"/>
          <w:szCs w:val="24"/>
        </w:rPr>
      </w:pPr>
      <w:r w:rsidRPr="00172844">
        <w:rPr>
          <w:rFonts w:ascii="Arial" w:hAnsi="Arial" w:cs="Arial"/>
          <w:sz w:val="24"/>
          <w:szCs w:val="24"/>
        </w:rPr>
        <w:t>This Procurement Document</w:t>
      </w:r>
      <w:r w:rsidR="00503541" w:rsidRPr="00172844">
        <w:rPr>
          <w:rFonts w:ascii="Arial" w:hAnsi="Arial" w:cs="Arial"/>
          <w:sz w:val="24"/>
          <w:szCs w:val="24"/>
        </w:rPr>
        <w:t xml:space="preserve"> (and accompanying confidentiality agreement – see Appendix E)</w:t>
      </w:r>
      <w:r w:rsidR="00825CE1" w:rsidRPr="00172844">
        <w:rPr>
          <w:rFonts w:ascii="Arial" w:hAnsi="Arial" w:cs="Arial"/>
          <w:sz w:val="24"/>
          <w:szCs w:val="24"/>
        </w:rPr>
        <w:t>;</w:t>
      </w:r>
    </w:p>
    <w:p w14:paraId="5510C4B4" w14:textId="5BE17A8E" w:rsidR="00F14C7F" w:rsidRPr="00172844" w:rsidRDefault="00F14C7F" w:rsidP="00685F4E">
      <w:pPr>
        <w:pStyle w:val="ListParagraph"/>
        <w:numPr>
          <w:ilvl w:val="0"/>
          <w:numId w:val="23"/>
        </w:numPr>
        <w:spacing w:after="120"/>
        <w:rPr>
          <w:rFonts w:ascii="Arial" w:hAnsi="Arial" w:cs="Arial"/>
          <w:sz w:val="24"/>
          <w:szCs w:val="24"/>
        </w:rPr>
      </w:pPr>
      <w:r w:rsidRPr="00172844">
        <w:rPr>
          <w:rFonts w:ascii="Arial" w:hAnsi="Arial" w:cs="Arial"/>
          <w:sz w:val="24"/>
          <w:szCs w:val="24"/>
        </w:rPr>
        <w:t>SQ Part 1 – Potential Supplier Informati</w:t>
      </w:r>
      <w:r w:rsidR="00E16649" w:rsidRPr="00172844">
        <w:rPr>
          <w:rFonts w:ascii="Arial" w:hAnsi="Arial" w:cs="Arial"/>
          <w:sz w:val="24"/>
          <w:szCs w:val="24"/>
        </w:rPr>
        <w:t>on (to be accessed via Jaggaer)</w:t>
      </w:r>
      <w:r w:rsidR="00825CE1" w:rsidRPr="00172844">
        <w:rPr>
          <w:rFonts w:ascii="Arial" w:hAnsi="Arial" w:cs="Arial"/>
          <w:sz w:val="24"/>
          <w:szCs w:val="24"/>
        </w:rPr>
        <w:t>;</w:t>
      </w:r>
    </w:p>
    <w:p w14:paraId="7F571FBA" w14:textId="1EE00150" w:rsidR="00F14C7F" w:rsidRPr="00172844" w:rsidRDefault="00F14C7F" w:rsidP="00685F4E">
      <w:pPr>
        <w:pStyle w:val="ListParagraph"/>
        <w:numPr>
          <w:ilvl w:val="0"/>
          <w:numId w:val="23"/>
        </w:numPr>
        <w:spacing w:after="120"/>
        <w:rPr>
          <w:rFonts w:ascii="Arial" w:hAnsi="Arial" w:cs="Arial"/>
          <w:sz w:val="24"/>
          <w:szCs w:val="24"/>
        </w:rPr>
      </w:pPr>
      <w:r w:rsidRPr="00172844">
        <w:rPr>
          <w:rFonts w:ascii="Arial" w:hAnsi="Arial" w:cs="Arial"/>
          <w:sz w:val="24"/>
          <w:szCs w:val="24"/>
        </w:rPr>
        <w:t>SQ Part 2 – Exclusion Grounds (to be access</w:t>
      </w:r>
      <w:r w:rsidR="00503541" w:rsidRPr="00172844">
        <w:rPr>
          <w:rFonts w:ascii="Arial" w:hAnsi="Arial" w:cs="Arial"/>
          <w:sz w:val="24"/>
          <w:szCs w:val="24"/>
        </w:rPr>
        <w:t>ed</w:t>
      </w:r>
      <w:r w:rsidR="00E16649" w:rsidRPr="00172844">
        <w:rPr>
          <w:rFonts w:ascii="Arial" w:hAnsi="Arial" w:cs="Arial"/>
          <w:sz w:val="24"/>
          <w:szCs w:val="24"/>
        </w:rPr>
        <w:t xml:space="preserve"> via Jaggaer)</w:t>
      </w:r>
      <w:r w:rsidR="00825CE1" w:rsidRPr="00172844">
        <w:rPr>
          <w:rFonts w:ascii="Arial" w:hAnsi="Arial" w:cs="Arial"/>
          <w:sz w:val="24"/>
          <w:szCs w:val="24"/>
        </w:rPr>
        <w:t>; and</w:t>
      </w:r>
    </w:p>
    <w:p w14:paraId="4C6929D1" w14:textId="1FDC6263" w:rsidR="00F14C7F" w:rsidRPr="00172844" w:rsidRDefault="00F14C7F" w:rsidP="00685F4E">
      <w:pPr>
        <w:pStyle w:val="ListParagraph"/>
        <w:numPr>
          <w:ilvl w:val="0"/>
          <w:numId w:val="23"/>
        </w:numPr>
        <w:spacing w:after="120"/>
        <w:rPr>
          <w:rFonts w:ascii="Arial" w:hAnsi="Arial" w:cs="Arial"/>
          <w:sz w:val="24"/>
          <w:szCs w:val="24"/>
        </w:rPr>
      </w:pPr>
      <w:r w:rsidRPr="00172844">
        <w:rPr>
          <w:rFonts w:ascii="Arial" w:hAnsi="Arial" w:cs="Arial"/>
          <w:sz w:val="24"/>
          <w:szCs w:val="24"/>
        </w:rPr>
        <w:t>SQ Part 3 – Selection Questions (to be accessed via Jaggaer) including</w:t>
      </w:r>
      <w:r w:rsidR="00825CE1" w:rsidRPr="00172844">
        <w:rPr>
          <w:rFonts w:ascii="Arial" w:hAnsi="Arial" w:cs="Arial"/>
          <w:sz w:val="24"/>
          <w:szCs w:val="24"/>
        </w:rPr>
        <w:t>:</w:t>
      </w:r>
    </w:p>
    <w:p w14:paraId="79760B84" w14:textId="7C775016" w:rsidR="00F14C7F" w:rsidRPr="00172844" w:rsidRDefault="00F14C7F" w:rsidP="00685F4E">
      <w:pPr>
        <w:pStyle w:val="ListParagraph"/>
        <w:numPr>
          <w:ilvl w:val="1"/>
          <w:numId w:val="23"/>
        </w:numPr>
        <w:spacing w:after="120"/>
        <w:rPr>
          <w:rFonts w:ascii="Arial" w:hAnsi="Arial" w:cs="Arial"/>
          <w:sz w:val="24"/>
          <w:szCs w:val="24"/>
        </w:rPr>
      </w:pPr>
      <w:r w:rsidRPr="00172844">
        <w:rPr>
          <w:rFonts w:ascii="Arial" w:hAnsi="Arial" w:cs="Arial"/>
          <w:sz w:val="24"/>
          <w:szCs w:val="24"/>
        </w:rPr>
        <w:t xml:space="preserve">Financial Viability Risk Assessment </w:t>
      </w:r>
      <w:r w:rsidR="00A35776" w:rsidRPr="00172844">
        <w:rPr>
          <w:rFonts w:ascii="Arial" w:hAnsi="Arial" w:cs="Arial"/>
          <w:sz w:val="24"/>
          <w:szCs w:val="24"/>
        </w:rPr>
        <w:t xml:space="preserve">(FRVA) </w:t>
      </w:r>
      <w:r w:rsidR="00825CE1" w:rsidRPr="00172844">
        <w:rPr>
          <w:rFonts w:ascii="Arial" w:hAnsi="Arial" w:cs="Arial"/>
          <w:sz w:val="24"/>
          <w:szCs w:val="24"/>
        </w:rPr>
        <w:t>Tool;</w:t>
      </w:r>
    </w:p>
    <w:p w14:paraId="0CE3766C" w14:textId="31B36300" w:rsidR="00F14C7F" w:rsidRPr="00172844" w:rsidRDefault="00F14C7F" w:rsidP="00685F4E">
      <w:pPr>
        <w:pStyle w:val="ListParagraph"/>
        <w:numPr>
          <w:ilvl w:val="1"/>
          <w:numId w:val="23"/>
        </w:numPr>
        <w:spacing w:after="120"/>
        <w:rPr>
          <w:rFonts w:ascii="Arial" w:hAnsi="Arial" w:cs="Arial"/>
          <w:sz w:val="24"/>
          <w:szCs w:val="24"/>
        </w:rPr>
      </w:pPr>
      <w:r w:rsidRPr="00172844">
        <w:rPr>
          <w:rFonts w:ascii="Arial" w:hAnsi="Arial" w:cs="Arial"/>
          <w:sz w:val="24"/>
          <w:szCs w:val="24"/>
        </w:rPr>
        <w:t>Capability Matrix</w:t>
      </w:r>
      <w:r w:rsidR="00825CE1" w:rsidRPr="00172844">
        <w:rPr>
          <w:rFonts w:ascii="Arial" w:hAnsi="Arial" w:cs="Arial"/>
          <w:sz w:val="24"/>
          <w:szCs w:val="24"/>
        </w:rPr>
        <w:t>;</w:t>
      </w:r>
    </w:p>
    <w:p w14:paraId="0D42C13D" w14:textId="369CB736" w:rsidR="00F14C7F" w:rsidRPr="00172844" w:rsidRDefault="00F14C7F" w:rsidP="00685F4E">
      <w:pPr>
        <w:pStyle w:val="ListParagraph"/>
        <w:numPr>
          <w:ilvl w:val="1"/>
          <w:numId w:val="23"/>
        </w:numPr>
        <w:spacing w:after="120"/>
        <w:rPr>
          <w:rFonts w:ascii="Arial" w:hAnsi="Arial" w:cs="Arial"/>
          <w:sz w:val="24"/>
          <w:szCs w:val="24"/>
        </w:rPr>
      </w:pPr>
      <w:r w:rsidRPr="00172844">
        <w:rPr>
          <w:rFonts w:ascii="Arial" w:hAnsi="Arial" w:cs="Arial"/>
          <w:sz w:val="24"/>
          <w:szCs w:val="24"/>
        </w:rPr>
        <w:t>Modern Slavery Act</w:t>
      </w:r>
      <w:r w:rsidR="00825CE1" w:rsidRPr="00172844">
        <w:rPr>
          <w:rFonts w:ascii="Arial" w:hAnsi="Arial" w:cs="Arial"/>
          <w:sz w:val="24"/>
          <w:szCs w:val="24"/>
        </w:rPr>
        <w:t>; and</w:t>
      </w:r>
    </w:p>
    <w:p w14:paraId="66CCAC0E" w14:textId="5793182F" w:rsidR="00503541" w:rsidRPr="00172844" w:rsidRDefault="00503541" w:rsidP="00685F4E">
      <w:pPr>
        <w:pStyle w:val="ListParagraph"/>
        <w:numPr>
          <w:ilvl w:val="1"/>
          <w:numId w:val="23"/>
        </w:numPr>
        <w:spacing w:after="120"/>
        <w:rPr>
          <w:rFonts w:ascii="Arial" w:hAnsi="Arial" w:cs="Arial"/>
          <w:sz w:val="24"/>
          <w:szCs w:val="24"/>
        </w:rPr>
      </w:pPr>
      <w:r w:rsidRPr="00172844">
        <w:rPr>
          <w:rFonts w:ascii="Arial" w:hAnsi="Arial" w:cs="Arial"/>
          <w:sz w:val="24"/>
          <w:szCs w:val="24"/>
        </w:rPr>
        <w:t xml:space="preserve">Additional information in relation to due diligence and benefits delivered. </w:t>
      </w:r>
    </w:p>
    <w:p w14:paraId="34216093" w14:textId="77777777" w:rsidR="00587DD1" w:rsidRPr="00172844" w:rsidRDefault="00587DD1" w:rsidP="00685F4E">
      <w:pPr>
        <w:spacing w:after="120"/>
        <w:rPr>
          <w:rFonts w:ascii="Arial" w:hAnsi="Arial" w:cs="Arial"/>
          <w:sz w:val="24"/>
          <w:szCs w:val="24"/>
        </w:rPr>
      </w:pPr>
      <w:r w:rsidRPr="00172844">
        <w:rPr>
          <w:rFonts w:ascii="Arial" w:hAnsi="Arial" w:cs="Arial"/>
          <w:sz w:val="24"/>
          <w:szCs w:val="24"/>
        </w:rPr>
        <w:t>The SQ response required from Tender</w:t>
      </w:r>
      <w:r w:rsidR="000B0F32" w:rsidRPr="00172844">
        <w:rPr>
          <w:rFonts w:ascii="Arial" w:hAnsi="Arial" w:cs="Arial"/>
          <w:sz w:val="24"/>
          <w:szCs w:val="24"/>
        </w:rPr>
        <w:t>ers</w:t>
      </w:r>
      <w:r w:rsidRPr="00172844">
        <w:rPr>
          <w:rFonts w:ascii="Arial" w:hAnsi="Arial" w:cs="Arial"/>
          <w:sz w:val="24"/>
          <w:szCs w:val="24"/>
        </w:rPr>
        <w:t xml:space="preserve"> comprises: </w:t>
      </w:r>
    </w:p>
    <w:p w14:paraId="7F82C0DD" w14:textId="6DFBC60D" w:rsidR="00587DD1" w:rsidRPr="00172844" w:rsidRDefault="00F14C7F" w:rsidP="00685F4E">
      <w:pPr>
        <w:pStyle w:val="ListParagraph"/>
        <w:numPr>
          <w:ilvl w:val="0"/>
          <w:numId w:val="22"/>
        </w:numPr>
        <w:spacing w:after="120"/>
        <w:rPr>
          <w:rFonts w:ascii="Arial" w:hAnsi="Arial" w:cs="Arial"/>
          <w:sz w:val="24"/>
          <w:szCs w:val="24"/>
        </w:rPr>
      </w:pPr>
      <w:r w:rsidRPr="00172844">
        <w:rPr>
          <w:rFonts w:ascii="Arial" w:hAnsi="Arial" w:cs="Arial"/>
          <w:sz w:val="24"/>
          <w:szCs w:val="24"/>
        </w:rPr>
        <w:t>A covering letter confirming the organi</w:t>
      </w:r>
      <w:r w:rsidR="00E16649" w:rsidRPr="00172844">
        <w:rPr>
          <w:rFonts w:ascii="Arial" w:hAnsi="Arial" w:cs="Arial"/>
          <w:sz w:val="24"/>
          <w:szCs w:val="24"/>
        </w:rPr>
        <w:t>sation’s expression of interest</w:t>
      </w:r>
      <w:r w:rsidR="00392F6D">
        <w:rPr>
          <w:rFonts w:ascii="Arial" w:hAnsi="Arial" w:cs="Arial"/>
          <w:sz w:val="24"/>
          <w:szCs w:val="24"/>
        </w:rPr>
        <w:t xml:space="preserve"> (to be sent as a message attachment</w:t>
      </w:r>
      <w:r w:rsidR="003929AF">
        <w:rPr>
          <w:rFonts w:ascii="Arial" w:hAnsi="Arial" w:cs="Arial"/>
          <w:sz w:val="24"/>
          <w:szCs w:val="24"/>
        </w:rPr>
        <w:t>)</w:t>
      </w:r>
      <w:r w:rsidR="00825CE1" w:rsidRPr="00172844">
        <w:rPr>
          <w:rFonts w:ascii="Arial" w:hAnsi="Arial" w:cs="Arial"/>
          <w:sz w:val="24"/>
          <w:szCs w:val="24"/>
        </w:rPr>
        <w:t>;</w:t>
      </w:r>
    </w:p>
    <w:p w14:paraId="562DD9D7" w14:textId="4A51665B" w:rsidR="00F14C7F" w:rsidRPr="00172844" w:rsidRDefault="00F14C7F" w:rsidP="00685F4E">
      <w:pPr>
        <w:pStyle w:val="ListParagraph"/>
        <w:numPr>
          <w:ilvl w:val="0"/>
          <w:numId w:val="22"/>
        </w:numPr>
        <w:spacing w:after="120"/>
        <w:rPr>
          <w:rFonts w:ascii="Arial" w:hAnsi="Arial" w:cs="Arial"/>
          <w:sz w:val="24"/>
          <w:szCs w:val="24"/>
        </w:rPr>
      </w:pPr>
      <w:r w:rsidRPr="00172844">
        <w:rPr>
          <w:rFonts w:ascii="Arial" w:hAnsi="Arial" w:cs="Arial"/>
          <w:sz w:val="24"/>
          <w:szCs w:val="24"/>
        </w:rPr>
        <w:t>A signed confidentiality agr</w:t>
      </w:r>
      <w:r w:rsidR="00E16649" w:rsidRPr="00172844">
        <w:rPr>
          <w:rFonts w:ascii="Arial" w:hAnsi="Arial" w:cs="Arial"/>
          <w:sz w:val="24"/>
          <w:szCs w:val="24"/>
        </w:rPr>
        <w:t>eement</w:t>
      </w:r>
      <w:r w:rsidR="00392F6D">
        <w:rPr>
          <w:rFonts w:ascii="Arial" w:hAnsi="Arial" w:cs="Arial"/>
          <w:sz w:val="24"/>
          <w:szCs w:val="24"/>
        </w:rPr>
        <w:t xml:space="preserve"> </w:t>
      </w:r>
      <w:r w:rsidR="003929AF">
        <w:rPr>
          <w:rFonts w:ascii="Arial" w:hAnsi="Arial" w:cs="Arial"/>
          <w:sz w:val="24"/>
          <w:szCs w:val="24"/>
        </w:rPr>
        <w:t>(</w:t>
      </w:r>
      <w:r w:rsidR="00392F6D">
        <w:rPr>
          <w:rFonts w:ascii="Arial" w:hAnsi="Arial" w:cs="Arial"/>
          <w:sz w:val="24"/>
          <w:szCs w:val="24"/>
        </w:rPr>
        <w:t>to be sent as a message attachment)</w:t>
      </w:r>
      <w:r w:rsidR="00825CE1" w:rsidRPr="00172844">
        <w:rPr>
          <w:rFonts w:ascii="Arial" w:hAnsi="Arial" w:cs="Arial"/>
          <w:sz w:val="24"/>
          <w:szCs w:val="24"/>
        </w:rPr>
        <w:t>; and</w:t>
      </w:r>
    </w:p>
    <w:p w14:paraId="380AFB2D" w14:textId="15A331A6" w:rsidR="00F14C7F" w:rsidRPr="00172844" w:rsidRDefault="00F14C7F" w:rsidP="00685F4E">
      <w:pPr>
        <w:pStyle w:val="ListParagraph"/>
        <w:numPr>
          <w:ilvl w:val="0"/>
          <w:numId w:val="22"/>
        </w:numPr>
        <w:spacing w:after="120"/>
        <w:rPr>
          <w:rFonts w:ascii="Arial" w:hAnsi="Arial" w:cs="Arial"/>
          <w:sz w:val="24"/>
          <w:szCs w:val="24"/>
        </w:rPr>
      </w:pPr>
      <w:r w:rsidRPr="00172844">
        <w:rPr>
          <w:rFonts w:ascii="Arial" w:hAnsi="Arial" w:cs="Arial"/>
          <w:sz w:val="24"/>
          <w:szCs w:val="24"/>
        </w:rPr>
        <w:t>Parts 1-3 of t</w:t>
      </w:r>
      <w:r w:rsidR="00E16649" w:rsidRPr="00172844">
        <w:rPr>
          <w:rFonts w:ascii="Arial" w:hAnsi="Arial" w:cs="Arial"/>
          <w:sz w:val="24"/>
          <w:szCs w:val="24"/>
        </w:rPr>
        <w:t>he SQ including all attachments</w:t>
      </w:r>
      <w:r w:rsidR="00825CE1" w:rsidRPr="00172844">
        <w:rPr>
          <w:rFonts w:ascii="Arial" w:hAnsi="Arial" w:cs="Arial"/>
          <w:sz w:val="24"/>
          <w:szCs w:val="24"/>
        </w:rPr>
        <w:t>.</w:t>
      </w:r>
    </w:p>
    <w:p w14:paraId="6570C1B9" w14:textId="6CF30622" w:rsidR="00A35776" w:rsidRPr="00172844" w:rsidRDefault="00F14C7F" w:rsidP="00685F4E">
      <w:pPr>
        <w:spacing w:after="120"/>
        <w:rPr>
          <w:rFonts w:ascii="Arial" w:hAnsi="Arial" w:cs="Arial"/>
          <w:sz w:val="24"/>
          <w:szCs w:val="24"/>
        </w:rPr>
      </w:pPr>
      <w:r w:rsidRPr="00172844">
        <w:rPr>
          <w:rFonts w:ascii="Arial" w:hAnsi="Arial" w:cs="Arial"/>
          <w:sz w:val="24"/>
          <w:szCs w:val="24"/>
        </w:rPr>
        <w:t>All elements of the SQ should be submitted via the FCO’s Jaggaer portal. We are unable to accept responses submitted via any other means.</w:t>
      </w:r>
    </w:p>
    <w:p w14:paraId="423F4881" w14:textId="690B735D" w:rsidR="000535BD" w:rsidRPr="00172844" w:rsidRDefault="000535BD" w:rsidP="00685F4E">
      <w:pPr>
        <w:spacing w:after="120"/>
        <w:rPr>
          <w:rFonts w:ascii="Arial" w:hAnsi="Arial" w:cs="Arial"/>
          <w:sz w:val="24"/>
          <w:szCs w:val="24"/>
          <w:u w:val="single"/>
        </w:rPr>
      </w:pPr>
      <w:r w:rsidRPr="00172844">
        <w:rPr>
          <w:rFonts w:ascii="Arial" w:hAnsi="Arial" w:cs="Arial"/>
          <w:sz w:val="24"/>
          <w:szCs w:val="24"/>
          <w:u w:val="single"/>
        </w:rPr>
        <w:t>Financial Viability Risk Assessment</w:t>
      </w:r>
    </w:p>
    <w:p w14:paraId="42D494A7" w14:textId="3A18DE41" w:rsidR="00E2744D" w:rsidRPr="00172844" w:rsidRDefault="00A35776" w:rsidP="00CC633B">
      <w:pPr>
        <w:spacing w:after="120"/>
        <w:rPr>
          <w:rFonts w:ascii="Arial" w:hAnsi="Arial" w:cs="Arial"/>
          <w:sz w:val="24"/>
          <w:szCs w:val="24"/>
        </w:rPr>
      </w:pPr>
      <w:r w:rsidRPr="00172844">
        <w:rPr>
          <w:rFonts w:ascii="Arial" w:hAnsi="Arial" w:cs="Arial"/>
          <w:sz w:val="24"/>
          <w:szCs w:val="24"/>
        </w:rPr>
        <w:t>For the FVRA, please complete all of the information required for each relevant entity (i.e. bidding entity</w:t>
      </w:r>
      <w:r w:rsidR="000535BD" w:rsidRPr="00172844">
        <w:rPr>
          <w:rFonts w:ascii="Arial" w:hAnsi="Arial" w:cs="Arial"/>
          <w:sz w:val="24"/>
          <w:szCs w:val="24"/>
        </w:rPr>
        <w:t>/lead supplier</w:t>
      </w:r>
      <w:r w:rsidRPr="00172844">
        <w:rPr>
          <w:rFonts w:ascii="Arial" w:hAnsi="Arial" w:cs="Arial"/>
          <w:sz w:val="24"/>
          <w:szCs w:val="24"/>
        </w:rPr>
        <w:t>, parent company and ultimate parent)</w:t>
      </w:r>
      <w:r w:rsidR="00F14C7F" w:rsidRPr="00172844">
        <w:rPr>
          <w:rFonts w:ascii="Arial" w:hAnsi="Arial" w:cs="Arial"/>
          <w:sz w:val="24"/>
          <w:szCs w:val="24"/>
        </w:rPr>
        <w:t xml:space="preserve"> </w:t>
      </w:r>
      <w:r w:rsidRPr="00172844">
        <w:rPr>
          <w:rFonts w:ascii="Arial" w:hAnsi="Arial" w:cs="Arial"/>
          <w:sz w:val="24"/>
          <w:szCs w:val="24"/>
        </w:rPr>
        <w:t>for the most recent three years</w:t>
      </w:r>
      <w:r w:rsidR="00470DED" w:rsidRPr="00172844">
        <w:rPr>
          <w:rFonts w:ascii="Arial" w:hAnsi="Arial" w:cs="Arial"/>
          <w:sz w:val="24"/>
          <w:szCs w:val="24"/>
        </w:rPr>
        <w:t>.</w:t>
      </w:r>
      <w:r w:rsidR="00854CF4" w:rsidRPr="00172844">
        <w:rPr>
          <w:rFonts w:ascii="Arial" w:hAnsi="Arial" w:cs="Arial"/>
          <w:sz w:val="24"/>
          <w:szCs w:val="24"/>
        </w:rPr>
        <w:t xml:space="preserve"> </w:t>
      </w:r>
    </w:p>
    <w:p w14:paraId="6FF5480F" w14:textId="44E21CB7" w:rsidR="00DD3E26" w:rsidRDefault="00DD3E26" w:rsidP="00DD3E26">
      <w:pPr>
        <w:spacing w:after="120"/>
        <w:rPr>
          <w:rFonts w:ascii="Arial" w:hAnsi="Arial" w:cs="Arial"/>
          <w:sz w:val="24"/>
          <w:szCs w:val="27"/>
        </w:rPr>
      </w:pPr>
      <w:r>
        <w:rPr>
          <w:rFonts w:ascii="Arial" w:hAnsi="Arial" w:cs="Arial"/>
          <w:sz w:val="24"/>
          <w:szCs w:val="27"/>
        </w:rPr>
        <w:lastRenderedPageBreak/>
        <w:t>Should a Tenderer (including any of its parent c</w:t>
      </w:r>
      <w:r w:rsidR="00BA0CD3">
        <w:rPr>
          <w:rFonts w:ascii="Arial" w:hAnsi="Arial" w:cs="Arial"/>
          <w:sz w:val="24"/>
          <w:szCs w:val="27"/>
        </w:rPr>
        <w:t>ompanies or</w:t>
      </w:r>
      <w:r>
        <w:rPr>
          <w:rFonts w:ascii="Arial" w:hAnsi="Arial" w:cs="Arial"/>
          <w:sz w:val="24"/>
          <w:szCs w:val="27"/>
        </w:rPr>
        <w:t xml:space="preserve"> individual organisations forming part of the Tenderer bidding entity) score an Amber or Red rating in any of the financial metrics set out in the FVRA, the FCO will require that Tenderer to provide an explanation and reserves the right to require the provision of additional information (such as references from banks and credit reference agencies). The FCO will consider the explanation (and any supporting documentation, if relevant) and determine whether or not the information provided is sufficient to give the FCO confidence in that Tenderer’s financial viability. If the FCO considers, at its sole discretion, that the information provided is insufficient to give such confidence, the FCO reserves the right to remove the Tenderer</w:t>
      </w:r>
      <w:r w:rsidDel="001700E9">
        <w:rPr>
          <w:rFonts w:ascii="Arial" w:hAnsi="Arial" w:cs="Arial"/>
          <w:sz w:val="24"/>
          <w:szCs w:val="27"/>
        </w:rPr>
        <w:t xml:space="preserve"> </w:t>
      </w:r>
      <w:r>
        <w:rPr>
          <w:rFonts w:ascii="Arial" w:hAnsi="Arial" w:cs="Arial"/>
          <w:sz w:val="24"/>
          <w:szCs w:val="27"/>
        </w:rPr>
        <w:t>from this competition. Guidance on how to complete the FVRA can be found in Appendix D.</w:t>
      </w:r>
    </w:p>
    <w:p w14:paraId="689CE9BB" w14:textId="0CB99136" w:rsidR="00A461CD" w:rsidRDefault="77904EC4" w:rsidP="77904EC4">
      <w:pPr>
        <w:spacing w:after="120"/>
        <w:rPr>
          <w:rFonts w:ascii="Arial" w:hAnsi="Arial" w:cs="Arial"/>
          <w:sz w:val="24"/>
          <w:szCs w:val="24"/>
        </w:rPr>
      </w:pPr>
      <w:r w:rsidRPr="77904EC4">
        <w:rPr>
          <w:rFonts w:ascii="Arial" w:hAnsi="Arial" w:cs="Arial"/>
          <w:sz w:val="24"/>
          <w:szCs w:val="24"/>
        </w:rPr>
        <w:t>The Turnover Ratio metric is pass/fail. If Tenderers do not score at least one Green rating on this metric – indicating that they or a parent company has an annual turnover equal to or more than £1.23 billion – they will not progress to Stage 1B and will not be awarded a place on the DPS.</w:t>
      </w:r>
    </w:p>
    <w:p w14:paraId="5E22E277" w14:textId="643A724D" w:rsidR="00A35776" w:rsidRDefault="00803D06" w:rsidP="00CC633B">
      <w:pPr>
        <w:spacing w:after="120"/>
        <w:rPr>
          <w:rFonts w:ascii="Arial" w:hAnsi="Arial" w:cs="Arial"/>
          <w:sz w:val="24"/>
          <w:szCs w:val="27"/>
        </w:rPr>
      </w:pPr>
      <w:r>
        <w:rPr>
          <w:rFonts w:ascii="Arial" w:hAnsi="Arial" w:cs="Arial"/>
          <w:sz w:val="24"/>
          <w:szCs w:val="27"/>
        </w:rPr>
        <w:t xml:space="preserve">Guidance on how to complete the FVRA can be found in Appendix </w:t>
      </w:r>
      <w:r w:rsidR="00B040F5">
        <w:rPr>
          <w:rFonts w:ascii="Arial" w:hAnsi="Arial" w:cs="Arial"/>
          <w:sz w:val="24"/>
          <w:szCs w:val="27"/>
        </w:rPr>
        <w:t>D</w:t>
      </w:r>
      <w:r>
        <w:rPr>
          <w:rFonts w:ascii="Arial" w:hAnsi="Arial" w:cs="Arial"/>
          <w:sz w:val="24"/>
          <w:szCs w:val="27"/>
        </w:rPr>
        <w:t>.</w:t>
      </w:r>
    </w:p>
    <w:p w14:paraId="6CF124D7" w14:textId="41A985B4" w:rsidR="000535BD" w:rsidRPr="00F75004" w:rsidRDefault="000535BD" w:rsidP="00685F4E">
      <w:pPr>
        <w:spacing w:after="120"/>
        <w:rPr>
          <w:rFonts w:ascii="Arial" w:hAnsi="Arial" w:cs="Arial"/>
          <w:sz w:val="24"/>
          <w:szCs w:val="27"/>
          <w:u w:val="single"/>
        </w:rPr>
      </w:pPr>
      <w:r w:rsidRPr="00F75004">
        <w:rPr>
          <w:rFonts w:ascii="Arial" w:hAnsi="Arial" w:cs="Arial"/>
          <w:sz w:val="24"/>
          <w:szCs w:val="27"/>
          <w:u w:val="single"/>
        </w:rPr>
        <w:t>Capability Matrix</w:t>
      </w:r>
    </w:p>
    <w:p w14:paraId="118B6875" w14:textId="61E79A29" w:rsidR="00892E0E" w:rsidRDefault="00892E0E" w:rsidP="00685F4E">
      <w:pPr>
        <w:spacing w:after="120"/>
        <w:rPr>
          <w:rFonts w:ascii="Arial" w:hAnsi="Arial" w:cs="Arial"/>
          <w:sz w:val="24"/>
          <w:szCs w:val="27"/>
        </w:rPr>
      </w:pPr>
      <w:r>
        <w:rPr>
          <w:rFonts w:ascii="Arial" w:hAnsi="Arial" w:cs="Arial"/>
          <w:sz w:val="24"/>
          <w:szCs w:val="27"/>
        </w:rPr>
        <w:t xml:space="preserve">Please use the Capability Matrix to record the scope and extent of the services you offer in each of the regions detailed in the spreadsheet. If you operate in any countries not listed in the Capability Matrix, please detail these at the bottom of </w:t>
      </w:r>
      <w:r w:rsidR="0094760E">
        <w:rPr>
          <w:rFonts w:ascii="Arial" w:hAnsi="Arial" w:cs="Arial"/>
          <w:sz w:val="24"/>
          <w:szCs w:val="27"/>
        </w:rPr>
        <w:t xml:space="preserve">each section of </w:t>
      </w:r>
      <w:r>
        <w:rPr>
          <w:rFonts w:ascii="Arial" w:hAnsi="Arial" w:cs="Arial"/>
          <w:sz w:val="24"/>
          <w:szCs w:val="27"/>
        </w:rPr>
        <w:t xml:space="preserve">the spreadsheet, following the same format as </w:t>
      </w:r>
      <w:r w:rsidR="00E16649">
        <w:rPr>
          <w:rFonts w:ascii="Arial" w:hAnsi="Arial" w:cs="Arial"/>
          <w:sz w:val="24"/>
          <w:szCs w:val="27"/>
        </w:rPr>
        <w:t>the countries listed above</w:t>
      </w:r>
      <w:r w:rsidR="00AB7F9C">
        <w:rPr>
          <w:rFonts w:ascii="Arial" w:hAnsi="Arial" w:cs="Arial"/>
          <w:sz w:val="24"/>
          <w:szCs w:val="27"/>
        </w:rPr>
        <w:t xml:space="preserve">. </w:t>
      </w:r>
      <w:r w:rsidR="000535BD" w:rsidRPr="000535BD">
        <w:rPr>
          <w:rFonts w:ascii="Arial" w:hAnsi="Arial" w:cs="Arial"/>
          <w:sz w:val="24"/>
          <w:szCs w:val="27"/>
        </w:rPr>
        <w:t xml:space="preserve"> </w:t>
      </w:r>
      <w:r w:rsidR="000535BD">
        <w:rPr>
          <w:rFonts w:ascii="Arial" w:hAnsi="Arial" w:cs="Arial"/>
          <w:sz w:val="24"/>
          <w:szCs w:val="27"/>
        </w:rPr>
        <w:t>At subsequent stages, the FCO may conduct checks, including</w:t>
      </w:r>
      <w:r w:rsidR="00B2629F">
        <w:rPr>
          <w:rFonts w:ascii="Arial" w:hAnsi="Arial" w:cs="Arial"/>
          <w:sz w:val="24"/>
          <w:szCs w:val="27"/>
        </w:rPr>
        <w:t xml:space="preserve"> but not limited</w:t>
      </w:r>
      <w:r w:rsidR="000535BD">
        <w:rPr>
          <w:rFonts w:ascii="Arial" w:hAnsi="Arial" w:cs="Arial"/>
          <w:sz w:val="24"/>
          <w:szCs w:val="27"/>
        </w:rPr>
        <w:t xml:space="preserve"> reference checks, site visits and other due diligence activities, </w:t>
      </w:r>
      <w:r w:rsidR="00B2629F">
        <w:rPr>
          <w:rFonts w:ascii="Arial" w:hAnsi="Arial" w:cs="Arial"/>
          <w:sz w:val="24"/>
          <w:szCs w:val="27"/>
        </w:rPr>
        <w:t>in order to verify Tenderer’s service solutions</w:t>
      </w:r>
      <w:r w:rsidR="000535BD">
        <w:rPr>
          <w:rFonts w:ascii="Arial" w:hAnsi="Arial" w:cs="Arial"/>
          <w:sz w:val="24"/>
          <w:szCs w:val="27"/>
        </w:rPr>
        <w:t xml:space="preserve"> for specific work packages on the DPS.</w:t>
      </w:r>
    </w:p>
    <w:p w14:paraId="39B6395D" w14:textId="29F3FC23" w:rsidR="00F14C7F" w:rsidRDefault="00F14C7F" w:rsidP="00685F4E">
      <w:pPr>
        <w:spacing w:after="120"/>
        <w:rPr>
          <w:rFonts w:ascii="Arial" w:hAnsi="Arial" w:cs="Arial"/>
          <w:b/>
          <w:sz w:val="24"/>
          <w:szCs w:val="27"/>
        </w:rPr>
      </w:pPr>
      <w:r w:rsidRPr="00F14C7F">
        <w:rPr>
          <w:rFonts w:ascii="Arial" w:hAnsi="Arial" w:cs="Arial"/>
          <w:b/>
          <w:sz w:val="24"/>
          <w:szCs w:val="27"/>
        </w:rPr>
        <w:t>Submissions must be made no later than 17:00hrs</w:t>
      </w:r>
      <w:r w:rsidR="00383172">
        <w:rPr>
          <w:rFonts w:ascii="Arial" w:hAnsi="Arial" w:cs="Arial"/>
          <w:b/>
          <w:sz w:val="24"/>
          <w:szCs w:val="27"/>
        </w:rPr>
        <w:t xml:space="preserve"> BST</w:t>
      </w:r>
      <w:r w:rsidR="003929AF">
        <w:rPr>
          <w:rFonts w:ascii="Arial" w:hAnsi="Arial" w:cs="Arial"/>
          <w:b/>
          <w:sz w:val="24"/>
          <w:szCs w:val="27"/>
        </w:rPr>
        <w:t xml:space="preserve"> on 21</w:t>
      </w:r>
      <w:r w:rsidR="003929AF" w:rsidRPr="003929AF">
        <w:rPr>
          <w:rFonts w:ascii="Arial" w:hAnsi="Arial" w:cs="Arial"/>
          <w:b/>
          <w:sz w:val="24"/>
          <w:szCs w:val="27"/>
          <w:vertAlign w:val="superscript"/>
        </w:rPr>
        <w:t>st</w:t>
      </w:r>
      <w:r w:rsidRPr="003929AF">
        <w:rPr>
          <w:rFonts w:ascii="Arial" w:hAnsi="Arial" w:cs="Arial"/>
          <w:b/>
          <w:sz w:val="24"/>
          <w:szCs w:val="27"/>
          <w:vertAlign w:val="superscript"/>
        </w:rPr>
        <w:t xml:space="preserve"> </w:t>
      </w:r>
      <w:r w:rsidRPr="00F14C7F">
        <w:rPr>
          <w:rFonts w:ascii="Arial" w:hAnsi="Arial" w:cs="Arial"/>
          <w:b/>
          <w:sz w:val="24"/>
          <w:szCs w:val="27"/>
        </w:rPr>
        <w:t>October 2019</w:t>
      </w:r>
      <w:r>
        <w:rPr>
          <w:rFonts w:ascii="Arial" w:hAnsi="Arial" w:cs="Arial"/>
          <w:b/>
          <w:sz w:val="24"/>
          <w:szCs w:val="27"/>
        </w:rPr>
        <w:t>. Returns received after the closure deadline may not be considered.</w:t>
      </w:r>
    </w:p>
    <w:p w14:paraId="4BC663BB" w14:textId="0A559DE4" w:rsidR="00A35776" w:rsidRDefault="00470DED" w:rsidP="00685F4E">
      <w:pPr>
        <w:spacing w:after="120"/>
        <w:rPr>
          <w:rFonts w:ascii="Arial" w:hAnsi="Arial" w:cs="Arial"/>
          <w:sz w:val="24"/>
          <w:szCs w:val="27"/>
        </w:rPr>
      </w:pPr>
      <w:r>
        <w:rPr>
          <w:rFonts w:ascii="Arial" w:hAnsi="Arial" w:cs="Arial"/>
          <w:sz w:val="24"/>
          <w:szCs w:val="27"/>
        </w:rPr>
        <w:t>The FCO</w:t>
      </w:r>
      <w:r w:rsidR="00A35776">
        <w:rPr>
          <w:rFonts w:ascii="Arial" w:hAnsi="Arial" w:cs="Arial"/>
          <w:sz w:val="24"/>
          <w:szCs w:val="27"/>
        </w:rPr>
        <w:t xml:space="preserve"> reserve</w:t>
      </w:r>
      <w:r>
        <w:rPr>
          <w:rFonts w:ascii="Arial" w:hAnsi="Arial" w:cs="Arial"/>
          <w:sz w:val="24"/>
          <w:szCs w:val="27"/>
        </w:rPr>
        <w:t>s</w:t>
      </w:r>
      <w:r w:rsidR="00A35776">
        <w:rPr>
          <w:rFonts w:ascii="Arial" w:hAnsi="Arial" w:cs="Arial"/>
          <w:sz w:val="24"/>
          <w:szCs w:val="27"/>
        </w:rPr>
        <w:t xml:space="preserve"> the right to re-test any of this information, including the financial information required in the FVRA, at any poin</w:t>
      </w:r>
      <w:r w:rsidR="00E16649">
        <w:rPr>
          <w:rFonts w:ascii="Arial" w:hAnsi="Arial" w:cs="Arial"/>
          <w:sz w:val="24"/>
          <w:szCs w:val="27"/>
        </w:rPr>
        <w:t>t during the life of the DPS.</w:t>
      </w:r>
      <w:r w:rsidR="00A35776">
        <w:rPr>
          <w:rFonts w:ascii="Arial" w:hAnsi="Arial" w:cs="Arial"/>
          <w:sz w:val="24"/>
          <w:szCs w:val="27"/>
        </w:rPr>
        <w:t xml:space="preserve"> </w:t>
      </w:r>
      <w:r w:rsidR="001700E9">
        <w:rPr>
          <w:rFonts w:ascii="Arial" w:hAnsi="Arial" w:cs="Arial"/>
          <w:sz w:val="24"/>
          <w:szCs w:val="27"/>
        </w:rPr>
        <w:t xml:space="preserve">Tenderers </w:t>
      </w:r>
      <w:r w:rsidR="00AB7F9C">
        <w:rPr>
          <w:rFonts w:ascii="Arial" w:hAnsi="Arial" w:cs="Arial"/>
          <w:sz w:val="24"/>
          <w:szCs w:val="27"/>
        </w:rPr>
        <w:t xml:space="preserve">must </w:t>
      </w:r>
      <w:r w:rsidR="00A35776">
        <w:rPr>
          <w:rFonts w:ascii="Arial" w:hAnsi="Arial" w:cs="Arial"/>
          <w:sz w:val="24"/>
          <w:szCs w:val="27"/>
        </w:rPr>
        <w:t xml:space="preserve">continue to meet </w:t>
      </w:r>
      <w:r w:rsidR="00B2629F">
        <w:rPr>
          <w:rFonts w:ascii="Arial" w:hAnsi="Arial" w:cs="Arial"/>
          <w:sz w:val="24"/>
          <w:szCs w:val="27"/>
        </w:rPr>
        <w:t>the</w:t>
      </w:r>
      <w:r w:rsidR="00A35776">
        <w:rPr>
          <w:rFonts w:ascii="Arial" w:hAnsi="Arial" w:cs="Arial"/>
          <w:sz w:val="24"/>
          <w:szCs w:val="27"/>
        </w:rPr>
        <w:t xml:space="preserve"> requireme</w:t>
      </w:r>
      <w:r w:rsidR="00B2629F">
        <w:rPr>
          <w:rFonts w:ascii="Arial" w:hAnsi="Arial" w:cs="Arial"/>
          <w:sz w:val="24"/>
          <w:szCs w:val="27"/>
        </w:rPr>
        <w:t>nts</w:t>
      </w:r>
      <w:r w:rsidR="00A35776">
        <w:rPr>
          <w:rFonts w:ascii="Arial" w:hAnsi="Arial" w:cs="Arial"/>
          <w:sz w:val="24"/>
          <w:szCs w:val="27"/>
        </w:rPr>
        <w:t xml:space="preserve"> in the SQ</w:t>
      </w:r>
      <w:r w:rsidR="00AB7F9C">
        <w:rPr>
          <w:rFonts w:ascii="Arial" w:hAnsi="Arial" w:cs="Arial"/>
          <w:sz w:val="24"/>
          <w:szCs w:val="27"/>
        </w:rPr>
        <w:t xml:space="preserve"> to remain on the DPS.</w:t>
      </w:r>
    </w:p>
    <w:p w14:paraId="1196ED4D" w14:textId="7D406D8F" w:rsidR="00182860" w:rsidRDefault="00182860" w:rsidP="00685F4E">
      <w:pPr>
        <w:spacing w:after="120"/>
        <w:rPr>
          <w:rFonts w:ascii="Arial" w:hAnsi="Arial" w:cs="Arial"/>
          <w:sz w:val="24"/>
          <w:szCs w:val="27"/>
        </w:rPr>
      </w:pPr>
      <w:r>
        <w:rPr>
          <w:rFonts w:ascii="Arial" w:hAnsi="Arial" w:cs="Arial"/>
          <w:sz w:val="24"/>
          <w:szCs w:val="27"/>
        </w:rPr>
        <w:t xml:space="preserve">If a Tenderer subcontracts any part of the services, the Tenderer’s subcontractors must meet the Exclusion Grounds requirements set out in Part 2 of the SQ. The FCO reserves the right to test whether subcontractors meet these requirements at any point during the life of the relevant </w:t>
      </w:r>
      <w:r w:rsidR="002D260D">
        <w:rPr>
          <w:rFonts w:ascii="Arial" w:hAnsi="Arial" w:cs="Arial"/>
          <w:sz w:val="24"/>
          <w:szCs w:val="27"/>
        </w:rPr>
        <w:t xml:space="preserve">work package </w:t>
      </w:r>
      <w:r>
        <w:rPr>
          <w:rFonts w:ascii="Arial" w:hAnsi="Arial" w:cs="Arial"/>
          <w:sz w:val="24"/>
          <w:szCs w:val="27"/>
        </w:rPr>
        <w:t>contract.</w:t>
      </w:r>
    </w:p>
    <w:p w14:paraId="1EC36513" w14:textId="77777777" w:rsidR="00F14C7F" w:rsidRPr="000417AC" w:rsidRDefault="00F14C7F" w:rsidP="00685F4E">
      <w:pPr>
        <w:spacing w:before="240" w:after="120"/>
        <w:rPr>
          <w:rFonts w:ascii="Arial" w:hAnsi="Arial" w:cs="Arial"/>
          <w:b/>
          <w:sz w:val="24"/>
          <w:szCs w:val="27"/>
        </w:rPr>
      </w:pPr>
      <w:r w:rsidRPr="000417AC">
        <w:rPr>
          <w:rFonts w:ascii="Arial" w:hAnsi="Arial" w:cs="Arial"/>
          <w:b/>
          <w:sz w:val="24"/>
          <w:szCs w:val="27"/>
        </w:rPr>
        <w:t xml:space="preserve">Stage </w:t>
      </w:r>
      <w:r w:rsidR="00160EBF">
        <w:rPr>
          <w:rFonts w:ascii="Arial" w:hAnsi="Arial" w:cs="Arial"/>
          <w:b/>
          <w:sz w:val="24"/>
          <w:szCs w:val="27"/>
        </w:rPr>
        <w:t>1B</w:t>
      </w:r>
      <w:r w:rsidRPr="000417AC">
        <w:rPr>
          <w:rFonts w:ascii="Arial" w:hAnsi="Arial" w:cs="Arial"/>
          <w:b/>
          <w:sz w:val="24"/>
          <w:szCs w:val="27"/>
        </w:rPr>
        <w:t xml:space="preserve"> </w:t>
      </w:r>
    </w:p>
    <w:p w14:paraId="49095DE6" w14:textId="7CC7995D" w:rsidR="00160EBF" w:rsidRDefault="00F14C7F" w:rsidP="00685F4E">
      <w:pPr>
        <w:spacing w:after="120"/>
        <w:rPr>
          <w:rFonts w:ascii="Arial" w:hAnsi="Arial" w:cs="Arial"/>
          <w:sz w:val="24"/>
          <w:szCs w:val="27"/>
        </w:rPr>
      </w:pPr>
      <w:r>
        <w:rPr>
          <w:rFonts w:ascii="Arial" w:hAnsi="Arial" w:cs="Arial"/>
          <w:sz w:val="24"/>
          <w:szCs w:val="27"/>
        </w:rPr>
        <w:t xml:space="preserve">Following the </w:t>
      </w:r>
      <w:r w:rsidR="000B0F32">
        <w:rPr>
          <w:rFonts w:ascii="Arial" w:hAnsi="Arial" w:cs="Arial"/>
          <w:sz w:val="24"/>
          <w:szCs w:val="27"/>
        </w:rPr>
        <w:t xml:space="preserve">Stage 1A </w:t>
      </w:r>
      <w:r>
        <w:rPr>
          <w:rFonts w:ascii="Arial" w:hAnsi="Arial" w:cs="Arial"/>
          <w:sz w:val="24"/>
          <w:szCs w:val="27"/>
        </w:rPr>
        <w:t xml:space="preserve">assessment, short-listed </w:t>
      </w:r>
      <w:r w:rsidR="00903077">
        <w:rPr>
          <w:rFonts w:ascii="Arial" w:hAnsi="Arial" w:cs="Arial"/>
          <w:sz w:val="24"/>
          <w:szCs w:val="27"/>
        </w:rPr>
        <w:t xml:space="preserve">Tenderers will be issued with further DPS selection </w:t>
      </w:r>
      <w:r w:rsidR="000B0F32">
        <w:rPr>
          <w:rFonts w:ascii="Arial" w:hAnsi="Arial" w:cs="Arial"/>
          <w:sz w:val="24"/>
          <w:szCs w:val="27"/>
        </w:rPr>
        <w:t>requirements</w:t>
      </w:r>
      <w:r w:rsidR="00903077">
        <w:rPr>
          <w:rFonts w:ascii="Arial" w:hAnsi="Arial" w:cs="Arial"/>
          <w:sz w:val="24"/>
          <w:szCs w:val="27"/>
        </w:rPr>
        <w:t>. These documents will consist of contractual terms and the FCO’s maintenance policy, which will apply to all</w:t>
      </w:r>
      <w:r w:rsidR="00F850C2">
        <w:rPr>
          <w:rFonts w:ascii="Arial" w:hAnsi="Arial" w:cs="Arial"/>
          <w:sz w:val="24"/>
          <w:szCs w:val="27"/>
        </w:rPr>
        <w:t xml:space="preserve"> FCO</w:t>
      </w:r>
      <w:r w:rsidR="00903077">
        <w:rPr>
          <w:rFonts w:ascii="Arial" w:hAnsi="Arial" w:cs="Arial"/>
          <w:sz w:val="24"/>
          <w:szCs w:val="27"/>
        </w:rPr>
        <w:t xml:space="preserve"> work packages. </w:t>
      </w:r>
      <w:r w:rsidR="00903077">
        <w:rPr>
          <w:rFonts w:ascii="Arial" w:hAnsi="Arial" w:cs="Arial"/>
          <w:sz w:val="24"/>
          <w:szCs w:val="27"/>
        </w:rPr>
        <w:lastRenderedPageBreak/>
        <w:t xml:space="preserve">Tenderers will be required to confirm their agreement to these </w:t>
      </w:r>
      <w:r w:rsidR="000B0F32">
        <w:rPr>
          <w:rFonts w:ascii="Arial" w:hAnsi="Arial" w:cs="Arial"/>
          <w:sz w:val="24"/>
          <w:szCs w:val="27"/>
        </w:rPr>
        <w:t xml:space="preserve">requirements </w:t>
      </w:r>
      <w:r w:rsidR="00903077">
        <w:rPr>
          <w:rFonts w:ascii="Arial" w:hAnsi="Arial" w:cs="Arial"/>
          <w:sz w:val="24"/>
          <w:szCs w:val="27"/>
        </w:rPr>
        <w:t xml:space="preserve">to gain a place on the DPS. </w:t>
      </w:r>
      <w:r w:rsidR="000B0F32">
        <w:rPr>
          <w:rFonts w:ascii="Arial" w:hAnsi="Arial" w:cs="Arial"/>
          <w:sz w:val="24"/>
          <w:szCs w:val="27"/>
        </w:rPr>
        <w:t>Furth</w:t>
      </w:r>
      <w:r w:rsidR="00825CE1">
        <w:rPr>
          <w:rFonts w:ascii="Arial" w:hAnsi="Arial" w:cs="Arial"/>
          <w:sz w:val="24"/>
          <w:szCs w:val="27"/>
        </w:rPr>
        <w:t>er details will be provided to T</w:t>
      </w:r>
      <w:r w:rsidR="000B0F32">
        <w:rPr>
          <w:rFonts w:ascii="Arial" w:hAnsi="Arial" w:cs="Arial"/>
          <w:sz w:val="24"/>
          <w:szCs w:val="27"/>
        </w:rPr>
        <w:t>enderers</w:t>
      </w:r>
      <w:r w:rsidR="008868DA">
        <w:rPr>
          <w:rFonts w:ascii="Arial" w:hAnsi="Arial" w:cs="Arial"/>
          <w:sz w:val="24"/>
          <w:szCs w:val="27"/>
        </w:rPr>
        <w:t xml:space="preserve"> in December 2019</w:t>
      </w:r>
      <w:r w:rsidR="000B0F32">
        <w:rPr>
          <w:rFonts w:ascii="Arial" w:hAnsi="Arial" w:cs="Arial"/>
          <w:sz w:val="24"/>
          <w:szCs w:val="27"/>
        </w:rPr>
        <w:t xml:space="preserve">. </w:t>
      </w:r>
    </w:p>
    <w:p w14:paraId="14289F36" w14:textId="77777777" w:rsidR="004D7113" w:rsidRDefault="004D7113" w:rsidP="00685F4E">
      <w:pPr>
        <w:spacing w:after="120"/>
        <w:rPr>
          <w:rFonts w:ascii="Arial" w:hAnsi="Arial" w:cs="Arial"/>
          <w:sz w:val="24"/>
          <w:u w:val="single"/>
        </w:rPr>
      </w:pPr>
      <w:r w:rsidRPr="007E6165">
        <w:rPr>
          <w:rFonts w:ascii="Arial" w:hAnsi="Arial" w:cs="Arial"/>
          <w:sz w:val="24"/>
          <w:u w:val="single"/>
        </w:rPr>
        <w:t>Parent Company Guarantee (PCG</w:t>
      </w:r>
      <w:r>
        <w:rPr>
          <w:rFonts w:ascii="Arial" w:hAnsi="Arial" w:cs="Arial"/>
          <w:sz w:val="24"/>
          <w:u w:val="single"/>
        </w:rPr>
        <w:t>)</w:t>
      </w:r>
    </w:p>
    <w:p w14:paraId="771265D2" w14:textId="2E82046E" w:rsidR="006D3CCD" w:rsidRDefault="004D7113" w:rsidP="00685F4E">
      <w:pPr>
        <w:spacing w:after="120"/>
        <w:rPr>
          <w:rFonts w:ascii="Arial" w:hAnsi="Arial" w:cs="Arial"/>
          <w:sz w:val="24"/>
        </w:rPr>
      </w:pPr>
      <w:r>
        <w:rPr>
          <w:rFonts w:ascii="Arial" w:hAnsi="Arial" w:cs="Arial"/>
          <w:sz w:val="24"/>
        </w:rPr>
        <w:t xml:space="preserve">The FCO </w:t>
      </w:r>
      <w:r w:rsidR="00F63CF7">
        <w:rPr>
          <w:rFonts w:ascii="Arial" w:hAnsi="Arial" w:cs="Arial"/>
          <w:sz w:val="24"/>
        </w:rPr>
        <w:t>will</w:t>
      </w:r>
      <w:r>
        <w:rPr>
          <w:rFonts w:ascii="Arial" w:hAnsi="Arial" w:cs="Arial"/>
          <w:sz w:val="24"/>
        </w:rPr>
        <w:t xml:space="preserve"> require a PCG</w:t>
      </w:r>
      <w:r w:rsidR="004752CD">
        <w:rPr>
          <w:rFonts w:ascii="Arial" w:hAnsi="Arial" w:cs="Arial"/>
          <w:sz w:val="24"/>
        </w:rPr>
        <w:t>, and/or other guarantee deemed acceptable by the FCO,</w:t>
      </w:r>
      <w:r>
        <w:rPr>
          <w:rFonts w:ascii="Arial" w:hAnsi="Arial" w:cs="Arial"/>
          <w:sz w:val="24"/>
        </w:rPr>
        <w:t xml:space="preserve"> from </w:t>
      </w:r>
      <w:r w:rsidR="009F20BC">
        <w:rPr>
          <w:rFonts w:ascii="Arial" w:hAnsi="Arial" w:cs="Arial"/>
          <w:sz w:val="24"/>
          <w:szCs w:val="27"/>
        </w:rPr>
        <w:t>Tenderer</w:t>
      </w:r>
      <w:r w:rsidR="009F20BC">
        <w:rPr>
          <w:rFonts w:ascii="Arial" w:hAnsi="Arial" w:cs="Arial"/>
          <w:sz w:val="24"/>
        </w:rPr>
        <w:t xml:space="preserve">s </w:t>
      </w:r>
      <w:r>
        <w:rPr>
          <w:rFonts w:ascii="Arial" w:hAnsi="Arial" w:cs="Arial"/>
          <w:sz w:val="24"/>
        </w:rPr>
        <w:t xml:space="preserve">who </w:t>
      </w:r>
      <w:r w:rsidR="00EF2B9A">
        <w:rPr>
          <w:rFonts w:ascii="Arial" w:hAnsi="Arial" w:cs="Arial"/>
          <w:sz w:val="24"/>
        </w:rPr>
        <w:t xml:space="preserve">win </w:t>
      </w:r>
      <w:r>
        <w:rPr>
          <w:rFonts w:ascii="Arial" w:hAnsi="Arial" w:cs="Arial"/>
          <w:sz w:val="24"/>
        </w:rPr>
        <w:t xml:space="preserve">contracts for specific work packages on the DPS, including the Asia Pacific work package. </w:t>
      </w:r>
      <w:r w:rsidR="000C57C1">
        <w:rPr>
          <w:rFonts w:ascii="Arial" w:hAnsi="Arial" w:cs="Arial"/>
          <w:sz w:val="24"/>
        </w:rPr>
        <w:t>The</w:t>
      </w:r>
      <w:r w:rsidR="006D3CCD">
        <w:rPr>
          <w:rFonts w:ascii="Arial" w:hAnsi="Arial" w:cs="Arial"/>
          <w:sz w:val="24"/>
        </w:rPr>
        <w:t xml:space="preserve"> PCG</w:t>
      </w:r>
      <w:r w:rsidR="000C57C1">
        <w:rPr>
          <w:rFonts w:ascii="Arial" w:hAnsi="Arial" w:cs="Arial"/>
          <w:sz w:val="24"/>
        </w:rPr>
        <w:t xml:space="preserve"> will be held with </w:t>
      </w:r>
      <w:r w:rsidR="006D3CCD">
        <w:rPr>
          <w:rFonts w:ascii="Arial" w:hAnsi="Arial" w:cs="Arial"/>
          <w:sz w:val="24"/>
        </w:rPr>
        <w:t xml:space="preserve">a parent organisation of the bidding entity </w:t>
      </w:r>
      <w:r w:rsidR="001B1402">
        <w:rPr>
          <w:rFonts w:ascii="Arial" w:hAnsi="Arial" w:cs="Arial"/>
          <w:sz w:val="24"/>
        </w:rPr>
        <w:t xml:space="preserve">deemed </w:t>
      </w:r>
      <w:r w:rsidR="00645310">
        <w:rPr>
          <w:rFonts w:ascii="Arial" w:hAnsi="Arial" w:cs="Arial"/>
          <w:sz w:val="24"/>
        </w:rPr>
        <w:t>acceptable</w:t>
      </w:r>
      <w:r w:rsidR="006D3CCD">
        <w:rPr>
          <w:rFonts w:ascii="Arial" w:hAnsi="Arial" w:cs="Arial"/>
          <w:sz w:val="24"/>
        </w:rPr>
        <w:t xml:space="preserve"> </w:t>
      </w:r>
      <w:r w:rsidR="0094760E">
        <w:rPr>
          <w:rFonts w:ascii="Arial" w:hAnsi="Arial" w:cs="Arial"/>
          <w:sz w:val="24"/>
        </w:rPr>
        <w:t xml:space="preserve">to </w:t>
      </w:r>
      <w:r w:rsidR="006D3CCD">
        <w:rPr>
          <w:rFonts w:ascii="Arial" w:hAnsi="Arial" w:cs="Arial"/>
          <w:sz w:val="24"/>
        </w:rPr>
        <w:t>the FCO.</w:t>
      </w:r>
      <w:r w:rsidR="004752CD">
        <w:rPr>
          <w:rFonts w:ascii="Arial" w:hAnsi="Arial" w:cs="Arial"/>
          <w:sz w:val="24"/>
        </w:rPr>
        <w:t xml:space="preserve"> </w:t>
      </w:r>
    </w:p>
    <w:p w14:paraId="07640BC9" w14:textId="0D48FE31" w:rsidR="00CD4347" w:rsidRPr="00F75004" w:rsidRDefault="004D7113" w:rsidP="00685F4E">
      <w:pPr>
        <w:spacing w:after="120"/>
        <w:rPr>
          <w:rFonts w:ascii="Arial" w:hAnsi="Arial" w:cs="Arial"/>
          <w:sz w:val="24"/>
          <w:u w:val="single"/>
        </w:rPr>
      </w:pPr>
      <w:r>
        <w:rPr>
          <w:rFonts w:ascii="Arial" w:hAnsi="Arial" w:cs="Arial"/>
          <w:sz w:val="24"/>
        </w:rPr>
        <w:t>PCG terms will be issued at Stage 1B</w:t>
      </w:r>
      <w:r w:rsidR="0094760E">
        <w:rPr>
          <w:rFonts w:ascii="Arial" w:hAnsi="Arial" w:cs="Arial"/>
          <w:sz w:val="24"/>
        </w:rPr>
        <w:t>.</w:t>
      </w:r>
    </w:p>
    <w:p w14:paraId="2424DF95" w14:textId="77777777" w:rsidR="00160EBF" w:rsidRPr="000417AC" w:rsidRDefault="00160EBF" w:rsidP="00685F4E">
      <w:pPr>
        <w:spacing w:before="240" w:after="120"/>
        <w:rPr>
          <w:rFonts w:ascii="Arial" w:hAnsi="Arial" w:cs="Arial"/>
          <w:b/>
          <w:sz w:val="24"/>
          <w:szCs w:val="27"/>
        </w:rPr>
      </w:pPr>
      <w:r w:rsidRPr="00320688">
        <w:rPr>
          <w:rFonts w:ascii="Arial" w:hAnsi="Arial" w:cs="Arial"/>
          <w:b/>
          <w:bCs/>
          <w:sz w:val="24"/>
          <w:szCs w:val="27"/>
        </w:rPr>
        <w:t>Stage 2</w:t>
      </w:r>
      <w:r>
        <w:rPr>
          <w:rFonts w:ascii="Arial" w:hAnsi="Arial" w:cs="Arial"/>
          <w:b/>
          <w:bCs/>
          <w:sz w:val="24"/>
          <w:szCs w:val="27"/>
        </w:rPr>
        <w:t xml:space="preserve"> - </w:t>
      </w:r>
      <w:r w:rsidRPr="000417AC">
        <w:rPr>
          <w:rFonts w:ascii="Arial" w:hAnsi="Arial" w:cs="Arial"/>
          <w:b/>
          <w:sz w:val="24"/>
          <w:szCs w:val="27"/>
        </w:rPr>
        <w:t>Asia Pacific Invitation to Tender</w:t>
      </w:r>
    </w:p>
    <w:p w14:paraId="35A22E7F" w14:textId="2154D4B7" w:rsidR="000417AC" w:rsidRDefault="00160EBF" w:rsidP="00685F4E">
      <w:pPr>
        <w:spacing w:after="120"/>
        <w:rPr>
          <w:rFonts w:ascii="Arial" w:hAnsi="Arial" w:cs="Arial"/>
          <w:sz w:val="24"/>
          <w:szCs w:val="27"/>
        </w:rPr>
      </w:pPr>
      <w:r>
        <w:rPr>
          <w:rFonts w:ascii="Arial" w:hAnsi="Arial" w:cs="Arial"/>
          <w:sz w:val="24"/>
          <w:szCs w:val="27"/>
        </w:rPr>
        <w:t xml:space="preserve">Concurrently with Stage 1B, </w:t>
      </w:r>
      <w:r w:rsidR="000B0F32">
        <w:rPr>
          <w:rFonts w:ascii="Arial" w:hAnsi="Arial" w:cs="Arial"/>
          <w:sz w:val="24"/>
          <w:szCs w:val="27"/>
        </w:rPr>
        <w:t>s</w:t>
      </w:r>
      <w:r w:rsidR="000417AC">
        <w:rPr>
          <w:rFonts w:ascii="Arial" w:hAnsi="Arial" w:cs="Arial"/>
          <w:sz w:val="24"/>
          <w:szCs w:val="27"/>
        </w:rPr>
        <w:t xml:space="preserve">hortlisted Tenderers </w:t>
      </w:r>
      <w:r w:rsidR="00AA7004">
        <w:rPr>
          <w:rFonts w:ascii="Arial" w:hAnsi="Arial" w:cs="Arial"/>
          <w:sz w:val="24"/>
          <w:szCs w:val="27"/>
        </w:rPr>
        <w:t>following</w:t>
      </w:r>
      <w:r w:rsidR="000B0F32">
        <w:rPr>
          <w:rFonts w:ascii="Arial" w:hAnsi="Arial" w:cs="Arial"/>
          <w:sz w:val="24"/>
          <w:szCs w:val="27"/>
        </w:rPr>
        <w:t xml:space="preserve"> Stage </w:t>
      </w:r>
      <w:r w:rsidR="00197E06">
        <w:rPr>
          <w:rFonts w:ascii="Arial" w:hAnsi="Arial" w:cs="Arial"/>
          <w:sz w:val="24"/>
          <w:szCs w:val="27"/>
        </w:rPr>
        <w:t>1</w:t>
      </w:r>
      <w:r w:rsidR="000B0F32">
        <w:rPr>
          <w:rFonts w:ascii="Arial" w:hAnsi="Arial" w:cs="Arial"/>
          <w:sz w:val="24"/>
          <w:szCs w:val="27"/>
        </w:rPr>
        <w:t xml:space="preserve">A </w:t>
      </w:r>
      <w:r w:rsidR="000417AC">
        <w:rPr>
          <w:rFonts w:ascii="Arial" w:hAnsi="Arial" w:cs="Arial"/>
          <w:sz w:val="24"/>
          <w:szCs w:val="27"/>
        </w:rPr>
        <w:t>w</w:t>
      </w:r>
      <w:r w:rsidR="00E16649">
        <w:rPr>
          <w:rFonts w:ascii="Arial" w:hAnsi="Arial" w:cs="Arial"/>
          <w:sz w:val="24"/>
          <w:szCs w:val="27"/>
        </w:rPr>
        <w:t xml:space="preserve">ill receive an Invitation </w:t>
      </w:r>
      <w:r w:rsidR="004E19F0">
        <w:rPr>
          <w:rFonts w:ascii="Arial" w:hAnsi="Arial" w:cs="Arial"/>
          <w:sz w:val="24"/>
          <w:szCs w:val="27"/>
        </w:rPr>
        <w:t>to</w:t>
      </w:r>
      <w:r w:rsidR="000417AC">
        <w:rPr>
          <w:rFonts w:ascii="Arial" w:hAnsi="Arial" w:cs="Arial"/>
          <w:sz w:val="24"/>
          <w:szCs w:val="27"/>
        </w:rPr>
        <w:t xml:space="preserve"> Tender</w:t>
      </w:r>
      <w:r w:rsidR="00E16649">
        <w:rPr>
          <w:rFonts w:ascii="Arial" w:hAnsi="Arial" w:cs="Arial"/>
          <w:sz w:val="24"/>
          <w:szCs w:val="27"/>
        </w:rPr>
        <w:t xml:space="preserve"> (ITT)</w:t>
      </w:r>
      <w:r w:rsidR="000417AC">
        <w:rPr>
          <w:rFonts w:ascii="Arial" w:hAnsi="Arial" w:cs="Arial"/>
          <w:sz w:val="24"/>
          <w:szCs w:val="27"/>
        </w:rPr>
        <w:t xml:space="preserve"> for the Asia Pacific </w:t>
      </w:r>
      <w:r w:rsidR="000B0F32">
        <w:rPr>
          <w:rFonts w:ascii="Arial" w:hAnsi="Arial" w:cs="Arial"/>
          <w:sz w:val="24"/>
          <w:szCs w:val="27"/>
        </w:rPr>
        <w:t>work package</w:t>
      </w:r>
      <w:r w:rsidR="000417AC">
        <w:rPr>
          <w:rFonts w:ascii="Arial" w:hAnsi="Arial" w:cs="Arial"/>
          <w:sz w:val="24"/>
          <w:szCs w:val="27"/>
        </w:rPr>
        <w:t>. Th</w:t>
      </w:r>
      <w:r w:rsidR="000B0F32">
        <w:rPr>
          <w:rFonts w:ascii="Arial" w:hAnsi="Arial" w:cs="Arial"/>
          <w:sz w:val="24"/>
          <w:szCs w:val="27"/>
        </w:rPr>
        <w:t>is tender pack will include</w:t>
      </w:r>
      <w:r w:rsidR="000417AC">
        <w:rPr>
          <w:rFonts w:ascii="Arial" w:hAnsi="Arial" w:cs="Arial"/>
          <w:sz w:val="24"/>
          <w:szCs w:val="27"/>
        </w:rPr>
        <w:t xml:space="preserve"> a draft service specification, draft service matrix and draft contract documents</w:t>
      </w:r>
      <w:r w:rsidR="008868DA">
        <w:rPr>
          <w:rFonts w:ascii="Arial" w:hAnsi="Arial" w:cs="Arial"/>
          <w:sz w:val="24"/>
          <w:szCs w:val="27"/>
        </w:rPr>
        <w:t xml:space="preserve"> together with details of the evaluation criteria that will be applied to the evaluation of Tenders</w:t>
      </w:r>
      <w:r w:rsidR="00372B57">
        <w:rPr>
          <w:rFonts w:ascii="Arial" w:hAnsi="Arial" w:cs="Arial"/>
          <w:sz w:val="24"/>
          <w:szCs w:val="27"/>
        </w:rPr>
        <w:t>.</w:t>
      </w:r>
      <w:r w:rsidR="000417AC">
        <w:rPr>
          <w:rFonts w:ascii="Arial" w:hAnsi="Arial" w:cs="Arial"/>
          <w:sz w:val="24"/>
          <w:szCs w:val="27"/>
        </w:rPr>
        <w:t xml:space="preserve"> </w:t>
      </w:r>
    </w:p>
    <w:p w14:paraId="29DE9009" w14:textId="1310CADA" w:rsidR="000417AC" w:rsidRDefault="000417AC" w:rsidP="00685F4E">
      <w:pPr>
        <w:spacing w:after="120"/>
        <w:rPr>
          <w:rFonts w:ascii="Arial" w:hAnsi="Arial" w:cs="Arial"/>
          <w:sz w:val="24"/>
          <w:szCs w:val="27"/>
        </w:rPr>
      </w:pPr>
      <w:r>
        <w:rPr>
          <w:rFonts w:ascii="Arial" w:hAnsi="Arial" w:cs="Arial"/>
          <w:sz w:val="24"/>
          <w:szCs w:val="27"/>
        </w:rPr>
        <w:t xml:space="preserve">This stage will be conducted via Jaggaer and </w:t>
      </w:r>
      <w:r w:rsidR="000B0F32">
        <w:rPr>
          <w:rFonts w:ascii="Arial" w:hAnsi="Arial" w:cs="Arial"/>
          <w:sz w:val="24"/>
          <w:szCs w:val="27"/>
        </w:rPr>
        <w:t>include a clarification period with</w:t>
      </w:r>
      <w:r>
        <w:rPr>
          <w:rFonts w:ascii="Arial" w:hAnsi="Arial" w:cs="Arial"/>
          <w:sz w:val="24"/>
          <w:szCs w:val="27"/>
        </w:rPr>
        <w:t xml:space="preserve"> individual Tenderers intended to ensure that </w:t>
      </w:r>
      <w:r w:rsidR="000B0F32">
        <w:rPr>
          <w:rFonts w:ascii="Arial" w:hAnsi="Arial" w:cs="Arial"/>
          <w:sz w:val="24"/>
          <w:szCs w:val="27"/>
        </w:rPr>
        <w:t>T</w:t>
      </w:r>
      <w:r>
        <w:rPr>
          <w:rFonts w:ascii="Arial" w:hAnsi="Arial" w:cs="Arial"/>
          <w:sz w:val="24"/>
          <w:szCs w:val="27"/>
        </w:rPr>
        <w:t xml:space="preserve">enderers fully understand the service </w:t>
      </w:r>
      <w:r w:rsidR="008868DA">
        <w:rPr>
          <w:rFonts w:ascii="Arial" w:hAnsi="Arial" w:cs="Arial"/>
          <w:sz w:val="24"/>
          <w:szCs w:val="27"/>
        </w:rPr>
        <w:t>requirements</w:t>
      </w:r>
      <w:r>
        <w:rPr>
          <w:rFonts w:ascii="Arial" w:hAnsi="Arial" w:cs="Arial"/>
          <w:sz w:val="24"/>
          <w:szCs w:val="27"/>
        </w:rPr>
        <w:t xml:space="preserve">. It is possible that minor changes to service </w:t>
      </w:r>
      <w:r w:rsidR="008868DA">
        <w:rPr>
          <w:rFonts w:ascii="Arial" w:hAnsi="Arial" w:cs="Arial"/>
          <w:sz w:val="24"/>
          <w:szCs w:val="27"/>
        </w:rPr>
        <w:t>requirements</w:t>
      </w:r>
      <w:r>
        <w:rPr>
          <w:rFonts w:ascii="Arial" w:hAnsi="Arial" w:cs="Arial"/>
          <w:sz w:val="24"/>
          <w:szCs w:val="27"/>
        </w:rPr>
        <w:t xml:space="preserve"> will be agreed </w:t>
      </w:r>
      <w:r w:rsidR="000B0F32">
        <w:rPr>
          <w:rFonts w:ascii="Arial" w:hAnsi="Arial" w:cs="Arial"/>
          <w:sz w:val="24"/>
          <w:szCs w:val="27"/>
        </w:rPr>
        <w:t xml:space="preserve">in which case they will be </w:t>
      </w:r>
      <w:r>
        <w:rPr>
          <w:rFonts w:ascii="Arial" w:hAnsi="Arial" w:cs="Arial"/>
          <w:sz w:val="24"/>
          <w:szCs w:val="27"/>
        </w:rPr>
        <w:t xml:space="preserve">distributed to all </w:t>
      </w:r>
      <w:r w:rsidR="003929AF">
        <w:rPr>
          <w:rFonts w:ascii="Arial" w:hAnsi="Arial" w:cs="Arial"/>
          <w:sz w:val="24"/>
          <w:szCs w:val="27"/>
        </w:rPr>
        <w:t xml:space="preserve">shortlisted </w:t>
      </w:r>
      <w:r w:rsidR="000B0F32">
        <w:rPr>
          <w:rFonts w:ascii="Arial" w:hAnsi="Arial" w:cs="Arial"/>
          <w:sz w:val="24"/>
          <w:szCs w:val="27"/>
        </w:rPr>
        <w:t>T</w:t>
      </w:r>
      <w:r>
        <w:rPr>
          <w:rFonts w:ascii="Arial" w:hAnsi="Arial" w:cs="Arial"/>
          <w:sz w:val="24"/>
          <w:szCs w:val="27"/>
        </w:rPr>
        <w:t xml:space="preserve">enderers. </w:t>
      </w:r>
    </w:p>
    <w:p w14:paraId="5A487133" w14:textId="77777777" w:rsidR="000417AC" w:rsidRDefault="000417AC" w:rsidP="00685F4E">
      <w:pPr>
        <w:spacing w:after="120"/>
        <w:rPr>
          <w:rFonts w:ascii="Arial" w:hAnsi="Arial" w:cs="Arial"/>
          <w:sz w:val="24"/>
          <w:szCs w:val="27"/>
        </w:rPr>
      </w:pPr>
      <w:r>
        <w:rPr>
          <w:rFonts w:ascii="Arial" w:hAnsi="Arial" w:cs="Arial"/>
          <w:sz w:val="24"/>
          <w:szCs w:val="27"/>
        </w:rPr>
        <w:t xml:space="preserve">Tenderer </w:t>
      </w:r>
      <w:r w:rsidR="000B0F32">
        <w:rPr>
          <w:rFonts w:ascii="Arial" w:hAnsi="Arial" w:cs="Arial"/>
          <w:sz w:val="24"/>
          <w:szCs w:val="27"/>
        </w:rPr>
        <w:t>clarification</w:t>
      </w:r>
      <w:r>
        <w:rPr>
          <w:rFonts w:ascii="Arial" w:hAnsi="Arial" w:cs="Arial"/>
          <w:sz w:val="24"/>
          <w:szCs w:val="27"/>
        </w:rPr>
        <w:t xml:space="preserve"> sessions will cover (but will not be limited to): </w:t>
      </w:r>
    </w:p>
    <w:p w14:paraId="282B99C1" w14:textId="77777777" w:rsidR="000417AC" w:rsidRDefault="000417AC" w:rsidP="00685F4E">
      <w:pPr>
        <w:pStyle w:val="ListParagraph"/>
        <w:numPr>
          <w:ilvl w:val="0"/>
          <w:numId w:val="25"/>
        </w:numPr>
        <w:spacing w:after="120"/>
        <w:rPr>
          <w:rFonts w:ascii="Arial" w:hAnsi="Arial" w:cs="Arial"/>
          <w:sz w:val="24"/>
          <w:szCs w:val="27"/>
        </w:rPr>
      </w:pPr>
      <w:r>
        <w:rPr>
          <w:rFonts w:ascii="Arial" w:hAnsi="Arial" w:cs="Arial"/>
          <w:sz w:val="24"/>
          <w:szCs w:val="27"/>
        </w:rPr>
        <w:t>Service requirements and service solution;</w:t>
      </w:r>
    </w:p>
    <w:p w14:paraId="2BB64DFE" w14:textId="77777777" w:rsidR="000417AC" w:rsidRPr="00383172" w:rsidRDefault="000417AC" w:rsidP="00685F4E">
      <w:pPr>
        <w:pStyle w:val="ListParagraph"/>
        <w:numPr>
          <w:ilvl w:val="0"/>
          <w:numId w:val="25"/>
        </w:numPr>
        <w:spacing w:after="120"/>
        <w:rPr>
          <w:rFonts w:ascii="Arial" w:hAnsi="Arial" w:cs="Arial"/>
          <w:sz w:val="24"/>
          <w:szCs w:val="27"/>
        </w:rPr>
      </w:pPr>
      <w:r>
        <w:rPr>
          <w:rFonts w:ascii="Arial" w:hAnsi="Arial" w:cs="Arial"/>
          <w:sz w:val="24"/>
          <w:szCs w:val="27"/>
        </w:rPr>
        <w:t xml:space="preserve">Systems and information management approaches; </w:t>
      </w:r>
    </w:p>
    <w:p w14:paraId="0BDACAB0" w14:textId="77777777" w:rsidR="000417AC" w:rsidRPr="005106CA" w:rsidRDefault="000417AC" w:rsidP="00685F4E">
      <w:pPr>
        <w:pStyle w:val="ListParagraph"/>
        <w:numPr>
          <w:ilvl w:val="0"/>
          <w:numId w:val="25"/>
        </w:numPr>
        <w:spacing w:after="120"/>
        <w:rPr>
          <w:rFonts w:ascii="Arial" w:hAnsi="Arial" w:cs="Arial"/>
          <w:sz w:val="24"/>
          <w:szCs w:val="27"/>
        </w:rPr>
      </w:pPr>
      <w:r>
        <w:rPr>
          <w:rFonts w:ascii="Arial" w:hAnsi="Arial" w:cs="Arial"/>
          <w:sz w:val="24"/>
          <w:szCs w:val="27"/>
        </w:rPr>
        <w:t>Performance management;</w:t>
      </w:r>
    </w:p>
    <w:p w14:paraId="639E8B5E" w14:textId="77777777" w:rsidR="000417AC" w:rsidRDefault="000417AC" w:rsidP="00685F4E">
      <w:pPr>
        <w:pStyle w:val="ListParagraph"/>
        <w:numPr>
          <w:ilvl w:val="0"/>
          <w:numId w:val="25"/>
        </w:numPr>
        <w:spacing w:after="120"/>
        <w:rPr>
          <w:rFonts w:ascii="Arial" w:hAnsi="Arial" w:cs="Arial"/>
          <w:sz w:val="24"/>
          <w:szCs w:val="27"/>
        </w:rPr>
      </w:pPr>
      <w:r>
        <w:rPr>
          <w:rFonts w:ascii="Arial" w:hAnsi="Arial" w:cs="Arial"/>
          <w:sz w:val="24"/>
          <w:szCs w:val="27"/>
        </w:rPr>
        <w:t xml:space="preserve">People, resourcing and HR considerations; </w:t>
      </w:r>
    </w:p>
    <w:p w14:paraId="54556F49" w14:textId="77777777" w:rsidR="000417AC" w:rsidRDefault="000417AC" w:rsidP="00685F4E">
      <w:pPr>
        <w:pStyle w:val="ListParagraph"/>
        <w:numPr>
          <w:ilvl w:val="0"/>
          <w:numId w:val="25"/>
        </w:numPr>
        <w:spacing w:after="120"/>
        <w:rPr>
          <w:rFonts w:ascii="Arial" w:hAnsi="Arial" w:cs="Arial"/>
          <w:sz w:val="24"/>
          <w:szCs w:val="27"/>
        </w:rPr>
      </w:pPr>
      <w:r>
        <w:rPr>
          <w:rFonts w:ascii="Arial" w:hAnsi="Arial" w:cs="Arial"/>
          <w:sz w:val="24"/>
          <w:szCs w:val="27"/>
        </w:rPr>
        <w:t>Transition management; and</w:t>
      </w:r>
    </w:p>
    <w:p w14:paraId="6C9B3110" w14:textId="77777777" w:rsidR="000417AC" w:rsidRDefault="000417AC" w:rsidP="00685F4E">
      <w:pPr>
        <w:pStyle w:val="ListParagraph"/>
        <w:numPr>
          <w:ilvl w:val="0"/>
          <w:numId w:val="25"/>
        </w:numPr>
        <w:spacing w:after="120"/>
        <w:rPr>
          <w:rFonts w:ascii="Arial" w:hAnsi="Arial" w:cs="Arial"/>
          <w:sz w:val="24"/>
          <w:szCs w:val="27"/>
        </w:rPr>
      </w:pPr>
      <w:r>
        <w:rPr>
          <w:rFonts w:ascii="Arial" w:hAnsi="Arial" w:cs="Arial"/>
          <w:sz w:val="24"/>
          <w:szCs w:val="27"/>
        </w:rPr>
        <w:t xml:space="preserve">Commercial structures, contractual requirements and risk. </w:t>
      </w:r>
    </w:p>
    <w:p w14:paraId="18B62215" w14:textId="77777777" w:rsidR="000417AC" w:rsidRDefault="000417AC" w:rsidP="00685F4E">
      <w:pPr>
        <w:spacing w:after="120"/>
        <w:rPr>
          <w:rFonts w:ascii="Arial" w:hAnsi="Arial" w:cs="Arial"/>
          <w:sz w:val="24"/>
          <w:szCs w:val="27"/>
        </w:rPr>
      </w:pPr>
      <w:r>
        <w:rPr>
          <w:rFonts w:ascii="Arial" w:hAnsi="Arial" w:cs="Arial"/>
          <w:sz w:val="24"/>
          <w:szCs w:val="27"/>
        </w:rPr>
        <w:t xml:space="preserve">Instructions outlining the approach to each of the </w:t>
      </w:r>
      <w:r w:rsidR="000B0F32">
        <w:rPr>
          <w:rFonts w:ascii="Arial" w:hAnsi="Arial" w:cs="Arial"/>
          <w:sz w:val="24"/>
          <w:szCs w:val="27"/>
        </w:rPr>
        <w:t xml:space="preserve">clarification </w:t>
      </w:r>
      <w:r>
        <w:rPr>
          <w:rFonts w:ascii="Arial" w:hAnsi="Arial" w:cs="Arial"/>
          <w:sz w:val="24"/>
          <w:szCs w:val="27"/>
        </w:rPr>
        <w:t xml:space="preserve">sessions will be issued to </w:t>
      </w:r>
      <w:r w:rsidR="000B0F32">
        <w:rPr>
          <w:rFonts w:ascii="Arial" w:hAnsi="Arial" w:cs="Arial"/>
          <w:sz w:val="24"/>
          <w:szCs w:val="27"/>
        </w:rPr>
        <w:t>shortlisted Tenderers</w:t>
      </w:r>
      <w:r>
        <w:rPr>
          <w:rFonts w:ascii="Arial" w:hAnsi="Arial" w:cs="Arial"/>
          <w:sz w:val="24"/>
          <w:szCs w:val="27"/>
        </w:rPr>
        <w:t xml:space="preserve"> in advance of the commencement of </w:t>
      </w:r>
      <w:r w:rsidR="000B0F32">
        <w:rPr>
          <w:rFonts w:ascii="Arial" w:hAnsi="Arial" w:cs="Arial"/>
          <w:sz w:val="24"/>
          <w:szCs w:val="27"/>
        </w:rPr>
        <w:t>the</w:t>
      </w:r>
      <w:r>
        <w:rPr>
          <w:rFonts w:ascii="Arial" w:hAnsi="Arial" w:cs="Arial"/>
          <w:sz w:val="24"/>
          <w:szCs w:val="27"/>
        </w:rPr>
        <w:t xml:space="preserve"> sessions. </w:t>
      </w:r>
    </w:p>
    <w:p w14:paraId="1E464F6E" w14:textId="77777777" w:rsidR="000417AC" w:rsidRDefault="000417AC" w:rsidP="00685F4E">
      <w:pPr>
        <w:spacing w:after="120"/>
        <w:rPr>
          <w:rFonts w:ascii="Arial" w:hAnsi="Arial" w:cs="Arial"/>
          <w:sz w:val="24"/>
          <w:szCs w:val="27"/>
        </w:rPr>
      </w:pPr>
      <w:r>
        <w:rPr>
          <w:rFonts w:ascii="Arial" w:hAnsi="Arial" w:cs="Arial"/>
          <w:sz w:val="24"/>
          <w:szCs w:val="27"/>
        </w:rPr>
        <w:t xml:space="preserve">In addition to </w:t>
      </w:r>
      <w:r w:rsidR="000B0F32">
        <w:rPr>
          <w:rFonts w:ascii="Arial" w:hAnsi="Arial" w:cs="Arial"/>
          <w:sz w:val="24"/>
          <w:szCs w:val="27"/>
        </w:rPr>
        <w:t xml:space="preserve">clarification </w:t>
      </w:r>
      <w:r>
        <w:rPr>
          <w:rFonts w:ascii="Arial" w:hAnsi="Arial" w:cs="Arial"/>
          <w:sz w:val="24"/>
          <w:szCs w:val="27"/>
        </w:rPr>
        <w:t xml:space="preserve">sessions Tenderers will have the opportunity to: </w:t>
      </w:r>
    </w:p>
    <w:p w14:paraId="0A61F399" w14:textId="77777777" w:rsidR="000417AC" w:rsidRDefault="000417AC" w:rsidP="00685F4E">
      <w:pPr>
        <w:pStyle w:val="ListParagraph"/>
        <w:numPr>
          <w:ilvl w:val="0"/>
          <w:numId w:val="25"/>
        </w:numPr>
        <w:spacing w:after="120"/>
        <w:rPr>
          <w:rFonts w:ascii="Arial" w:hAnsi="Arial" w:cs="Arial"/>
          <w:sz w:val="24"/>
          <w:szCs w:val="27"/>
        </w:rPr>
      </w:pPr>
      <w:r>
        <w:rPr>
          <w:rFonts w:ascii="Arial" w:hAnsi="Arial" w:cs="Arial"/>
          <w:sz w:val="24"/>
          <w:szCs w:val="27"/>
        </w:rPr>
        <w:t xml:space="preserve">Visit the properties in scope; </w:t>
      </w:r>
    </w:p>
    <w:p w14:paraId="6ACAF6BE" w14:textId="6C584FC8" w:rsidR="000417AC" w:rsidRDefault="00BB0E32" w:rsidP="00685F4E">
      <w:pPr>
        <w:pStyle w:val="ListParagraph"/>
        <w:numPr>
          <w:ilvl w:val="0"/>
          <w:numId w:val="25"/>
        </w:numPr>
        <w:spacing w:after="120"/>
        <w:rPr>
          <w:rFonts w:ascii="Arial" w:hAnsi="Arial" w:cs="Arial"/>
          <w:sz w:val="24"/>
          <w:szCs w:val="27"/>
        </w:rPr>
      </w:pPr>
      <w:r>
        <w:rPr>
          <w:rFonts w:ascii="Arial" w:hAnsi="Arial" w:cs="Arial"/>
          <w:sz w:val="24"/>
          <w:szCs w:val="27"/>
        </w:rPr>
        <w:t>Ask</w:t>
      </w:r>
      <w:r w:rsidR="000417AC">
        <w:rPr>
          <w:rFonts w:ascii="Arial" w:hAnsi="Arial" w:cs="Arial"/>
          <w:sz w:val="24"/>
          <w:szCs w:val="27"/>
        </w:rPr>
        <w:t xml:space="preserve"> clarification questions and request additional information through the FCO’s </w:t>
      </w:r>
      <w:r>
        <w:rPr>
          <w:rFonts w:ascii="Arial" w:hAnsi="Arial" w:cs="Arial"/>
          <w:sz w:val="24"/>
          <w:szCs w:val="27"/>
        </w:rPr>
        <w:t>Jaggaer portal</w:t>
      </w:r>
      <w:r w:rsidR="000417AC">
        <w:rPr>
          <w:rFonts w:ascii="Arial" w:hAnsi="Arial" w:cs="Arial"/>
          <w:sz w:val="24"/>
          <w:szCs w:val="27"/>
        </w:rPr>
        <w:t>; and</w:t>
      </w:r>
    </w:p>
    <w:p w14:paraId="0768BFC7" w14:textId="1FE63F47" w:rsidR="000417AC" w:rsidRDefault="000417AC" w:rsidP="00685F4E">
      <w:pPr>
        <w:pStyle w:val="ListParagraph"/>
        <w:numPr>
          <w:ilvl w:val="0"/>
          <w:numId w:val="25"/>
        </w:numPr>
        <w:spacing w:after="120"/>
        <w:rPr>
          <w:rFonts w:ascii="Arial" w:hAnsi="Arial" w:cs="Arial"/>
          <w:sz w:val="24"/>
          <w:szCs w:val="27"/>
        </w:rPr>
      </w:pPr>
      <w:r>
        <w:rPr>
          <w:rFonts w:ascii="Arial" w:hAnsi="Arial" w:cs="Arial"/>
          <w:sz w:val="24"/>
          <w:szCs w:val="27"/>
        </w:rPr>
        <w:t>Access relevant information relating to the portfolio and services through a secure data room</w:t>
      </w:r>
      <w:r w:rsidR="00BB0E32">
        <w:rPr>
          <w:rFonts w:ascii="Arial" w:hAnsi="Arial" w:cs="Arial"/>
          <w:sz w:val="24"/>
          <w:szCs w:val="27"/>
        </w:rPr>
        <w:t xml:space="preserve"> on the Jaggaer portal</w:t>
      </w:r>
      <w:r>
        <w:rPr>
          <w:rFonts w:ascii="Arial" w:hAnsi="Arial" w:cs="Arial"/>
          <w:sz w:val="24"/>
          <w:szCs w:val="27"/>
        </w:rPr>
        <w:t xml:space="preserve">. </w:t>
      </w:r>
    </w:p>
    <w:p w14:paraId="5891E65F" w14:textId="77777777" w:rsidR="000417AC" w:rsidRDefault="000417AC" w:rsidP="00685F4E">
      <w:pPr>
        <w:spacing w:after="120"/>
        <w:rPr>
          <w:rFonts w:ascii="Arial" w:hAnsi="Arial" w:cs="Arial"/>
          <w:sz w:val="24"/>
          <w:szCs w:val="27"/>
        </w:rPr>
      </w:pPr>
      <w:r>
        <w:rPr>
          <w:rFonts w:ascii="Arial" w:hAnsi="Arial" w:cs="Arial"/>
          <w:sz w:val="24"/>
          <w:szCs w:val="27"/>
        </w:rPr>
        <w:t xml:space="preserve">During </w:t>
      </w:r>
      <w:r w:rsidR="000B0F32">
        <w:rPr>
          <w:rFonts w:ascii="Arial" w:hAnsi="Arial" w:cs="Arial"/>
          <w:sz w:val="24"/>
          <w:szCs w:val="27"/>
        </w:rPr>
        <w:t>S</w:t>
      </w:r>
      <w:r>
        <w:rPr>
          <w:rFonts w:ascii="Arial" w:hAnsi="Arial" w:cs="Arial"/>
          <w:sz w:val="24"/>
          <w:szCs w:val="27"/>
        </w:rPr>
        <w:t xml:space="preserve">tage </w:t>
      </w:r>
      <w:r w:rsidR="00160EBF">
        <w:rPr>
          <w:rFonts w:ascii="Arial" w:hAnsi="Arial" w:cs="Arial"/>
          <w:sz w:val="24"/>
          <w:szCs w:val="27"/>
        </w:rPr>
        <w:t>2</w:t>
      </w:r>
      <w:r>
        <w:rPr>
          <w:rFonts w:ascii="Arial" w:hAnsi="Arial" w:cs="Arial"/>
          <w:sz w:val="24"/>
          <w:szCs w:val="27"/>
        </w:rPr>
        <w:t xml:space="preserve">, Tenderers will be required to provide an interim </w:t>
      </w:r>
      <w:r w:rsidR="000B0F32">
        <w:rPr>
          <w:rFonts w:ascii="Arial" w:hAnsi="Arial" w:cs="Arial"/>
          <w:sz w:val="24"/>
          <w:szCs w:val="27"/>
        </w:rPr>
        <w:t xml:space="preserve">tender </w:t>
      </w:r>
      <w:r>
        <w:rPr>
          <w:rFonts w:ascii="Arial" w:hAnsi="Arial" w:cs="Arial"/>
          <w:sz w:val="24"/>
          <w:szCs w:val="27"/>
        </w:rPr>
        <w:t xml:space="preserve">submission which will consist of indicative pricing and </w:t>
      </w:r>
      <w:r w:rsidR="00160EBF">
        <w:rPr>
          <w:rFonts w:ascii="Arial" w:hAnsi="Arial" w:cs="Arial"/>
          <w:sz w:val="24"/>
          <w:szCs w:val="27"/>
        </w:rPr>
        <w:t xml:space="preserve">confirmation of understanding and </w:t>
      </w:r>
      <w:r w:rsidR="00160EBF">
        <w:rPr>
          <w:rFonts w:ascii="Arial" w:hAnsi="Arial" w:cs="Arial"/>
          <w:sz w:val="24"/>
          <w:szCs w:val="27"/>
        </w:rPr>
        <w:lastRenderedPageBreak/>
        <w:t>acceptance of FCO requirements</w:t>
      </w:r>
      <w:r>
        <w:rPr>
          <w:rFonts w:ascii="Arial" w:hAnsi="Arial" w:cs="Arial"/>
          <w:sz w:val="24"/>
          <w:szCs w:val="27"/>
        </w:rPr>
        <w:t xml:space="preserve">. Full details of requirements will be provided in </w:t>
      </w:r>
      <w:r w:rsidR="000B0F32">
        <w:rPr>
          <w:rFonts w:ascii="Arial" w:hAnsi="Arial" w:cs="Arial"/>
          <w:sz w:val="24"/>
          <w:szCs w:val="27"/>
        </w:rPr>
        <w:t>the tender pack</w:t>
      </w:r>
      <w:r>
        <w:rPr>
          <w:rFonts w:ascii="Arial" w:hAnsi="Arial" w:cs="Arial"/>
          <w:sz w:val="24"/>
          <w:szCs w:val="27"/>
        </w:rPr>
        <w:t xml:space="preserve">. </w:t>
      </w:r>
    </w:p>
    <w:p w14:paraId="703FA360" w14:textId="77777777" w:rsidR="00160EBF" w:rsidRPr="0034693C" w:rsidRDefault="00160EBF" w:rsidP="00685F4E">
      <w:pPr>
        <w:spacing w:after="120"/>
        <w:rPr>
          <w:rFonts w:ascii="Arial" w:hAnsi="Arial" w:cs="Arial"/>
          <w:sz w:val="24"/>
          <w:lang w:val="en-US"/>
        </w:rPr>
      </w:pPr>
      <w:r>
        <w:rPr>
          <w:rFonts w:ascii="Arial" w:hAnsi="Arial" w:cs="Arial"/>
          <w:sz w:val="24"/>
          <w:lang w:val="en-US"/>
        </w:rPr>
        <w:t xml:space="preserve">Following the receipt of interim </w:t>
      </w:r>
      <w:r w:rsidR="000B0F32">
        <w:rPr>
          <w:rFonts w:ascii="Arial" w:hAnsi="Arial" w:cs="Arial"/>
          <w:sz w:val="24"/>
          <w:lang w:val="en-US"/>
        </w:rPr>
        <w:t xml:space="preserve">tender </w:t>
      </w:r>
      <w:r>
        <w:rPr>
          <w:rFonts w:ascii="Arial" w:hAnsi="Arial" w:cs="Arial"/>
          <w:sz w:val="24"/>
          <w:lang w:val="en-US"/>
        </w:rPr>
        <w:t xml:space="preserve">submissions the FCO will </w:t>
      </w:r>
      <w:r w:rsidRPr="0034693C">
        <w:rPr>
          <w:rFonts w:ascii="Arial" w:hAnsi="Arial" w:cs="Arial"/>
          <w:sz w:val="24"/>
          <w:lang w:val="en-US"/>
        </w:rPr>
        <w:t>issue final ITT documents</w:t>
      </w:r>
      <w:r w:rsidR="00320688">
        <w:rPr>
          <w:rFonts w:ascii="Arial" w:hAnsi="Arial" w:cs="Arial"/>
          <w:sz w:val="24"/>
          <w:lang w:val="en-US"/>
        </w:rPr>
        <w:t>.</w:t>
      </w:r>
      <w:r w:rsidRPr="0034693C">
        <w:rPr>
          <w:rFonts w:ascii="Arial" w:hAnsi="Arial" w:cs="Arial"/>
          <w:sz w:val="24"/>
          <w:lang w:val="en-US"/>
        </w:rPr>
        <w:t xml:space="preserve"> The </w:t>
      </w:r>
      <w:r>
        <w:rPr>
          <w:rFonts w:ascii="Arial" w:hAnsi="Arial" w:cs="Arial"/>
          <w:sz w:val="24"/>
          <w:lang w:val="en-US"/>
        </w:rPr>
        <w:t xml:space="preserve">final </w:t>
      </w:r>
      <w:r w:rsidRPr="0034693C">
        <w:rPr>
          <w:rFonts w:ascii="Arial" w:hAnsi="Arial" w:cs="Arial"/>
          <w:sz w:val="24"/>
          <w:lang w:val="en-US"/>
        </w:rPr>
        <w:t>ITT documentation will include:</w:t>
      </w:r>
    </w:p>
    <w:p w14:paraId="546B840C" w14:textId="77777777" w:rsidR="00160EBF" w:rsidRPr="006C149C" w:rsidRDefault="00160EBF" w:rsidP="00685F4E">
      <w:pPr>
        <w:pStyle w:val="ListParagraph"/>
        <w:numPr>
          <w:ilvl w:val="0"/>
          <w:numId w:val="25"/>
        </w:numPr>
        <w:spacing w:after="120"/>
        <w:rPr>
          <w:rFonts w:ascii="Arial" w:hAnsi="Arial" w:cs="Arial"/>
          <w:sz w:val="24"/>
          <w:szCs w:val="27"/>
        </w:rPr>
      </w:pPr>
      <w:r w:rsidRPr="006C149C">
        <w:rPr>
          <w:rFonts w:ascii="Arial" w:hAnsi="Arial" w:cs="Arial"/>
          <w:sz w:val="24"/>
          <w:szCs w:val="27"/>
        </w:rPr>
        <w:t>A Service Level Schedule that will detail the service obligations of the FM Service Provider</w:t>
      </w:r>
      <w:r w:rsidR="00320688" w:rsidRPr="006C149C">
        <w:rPr>
          <w:rFonts w:ascii="Arial" w:hAnsi="Arial" w:cs="Arial"/>
          <w:sz w:val="24"/>
          <w:szCs w:val="27"/>
        </w:rPr>
        <w:t xml:space="preserve"> specific to Asia Pacific</w:t>
      </w:r>
      <w:r w:rsidRPr="006C149C">
        <w:rPr>
          <w:rFonts w:ascii="Arial" w:hAnsi="Arial" w:cs="Arial"/>
          <w:sz w:val="24"/>
          <w:szCs w:val="27"/>
        </w:rPr>
        <w:t>;</w:t>
      </w:r>
    </w:p>
    <w:p w14:paraId="3BB5A909" w14:textId="77777777" w:rsidR="00160EBF" w:rsidRPr="006C149C" w:rsidRDefault="00160EBF" w:rsidP="00685F4E">
      <w:pPr>
        <w:pStyle w:val="ListParagraph"/>
        <w:numPr>
          <w:ilvl w:val="0"/>
          <w:numId w:val="25"/>
        </w:numPr>
        <w:spacing w:after="120"/>
        <w:rPr>
          <w:rFonts w:ascii="Arial" w:hAnsi="Arial" w:cs="Arial"/>
          <w:sz w:val="24"/>
          <w:szCs w:val="27"/>
        </w:rPr>
      </w:pPr>
      <w:r w:rsidRPr="006C149C">
        <w:rPr>
          <w:rFonts w:ascii="Arial" w:hAnsi="Arial" w:cs="Arial"/>
          <w:sz w:val="24"/>
          <w:szCs w:val="27"/>
        </w:rPr>
        <w:t>A Service Matrix that will detail the service requirements at each property;</w:t>
      </w:r>
    </w:p>
    <w:p w14:paraId="43228E98" w14:textId="77777777" w:rsidR="00160EBF" w:rsidRPr="006C149C" w:rsidRDefault="00160EBF" w:rsidP="00685F4E">
      <w:pPr>
        <w:pStyle w:val="ListParagraph"/>
        <w:numPr>
          <w:ilvl w:val="0"/>
          <w:numId w:val="25"/>
        </w:numPr>
        <w:spacing w:after="120"/>
        <w:rPr>
          <w:rFonts w:ascii="Arial" w:hAnsi="Arial" w:cs="Arial"/>
          <w:sz w:val="24"/>
          <w:szCs w:val="27"/>
        </w:rPr>
      </w:pPr>
      <w:r w:rsidRPr="006C149C">
        <w:rPr>
          <w:rFonts w:ascii="Arial" w:hAnsi="Arial" w:cs="Arial"/>
          <w:sz w:val="24"/>
          <w:szCs w:val="27"/>
        </w:rPr>
        <w:t>A balanced scorecard performance model that will include the KPIs and service delivery indicators against which Service Provider performance will be assessed;</w:t>
      </w:r>
    </w:p>
    <w:p w14:paraId="1FC52C45" w14:textId="77777777" w:rsidR="00160EBF" w:rsidRPr="006C149C" w:rsidRDefault="00160EBF" w:rsidP="00685F4E">
      <w:pPr>
        <w:pStyle w:val="ListParagraph"/>
        <w:numPr>
          <w:ilvl w:val="0"/>
          <w:numId w:val="25"/>
        </w:numPr>
        <w:spacing w:after="120"/>
        <w:rPr>
          <w:rFonts w:ascii="Arial" w:hAnsi="Arial" w:cs="Arial"/>
          <w:sz w:val="24"/>
          <w:szCs w:val="27"/>
        </w:rPr>
      </w:pPr>
      <w:r w:rsidRPr="006C149C">
        <w:rPr>
          <w:rFonts w:ascii="Arial" w:hAnsi="Arial" w:cs="Arial"/>
          <w:sz w:val="24"/>
          <w:szCs w:val="27"/>
        </w:rPr>
        <w:t>A pricing and performance model that will set out the basis upon which services are to be priced; and</w:t>
      </w:r>
    </w:p>
    <w:p w14:paraId="6A401EBE" w14:textId="77777777" w:rsidR="008868DA" w:rsidRPr="006C149C" w:rsidRDefault="00160EBF" w:rsidP="00685F4E">
      <w:pPr>
        <w:pStyle w:val="ListParagraph"/>
        <w:numPr>
          <w:ilvl w:val="0"/>
          <w:numId w:val="25"/>
        </w:numPr>
        <w:spacing w:after="120"/>
        <w:rPr>
          <w:rFonts w:ascii="Arial" w:hAnsi="Arial" w:cs="Arial"/>
          <w:sz w:val="24"/>
          <w:szCs w:val="27"/>
        </w:rPr>
      </w:pPr>
      <w:r w:rsidRPr="006C149C">
        <w:rPr>
          <w:rFonts w:ascii="Arial" w:hAnsi="Arial" w:cs="Arial"/>
          <w:sz w:val="24"/>
          <w:szCs w:val="27"/>
        </w:rPr>
        <w:t>A services contract including populated contract schedules.</w:t>
      </w:r>
    </w:p>
    <w:p w14:paraId="38E84A65" w14:textId="595FE532" w:rsidR="00320688" w:rsidRPr="006C149C" w:rsidRDefault="00BB0E32" w:rsidP="00685F4E">
      <w:pPr>
        <w:spacing w:after="120"/>
        <w:rPr>
          <w:rFonts w:ascii="Arial" w:hAnsi="Arial" w:cs="Arial"/>
          <w:sz w:val="24"/>
          <w:szCs w:val="24"/>
        </w:rPr>
      </w:pPr>
      <w:r>
        <w:rPr>
          <w:rFonts w:ascii="Arial" w:hAnsi="Arial" w:cs="Arial"/>
          <w:sz w:val="24"/>
          <w:szCs w:val="24"/>
        </w:rPr>
        <w:t>The FCO will evaluate final t</w:t>
      </w:r>
      <w:r w:rsidR="3B68CA5B" w:rsidRPr="3B68CA5B">
        <w:rPr>
          <w:rFonts w:ascii="Arial" w:hAnsi="Arial" w:cs="Arial"/>
          <w:sz w:val="24"/>
          <w:szCs w:val="24"/>
        </w:rPr>
        <w:t>enders received to identify the Most Economically Advantageous Tender, based on a com</w:t>
      </w:r>
      <w:r w:rsidR="00B612BE">
        <w:rPr>
          <w:rFonts w:ascii="Arial" w:hAnsi="Arial" w:cs="Arial"/>
          <w:sz w:val="24"/>
          <w:szCs w:val="24"/>
        </w:rPr>
        <w:t xml:space="preserve">bination of price and quality. </w:t>
      </w:r>
      <w:r w:rsidR="3B68CA5B" w:rsidRPr="3B68CA5B">
        <w:rPr>
          <w:rFonts w:ascii="Arial" w:hAnsi="Arial" w:cs="Arial"/>
          <w:sz w:val="24"/>
          <w:szCs w:val="24"/>
        </w:rPr>
        <w:t>Further details of sub-criteria and their weighting will be provided as part of the tender pack</w:t>
      </w:r>
      <w:r w:rsidR="00BC7C5A">
        <w:rPr>
          <w:rFonts w:ascii="Arial" w:hAnsi="Arial" w:cs="Arial"/>
          <w:sz w:val="24"/>
          <w:szCs w:val="24"/>
        </w:rPr>
        <w:t xml:space="preserve"> for each work package</w:t>
      </w:r>
      <w:r w:rsidR="3B68CA5B" w:rsidRPr="3B68CA5B">
        <w:rPr>
          <w:rFonts w:ascii="Arial" w:hAnsi="Arial" w:cs="Arial"/>
          <w:sz w:val="24"/>
          <w:szCs w:val="24"/>
        </w:rPr>
        <w:t xml:space="preserve">.  At this stage, it is the </w:t>
      </w:r>
      <w:r>
        <w:rPr>
          <w:rFonts w:ascii="Arial" w:hAnsi="Arial" w:cs="Arial"/>
          <w:sz w:val="24"/>
          <w:szCs w:val="24"/>
        </w:rPr>
        <w:t>FCO’s intention to asses</w:t>
      </w:r>
      <w:r w:rsidR="00BC7C5A">
        <w:rPr>
          <w:rFonts w:ascii="Arial" w:hAnsi="Arial" w:cs="Arial"/>
          <w:sz w:val="24"/>
          <w:szCs w:val="24"/>
        </w:rPr>
        <w:t>s</w:t>
      </w:r>
      <w:r>
        <w:rPr>
          <w:rFonts w:ascii="Arial" w:hAnsi="Arial" w:cs="Arial"/>
          <w:sz w:val="24"/>
          <w:szCs w:val="24"/>
        </w:rPr>
        <w:t xml:space="preserve"> final t</w:t>
      </w:r>
      <w:r w:rsidR="3B68CA5B" w:rsidRPr="3B68CA5B">
        <w:rPr>
          <w:rFonts w:ascii="Arial" w:hAnsi="Arial" w:cs="Arial"/>
          <w:sz w:val="24"/>
          <w:szCs w:val="24"/>
        </w:rPr>
        <w:t xml:space="preserve">enders </w:t>
      </w:r>
      <w:r w:rsidR="00BC7C5A">
        <w:rPr>
          <w:rFonts w:ascii="Arial" w:hAnsi="Arial" w:cs="Arial"/>
          <w:sz w:val="24"/>
          <w:szCs w:val="24"/>
        </w:rPr>
        <w:t xml:space="preserve">for the Asia Pacific work package </w:t>
      </w:r>
      <w:r w:rsidR="3B68CA5B" w:rsidRPr="3B68CA5B">
        <w:rPr>
          <w:rFonts w:ascii="Arial" w:hAnsi="Arial" w:cs="Arial"/>
          <w:sz w:val="24"/>
          <w:szCs w:val="24"/>
        </w:rPr>
        <w:t xml:space="preserve">based on a weighting of 70% quality </w:t>
      </w:r>
      <w:r w:rsidR="00256E48">
        <w:rPr>
          <w:rFonts w:ascii="Arial" w:hAnsi="Arial" w:cs="Arial"/>
          <w:sz w:val="24"/>
          <w:szCs w:val="24"/>
        </w:rPr>
        <w:t xml:space="preserve">and 30% price </w:t>
      </w:r>
      <w:r w:rsidR="3B68CA5B" w:rsidRPr="3B68CA5B">
        <w:rPr>
          <w:rFonts w:ascii="Arial" w:hAnsi="Arial" w:cs="Arial"/>
          <w:sz w:val="24"/>
          <w:szCs w:val="24"/>
        </w:rPr>
        <w:t xml:space="preserve">(variations of +/- 10-20% may be used for subsequent work packages). </w:t>
      </w:r>
    </w:p>
    <w:p w14:paraId="77D8DCC9" w14:textId="1AF2BA28" w:rsidR="0034693C" w:rsidRPr="008F26E9" w:rsidRDefault="3B68CA5B" w:rsidP="00685F4E">
      <w:pPr>
        <w:spacing w:after="120"/>
        <w:rPr>
          <w:rFonts w:ascii="Arial" w:eastAsia="Arial" w:hAnsi="Arial" w:cs="Arial"/>
          <w:sz w:val="24"/>
          <w:szCs w:val="24"/>
        </w:rPr>
      </w:pPr>
      <w:r w:rsidRPr="3B68CA5B">
        <w:rPr>
          <w:rFonts w:ascii="Arial" w:eastAsia="Arial" w:hAnsi="Arial" w:cs="Arial"/>
          <w:sz w:val="24"/>
          <w:szCs w:val="24"/>
        </w:rPr>
        <w:t>It should be noted that – despite the concurrent nat</w:t>
      </w:r>
      <w:r w:rsidR="00A37B5B">
        <w:rPr>
          <w:rFonts w:ascii="Arial" w:eastAsia="Arial" w:hAnsi="Arial" w:cs="Arial"/>
          <w:sz w:val="24"/>
          <w:szCs w:val="24"/>
        </w:rPr>
        <w:t xml:space="preserve">ure of the procurement process </w:t>
      </w:r>
      <w:r w:rsidR="00A37B5B" w:rsidRPr="3B68CA5B">
        <w:rPr>
          <w:rFonts w:ascii="Arial" w:eastAsia="Arial" w:hAnsi="Arial" w:cs="Arial"/>
          <w:sz w:val="24"/>
          <w:szCs w:val="24"/>
        </w:rPr>
        <w:t>–</w:t>
      </w:r>
      <w:r w:rsidRPr="3B68CA5B">
        <w:rPr>
          <w:rFonts w:ascii="Arial" w:eastAsia="Arial" w:hAnsi="Arial" w:cs="Arial"/>
          <w:sz w:val="24"/>
          <w:szCs w:val="24"/>
        </w:rPr>
        <w:t xml:space="preserve"> only Tenderers that are successful in obtaining a place on the global DPS may be awarded the Asia Pacific work package. Therefore, a Tenderer who submits a tender for the Asia Pacific work package will not be awar</w:t>
      </w:r>
      <w:r w:rsidR="00BB0E32">
        <w:rPr>
          <w:rFonts w:ascii="Arial" w:eastAsia="Arial" w:hAnsi="Arial" w:cs="Arial"/>
          <w:sz w:val="24"/>
          <w:szCs w:val="24"/>
        </w:rPr>
        <w:t>ded that contract (even if its t</w:t>
      </w:r>
      <w:r w:rsidRPr="3B68CA5B">
        <w:rPr>
          <w:rFonts w:ascii="Arial" w:eastAsia="Arial" w:hAnsi="Arial" w:cs="Arial"/>
          <w:sz w:val="24"/>
          <w:szCs w:val="24"/>
        </w:rPr>
        <w:t xml:space="preserve">ender is deemed to be the most economically advantageous) if that Tenderer fails to be shortlisted following Stage </w:t>
      </w:r>
      <w:r w:rsidRPr="008F26E9">
        <w:rPr>
          <w:rFonts w:ascii="Arial" w:eastAsia="Arial" w:hAnsi="Arial" w:cs="Arial"/>
          <w:sz w:val="24"/>
          <w:szCs w:val="24"/>
        </w:rPr>
        <w:t>1B.</w:t>
      </w:r>
    </w:p>
    <w:p w14:paraId="006425D0" w14:textId="77777777" w:rsidR="0034693C" w:rsidRPr="008F26E9" w:rsidRDefault="0034693C" w:rsidP="00685F4E">
      <w:pPr>
        <w:spacing w:after="120"/>
        <w:rPr>
          <w:rFonts w:ascii="Arial" w:hAnsi="Arial" w:cs="Arial"/>
          <w:sz w:val="24"/>
          <w:szCs w:val="24"/>
          <w:u w:val="single"/>
        </w:rPr>
      </w:pPr>
      <w:r w:rsidRPr="008F26E9">
        <w:rPr>
          <w:rFonts w:ascii="Arial" w:hAnsi="Arial" w:cs="Arial"/>
          <w:sz w:val="24"/>
          <w:szCs w:val="24"/>
          <w:u w:val="single"/>
        </w:rPr>
        <w:t>Freedom of Information Act 2000</w:t>
      </w:r>
      <w:r w:rsidRPr="008F26E9">
        <w:rPr>
          <w:rStyle w:val="FootnoteReference"/>
          <w:rFonts w:ascii="Arial" w:hAnsi="Arial" w:cs="Arial"/>
          <w:sz w:val="24"/>
          <w:szCs w:val="24"/>
          <w:u w:val="single"/>
        </w:rPr>
        <w:footnoteReference w:id="3"/>
      </w:r>
    </w:p>
    <w:p w14:paraId="1D0B4F5E" w14:textId="77777777" w:rsidR="0034693C" w:rsidRPr="0034693C" w:rsidRDefault="0034693C" w:rsidP="00685F4E">
      <w:pPr>
        <w:spacing w:after="120"/>
        <w:rPr>
          <w:rFonts w:ascii="Arial" w:hAnsi="Arial" w:cs="Arial"/>
          <w:sz w:val="24"/>
        </w:rPr>
      </w:pPr>
      <w:r w:rsidRPr="0034693C">
        <w:rPr>
          <w:rFonts w:ascii="Arial" w:hAnsi="Arial" w:cs="Arial"/>
          <w:sz w:val="24"/>
        </w:rPr>
        <w:t>A</w:t>
      </w:r>
      <w:r w:rsidR="004A2682">
        <w:rPr>
          <w:rFonts w:ascii="Arial" w:hAnsi="Arial" w:cs="Arial"/>
          <w:sz w:val="24"/>
        </w:rPr>
        <w:t>ll T</w:t>
      </w:r>
      <w:r w:rsidRPr="0034693C">
        <w:rPr>
          <w:rFonts w:ascii="Arial" w:hAnsi="Arial" w:cs="Arial"/>
          <w:sz w:val="24"/>
        </w:rPr>
        <w:t xml:space="preserve">ender documentation and services provided by </w:t>
      </w:r>
      <w:r w:rsidR="004D446E">
        <w:rPr>
          <w:rFonts w:ascii="Arial" w:hAnsi="Arial" w:cs="Arial"/>
          <w:sz w:val="24"/>
        </w:rPr>
        <w:t>Tenderers in this Procurement</w:t>
      </w:r>
      <w:r w:rsidRPr="0034693C">
        <w:rPr>
          <w:rFonts w:ascii="Arial" w:hAnsi="Arial" w:cs="Arial"/>
          <w:sz w:val="24"/>
        </w:rPr>
        <w:t xml:space="preserve"> will be subject to the Freedom of Information Act. The Act: </w:t>
      </w:r>
    </w:p>
    <w:p w14:paraId="55F08278" w14:textId="77777777" w:rsidR="0034693C" w:rsidRPr="0034693C" w:rsidRDefault="0034693C" w:rsidP="00685F4E">
      <w:pPr>
        <w:numPr>
          <w:ilvl w:val="0"/>
          <w:numId w:val="28"/>
        </w:numPr>
        <w:spacing w:after="120"/>
        <w:rPr>
          <w:rFonts w:ascii="Arial" w:hAnsi="Arial" w:cs="Arial"/>
          <w:sz w:val="24"/>
        </w:rPr>
      </w:pPr>
      <w:r w:rsidRPr="0034693C">
        <w:rPr>
          <w:rFonts w:ascii="Arial" w:hAnsi="Arial" w:cs="Arial"/>
          <w:sz w:val="24"/>
        </w:rPr>
        <w:t>Provides a general right of access to all types of recorded information held by a wide range of public authorities including the FCO (subject to conditions and exemptions) and on their behalf;</w:t>
      </w:r>
    </w:p>
    <w:p w14:paraId="06CA1C19" w14:textId="77777777" w:rsidR="0034693C" w:rsidRPr="0034693C" w:rsidRDefault="0034693C" w:rsidP="00685F4E">
      <w:pPr>
        <w:numPr>
          <w:ilvl w:val="0"/>
          <w:numId w:val="28"/>
        </w:numPr>
        <w:spacing w:before="100" w:after="120"/>
        <w:rPr>
          <w:rFonts w:ascii="Arial" w:hAnsi="Arial" w:cs="Arial"/>
          <w:sz w:val="24"/>
        </w:rPr>
      </w:pPr>
      <w:r w:rsidRPr="0034693C">
        <w:rPr>
          <w:rFonts w:ascii="Arial" w:hAnsi="Arial" w:cs="Arial"/>
          <w:sz w:val="24"/>
        </w:rPr>
        <w:t xml:space="preserve">Requires public authorities to establish and maintain an approved Publication Scheme which proactively makes certain information available to the public; </w:t>
      </w:r>
    </w:p>
    <w:p w14:paraId="12A4B125" w14:textId="77777777" w:rsidR="0034693C" w:rsidRPr="0034693C" w:rsidRDefault="0034693C" w:rsidP="00685F4E">
      <w:pPr>
        <w:numPr>
          <w:ilvl w:val="0"/>
          <w:numId w:val="28"/>
        </w:numPr>
        <w:spacing w:before="100" w:after="120"/>
        <w:rPr>
          <w:rFonts w:ascii="Arial" w:hAnsi="Arial" w:cs="Arial"/>
          <w:sz w:val="24"/>
        </w:rPr>
      </w:pPr>
      <w:r w:rsidRPr="0034693C">
        <w:rPr>
          <w:rFonts w:ascii="Arial" w:hAnsi="Arial" w:cs="Arial"/>
          <w:sz w:val="24"/>
        </w:rPr>
        <w:lastRenderedPageBreak/>
        <w:t xml:space="preserve">Requires public authorities to ensure that its information and records meet prescribed minimum standards (contained in the Lord Chancellor's Code of Practice); and </w:t>
      </w:r>
    </w:p>
    <w:p w14:paraId="532C858C" w14:textId="77777777" w:rsidR="0034693C" w:rsidRPr="004A2682" w:rsidRDefault="0034693C" w:rsidP="00685F4E">
      <w:pPr>
        <w:numPr>
          <w:ilvl w:val="0"/>
          <w:numId w:val="28"/>
        </w:numPr>
        <w:spacing w:after="120"/>
        <w:rPr>
          <w:rFonts w:ascii="Arial" w:hAnsi="Arial" w:cs="Arial"/>
          <w:sz w:val="24"/>
        </w:rPr>
      </w:pPr>
      <w:r w:rsidRPr="0034693C">
        <w:rPr>
          <w:rFonts w:ascii="Arial" w:hAnsi="Arial" w:cs="Arial"/>
          <w:sz w:val="24"/>
        </w:rPr>
        <w:t>Extends the scope of the Data Protection Act 1998</w:t>
      </w:r>
      <w:r w:rsidRPr="0034693C">
        <w:rPr>
          <w:rStyle w:val="FootnoteReference"/>
          <w:rFonts w:ascii="Arial" w:hAnsi="Arial" w:cs="Arial"/>
          <w:sz w:val="24"/>
        </w:rPr>
        <w:footnoteReference w:id="4"/>
      </w:r>
      <w:r w:rsidRPr="0034693C">
        <w:rPr>
          <w:rFonts w:ascii="Arial" w:hAnsi="Arial" w:cs="Arial"/>
          <w:sz w:val="24"/>
        </w:rPr>
        <w:t xml:space="preserve">. </w:t>
      </w:r>
    </w:p>
    <w:p w14:paraId="6E0C3308" w14:textId="1DE2D817" w:rsidR="000417AC" w:rsidRDefault="004A2682" w:rsidP="00685F4E">
      <w:pPr>
        <w:spacing w:after="120"/>
        <w:rPr>
          <w:rFonts w:ascii="Arial" w:hAnsi="Arial" w:cs="Arial"/>
          <w:sz w:val="24"/>
        </w:rPr>
      </w:pPr>
      <w:r>
        <w:rPr>
          <w:rFonts w:ascii="Arial" w:hAnsi="Arial" w:cs="Arial"/>
          <w:sz w:val="24"/>
        </w:rPr>
        <w:t>Tenderers</w:t>
      </w:r>
      <w:r w:rsidR="0034693C" w:rsidRPr="0034693C">
        <w:rPr>
          <w:rFonts w:ascii="Arial" w:hAnsi="Arial" w:cs="Arial"/>
          <w:sz w:val="24"/>
        </w:rPr>
        <w:t xml:space="preserve"> should seek their own legal advice in relation to the application of the Freedom of Information Act.</w:t>
      </w:r>
    </w:p>
    <w:p w14:paraId="2288BE47" w14:textId="1F703293" w:rsidR="008F26E9" w:rsidRDefault="008F26E9" w:rsidP="00685F4E">
      <w:pPr>
        <w:spacing w:after="100"/>
        <w:rPr>
          <w:rFonts w:ascii="Arial" w:hAnsi="Arial" w:cs="Arial"/>
          <w:sz w:val="24"/>
        </w:rPr>
      </w:pPr>
    </w:p>
    <w:p w14:paraId="2E50F331" w14:textId="01499410" w:rsidR="00B92766" w:rsidRDefault="00B92766">
      <w:pPr>
        <w:spacing w:after="160" w:line="259" w:lineRule="auto"/>
        <w:rPr>
          <w:rFonts w:ascii="Arial" w:hAnsi="Arial" w:cs="Arial"/>
          <w:sz w:val="24"/>
        </w:rPr>
      </w:pPr>
      <w:r>
        <w:rPr>
          <w:rFonts w:ascii="Arial" w:hAnsi="Arial" w:cs="Arial"/>
          <w:sz w:val="24"/>
        </w:rPr>
        <w:br w:type="page"/>
      </w:r>
    </w:p>
    <w:p w14:paraId="6883BED7" w14:textId="7610A6F5" w:rsidR="00CA40D6" w:rsidRPr="00CA40D6" w:rsidRDefault="00CA40D6" w:rsidP="00CA40D6">
      <w:pPr>
        <w:spacing w:after="160"/>
        <w:rPr>
          <w:rFonts w:ascii="Arial" w:hAnsi="Arial" w:cs="Arial"/>
          <w:b/>
        </w:rPr>
      </w:pPr>
      <w:r>
        <w:rPr>
          <w:rFonts w:ascii="Arial" w:hAnsi="Arial" w:cs="Arial"/>
          <w:b/>
          <w:sz w:val="24"/>
        </w:rPr>
        <w:lastRenderedPageBreak/>
        <w:t xml:space="preserve">9.  </w:t>
      </w:r>
      <w:r>
        <w:rPr>
          <w:rFonts w:ascii="Arial" w:hAnsi="Arial" w:cs="Arial"/>
          <w:b/>
          <w:sz w:val="24"/>
        </w:rPr>
        <w:tab/>
      </w:r>
      <w:r w:rsidR="004A2682" w:rsidRPr="00CA40D6">
        <w:rPr>
          <w:rFonts w:ascii="Arial" w:hAnsi="Arial" w:cs="Arial"/>
          <w:b/>
        </w:rPr>
        <w:t>Instructions for Use of the Jaggaer Portal</w:t>
      </w:r>
    </w:p>
    <w:p w14:paraId="3B769430" w14:textId="77777777" w:rsidR="004A2682" w:rsidRDefault="004A2682" w:rsidP="00685F4E">
      <w:pPr>
        <w:spacing w:after="120"/>
        <w:rPr>
          <w:rFonts w:ascii="Arial" w:hAnsi="Arial" w:cs="Arial"/>
          <w:sz w:val="24"/>
        </w:rPr>
      </w:pPr>
      <w:r>
        <w:rPr>
          <w:rFonts w:ascii="Arial" w:hAnsi="Arial" w:cs="Arial"/>
          <w:sz w:val="24"/>
        </w:rPr>
        <w:t xml:space="preserve">If your organisation is interested in viewing SQ documents, please make an account on the FCO’s Jaggaer portal. This can be done through the link below: </w:t>
      </w:r>
    </w:p>
    <w:p w14:paraId="4F1FDA84" w14:textId="77777777" w:rsidR="004A2682" w:rsidRDefault="00DB4E5D" w:rsidP="00685F4E">
      <w:pPr>
        <w:spacing w:after="120"/>
        <w:rPr>
          <w:rFonts w:ascii="Arial" w:hAnsi="Arial" w:cs="Arial"/>
          <w:sz w:val="24"/>
        </w:rPr>
      </w:pPr>
      <w:hyperlink r:id="rId15" w:history="1">
        <w:r w:rsidR="004A2682" w:rsidRPr="004B45AC">
          <w:rPr>
            <w:rStyle w:val="Hyperlink"/>
            <w:rFonts w:ascii="Arial" w:hAnsi="Arial" w:cs="Arial"/>
            <w:sz w:val="24"/>
          </w:rPr>
          <w:t>https://fco.bravosolution.co.uk/web/login.html</w:t>
        </w:r>
      </w:hyperlink>
    </w:p>
    <w:p w14:paraId="2E73DBB4" w14:textId="346E19C1" w:rsidR="00B92766" w:rsidRDefault="00B92766" w:rsidP="00685F4E">
      <w:pPr>
        <w:spacing w:after="120"/>
        <w:rPr>
          <w:rFonts w:ascii="Arial" w:hAnsi="Arial" w:cs="Arial"/>
          <w:sz w:val="24"/>
        </w:rPr>
      </w:pPr>
      <w:r>
        <w:rPr>
          <w:rFonts w:ascii="Arial" w:hAnsi="Arial" w:cs="Arial"/>
          <w:sz w:val="24"/>
        </w:rPr>
        <w:t xml:space="preserve">Once you have made an account, please search for project 3220. The project name is ‘Global Facilities Management and Related Services Dynamic Purchasing System’. You will then be able to add your account to the project, and access the SQ. If you are unable to locate the project, please email </w:t>
      </w:r>
      <w:hyperlink r:id="rId16" w:history="1">
        <w:r w:rsidRPr="009162BE">
          <w:rPr>
            <w:rStyle w:val="Hyperlink"/>
            <w:rFonts w:ascii="Arial" w:hAnsi="Arial" w:cs="Arial"/>
            <w:sz w:val="24"/>
          </w:rPr>
          <w:t>global.FM@fco.gov.uk</w:t>
        </w:r>
      </w:hyperlink>
      <w:r>
        <w:rPr>
          <w:rFonts w:ascii="Arial" w:hAnsi="Arial" w:cs="Arial"/>
          <w:sz w:val="24"/>
        </w:rPr>
        <w:t xml:space="preserve">. </w:t>
      </w:r>
    </w:p>
    <w:p w14:paraId="1468BAD7" w14:textId="10C02912" w:rsidR="0042306C" w:rsidRDefault="00BB0E32" w:rsidP="00685F4E">
      <w:pPr>
        <w:spacing w:after="120"/>
        <w:rPr>
          <w:rFonts w:ascii="Arial" w:hAnsi="Arial" w:cs="Arial"/>
          <w:sz w:val="24"/>
        </w:rPr>
      </w:pPr>
      <w:r>
        <w:rPr>
          <w:rFonts w:ascii="Arial" w:hAnsi="Arial" w:cs="Arial"/>
          <w:sz w:val="24"/>
        </w:rPr>
        <w:t>Responses to SQ P</w:t>
      </w:r>
      <w:r w:rsidR="0042306C">
        <w:rPr>
          <w:rFonts w:ascii="Arial" w:hAnsi="Arial" w:cs="Arial"/>
          <w:sz w:val="24"/>
        </w:rPr>
        <w:t xml:space="preserve">arts 1 and 2 can be given directly on the portal. However some questions may require you to submit further evidence or information, which should be uploaded as an attachment. </w:t>
      </w:r>
    </w:p>
    <w:p w14:paraId="10D47844" w14:textId="0B430BD4" w:rsidR="0042306C" w:rsidRDefault="0042306C" w:rsidP="00685F4E">
      <w:pPr>
        <w:spacing w:after="120"/>
        <w:rPr>
          <w:rFonts w:ascii="Arial" w:hAnsi="Arial" w:cs="Arial"/>
          <w:sz w:val="24"/>
        </w:rPr>
      </w:pPr>
      <w:r>
        <w:rPr>
          <w:rFonts w:ascii="Arial" w:hAnsi="Arial" w:cs="Arial"/>
          <w:sz w:val="24"/>
        </w:rPr>
        <w:t>Some responses t</w:t>
      </w:r>
      <w:r w:rsidR="00BB0E32">
        <w:rPr>
          <w:rFonts w:ascii="Arial" w:hAnsi="Arial" w:cs="Arial"/>
          <w:sz w:val="24"/>
        </w:rPr>
        <w:t>o SQ P</w:t>
      </w:r>
      <w:r>
        <w:rPr>
          <w:rFonts w:ascii="Arial" w:hAnsi="Arial" w:cs="Arial"/>
          <w:sz w:val="24"/>
        </w:rPr>
        <w:t xml:space="preserve">art 3 will require you to complete certain schedules and forms. These are all available to download in the attachments section. Completed documents must be uploaded as attachments in response to the corresponding question. All other responses to SQ part 3 can be given directly on the portal. </w:t>
      </w:r>
    </w:p>
    <w:p w14:paraId="421677FC" w14:textId="54DA2535" w:rsidR="0042306C" w:rsidRDefault="0042306C" w:rsidP="00685F4E">
      <w:pPr>
        <w:spacing w:after="120"/>
        <w:rPr>
          <w:rFonts w:ascii="Arial" w:hAnsi="Arial" w:cs="Arial"/>
          <w:sz w:val="24"/>
        </w:rPr>
      </w:pPr>
      <w:r>
        <w:rPr>
          <w:rFonts w:ascii="Arial" w:hAnsi="Arial" w:cs="Arial"/>
          <w:sz w:val="24"/>
        </w:rPr>
        <w:t>You must also submit a covering letter giving a formal expression of interest, and a signed copy of the confidentiality ag</w:t>
      </w:r>
      <w:r w:rsidR="00D91511">
        <w:rPr>
          <w:rFonts w:ascii="Arial" w:hAnsi="Arial" w:cs="Arial"/>
          <w:sz w:val="24"/>
        </w:rPr>
        <w:t xml:space="preserve">reement, which can be downloaded from the attachments section. </w:t>
      </w:r>
      <w:r w:rsidR="00B92766">
        <w:rPr>
          <w:rFonts w:ascii="Arial" w:hAnsi="Arial" w:cs="Arial"/>
          <w:sz w:val="24"/>
        </w:rPr>
        <w:t xml:space="preserve">Please submit these as attachments through the messaging function. Please note this is a mandatory stage of completing the SQ. </w:t>
      </w:r>
    </w:p>
    <w:p w14:paraId="7305C99F" w14:textId="6185ABD3" w:rsidR="000417AC" w:rsidRDefault="00D91511" w:rsidP="00685F4E">
      <w:pPr>
        <w:spacing w:after="120"/>
        <w:rPr>
          <w:rFonts w:ascii="Arial" w:hAnsi="Arial" w:cs="Arial"/>
          <w:sz w:val="24"/>
        </w:rPr>
      </w:pPr>
      <w:r>
        <w:rPr>
          <w:rFonts w:ascii="Arial" w:hAnsi="Arial" w:cs="Arial"/>
          <w:sz w:val="24"/>
        </w:rPr>
        <w:t xml:space="preserve">Please note that all clarifications relating to the SQ must be made via the Jaggaer portal. Questions </w:t>
      </w:r>
      <w:r w:rsidR="00BB0E32">
        <w:rPr>
          <w:rFonts w:ascii="Arial" w:hAnsi="Arial" w:cs="Arial"/>
          <w:sz w:val="24"/>
        </w:rPr>
        <w:t>concerning</w:t>
      </w:r>
      <w:r>
        <w:rPr>
          <w:rFonts w:ascii="Arial" w:hAnsi="Arial" w:cs="Arial"/>
          <w:sz w:val="24"/>
        </w:rPr>
        <w:t xml:space="preserve"> the SQ </w:t>
      </w:r>
      <w:r w:rsidR="00032A92">
        <w:rPr>
          <w:rFonts w:ascii="Arial" w:hAnsi="Arial" w:cs="Arial"/>
          <w:sz w:val="24"/>
        </w:rPr>
        <w:t xml:space="preserve">(other than questions regarding accessing the SQ) </w:t>
      </w:r>
      <w:r>
        <w:rPr>
          <w:rFonts w:ascii="Arial" w:hAnsi="Arial" w:cs="Arial"/>
          <w:sz w:val="24"/>
        </w:rPr>
        <w:t xml:space="preserve">sent to any FCO email address will not be answered. </w:t>
      </w:r>
    </w:p>
    <w:p w14:paraId="4014D91D" w14:textId="77777777" w:rsidR="00D91511" w:rsidRDefault="000417AC" w:rsidP="00685F4E">
      <w:pPr>
        <w:spacing w:after="120"/>
        <w:rPr>
          <w:rFonts w:ascii="Arial" w:hAnsi="Arial" w:cs="Arial"/>
          <w:sz w:val="24"/>
        </w:rPr>
      </w:pPr>
      <w:r>
        <w:rPr>
          <w:rFonts w:ascii="Arial" w:hAnsi="Arial" w:cs="Arial"/>
          <w:sz w:val="24"/>
        </w:rPr>
        <w:br w:type="page"/>
      </w:r>
    </w:p>
    <w:p w14:paraId="7ADA0D37" w14:textId="77777777" w:rsidR="00D91511" w:rsidRDefault="00D91511" w:rsidP="00685F4E">
      <w:pPr>
        <w:spacing w:before="240"/>
        <w:jc w:val="center"/>
        <w:rPr>
          <w:rFonts w:ascii="Arial" w:hAnsi="Arial" w:cs="Arial"/>
          <w:b/>
          <w:sz w:val="24"/>
        </w:rPr>
      </w:pPr>
      <w:r>
        <w:rPr>
          <w:rFonts w:ascii="Arial" w:hAnsi="Arial" w:cs="Arial"/>
          <w:b/>
          <w:sz w:val="24"/>
        </w:rPr>
        <w:lastRenderedPageBreak/>
        <w:t xml:space="preserve">Appendix A – Selection Questionnaire: Notes for Completion </w:t>
      </w:r>
    </w:p>
    <w:p w14:paraId="1A39F576" w14:textId="45D0CDE8" w:rsidR="00D91511" w:rsidRPr="00D91511" w:rsidRDefault="00D91511" w:rsidP="00685F4E">
      <w:pPr>
        <w:pStyle w:val="Normal1"/>
        <w:numPr>
          <w:ilvl w:val="0"/>
          <w:numId w:val="30"/>
        </w:numPr>
        <w:spacing w:after="120" w:line="276" w:lineRule="auto"/>
        <w:ind w:left="714" w:hanging="357"/>
        <w:jc w:val="both"/>
        <w:rPr>
          <w:rFonts w:ascii="Arial" w:eastAsia="Arial" w:hAnsi="Arial" w:cs="Arial"/>
          <w:szCs w:val="22"/>
        </w:rPr>
      </w:pPr>
      <w:r w:rsidRPr="00D91511">
        <w:rPr>
          <w:rFonts w:ascii="Arial" w:eastAsia="Arial" w:hAnsi="Arial" w:cs="Arial"/>
          <w:szCs w:val="22"/>
        </w:rPr>
        <w:t>The “</w:t>
      </w:r>
      <w:r w:rsidR="0044696A">
        <w:rPr>
          <w:rFonts w:ascii="Arial" w:eastAsia="Arial" w:hAnsi="Arial" w:cs="Arial"/>
          <w:szCs w:val="22"/>
        </w:rPr>
        <w:t>A</w:t>
      </w:r>
      <w:r w:rsidRPr="00D91511">
        <w:rPr>
          <w:rFonts w:ascii="Arial" w:eastAsia="Arial" w:hAnsi="Arial" w:cs="Arial"/>
          <w:szCs w:val="22"/>
        </w:rPr>
        <w:t>uthority” means the contracting authority, or anyone acting on behalf of the contracting authority, that is seeking to invite suitable candidates to p</w:t>
      </w:r>
      <w:r w:rsidR="00331FBE">
        <w:rPr>
          <w:rFonts w:ascii="Arial" w:eastAsia="Arial" w:hAnsi="Arial" w:cs="Arial"/>
          <w:szCs w:val="22"/>
        </w:rPr>
        <w:t>articipate in this P</w:t>
      </w:r>
      <w:r w:rsidRPr="00D91511">
        <w:rPr>
          <w:rFonts w:ascii="Arial" w:eastAsia="Arial" w:hAnsi="Arial" w:cs="Arial"/>
          <w:szCs w:val="22"/>
        </w:rPr>
        <w:t>rocurement.</w:t>
      </w:r>
      <w:r w:rsidR="00190D10">
        <w:rPr>
          <w:rFonts w:ascii="Arial" w:eastAsia="Arial" w:hAnsi="Arial" w:cs="Arial"/>
          <w:szCs w:val="22"/>
        </w:rPr>
        <w:t xml:space="preserve"> In this instance, the Authority refers to the Foreign and Commonwealth Office (FCO). </w:t>
      </w:r>
    </w:p>
    <w:p w14:paraId="3C8A7AB9" w14:textId="39797AF8" w:rsidR="00D91511" w:rsidRPr="00D91511" w:rsidRDefault="00D91511" w:rsidP="00685F4E">
      <w:pPr>
        <w:pStyle w:val="Normal1"/>
        <w:numPr>
          <w:ilvl w:val="0"/>
          <w:numId w:val="30"/>
        </w:numPr>
        <w:spacing w:after="120" w:line="276" w:lineRule="auto"/>
        <w:ind w:left="714" w:hanging="357"/>
        <w:jc w:val="both"/>
        <w:rPr>
          <w:rFonts w:ascii="Arial" w:eastAsia="Arial" w:hAnsi="Arial" w:cs="Arial"/>
          <w:szCs w:val="22"/>
        </w:rPr>
      </w:pPr>
      <w:r w:rsidRPr="00D91511">
        <w:rPr>
          <w:rFonts w:ascii="Arial" w:eastAsia="Arial" w:hAnsi="Arial" w:cs="Arial"/>
          <w:szCs w:val="22"/>
        </w:rPr>
        <w:t xml:space="preserve">“You” / “Your” refers to the </w:t>
      </w:r>
      <w:r w:rsidR="00331FBE">
        <w:rPr>
          <w:rFonts w:ascii="Arial" w:eastAsia="Arial" w:hAnsi="Arial" w:cs="Arial"/>
          <w:szCs w:val="22"/>
        </w:rPr>
        <w:t>service provider</w:t>
      </w:r>
      <w:r w:rsidR="003643D7">
        <w:rPr>
          <w:rFonts w:ascii="Arial" w:eastAsia="Arial" w:hAnsi="Arial" w:cs="Arial"/>
          <w:szCs w:val="22"/>
        </w:rPr>
        <w:t xml:space="preserve"> (i.e. the Tenderer)</w:t>
      </w:r>
      <w:r w:rsidRPr="00D91511">
        <w:rPr>
          <w:rFonts w:ascii="Arial" w:eastAsia="Arial" w:hAnsi="Arial" w:cs="Arial"/>
          <w:szCs w:val="22"/>
        </w:rPr>
        <w:t xml:space="preserve"> completing this standard </w:t>
      </w:r>
      <w:r w:rsidRPr="002D0A64">
        <w:rPr>
          <w:rFonts w:ascii="Arial" w:eastAsia="Arial" w:hAnsi="Arial" w:cs="Arial"/>
        </w:rPr>
        <w:t>Selection</w:t>
      </w:r>
      <w:r w:rsidRPr="00D91511">
        <w:rPr>
          <w:rFonts w:ascii="Arial" w:eastAsia="Arial" w:hAnsi="Arial" w:cs="Arial"/>
          <w:szCs w:val="22"/>
        </w:rPr>
        <w:t xml:space="preserve"> Questionnaire i.e. the legal entity responsible for the information provided. The term “</w:t>
      </w:r>
      <w:r w:rsidR="00331FBE">
        <w:rPr>
          <w:rFonts w:ascii="Arial" w:eastAsia="Arial" w:hAnsi="Arial" w:cs="Arial"/>
          <w:szCs w:val="22"/>
        </w:rPr>
        <w:t>service provider”</w:t>
      </w:r>
      <w:r w:rsidRPr="00D91511">
        <w:rPr>
          <w:rFonts w:ascii="Arial" w:eastAsia="Arial" w:hAnsi="Arial" w:cs="Arial"/>
          <w:szCs w:val="22"/>
        </w:rPr>
        <w:t xml:space="preserve">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2792D04B" w14:textId="77777777" w:rsidR="00D91511" w:rsidRPr="00D91511" w:rsidRDefault="00D91511" w:rsidP="00685F4E">
      <w:pPr>
        <w:pStyle w:val="Normal1"/>
        <w:numPr>
          <w:ilvl w:val="0"/>
          <w:numId w:val="30"/>
        </w:numPr>
        <w:spacing w:after="120" w:line="276" w:lineRule="auto"/>
        <w:ind w:left="714" w:hanging="357"/>
        <w:jc w:val="both"/>
        <w:rPr>
          <w:rFonts w:ascii="Arial" w:eastAsia="Arial" w:hAnsi="Arial" w:cs="Arial"/>
          <w:szCs w:val="22"/>
        </w:rPr>
      </w:pPr>
      <w:r w:rsidRPr="00D91511">
        <w:rPr>
          <w:rFonts w:ascii="Arial" w:eastAsia="Arial" w:hAnsi="Arial" w:cs="Arial"/>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464D92DB" w14:textId="348CCFE4" w:rsidR="00D91511" w:rsidRPr="00D91511" w:rsidRDefault="00D91511" w:rsidP="00685F4E">
      <w:pPr>
        <w:pStyle w:val="Normal1"/>
        <w:numPr>
          <w:ilvl w:val="0"/>
          <w:numId w:val="30"/>
        </w:numPr>
        <w:spacing w:after="120" w:line="276" w:lineRule="auto"/>
        <w:ind w:left="714" w:hanging="357"/>
        <w:jc w:val="both"/>
        <w:rPr>
          <w:rFonts w:ascii="Arial" w:eastAsia="Arial" w:hAnsi="Arial" w:cs="Arial"/>
          <w:szCs w:val="22"/>
        </w:rPr>
      </w:pPr>
      <w:r w:rsidRPr="00D91511">
        <w:rPr>
          <w:rFonts w:ascii="Arial" w:eastAsia="Arial" w:hAnsi="Arial" w:cs="Arial"/>
          <w:szCs w:val="22"/>
        </w:rPr>
        <w:t xml:space="preserve">The </w:t>
      </w:r>
      <w:r w:rsidR="0044696A">
        <w:rPr>
          <w:rFonts w:ascii="Arial" w:eastAsia="Arial" w:hAnsi="Arial" w:cs="Arial"/>
          <w:szCs w:val="22"/>
        </w:rPr>
        <w:t>A</w:t>
      </w:r>
      <w:r w:rsidRPr="00D91511">
        <w:rPr>
          <w:rFonts w:ascii="Arial" w:eastAsia="Arial" w:hAnsi="Arial" w:cs="Arial"/>
          <w:szCs w:val="22"/>
        </w:rPr>
        <w:t xml:space="preserve">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w:t>
      </w:r>
      <w:r w:rsidR="00331FBE">
        <w:rPr>
          <w:rFonts w:ascii="Arial" w:eastAsia="Arial" w:hAnsi="Arial" w:cs="Arial"/>
          <w:szCs w:val="22"/>
        </w:rPr>
        <w:t>lead contact should notify the A</w:t>
      </w:r>
      <w:r w:rsidRPr="00D91511">
        <w:rPr>
          <w:rFonts w:ascii="Arial" w:eastAsia="Arial" w:hAnsi="Arial" w:cs="Arial"/>
          <w:szCs w:val="22"/>
        </w:rPr>
        <w:t xml:space="preserve">uthority immediately of any change in the proposed arrangements and ensure a completed Part 1 and Part 2 is submitted for any new organisation relied on to meet the selection criteria. The </w:t>
      </w:r>
      <w:r w:rsidR="0044696A">
        <w:rPr>
          <w:rFonts w:ascii="Arial" w:eastAsia="Arial" w:hAnsi="Arial" w:cs="Arial"/>
          <w:szCs w:val="22"/>
        </w:rPr>
        <w:t>A</w:t>
      </w:r>
      <w:r w:rsidRPr="00D91511">
        <w:rPr>
          <w:rFonts w:ascii="Arial" w:eastAsia="Arial" w:hAnsi="Arial" w:cs="Arial"/>
          <w:szCs w:val="22"/>
        </w:rPr>
        <w:t>uthority will make a revised assessment of the submission based on the updated information.</w:t>
      </w:r>
    </w:p>
    <w:p w14:paraId="2907AB95" w14:textId="77777777" w:rsidR="00D91511" w:rsidRPr="00D91511" w:rsidRDefault="00D91511" w:rsidP="00685F4E">
      <w:pPr>
        <w:pStyle w:val="Normal1"/>
        <w:numPr>
          <w:ilvl w:val="0"/>
          <w:numId w:val="30"/>
        </w:numPr>
        <w:spacing w:after="120" w:line="276" w:lineRule="auto"/>
        <w:ind w:hanging="360"/>
        <w:jc w:val="both"/>
        <w:rPr>
          <w:rFonts w:ascii="Arial" w:eastAsia="Arial" w:hAnsi="Arial" w:cs="Arial"/>
          <w:szCs w:val="22"/>
        </w:rPr>
      </w:pPr>
      <w:r w:rsidRPr="00D91511">
        <w:rPr>
          <w:rFonts w:ascii="Arial" w:eastAsia="Arial" w:hAnsi="Arial" w:cs="Arial"/>
          <w:szCs w:val="22"/>
        </w:rPr>
        <w:t xml:space="preserve">For Part 1 and Part 2 </w:t>
      </w:r>
      <w:r w:rsidR="006724D9">
        <w:rPr>
          <w:rFonts w:ascii="Arial" w:eastAsia="Arial" w:hAnsi="Arial" w:cs="Arial"/>
          <w:szCs w:val="22"/>
        </w:rPr>
        <w:t>each Tenderer</w:t>
      </w:r>
      <w:r w:rsidR="00383172">
        <w:rPr>
          <w:rFonts w:ascii="Arial" w:eastAsia="Arial" w:hAnsi="Arial" w:cs="Arial"/>
          <w:szCs w:val="22"/>
        </w:rPr>
        <w:t xml:space="preserve"> </w:t>
      </w:r>
      <w:r w:rsidRPr="00D91511">
        <w:rPr>
          <w:rFonts w:ascii="Arial" w:eastAsia="Arial" w:hAnsi="Arial" w:cs="Arial"/>
          <w:szCs w:val="22"/>
        </w:rPr>
        <w:t xml:space="preserve">is being relied on to meet the selection </w:t>
      </w:r>
      <w:r w:rsidR="006724D9">
        <w:rPr>
          <w:rFonts w:ascii="Arial" w:eastAsia="Arial" w:hAnsi="Arial" w:cs="Arial"/>
          <w:szCs w:val="22"/>
        </w:rPr>
        <w:t>through</w:t>
      </w:r>
      <w:r w:rsidRPr="00D91511">
        <w:rPr>
          <w:rFonts w:ascii="Arial" w:eastAsia="Arial" w:hAnsi="Arial" w:cs="Arial"/>
          <w:szCs w:val="22"/>
        </w:rPr>
        <w:t xml:space="preserve"> self-declaration. </w:t>
      </w:r>
    </w:p>
    <w:p w14:paraId="264E4CAC" w14:textId="16EE79BA" w:rsidR="006E1607" w:rsidRDefault="00D91511" w:rsidP="00685F4E">
      <w:pPr>
        <w:spacing w:after="120"/>
        <w:rPr>
          <w:rFonts w:ascii="Arial" w:eastAsia="Arial" w:hAnsi="Arial" w:cs="Arial"/>
          <w:sz w:val="24"/>
        </w:rPr>
      </w:pPr>
      <w:r w:rsidRPr="00D91511">
        <w:rPr>
          <w:rFonts w:ascii="Arial" w:eastAsia="Arial" w:hAnsi="Arial" w:cs="Arial"/>
          <w:sz w:val="24"/>
        </w:rPr>
        <w:t xml:space="preserve">The </w:t>
      </w:r>
      <w:r w:rsidR="0044696A">
        <w:rPr>
          <w:rFonts w:ascii="Arial" w:eastAsia="Arial" w:hAnsi="Arial" w:cs="Arial"/>
          <w:sz w:val="24"/>
        </w:rPr>
        <w:t>A</w:t>
      </w:r>
      <w:r w:rsidRPr="00D91511">
        <w:rPr>
          <w:rFonts w:ascii="Arial" w:eastAsia="Arial" w:hAnsi="Arial" w:cs="Arial"/>
          <w:sz w:val="24"/>
        </w:rPr>
        <w:t xml:space="preserve">uthority confirms that it will keep confidential and will not disclose to any third parties any information obtained from </w:t>
      </w:r>
      <w:r w:rsidR="00033F65">
        <w:rPr>
          <w:rFonts w:ascii="Arial" w:eastAsia="Arial" w:hAnsi="Arial" w:cs="Arial"/>
          <w:sz w:val="24"/>
        </w:rPr>
        <w:t>the Tenderer</w:t>
      </w:r>
      <w:r w:rsidRPr="00D91511">
        <w:rPr>
          <w:rFonts w:ascii="Arial" w:eastAsia="Arial" w:hAnsi="Arial" w:cs="Arial"/>
          <w:sz w:val="24"/>
        </w:rPr>
        <w:t>, other than to the Cabinet Office and/or contracting authorities defined by the regulations, or pursuant to an order of the court or demand made by any compete</w:t>
      </w:r>
      <w:r w:rsidR="00331FBE">
        <w:rPr>
          <w:rFonts w:ascii="Arial" w:eastAsia="Arial" w:hAnsi="Arial" w:cs="Arial"/>
          <w:sz w:val="24"/>
        </w:rPr>
        <w:t>nt authority or body where the A</w:t>
      </w:r>
      <w:r w:rsidRPr="00D91511">
        <w:rPr>
          <w:rFonts w:ascii="Arial" w:eastAsia="Arial" w:hAnsi="Arial" w:cs="Arial"/>
          <w:sz w:val="24"/>
        </w:rPr>
        <w:t>uthority is under a legal or regulatory obligation to make such a disclosure.</w:t>
      </w:r>
    </w:p>
    <w:p w14:paraId="24E01849" w14:textId="77777777" w:rsidR="00D91511" w:rsidRPr="006E1607" w:rsidRDefault="00D91511" w:rsidP="00685F4E">
      <w:pPr>
        <w:rPr>
          <w:rFonts w:ascii="Arial" w:eastAsia="Arial" w:hAnsi="Arial" w:cs="Arial"/>
          <w:sz w:val="24"/>
        </w:rPr>
        <w:sectPr w:rsidR="00D91511" w:rsidRPr="006E1607" w:rsidSect="00DD0794">
          <w:headerReference w:type="default" r:id="rId17"/>
          <w:footerReference w:type="default" r:id="rId18"/>
          <w:headerReference w:type="first" r:id="rId19"/>
          <w:footerReference w:type="first" r:id="rId20"/>
          <w:pgSz w:w="11906" w:h="16838"/>
          <w:pgMar w:top="2268" w:right="1440" w:bottom="1440" w:left="1440" w:header="709" w:footer="709" w:gutter="0"/>
          <w:cols w:space="708"/>
          <w:titlePg/>
          <w:docGrid w:linePitch="360"/>
        </w:sectPr>
      </w:pPr>
    </w:p>
    <w:p w14:paraId="44106C08" w14:textId="77777777" w:rsidR="00D91511" w:rsidRDefault="00D91511" w:rsidP="00685F4E">
      <w:pPr>
        <w:spacing w:before="240"/>
        <w:rPr>
          <w:rFonts w:ascii="Arial" w:eastAsia="Arial" w:hAnsi="Arial" w:cs="Arial"/>
          <w:b/>
          <w:sz w:val="24"/>
        </w:rPr>
      </w:pPr>
    </w:p>
    <w:p w14:paraId="450D3BA2" w14:textId="3165363A" w:rsidR="00D91511" w:rsidRDefault="00D91511" w:rsidP="00685F4E">
      <w:pPr>
        <w:spacing w:before="240"/>
        <w:jc w:val="center"/>
        <w:rPr>
          <w:rFonts w:ascii="Arial" w:eastAsia="Arial" w:hAnsi="Arial" w:cs="Arial"/>
          <w:b/>
          <w:sz w:val="24"/>
        </w:rPr>
      </w:pPr>
      <w:r>
        <w:rPr>
          <w:rFonts w:ascii="Arial" w:eastAsia="Arial" w:hAnsi="Arial" w:cs="Arial"/>
          <w:b/>
          <w:sz w:val="24"/>
        </w:rPr>
        <w:t>Appendix B – Evaluation Criteria</w:t>
      </w:r>
    </w:p>
    <w:p w14:paraId="12DE192D" w14:textId="2599BF1C" w:rsidR="002A5FC3" w:rsidRDefault="002A5FC3" w:rsidP="00685F4E">
      <w:pPr>
        <w:spacing w:after="0"/>
        <w:rPr>
          <w:rFonts w:ascii="Arial" w:eastAsia="SimSun" w:hAnsi="Arial" w:cs="Arial"/>
          <w:sz w:val="24"/>
          <w:szCs w:val="24"/>
          <w:lang w:eastAsia="en-GB"/>
        </w:rPr>
      </w:pPr>
      <w:r>
        <w:rPr>
          <w:rFonts w:ascii="Arial" w:eastAsia="Arial" w:hAnsi="Arial" w:cs="Arial"/>
          <w:sz w:val="24"/>
        </w:rPr>
        <w:t xml:space="preserve">The table below outlines the evaluation criteria contained within the SQ and associated evaluation methodologies. </w:t>
      </w:r>
      <w:r w:rsidRPr="002A5FC3">
        <w:rPr>
          <w:rFonts w:ascii="Arial" w:eastAsia="SimSun" w:hAnsi="Arial" w:cs="Arial"/>
          <w:sz w:val="24"/>
          <w:szCs w:val="24"/>
          <w:lang w:eastAsia="en-GB"/>
        </w:rPr>
        <w:t>The</w:t>
      </w:r>
      <w:r w:rsidRPr="00F75004">
        <w:rPr>
          <w:rFonts w:ascii="Arial" w:eastAsia="SimSun" w:hAnsi="Arial" w:cs="Arial"/>
          <w:sz w:val="24"/>
          <w:szCs w:val="24"/>
          <w:lang w:eastAsia="en-GB"/>
        </w:rPr>
        <w:t xml:space="preserve"> Authority may</w:t>
      </w:r>
      <w:r w:rsidRPr="00974AC2">
        <w:rPr>
          <w:rFonts w:ascii="Arial" w:eastAsia="SimSun" w:hAnsi="Arial" w:cs="Arial"/>
          <w:sz w:val="24"/>
          <w:szCs w:val="24"/>
          <w:vertAlign w:val="superscript"/>
          <w:lang w:eastAsia="en-GB"/>
        </w:rPr>
        <w:t xml:space="preserve"> </w:t>
      </w:r>
      <w:r w:rsidRPr="4B0D7295">
        <w:rPr>
          <w:rFonts w:ascii="Arial" w:eastAsia="SimSun" w:hAnsi="Arial" w:cs="Arial"/>
          <w:sz w:val="24"/>
          <w:szCs w:val="24"/>
          <w:lang w:eastAsia="en-GB"/>
        </w:rPr>
        <w:t>seek independent financial, legal, market and internal advice and references to validate information declared or to assist in the evaluation. Reference site visits or demonstrations and/or presentations are unlikely to be requested at this stage</w:t>
      </w:r>
      <w:r>
        <w:rPr>
          <w:rFonts w:ascii="Arial" w:eastAsia="SimSun" w:hAnsi="Arial" w:cs="Arial"/>
          <w:sz w:val="24"/>
          <w:szCs w:val="24"/>
          <w:lang w:eastAsia="en-GB"/>
        </w:rPr>
        <w:t>,</w:t>
      </w:r>
      <w:r w:rsidRPr="4B0D7295">
        <w:rPr>
          <w:rFonts w:ascii="Arial" w:eastAsia="SimSun" w:hAnsi="Arial" w:cs="Arial"/>
          <w:sz w:val="24"/>
          <w:szCs w:val="24"/>
          <w:lang w:eastAsia="en-GB"/>
        </w:rPr>
        <w:t xml:space="preserve"> but the Authority reserves the right to request the same </w:t>
      </w:r>
      <w:r>
        <w:rPr>
          <w:rFonts w:ascii="Arial" w:eastAsia="SimSun" w:hAnsi="Arial" w:cs="Arial"/>
          <w:sz w:val="24"/>
          <w:szCs w:val="24"/>
          <w:lang w:eastAsia="en-GB"/>
        </w:rPr>
        <w:t xml:space="preserve">at further stages of the </w:t>
      </w:r>
      <w:r w:rsidRPr="4B0D7295">
        <w:rPr>
          <w:rFonts w:ascii="Arial" w:eastAsia="SimSun" w:hAnsi="Arial" w:cs="Arial"/>
          <w:sz w:val="24"/>
          <w:szCs w:val="24"/>
          <w:lang w:eastAsia="en-GB"/>
        </w:rPr>
        <w:t>process.</w:t>
      </w:r>
    </w:p>
    <w:p w14:paraId="63B97FD6" w14:textId="77777777" w:rsidR="002A5FC3" w:rsidRPr="002A5FC3" w:rsidRDefault="002A5FC3" w:rsidP="00685F4E">
      <w:pPr>
        <w:spacing w:after="0"/>
        <w:rPr>
          <w:rFonts w:ascii="Arial" w:eastAsia="SimSun" w:hAnsi="Arial" w:cs="Arial"/>
          <w:sz w:val="24"/>
          <w:szCs w:val="24"/>
          <w:lang w:eastAsia="en-GB"/>
        </w:rPr>
      </w:pPr>
    </w:p>
    <w:tbl>
      <w:tblPr>
        <w:tblW w:w="12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5"/>
        <w:gridCol w:w="2340"/>
        <w:gridCol w:w="1335"/>
        <w:gridCol w:w="2211"/>
        <w:gridCol w:w="1274"/>
        <w:gridCol w:w="4230"/>
      </w:tblGrid>
      <w:tr w:rsidR="00BA1595" w:rsidRPr="009D54AD" w14:paraId="478F30CF" w14:textId="77777777" w:rsidTr="00A37B5B">
        <w:trPr>
          <w:trHeight w:val="373"/>
          <w:tblHeader/>
          <w:jc w:val="center"/>
        </w:trPr>
        <w:tc>
          <w:tcPr>
            <w:tcW w:w="715" w:type="dxa"/>
            <w:shd w:val="clear" w:color="auto" w:fill="BFBFBF" w:themeFill="background1" w:themeFillShade="BF"/>
          </w:tcPr>
          <w:p w14:paraId="27B58FB1" w14:textId="77777777" w:rsidR="00BA1595" w:rsidRPr="009D54AD" w:rsidRDefault="00BA1595" w:rsidP="00685F4E">
            <w:pPr>
              <w:widowControl w:val="0"/>
              <w:spacing w:after="0"/>
              <w:jc w:val="center"/>
              <w:rPr>
                <w:rFonts w:ascii="Arial" w:eastAsia="SimSun" w:hAnsi="Arial" w:cs="Arial"/>
                <w:b/>
                <w:sz w:val="20"/>
                <w:szCs w:val="20"/>
                <w:lang w:eastAsia="en-GB"/>
              </w:rPr>
            </w:pPr>
            <w:r w:rsidRPr="009D54AD">
              <w:rPr>
                <w:rFonts w:ascii="Arial" w:eastAsia="SimSun" w:hAnsi="Arial" w:cs="Arial"/>
                <w:b/>
                <w:sz w:val="20"/>
                <w:szCs w:val="20"/>
                <w:lang w:eastAsia="en-GB"/>
              </w:rPr>
              <w:t>Part</w:t>
            </w:r>
          </w:p>
        </w:tc>
        <w:tc>
          <w:tcPr>
            <w:tcW w:w="2340" w:type="dxa"/>
            <w:shd w:val="clear" w:color="auto" w:fill="BFBFBF" w:themeFill="background1" w:themeFillShade="BF"/>
          </w:tcPr>
          <w:p w14:paraId="7B564AF8" w14:textId="77777777" w:rsidR="00BA1595" w:rsidRPr="009D54AD" w:rsidRDefault="00BA1595" w:rsidP="00685F4E">
            <w:pPr>
              <w:widowControl w:val="0"/>
              <w:spacing w:after="0"/>
              <w:rPr>
                <w:rFonts w:ascii="Arial" w:eastAsia="SimSun" w:hAnsi="Arial" w:cs="Arial"/>
                <w:b/>
                <w:sz w:val="20"/>
                <w:szCs w:val="20"/>
                <w:lang w:eastAsia="en-GB"/>
              </w:rPr>
            </w:pPr>
            <w:r w:rsidRPr="009D54AD">
              <w:rPr>
                <w:rFonts w:ascii="Arial" w:eastAsia="SimSun" w:hAnsi="Arial" w:cs="Arial"/>
                <w:b/>
                <w:sz w:val="20"/>
                <w:szCs w:val="20"/>
                <w:lang w:eastAsia="en-GB"/>
              </w:rPr>
              <w:t>SQ Evaluation Criteria</w:t>
            </w:r>
          </w:p>
        </w:tc>
        <w:tc>
          <w:tcPr>
            <w:tcW w:w="1335" w:type="dxa"/>
            <w:shd w:val="clear" w:color="auto" w:fill="BFBFBF" w:themeFill="background1" w:themeFillShade="BF"/>
          </w:tcPr>
          <w:p w14:paraId="38870BD9" w14:textId="77777777" w:rsidR="00BA1595" w:rsidRPr="009D54AD" w:rsidRDefault="00BA1595" w:rsidP="00685F4E">
            <w:pPr>
              <w:widowControl w:val="0"/>
              <w:spacing w:after="0"/>
              <w:jc w:val="center"/>
              <w:rPr>
                <w:rFonts w:ascii="Arial" w:eastAsia="SimSun" w:hAnsi="Arial" w:cs="Arial"/>
                <w:b/>
                <w:sz w:val="20"/>
                <w:szCs w:val="20"/>
                <w:lang w:eastAsia="en-GB"/>
              </w:rPr>
            </w:pPr>
            <w:r w:rsidRPr="009D54AD">
              <w:rPr>
                <w:rFonts w:ascii="Arial" w:eastAsia="SimSun" w:hAnsi="Arial" w:cs="Arial"/>
                <w:b/>
                <w:sz w:val="20"/>
                <w:szCs w:val="20"/>
                <w:lang w:eastAsia="en-GB"/>
              </w:rPr>
              <w:t>Question(s)</w:t>
            </w:r>
          </w:p>
        </w:tc>
        <w:tc>
          <w:tcPr>
            <w:tcW w:w="2211" w:type="dxa"/>
            <w:shd w:val="clear" w:color="auto" w:fill="BFBFBF" w:themeFill="background1" w:themeFillShade="BF"/>
          </w:tcPr>
          <w:p w14:paraId="2FDE5222" w14:textId="77777777" w:rsidR="00BA1595" w:rsidRPr="009D54AD" w:rsidRDefault="00BA1595" w:rsidP="00685F4E">
            <w:pPr>
              <w:widowControl w:val="0"/>
              <w:spacing w:after="0"/>
              <w:rPr>
                <w:rFonts w:ascii="Arial" w:eastAsia="SimSun" w:hAnsi="Arial" w:cs="Arial"/>
                <w:b/>
                <w:sz w:val="20"/>
                <w:szCs w:val="20"/>
                <w:lang w:eastAsia="en-GB"/>
              </w:rPr>
            </w:pPr>
            <w:r w:rsidRPr="009D54AD">
              <w:rPr>
                <w:rFonts w:ascii="Arial" w:eastAsia="SimSun" w:hAnsi="Arial" w:cs="Arial"/>
                <w:b/>
                <w:sz w:val="20"/>
                <w:szCs w:val="20"/>
                <w:lang w:eastAsia="en-GB"/>
              </w:rPr>
              <w:t>SQ Sub Criteria</w:t>
            </w:r>
          </w:p>
        </w:tc>
        <w:tc>
          <w:tcPr>
            <w:tcW w:w="1274" w:type="dxa"/>
            <w:shd w:val="clear" w:color="auto" w:fill="BFBFBF" w:themeFill="background1" w:themeFillShade="BF"/>
          </w:tcPr>
          <w:p w14:paraId="7F01B512" w14:textId="77777777" w:rsidR="00BA1595" w:rsidRPr="009D54AD" w:rsidRDefault="00BA1595" w:rsidP="00685F4E">
            <w:pPr>
              <w:widowControl w:val="0"/>
              <w:spacing w:after="0"/>
              <w:rPr>
                <w:rFonts w:ascii="Arial" w:eastAsia="SimSun" w:hAnsi="Arial" w:cs="Arial"/>
                <w:b/>
                <w:sz w:val="20"/>
                <w:szCs w:val="20"/>
                <w:lang w:eastAsia="en-GB"/>
              </w:rPr>
            </w:pPr>
            <w:r w:rsidRPr="009D54AD">
              <w:rPr>
                <w:rFonts w:ascii="Arial" w:eastAsia="SimSun" w:hAnsi="Arial" w:cs="Arial"/>
                <w:b/>
                <w:sz w:val="20"/>
                <w:szCs w:val="20"/>
                <w:lang w:eastAsia="en-GB"/>
              </w:rPr>
              <w:t>Weighting</w:t>
            </w:r>
          </w:p>
        </w:tc>
        <w:tc>
          <w:tcPr>
            <w:tcW w:w="4230" w:type="dxa"/>
            <w:shd w:val="clear" w:color="auto" w:fill="BFBFBF" w:themeFill="background1" w:themeFillShade="BF"/>
          </w:tcPr>
          <w:p w14:paraId="7F8C61C1" w14:textId="77777777" w:rsidR="00BA1595" w:rsidRPr="009D54AD" w:rsidRDefault="00BA1595" w:rsidP="00685F4E">
            <w:pPr>
              <w:widowControl w:val="0"/>
              <w:spacing w:after="0"/>
              <w:rPr>
                <w:rFonts w:ascii="Arial" w:eastAsia="SimSun" w:hAnsi="Arial" w:cs="Arial"/>
                <w:b/>
                <w:sz w:val="20"/>
                <w:szCs w:val="20"/>
                <w:lang w:eastAsia="en-GB"/>
              </w:rPr>
            </w:pPr>
            <w:r w:rsidRPr="009D54AD">
              <w:rPr>
                <w:rFonts w:ascii="Arial" w:eastAsia="SimSun" w:hAnsi="Arial" w:cs="Arial"/>
                <w:b/>
                <w:sz w:val="20"/>
                <w:szCs w:val="20"/>
                <w:lang w:eastAsia="en-GB"/>
              </w:rPr>
              <w:t>Evaluation Methodology</w:t>
            </w:r>
          </w:p>
        </w:tc>
      </w:tr>
      <w:tr w:rsidR="00BA1595" w:rsidRPr="009D54AD" w14:paraId="35728913" w14:textId="77777777" w:rsidTr="00A37B5B">
        <w:trPr>
          <w:trHeight w:val="300"/>
          <w:jc w:val="center"/>
        </w:trPr>
        <w:tc>
          <w:tcPr>
            <w:tcW w:w="715" w:type="dxa"/>
            <w:vMerge w:val="restart"/>
          </w:tcPr>
          <w:p w14:paraId="5B504D3D" w14:textId="77777777" w:rsidR="00BA1595" w:rsidRPr="009D54AD" w:rsidRDefault="00BA1595" w:rsidP="00685F4E">
            <w:pPr>
              <w:widowControl w:val="0"/>
              <w:spacing w:after="0"/>
              <w:jc w:val="center"/>
              <w:rPr>
                <w:rFonts w:ascii="Arial" w:eastAsia="Times New Roman" w:hAnsi="Arial" w:cs="Arial"/>
                <w:sz w:val="20"/>
                <w:szCs w:val="20"/>
                <w:lang w:eastAsia="en-GB"/>
              </w:rPr>
            </w:pPr>
            <w:r w:rsidRPr="009D54AD">
              <w:rPr>
                <w:rFonts w:ascii="Arial" w:eastAsia="SimSun" w:hAnsi="Arial" w:cs="Arial"/>
                <w:sz w:val="20"/>
                <w:szCs w:val="20"/>
                <w:lang w:eastAsia="en-GB"/>
              </w:rPr>
              <w:t>1</w:t>
            </w:r>
          </w:p>
        </w:tc>
        <w:tc>
          <w:tcPr>
            <w:tcW w:w="2340" w:type="dxa"/>
            <w:vMerge w:val="restart"/>
          </w:tcPr>
          <w:p w14:paraId="32B00769" w14:textId="73380A12" w:rsidR="00BA1595" w:rsidRPr="009D54AD" w:rsidRDefault="00BA1595" w:rsidP="00685F4E">
            <w:pPr>
              <w:widowControl w:val="0"/>
              <w:spacing w:after="0"/>
              <w:rPr>
                <w:rFonts w:ascii="Arial" w:eastAsia="SimSun" w:hAnsi="Arial" w:cs="Arial"/>
                <w:sz w:val="20"/>
                <w:szCs w:val="20"/>
                <w:lang w:eastAsia="en-GB"/>
              </w:rPr>
            </w:pPr>
            <w:r w:rsidRPr="009D54AD">
              <w:rPr>
                <w:rFonts w:ascii="Arial" w:eastAsia="SimSun" w:hAnsi="Arial" w:cs="Arial"/>
                <w:sz w:val="20"/>
                <w:szCs w:val="20"/>
                <w:lang w:eastAsia="en-GB"/>
              </w:rPr>
              <w:t xml:space="preserve">Potential </w:t>
            </w:r>
            <w:r w:rsidR="003620D4">
              <w:rPr>
                <w:rFonts w:ascii="Arial" w:eastAsia="SimSun" w:hAnsi="Arial" w:cs="Arial"/>
                <w:sz w:val="20"/>
                <w:szCs w:val="20"/>
                <w:lang w:eastAsia="en-GB"/>
              </w:rPr>
              <w:t>Supplier I</w:t>
            </w:r>
            <w:r w:rsidRPr="009D54AD">
              <w:rPr>
                <w:rFonts w:ascii="Arial" w:eastAsia="SimSun" w:hAnsi="Arial" w:cs="Arial"/>
                <w:sz w:val="20"/>
                <w:szCs w:val="20"/>
                <w:lang w:eastAsia="en-GB"/>
              </w:rPr>
              <w:t xml:space="preserve">nformation </w:t>
            </w:r>
          </w:p>
          <w:p w14:paraId="2619105A" w14:textId="77777777" w:rsidR="00BA1595" w:rsidRPr="009D54AD" w:rsidRDefault="00BA1595" w:rsidP="00685F4E">
            <w:pPr>
              <w:widowControl w:val="0"/>
              <w:spacing w:after="0"/>
              <w:rPr>
                <w:rFonts w:ascii="Arial" w:eastAsia="Times New Roman" w:hAnsi="Arial" w:cs="Arial"/>
                <w:sz w:val="20"/>
                <w:szCs w:val="20"/>
                <w:lang w:eastAsia="en-GB"/>
              </w:rPr>
            </w:pPr>
          </w:p>
        </w:tc>
        <w:tc>
          <w:tcPr>
            <w:tcW w:w="1335" w:type="dxa"/>
          </w:tcPr>
          <w:p w14:paraId="2A9511EE" w14:textId="77777777" w:rsidR="00BA1595" w:rsidRPr="009D54AD" w:rsidRDefault="00BA1595" w:rsidP="00685F4E">
            <w:pPr>
              <w:widowControl w:val="0"/>
              <w:spacing w:after="0"/>
              <w:jc w:val="center"/>
              <w:rPr>
                <w:rFonts w:ascii="Arial" w:eastAsia="Times New Roman" w:hAnsi="Arial" w:cs="Arial"/>
                <w:sz w:val="20"/>
                <w:szCs w:val="20"/>
                <w:lang w:eastAsia="en-GB"/>
              </w:rPr>
            </w:pPr>
            <w:r w:rsidRPr="009D54AD">
              <w:rPr>
                <w:rFonts w:ascii="Arial" w:eastAsia="SimSun" w:hAnsi="Arial" w:cs="Arial"/>
                <w:sz w:val="20"/>
                <w:szCs w:val="20"/>
                <w:lang w:eastAsia="en-GB"/>
              </w:rPr>
              <w:t>1.1</w:t>
            </w:r>
          </w:p>
        </w:tc>
        <w:tc>
          <w:tcPr>
            <w:tcW w:w="2211" w:type="dxa"/>
          </w:tcPr>
          <w:p w14:paraId="33DDAB02" w14:textId="77777777" w:rsidR="00BA1595" w:rsidRPr="009D54AD" w:rsidRDefault="00BA1595" w:rsidP="00685F4E">
            <w:pPr>
              <w:widowControl w:val="0"/>
              <w:spacing w:after="0"/>
              <w:rPr>
                <w:rFonts w:ascii="Arial" w:eastAsia="Times New Roman" w:hAnsi="Arial" w:cs="Arial"/>
                <w:sz w:val="20"/>
                <w:szCs w:val="20"/>
                <w:lang w:eastAsia="en-GB"/>
              </w:rPr>
            </w:pPr>
            <w:r>
              <w:rPr>
                <w:rFonts w:ascii="Arial" w:eastAsia="SimSun" w:hAnsi="Arial" w:cs="Arial"/>
                <w:sz w:val="20"/>
                <w:szCs w:val="20"/>
                <w:lang w:eastAsia="en-GB"/>
              </w:rPr>
              <w:t>Potential supplier information</w:t>
            </w:r>
            <w:r w:rsidRPr="009D54AD">
              <w:rPr>
                <w:rFonts w:ascii="Arial" w:eastAsia="SimSun" w:hAnsi="Arial" w:cs="Arial"/>
                <w:sz w:val="20"/>
                <w:szCs w:val="20"/>
                <w:lang w:eastAsia="en-GB"/>
              </w:rPr>
              <w:t xml:space="preserve"> </w:t>
            </w:r>
          </w:p>
        </w:tc>
        <w:tc>
          <w:tcPr>
            <w:tcW w:w="1274" w:type="dxa"/>
          </w:tcPr>
          <w:p w14:paraId="59F63382" w14:textId="77777777" w:rsidR="00BA1595" w:rsidRPr="009D54AD" w:rsidRDefault="00BA1595" w:rsidP="00685F4E">
            <w:pPr>
              <w:spacing w:after="0"/>
              <w:jc w:val="center"/>
              <w:rPr>
                <w:rFonts w:ascii="Arial" w:eastAsia="SimSun" w:hAnsi="Arial" w:cs="Arial"/>
                <w:sz w:val="20"/>
                <w:szCs w:val="20"/>
                <w:lang w:eastAsia="en-GB"/>
              </w:rPr>
            </w:pPr>
            <w:r>
              <w:rPr>
                <w:rFonts w:ascii="Arial" w:eastAsia="SimSun" w:hAnsi="Arial" w:cs="Arial"/>
                <w:sz w:val="20"/>
                <w:szCs w:val="20"/>
                <w:lang w:eastAsia="en-GB"/>
              </w:rPr>
              <w:t>N/A</w:t>
            </w:r>
          </w:p>
        </w:tc>
        <w:tc>
          <w:tcPr>
            <w:tcW w:w="4230" w:type="dxa"/>
          </w:tcPr>
          <w:p w14:paraId="5522DC84" w14:textId="77777777" w:rsidR="00BA1595" w:rsidRPr="009D54AD" w:rsidRDefault="00BA1595" w:rsidP="00685F4E">
            <w:pPr>
              <w:spacing w:after="0"/>
              <w:rPr>
                <w:rFonts w:ascii="Arial" w:eastAsia="SimSun" w:hAnsi="Arial" w:cs="Arial"/>
                <w:sz w:val="16"/>
                <w:szCs w:val="16"/>
                <w:lang w:eastAsia="en-GB"/>
              </w:rPr>
            </w:pPr>
            <w:r>
              <w:rPr>
                <w:rFonts w:ascii="Arial" w:eastAsia="SimSun" w:hAnsi="Arial" w:cs="Arial"/>
                <w:sz w:val="20"/>
                <w:szCs w:val="20"/>
                <w:lang w:eastAsia="en-GB"/>
              </w:rPr>
              <w:t>For information only</w:t>
            </w:r>
          </w:p>
        </w:tc>
      </w:tr>
      <w:tr w:rsidR="00BA1595" w:rsidRPr="009D54AD" w14:paraId="774E9FFE" w14:textId="77777777" w:rsidTr="00A37B5B">
        <w:trPr>
          <w:trHeight w:val="300"/>
          <w:jc w:val="center"/>
        </w:trPr>
        <w:tc>
          <w:tcPr>
            <w:tcW w:w="715" w:type="dxa"/>
            <w:vMerge/>
          </w:tcPr>
          <w:p w14:paraId="06015E92" w14:textId="77777777" w:rsidR="00BA1595" w:rsidRPr="009D54AD" w:rsidRDefault="00BA1595" w:rsidP="00685F4E">
            <w:pPr>
              <w:spacing w:after="0"/>
              <w:jc w:val="center"/>
              <w:rPr>
                <w:rFonts w:ascii="Arial" w:eastAsia="SimSun" w:hAnsi="Arial" w:cs="Arial"/>
                <w:sz w:val="20"/>
                <w:szCs w:val="20"/>
              </w:rPr>
            </w:pPr>
          </w:p>
        </w:tc>
        <w:tc>
          <w:tcPr>
            <w:tcW w:w="2340" w:type="dxa"/>
            <w:vMerge/>
          </w:tcPr>
          <w:p w14:paraId="7D95B125" w14:textId="77777777" w:rsidR="00BA1595" w:rsidRPr="009D54AD" w:rsidRDefault="00BA1595" w:rsidP="00685F4E">
            <w:pPr>
              <w:spacing w:after="0"/>
              <w:rPr>
                <w:rFonts w:ascii="Arial" w:eastAsia="SimSun" w:hAnsi="Arial" w:cs="Arial"/>
                <w:sz w:val="20"/>
                <w:szCs w:val="20"/>
              </w:rPr>
            </w:pPr>
          </w:p>
        </w:tc>
        <w:tc>
          <w:tcPr>
            <w:tcW w:w="1335" w:type="dxa"/>
          </w:tcPr>
          <w:p w14:paraId="72B9DBCA" w14:textId="77777777" w:rsidR="00BA1595" w:rsidRPr="009D54AD" w:rsidRDefault="00BA1595" w:rsidP="00685F4E">
            <w:pPr>
              <w:widowControl w:val="0"/>
              <w:spacing w:after="0"/>
              <w:jc w:val="center"/>
              <w:rPr>
                <w:rFonts w:ascii="Arial" w:eastAsia="Times New Roman" w:hAnsi="Arial" w:cs="Arial"/>
                <w:sz w:val="20"/>
                <w:szCs w:val="20"/>
                <w:lang w:eastAsia="en-GB"/>
              </w:rPr>
            </w:pPr>
            <w:r w:rsidRPr="009D54AD">
              <w:rPr>
                <w:rFonts w:ascii="Arial" w:eastAsia="SimSun" w:hAnsi="Arial" w:cs="Arial"/>
                <w:sz w:val="20"/>
                <w:szCs w:val="20"/>
                <w:lang w:eastAsia="en-GB"/>
              </w:rPr>
              <w:t>1.2</w:t>
            </w:r>
          </w:p>
        </w:tc>
        <w:tc>
          <w:tcPr>
            <w:tcW w:w="2211" w:type="dxa"/>
          </w:tcPr>
          <w:p w14:paraId="5F31BE41" w14:textId="77777777" w:rsidR="00BA1595" w:rsidRPr="009D54AD" w:rsidRDefault="00BA1595" w:rsidP="00685F4E">
            <w:pPr>
              <w:widowControl w:val="0"/>
              <w:spacing w:after="0"/>
              <w:rPr>
                <w:rFonts w:ascii="Arial" w:eastAsia="Times New Roman" w:hAnsi="Arial" w:cs="Arial"/>
                <w:sz w:val="20"/>
                <w:szCs w:val="20"/>
                <w:lang w:eastAsia="en-GB"/>
              </w:rPr>
            </w:pPr>
            <w:r w:rsidRPr="009D54AD">
              <w:rPr>
                <w:rFonts w:ascii="Arial" w:eastAsia="SimSun" w:hAnsi="Arial" w:cs="Arial"/>
                <w:sz w:val="20"/>
                <w:szCs w:val="20"/>
                <w:lang w:eastAsia="en-GB"/>
              </w:rPr>
              <w:t>Bidding model</w:t>
            </w:r>
          </w:p>
        </w:tc>
        <w:tc>
          <w:tcPr>
            <w:tcW w:w="1274" w:type="dxa"/>
          </w:tcPr>
          <w:p w14:paraId="125CB6C8" w14:textId="77777777" w:rsidR="00BA1595" w:rsidRPr="009D54AD" w:rsidRDefault="00BA1595" w:rsidP="00685F4E">
            <w:pPr>
              <w:spacing w:after="0"/>
              <w:jc w:val="center"/>
              <w:rPr>
                <w:rFonts w:ascii="Arial" w:eastAsia="SimSun" w:hAnsi="Arial" w:cs="Arial"/>
                <w:sz w:val="20"/>
                <w:szCs w:val="20"/>
                <w:lang w:eastAsia="en-GB"/>
              </w:rPr>
            </w:pPr>
            <w:r>
              <w:rPr>
                <w:rFonts w:ascii="Arial" w:eastAsia="SimSun" w:hAnsi="Arial" w:cs="Arial"/>
                <w:sz w:val="20"/>
                <w:szCs w:val="20"/>
                <w:lang w:eastAsia="en-GB"/>
              </w:rPr>
              <w:t>N/A</w:t>
            </w:r>
          </w:p>
        </w:tc>
        <w:tc>
          <w:tcPr>
            <w:tcW w:w="4230" w:type="dxa"/>
          </w:tcPr>
          <w:p w14:paraId="09DCD11B" w14:textId="77777777" w:rsidR="00BA1595" w:rsidRPr="009D54AD" w:rsidRDefault="00BA1595" w:rsidP="00685F4E">
            <w:pPr>
              <w:spacing w:after="0"/>
              <w:rPr>
                <w:rFonts w:ascii="Arial" w:eastAsia="SimSun" w:hAnsi="Arial" w:cs="Arial"/>
                <w:sz w:val="16"/>
                <w:szCs w:val="16"/>
                <w:lang w:eastAsia="en-GB"/>
              </w:rPr>
            </w:pPr>
            <w:r>
              <w:rPr>
                <w:rFonts w:ascii="Arial" w:eastAsia="SimSun" w:hAnsi="Arial" w:cs="Arial"/>
                <w:sz w:val="20"/>
                <w:szCs w:val="20"/>
                <w:lang w:eastAsia="en-GB"/>
              </w:rPr>
              <w:t>For information only</w:t>
            </w:r>
          </w:p>
        </w:tc>
      </w:tr>
      <w:tr w:rsidR="00BA1595" w:rsidRPr="009D54AD" w14:paraId="2916FEB6" w14:textId="77777777" w:rsidTr="00A37B5B">
        <w:trPr>
          <w:trHeight w:val="315"/>
          <w:jc w:val="center"/>
        </w:trPr>
        <w:tc>
          <w:tcPr>
            <w:tcW w:w="715" w:type="dxa"/>
            <w:vMerge/>
          </w:tcPr>
          <w:p w14:paraId="1E5CD367" w14:textId="77777777" w:rsidR="00BA1595" w:rsidRPr="009D54AD" w:rsidRDefault="00BA1595" w:rsidP="00685F4E">
            <w:pPr>
              <w:widowControl w:val="0"/>
              <w:spacing w:after="0"/>
              <w:jc w:val="center"/>
              <w:rPr>
                <w:rFonts w:ascii="Arial" w:eastAsia="Times New Roman" w:hAnsi="Arial" w:cs="Arial"/>
                <w:sz w:val="20"/>
                <w:szCs w:val="20"/>
                <w:lang w:eastAsia="en-GB"/>
              </w:rPr>
            </w:pPr>
          </w:p>
        </w:tc>
        <w:tc>
          <w:tcPr>
            <w:tcW w:w="2340" w:type="dxa"/>
          </w:tcPr>
          <w:p w14:paraId="6A26E145" w14:textId="77777777" w:rsidR="00BA1595" w:rsidRPr="009D54AD" w:rsidRDefault="00BA1595" w:rsidP="00685F4E">
            <w:pPr>
              <w:spacing w:after="0"/>
              <w:rPr>
                <w:rFonts w:ascii="Arial" w:eastAsia="SimSun" w:hAnsi="Arial" w:cs="Arial"/>
                <w:sz w:val="20"/>
                <w:szCs w:val="20"/>
                <w:lang w:eastAsia="en-GB"/>
              </w:rPr>
            </w:pPr>
            <w:r w:rsidRPr="009D54AD">
              <w:rPr>
                <w:rFonts w:ascii="Arial" w:eastAsia="SimSun" w:hAnsi="Arial" w:cs="Arial"/>
                <w:sz w:val="20"/>
                <w:szCs w:val="20"/>
                <w:lang w:eastAsia="en-GB"/>
              </w:rPr>
              <w:t>Declaration</w:t>
            </w:r>
          </w:p>
        </w:tc>
        <w:tc>
          <w:tcPr>
            <w:tcW w:w="1335" w:type="dxa"/>
          </w:tcPr>
          <w:p w14:paraId="709CFF83" w14:textId="46AC93C5" w:rsidR="00BA1595" w:rsidRPr="00F75004" w:rsidRDefault="622D3F84" w:rsidP="00685F4E">
            <w:pPr>
              <w:widowControl w:val="0"/>
              <w:spacing w:after="0"/>
              <w:jc w:val="center"/>
              <w:rPr>
                <w:rFonts w:ascii="Arial" w:eastAsia="SimSun" w:hAnsi="Arial" w:cs="Arial"/>
                <w:sz w:val="20"/>
                <w:szCs w:val="20"/>
                <w:lang w:eastAsia="en-GB"/>
              </w:rPr>
            </w:pPr>
            <w:r w:rsidRPr="009D54AD">
              <w:rPr>
                <w:rFonts w:ascii="Arial" w:eastAsia="SimSun" w:hAnsi="Arial" w:cs="Arial"/>
                <w:sz w:val="20"/>
                <w:szCs w:val="20"/>
                <w:lang w:eastAsia="en-GB"/>
              </w:rPr>
              <w:t>1.3</w:t>
            </w:r>
          </w:p>
        </w:tc>
        <w:tc>
          <w:tcPr>
            <w:tcW w:w="2211" w:type="dxa"/>
          </w:tcPr>
          <w:p w14:paraId="52033090" w14:textId="1598AE8A" w:rsidR="00BA1595" w:rsidRPr="009D54AD" w:rsidRDefault="003620D4" w:rsidP="00685F4E">
            <w:pPr>
              <w:widowControl w:val="0"/>
              <w:spacing w:after="0"/>
              <w:rPr>
                <w:rFonts w:ascii="Arial" w:eastAsia="Times New Roman" w:hAnsi="Arial" w:cs="Arial"/>
                <w:sz w:val="20"/>
                <w:szCs w:val="20"/>
                <w:lang w:eastAsia="en-GB"/>
              </w:rPr>
            </w:pPr>
            <w:r>
              <w:rPr>
                <w:rFonts w:ascii="Arial" w:eastAsia="SimSun" w:hAnsi="Arial" w:cs="Arial"/>
                <w:sz w:val="20"/>
                <w:szCs w:val="20"/>
                <w:lang w:eastAsia="en-GB"/>
              </w:rPr>
              <w:t>Contact details and declaration</w:t>
            </w:r>
          </w:p>
        </w:tc>
        <w:tc>
          <w:tcPr>
            <w:tcW w:w="1274" w:type="dxa"/>
          </w:tcPr>
          <w:p w14:paraId="5F6AD469" w14:textId="77777777" w:rsidR="00BA1595" w:rsidRPr="009D54AD" w:rsidRDefault="00BA1595" w:rsidP="00685F4E">
            <w:pPr>
              <w:spacing w:after="0"/>
              <w:jc w:val="center"/>
              <w:rPr>
                <w:rFonts w:ascii="Arial" w:eastAsia="SimSun" w:hAnsi="Arial" w:cs="Arial"/>
                <w:sz w:val="20"/>
                <w:szCs w:val="20"/>
                <w:lang w:eastAsia="en-GB"/>
              </w:rPr>
            </w:pPr>
            <w:r>
              <w:rPr>
                <w:rFonts w:ascii="Arial" w:eastAsia="SimSun" w:hAnsi="Arial" w:cs="Arial"/>
                <w:sz w:val="20"/>
                <w:szCs w:val="20"/>
                <w:lang w:eastAsia="en-GB"/>
              </w:rPr>
              <w:t>N/A</w:t>
            </w:r>
          </w:p>
        </w:tc>
        <w:tc>
          <w:tcPr>
            <w:tcW w:w="4230" w:type="dxa"/>
          </w:tcPr>
          <w:p w14:paraId="2063A0A8" w14:textId="77777777" w:rsidR="00BA1595" w:rsidRPr="009D54AD" w:rsidRDefault="00BA1595" w:rsidP="00685F4E">
            <w:pPr>
              <w:spacing w:after="0"/>
              <w:rPr>
                <w:rFonts w:ascii="Arial" w:eastAsia="SimSun" w:hAnsi="Arial" w:cs="Arial"/>
                <w:sz w:val="20"/>
                <w:szCs w:val="20"/>
                <w:lang w:eastAsia="en-GB"/>
              </w:rPr>
            </w:pPr>
            <w:r>
              <w:rPr>
                <w:rFonts w:ascii="Arial" w:eastAsia="SimSun" w:hAnsi="Arial" w:cs="Arial"/>
                <w:sz w:val="20"/>
                <w:szCs w:val="20"/>
                <w:lang w:eastAsia="en-GB"/>
              </w:rPr>
              <w:t>For information only</w:t>
            </w:r>
          </w:p>
        </w:tc>
      </w:tr>
      <w:tr w:rsidR="003620D4" w:rsidRPr="009D54AD" w14:paraId="65FD3AEE" w14:textId="77777777" w:rsidTr="00A37B5B">
        <w:trPr>
          <w:trHeight w:val="300"/>
          <w:jc w:val="center"/>
        </w:trPr>
        <w:tc>
          <w:tcPr>
            <w:tcW w:w="715" w:type="dxa"/>
            <w:vMerge w:val="restart"/>
          </w:tcPr>
          <w:p w14:paraId="72365000" w14:textId="77777777" w:rsidR="003620D4" w:rsidRPr="009D54AD" w:rsidRDefault="003620D4" w:rsidP="00685F4E">
            <w:pPr>
              <w:widowControl w:val="0"/>
              <w:spacing w:after="0"/>
              <w:jc w:val="center"/>
              <w:rPr>
                <w:rFonts w:ascii="Arial" w:eastAsia="Times New Roman" w:hAnsi="Arial" w:cs="Arial"/>
                <w:sz w:val="20"/>
                <w:szCs w:val="20"/>
                <w:lang w:eastAsia="en-GB"/>
              </w:rPr>
            </w:pPr>
            <w:r w:rsidRPr="009D54AD">
              <w:rPr>
                <w:rFonts w:ascii="Arial" w:eastAsia="SimSun" w:hAnsi="Arial" w:cs="Arial"/>
                <w:sz w:val="20"/>
                <w:szCs w:val="20"/>
                <w:lang w:eastAsia="en-GB"/>
              </w:rPr>
              <w:t>2</w:t>
            </w:r>
          </w:p>
          <w:p w14:paraId="28A7FF92" w14:textId="77777777" w:rsidR="003620D4" w:rsidRPr="009D54AD" w:rsidRDefault="003620D4" w:rsidP="00685F4E">
            <w:pPr>
              <w:widowControl w:val="0"/>
              <w:spacing w:after="0"/>
              <w:jc w:val="center"/>
              <w:rPr>
                <w:rFonts w:ascii="Arial" w:eastAsia="Times New Roman" w:hAnsi="Arial" w:cs="Arial"/>
                <w:sz w:val="20"/>
                <w:szCs w:val="20"/>
                <w:lang w:eastAsia="en-GB"/>
              </w:rPr>
            </w:pPr>
          </w:p>
        </w:tc>
        <w:tc>
          <w:tcPr>
            <w:tcW w:w="2340" w:type="dxa"/>
            <w:vMerge w:val="restart"/>
          </w:tcPr>
          <w:p w14:paraId="50044959" w14:textId="77777777" w:rsidR="003620D4" w:rsidRPr="009D54AD" w:rsidRDefault="003620D4" w:rsidP="00685F4E">
            <w:pPr>
              <w:widowControl w:val="0"/>
              <w:spacing w:after="0"/>
              <w:rPr>
                <w:rFonts w:ascii="Arial" w:eastAsia="Times New Roman" w:hAnsi="Arial" w:cs="Arial"/>
                <w:sz w:val="20"/>
                <w:szCs w:val="20"/>
                <w:lang w:eastAsia="en-GB"/>
              </w:rPr>
            </w:pPr>
            <w:r w:rsidRPr="009D54AD">
              <w:rPr>
                <w:rFonts w:ascii="Arial" w:eastAsia="SimSun" w:hAnsi="Arial" w:cs="Arial"/>
                <w:sz w:val="20"/>
                <w:szCs w:val="20"/>
                <w:lang w:eastAsia="en-GB"/>
              </w:rPr>
              <w:t>Grounds for Mandatory Rejection</w:t>
            </w:r>
          </w:p>
        </w:tc>
        <w:tc>
          <w:tcPr>
            <w:tcW w:w="1335" w:type="dxa"/>
          </w:tcPr>
          <w:p w14:paraId="4F7EB5D8" w14:textId="77777777" w:rsidR="003620D4" w:rsidRPr="009D54AD" w:rsidRDefault="003620D4" w:rsidP="00685F4E">
            <w:pPr>
              <w:widowControl w:val="0"/>
              <w:spacing w:after="0"/>
              <w:jc w:val="center"/>
              <w:rPr>
                <w:rFonts w:ascii="Arial" w:eastAsia="Times New Roman" w:hAnsi="Arial" w:cs="Arial"/>
                <w:sz w:val="20"/>
                <w:szCs w:val="20"/>
                <w:lang w:eastAsia="en-GB"/>
              </w:rPr>
            </w:pPr>
            <w:r>
              <w:rPr>
                <w:rFonts w:ascii="Arial" w:eastAsia="SimSun" w:hAnsi="Arial" w:cs="Arial"/>
                <w:sz w:val="20"/>
                <w:szCs w:val="20"/>
                <w:lang w:eastAsia="en-GB"/>
              </w:rPr>
              <w:t>2.1</w:t>
            </w:r>
          </w:p>
        </w:tc>
        <w:tc>
          <w:tcPr>
            <w:tcW w:w="2211" w:type="dxa"/>
            <w:vMerge w:val="restart"/>
          </w:tcPr>
          <w:p w14:paraId="792F075F" w14:textId="77777777" w:rsidR="003620D4" w:rsidRPr="009D54AD" w:rsidRDefault="003620D4" w:rsidP="00685F4E">
            <w:pPr>
              <w:widowControl w:val="0"/>
              <w:spacing w:after="0"/>
              <w:rPr>
                <w:rFonts w:ascii="Arial" w:eastAsia="Times New Roman" w:hAnsi="Arial" w:cs="Arial"/>
                <w:sz w:val="20"/>
                <w:szCs w:val="20"/>
                <w:lang w:eastAsia="en-GB"/>
              </w:rPr>
            </w:pPr>
            <w:r>
              <w:rPr>
                <w:rFonts w:ascii="Arial" w:eastAsia="SimSun" w:hAnsi="Arial" w:cs="Arial"/>
                <w:sz w:val="20"/>
                <w:szCs w:val="20"/>
                <w:lang w:eastAsia="en-GB"/>
              </w:rPr>
              <w:t>Grounds for Mandatory Rejection</w:t>
            </w:r>
          </w:p>
          <w:p w14:paraId="1C3AD2F5" w14:textId="7FE6A6BA" w:rsidR="003620D4" w:rsidRPr="009D54AD" w:rsidRDefault="003620D4" w:rsidP="00685F4E">
            <w:pPr>
              <w:widowControl w:val="0"/>
              <w:spacing w:after="0"/>
              <w:rPr>
                <w:rFonts w:ascii="Arial" w:eastAsia="Times New Roman" w:hAnsi="Arial" w:cs="Arial"/>
                <w:sz w:val="20"/>
                <w:szCs w:val="20"/>
                <w:lang w:eastAsia="en-GB"/>
              </w:rPr>
            </w:pPr>
          </w:p>
          <w:p w14:paraId="4B13097E" w14:textId="795E1DDA" w:rsidR="003620D4" w:rsidRPr="009D54AD" w:rsidRDefault="003620D4" w:rsidP="00685F4E">
            <w:pPr>
              <w:widowControl w:val="0"/>
              <w:spacing w:after="0"/>
              <w:rPr>
                <w:rFonts w:ascii="Arial" w:eastAsia="Times New Roman" w:hAnsi="Arial" w:cs="Arial"/>
                <w:sz w:val="20"/>
                <w:szCs w:val="20"/>
                <w:lang w:eastAsia="en-GB"/>
              </w:rPr>
            </w:pPr>
          </w:p>
        </w:tc>
        <w:tc>
          <w:tcPr>
            <w:tcW w:w="1274" w:type="dxa"/>
          </w:tcPr>
          <w:p w14:paraId="34600170" w14:textId="77777777" w:rsidR="003620D4" w:rsidRPr="009D54AD" w:rsidRDefault="003620D4" w:rsidP="00685F4E">
            <w:pPr>
              <w:spacing w:after="0"/>
              <w:jc w:val="center"/>
              <w:rPr>
                <w:rFonts w:ascii="Arial" w:eastAsia="SimSun" w:hAnsi="Arial" w:cs="Arial"/>
                <w:sz w:val="20"/>
                <w:szCs w:val="20"/>
                <w:lang w:eastAsia="en-GB"/>
              </w:rPr>
            </w:pPr>
            <w:r w:rsidRPr="009D54AD">
              <w:rPr>
                <w:rFonts w:ascii="Arial" w:eastAsia="SimSun" w:hAnsi="Arial" w:cs="Arial"/>
                <w:sz w:val="20"/>
                <w:szCs w:val="20"/>
                <w:lang w:eastAsia="en-GB"/>
              </w:rPr>
              <w:t>Pass/Fail</w:t>
            </w:r>
          </w:p>
        </w:tc>
        <w:tc>
          <w:tcPr>
            <w:tcW w:w="4230" w:type="dxa"/>
          </w:tcPr>
          <w:p w14:paraId="6223F748" w14:textId="77777777" w:rsidR="003620D4" w:rsidRDefault="003620D4" w:rsidP="00685F4E">
            <w:pPr>
              <w:spacing w:after="0"/>
              <w:rPr>
                <w:rFonts w:ascii="Arial" w:eastAsia="SimSun" w:hAnsi="Arial" w:cs="Arial"/>
                <w:sz w:val="20"/>
                <w:szCs w:val="20"/>
                <w:lang w:eastAsia="en-GB"/>
              </w:rPr>
            </w:pPr>
            <w:r w:rsidRPr="009D54AD">
              <w:rPr>
                <w:rFonts w:ascii="Arial" w:eastAsia="SimSun" w:hAnsi="Arial" w:cs="Arial"/>
                <w:sz w:val="20"/>
                <w:szCs w:val="20"/>
                <w:lang w:eastAsia="en-GB"/>
              </w:rPr>
              <w:t xml:space="preserve">Yes = </w:t>
            </w:r>
            <w:r>
              <w:rPr>
                <w:rFonts w:ascii="Arial" w:eastAsia="SimSun" w:hAnsi="Arial" w:cs="Arial"/>
                <w:sz w:val="20"/>
                <w:szCs w:val="20"/>
                <w:lang w:eastAsia="en-GB"/>
              </w:rPr>
              <w:t xml:space="preserve">Pass or </w:t>
            </w:r>
            <w:r w:rsidRPr="009D54AD">
              <w:rPr>
                <w:rFonts w:ascii="Arial" w:eastAsia="SimSun" w:hAnsi="Arial" w:cs="Arial"/>
                <w:sz w:val="20"/>
                <w:szCs w:val="20"/>
                <w:lang w:eastAsia="en-GB"/>
              </w:rPr>
              <w:t>Fail</w:t>
            </w:r>
            <w:r>
              <w:rPr>
                <w:rFonts w:ascii="Arial" w:eastAsia="SimSun" w:hAnsi="Arial" w:cs="Arial"/>
                <w:sz w:val="20"/>
                <w:szCs w:val="20"/>
                <w:lang w:eastAsia="en-GB"/>
              </w:rPr>
              <w:t>*</w:t>
            </w:r>
            <w:r w:rsidRPr="009D54AD">
              <w:rPr>
                <w:rFonts w:ascii="Arial" w:eastAsia="SimSun" w:hAnsi="Arial" w:cs="Arial"/>
                <w:sz w:val="20"/>
                <w:szCs w:val="20"/>
                <w:lang w:eastAsia="en-GB"/>
              </w:rPr>
              <w:t xml:space="preserve"> / No = Pass</w:t>
            </w:r>
          </w:p>
          <w:p w14:paraId="18D27DF2" w14:textId="77777777" w:rsidR="003620D4" w:rsidRDefault="003620D4" w:rsidP="00685F4E">
            <w:pPr>
              <w:spacing w:after="0"/>
              <w:rPr>
                <w:rFonts w:ascii="Arial" w:eastAsia="SimSun" w:hAnsi="Arial" w:cs="Arial"/>
                <w:sz w:val="16"/>
                <w:szCs w:val="20"/>
                <w:lang w:eastAsia="en-GB"/>
              </w:rPr>
            </w:pPr>
          </w:p>
          <w:p w14:paraId="5E3658E5" w14:textId="2713683F" w:rsidR="003620D4" w:rsidRPr="00F75004" w:rsidRDefault="003620D4" w:rsidP="00685F4E">
            <w:pPr>
              <w:spacing w:after="0"/>
              <w:rPr>
                <w:rFonts w:ascii="Arial" w:eastAsia="SimSun" w:hAnsi="Arial" w:cs="Arial"/>
                <w:sz w:val="16"/>
                <w:szCs w:val="16"/>
                <w:lang w:eastAsia="en-GB"/>
              </w:rPr>
            </w:pPr>
            <w:r>
              <w:rPr>
                <w:rFonts w:ascii="Arial" w:eastAsia="SimSun" w:hAnsi="Arial" w:cs="Arial"/>
                <w:sz w:val="16"/>
                <w:szCs w:val="16"/>
                <w:lang w:eastAsia="en-GB"/>
              </w:rPr>
              <w:t>*</w:t>
            </w:r>
            <w:r w:rsidRPr="006D2F7C">
              <w:rPr>
                <w:rFonts w:ascii="Arial" w:eastAsia="SimSun" w:hAnsi="Arial" w:cs="Arial"/>
                <w:sz w:val="16"/>
                <w:szCs w:val="16"/>
                <w:lang w:eastAsia="en-GB"/>
              </w:rPr>
              <w:t xml:space="preserve">If answer is Yes, the Authority will read 2.1(b) and consider the nature of the situation, </w:t>
            </w:r>
            <w:r w:rsidR="004E19F0" w:rsidRPr="006D2F7C">
              <w:rPr>
                <w:rFonts w:ascii="Arial" w:eastAsia="SimSun" w:hAnsi="Arial" w:cs="Arial"/>
                <w:sz w:val="16"/>
                <w:szCs w:val="16"/>
                <w:lang w:eastAsia="en-GB"/>
              </w:rPr>
              <w:t>its</w:t>
            </w:r>
            <w:r w:rsidRPr="006D2F7C">
              <w:rPr>
                <w:rFonts w:ascii="Arial" w:eastAsia="SimSun" w:hAnsi="Arial" w:cs="Arial"/>
                <w:sz w:val="16"/>
                <w:szCs w:val="16"/>
                <w:lang w:eastAsia="en-GB"/>
              </w:rPr>
              <w:t xml:space="preserve"> impact upon the Authority’s procurement and whether the conflict can be managed before deciding to pass or fail.</w:t>
            </w:r>
          </w:p>
        </w:tc>
      </w:tr>
      <w:tr w:rsidR="003620D4" w:rsidRPr="009D54AD" w14:paraId="02828A12" w14:textId="77777777" w:rsidTr="00A37B5B">
        <w:trPr>
          <w:trHeight w:val="300"/>
          <w:jc w:val="center"/>
        </w:trPr>
        <w:tc>
          <w:tcPr>
            <w:tcW w:w="715" w:type="dxa"/>
            <w:vMerge/>
          </w:tcPr>
          <w:p w14:paraId="3ECAB253" w14:textId="77777777" w:rsidR="003620D4" w:rsidRPr="009D54AD" w:rsidRDefault="003620D4" w:rsidP="00685F4E">
            <w:pPr>
              <w:widowControl w:val="0"/>
              <w:spacing w:after="0"/>
              <w:jc w:val="center"/>
              <w:rPr>
                <w:rFonts w:ascii="Arial" w:eastAsia="SimSun" w:hAnsi="Arial" w:cs="Arial"/>
                <w:sz w:val="20"/>
                <w:szCs w:val="20"/>
                <w:lang w:eastAsia="en-GB"/>
              </w:rPr>
            </w:pPr>
          </w:p>
        </w:tc>
        <w:tc>
          <w:tcPr>
            <w:tcW w:w="2340" w:type="dxa"/>
            <w:vMerge/>
          </w:tcPr>
          <w:p w14:paraId="0127E948" w14:textId="77777777" w:rsidR="003620D4" w:rsidRPr="009D54AD" w:rsidRDefault="003620D4" w:rsidP="00685F4E">
            <w:pPr>
              <w:widowControl w:val="0"/>
              <w:spacing w:after="0"/>
              <w:rPr>
                <w:rFonts w:ascii="Arial" w:eastAsia="SimSun" w:hAnsi="Arial" w:cs="Arial"/>
                <w:sz w:val="20"/>
                <w:szCs w:val="20"/>
                <w:lang w:eastAsia="en-GB"/>
              </w:rPr>
            </w:pPr>
          </w:p>
        </w:tc>
        <w:tc>
          <w:tcPr>
            <w:tcW w:w="1335" w:type="dxa"/>
          </w:tcPr>
          <w:p w14:paraId="732D1B70" w14:textId="77777777" w:rsidR="003620D4" w:rsidRPr="009D54AD" w:rsidRDefault="003620D4" w:rsidP="00685F4E">
            <w:pPr>
              <w:widowControl w:val="0"/>
              <w:spacing w:after="0"/>
              <w:jc w:val="center"/>
              <w:rPr>
                <w:rFonts w:ascii="Arial" w:eastAsia="SimSun" w:hAnsi="Arial" w:cs="Arial"/>
                <w:sz w:val="20"/>
                <w:szCs w:val="20"/>
                <w:lang w:eastAsia="en-GB"/>
              </w:rPr>
            </w:pPr>
            <w:r>
              <w:rPr>
                <w:rFonts w:ascii="Arial" w:eastAsia="SimSun" w:hAnsi="Arial" w:cs="Arial"/>
                <w:sz w:val="20"/>
                <w:szCs w:val="20"/>
                <w:lang w:eastAsia="en-GB"/>
              </w:rPr>
              <w:t>2.2</w:t>
            </w:r>
          </w:p>
        </w:tc>
        <w:tc>
          <w:tcPr>
            <w:tcW w:w="2211" w:type="dxa"/>
            <w:vMerge/>
          </w:tcPr>
          <w:p w14:paraId="24827EF1" w14:textId="1221307A" w:rsidR="003620D4" w:rsidRPr="009D54AD" w:rsidRDefault="003620D4" w:rsidP="00685F4E">
            <w:pPr>
              <w:widowControl w:val="0"/>
              <w:spacing w:after="0"/>
              <w:rPr>
                <w:rFonts w:ascii="Arial" w:eastAsia="SimSun" w:hAnsi="Arial" w:cs="Arial"/>
                <w:sz w:val="20"/>
                <w:szCs w:val="20"/>
                <w:lang w:eastAsia="en-GB"/>
              </w:rPr>
            </w:pPr>
          </w:p>
        </w:tc>
        <w:tc>
          <w:tcPr>
            <w:tcW w:w="1274" w:type="dxa"/>
          </w:tcPr>
          <w:p w14:paraId="3D4CAE1B" w14:textId="77777777" w:rsidR="003620D4" w:rsidRPr="009D54AD" w:rsidRDefault="003620D4" w:rsidP="00685F4E">
            <w:pPr>
              <w:spacing w:after="0"/>
              <w:jc w:val="center"/>
              <w:rPr>
                <w:rFonts w:ascii="Arial" w:eastAsia="SimSun" w:hAnsi="Arial" w:cs="Arial"/>
                <w:sz w:val="20"/>
                <w:szCs w:val="20"/>
                <w:lang w:eastAsia="en-GB"/>
              </w:rPr>
            </w:pPr>
            <w:r>
              <w:rPr>
                <w:rFonts w:ascii="Arial" w:eastAsia="SimSun" w:hAnsi="Arial" w:cs="Arial"/>
                <w:sz w:val="20"/>
                <w:szCs w:val="20"/>
                <w:lang w:eastAsia="en-GB"/>
              </w:rPr>
              <w:t>Pass/Fail</w:t>
            </w:r>
          </w:p>
        </w:tc>
        <w:tc>
          <w:tcPr>
            <w:tcW w:w="4230" w:type="dxa"/>
          </w:tcPr>
          <w:p w14:paraId="41C01162" w14:textId="77777777" w:rsidR="003620D4" w:rsidRDefault="003620D4" w:rsidP="00685F4E">
            <w:pPr>
              <w:spacing w:after="0"/>
              <w:rPr>
                <w:rFonts w:ascii="Arial" w:eastAsia="SimSun" w:hAnsi="Arial" w:cs="Arial"/>
                <w:sz w:val="20"/>
                <w:szCs w:val="20"/>
                <w:lang w:eastAsia="en-GB"/>
              </w:rPr>
            </w:pPr>
            <w:r>
              <w:rPr>
                <w:rFonts w:ascii="Arial" w:eastAsia="SimSun" w:hAnsi="Arial" w:cs="Arial"/>
                <w:sz w:val="20"/>
                <w:szCs w:val="20"/>
                <w:lang w:eastAsia="en-GB"/>
              </w:rPr>
              <w:t>Yes = Pass or fail*/ No = Fail</w:t>
            </w:r>
          </w:p>
          <w:p w14:paraId="0067B2B3" w14:textId="77777777" w:rsidR="003620D4" w:rsidRDefault="003620D4" w:rsidP="00685F4E">
            <w:pPr>
              <w:spacing w:after="0"/>
              <w:rPr>
                <w:rFonts w:ascii="Arial" w:eastAsia="SimSun" w:hAnsi="Arial" w:cs="Arial"/>
                <w:sz w:val="18"/>
                <w:szCs w:val="20"/>
                <w:lang w:eastAsia="en-GB"/>
              </w:rPr>
            </w:pPr>
          </w:p>
          <w:p w14:paraId="253F2531" w14:textId="40FD6BEB" w:rsidR="003620D4" w:rsidRPr="00F75004" w:rsidRDefault="003620D4" w:rsidP="00685F4E">
            <w:pPr>
              <w:spacing w:after="0"/>
              <w:rPr>
                <w:rFonts w:ascii="Arial" w:eastAsia="SimSun" w:hAnsi="Arial" w:cs="Arial"/>
                <w:sz w:val="16"/>
                <w:szCs w:val="16"/>
                <w:lang w:eastAsia="en-GB"/>
              </w:rPr>
            </w:pPr>
            <w:r w:rsidRPr="006D2F7C">
              <w:rPr>
                <w:rFonts w:ascii="Arial" w:eastAsia="SimSun" w:hAnsi="Arial" w:cs="Arial"/>
                <w:sz w:val="16"/>
                <w:szCs w:val="16"/>
                <w:lang w:eastAsia="en-GB"/>
              </w:rPr>
              <w:t xml:space="preserve">*If answer is Yes, the Authority will read 2.2(a) and consider the nature of the situation, </w:t>
            </w:r>
            <w:r w:rsidR="004E19F0" w:rsidRPr="006D2F7C">
              <w:rPr>
                <w:rFonts w:ascii="Arial" w:eastAsia="SimSun" w:hAnsi="Arial" w:cs="Arial"/>
                <w:sz w:val="16"/>
                <w:szCs w:val="16"/>
                <w:lang w:eastAsia="en-GB"/>
              </w:rPr>
              <w:t>its</w:t>
            </w:r>
            <w:r w:rsidRPr="006D2F7C">
              <w:rPr>
                <w:rFonts w:ascii="Arial" w:eastAsia="SimSun" w:hAnsi="Arial" w:cs="Arial"/>
                <w:sz w:val="16"/>
                <w:szCs w:val="16"/>
                <w:lang w:eastAsia="en-GB"/>
              </w:rPr>
              <w:t xml:space="preserve"> impact upon the Authority’s procurement and whether the conflict can be managed before deciding to pass or fail. </w:t>
            </w:r>
          </w:p>
        </w:tc>
      </w:tr>
      <w:tr w:rsidR="003620D4" w:rsidRPr="009D54AD" w14:paraId="0B34F606" w14:textId="77777777" w:rsidTr="00A37B5B">
        <w:trPr>
          <w:trHeight w:val="300"/>
          <w:jc w:val="center"/>
        </w:trPr>
        <w:tc>
          <w:tcPr>
            <w:tcW w:w="715" w:type="dxa"/>
            <w:vMerge/>
          </w:tcPr>
          <w:p w14:paraId="64F7780E" w14:textId="77777777" w:rsidR="003620D4" w:rsidRPr="009D54AD" w:rsidRDefault="003620D4" w:rsidP="00685F4E">
            <w:pPr>
              <w:widowControl w:val="0"/>
              <w:spacing w:after="0"/>
              <w:jc w:val="center"/>
              <w:rPr>
                <w:rFonts w:ascii="Arial" w:eastAsia="SimSun" w:hAnsi="Arial" w:cs="Arial"/>
                <w:sz w:val="20"/>
                <w:szCs w:val="20"/>
                <w:lang w:eastAsia="en-GB"/>
              </w:rPr>
            </w:pPr>
          </w:p>
        </w:tc>
        <w:tc>
          <w:tcPr>
            <w:tcW w:w="2340" w:type="dxa"/>
            <w:vMerge/>
          </w:tcPr>
          <w:p w14:paraId="04C58EAD" w14:textId="77777777" w:rsidR="003620D4" w:rsidRPr="009D54AD" w:rsidRDefault="003620D4" w:rsidP="00685F4E">
            <w:pPr>
              <w:widowControl w:val="0"/>
              <w:spacing w:after="0"/>
              <w:rPr>
                <w:rFonts w:ascii="Arial" w:eastAsia="SimSun" w:hAnsi="Arial" w:cs="Arial"/>
                <w:sz w:val="20"/>
                <w:szCs w:val="20"/>
                <w:lang w:eastAsia="en-GB"/>
              </w:rPr>
            </w:pPr>
          </w:p>
        </w:tc>
        <w:tc>
          <w:tcPr>
            <w:tcW w:w="1335" w:type="dxa"/>
          </w:tcPr>
          <w:p w14:paraId="29FF484F" w14:textId="77777777" w:rsidR="003620D4" w:rsidRDefault="003620D4" w:rsidP="00685F4E">
            <w:pPr>
              <w:widowControl w:val="0"/>
              <w:spacing w:after="0"/>
              <w:jc w:val="center"/>
              <w:rPr>
                <w:rFonts w:ascii="Arial" w:eastAsia="SimSun" w:hAnsi="Arial" w:cs="Arial"/>
                <w:sz w:val="20"/>
                <w:szCs w:val="20"/>
                <w:lang w:eastAsia="en-GB"/>
              </w:rPr>
            </w:pPr>
            <w:r>
              <w:rPr>
                <w:rFonts w:ascii="Arial" w:eastAsia="SimSun" w:hAnsi="Arial" w:cs="Arial"/>
                <w:sz w:val="20"/>
                <w:szCs w:val="20"/>
                <w:lang w:eastAsia="en-GB"/>
              </w:rPr>
              <w:t>2.3</w:t>
            </w:r>
          </w:p>
        </w:tc>
        <w:tc>
          <w:tcPr>
            <w:tcW w:w="2211" w:type="dxa"/>
            <w:vMerge/>
          </w:tcPr>
          <w:p w14:paraId="4185C0C9" w14:textId="352AF4C4" w:rsidR="003620D4" w:rsidRDefault="003620D4" w:rsidP="00685F4E">
            <w:pPr>
              <w:widowControl w:val="0"/>
              <w:spacing w:after="0"/>
              <w:rPr>
                <w:rFonts w:ascii="Arial" w:eastAsia="SimSun" w:hAnsi="Arial" w:cs="Arial"/>
                <w:sz w:val="20"/>
                <w:szCs w:val="20"/>
                <w:lang w:eastAsia="en-GB"/>
              </w:rPr>
            </w:pPr>
          </w:p>
        </w:tc>
        <w:tc>
          <w:tcPr>
            <w:tcW w:w="1274" w:type="dxa"/>
          </w:tcPr>
          <w:p w14:paraId="4341C0CD" w14:textId="77777777" w:rsidR="003620D4" w:rsidRDefault="003620D4" w:rsidP="00685F4E">
            <w:pPr>
              <w:spacing w:after="0"/>
              <w:jc w:val="center"/>
              <w:rPr>
                <w:rFonts w:ascii="Arial" w:eastAsia="SimSun" w:hAnsi="Arial" w:cs="Arial"/>
                <w:sz w:val="20"/>
                <w:szCs w:val="20"/>
                <w:lang w:eastAsia="en-GB"/>
              </w:rPr>
            </w:pPr>
            <w:r>
              <w:rPr>
                <w:rFonts w:ascii="Arial" w:eastAsia="SimSun" w:hAnsi="Arial" w:cs="Arial"/>
                <w:sz w:val="20"/>
                <w:szCs w:val="20"/>
                <w:lang w:eastAsia="en-GB"/>
              </w:rPr>
              <w:t>Pass/fail</w:t>
            </w:r>
          </w:p>
        </w:tc>
        <w:tc>
          <w:tcPr>
            <w:tcW w:w="4230" w:type="dxa"/>
          </w:tcPr>
          <w:p w14:paraId="6F9E35A6" w14:textId="0F8B7D9D" w:rsidR="003620D4" w:rsidRPr="00F75004" w:rsidRDefault="003620D4" w:rsidP="00685F4E">
            <w:pPr>
              <w:spacing w:after="0"/>
              <w:rPr>
                <w:rFonts w:ascii="Arial" w:eastAsia="SimSun" w:hAnsi="Arial" w:cs="Arial"/>
                <w:sz w:val="20"/>
                <w:szCs w:val="20"/>
                <w:lang w:eastAsia="en-GB"/>
              </w:rPr>
            </w:pPr>
            <w:r>
              <w:rPr>
                <w:rFonts w:ascii="Arial" w:eastAsia="SimSun" w:hAnsi="Arial" w:cs="Arial"/>
                <w:sz w:val="20"/>
                <w:szCs w:val="20"/>
                <w:lang w:eastAsia="en-GB"/>
              </w:rPr>
              <w:t>Yes = Pass or fail*/ No = Pass</w:t>
            </w:r>
          </w:p>
          <w:p w14:paraId="4C8E53E2" w14:textId="778F81B7" w:rsidR="003620D4" w:rsidRDefault="003620D4" w:rsidP="00685F4E">
            <w:pPr>
              <w:spacing w:after="0"/>
              <w:rPr>
                <w:rFonts w:ascii="Arial" w:eastAsia="SimSun" w:hAnsi="Arial" w:cs="Arial"/>
                <w:sz w:val="16"/>
                <w:szCs w:val="16"/>
                <w:lang w:eastAsia="en-GB"/>
              </w:rPr>
            </w:pPr>
            <w:r w:rsidRPr="00974AC2">
              <w:rPr>
                <w:rFonts w:ascii="Arial" w:eastAsia="SimSun" w:hAnsi="Arial" w:cs="Arial"/>
                <w:sz w:val="16"/>
                <w:szCs w:val="16"/>
                <w:lang w:eastAsia="en-GB"/>
              </w:rPr>
              <w:t>*If answer is Yes, the Authority will read 2.3(b) and consider the nature of the situation, its impact upon the Authority’s procurement and whether the conflict can be managed before deciding to pass or fail.</w:t>
            </w:r>
          </w:p>
        </w:tc>
      </w:tr>
      <w:tr w:rsidR="00BA1595" w:rsidRPr="009D54AD" w14:paraId="2873EB43" w14:textId="77777777" w:rsidTr="00A37B5B">
        <w:trPr>
          <w:trHeight w:val="315"/>
          <w:jc w:val="center"/>
        </w:trPr>
        <w:tc>
          <w:tcPr>
            <w:tcW w:w="715" w:type="dxa"/>
            <w:vMerge/>
          </w:tcPr>
          <w:p w14:paraId="09CEED65" w14:textId="77777777" w:rsidR="00BA1595" w:rsidRPr="009D54AD" w:rsidRDefault="00BA1595" w:rsidP="00685F4E">
            <w:pPr>
              <w:widowControl w:val="0"/>
              <w:spacing w:after="0"/>
              <w:jc w:val="center"/>
              <w:rPr>
                <w:rFonts w:ascii="Arial" w:eastAsia="Times New Roman" w:hAnsi="Arial" w:cs="Arial"/>
                <w:sz w:val="20"/>
                <w:szCs w:val="20"/>
                <w:lang w:eastAsia="en-GB"/>
              </w:rPr>
            </w:pPr>
          </w:p>
        </w:tc>
        <w:tc>
          <w:tcPr>
            <w:tcW w:w="2340" w:type="dxa"/>
          </w:tcPr>
          <w:p w14:paraId="6275EB6B" w14:textId="77777777" w:rsidR="00BA1595" w:rsidRPr="009D54AD" w:rsidRDefault="00BA1595" w:rsidP="00685F4E">
            <w:pPr>
              <w:widowControl w:val="0"/>
              <w:spacing w:after="0"/>
              <w:rPr>
                <w:rFonts w:ascii="Arial" w:eastAsia="Times New Roman" w:hAnsi="Arial" w:cs="Arial"/>
                <w:sz w:val="20"/>
                <w:szCs w:val="20"/>
                <w:lang w:eastAsia="en-GB"/>
              </w:rPr>
            </w:pPr>
            <w:r w:rsidRPr="009D54AD">
              <w:rPr>
                <w:rFonts w:ascii="Arial" w:eastAsia="SimSun" w:hAnsi="Arial" w:cs="Arial"/>
                <w:sz w:val="20"/>
                <w:szCs w:val="20"/>
                <w:lang w:eastAsia="en-GB"/>
              </w:rPr>
              <w:t xml:space="preserve">Grounds for </w:t>
            </w:r>
            <w:r w:rsidRPr="009D54AD">
              <w:rPr>
                <w:rFonts w:ascii="Arial" w:eastAsia="SimSun" w:hAnsi="Arial" w:cs="Arial"/>
                <w:sz w:val="20"/>
                <w:szCs w:val="20"/>
                <w:lang w:eastAsia="en-GB"/>
              </w:rPr>
              <w:lastRenderedPageBreak/>
              <w:t>Discretionary Rejection</w:t>
            </w:r>
          </w:p>
        </w:tc>
        <w:tc>
          <w:tcPr>
            <w:tcW w:w="1335" w:type="dxa"/>
          </w:tcPr>
          <w:p w14:paraId="60D55CC2" w14:textId="77777777" w:rsidR="00BA1595" w:rsidRPr="009D54AD" w:rsidRDefault="00BA1595" w:rsidP="00685F4E">
            <w:pPr>
              <w:widowControl w:val="0"/>
              <w:spacing w:after="0"/>
              <w:jc w:val="center"/>
              <w:rPr>
                <w:rFonts w:ascii="Arial" w:eastAsia="Times New Roman" w:hAnsi="Arial" w:cs="Arial"/>
                <w:sz w:val="20"/>
                <w:szCs w:val="20"/>
                <w:lang w:eastAsia="en-GB"/>
              </w:rPr>
            </w:pPr>
            <w:r w:rsidRPr="009D54AD">
              <w:rPr>
                <w:rFonts w:ascii="Arial" w:eastAsia="SimSun" w:hAnsi="Arial" w:cs="Arial"/>
                <w:sz w:val="20"/>
                <w:szCs w:val="20"/>
                <w:lang w:eastAsia="en-GB"/>
              </w:rPr>
              <w:lastRenderedPageBreak/>
              <w:t>3.1-3.2</w:t>
            </w:r>
          </w:p>
        </w:tc>
        <w:tc>
          <w:tcPr>
            <w:tcW w:w="2211" w:type="dxa"/>
          </w:tcPr>
          <w:p w14:paraId="74546619" w14:textId="6D8F971A" w:rsidR="00BA1595" w:rsidRPr="009D54AD" w:rsidRDefault="003620D4" w:rsidP="00685F4E">
            <w:pPr>
              <w:widowControl w:val="0"/>
              <w:spacing w:after="0"/>
              <w:rPr>
                <w:rFonts w:ascii="Arial" w:eastAsia="Times New Roman" w:hAnsi="Arial" w:cs="Arial"/>
                <w:sz w:val="20"/>
                <w:szCs w:val="20"/>
                <w:lang w:eastAsia="en-GB"/>
              </w:rPr>
            </w:pPr>
            <w:r>
              <w:rPr>
                <w:rFonts w:ascii="Arial" w:eastAsia="SimSun" w:hAnsi="Arial" w:cs="Arial"/>
                <w:sz w:val="20"/>
                <w:szCs w:val="20"/>
                <w:lang w:eastAsia="en-GB"/>
              </w:rPr>
              <w:t xml:space="preserve">Grounds for </w:t>
            </w:r>
            <w:r>
              <w:rPr>
                <w:rFonts w:ascii="Arial" w:eastAsia="SimSun" w:hAnsi="Arial" w:cs="Arial"/>
                <w:sz w:val="20"/>
                <w:szCs w:val="20"/>
                <w:lang w:eastAsia="en-GB"/>
              </w:rPr>
              <w:lastRenderedPageBreak/>
              <w:t>Discretionary Rejection</w:t>
            </w:r>
          </w:p>
        </w:tc>
        <w:tc>
          <w:tcPr>
            <w:tcW w:w="1274" w:type="dxa"/>
          </w:tcPr>
          <w:p w14:paraId="64DDD54D" w14:textId="77777777" w:rsidR="00BA1595" w:rsidRPr="009D54AD" w:rsidRDefault="00BA1595" w:rsidP="00685F4E">
            <w:pPr>
              <w:spacing w:after="0"/>
              <w:jc w:val="center"/>
              <w:rPr>
                <w:rFonts w:ascii="Arial" w:eastAsia="SimSun" w:hAnsi="Arial" w:cs="Arial"/>
                <w:sz w:val="20"/>
                <w:szCs w:val="20"/>
                <w:lang w:eastAsia="en-GB"/>
              </w:rPr>
            </w:pPr>
            <w:r w:rsidRPr="009D54AD">
              <w:rPr>
                <w:rFonts w:ascii="Arial" w:eastAsia="SimSun" w:hAnsi="Arial" w:cs="Arial"/>
                <w:sz w:val="20"/>
                <w:szCs w:val="20"/>
                <w:lang w:eastAsia="en-GB"/>
              </w:rPr>
              <w:lastRenderedPageBreak/>
              <w:t>Pass/Fail</w:t>
            </w:r>
          </w:p>
        </w:tc>
        <w:tc>
          <w:tcPr>
            <w:tcW w:w="4230" w:type="dxa"/>
          </w:tcPr>
          <w:p w14:paraId="7674A23B" w14:textId="4F1AE95B" w:rsidR="00BA1595" w:rsidRPr="009D54AD" w:rsidRDefault="00BA1595" w:rsidP="00685F4E">
            <w:pPr>
              <w:spacing w:after="0"/>
              <w:rPr>
                <w:rFonts w:ascii="Arial" w:eastAsia="SimSun" w:hAnsi="Arial" w:cs="Arial"/>
                <w:sz w:val="20"/>
                <w:szCs w:val="20"/>
                <w:lang w:eastAsia="en-GB"/>
              </w:rPr>
            </w:pPr>
            <w:r w:rsidRPr="009D54AD">
              <w:rPr>
                <w:rFonts w:ascii="Arial" w:eastAsia="SimSun" w:hAnsi="Arial" w:cs="Arial"/>
                <w:sz w:val="20"/>
                <w:szCs w:val="20"/>
                <w:lang w:eastAsia="en-GB"/>
              </w:rPr>
              <w:t>Yes = Pass or Fail* / No = Pass</w:t>
            </w:r>
          </w:p>
          <w:p w14:paraId="73809F80" w14:textId="77777777" w:rsidR="00BA1595" w:rsidRPr="009D54AD" w:rsidRDefault="00BA1595" w:rsidP="00685F4E">
            <w:pPr>
              <w:spacing w:after="0"/>
              <w:rPr>
                <w:rFonts w:ascii="Arial" w:eastAsia="SimSun" w:hAnsi="Arial" w:cs="Arial"/>
                <w:sz w:val="16"/>
                <w:szCs w:val="16"/>
                <w:lang w:eastAsia="en-GB"/>
              </w:rPr>
            </w:pPr>
            <w:r w:rsidRPr="009D54AD">
              <w:rPr>
                <w:rFonts w:ascii="Arial" w:eastAsia="SimSun" w:hAnsi="Arial" w:cs="Arial"/>
                <w:sz w:val="16"/>
                <w:szCs w:val="16"/>
                <w:lang w:eastAsia="en-GB"/>
              </w:rPr>
              <w:lastRenderedPageBreak/>
              <w:t>*If answer is Yes, the Authority will read 3.2 and consider the nature of the situation, its impact upon the Authority’s procurement and whether the conflict can be managed before deciding to pass or fail.</w:t>
            </w:r>
          </w:p>
        </w:tc>
      </w:tr>
      <w:tr w:rsidR="003620D4" w:rsidRPr="009D54AD" w14:paraId="595E6430" w14:textId="77777777" w:rsidTr="00A37B5B">
        <w:trPr>
          <w:trHeight w:val="315"/>
          <w:jc w:val="center"/>
        </w:trPr>
        <w:tc>
          <w:tcPr>
            <w:tcW w:w="715" w:type="dxa"/>
          </w:tcPr>
          <w:p w14:paraId="02152343" w14:textId="77777777" w:rsidR="003620D4" w:rsidRPr="00F75004" w:rsidRDefault="003620D4" w:rsidP="00685F4E">
            <w:pPr>
              <w:widowControl w:val="0"/>
              <w:spacing w:after="0"/>
              <w:jc w:val="center"/>
              <w:rPr>
                <w:rFonts w:ascii="Arial" w:eastAsia="SimSun" w:hAnsi="Arial" w:cs="Arial"/>
                <w:sz w:val="20"/>
                <w:szCs w:val="20"/>
                <w:lang w:eastAsia="en-GB"/>
              </w:rPr>
            </w:pPr>
            <w:r w:rsidRPr="00F75004">
              <w:rPr>
                <w:rFonts w:ascii="Arial" w:eastAsia="SimSun" w:hAnsi="Arial" w:cs="Arial"/>
                <w:sz w:val="20"/>
                <w:szCs w:val="20"/>
                <w:lang w:eastAsia="en-GB"/>
              </w:rPr>
              <w:lastRenderedPageBreak/>
              <w:t>3</w:t>
            </w:r>
          </w:p>
        </w:tc>
        <w:tc>
          <w:tcPr>
            <w:tcW w:w="2340" w:type="dxa"/>
            <w:vMerge w:val="restart"/>
          </w:tcPr>
          <w:p w14:paraId="7FF68479" w14:textId="77777777" w:rsidR="003620D4" w:rsidRPr="00974AC2" w:rsidRDefault="003620D4" w:rsidP="00685F4E">
            <w:pPr>
              <w:widowControl w:val="0"/>
              <w:spacing w:after="0"/>
              <w:rPr>
                <w:rFonts w:ascii="Arial" w:eastAsia="SimSun" w:hAnsi="Arial" w:cs="Arial"/>
                <w:sz w:val="20"/>
                <w:szCs w:val="20"/>
                <w:lang w:eastAsia="en-GB"/>
              </w:rPr>
            </w:pPr>
            <w:r w:rsidRPr="00974AC2">
              <w:rPr>
                <w:rFonts w:ascii="Arial" w:eastAsia="SimSun" w:hAnsi="Arial" w:cs="Arial"/>
                <w:sz w:val="20"/>
                <w:szCs w:val="20"/>
                <w:lang w:eastAsia="en-GB"/>
              </w:rPr>
              <w:t xml:space="preserve">Economic and Financial Standing </w:t>
            </w:r>
          </w:p>
        </w:tc>
        <w:tc>
          <w:tcPr>
            <w:tcW w:w="1335" w:type="dxa"/>
          </w:tcPr>
          <w:p w14:paraId="2F450C92" w14:textId="56772664" w:rsidR="003620D4" w:rsidRPr="00320688" w:rsidRDefault="003620D4" w:rsidP="00685F4E">
            <w:pPr>
              <w:widowControl w:val="0"/>
              <w:spacing w:after="0"/>
              <w:jc w:val="center"/>
              <w:rPr>
                <w:rFonts w:ascii="Arial" w:eastAsia="SimSun" w:hAnsi="Arial" w:cs="Arial"/>
                <w:sz w:val="20"/>
                <w:szCs w:val="20"/>
                <w:lang w:eastAsia="en-GB"/>
              </w:rPr>
            </w:pPr>
            <w:r w:rsidRPr="5F127C90">
              <w:rPr>
                <w:rFonts w:ascii="Arial" w:eastAsia="SimSun" w:hAnsi="Arial" w:cs="Arial"/>
                <w:sz w:val="20"/>
                <w:szCs w:val="20"/>
                <w:lang w:eastAsia="en-GB"/>
              </w:rPr>
              <w:t>4.1</w:t>
            </w:r>
          </w:p>
        </w:tc>
        <w:tc>
          <w:tcPr>
            <w:tcW w:w="2211" w:type="dxa"/>
            <w:vMerge w:val="restart"/>
          </w:tcPr>
          <w:p w14:paraId="69615A92" w14:textId="77777777" w:rsidR="003620D4" w:rsidRPr="00F75004" w:rsidRDefault="003620D4" w:rsidP="00685F4E">
            <w:pPr>
              <w:widowControl w:val="0"/>
              <w:spacing w:after="0"/>
              <w:rPr>
                <w:rFonts w:ascii="Arial" w:eastAsia="SimSun" w:hAnsi="Arial" w:cs="Arial"/>
                <w:sz w:val="20"/>
                <w:szCs w:val="20"/>
                <w:lang w:eastAsia="en-GB"/>
              </w:rPr>
            </w:pPr>
            <w:r>
              <w:rPr>
                <w:rFonts w:ascii="Arial" w:eastAsia="SimSun" w:hAnsi="Arial" w:cs="Arial"/>
                <w:sz w:val="20"/>
                <w:szCs w:val="20"/>
                <w:lang w:eastAsia="en-GB"/>
              </w:rPr>
              <w:t>Economic and Financial Standing</w:t>
            </w:r>
          </w:p>
          <w:p w14:paraId="2E39B465" w14:textId="77777777" w:rsidR="003620D4" w:rsidRDefault="003620D4" w:rsidP="00685F4E">
            <w:pPr>
              <w:rPr>
                <w:rFonts w:ascii="Arial" w:eastAsia="SimSun" w:hAnsi="Arial" w:cs="Arial"/>
                <w:sz w:val="20"/>
                <w:szCs w:val="20"/>
                <w:highlight w:val="yellow"/>
                <w:lang w:eastAsia="en-GB"/>
              </w:rPr>
            </w:pPr>
          </w:p>
          <w:p w14:paraId="0B9C2D99" w14:textId="77777777" w:rsidR="003620D4" w:rsidRPr="00F75004" w:rsidRDefault="003620D4" w:rsidP="00685F4E">
            <w:pPr>
              <w:rPr>
                <w:rFonts w:ascii="Arial" w:eastAsia="SimSun" w:hAnsi="Arial" w:cs="Arial"/>
                <w:sz w:val="20"/>
                <w:szCs w:val="20"/>
                <w:lang w:eastAsia="en-GB"/>
              </w:rPr>
            </w:pPr>
          </w:p>
          <w:p w14:paraId="07001C20" w14:textId="00A3C858" w:rsidR="003620D4" w:rsidRPr="00F75004" w:rsidRDefault="003620D4" w:rsidP="00685F4E">
            <w:pPr>
              <w:rPr>
                <w:rFonts w:ascii="Arial" w:eastAsia="SimSun" w:hAnsi="Arial" w:cs="Arial"/>
                <w:sz w:val="20"/>
                <w:szCs w:val="20"/>
                <w:lang w:eastAsia="en-GB"/>
              </w:rPr>
            </w:pPr>
          </w:p>
        </w:tc>
        <w:tc>
          <w:tcPr>
            <w:tcW w:w="1274" w:type="dxa"/>
          </w:tcPr>
          <w:p w14:paraId="2A43BE5C" w14:textId="77777777" w:rsidR="003620D4" w:rsidRPr="00974AC2" w:rsidRDefault="003620D4" w:rsidP="00685F4E">
            <w:pPr>
              <w:spacing w:after="0"/>
              <w:jc w:val="center"/>
              <w:rPr>
                <w:rFonts w:ascii="Arial" w:eastAsia="SimSun" w:hAnsi="Arial" w:cs="Arial"/>
                <w:sz w:val="20"/>
                <w:szCs w:val="20"/>
                <w:lang w:eastAsia="en-GB"/>
              </w:rPr>
            </w:pPr>
            <w:r w:rsidRPr="00974AC2">
              <w:rPr>
                <w:rFonts w:ascii="Arial" w:eastAsia="SimSun" w:hAnsi="Arial" w:cs="Arial"/>
                <w:sz w:val="20"/>
                <w:szCs w:val="20"/>
                <w:lang w:eastAsia="en-GB"/>
              </w:rPr>
              <w:t>Pass/Fail</w:t>
            </w:r>
          </w:p>
        </w:tc>
        <w:tc>
          <w:tcPr>
            <w:tcW w:w="4230" w:type="dxa"/>
          </w:tcPr>
          <w:p w14:paraId="03EA94E2" w14:textId="4E7FC9E6" w:rsidR="003620D4" w:rsidRPr="00F75004" w:rsidRDefault="003620D4" w:rsidP="00685F4E">
            <w:pPr>
              <w:spacing w:after="0"/>
              <w:rPr>
                <w:rFonts w:ascii="Arial" w:eastAsia="SimSun" w:hAnsi="Arial" w:cs="Arial"/>
                <w:sz w:val="20"/>
                <w:szCs w:val="20"/>
                <w:lang w:eastAsia="en-GB"/>
              </w:rPr>
            </w:pPr>
            <w:r w:rsidRPr="00F97552">
              <w:rPr>
                <w:rFonts w:ascii="Arial" w:eastAsia="SimSun" w:hAnsi="Arial" w:cs="Arial"/>
                <w:sz w:val="20"/>
                <w:szCs w:val="20"/>
                <w:lang w:eastAsia="en-GB"/>
              </w:rPr>
              <w:t>Yes = Pass / No = Fail</w:t>
            </w:r>
          </w:p>
        </w:tc>
      </w:tr>
      <w:tr w:rsidR="003620D4" w14:paraId="17C57B9A" w14:textId="77777777" w:rsidTr="00A37B5B">
        <w:trPr>
          <w:trHeight w:val="315"/>
          <w:jc w:val="center"/>
        </w:trPr>
        <w:tc>
          <w:tcPr>
            <w:tcW w:w="715" w:type="dxa"/>
            <w:vMerge w:val="restart"/>
          </w:tcPr>
          <w:p w14:paraId="0A1A7CF2" w14:textId="7409F622" w:rsidR="003620D4" w:rsidRPr="00F75004" w:rsidRDefault="003620D4" w:rsidP="00685F4E">
            <w:pPr>
              <w:widowControl w:val="0"/>
              <w:spacing w:after="0"/>
              <w:jc w:val="center"/>
              <w:rPr>
                <w:rFonts w:ascii="Arial" w:eastAsia="SimSun" w:hAnsi="Arial" w:cs="Arial"/>
                <w:sz w:val="20"/>
                <w:szCs w:val="20"/>
                <w:highlight w:val="yellow"/>
                <w:lang w:eastAsia="en-GB"/>
              </w:rPr>
            </w:pPr>
          </w:p>
        </w:tc>
        <w:tc>
          <w:tcPr>
            <w:tcW w:w="2340" w:type="dxa"/>
            <w:vMerge/>
          </w:tcPr>
          <w:p w14:paraId="214E7CBD" w14:textId="29819FC0" w:rsidR="003620D4" w:rsidRPr="00974AC2" w:rsidRDefault="003620D4" w:rsidP="00685F4E">
            <w:pPr>
              <w:rPr>
                <w:rFonts w:ascii="Arial" w:eastAsia="SimSun" w:hAnsi="Arial" w:cs="Arial"/>
                <w:sz w:val="20"/>
                <w:szCs w:val="20"/>
                <w:lang w:eastAsia="en-GB"/>
              </w:rPr>
            </w:pPr>
          </w:p>
        </w:tc>
        <w:tc>
          <w:tcPr>
            <w:tcW w:w="1335" w:type="dxa"/>
          </w:tcPr>
          <w:p w14:paraId="43330B3E" w14:textId="74C2322A" w:rsidR="003620D4" w:rsidRDefault="003620D4" w:rsidP="00685F4E">
            <w:pPr>
              <w:jc w:val="center"/>
              <w:rPr>
                <w:rFonts w:ascii="Arial" w:eastAsia="SimSun" w:hAnsi="Arial" w:cs="Arial"/>
                <w:sz w:val="20"/>
                <w:szCs w:val="20"/>
                <w:lang w:eastAsia="en-GB"/>
              </w:rPr>
            </w:pPr>
            <w:r w:rsidRPr="76CDF540">
              <w:rPr>
                <w:rFonts w:ascii="Arial" w:eastAsia="SimSun" w:hAnsi="Arial" w:cs="Arial"/>
                <w:sz w:val="20"/>
                <w:szCs w:val="20"/>
                <w:lang w:eastAsia="en-GB"/>
              </w:rPr>
              <w:t>4.2(a)</w:t>
            </w:r>
          </w:p>
        </w:tc>
        <w:tc>
          <w:tcPr>
            <w:tcW w:w="2211" w:type="dxa"/>
            <w:vMerge/>
          </w:tcPr>
          <w:p w14:paraId="28B69C9B" w14:textId="54B2F0EA" w:rsidR="003620D4" w:rsidRDefault="003620D4" w:rsidP="00685F4E">
            <w:pPr>
              <w:rPr>
                <w:rFonts w:ascii="Arial" w:eastAsia="SimSun" w:hAnsi="Arial" w:cs="Arial"/>
                <w:sz w:val="20"/>
                <w:szCs w:val="20"/>
                <w:highlight w:val="yellow"/>
                <w:lang w:eastAsia="en-GB"/>
              </w:rPr>
            </w:pPr>
          </w:p>
        </w:tc>
        <w:tc>
          <w:tcPr>
            <w:tcW w:w="1274" w:type="dxa"/>
          </w:tcPr>
          <w:p w14:paraId="40A919B4" w14:textId="41BF7B5F" w:rsidR="003620D4" w:rsidRDefault="003620D4" w:rsidP="00685F4E">
            <w:pPr>
              <w:jc w:val="center"/>
              <w:rPr>
                <w:rFonts w:ascii="Arial" w:eastAsia="SimSun" w:hAnsi="Arial" w:cs="Arial"/>
                <w:sz w:val="20"/>
                <w:szCs w:val="20"/>
                <w:lang w:eastAsia="en-GB"/>
              </w:rPr>
            </w:pPr>
            <w:r w:rsidRPr="4B9787B1">
              <w:rPr>
                <w:rFonts w:ascii="Arial" w:eastAsia="SimSun" w:hAnsi="Arial" w:cs="Arial"/>
                <w:sz w:val="20"/>
                <w:szCs w:val="20"/>
                <w:lang w:eastAsia="en-GB"/>
              </w:rPr>
              <w:t>Pass/Fail</w:t>
            </w:r>
          </w:p>
        </w:tc>
        <w:tc>
          <w:tcPr>
            <w:tcW w:w="4230" w:type="dxa"/>
          </w:tcPr>
          <w:p w14:paraId="1AB99F3D" w14:textId="37F4CE0C" w:rsidR="003620D4" w:rsidRDefault="003620D4" w:rsidP="00685F4E">
            <w:pPr>
              <w:rPr>
                <w:rFonts w:ascii="Arial" w:eastAsia="SimSun" w:hAnsi="Arial" w:cs="Arial"/>
                <w:sz w:val="20"/>
                <w:szCs w:val="20"/>
                <w:highlight w:val="yellow"/>
                <w:lang w:eastAsia="en-GB"/>
              </w:rPr>
            </w:pPr>
            <w:r w:rsidRPr="4F4B1258">
              <w:rPr>
                <w:rFonts w:ascii="Arial" w:eastAsia="SimSun" w:hAnsi="Arial" w:cs="Arial"/>
                <w:sz w:val="20"/>
                <w:szCs w:val="20"/>
                <w:lang w:eastAsia="en-GB"/>
              </w:rPr>
              <w:t>2 or more = Pass / Less than 2 = Fail</w:t>
            </w:r>
          </w:p>
        </w:tc>
      </w:tr>
      <w:tr w:rsidR="003620D4" w14:paraId="1B8F50A9" w14:textId="77777777" w:rsidTr="00A37B5B">
        <w:trPr>
          <w:trHeight w:val="315"/>
          <w:jc w:val="center"/>
        </w:trPr>
        <w:tc>
          <w:tcPr>
            <w:tcW w:w="715" w:type="dxa"/>
            <w:vMerge/>
          </w:tcPr>
          <w:p w14:paraId="178BD2C9" w14:textId="442EE900" w:rsidR="003620D4" w:rsidRPr="00F75004" w:rsidRDefault="003620D4" w:rsidP="00685F4E">
            <w:pPr>
              <w:widowControl w:val="0"/>
              <w:spacing w:after="0"/>
              <w:jc w:val="center"/>
              <w:rPr>
                <w:rFonts w:ascii="Arial" w:eastAsia="SimSun" w:hAnsi="Arial" w:cs="Arial"/>
                <w:sz w:val="20"/>
                <w:szCs w:val="20"/>
                <w:highlight w:val="yellow"/>
                <w:lang w:eastAsia="en-GB"/>
              </w:rPr>
            </w:pPr>
          </w:p>
        </w:tc>
        <w:tc>
          <w:tcPr>
            <w:tcW w:w="2340" w:type="dxa"/>
            <w:vMerge/>
          </w:tcPr>
          <w:p w14:paraId="31E796D2" w14:textId="0EFAB31D" w:rsidR="003620D4" w:rsidRPr="00974AC2" w:rsidRDefault="003620D4" w:rsidP="00685F4E">
            <w:pPr>
              <w:rPr>
                <w:rFonts w:ascii="Arial" w:eastAsia="SimSun" w:hAnsi="Arial" w:cs="Arial"/>
                <w:sz w:val="20"/>
                <w:szCs w:val="20"/>
                <w:lang w:eastAsia="en-GB"/>
              </w:rPr>
            </w:pPr>
          </w:p>
        </w:tc>
        <w:tc>
          <w:tcPr>
            <w:tcW w:w="1335" w:type="dxa"/>
          </w:tcPr>
          <w:p w14:paraId="46067047" w14:textId="40A9F147" w:rsidR="003620D4" w:rsidRDefault="003620D4" w:rsidP="00685F4E">
            <w:pPr>
              <w:jc w:val="center"/>
              <w:rPr>
                <w:rFonts w:ascii="Arial" w:eastAsia="SimSun" w:hAnsi="Arial" w:cs="Arial"/>
                <w:sz w:val="20"/>
                <w:szCs w:val="20"/>
                <w:lang w:eastAsia="en-GB"/>
              </w:rPr>
            </w:pPr>
            <w:r w:rsidRPr="6DD097F8">
              <w:rPr>
                <w:rFonts w:ascii="Arial" w:eastAsia="SimSun" w:hAnsi="Arial" w:cs="Arial"/>
                <w:sz w:val="20"/>
                <w:szCs w:val="20"/>
                <w:lang w:eastAsia="en-GB"/>
              </w:rPr>
              <w:t>4.2</w:t>
            </w:r>
            <w:r w:rsidRPr="3E7698E6">
              <w:rPr>
                <w:rFonts w:ascii="Arial" w:eastAsia="SimSun" w:hAnsi="Arial" w:cs="Arial"/>
                <w:sz w:val="20"/>
                <w:szCs w:val="20"/>
                <w:lang w:eastAsia="en-GB"/>
              </w:rPr>
              <w:t>(b)-(i)</w:t>
            </w:r>
          </w:p>
        </w:tc>
        <w:tc>
          <w:tcPr>
            <w:tcW w:w="2211" w:type="dxa"/>
            <w:vMerge/>
          </w:tcPr>
          <w:p w14:paraId="5FBA2C1B" w14:textId="5FDAE9B3" w:rsidR="003620D4" w:rsidRDefault="003620D4" w:rsidP="00685F4E">
            <w:pPr>
              <w:rPr>
                <w:rFonts w:ascii="Arial" w:eastAsia="SimSun" w:hAnsi="Arial" w:cs="Arial"/>
                <w:sz w:val="20"/>
                <w:szCs w:val="20"/>
                <w:lang w:eastAsia="en-GB"/>
              </w:rPr>
            </w:pPr>
          </w:p>
        </w:tc>
        <w:tc>
          <w:tcPr>
            <w:tcW w:w="1274" w:type="dxa"/>
          </w:tcPr>
          <w:p w14:paraId="616728FB" w14:textId="72F77955" w:rsidR="003620D4" w:rsidRDefault="003620D4" w:rsidP="00685F4E">
            <w:pPr>
              <w:jc w:val="center"/>
              <w:rPr>
                <w:rFonts w:ascii="Arial" w:eastAsia="SimSun" w:hAnsi="Arial" w:cs="Arial"/>
                <w:sz w:val="20"/>
                <w:szCs w:val="20"/>
                <w:lang w:eastAsia="en-GB"/>
              </w:rPr>
            </w:pPr>
            <w:r w:rsidRPr="3E7698E6">
              <w:rPr>
                <w:rFonts w:ascii="Arial" w:eastAsia="SimSun" w:hAnsi="Arial" w:cs="Arial"/>
                <w:sz w:val="20"/>
                <w:szCs w:val="20"/>
                <w:lang w:eastAsia="en-GB"/>
              </w:rPr>
              <w:t>Pass/Fail</w:t>
            </w:r>
          </w:p>
        </w:tc>
        <w:tc>
          <w:tcPr>
            <w:tcW w:w="4230" w:type="dxa"/>
          </w:tcPr>
          <w:p w14:paraId="3A723D95" w14:textId="324106EC" w:rsidR="003620D4" w:rsidRDefault="003620D4" w:rsidP="00685F4E">
            <w:pPr>
              <w:rPr>
                <w:rFonts w:ascii="Arial" w:eastAsia="SimSun" w:hAnsi="Arial" w:cs="Arial"/>
                <w:sz w:val="20"/>
                <w:szCs w:val="20"/>
                <w:lang w:eastAsia="en-GB"/>
              </w:rPr>
            </w:pPr>
            <w:r w:rsidRPr="7EB7EC61">
              <w:rPr>
                <w:rFonts w:ascii="Arial" w:eastAsia="SimSun" w:hAnsi="Arial" w:cs="Arial"/>
                <w:sz w:val="20"/>
                <w:szCs w:val="20"/>
                <w:lang w:eastAsia="en-GB"/>
              </w:rPr>
              <w:t>Green = Pass / Amber/Red = Pass or Fail*</w:t>
            </w:r>
          </w:p>
          <w:p w14:paraId="1295E6AA" w14:textId="6CFF708B" w:rsidR="003620D4" w:rsidRDefault="00033F65" w:rsidP="00685F4E">
            <w:pPr>
              <w:rPr>
                <w:rFonts w:ascii="Arial" w:eastAsia="SimSun" w:hAnsi="Arial" w:cs="Arial"/>
                <w:sz w:val="16"/>
                <w:szCs w:val="16"/>
                <w:lang w:eastAsia="en-GB"/>
              </w:rPr>
            </w:pPr>
            <w:r w:rsidRPr="3249D63F">
              <w:rPr>
                <w:rFonts w:ascii="Arial" w:eastAsia="SimSun" w:hAnsi="Arial" w:cs="Arial"/>
                <w:sz w:val="16"/>
                <w:szCs w:val="16"/>
                <w:lang w:eastAsia="en-GB"/>
              </w:rPr>
              <w:t>If your RAG rating is Amber or Red,</w:t>
            </w:r>
            <w:r>
              <w:rPr>
                <w:rFonts w:ascii="Arial" w:eastAsia="SimSun" w:hAnsi="Arial" w:cs="Arial"/>
                <w:sz w:val="16"/>
                <w:szCs w:val="16"/>
                <w:lang w:eastAsia="en-GB"/>
              </w:rPr>
              <w:t xml:space="preserve"> you must provide an accompanying </w:t>
            </w:r>
            <w:r w:rsidR="004E19F0">
              <w:rPr>
                <w:rFonts w:ascii="Arial" w:eastAsia="SimSun" w:hAnsi="Arial" w:cs="Arial"/>
                <w:sz w:val="16"/>
                <w:szCs w:val="16"/>
                <w:lang w:eastAsia="en-GB"/>
              </w:rPr>
              <w:t xml:space="preserve">explanation. </w:t>
            </w:r>
            <w:r>
              <w:rPr>
                <w:rFonts w:ascii="Arial" w:eastAsia="SimSun" w:hAnsi="Arial" w:cs="Arial"/>
                <w:sz w:val="16"/>
                <w:szCs w:val="16"/>
                <w:lang w:eastAsia="en-GB"/>
              </w:rPr>
              <w:t>T</w:t>
            </w:r>
            <w:r w:rsidRPr="3249D63F">
              <w:rPr>
                <w:rFonts w:ascii="Arial" w:eastAsia="SimSun" w:hAnsi="Arial" w:cs="Arial"/>
                <w:sz w:val="16"/>
                <w:szCs w:val="16"/>
                <w:lang w:eastAsia="en-GB"/>
              </w:rPr>
              <w:t>he Authority</w:t>
            </w:r>
            <w:r>
              <w:rPr>
                <w:rFonts w:ascii="Arial" w:eastAsia="SimSun" w:hAnsi="Arial" w:cs="Arial"/>
                <w:sz w:val="16"/>
                <w:szCs w:val="16"/>
                <w:lang w:eastAsia="en-GB"/>
              </w:rPr>
              <w:t>, at its sole discretion, reserves the right to remove a Tenderer from this competition who scores an Amber or Red in any metric and is unable to otherwise give the Authority confidence in its financial viability.</w:t>
            </w:r>
          </w:p>
        </w:tc>
      </w:tr>
      <w:tr w:rsidR="003620D4" w14:paraId="396CE17A" w14:textId="77777777" w:rsidTr="00A37B5B">
        <w:trPr>
          <w:trHeight w:val="315"/>
          <w:jc w:val="center"/>
        </w:trPr>
        <w:tc>
          <w:tcPr>
            <w:tcW w:w="715" w:type="dxa"/>
            <w:vMerge/>
          </w:tcPr>
          <w:p w14:paraId="607932A1" w14:textId="2B5D2682" w:rsidR="003620D4" w:rsidRPr="00F75004" w:rsidRDefault="003620D4" w:rsidP="00685F4E">
            <w:pPr>
              <w:widowControl w:val="0"/>
              <w:spacing w:after="0"/>
              <w:jc w:val="center"/>
              <w:rPr>
                <w:rFonts w:ascii="Arial" w:eastAsia="SimSun" w:hAnsi="Arial" w:cs="Arial"/>
                <w:sz w:val="20"/>
                <w:szCs w:val="20"/>
                <w:highlight w:val="yellow"/>
                <w:lang w:eastAsia="en-GB"/>
              </w:rPr>
            </w:pPr>
          </w:p>
        </w:tc>
        <w:tc>
          <w:tcPr>
            <w:tcW w:w="2340" w:type="dxa"/>
            <w:vMerge/>
          </w:tcPr>
          <w:p w14:paraId="5E2D5A53" w14:textId="438DF41B" w:rsidR="003620D4" w:rsidRPr="00974AC2" w:rsidRDefault="003620D4" w:rsidP="00685F4E">
            <w:pPr>
              <w:rPr>
                <w:rFonts w:ascii="Arial" w:eastAsia="SimSun" w:hAnsi="Arial" w:cs="Arial"/>
                <w:sz w:val="20"/>
                <w:szCs w:val="20"/>
                <w:lang w:eastAsia="en-GB"/>
              </w:rPr>
            </w:pPr>
          </w:p>
        </w:tc>
        <w:tc>
          <w:tcPr>
            <w:tcW w:w="1335" w:type="dxa"/>
          </w:tcPr>
          <w:p w14:paraId="70B0B72B" w14:textId="44DAC8C5" w:rsidR="003620D4" w:rsidRDefault="003620D4" w:rsidP="00685F4E">
            <w:pPr>
              <w:jc w:val="center"/>
              <w:rPr>
                <w:rFonts w:ascii="Arial" w:eastAsia="SimSun" w:hAnsi="Arial" w:cs="Arial"/>
                <w:sz w:val="20"/>
                <w:szCs w:val="20"/>
                <w:lang w:eastAsia="en-GB"/>
              </w:rPr>
            </w:pPr>
            <w:r w:rsidRPr="700B8D1D">
              <w:rPr>
                <w:rFonts w:ascii="Arial" w:eastAsia="SimSun" w:hAnsi="Arial" w:cs="Arial"/>
                <w:sz w:val="20"/>
                <w:szCs w:val="20"/>
                <w:lang w:eastAsia="en-GB"/>
              </w:rPr>
              <w:t>4.3</w:t>
            </w:r>
          </w:p>
        </w:tc>
        <w:tc>
          <w:tcPr>
            <w:tcW w:w="2211" w:type="dxa"/>
            <w:vMerge/>
          </w:tcPr>
          <w:p w14:paraId="4164134E" w14:textId="786414F2" w:rsidR="003620D4" w:rsidRDefault="003620D4" w:rsidP="00685F4E">
            <w:pPr>
              <w:rPr>
                <w:rFonts w:ascii="Arial" w:eastAsia="SimSun" w:hAnsi="Arial" w:cs="Arial"/>
                <w:sz w:val="20"/>
                <w:szCs w:val="20"/>
                <w:lang w:eastAsia="en-GB"/>
              </w:rPr>
            </w:pPr>
          </w:p>
        </w:tc>
        <w:tc>
          <w:tcPr>
            <w:tcW w:w="1274" w:type="dxa"/>
          </w:tcPr>
          <w:p w14:paraId="33607818" w14:textId="06701D7D" w:rsidR="003620D4" w:rsidRDefault="003620D4" w:rsidP="00685F4E">
            <w:pPr>
              <w:jc w:val="center"/>
              <w:rPr>
                <w:rFonts w:ascii="Arial" w:eastAsia="SimSun" w:hAnsi="Arial" w:cs="Arial"/>
                <w:sz w:val="20"/>
                <w:szCs w:val="20"/>
                <w:lang w:eastAsia="en-GB"/>
              </w:rPr>
            </w:pPr>
            <w:r w:rsidRPr="4F710FBE">
              <w:rPr>
                <w:rFonts w:ascii="Arial" w:eastAsia="SimSun" w:hAnsi="Arial" w:cs="Arial"/>
                <w:sz w:val="20"/>
                <w:szCs w:val="20"/>
                <w:lang w:eastAsia="en-GB"/>
              </w:rPr>
              <w:t>Pass/Fail</w:t>
            </w:r>
          </w:p>
        </w:tc>
        <w:tc>
          <w:tcPr>
            <w:tcW w:w="4230" w:type="dxa"/>
          </w:tcPr>
          <w:p w14:paraId="6B3AC155" w14:textId="7F12FA50" w:rsidR="003620D4" w:rsidRDefault="003620D4" w:rsidP="00685F4E">
            <w:pPr>
              <w:rPr>
                <w:rFonts w:ascii="Arial" w:eastAsia="SimSun" w:hAnsi="Arial" w:cs="Arial"/>
                <w:sz w:val="20"/>
                <w:szCs w:val="20"/>
                <w:lang w:eastAsia="en-GB"/>
              </w:rPr>
            </w:pPr>
            <w:r w:rsidRPr="4F710FBE">
              <w:rPr>
                <w:rFonts w:ascii="Arial" w:eastAsia="SimSun" w:hAnsi="Arial" w:cs="Arial"/>
                <w:sz w:val="20"/>
                <w:szCs w:val="20"/>
                <w:lang w:eastAsia="en-GB"/>
              </w:rPr>
              <w:t>Yes = Pass / No = Fail</w:t>
            </w:r>
          </w:p>
        </w:tc>
      </w:tr>
      <w:tr w:rsidR="003620D4" w:rsidRPr="009D54AD" w14:paraId="7609766B" w14:textId="77777777" w:rsidTr="00A37B5B">
        <w:trPr>
          <w:trHeight w:val="315"/>
          <w:jc w:val="center"/>
        </w:trPr>
        <w:tc>
          <w:tcPr>
            <w:tcW w:w="715" w:type="dxa"/>
            <w:vMerge/>
          </w:tcPr>
          <w:p w14:paraId="15366739" w14:textId="189CDC50" w:rsidR="003620D4" w:rsidRPr="009D54AD" w:rsidRDefault="003620D4" w:rsidP="00685F4E">
            <w:pPr>
              <w:widowControl w:val="0"/>
              <w:spacing w:after="0"/>
              <w:jc w:val="center"/>
              <w:rPr>
                <w:rFonts w:ascii="Arial" w:eastAsia="SimSun" w:hAnsi="Arial" w:cs="Arial"/>
                <w:sz w:val="20"/>
                <w:szCs w:val="20"/>
                <w:lang w:eastAsia="en-GB"/>
              </w:rPr>
            </w:pPr>
          </w:p>
        </w:tc>
        <w:tc>
          <w:tcPr>
            <w:tcW w:w="2340" w:type="dxa"/>
          </w:tcPr>
          <w:p w14:paraId="6322AAC1" w14:textId="17716143" w:rsidR="003620D4" w:rsidRPr="009D54AD" w:rsidRDefault="003620D4" w:rsidP="00685F4E">
            <w:pPr>
              <w:widowControl w:val="0"/>
              <w:spacing w:after="0"/>
              <w:rPr>
                <w:rFonts w:ascii="Arial" w:eastAsia="SimSun" w:hAnsi="Arial" w:cs="Arial"/>
                <w:sz w:val="20"/>
                <w:szCs w:val="20"/>
                <w:lang w:eastAsia="en-GB"/>
              </w:rPr>
            </w:pPr>
          </w:p>
        </w:tc>
        <w:tc>
          <w:tcPr>
            <w:tcW w:w="1335" w:type="dxa"/>
          </w:tcPr>
          <w:p w14:paraId="43FD9F08" w14:textId="77777777" w:rsidR="003620D4" w:rsidRPr="009D54AD" w:rsidRDefault="003620D4" w:rsidP="00685F4E">
            <w:pPr>
              <w:widowControl w:val="0"/>
              <w:spacing w:after="0"/>
              <w:jc w:val="center"/>
              <w:rPr>
                <w:rFonts w:ascii="Arial" w:eastAsia="SimSun" w:hAnsi="Arial" w:cs="Arial"/>
                <w:sz w:val="20"/>
                <w:szCs w:val="20"/>
                <w:lang w:eastAsia="en-GB"/>
              </w:rPr>
            </w:pPr>
            <w:r w:rsidRPr="009D54AD">
              <w:rPr>
                <w:rFonts w:ascii="Arial" w:eastAsia="SimSun" w:hAnsi="Arial" w:cs="Arial"/>
                <w:sz w:val="20"/>
                <w:szCs w:val="20"/>
                <w:lang w:eastAsia="en-GB"/>
              </w:rPr>
              <w:t>5.1-5.3</w:t>
            </w:r>
          </w:p>
        </w:tc>
        <w:tc>
          <w:tcPr>
            <w:tcW w:w="2211" w:type="dxa"/>
          </w:tcPr>
          <w:p w14:paraId="73CAC57A" w14:textId="3A9FE064" w:rsidR="003620D4" w:rsidRPr="009D54AD" w:rsidRDefault="003620D4" w:rsidP="00685F4E">
            <w:pPr>
              <w:widowControl w:val="0"/>
              <w:spacing w:after="0"/>
              <w:rPr>
                <w:rFonts w:ascii="Arial" w:eastAsia="SimSun" w:hAnsi="Arial" w:cs="Arial"/>
                <w:sz w:val="20"/>
                <w:szCs w:val="20"/>
                <w:lang w:eastAsia="en-GB"/>
              </w:rPr>
            </w:pPr>
            <w:r>
              <w:rPr>
                <w:rFonts w:ascii="Arial" w:eastAsia="SimSun" w:hAnsi="Arial" w:cs="Arial"/>
                <w:sz w:val="20"/>
                <w:szCs w:val="20"/>
                <w:lang w:eastAsia="en-GB"/>
              </w:rPr>
              <w:t>Willingness to provide a Parent Company Guarantee and/or a</w:t>
            </w:r>
            <w:r w:rsidRPr="009D54AD">
              <w:rPr>
                <w:rFonts w:ascii="Arial" w:eastAsia="SimSun" w:hAnsi="Arial" w:cs="Arial"/>
                <w:sz w:val="20"/>
                <w:szCs w:val="20"/>
                <w:lang w:eastAsia="en-GB"/>
              </w:rPr>
              <w:t xml:space="preserve"> performance</w:t>
            </w:r>
            <w:r>
              <w:rPr>
                <w:rFonts w:ascii="Arial" w:eastAsia="SimSun" w:hAnsi="Arial" w:cs="Arial"/>
                <w:sz w:val="20"/>
                <w:szCs w:val="20"/>
                <w:lang w:eastAsia="en-GB"/>
              </w:rPr>
              <w:t>/financial</w:t>
            </w:r>
            <w:r w:rsidRPr="009D54AD">
              <w:rPr>
                <w:rFonts w:ascii="Arial" w:eastAsia="SimSun" w:hAnsi="Arial" w:cs="Arial"/>
                <w:sz w:val="20"/>
                <w:szCs w:val="20"/>
                <w:lang w:eastAsia="en-GB"/>
              </w:rPr>
              <w:t xml:space="preserve"> bond if required</w:t>
            </w:r>
          </w:p>
        </w:tc>
        <w:tc>
          <w:tcPr>
            <w:tcW w:w="1274" w:type="dxa"/>
          </w:tcPr>
          <w:p w14:paraId="4506D5C7" w14:textId="77777777" w:rsidR="003620D4" w:rsidRPr="009D54AD" w:rsidRDefault="003620D4" w:rsidP="00685F4E">
            <w:pPr>
              <w:spacing w:after="0"/>
              <w:jc w:val="center"/>
              <w:rPr>
                <w:rFonts w:ascii="Arial" w:eastAsia="SimSun" w:hAnsi="Arial" w:cs="Arial"/>
                <w:sz w:val="20"/>
                <w:szCs w:val="20"/>
                <w:lang w:eastAsia="en-GB"/>
              </w:rPr>
            </w:pPr>
            <w:r w:rsidRPr="009D54AD">
              <w:rPr>
                <w:rFonts w:ascii="Arial" w:eastAsia="SimSun" w:hAnsi="Arial" w:cs="Arial"/>
                <w:sz w:val="20"/>
                <w:szCs w:val="20"/>
                <w:lang w:eastAsia="en-GB"/>
              </w:rPr>
              <w:t>Pass/Fail</w:t>
            </w:r>
          </w:p>
        </w:tc>
        <w:tc>
          <w:tcPr>
            <w:tcW w:w="4230" w:type="dxa"/>
          </w:tcPr>
          <w:p w14:paraId="324401E5" w14:textId="77777777" w:rsidR="003620D4" w:rsidRPr="009D54AD" w:rsidRDefault="003620D4" w:rsidP="00685F4E">
            <w:pPr>
              <w:spacing w:after="0"/>
              <w:rPr>
                <w:rFonts w:ascii="Arial" w:eastAsia="SimSun" w:hAnsi="Arial" w:cs="Arial"/>
                <w:sz w:val="20"/>
                <w:szCs w:val="20"/>
                <w:lang w:eastAsia="en-GB"/>
              </w:rPr>
            </w:pPr>
            <w:r w:rsidRPr="009D54AD">
              <w:rPr>
                <w:rFonts w:ascii="Arial" w:eastAsia="SimSun" w:hAnsi="Arial" w:cs="Arial"/>
                <w:sz w:val="20"/>
                <w:szCs w:val="20"/>
                <w:lang w:eastAsia="en-GB"/>
              </w:rPr>
              <w:t>Yes = Pass / No = Fail</w:t>
            </w:r>
          </w:p>
        </w:tc>
      </w:tr>
      <w:tr w:rsidR="003620D4" w:rsidRPr="009D54AD" w14:paraId="6F110E84" w14:textId="77777777" w:rsidTr="00A37B5B">
        <w:trPr>
          <w:trHeight w:val="315"/>
          <w:jc w:val="center"/>
        </w:trPr>
        <w:tc>
          <w:tcPr>
            <w:tcW w:w="715" w:type="dxa"/>
            <w:vMerge/>
          </w:tcPr>
          <w:p w14:paraId="6410EAF8" w14:textId="34CA76AC" w:rsidR="003620D4" w:rsidRPr="009D54AD" w:rsidRDefault="003620D4" w:rsidP="00685F4E">
            <w:pPr>
              <w:widowControl w:val="0"/>
              <w:spacing w:after="0"/>
              <w:jc w:val="center"/>
              <w:rPr>
                <w:rFonts w:ascii="Arial" w:eastAsia="SimSun" w:hAnsi="Arial" w:cs="Arial"/>
                <w:sz w:val="20"/>
                <w:szCs w:val="20"/>
                <w:lang w:eastAsia="en-GB"/>
              </w:rPr>
            </w:pPr>
          </w:p>
        </w:tc>
        <w:tc>
          <w:tcPr>
            <w:tcW w:w="2340" w:type="dxa"/>
          </w:tcPr>
          <w:p w14:paraId="78130EEC" w14:textId="77777777" w:rsidR="003620D4" w:rsidRPr="009D54AD" w:rsidRDefault="003620D4" w:rsidP="00685F4E">
            <w:pPr>
              <w:widowControl w:val="0"/>
              <w:spacing w:after="0"/>
              <w:rPr>
                <w:rFonts w:ascii="Arial" w:eastAsia="SimSun" w:hAnsi="Arial" w:cs="Arial"/>
                <w:sz w:val="20"/>
                <w:szCs w:val="20"/>
                <w:lang w:eastAsia="en-GB"/>
              </w:rPr>
            </w:pPr>
            <w:r w:rsidRPr="009D54AD">
              <w:rPr>
                <w:rFonts w:ascii="Arial" w:eastAsia="SimSun" w:hAnsi="Arial" w:cs="Arial"/>
                <w:sz w:val="20"/>
                <w:szCs w:val="20"/>
                <w:lang w:eastAsia="en-GB"/>
              </w:rPr>
              <w:t>Technical and Professional Ability</w:t>
            </w:r>
          </w:p>
        </w:tc>
        <w:tc>
          <w:tcPr>
            <w:tcW w:w="1335" w:type="dxa"/>
          </w:tcPr>
          <w:p w14:paraId="0E3063FB" w14:textId="73ACFF9C" w:rsidR="003620D4" w:rsidRPr="009D54AD" w:rsidRDefault="003620D4" w:rsidP="00685F4E">
            <w:pPr>
              <w:widowControl w:val="0"/>
              <w:spacing w:after="0"/>
              <w:jc w:val="center"/>
              <w:rPr>
                <w:rFonts w:ascii="Arial" w:eastAsia="SimSun" w:hAnsi="Arial" w:cs="Arial"/>
                <w:sz w:val="20"/>
                <w:szCs w:val="20"/>
                <w:lang w:eastAsia="en-GB"/>
              </w:rPr>
            </w:pPr>
            <w:r w:rsidRPr="009D54AD">
              <w:rPr>
                <w:rFonts w:ascii="Arial" w:eastAsia="SimSun" w:hAnsi="Arial" w:cs="Arial"/>
                <w:sz w:val="20"/>
                <w:szCs w:val="20"/>
                <w:lang w:val="it-IT" w:eastAsia="en-GB"/>
              </w:rPr>
              <w:t>6.1</w:t>
            </w:r>
          </w:p>
          <w:p w14:paraId="71784B8E" w14:textId="77777777" w:rsidR="003620D4" w:rsidRPr="009D54AD" w:rsidRDefault="003620D4" w:rsidP="00685F4E">
            <w:pPr>
              <w:widowControl w:val="0"/>
              <w:spacing w:after="0"/>
              <w:jc w:val="center"/>
              <w:rPr>
                <w:rFonts w:ascii="Arial" w:eastAsia="SimSun" w:hAnsi="Arial" w:cs="Arial"/>
                <w:sz w:val="20"/>
                <w:szCs w:val="20"/>
                <w:lang w:eastAsia="en-GB"/>
              </w:rPr>
            </w:pPr>
          </w:p>
        </w:tc>
        <w:tc>
          <w:tcPr>
            <w:tcW w:w="2211" w:type="dxa"/>
          </w:tcPr>
          <w:p w14:paraId="2EF76958" w14:textId="73AD50D5" w:rsidR="003620D4" w:rsidRPr="009D54AD" w:rsidRDefault="003620D4" w:rsidP="00685F4E">
            <w:pPr>
              <w:widowControl w:val="0"/>
              <w:spacing w:after="0"/>
              <w:rPr>
                <w:rFonts w:ascii="Arial" w:eastAsia="SimSun" w:hAnsi="Arial" w:cs="Arial"/>
                <w:sz w:val="20"/>
                <w:szCs w:val="20"/>
                <w:lang w:eastAsia="en-GB"/>
              </w:rPr>
            </w:pPr>
            <w:r>
              <w:rPr>
                <w:rFonts w:ascii="Arial" w:eastAsia="SimSun" w:hAnsi="Arial" w:cs="Arial"/>
                <w:sz w:val="20"/>
                <w:szCs w:val="20"/>
                <w:lang w:eastAsia="en-GB"/>
              </w:rPr>
              <w:t>Capability Matrix</w:t>
            </w:r>
          </w:p>
        </w:tc>
        <w:tc>
          <w:tcPr>
            <w:tcW w:w="1274" w:type="dxa"/>
          </w:tcPr>
          <w:p w14:paraId="64911807" w14:textId="77777777" w:rsidR="003620D4" w:rsidRDefault="003620D4" w:rsidP="00685F4E">
            <w:pPr>
              <w:spacing w:after="0"/>
              <w:jc w:val="center"/>
              <w:rPr>
                <w:rFonts w:ascii="Arial" w:eastAsia="SimSun" w:hAnsi="Arial" w:cs="Arial"/>
                <w:sz w:val="20"/>
                <w:szCs w:val="20"/>
                <w:lang w:eastAsia="en-GB"/>
              </w:rPr>
            </w:pPr>
            <w:r>
              <w:rPr>
                <w:rFonts w:ascii="Arial" w:eastAsia="SimSun" w:hAnsi="Arial" w:cs="Arial"/>
                <w:sz w:val="20"/>
                <w:szCs w:val="20"/>
                <w:lang w:eastAsia="en-GB"/>
              </w:rPr>
              <w:t xml:space="preserve">Pass/Fail </w:t>
            </w:r>
          </w:p>
          <w:p w14:paraId="7F3461A3" w14:textId="77777777" w:rsidR="003620D4" w:rsidRPr="009D54AD" w:rsidRDefault="003620D4" w:rsidP="00685F4E">
            <w:pPr>
              <w:spacing w:after="0"/>
              <w:jc w:val="center"/>
              <w:rPr>
                <w:rFonts w:ascii="Arial" w:eastAsia="SimSun" w:hAnsi="Arial" w:cs="Arial"/>
                <w:sz w:val="20"/>
                <w:szCs w:val="20"/>
                <w:lang w:eastAsia="en-GB"/>
              </w:rPr>
            </w:pPr>
          </w:p>
        </w:tc>
        <w:tc>
          <w:tcPr>
            <w:tcW w:w="4230" w:type="dxa"/>
          </w:tcPr>
          <w:p w14:paraId="12B76E26" w14:textId="2CF3F059" w:rsidR="003620D4" w:rsidRPr="00974AC2" w:rsidRDefault="003620D4" w:rsidP="00685F4E">
            <w:pPr>
              <w:spacing w:after="0"/>
              <w:rPr>
                <w:rFonts w:ascii="Arial" w:eastAsia="SimSun" w:hAnsi="Arial" w:cs="Arial"/>
                <w:sz w:val="20"/>
                <w:szCs w:val="20"/>
                <w:lang w:eastAsia="en-GB"/>
              </w:rPr>
            </w:pPr>
            <w:r w:rsidRPr="00F75004">
              <w:rPr>
                <w:rFonts w:ascii="Arial" w:eastAsia="SimSun" w:hAnsi="Arial" w:cs="Arial"/>
                <w:sz w:val="20"/>
                <w:szCs w:val="20"/>
                <w:lang w:eastAsia="en-GB"/>
              </w:rPr>
              <w:t>13+ points* = Pass</w:t>
            </w:r>
            <w:r w:rsidR="003F1A65">
              <w:rPr>
                <w:rFonts w:ascii="Arial" w:eastAsia="SimSun" w:hAnsi="Arial" w:cs="Arial"/>
                <w:sz w:val="20"/>
                <w:szCs w:val="20"/>
                <w:lang w:eastAsia="en-GB"/>
              </w:rPr>
              <w:t>;</w:t>
            </w:r>
            <w:r w:rsidRPr="00F75004">
              <w:rPr>
                <w:rFonts w:ascii="Arial" w:eastAsia="SimSun" w:hAnsi="Arial" w:cs="Arial"/>
                <w:sz w:val="20"/>
                <w:szCs w:val="20"/>
                <w:lang w:eastAsia="en-GB"/>
              </w:rPr>
              <w:t xml:space="preserve"> 0-12 points = Fail</w:t>
            </w:r>
          </w:p>
          <w:p w14:paraId="585BB215" w14:textId="7E56C639" w:rsidR="003620D4" w:rsidRDefault="003620D4" w:rsidP="00685F4E">
            <w:pPr>
              <w:spacing w:after="0"/>
              <w:rPr>
                <w:rFonts w:ascii="Arial" w:eastAsia="SimSun" w:hAnsi="Arial" w:cs="Arial"/>
                <w:sz w:val="20"/>
                <w:szCs w:val="20"/>
                <w:lang w:eastAsia="en-GB"/>
              </w:rPr>
            </w:pPr>
          </w:p>
          <w:p w14:paraId="1792A001" w14:textId="14907410" w:rsidR="003620D4" w:rsidRPr="009D54AD" w:rsidRDefault="003620D4" w:rsidP="00685F4E">
            <w:pPr>
              <w:spacing w:after="0"/>
              <w:rPr>
                <w:rFonts w:ascii="Arial" w:eastAsia="SimSun" w:hAnsi="Arial" w:cs="Arial"/>
                <w:sz w:val="16"/>
                <w:szCs w:val="16"/>
                <w:lang w:eastAsia="en-GB"/>
              </w:rPr>
            </w:pPr>
            <w:r w:rsidRPr="762C7436">
              <w:rPr>
                <w:rFonts w:ascii="Arial" w:eastAsia="SimSun" w:hAnsi="Arial" w:cs="Arial"/>
                <w:sz w:val="16"/>
                <w:szCs w:val="16"/>
                <w:lang w:eastAsia="en-GB"/>
              </w:rPr>
              <w:t xml:space="preserve">*Points scored where demonstrating the existence of a legal entity delivering similar services in a jurisdiction scores 1 point per jurisdiction.  </w:t>
            </w:r>
          </w:p>
        </w:tc>
      </w:tr>
      <w:tr w:rsidR="003620D4" w:rsidRPr="009D54AD" w14:paraId="1244B0E0" w14:textId="77777777" w:rsidTr="00A37B5B">
        <w:trPr>
          <w:trHeight w:val="315"/>
          <w:jc w:val="center"/>
        </w:trPr>
        <w:tc>
          <w:tcPr>
            <w:tcW w:w="715" w:type="dxa"/>
            <w:vMerge/>
          </w:tcPr>
          <w:p w14:paraId="7C66DB14" w14:textId="498111CA" w:rsidR="003620D4" w:rsidRPr="009D54AD" w:rsidRDefault="003620D4" w:rsidP="00685F4E">
            <w:pPr>
              <w:widowControl w:val="0"/>
              <w:spacing w:after="0"/>
              <w:jc w:val="center"/>
              <w:rPr>
                <w:rFonts w:ascii="Arial" w:eastAsia="SimSun" w:hAnsi="Arial" w:cs="Arial"/>
                <w:sz w:val="20"/>
                <w:szCs w:val="20"/>
                <w:lang w:eastAsia="en-GB"/>
              </w:rPr>
            </w:pPr>
          </w:p>
        </w:tc>
        <w:tc>
          <w:tcPr>
            <w:tcW w:w="2340" w:type="dxa"/>
          </w:tcPr>
          <w:p w14:paraId="10EF9BA9" w14:textId="77777777" w:rsidR="003620D4" w:rsidRPr="009D54AD" w:rsidRDefault="003620D4" w:rsidP="00685F4E">
            <w:pPr>
              <w:widowControl w:val="0"/>
              <w:spacing w:after="0"/>
              <w:rPr>
                <w:rFonts w:ascii="Arial" w:eastAsia="SimSun" w:hAnsi="Arial" w:cs="Arial"/>
                <w:sz w:val="20"/>
                <w:szCs w:val="20"/>
                <w:lang w:eastAsia="en-GB"/>
              </w:rPr>
            </w:pPr>
            <w:r w:rsidRPr="009D54AD">
              <w:rPr>
                <w:rFonts w:ascii="Arial" w:eastAsia="SimSun" w:hAnsi="Arial" w:cs="Arial"/>
                <w:sz w:val="20"/>
                <w:szCs w:val="20"/>
                <w:lang w:eastAsia="en-GB"/>
              </w:rPr>
              <w:t>Modern Slavery Act</w:t>
            </w:r>
          </w:p>
        </w:tc>
        <w:tc>
          <w:tcPr>
            <w:tcW w:w="1335" w:type="dxa"/>
          </w:tcPr>
          <w:p w14:paraId="53334C94" w14:textId="77777777" w:rsidR="003620D4" w:rsidRPr="009D54AD" w:rsidRDefault="003620D4" w:rsidP="00685F4E">
            <w:pPr>
              <w:widowControl w:val="0"/>
              <w:spacing w:after="0"/>
              <w:jc w:val="center"/>
              <w:rPr>
                <w:rFonts w:ascii="Arial" w:eastAsia="SimSun" w:hAnsi="Arial" w:cs="Arial"/>
                <w:sz w:val="20"/>
                <w:szCs w:val="20"/>
                <w:lang w:eastAsia="en-GB"/>
              </w:rPr>
            </w:pPr>
            <w:r w:rsidRPr="009D54AD">
              <w:rPr>
                <w:rFonts w:ascii="Arial" w:eastAsia="SimSun" w:hAnsi="Arial" w:cs="Arial"/>
                <w:sz w:val="20"/>
                <w:szCs w:val="20"/>
                <w:lang w:val="it-IT" w:eastAsia="en-GB"/>
              </w:rPr>
              <w:t>7.1-7.2</w:t>
            </w:r>
          </w:p>
        </w:tc>
        <w:tc>
          <w:tcPr>
            <w:tcW w:w="2211" w:type="dxa"/>
          </w:tcPr>
          <w:p w14:paraId="720DADB8" w14:textId="77777777" w:rsidR="003620D4" w:rsidRPr="009D54AD" w:rsidRDefault="003620D4" w:rsidP="00685F4E">
            <w:pPr>
              <w:widowControl w:val="0"/>
              <w:spacing w:after="0"/>
              <w:rPr>
                <w:rFonts w:ascii="Arial" w:eastAsia="SimSun" w:hAnsi="Arial" w:cs="Arial"/>
                <w:sz w:val="20"/>
                <w:szCs w:val="20"/>
                <w:lang w:eastAsia="en-GB"/>
              </w:rPr>
            </w:pPr>
            <w:r w:rsidRPr="009D54AD">
              <w:rPr>
                <w:rFonts w:ascii="Arial" w:eastAsia="SimSun" w:hAnsi="Arial" w:cs="Arial"/>
                <w:sz w:val="20"/>
                <w:szCs w:val="20"/>
                <w:lang w:eastAsia="en-GB"/>
              </w:rPr>
              <w:t>Modern Slavery Act</w:t>
            </w:r>
          </w:p>
        </w:tc>
        <w:tc>
          <w:tcPr>
            <w:tcW w:w="1274" w:type="dxa"/>
          </w:tcPr>
          <w:p w14:paraId="11CE5186" w14:textId="77777777" w:rsidR="003620D4" w:rsidRPr="009D54AD" w:rsidRDefault="003620D4" w:rsidP="00685F4E">
            <w:pPr>
              <w:spacing w:after="0"/>
              <w:jc w:val="center"/>
              <w:rPr>
                <w:rFonts w:ascii="Arial" w:eastAsia="SimSun" w:hAnsi="Arial" w:cs="Arial"/>
                <w:sz w:val="20"/>
                <w:szCs w:val="20"/>
                <w:lang w:eastAsia="en-GB"/>
              </w:rPr>
            </w:pPr>
            <w:r w:rsidRPr="009D54AD">
              <w:rPr>
                <w:rFonts w:ascii="Arial" w:eastAsia="SimSun" w:hAnsi="Arial" w:cs="Arial"/>
                <w:sz w:val="20"/>
                <w:szCs w:val="20"/>
                <w:lang w:eastAsia="en-GB"/>
              </w:rPr>
              <w:t>Pass/Fail</w:t>
            </w:r>
          </w:p>
        </w:tc>
        <w:tc>
          <w:tcPr>
            <w:tcW w:w="4230" w:type="dxa"/>
          </w:tcPr>
          <w:p w14:paraId="331A47E3" w14:textId="77777777" w:rsidR="003620D4" w:rsidRPr="009D54AD" w:rsidRDefault="003620D4" w:rsidP="00685F4E">
            <w:pPr>
              <w:spacing w:after="0"/>
              <w:rPr>
                <w:rFonts w:ascii="Arial" w:eastAsia="SimSun" w:hAnsi="Arial" w:cs="Arial"/>
                <w:sz w:val="20"/>
                <w:szCs w:val="20"/>
                <w:lang w:eastAsia="en-GB"/>
              </w:rPr>
            </w:pPr>
            <w:r w:rsidRPr="009D54AD">
              <w:rPr>
                <w:rFonts w:ascii="Arial" w:eastAsia="SimSun" w:hAnsi="Arial" w:cs="Arial"/>
                <w:sz w:val="20"/>
                <w:szCs w:val="20"/>
                <w:lang w:eastAsia="en-GB"/>
              </w:rPr>
              <w:t>Yes = Pass / No = Fail</w:t>
            </w:r>
          </w:p>
        </w:tc>
      </w:tr>
      <w:tr w:rsidR="003620D4" w:rsidRPr="009D54AD" w14:paraId="59420AC7" w14:textId="77777777" w:rsidTr="00A37B5B">
        <w:trPr>
          <w:trHeight w:val="315"/>
          <w:jc w:val="center"/>
        </w:trPr>
        <w:tc>
          <w:tcPr>
            <w:tcW w:w="715" w:type="dxa"/>
            <w:vMerge/>
          </w:tcPr>
          <w:p w14:paraId="704239F1" w14:textId="18FA6766" w:rsidR="003620D4" w:rsidRPr="009D54AD" w:rsidRDefault="003620D4" w:rsidP="00685F4E">
            <w:pPr>
              <w:widowControl w:val="0"/>
              <w:spacing w:after="0"/>
              <w:jc w:val="center"/>
              <w:rPr>
                <w:rFonts w:ascii="Arial" w:eastAsia="SimSun" w:hAnsi="Arial" w:cs="Arial"/>
                <w:sz w:val="20"/>
                <w:szCs w:val="20"/>
                <w:lang w:eastAsia="en-GB"/>
              </w:rPr>
            </w:pPr>
          </w:p>
        </w:tc>
        <w:tc>
          <w:tcPr>
            <w:tcW w:w="2340" w:type="dxa"/>
          </w:tcPr>
          <w:p w14:paraId="37B5D813" w14:textId="77777777" w:rsidR="003620D4" w:rsidRPr="009D54AD" w:rsidRDefault="003620D4" w:rsidP="00685F4E">
            <w:pPr>
              <w:widowControl w:val="0"/>
              <w:spacing w:after="0"/>
              <w:rPr>
                <w:rFonts w:ascii="Arial" w:eastAsia="SimSun" w:hAnsi="Arial" w:cs="Arial"/>
                <w:sz w:val="20"/>
                <w:szCs w:val="20"/>
                <w:lang w:eastAsia="en-GB"/>
              </w:rPr>
            </w:pPr>
            <w:r>
              <w:rPr>
                <w:rFonts w:ascii="Arial" w:eastAsia="SimSun" w:hAnsi="Arial" w:cs="Arial"/>
                <w:sz w:val="20"/>
                <w:szCs w:val="20"/>
                <w:lang w:eastAsia="en-GB"/>
              </w:rPr>
              <w:t>Additional Information</w:t>
            </w:r>
          </w:p>
        </w:tc>
        <w:tc>
          <w:tcPr>
            <w:tcW w:w="1335" w:type="dxa"/>
          </w:tcPr>
          <w:p w14:paraId="562F1EC0" w14:textId="02C5B26A" w:rsidR="003620D4" w:rsidRPr="009D54AD" w:rsidRDefault="003620D4" w:rsidP="00685F4E">
            <w:pPr>
              <w:widowControl w:val="0"/>
              <w:spacing w:after="0"/>
              <w:jc w:val="center"/>
              <w:rPr>
                <w:rFonts w:ascii="Arial" w:eastAsia="SimSun" w:hAnsi="Arial" w:cs="Arial"/>
                <w:sz w:val="20"/>
                <w:szCs w:val="20"/>
                <w:lang w:val="it-IT" w:eastAsia="en-GB"/>
              </w:rPr>
            </w:pPr>
            <w:r>
              <w:rPr>
                <w:rFonts w:ascii="Arial" w:eastAsia="SimSun" w:hAnsi="Arial" w:cs="Arial"/>
                <w:sz w:val="20"/>
                <w:szCs w:val="20"/>
                <w:lang w:val="it-IT" w:eastAsia="en-GB"/>
              </w:rPr>
              <w:t>a.</w:t>
            </w:r>
          </w:p>
        </w:tc>
        <w:tc>
          <w:tcPr>
            <w:tcW w:w="2211" w:type="dxa"/>
          </w:tcPr>
          <w:p w14:paraId="68BBA163" w14:textId="77777777" w:rsidR="003620D4" w:rsidRPr="009D54AD" w:rsidRDefault="003620D4" w:rsidP="00685F4E">
            <w:pPr>
              <w:widowControl w:val="0"/>
              <w:spacing w:after="0"/>
              <w:rPr>
                <w:rFonts w:ascii="Arial" w:eastAsia="SimSun" w:hAnsi="Arial" w:cs="Arial"/>
                <w:sz w:val="20"/>
                <w:szCs w:val="20"/>
                <w:lang w:eastAsia="en-GB"/>
              </w:rPr>
            </w:pPr>
            <w:r>
              <w:rPr>
                <w:rFonts w:ascii="Arial" w:eastAsia="SimSun" w:hAnsi="Arial" w:cs="Arial"/>
                <w:sz w:val="20"/>
                <w:szCs w:val="20"/>
                <w:lang w:eastAsia="en-GB"/>
              </w:rPr>
              <w:t xml:space="preserve">With reference to the draft data room index Please identify any additional information </w:t>
            </w:r>
            <w:r>
              <w:rPr>
                <w:rFonts w:ascii="Arial" w:eastAsia="SimSun" w:hAnsi="Arial" w:cs="Arial"/>
                <w:sz w:val="20"/>
                <w:szCs w:val="20"/>
                <w:lang w:eastAsia="en-GB"/>
              </w:rPr>
              <w:lastRenderedPageBreak/>
              <w:t>that you would expect to be provided within a “data room” as part of the further stages of the procurement.</w:t>
            </w:r>
          </w:p>
        </w:tc>
        <w:tc>
          <w:tcPr>
            <w:tcW w:w="1274" w:type="dxa"/>
          </w:tcPr>
          <w:p w14:paraId="012B338D" w14:textId="77777777" w:rsidR="003620D4" w:rsidRPr="009D54AD" w:rsidRDefault="003620D4" w:rsidP="00685F4E">
            <w:pPr>
              <w:spacing w:after="0"/>
              <w:jc w:val="center"/>
              <w:rPr>
                <w:rFonts w:ascii="Arial" w:eastAsia="SimSun" w:hAnsi="Arial" w:cs="Arial"/>
                <w:sz w:val="20"/>
                <w:szCs w:val="20"/>
                <w:lang w:eastAsia="en-GB"/>
              </w:rPr>
            </w:pPr>
            <w:r>
              <w:rPr>
                <w:rFonts w:ascii="Arial" w:eastAsia="SimSun" w:hAnsi="Arial" w:cs="Arial"/>
                <w:sz w:val="20"/>
                <w:szCs w:val="20"/>
                <w:lang w:eastAsia="en-GB"/>
              </w:rPr>
              <w:lastRenderedPageBreak/>
              <w:t>N/A</w:t>
            </w:r>
          </w:p>
        </w:tc>
        <w:tc>
          <w:tcPr>
            <w:tcW w:w="4230" w:type="dxa"/>
          </w:tcPr>
          <w:p w14:paraId="716560DE" w14:textId="77777777" w:rsidR="003620D4" w:rsidRPr="009D54AD" w:rsidRDefault="003620D4" w:rsidP="00685F4E">
            <w:pPr>
              <w:spacing w:after="0"/>
              <w:rPr>
                <w:rFonts w:ascii="Arial" w:eastAsia="SimSun" w:hAnsi="Arial" w:cs="Arial"/>
                <w:sz w:val="20"/>
                <w:szCs w:val="20"/>
                <w:lang w:eastAsia="en-GB"/>
              </w:rPr>
            </w:pPr>
            <w:r>
              <w:rPr>
                <w:rFonts w:ascii="Arial" w:eastAsia="SimSun" w:hAnsi="Arial" w:cs="Arial"/>
                <w:sz w:val="20"/>
                <w:szCs w:val="20"/>
                <w:lang w:eastAsia="en-GB"/>
              </w:rPr>
              <w:t>For Information Only</w:t>
            </w:r>
          </w:p>
        </w:tc>
      </w:tr>
      <w:tr w:rsidR="003620D4" w:rsidRPr="009D54AD" w14:paraId="68FDBFFD" w14:textId="77777777" w:rsidTr="00A37B5B">
        <w:trPr>
          <w:trHeight w:val="315"/>
          <w:jc w:val="center"/>
        </w:trPr>
        <w:tc>
          <w:tcPr>
            <w:tcW w:w="715" w:type="dxa"/>
            <w:vMerge/>
          </w:tcPr>
          <w:p w14:paraId="55A4497C" w14:textId="32CE9758" w:rsidR="003620D4" w:rsidRPr="009D54AD" w:rsidRDefault="003620D4" w:rsidP="00685F4E">
            <w:pPr>
              <w:widowControl w:val="0"/>
              <w:spacing w:after="0"/>
              <w:jc w:val="center"/>
              <w:rPr>
                <w:rFonts w:ascii="Arial" w:eastAsia="SimSun" w:hAnsi="Arial" w:cs="Arial"/>
                <w:sz w:val="20"/>
                <w:szCs w:val="20"/>
                <w:lang w:eastAsia="en-GB"/>
              </w:rPr>
            </w:pPr>
          </w:p>
        </w:tc>
        <w:tc>
          <w:tcPr>
            <w:tcW w:w="2340" w:type="dxa"/>
          </w:tcPr>
          <w:p w14:paraId="1AA4080B" w14:textId="77777777" w:rsidR="003620D4" w:rsidRDefault="003620D4" w:rsidP="00685F4E">
            <w:pPr>
              <w:widowControl w:val="0"/>
              <w:spacing w:after="0"/>
              <w:rPr>
                <w:rFonts w:ascii="Arial" w:eastAsia="SimSun" w:hAnsi="Arial" w:cs="Arial"/>
                <w:sz w:val="20"/>
                <w:szCs w:val="20"/>
                <w:lang w:eastAsia="en-GB"/>
              </w:rPr>
            </w:pPr>
            <w:r>
              <w:rPr>
                <w:rFonts w:ascii="Arial" w:eastAsia="SimSun" w:hAnsi="Arial" w:cs="Arial"/>
                <w:sz w:val="20"/>
                <w:szCs w:val="20"/>
                <w:lang w:eastAsia="en-GB"/>
              </w:rPr>
              <w:t>Additional Information</w:t>
            </w:r>
          </w:p>
        </w:tc>
        <w:tc>
          <w:tcPr>
            <w:tcW w:w="1335" w:type="dxa"/>
          </w:tcPr>
          <w:p w14:paraId="21D55A5A" w14:textId="727618A1" w:rsidR="003620D4" w:rsidRPr="009D54AD" w:rsidRDefault="003620D4" w:rsidP="00685F4E">
            <w:pPr>
              <w:widowControl w:val="0"/>
              <w:spacing w:after="0"/>
              <w:jc w:val="center"/>
              <w:rPr>
                <w:rFonts w:ascii="Arial" w:eastAsia="SimSun" w:hAnsi="Arial" w:cs="Arial"/>
                <w:sz w:val="20"/>
                <w:szCs w:val="20"/>
                <w:lang w:val="it-IT" w:eastAsia="en-GB"/>
              </w:rPr>
            </w:pPr>
            <w:r>
              <w:rPr>
                <w:rFonts w:ascii="Arial" w:eastAsia="SimSun" w:hAnsi="Arial" w:cs="Arial"/>
                <w:sz w:val="20"/>
                <w:szCs w:val="20"/>
                <w:lang w:val="it-IT" w:eastAsia="en-GB"/>
              </w:rPr>
              <w:t>b.</w:t>
            </w:r>
          </w:p>
        </w:tc>
        <w:tc>
          <w:tcPr>
            <w:tcW w:w="2211" w:type="dxa"/>
          </w:tcPr>
          <w:p w14:paraId="10F7E5B2" w14:textId="37518DF6" w:rsidR="003620D4" w:rsidRPr="009D54AD" w:rsidRDefault="003620D4" w:rsidP="00685F4E">
            <w:pPr>
              <w:widowControl w:val="0"/>
              <w:spacing w:after="0"/>
              <w:rPr>
                <w:rFonts w:ascii="Arial" w:eastAsia="SimSun" w:hAnsi="Arial" w:cs="Arial"/>
                <w:sz w:val="20"/>
                <w:szCs w:val="20"/>
                <w:lang w:eastAsia="en-GB"/>
              </w:rPr>
            </w:pPr>
            <w:r>
              <w:rPr>
                <w:rFonts w:ascii="Arial" w:eastAsia="SimSun" w:hAnsi="Arial" w:cs="Arial"/>
                <w:sz w:val="20"/>
                <w:szCs w:val="20"/>
                <w:lang w:eastAsia="en-GB"/>
              </w:rPr>
              <w:t>To assist the FCO to develop the case for further regional outsourcing/consolidation of supply, please provide details of the financial and non-financial benefits you have been able to deliver for clients when implementing regional service solutions.</w:t>
            </w:r>
          </w:p>
        </w:tc>
        <w:tc>
          <w:tcPr>
            <w:tcW w:w="1274" w:type="dxa"/>
          </w:tcPr>
          <w:p w14:paraId="11339D95" w14:textId="77777777" w:rsidR="003620D4" w:rsidRPr="009D54AD" w:rsidRDefault="003620D4" w:rsidP="00685F4E">
            <w:pPr>
              <w:spacing w:after="0"/>
              <w:jc w:val="center"/>
              <w:rPr>
                <w:rFonts w:ascii="Arial" w:eastAsia="SimSun" w:hAnsi="Arial" w:cs="Arial"/>
                <w:sz w:val="20"/>
                <w:szCs w:val="20"/>
                <w:lang w:eastAsia="en-GB"/>
              </w:rPr>
            </w:pPr>
            <w:r>
              <w:rPr>
                <w:rFonts w:ascii="Arial" w:eastAsia="SimSun" w:hAnsi="Arial" w:cs="Arial"/>
                <w:sz w:val="20"/>
                <w:szCs w:val="20"/>
                <w:lang w:eastAsia="en-GB"/>
              </w:rPr>
              <w:t>N/A</w:t>
            </w:r>
          </w:p>
        </w:tc>
        <w:tc>
          <w:tcPr>
            <w:tcW w:w="4230" w:type="dxa"/>
          </w:tcPr>
          <w:p w14:paraId="04310E49" w14:textId="77777777" w:rsidR="003620D4" w:rsidRPr="009D54AD" w:rsidRDefault="003620D4" w:rsidP="00685F4E">
            <w:pPr>
              <w:spacing w:after="0"/>
              <w:rPr>
                <w:rFonts w:ascii="Arial" w:eastAsia="SimSun" w:hAnsi="Arial" w:cs="Arial"/>
                <w:sz w:val="20"/>
                <w:szCs w:val="20"/>
                <w:lang w:eastAsia="en-GB"/>
              </w:rPr>
            </w:pPr>
            <w:r>
              <w:rPr>
                <w:rFonts w:ascii="Arial" w:eastAsia="SimSun" w:hAnsi="Arial" w:cs="Arial"/>
                <w:sz w:val="20"/>
                <w:szCs w:val="20"/>
                <w:lang w:eastAsia="en-GB"/>
              </w:rPr>
              <w:t>For Information Only</w:t>
            </w:r>
          </w:p>
        </w:tc>
      </w:tr>
    </w:tbl>
    <w:p w14:paraId="4D9EF057" w14:textId="279822CA" w:rsidR="00697A02" w:rsidRDefault="00697A02" w:rsidP="00685F4E">
      <w:pPr>
        <w:spacing w:after="160"/>
        <w:rPr>
          <w:rFonts w:ascii="Arial" w:eastAsia="Arial" w:hAnsi="Arial" w:cs="Arial"/>
          <w:sz w:val="24"/>
        </w:rPr>
        <w:sectPr w:rsidR="00697A02" w:rsidSect="00D91511">
          <w:headerReference w:type="first" r:id="rId21"/>
          <w:pgSz w:w="16838" w:h="11906" w:orient="landscape"/>
          <w:pgMar w:top="1440" w:right="1440" w:bottom="1440" w:left="1440" w:header="708" w:footer="708" w:gutter="0"/>
          <w:cols w:space="708"/>
          <w:titlePg/>
          <w:docGrid w:linePitch="360"/>
        </w:sectPr>
      </w:pPr>
    </w:p>
    <w:p w14:paraId="1A814144" w14:textId="565C1BD7" w:rsidR="0014596E" w:rsidRPr="002A5FC3" w:rsidRDefault="0014596E" w:rsidP="00685F4E">
      <w:pPr>
        <w:spacing w:after="160"/>
        <w:jc w:val="center"/>
        <w:rPr>
          <w:rFonts w:ascii="Arial" w:eastAsia="SimSun" w:hAnsi="Arial" w:cs="Arial"/>
          <w:sz w:val="20"/>
          <w:szCs w:val="20"/>
          <w:lang w:eastAsia="en-GB"/>
        </w:rPr>
      </w:pPr>
      <w:r w:rsidRPr="0014596E">
        <w:rPr>
          <w:rFonts w:ascii="Arial" w:eastAsia="SimSun" w:hAnsi="Arial" w:cs="Arial"/>
          <w:b/>
          <w:sz w:val="24"/>
          <w:szCs w:val="20"/>
          <w:lang w:eastAsia="en-GB"/>
        </w:rPr>
        <w:lastRenderedPageBreak/>
        <w:t>Appendix C – Requirements when Working with the FCO</w:t>
      </w:r>
    </w:p>
    <w:p w14:paraId="6BB1946F" w14:textId="77777777" w:rsidR="0014596E" w:rsidRDefault="0014596E" w:rsidP="00685F4E">
      <w:pPr>
        <w:spacing w:after="120"/>
        <w:rPr>
          <w:rFonts w:ascii="Arial" w:eastAsia="SimSun" w:hAnsi="Arial" w:cs="Arial"/>
          <w:sz w:val="24"/>
          <w:szCs w:val="20"/>
          <w:u w:val="single"/>
          <w:lang w:eastAsia="en-GB"/>
        </w:rPr>
      </w:pPr>
      <w:r>
        <w:rPr>
          <w:rFonts w:ascii="Arial" w:eastAsia="SimSun" w:hAnsi="Arial" w:cs="Arial"/>
          <w:sz w:val="24"/>
          <w:szCs w:val="20"/>
          <w:u w:val="single"/>
          <w:lang w:eastAsia="en-GB"/>
        </w:rPr>
        <w:t>Resilience and Approach to Service Delivery</w:t>
      </w:r>
    </w:p>
    <w:p w14:paraId="16985226" w14:textId="77777777" w:rsidR="0014596E" w:rsidRDefault="0014596E" w:rsidP="00685F4E">
      <w:pPr>
        <w:spacing w:after="120"/>
        <w:rPr>
          <w:rFonts w:ascii="Arial" w:eastAsia="SimSun" w:hAnsi="Arial" w:cs="Arial"/>
          <w:sz w:val="24"/>
          <w:szCs w:val="20"/>
          <w:lang w:eastAsia="en-GB"/>
        </w:rPr>
      </w:pPr>
      <w:r>
        <w:rPr>
          <w:rFonts w:ascii="Arial" w:eastAsia="SimSun" w:hAnsi="Arial" w:cs="Arial"/>
          <w:sz w:val="24"/>
          <w:szCs w:val="20"/>
          <w:lang w:eastAsia="en-GB"/>
        </w:rPr>
        <w:t xml:space="preserve">The FCO is particularly focussed on the resilience of the infrastructure assets, services and supply chain that directly support the effectiveness of its front line activities in the UK and overseas. The </w:t>
      </w:r>
      <w:r w:rsidR="004D446E">
        <w:rPr>
          <w:rFonts w:ascii="Arial" w:eastAsia="SimSun" w:hAnsi="Arial" w:cs="Arial"/>
          <w:sz w:val="24"/>
          <w:szCs w:val="20"/>
          <w:lang w:eastAsia="en-GB"/>
        </w:rPr>
        <w:t>DPS providers, if awarded a work package under the DPS,</w:t>
      </w:r>
      <w:r>
        <w:rPr>
          <w:rFonts w:ascii="Arial" w:eastAsia="SimSun" w:hAnsi="Arial" w:cs="Arial"/>
          <w:sz w:val="24"/>
          <w:szCs w:val="20"/>
          <w:lang w:eastAsia="en-GB"/>
        </w:rPr>
        <w:t xml:space="preserve"> will be required to work with the FCO</w:t>
      </w:r>
      <w:r w:rsidR="00696C8B">
        <w:rPr>
          <w:rFonts w:ascii="Arial" w:eastAsia="SimSun" w:hAnsi="Arial" w:cs="Arial"/>
          <w:sz w:val="24"/>
          <w:szCs w:val="20"/>
          <w:lang w:eastAsia="en-GB"/>
        </w:rPr>
        <w:t xml:space="preserve"> to enhance the resilience of the FCO estate and FM services by: </w:t>
      </w:r>
    </w:p>
    <w:p w14:paraId="6C943DF7" w14:textId="77777777" w:rsidR="00696C8B" w:rsidRPr="00696C8B" w:rsidRDefault="00696C8B" w:rsidP="00685F4E">
      <w:pPr>
        <w:pStyle w:val="ListParagraph"/>
        <w:numPr>
          <w:ilvl w:val="0"/>
          <w:numId w:val="32"/>
        </w:numPr>
        <w:spacing w:after="120"/>
        <w:rPr>
          <w:rFonts w:ascii="Arial" w:eastAsia="SimSun" w:hAnsi="Arial" w:cs="Arial"/>
          <w:sz w:val="24"/>
          <w:szCs w:val="24"/>
          <w:lang w:eastAsia="en-GB"/>
        </w:rPr>
      </w:pPr>
      <w:r w:rsidRPr="00696C8B">
        <w:rPr>
          <w:rFonts w:ascii="Arial" w:eastAsia="SimSun" w:hAnsi="Arial" w:cs="Arial"/>
          <w:sz w:val="24"/>
          <w:szCs w:val="24"/>
          <w:lang w:eastAsia="en-GB"/>
        </w:rPr>
        <w:t>Providing information, analysis and expertise to enhance the resilience of buildings and assets including through optimising maintenance regimes;</w:t>
      </w:r>
    </w:p>
    <w:p w14:paraId="0E1A157C" w14:textId="77777777" w:rsidR="00696C8B" w:rsidRPr="00696C8B" w:rsidRDefault="00696C8B" w:rsidP="00685F4E">
      <w:pPr>
        <w:pStyle w:val="NormalWeb"/>
        <w:numPr>
          <w:ilvl w:val="0"/>
          <w:numId w:val="32"/>
        </w:numPr>
        <w:spacing w:after="120" w:afterAutospacing="0" w:line="276" w:lineRule="auto"/>
        <w:rPr>
          <w:rFonts w:ascii="Arial" w:hAnsi="Arial" w:cs="Arial"/>
          <w:color w:val="000000"/>
        </w:rPr>
      </w:pPr>
      <w:r w:rsidRPr="00696C8B">
        <w:rPr>
          <w:rFonts w:ascii="Arial" w:hAnsi="Arial" w:cs="Arial"/>
          <w:color w:val="000000"/>
        </w:rPr>
        <w:t>Developing a FM service delivery infrastructure that is highly resilient, including the development, implementation and ongoing testing of business continuity and disaster recov</w:t>
      </w:r>
      <w:r>
        <w:rPr>
          <w:rFonts w:ascii="Arial" w:hAnsi="Arial" w:cs="Arial"/>
          <w:color w:val="000000"/>
        </w:rPr>
        <w:t xml:space="preserve">ery plans as they relate to the </w:t>
      </w:r>
      <w:r w:rsidRPr="00696C8B">
        <w:rPr>
          <w:rFonts w:ascii="Arial" w:hAnsi="Arial" w:cs="Arial"/>
          <w:color w:val="000000"/>
        </w:rPr>
        <w:t>FM services;</w:t>
      </w:r>
    </w:p>
    <w:p w14:paraId="19B6E721" w14:textId="3BD11AA1" w:rsidR="00696C8B" w:rsidRPr="00696C8B" w:rsidRDefault="00696C8B" w:rsidP="00685F4E">
      <w:pPr>
        <w:pStyle w:val="NormalWeb"/>
        <w:numPr>
          <w:ilvl w:val="0"/>
          <w:numId w:val="32"/>
        </w:numPr>
        <w:spacing w:after="120" w:afterAutospacing="0" w:line="276" w:lineRule="auto"/>
        <w:rPr>
          <w:rFonts w:ascii="Arial" w:hAnsi="Arial" w:cs="Arial"/>
          <w:color w:val="000000"/>
        </w:rPr>
      </w:pPr>
      <w:r w:rsidRPr="00696C8B">
        <w:rPr>
          <w:rFonts w:ascii="Arial" w:hAnsi="Arial" w:cs="Arial"/>
          <w:color w:val="000000"/>
        </w:rPr>
        <w:t>Maintaining a capability to support operational “surge” modes to support operational responses to major events, disasters and emergencies that may impact on FCO Posts abroad;</w:t>
      </w:r>
      <w:r w:rsidR="0044696A">
        <w:rPr>
          <w:rFonts w:ascii="Arial" w:hAnsi="Arial" w:cs="Arial"/>
          <w:color w:val="000000"/>
        </w:rPr>
        <w:t xml:space="preserve"> and</w:t>
      </w:r>
    </w:p>
    <w:p w14:paraId="18CD8F7E" w14:textId="77777777" w:rsidR="00696C8B" w:rsidRDefault="00696C8B" w:rsidP="00685F4E">
      <w:pPr>
        <w:pStyle w:val="NormalWeb"/>
        <w:numPr>
          <w:ilvl w:val="0"/>
          <w:numId w:val="32"/>
        </w:numPr>
        <w:spacing w:before="0" w:beforeAutospacing="0" w:after="120" w:afterAutospacing="0" w:line="276" w:lineRule="auto"/>
        <w:rPr>
          <w:rFonts w:ascii="Arial" w:hAnsi="Arial" w:cs="Arial"/>
          <w:color w:val="000000"/>
        </w:rPr>
      </w:pPr>
      <w:r w:rsidRPr="00696C8B">
        <w:rPr>
          <w:rFonts w:ascii="Arial" w:hAnsi="Arial" w:cs="Arial"/>
          <w:color w:val="000000"/>
        </w:rPr>
        <w:t xml:space="preserve">Delivering </w:t>
      </w:r>
      <w:r>
        <w:rPr>
          <w:rFonts w:ascii="Arial" w:hAnsi="Arial" w:cs="Arial"/>
          <w:color w:val="000000"/>
        </w:rPr>
        <w:t xml:space="preserve">the </w:t>
      </w:r>
      <w:r w:rsidRPr="00696C8B">
        <w:rPr>
          <w:rFonts w:ascii="Arial" w:hAnsi="Arial" w:cs="Arial"/>
          <w:color w:val="000000"/>
        </w:rPr>
        <w:t xml:space="preserve">FM services in a manner that minimises the potential burden on FCO frontline </w:t>
      </w:r>
      <w:r w:rsidR="00757E58">
        <w:rPr>
          <w:rFonts w:ascii="Arial" w:hAnsi="Arial" w:cs="Arial"/>
          <w:color w:val="000000"/>
        </w:rPr>
        <w:t xml:space="preserve">diplomatic and representational </w:t>
      </w:r>
      <w:r w:rsidRPr="00696C8B">
        <w:rPr>
          <w:rFonts w:ascii="Arial" w:hAnsi="Arial" w:cs="Arial"/>
          <w:color w:val="000000"/>
        </w:rPr>
        <w:t>activities.</w:t>
      </w:r>
    </w:p>
    <w:p w14:paraId="21069896" w14:textId="77777777" w:rsidR="00696C8B" w:rsidRDefault="00696C8B" w:rsidP="00685F4E">
      <w:pPr>
        <w:pStyle w:val="NormalWeb"/>
        <w:spacing w:before="0" w:beforeAutospacing="0" w:after="120" w:afterAutospacing="0" w:line="276" w:lineRule="auto"/>
        <w:rPr>
          <w:rFonts w:ascii="Arial" w:hAnsi="Arial" w:cs="Arial"/>
          <w:color w:val="000000"/>
          <w:u w:val="single"/>
        </w:rPr>
      </w:pPr>
      <w:r>
        <w:rPr>
          <w:rFonts w:ascii="Arial" w:hAnsi="Arial" w:cs="Arial"/>
          <w:color w:val="000000"/>
          <w:u w:val="single"/>
        </w:rPr>
        <w:t>Compliance and Statutory Obligations</w:t>
      </w:r>
    </w:p>
    <w:p w14:paraId="151874BB" w14:textId="70B1DD0F" w:rsidR="00696C8B" w:rsidRPr="00696C8B" w:rsidRDefault="00696C8B" w:rsidP="00685F4E">
      <w:pPr>
        <w:pStyle w:val="NormalWeb"/>
        <w:spacing w:before="0" w:beforeAutospacing="0" w:after="120" w:afterAutospacing="0" w:line="276" w:lineRule="auto"/>
        <w:rPr>
          <w:rFonts w:ascii="Arial" w:hAnsi="Arial" w:cs="Arial"/>
          <w:color w:val="000000"/>
        </w:rPr>
      </w:pPr>
      <w:r>
        <w:rPr>
          <w:rFonts w:ascii="Arial" w:hAnsi="Arial" w:cs="Arial"/>
          <w:color w:val="000000"/>
        </w:rPr>
        <w:t xml:space="preserve">The FCO requires </w:t>
      </w:r>
      <w:r w:rsidR="00496579">
        <w:rPr>
          <w:rFonts w:ascii="Arial" w:hAnsi="Arial" w:cs="Arial"/>
          <w:color w:val="000000"/>
        </w:rPr>
        <w:t xml:space="preserve">any </w:t>
      </w:r>
      <w:r w:rsidR="002A5FC3">
        <w:rPr>
          <w:rFonts w:ascii="Arial" w:hAnsi="Arial" w:cs="Arial"/>
          <w:color w:val="000000"/>
        </w:rPr>
        <w:t>service provider</w:t>
      </w:r>
      <w:r w:rsidR="00496579">
        <w:rPr>
          <w:rFonts w:ascii="Arial" w:hAnsi="Arial" w:cs="Arial"/>
          <w:color w:val="000000"/>
        </w:rPr>
        <w:t xml:space="preserve"> awarded a work package under the DPS</w:t>
      </w:r>
      <w:r w:rsidRPr="00696C8B">
        <w:rPr>
          <w:rFonts w:ascii="Arial" w:hAnsi="Arial" w:cs="Arial"/>
          <w:color w:val="000000"/>
        </w:rPr>
        <w:t xml:space="preserve"> to deploy a comprehensive and robust approach to the management of quality and standards of service delivery. It is expected that the </w:t>
      </w:r>
      <w:r w:rsidR="00496579">
        <w:rPr>
          <w:rFonts w:ascii="Arial" w:hAnsi="Arial" w:cs="Arial"/>
          <w:color w:val="000000"/>
        </w:rPr>
        <w:t xml:space="preserve">providers awarded work packages under the DPS </w:t>
      </w:r>
      <w:r w:rsidRPr="00696C8B">
        <w:rPr>
          <w:rFonts w:ascii="Arial" w:hAnsi="Arial" w:cs="Arial"/>
          <w:color w:val="000000"/>
        </w:rPr>
        <w:t>will have appropriate internal controls, processes and systems in place internally to ensure compliance and consistency of service delivery. Relevant accreditations will need to be in place to provide evidence of compliance.</w:t>
      </w:r>
    </w:p>
    <w:p w14:paraId="6642F349" w14:textId="090A1AB0" w:rsidR="00696C8B" w:rsidRPr="00696C8B" w:rsidRDefault="00696C8B" w:rsidP="00685F4E">
      <w:pPr>
        <w:pStyle w:val="NormalWeb"/>
        <w:spacing w:before="0" w:beforeAutospacing="0" w:after="120" w:afterAutospacing="0" w:line="276" w:lineRule="auto"/>
        <w:rPr>
          <w:rFonts w:ascii="Arial" w:hAnsi="Arial" w:cs="Arial"/>
          <w:color w:val="000000"/>
        </w:rPr>
      </w:pPr>
      <w:r w:rsidRPr="00696C8B">
        <w:rPr>
          <w:rFonts w:ascii="Arial" w:hAnsi="Arial" w:cs="Arial"/>
          <w:color w:val="000000"/>
        </w:rPr>
        <w:t xml:space="preserve">Furthermore, the </w:t>
      </w:r>
      <w:r w:rsidR="00496579">
        <w:rPr>
          <w:rFonts w:ascii="Arial" w:hAnsi="Arial" w:cs="Arial"/>
          <w:color w:val="000000"/>
        </w:rPr>
        <w:t>providers awarded work packages under the DPS</w:t>
      </w:r>
      <w:r w:rsidRPr="00696C8B">
        <w:rPr>
          <w:rFonts w:ascii="Arial" w:hAnsi="Arial" w:cs="Arial"/>
          <w:color w:val="000000"/>
        </w:rPr>
        <w:t xml:space="preserve"> will need to continuously demonstrate that the services provided and the approaches adopted in the delivery of these services are fully compliant with </w:t>
      </w:r>
      <w:r w:rsidR="0044696A">
        <w:rPr>
          <w:rFonts w:ascii="Arial" w:hAnsi="Arial" w:cs="Arial"/>
          <w:color w:val="000000"/>
        </w:rPr>
        <w:t xml:space="preserve">all </w:t>
      </w:r>
      <w:r w:rsidRPr="00696C8B">
        <w:rPr>
          <w:rFonts w:ascii="Arial" w:hAnsi="Arial" w:cs="Arial"/>
          <w:color w:val="000000"/>
        </w:rPr>
        <w:t>relevant legislation. In particular t</w:t>
      </w:r>
      <w:r w:rsidR="0044696A">
        <w:rPr>
          <w:rFonts w:ascii="Arial" w:hAnsi="Arial" w:cs="Arial"/>
          <w:color w:val="000000"/>
        </w:rPr>
        <w:t>he</w:t>
      </w:r>
      <w:r w:rsidR="00496579">
        <w:rPr>
          <w:rFonts w:ascii="Arial" w:hAnsi="Arial" w:cs="Arial"/>
          <w:color w:val="000000"/>
        </w:rPr>
        <w:t xml:space="preserve"> providers</w:t>
      </w:r>
      <w:r w:rsidRPr="00696C8B">
        <w:rPr>
          <w:rFonts w:ascii="Arial" w:hAnsi="Arial" w:cs="Arial"/>
          <w:color w:val="000000"/>
        </w:rPr>
        <w:t xml:space="preserve"> will need to demonstrate that services provided and approach adopted are fully compliant with all relevant Health and Safety legislation and standards</w:t>
      </w:r>
      <w:r w:rsidR="007B07CD">
        <w:rPr>
          <w:rFonts w:ascii="Arial" w:hAnsi="Arial" w:cs="Arial"/>
          <w:color w:val="000000"/>
        </w:rPr>
        <w:t>, and the FCO maintenance policy</w:t>
      </w:r>
      <w:r w:rsidRPr="00696C8B">
        <w:rPr>
          <w:rFonts w:ascii="Arial" w:hAnsi="Arial" w:cs="Arial"/>
          <w:color w:val="000000"/>
        </w:rPr>
        <w:t>.</w:t>
      </w:r>
    </w:p>
    <w:p w14:paraId="317C310E" w14:textId="77777777" w:rsidR="00696C8B" w:rsidRPr="00696C8B" w:rsidRDefault="00696C8B" w:rsidP="00685F4E">
      <w:pPr>
        <w:pStyle w:val="NormalWeb"/>
        <w:spacing w:before="0" w:beforeAutospacing="0" w:after="120" w:afterAutospacing="0" w:line="276" w:lineRule="auto"/>
        <w:rPr>
          <w:rFonts w:ascii="Arial" w:hAnsi="Arial" w:cs="Arial"/>
          <w:color w:val="000000"/>
        </w:rPr>
      </w:pPr>
      <w:r w:rsidRPr="00696C8B">
        <w:rPr>
          <w:rFonts w:ascii="Arial" w:hAnsi="Arial" w:cs="Arial"/>
          <w:color w:val="000000"/>
        </w:rPr>
        <w:t xml:space="preserve">The FCO is implementing a holistic approach to compliance and auditing as part of the new </w:t>
      </w:r>
      <w:r w:rsidR="007B07CD">
        <w:rPr>
          <w:rFonts w:ascii="Arial" w:hAnsi="Arial" w:cs="Arial"/>
          <w:color w:val="000000"/>
        </w:rPr>
        <w:t xml:space="preserve">FM </w:t>
      </w:r>
      <w:r w:rsidRPr="00696C8B">
        <w:rPr>
          <w:rFonts w:ascii="Arial" w:hAnsi="Arial" w:cs="Arial"/>
          <w:color w:val="000000"/>
        </w:rPr>
        <w:t xml:space="preserve">model. This model contemplates a level of trust being vested in the </w:t>
      </w:r>
      <w:r w:rsidR="00496579">
        <w:rPr>
          <w:rFonts w:ascii="Arial" w:hAnsi="Arial" w:cs="Arial"/>
          <w:color w:val="000000"/>
        </w:rPr>
        <w:t>providers awarded work packages under the DPS</w:t>
      </w:r>
      <w:r w:rsidRPr="00696C8B">
        <w:rPr>
          <w:rFonts w:ascii="Arial" w:hAnsi="Arial" w:cs="Arial"/>
          <w:color w:val="000000"/>
        </w:rPr>
        <w:t xml:space="preserve"> through self-certification approaches. This is balanced with a controls regime, which will incorporate auditing and servi</w:t>
      </w:r>
      <w:r w:rsidR="007B07CD">
        <w:rPr>
          <w:rFonts w:ascii="Arial" w:hAnsi="Arial" w:cs="Arial"/>
          <w:color w:val="000000"/>
        </w:rPr>
        <w:t>ce reviews undertaken by the FM</w:t>
      </w:r>
      <w:r w:rsidRPr="00696C8B">
        <w:rPr>
          <w:rFonts w:ascii="Arial" w:hAnsi="Arial" w:cs="Arial"/>
          <w:color w:val="000000"/>
        </w:rPr>
        <w:t xml:space="preserve"> Client Unit. This is focused on </w:t>
      </w:r>
      <w:r w:rsidRPr="00696C8B">
        <w:rPr>
          <w:rFonts w:ascii="Arial" w:hAnsi="Arial" w:cs="Arial"/>
          <w:color w:val="000000"/>
        </w:rPr>
        <w:lastRenderedPageBreak/>
        <w:t>compliance with legislative, regulatory, contractual and performance requirements whilst</w:t>
      </w:r>
      <w:r>
        <w:rPr>
          <w:rFonts w:ascii="Arial" w:hAnsi="Arial" w:cs="Arial"/>
          <w:color w:val="000000"/>
        </w:rPr>
        <w:t>:</w:t>
      </w:r>
    </w:p>
    <w:p w14:paraId="0472B165" w14:textId="43C1597A" w:rsidR="00696C8B" w:rsidRPr="00696C8B" w:rsidRDefault="00696C8B" w:rsidP="00685F4E">
      <w:pPr>
        <w:pStyle w:val="NormalWeb"/>
        <w:numPr>
          <w:ilvl w:val="0"/>
          <w:numId w:val="33"/>
        </w:numPr>
        <w:spacing w:before="0" w:beforeAutospacing="0" w:after="120" w:afterAutospacing="0" w:line="276" w:lineRule="auto"/>
        <w:rPr>
          <w:rFonts w:ascii="Arial" w:hAnsi="Arial" w:cs="Arial"/>
          <w:color w:val="000000"/>
        </w:rPr>
      </w:pPr>
      <w:r w:rsidRPr="00696C8B">
        <w:rPr>
          <w:rFonts w:ascii="Arial" w:hAnsi="Arial" w:cs="Arial"/>
          <w:color w:val="000000"/>
        </w:rPr>
        <w:t xml:space="preserve">Ensuring that the </w:t>
      </w:r>
      <w:r w:rsidR="00496579">
        <w:rPr>
          <w:rFonts w:ascii="Arial" w:hAnsi="Arial" w:cs="Arial"/>
          <w:color w:val="000000"/>
        </w:rPr>
        <w:t>providers</w:t>
      </w:r>
      <w:r w:rsidRPr="00696C8B">
        <w:rPr>
          <w:rFonts w:ascii="Arial" w:hAnsi="Arial" w:cs="Arial"/>
          <w:color w:val="000000"/>
        </w:rPr>
        <w:t>’ ways of working reflect better practices in relation to health and safety;</w:t>
      </w:r>
    </w:p>
    <w:p w14:paraId="3F0C11DC" w14:textId="77777777" w:rsidR="00696C8B" w:rsidRPr="00696C8B" w:rsidRDefault="00696C8B" w:rsidP="00685F4E">
      <w:pPr>
        <w:pStyle w:val="NormalWeb"/>
        <w:numPr>
          <w:ilvl w:val="0"/>
          <w:numId w:val="33"/>
        </w:numPr>
        <w:spacing w:before="0" w:beforeAutospacing="0" w:after="120" w:afterAutospacing="0" w:line="276" w:lineRule="auto"/>
        <w:rPr>
          <w:rFonts w:ascii="Arial" w:hAnsi="Arial" w:cs="Arial"/>
          <w:color w:val="000000"/>
        </w:rPr>
      </w:pPr>
      <w:r w:rsidRPr="00696C8B">
        <w:rPr>
          <w:rFonts w:ascii="Arial" w:hAnsi="Arial" w:cs="Arial"/>
          <w:color w:val="000000"/>
        </w:rPr>
        <w:t>Ensuring effective financial controls that provide for appropriate levels of cost assessment and validation of the accuracy of invoices;</w:t>
      </w:r>
    </w:p>
    <w:p w14:paraId="4D15F82B" w14:textId="5BC8AD15" w:rsidR="00696C8B" w:rsidRPr="00696C8B" w:rsidRDefault="00696C8B" w:rsidP="00685F4E">
      <w:pPr>
        <w:pStyle w:val="NormalWeb"/>
        <w:numPr>
          <w:ilvl w:val="0"/>
          <w:numId w:val="33"/>
        </w:numPr>
        <w:spacing w:before="0" w:beforeAutospacing="0" w:after="120" w:afterAutospacing="0" w:line="276" w:lineRule="auto"/>
        <w:rPr>
          <w:rFonts w:ascii="Arial" w:hAnsi="Arial" w:cs="Arial"/>
          <w:color w:val="000000"/>
        </w:rPr>
      </w:pPr>
      <w:r w:rsidRPr="00696C8B">
        <w:rPr>
          <w:rFonts w:ascii="Arial" w:hAnsi="Arial" w:cs="Arial"/>
          <w:color w:val="000000"/>
        </w:rPr>
        <w:t>Reflecting greater levels of audit required on critical buildings</w:t>
      </w:r>
      <w:r w:rsidR="002F4258">
        <w:rPr>
          <w:rFonts w:ascii="Arial" w:hAnsi="Arial" w:cs="Arial"/>
          <w:color w:val="000000"/>
        </w:rPr>
        <w:t>/works where such buildings and/</w:t>
      </w:r>
      <w:r w:rsidRPr="00696C8B">
        <w:rPr>
          <w:rFonts w:ascii="Arial" w:hAnsi="Arial" w:cs="Arial"/>
          <w:color w:val="000000"/>
        </w:rPr>
        <w:t>or works could have a significant impact on FCO operations;</w:t>
      </w:r>
    </w:p>
    <w:p w14:paraId="5EDE5BE4" w14:textId="77777777" w:rsidR="00696C8B" w:rsidRPr="007B07CD" w:rsidRDefault="00696C8B" w:rsidP="00685F4E">
      <w:pPr>
        <w:pStyle w:val="NormalWeb"/>
        <w:numPr>
          <w:ilvl w:val="0"/>
          <w:numId w:val="33"/>
        </w:numPr>
        <w:spacing w:before="0" w:beforeAutospacing="0" w:after="120" w:afterAutospacing="0" w:line="276" w:lineRule="auto"/>
        <w:rPr>
          <w:rFonts w:ascii="Arial" w:hAnsi="Arial" w:cs="Arial"/>
          <w:color w:val="000000"/>
        </w:rPr>
      </w:pPr>
      <w:r w:rsidRPr="00696C8B">
        <w:rPr>
          <w:rFonts w:ascii="Arial" w:hAnsi="Arial" w:cs="Arial"/>
          <w:color w:val="000000"/>
        </w:rPr>
        <w:t>Having the required level of technical input;</w:t>
      </w:r>
      <w:r>
        <w:rPr>
          <w:rFonts w:ascii="Arial" w:hAnsi="Arial" w:cs="Arial"/>
          <w:color w:val="000000"/>
        </w:rPr>
        <w:t xml:space="preserve"> and</w:t>
      </w:r>
    </w:p>
    <w:p w14:paraId="1378249B" w14:textId="77777777" w:rsidR="00696C8B" w:rsidRPr="00696C8B" w:rsidRDefault="00696C8B" w:rsidP="00685F4E">
      <w:pPr>
        <w:pStyle w:val="NormalWeb"/>
        <w:numPr>
          <w:ilvl w:val="0"/>
          <w:numId w:val="33"/>
        </w:numPr>
        <w:spacing w:before="0" w:beforeAutospacing="0" w:after="120" w:afterAutospacing="0" w:line="276" w:lineRule="auto"/>
        <w:rPr>
          <w:rFonts w:ascii="Arial" w:hAnsi="Arial" w:cs="Arial"/>
          <w:color w:val="000000"/>
        </w:rPr>
      </w:pPr>
      <w:r w:rsidRPr="00696C8B">
        <w:rPr>
          <w:rFonts w:ascii="Arial" w:hAnsi="Arial" w:cs="Arial"/>
          <w:color w:val="000000"/>
        </w:rPr>
        <w:t>Achieving an appropriate risk allocation in undertaking audits, balancing audit cost with relevant ris</w:t>
      </w:r>
      <w:r>
        <w:rPr>
          <w:rFonts w:ascii="Arial" w:hAnsi="Arial" w:cs="Arial"/>
          <w:color w:val="000000"/>
        </w:rPr>
        <w:t>ks and control requirements.</w:t>
      </w:r>
    </w:p>
    <w:p w14:paraId="0320FB92" w14:textId="77777777" w:rsidR="00696C8B" w:rsidRDefault="00696C8B" w:rsidP="00685F4E">
      <w:pPr>
        <w:pStyle w:val="NormalWeb"/>
        <w:spacing w:before="0" w:beforeAutospacing="0" w:after="120" w:afterAutospacing="0" w:line="276" w:lineRule="auto"/>
        <w:rPr>
          <w:rFonts w:ascii="Arial" w:hAnsi="Arial" w:cs="Arial"/>
          <w:color w:val="000000"/>
        </w:rPr>
      </w:pPr>
      <w:r w:rsidRPr="00696C8B">
        <w:rPr>
          <w:rFonts w:ascii="Arial" w:hAnsi="Arial" w:cs="Arial"/>
          <w:color w:val="000000"/>
        </w:rPr>
        <w:t xml:space="preserve">The </w:t>
      </w:r>
      <w:r w:rsidR="00496579">
        <w:rPr>
          <w:rFonts w:ascii="Arial" w:hAnsi="Arial" w:cs="Arial"/>
          <w:color w:val="000000"/>
        </w:rPr>
        <w:t>providers awarded work packages under the DPS</w:t>
      </w:r>
      <w:r w:rsidRPr="00696C8B">
        <w:rPr>
          <w:rFonts w:ascii="Arial" w:hAnsi="Arial" w:cs="Arial"/>
          <w:color w:val="000000"/>
        </w:rPr>
        <w:t xml:space="preserve"> will be subject to both planned audits at which they will be expected to be present and random audits covering the same range of issues and items but undertaken on a random basis and not in their presence. The outcomes of audits may result in the need to implement remediation plans and/or for the FCO to apply other remedies as appropriate.</w:t>
      </w:r>
    </w:p>
    <w:p w14:paraId="235FB86D" w14:textId="77777777" w:rsidR="007B07CD" w:rsidRPr="007B07CD" w:rsidRDefault="007B07CD" w:rsidP="00685F4E">
      <w:pPr>
        <w:pStyle w:val="NormalWeb"/>
        <w:spacing w:before="0" w:beforeAutospacing="0" w:after="120" w:afterAutospacing="0" w:line="276" w:lineRule="auto"/>
        <w:rPr>
          <w:rFonts w:ascii="Arial" w:hAnsi="Arial" w:cs="Arial"/>
          <w:color w:val="000000"/>
          <w:szCs w:val="27"/>
          <w:u w:val="single"/>
        </w:rPr>
      </w:pPr>
      <w:r w:rsidRPr="007B07CD">
        <w:rPr>
          <w:rFonts w:ascii="Arial" w:hAnsi="Arial" w:cs="Arial"/>
          <w:color w:val="000000"/>
          <w:szCs w:val="27"/>
          <w:u w:val="single"/>
        </w:rPr>
        <w:t>Systems and Data Requirements</w:t>
      </w:r>
    </w:p>
    <w:p w14:paraId="2A3303C5" w14:textId="77777777" w:rsidR="007B07CD" w:rsidRPr="007B07CD" w:rsidRDefault="007B07CD" w:rsidP="00685F4E">
      <w:pPr>
        <w:pStyle w:val="NormalWeb"/>
        <w:spacing w:before="0" w:beforeAutospacing="0" w:after="120" w:afterAutospacing="0" w:line="276" w:lineRule="auto"/>
        <w:rPr>
          <w:rFonts w:ascii="Arial" w:hAnsi="Arial" w:cs="Arial"/>
          <w:color w:val="000000"/>
          <w:szCs w:val="27"/>
        </w:rPr>
      </w:pPr>
      <w:r w:rsidRPr="007B07CD">
        <w:rPr>
          <w:rFonts w:ascii="Arial" w:hAnsi="Arial" w:cs="Arial"/>
          <w:color w:val="000000"/>
          <w:szCs w:val="27"/>
        </w:rPr>
        <w:t xml:space="preserve">The FCO recognises the need for information that is timely, relevant and accurate to support informed decision-making. A key requirement of the new FCO global model is that it is information and performance management led. However, the effectiveness of this approach is dependent on </w:t>
      </w:r>
      <w:r w:rsidR="00496579">
        <w:rPr>
          <w:rFonts w:ascii="Arial" w:hAnsi="Arial" w:cs="Arial"/>
          <w:color w:val="000000"/>
          <w:szCs w:val="27"/>
        </w:rPr>
        <w:t>any provider awarded a work package under the DPS</w:t>
      </w:r>
      <w:r w:rsidRPr="007B07CD">
        <w:rPr>
          <w:rFonts w:ascii="Arial" w:hAnsi="Arial" w:cs="Arial"/>
          <w:color w:val="000000"/>
          <w:szCs w:val="27"/>
        </w:rPr>
        <w:t xml:space="preserve"> supplying information and data, and developing systems and interfaces that support this approach. In delivering services within this model the </w:t>
      </w:r>
      <w:r w:rsidR="00A86F3E">
        <w:rPr>
          <w:rFonts w:ascii="Arial" w:hAnsi="Arial" w:cs="Arial"/>
          <w:color w:val="000000"/>
          <w:szCs w:val="27"/>
        </w:rPr>
        <w:t>appointed providers</w:t>
      </w:r>
      <w:r w:rsidRPr="007B07CD">
        <w:rPr>
          <w:rFonts w:ascii="Arial" w:hAnsi="Arial" w:cs="Arial"/>
          <w:color w:val="000000"/>
          <w:szCs w:val="27"/>
        </w:rPr>
        <w:t xml:space="preserve"> must provide information in compliance with</w:t>
      </w:r>
      <w:r>
        <w:rPr>
          <w:rFonts w:ascii="Arial" w:hAnsi="Arial" w:cs="Arial"/>
          <w:color w:val="000000"/>
          <w:szCs w:val="27"/>
        </w:rPr>
        <w:t xml:space="preserve"> </w:t>
      </w:r>
      <w:r w:rsidRPr="007B07CD">
        <w:rPr>
          <w:rFonts w:ascii="Arial" w:hAnsi="Arial" w:cs="Arial"/>
          <w:color w:val="000000"/>
          <w:szCs w:val="27"/>
        </w:rPr>
        <w:t xml:space="preserve">these processes and practices in the manner specified by the FCO. In particular, </w:t>
      </w:r>
      <w:r w:rsidR="00A86F3E">
        <w:rPr>
          <w:rFonts w:ascii="Arial" w:hAnsi="Arial" w:cs="Arial"/>
          <w:color w:val="000000"/>
          <w:szCs w:val="27"/>
        </w:rPr>
        <w:t>appointed providers</w:t>
      </w:r>
      <w:r w:rsidRPr="007B07CD">
        <w:rPr>
          <w:rFonts w:ascii="Arial" w:hAnsi="Arial" w:cs="Arial"/>
          <w:color w:val="000000"/>
          <w:szCs w:val="27"/>
        </w:rPr>
        <w:t xml:space="preserve"> will be required to:</w:t>
      </w:r>
    </w:p>
    <w:p w14:paraId="022462B4" w14:textId="77777777" w:rsidR="007B07CD" w:rsidRPr="007B07CD" w:rsidRDefault="007B07CD" w:rsidP="00685F4E">
      <w:pPr>
        <w:pStyle w:val="NormalWeb"/>
        <w:numPr>
          <w:ilvl w:val="0"/>
          <w:numId w:val="34"/>
        </w:numPr>
        <w:spacing w:before="0" w:beforeAutospacing="0" w:after="120" w:afterAutospacing="0" w:line="276" w:lineRule="auto"/>
        <w:rPr>
          <w:rFonts w:ascii="Arial" w:hAnsi="Arial" w:cs="Arial"/>
          <w:color w:val="000000"/>
          <w:szCs w:val="27"/>
        </w:rPr>
      </w:pPr>
      <w:r w:rsidRPr="007B07CD">
        <w:rPr>
          <w:rFonts w:ascii="Arial" w:hAnsi="Arial" w:cs="Arial"/>
          <w:color w:val="000000"/>
          <w:szCs w:val="27"/>
        </w:rPr>
        <w:t xml:space="preserve">Provide data and information that enables the tracking of all FM </w:t>
      </w:r>
      <w:r w:rsidR="00757E58">
        <w:rPr>
          <w:rFonts w:ascii="Arial" w:hAnsi="Arial" w:cs="Arial"/>
          <w:color w:val="000000"/>
          <w:szCs w:val="27"/>
        </w:rPr>
        <w:t xml:space="preserve">activities </w:t>
      </w:r>
      <w:r w:rsidRPr="007B07CD">
        <w:rPr>
          <w:rFonts w:ascii="Arial" w:hAnsi="Arial" w:cs="Arial"/>
          <w:color w:val="000000"/>
          <w:szCs w:val="27"/>
        </w:rPr>
        <w:t>including all reactive, planned, preventative and project activities undertaken;</w:t>
      </w:r>
    </w:p>
    <w:p w14:paraId="48EB4777" w14:textId="77777777" w:rsidR="007B07CD" w:rsidRPr="007B07CD" w:rsidRDefault="007B07CD" w:rsidP="00685F4E">
      <w:pPr>
        <w:pStyle w:val="NormalWeb"/>
        <w:numPr>
          <w:ilvl w:val="0"/>
          <w:numId w:val="34"/>
        </w:numPr>
        <w:spacing w:before="0" w:beforeAutospacing="0" w:after="120" w:afterAutospacing="0" w:line="276" w:lineRule="auto"/>
        <w:rPr>
          <w:rFonts w:ascii="Arial" w:hAnsi="Arial" w:cs="Arial"/>
          <w:color w:val="000000"/>
          <w:szCs w:val="27"/>
        </w:rPr>
      </w:pPr>
      <w:r w:rsidRPr="007B07CD">
        <w:rPr>
          <w:rFonts w:ascii="Arial" w:hAnsi="Arial" w:cs="Arial"/>
          <w:color w:val="000000"/>
          <w:szCs w:val="27"/>
        </w:rPr>
        <w:t>Develop systems interfaces with the FCO to facilitate upload and download of information in support of end to end financial and operational processes</w:t>
      </w:r>
      <w:r w:rsidR="00757E58">
        <w:rPr>
          <w:rFonts w:ascii="Arial" w:hAnsi="Arial" w:cs="Arial"/>
          <w:color w:val="000000"/>
          <w:szCs w:val="27"/>
        </w:rPr>
        <w:t>.  Interfaces/data exchanges are expected to be developed with the FCO’s finance and property systems</w:t>
      </w:r>
      <w:r w:rsidRPr="007B07CD">
        <w:rPr>
          <w:rFonts w:ascii="Arial" w:hAnsi="Arial" w:cs="Arial"/>
          <w:color w:val="000000"/>
          <w:szCs w:val="27"/>
        </w:rPr>
        <w:t>;</w:t>
      </w:r>
    </w:p>
    <w:p w14:paraId="0521834B" w14:textId="77777777" w:rsidR="007B07CD" w:rsidRPr="007B07CD" w:rsidRDefault="007B07CD" w:rsidP="00685F4E">
      <w:pPr>
        <w:pStyle w:val="NormalWeb"/>
        <w:numPr>
          <w:ilvl w:val="0"/>
          <w:numId w:val="34"/>
        </w:numPr>
        <w:spacing w:before="0" w:beforeAutospacing="0" w:after="120" w:afterAutospacing="0" w:line="276" w:lineRule="auto"/>
        <w:rPr>
          <w:rFonts w:ascii="Arial" w:hAnsi="Arial" w:cs="Arial"/>
          <w:color w:val="000000"/>
          <w:szCs w:val="27"/>
        </w:rPr>
      </w:pPr>
      <w:r w:rsidRPr="007B07CD">
        <w:rPr>
          <w:rFonts w:ascii="Arial" w:hAnsi="Arial" w:cs="Arial"/>
          <w:color w:val="000000"/>
          <w:szCs w:val="27"/>
        </w:rPr>
        <w:t xml:space="preserve">Operate in a manner that recognises that service performance, and ultimately the payment for services, will be tied to the supply of accurate and timely information by the </w:t>
      </w:r>
      <w:r w:rsidR="00A86F3E">
        <w:rPr>
          <w:rFonts w:ascii="Arial" w:hAnsi="Arial" w:cs="Arial"/>
          <w:color w:val="000000"/>
          <w:szCs w:val="27"/>
        </w:rPr>
        <w:t>appointed providers</w:t>
      </w:r>
      <w:r w:rsidRPr="007B07CD">
        <w:rPr>
          <w:rFonts w:ascii="Arial" w:hAnsi="Arial" w:cs="Arial"/>
          <w:color w:val="000000"/>
          <w:szCs w:val="27"/>
        </w:rPr>
        <w:t xml:space="preserve"> that evidence the delivery of services;</w:t>
      </w:r>
    </w:p>
    <w:p w14:paraId="71B67D4E" w14:textId="77777777" w:rsidR="007B07CD" w:rsidRPr="007B07CD" w:rsidRDefault="007B07CD" w:rsidP="00685F4E">
      <w:pPr>
        <w:pStyle w:val="NormalWeb"/>
        <w:numPr>
          <w:ilvl w:val="0"/>
          <w:numId w:val="34"/>
        </w:numPr>
        <w:spacing w:before="0" w:beforeAutospacing="0" w:after="120" w:afterAutospacing="0" w:line="276" w:lineRule="auto"/>
        <w:rPr>
          <w:rFonts w:ascii="Arial" w:hAnsi="Arial" w:cs="Arial"/>
          <w:color w:val="000000"/>
          <w:szCs w:val="27"/>
        </w:rPr>
      </w:pPr>
      <w:r w:rsidRPr="007B07CD">
        <w:rPr>
          <w:rFonts w:ascii="Arial" w:hAnsi="Arial" w:cs="Arial"/>
          <w:color w:val="000000"/>
          <w:szCs w:val="27"/>
        </w:rPr>
        <w:lastRenderedPageBreak/>
        <w:t>Manage information of a potentially sensitive nature including implementing relevant physical, systems and information practices that protect the nature of all FCO information;</w:t>
      </w:r>
    </w:p>
    <w:p w14:paraId="00F207DC" w14:textId="77777777" w:rsidR="007B07CD" w:rsidRPr="007B07CD" w:rsidRDefault="007B07CD" w:rsidP="00685F4E">
      <w:pPr>
        <w:pStyle w:val="NormalWeb"/>
        <w:numPr>
          <w:ilvl w:val="0"/>
          <w:numId w:val="34"/>
        </w:numPr>
        <w:spacing w:before="0" w:beforeAutospacing="0" w:after="120" w:afterAutospacing="0" w:line="276" w:lineRule="auto"/>
        <w:rPr>
          <w:rFonts w:ascii="Arial" w:hAnsi="Arial" w:cs="Arial"/>
          <w:color w:val="000000"/>
          <w:szCs w:val="27"/>
        </w:rPr>
      </w:pPr>
      <w:r w:rsidRPr="007B07CD">
        <w:rPr>
          <w:rFonts w:ascii="Arial" w:hAnsi="Arial" w:cs="Arial"/>
          <w:color w:val="000000"/>
          <w:szCs w:val="27"/>
        </w:rPr>
        <w:t>Contribute to the ongoing collection and management of information to further enhance the information led approach being implemented by the FCO;</w:t>
      </w:r>
    </w:p>
    <w:p w14:paraId="60243366" w14:textId="77777777" w:rsidR="007B07CD" w:rsidRPr="007B07CD" w:rsidRDefault="007B07CD" w:rsidP="00685F4E">
      <w:pPr>
        <w:pStyle w:val="NormalWeb"/>
        <w:numPr>
          <w:ilvl w:val="0"/>
          <w:numId w:val="34"/>
        </w:numPr>
        <w:spacing w:before="0" w:beforeAutospacing="0" w:after="120" w:afterAutospacing="0" w:line="276" w:lineRule="auto"/>
        <w:rPr>
          <w:rFonts w:ascii="Arial" w:hAnsi="Arial" w:cs="Arial"/>
          <w:color w:val="000000"/>
          <w:szCs w:val="27"/>
        </w:rPr>
      </w:pPr>
      <w:r w:rsidRPr="007B07CD">
        <w:rPr>
          <w:rFonts w:ascii="Arial" w:hAnsi="Arial" w:cs="Arial"/>
          <w:color w:val="000000"/>
          <w:szCs w:val="27"/>
        </w:rPr>
        <w:t>Recognise that at all times all data and information, relating to the FCO Estate and FM services, held, created and/or managed by the FM Service Provider remains the property of the FCO; and</w:t>
      </w:r>
    </w:p>
    <w:p w14:paraId="67D4BDE6" w14:textId="77777777" w:rsidR="007B07CD" w:rsidRPr="007B07CD" w:rsidRDefault="007B07CD" w:rsidP="00685F4E">
      <w:pPr>
        <w:pStyle w:val="NormalWeb"/>
        <w:numPr>
          <w:ilvl w:val="0"/>
          <w:numId w:val="34"/>
        </w:numPr>
        <w:spacing w:before="0" w:beforeAutospacing="0" w:after="120" w:afterAutospacing="0" w:line="276" w:lineRule="auto"/>
        <w:rPr>
          <w:rFonts w:ascii="Arial" w:hAnsi="Arial" w:cs="Arial"/>
          <w:color w:val="000000"/>
          <w:szCs w:val="27"/>
        </w:rPr>
      </w:pPr>
      <w:r w:rsidRPr="007B07CD">
        <w:rPr>
          <w:rFonts w:ascii="Arial" w:hAnsi="Arial" w:cs="Arial"/>
          <w:color w:val="000000"/>
          <w:szCs w:val="27"/>
        </w:rPr>
        <w:t>Comply with the standards and processes relating to systems, interfaces, information, and data established by the FCO and its Global Service Desk provider.</w:t>
      </w:r>
    </w:p>
    <w:p w14:paraId="678610CC" w14:textId="77777777" w:rsidR="007B07CD" w:rsidRPr="007B07CD" w:rsidRDefault="007B07CD" w:rsidP="00685F4E">
      <w:pPr>
        <w:pStyle w:val="NormalWeb"/>
        <w:spacing w:before="0" w:beforeAutospacing="0" w:after="120" w:afterAutospacing="0" w:line="276" w:lineRule="auto"/>
        <w:rPr>
          <w:rFonts w:ascii="Arial" w:hAnsi="Arial" w:cs="Arial"/>
          <w:color w:val="000000"/>
          <w:szCs w:val="27"/>
          <w:u w:val="single"/>
        </w:rPr>
      </w:pPr>
      <w:r w:rsidRPr="007B07CD">
        <w:rPr>
          <w:rFonts w:ascii="Arial" w:hAnsi="Arial" w:cs="Arial"/>
          <w:color w:val="000000"/>
          <w:szCs w:val="27"/>
          <w:u w:val="single"/>
        </w:rPr>
        <w:t>FCO Security Requirements</w:t>
      </w:r>
    </w:p>
    <w:p w14:paraId="1D3F3FB2" w14:textId="77777777" w:rsidR="007B07CD" w:rsidRPr="007B07CD" w:rsidRDefault="007B07CD" w:rsidP="00685F4E">
      <w:pPr>
        <w:pStyle w:val="NormalWeb"/>
        <w:spacing w:before="0" w:beforeAutospacing="0" w:after="120" w:afterAutospacing="0" w:line="276" w:lineRule="auto"/>
        <w:rPr>
          <w:rFonts w:ascii="Arial" w:hAnsi="Arial" w:cs="Arial"/>
          <w:color w:val="000000"/>
          <w:szCs w:val="27"/>
        </w:rPr>
      </w:pPr>
      <w:r w:rsidRPr="007B07CD">
        <w:rPr>
          <w:rFonts w:ascii="Arial" w:hAnsi="Arial" w:cs="Arial"/>
          <w:color w:val="000000"/>
          <w:szCs w:val="27"/>
        </w:rPr>
        <w:t>The FCO places high importance on the confidentiality and security of assets and data held. The service must be fully secure to the satisfaction of the FCO.</w:t>
      </w:r>
    </w:p>
    <w:p w14:paraId="1E7B647C" w14:textId="77777777" w:rsidR="007B07CD" w:rsidRPr="007B07CD" w:rsidRDefault="007B07CD" w:rsidP="00685F4E">
      <w:pPr>
        <w:pStyle w:val="NormalWeb"/>
        <w:spacing w:before="0" w:beforeAutospacing="0" w:after="120" w:afterAutospacing="0" w:line="276" w:lineRule="auto"/>
        <w:rPr>
          <w:rFonts w:ascii="Arial" w:hAnsi="Arial" w:cs="Arial"/>
          <w:color w:val="000000"/>
          <w:szCs w:val="27"/>
        </w:rPr>
      </w:pPr>
      <w:r w:rsidRPr="007B07CD">
        <w:rPr>
          <w:rFonts w:ascii="Arial" w:hAnsi="Arial" w:cs="Arial"/>
          <w:color w:val="000000"/>
          <w:szCs w:val="27"/>
        </w:rPr>
        <w:t>The key principle that applies to the FCO’s security requirements is that all databases, individual records and paper files must be protected against unauthorised access to information by staff and outsiders, unauthorised modification or corruption of information and software and accidental or deliberate damage or disruption to information and services.</w:t>
      </w:r>
    </w:p>
    <w:p w14:paraId="7ECAB432" w14:textId="77777777" w:rsidR="007B07CD" w:rsidRPr="007B07CD" w:rsidRDefault="007B07CD" w:rsidP="00685F4E">
      <w:pPr>
        <w:pStyle w:val="NormalWeb"/>
        <w:spacing w:before="0" w:beforeAutospacing="0" w:after="120" w:afterAutospacing="0" w:line="276" w:lineRule="auto"/>
        <w:rPr>
          <w:rFonts w:ascii="Arial" w:hAnsi="Arial" w:cs="Arial"/>
          <w:color w:val="000000"/>
          <w:szCs w:val="27"/>
        </w:rPr>
      </w:pPr>
      <w:r w:rsidRPr="007B07CD">
        <w:rPr>
          <w:rFonts w:ascii="Arial" w:hAnsi="Arial" w:cs="Arial"/>
          <w:color w:val="000000"/>
          <w:szCs w:val="27"/>
        </w:rPr>
        <w:t>The FCO’s security requirements and arrangements incorporate:</w:t>
      </w:r>
    </w:p>
    <w:p w14:paraId="416FE97C" w14:textId="77777777" w:rsidR="007B07CD" w:rsidRPr="007B07CD" w:rsidRDefault="007B07CD" w:rsidP="00685F4E">
      <w:pPr>
        <w:pStyle w:val="NormalWeb"/>
        <w:numPr>
          <w:ilvl w:val="0"/>
          <w:numId w:val="35"/>
        </w:numPr>
        <w:spacing w:before="0" w:beforeAutospacing="0" w:after="120" w:afterAutospacing="0" w:line="276" w:lineRule="auto"/>
        <w:rPr>
          <w:rFonts w:ascii="Arial" w:hAnsi="Arial" w:cs="Arial"/>
          <w:color w:val="000000"/>
          <w:szCs w:val="27"/>
        </w:rPr>
      </w:pPr>
      <w:r w:rsidRPr="007B07CD">
        <w:rPr>
          <w:rFonts w:ascii="Arial" w:hAnsi="Arial" w:cs="Arial"/>
          <w:color w:val="000000"/>
          <w:szCs w:val="27"/>
        </w:rPr>
        <w:t>Personnel security</w:t>
      </w:r>
      <w:r w:rsidR="00A86F3E">
        <w:rPr>
          <w:rFonts w:ascii="Arial" w:hAnsi="Arial" w:cs="Arial"/>
          <w:color w:val="000000"/>
          <w:szCs w:val="27"/>
        </w:rPr>
        <w:t xml:space="preserve"> including the requirement for staff accessing FCO sites, systems and data to be security cleared</w:t>
      </w:r>
      <w:r w:rsidRPr="007B07CD">
        <w:rPr>
          <w:rFonts w:ascii="Arial" w:hAnsi="Arial" w:cs="Arial"/>
          <w:color w:val="000000"/>
          <w:szCs w:val="27"/>
        </w:rPr>
        <w:t>;</w:t>
      </w:r>
    </w:p>
    <w:p w14:paraId="7D5D15AE" w14:textId="77777777" w:rsidR="007B07CD" w:rsidRPr="007B07CD" w:rsidRDefault="007B07CD" w:rsidP="00685F4E">
      <w:pPr>
        <w:pStyle w:val="NormalWeb"/>
        <w:numPr>
          <w:ilvl w:val="0"/>
          <w:numId w:val="35"/>
        </w:numPr>
        <w:spacing w:before="0" w:beforeAutospacing="0" w:after="120" w:afterAutospacing="0" w:line="276" w:lineRule="auto"/>
        <w:rPr>
          <w:rFonts w:ascii="Arial" w:hAnsi="Arial" w:cs="Arial"/>
          <w:color w:val="000000"/>
          <w:szCs w:val="27"/>
        </w:rPr>
      </w:pPr>
      <w:r w:rsidRPr="007B07CD">
        <w:rPr>
          <w:rFonts w:ascii="Arial" w:hAnsi="Arial" w:cs="Arial"/>
          <w:color w:val="000000"/>
          <w:szCs w:val="27"/>
        </w:rPr>
        <w:t>Administrative and procedural security;</w:t>
      </w:r>
    </w:p>
    <w:p w14:paraId="7715BA08" w14:textId="77777777" w:rsidR="007B07CD" w:rsidRPr="007B07CD" w:rsidRDefault="007B07CD" w:rsidP="00685F4E">
      <w:pPr>
        <w:pStyle w:val="NormalWeb"/>
        <w:numPr>
          <w:ilvl w:val="0"/>
          <w:numId w:val="35"/>
        </w:numPr>
        <w:spacing w:before="0" w:beforeAutospacing="0" w:after="120" w:afterAutospacing="0" w:line="276" w:lineRule="auto"/>
        <w:rPr>
          <w:rFonts w:ascii="Arial" w:hAnsi="Arial" w:cs="Arial"/>
          <w:color w:val="000000"/>
          <w:szCs w:val="27"/>
        </w:rPr>
      </w:pPr>
      <w:r w:rsidRPr="007B07CD">
        <w:rPr>
          <w:rFonts w:ascii="Arial" w:hAnsi="Arial" w:cs="Arial"/>
          <w:color w:val="000000"/>
          <w:szCs w:val="27"/>
        </w:rPr>
        <w:t>Physical security;</w:t>
      </w:r>
    </w:p>
    <w:p w14:paraId="178EAEA2" w14:textId="77777777" w:rsidR="007B07CD" w:rsidRPr="007B07CD" w:rsidRDefault="007B07CD" w:rsidP="00685F4E">
      <w:pPr>
        <w:pStyle w:val="NormalWeb"/>
        <w:numPr>
          <w:ilvl w:val="0"/>
          <w:numId w:val="35"/>
        </w:numPr>
        <w:spacing w:before="0" w:beforeAutospacing="0" w:after="120" w:afterAutospacing="0" w:line="276" w:lineRule="auto"/>
        <w:rPr>
          <w:rFonts w:ascii="Arial" w:hAnsi="Arial" w:cs="Arial"/>
          <w:color w:val="000000"/>
          <w:szCs w:val="27"/>
        </w:rPr>
      </w:pPr>
      <w:r w:rsidRPr="007B07CD">
        <w:rPr>
          <w:rFonts w:ascii="Arial" w:hAnsi="Arial" w:cs="Arial"/>
          <w:color w:val="000000"/>
          <w:szCs w:val="27"/>
        </w:rPr>
        <w:t>Information security;</w:t>
      </w:r>
    </w:p>
    <w:p w14:paraId="57CE3BB7" w14:textId="77777777" w:rsidR="007B07CD" w:rsidRPr="007B07CD" w:rsidRDefault="007B07CD" w:rsidP="00685F4E">
      <w:pPr>
        <w:pStyle w:val="NormalWeb"/>
        <w:numPr>
          <w:ilvl w:val="0"/>
          <w:numId w:val="35"/>
        </w:numPr>
        <w:spacing w:before="0" w:beforeAutospacing="0" w:after="120" w:afterAutospacing="0" w:line="276" w:lineRule="auto"/>
        <w:rPr>
          <w:rFonts w:ascii="Arial" w:hAnsi="Arial" w:cs="Arial"/>
          <w:color w:val="000000"/>
          <w:szCs w:val="27"/>
        </w:rPr>
      </w:pPr>
      <w:r w:rsidRPr="007B07CD">
        <w:rPr>
          <w:rFonts w:ascii="Arial" w:hAnsi="Arial" w:cs="Arial"/>
          <w:color w:val="000000"/>
          <w:szCs w:val="27"/>
        </w:rPr>
        <w:t>Hardware and software security;</w:t>
      </w:r>
    </w:p>
    <w:p w14:paraId="1DD5C488" w14:textId="77777777" w:rsidR="007B07CD" w:rsidRPr="007B07CD" w:rsidRDefault="007B07CD" w:rsidP="00685F4E">
      <w:pPr>
        <w:pStyle w:val="NormalWeb"/>
        <w:numPr>
          <w:ilvl w:val="0"/>
          <w:numId w:val="35"/>
        </w:numPr>
        <w:spacing w:before="0" w:beforeAutospacing="0" w:after="120" w:afterAutospacing="0" w:line="276" w:lineRule="auto"/>
        <w:rPr>
          <w:rFonts w:ascii="Arial" w:hAnsi="Arial" w:cs="Arial"/>
          <w:color w:val="000000"/>
          <w:szCs w:val="27"/>
        </w:rPr>
      </w:pPr>
      <w:r w:rsidRPr="007B07CD">
        <w:rPr>
          <w:rFonts w:ascii="Arial" w:hAnsi="Arial" w:cs="Arial"/>
          <w:color w:val="000000"/>
          <w:szCs w:val="27"/>
        </w:rPr>
        <w:t>Security arrangements applicable to integration with the FCO Infrastructure; and</w:t>
      </w:r>
    </w:p>
    <w:p w14:paraId="2CE16236" w14:textId="77777777" w:rsidR="007B07CD" w:rsidRPr="007B07CD" w:rsidRDefault="007B07CD" w:rsidP="00685F4E">
      <w:pPr>
        <w:pStyle w:val="NormalWeb"/>
        <w:numPr>
          <w:ilvl w:val="0"/>
          <w:numId w:val="35"/>
        </w:numPr>
        <w:spacing w:before="0" w:beforeAutospacing="0" w:after="120" w:afterAutospacing="0" w:line="276" w:lineRule="auto"/>
        <w:rPr>
          <w:rFonts w:ascii="Arial" w:hAnsi="Arial" w:cs="Arial"/>
          <w:color w:val="000000"/>
          <w:szCs w:val="27"/>
        </w:rPr>
      </w:pPr>
      <w:r w:rsidRPr="007B07CD">
        <w:rPr>
          <w:rFonts w:ascii="Arial" w:hAnsi="Arial" w:cs="Arial"/>
          <w:color w:val="000000"/>
          <w:szCs w:val="27"/>
        </w:rPr>
        <w:t>Security arrangements applicable to business continuity.</w:t>
      </w:r>
    </w:p>
    <w:p w14:paraId="5D816C0F" w14:textId="77777777" w:rsidR="007B07CD" w:rsidRPr="007B07CD" w:rsidRDefault="007B07CD" w:rsidP="00685F4E">
      <w:pPr>
        <w:pStyle w:val="NormalWeb"/>
        <w:spacing w:before="0" w:beforeAutospacing="0" w:after="120" w:afterAutospacing="0" w:line="276" w:lineRule="auto"/>
        <w:rPr>
          <w:rFonts w:ascii="Arial" w:hAnsi="Arial" w:cs="Arial"/>
          <w:color w:val="000000"/>
          <w:szCs w:val="27"/>
        </w:rPr>
      </w:pPr>
      <w:r w:rsidRPr="007B07CD">
        <w:rPr>
          <w:rFonts w:ascii="Arial" w:hAnsi="Arial" w:cs="Arial"/>
          <w:color w:val="000000"/>
          <w:szCs w:val="27"/>
        </w:rPr>
        <w:t>Further detail of specific security requirements will be provided in later phases of the procurement.</w:t>
      </w:r>
    </w:p>
    <w:p w14:paraId="491B6F5D" w14:textId="77777777" w:rsidR="002F2C0A" w:rsidRPr="002F2C0A" w:rsidRDefault="002F2C0A" w:rsidP="00685F4E">
      <w:pPr>
        <w:pStyle w:val="NormalWeb"/>
        <w:spacing w:before="0" w:beforeAutospacing="0" w:after="120" w:afterAutospacing="0" w:line="276" w:lineRule="auto"/>
        <w:rPr>
          <w:rFonts w:ascii="Arial" w:hAnsi="Arial" w:cs="Arial"/>
          <w:color w:val="000000"/>
          <w:szCs w:val="27"/>
          <w:u w:val="single"/>
        </w:rPr>
      </w:pPr>
      <w:r w:rsidRPr="002F2C0A">
        <w:rPr>
          <w:rFonts w:ascii="Arial" w:hAnsi="Arial" w:cs="Arial"/>
          <w:color w:val="000000"/>
          <w:szCs w:val="27"/>
          <w:u w:val="single"/>
        </w:rPr>
        <w:t>Staffing and HR Approach</w:t>
      </w:r>
    </w:p>
    <w:p w14:paraId="3C8C1C8D" w14:textId="5B4C2BB1" w:rsidR="002F2C0A" w:rsidRPr="002F2C0A" w:rsidRDefault="002F2C0A" w:rsidP="00685F4E">
      <w:pPr>
        <w:pStyle w:val="NormalWeb"/>
        <w:spacing w:before="0" w:beforeAutospacing="0" w:after="120" w:afterAutospacing="0" w:line="276" w:lineRule="auto"/>
        <w:rPr>
          <w:rFonts w:ascii="Arial" w:hAnsi="Arial" w:cs="Arial"/>
          <w:color w:val="000000"/>
          <w:szCs w:val="27"/>
        </w:rPr>
      </w:pPr>
      <w:r w:rsidRPr="002F2C0A">
        <w:rPr>
          <w:rFonts w:ascii="Arial" w:hAnsi="Arial" w:cs="Arial"/>
          <w:color w:val="000000"/>
          <w:szCs w:val="27"/>
        </w:rPr>
        <w:t xml:space="preserve">The FCO recognises that people are at the heart of any service. The FCO places a high priority on the equitable and fair treatment of its own staff and expects the same </w:t>
      </w:r>
      <w:r w:rsidRPr="002F2C0A">
        <w:rPr>
          <w:rFonts w:ascii="Arial" w:hAnsi="Arial" w:cs="Arial"/>
          <w:color w:val="000000"/>
          <w:szCs w:val="27"/>
        </w:rPr>
        <w:lastRenderedPageBreak/>
        <w:t xml:space="preserve">of its </w:t>
      </w:r>
      <w:r w:rsidR="00CD1924">
        <w:rPr>
          <w:rFonts w:ascii="Arial" w:hAnsi="Arial" w:cs="Arial"/>
          <w:color w:val="000000"/>
          <w:szCs w:val="27"/>
        </w:rPr>
        <w:t>service providers</w:t>
      </w:r>
      <w:r w:rsidRPr="002F2C0A">
        <w:rPr>
          <w:rFonts w:ascii="Arial" w:hAnsi="Arial" w:cs="Arial"/>
          <w:color w:val="000000"/>
          <w:szCs w:val="27"/>
        </w:rPr>
        <w:t>. The FCO has achieved global accreditation to the Inv</w:t>
      </w:r>
      <w:r w:rsidR="00E65931">
        <w:rPr>
          <w:rFonts w:ascii="Arial" w:hAnsi="Arial" w:cs="Arial"/>
          <w:color w:val="000000"/>
          <w:szCs w:val="27"/>
        </w:rPr>
        <w:t>estors in People Standard (IiP). I</w:t>
      </w:r>
      <w:r w:rsidRPr="002F2C0A">
        <w:rPr>
          <w:rFonts w:ascii="Arial" w:hAnsi="Arial" w:cs="Arial"/>
          <w:color w:val="000000"/>
          <w:szCs w:val="27"/>
        </w:rPr>
        <w:t>t expects the same standard of employee management from its Service Provider. To this end the FCO expects the</w:t>
      </w:r>
      <w:r w:rsidR="00A86F3E">
        <w:rPr>
          <w:rFonts w:ascii="Arial" w:hAnsi="Arial" w:cs="Arial"/>
          <w:color w:val="000000"/>
          <w:szCs w:val="27"/>
        </w:rPr>
        <w:t xml:space="preserve"> any provider awarded a work package under the DPS to</w:t>
      </w:r>
      <w:r w:rsidRPr="002F2C0A">
        <w:rPr>
          <w:rFonts w:ascii="Arial" w:hAnsi="Arial" w:cs="Arial"/>
          <w:color w:val="000000"/>
          <w:szCs w:val="27"/>
        </w:rPr>
        <w:t>:</w:t>
      </w:r>
    </w:p>
    <w:p w14:paraId="663017ED" w14:textId="77777777" w:rsidR="002F2C0A" w:rsidRPr="002F2C0A" w:rsidRDefault="002F2C0A" w:rsidP="00685F4E">
      <w:pPr>
        <w:pStyle w:val="NormalWeb"/>
        <w:numPr>
          <w:ilvl w:val="0"/>
          <w:numId w:val="36"/>
        </w:numPr>
        <w:spacing w:before="0" w:beforeAutospacing="0" w:after="120" w:afterAutospacing="0" w:line="276" w:lineRule="auto"/>
        <w:rPr>
          <w:rFonts w:ascii="Arial" w:hAnsi="Arial" w:cs="Arial"/>
          <w:color w:val="000000"/>
          <w:szCs w:val="27"/>
        </w:rPr>
      </w:pPr>
      <w:r w:rsidRPr="002F2C0A">
        <w:rPr>
          <w:rFonts w:ascii="Arial" w:hAnsi="Arial" w:cs="Arial"/>
          <w:color w:val="000000"/>
          <w:szCs w:val="27"/>
        </w:rPr>
        <w:t>Deliver a service and deal with its staff in a manner consistent with FCO HR strategies and policies including equality and diversity;</w:t>
      </w:r>
    </w:p>
    <w:p w14:paraId="5E12BC9B" w14:textId="77777777" w:rsidR="002F2C0A" w:rsidRDefault="002F2C0A" w:rsidP="00685F4E">
      <w:pPr>
        <w:pStyle w:val="NormalWeb"/>
        <w:numPr>
          <w:ilvl w:val="0"/>
          <w:numId w:val="36"/>
        </w:numPr>
        <w:spacing w:before="0" w:beforeAutospacing="0" w:after="120" w:afterAutospacing="0" w:line="276" w:lineRule="auto"/>
        <w:rPr>
          <w:rFonts w:ascii="Arial" w:hAnsi="Arial" w:cs="Arial"/>
          <w:color w:val="000000"/>
          <w:szCs w:val="27"/>
        </w:rPr>
      </w:pPr>
      <w:r w:rsidRPr="002F2C0A">
        <w:rPr>
          <w:rFonts w:ascii="Arial" w:hAnsi="Arial" w:cs="Arial"/>
          <w:color w:val="000000"/>
          <w:szCs w:val="27"/>
        </w:rPr>
        <w:t xml:space="preserve">Recognise, support, motivate and develop its staff and the staff delivering services to the FCO in a manner that is consistent with FCO policies including </w:t>
      </w:r>
    </w:p>
    <w:p w14:paraId="434FADB3" w14:textId="691F140A" w:rsidR="00D75944" w:rsidRDefault="002F2C0A" w:rsidP="00685F4E">
      <w:pPr>
        <w:pStyle w:val="NormalWeb"/>
        <w:numPr>
          <w:ilvl w:val="0"/>
          <w:numId w:val="36"/>
        </w:numPr>
        <w:spacing w:before="0" w:beforeAutospacing="0" w:after="120" w:afterAutospacing="0" w:line="276" w:lineRule="auto"/>
        <w:rPr>
          <w:rFonts w:ascii="Arial" w:hAnsi="Arial" w:cs="Arial"/>
          <w:color w:val="000000"/>
          <w:szCs w:val="27"/>
        </w:rPr>
      </w:pPr>
      <w:r w:rsidRPr="002F2C0A">
        <w:rPr>
          <w:rFonts w:ascii="Arial" w:hAnsi="Arial" w:cs="Arial"/>
          <w:color w:val="000000"/>
          <w:szCs w:val="27"/>
        </w:rPr>
        <w:t>Instil a performance culture with staff that includes active management, review, and development of staff performance.</w:t>
      </w:r>
    </w:p>
    <w:p w14:paraId="02ACA8EF" w14:textId="77777777" w:rsidR="00197E06" w:rsidRDefault="00197E06" w:rsidP="00685F4E">
      <w:pPr>
        <w:pStyle w:val="NormalWeb"/>
        <w:spacing w:before="0" w:beforeAutospacing="0" w:after="120" w:afterAutospacing="0" w:line="276" w:lineRule="auto"/>
        <w:ind w:left="720"/>
        <w:rPr>
          <w:rFonts w:ascii="Arial" w:hAnsi="Arial" w:cs="Arial"/>
          <w:color w:val="000000"/>
          <w:szCs w:val="27"/>
        </w:rPr>
      </w:pPr>
    </w:p>
    <w:p w14:paraId="160B38A1" w14:textId="77777777" w:rsidR="00197E06" w:rsidRDefault="00197E06" w:rsidP="00685F4E">
      <w:pPr>
        <w:spacing w:after="160"/>
        <w:rPr>
          <w:rFonts w:ascii="Arial" w:eastAsia="Times New Roman" w:hAnsi="Arial" w:cs="Arial"/>
          <w:color w:val="000000"/>
          <w:sz w:val="24"/>
          <w:szCs w:val="27"/>
          <w:lang w:eastAsia="en-GB"/>
        </w:rPr>
      </w:pPr>
      <w:r>
        <w:rPr>
          <w:rFonts w:ascii="Arial" w:hAnsi="Arial" w:cs="Arial"/>
          <w:color w:val="000000"/>
          <w:szCs w:val="27"/>
        </w:rPr>
        <w:br w:type="page"/>
      </w:r>
    </w:p>
    <w:p w14:paraId="6850AA95" w14:textId="34D97932" w:rsidR="00197E06" w:rsidRPr="009B5753" w:rsidRDefault="00197E06" w:rsidP="00685F4E">
      <w:pPr>
        <w:pStyle w:val="NormalWeb"/>
        <w:spacing w:before="0" w:beforeAutospacing="0" w:after="120" w:afterAutospacing="0" w:line="276" w:lineRule="auto"/>
        <w:ind w:left="720"/>
        <w:rPr>
          <w:rFonts w:ascii="Arial" w:hAnsi="Arial" w:cs="Arial"/>
          <w:color w:val="000000"/>
          <w:szCs w:val="27"/>
        </w:rPr>
      </w:pPr>
    </w:p>
    <w:p w14:paraId="36D4CBF4" w14:textId="6E62872B" w:rsidR="00D75944" w:rsidRPr="002F4258" w:rsidRDefault="00D75944" w:rsidP="00685F4E">
      <w:pPr>
        <w:spacing w:after="160"/>
        <w:jc w:val="center"/>
        <w:rPr>
          <w:rFonts w:ascii="Arial" w:hAnsi="Arial" w:cs="Arial"/>
          <w:b/>
          <w:color w:val="000000"/>
          <w:sz w:val="24"/>
          <w:szCs w:val="24"/>
        </w:rPr>
      </w:pPr>
      <w:r w:rsidRPr="002F4258">
        <w:rPr>
          <w:rFonts w:ascii="Arial" w:hAnsi="Arial" w:cs="Arial"/>
          <w:b/>
          <w:color w:val="000000"/>
          <w:sz w:val="24"/>
          <w:szCs w:val="24"/>
        </w:rPr>
        <w:t xml:space="preserve">Appendix D – Financial Viability Risk Assessment </w:t>
      </w:r>
      <w:r w:rsidR="009B5753" w:rsidRPr="002F4258">
        <w:rPr>
          <w:rFonts w:ascii="Arial" w:hAnsi="Arial" w:cs="Arial"/>
          <w:b/>
          <w:color w:val="000000"/>
          <w:sz w:val="24"/>
          <w:szCs w:val="24"/>
        </w:rPr>
        <w:t xml:space="preserve">Tool </w:t>
      </w:r>
      <w:r w:rsidRPr="002F4258">
        <w:rPr>
          <w:rFonts w:ascii="Arial" w:hAnsi="Arial" w:cs="Arial"/>
          <w:b/>
          <w:color w:val="000000"/>
          <w:sz w:val="24"/>
          <w:szCs w:val="24"/>
        </w:rPr>
        <w:t>Guidance</w:t>
      </w:r>
    </w:p>
    <w:p w14:paraId="215C7B1B" w14:textId="50C3A656" w:rsidR="00D75944" w:rsidRPr="002F4258" w:rsidRDefault="00D75944" w:rsidP="00685F4E">
      <w:pPr>
        <w:spacing w:after="120"/>
        <w:rPr>
          <w:rFonts w:ascii="Arial" w:hAnsi="Arial" w:cs="Arial"/>
          <w:b/>
          <w:color w:val="000000"/>
          <w:sz w:val="24"/>
          <w:szCs w:val="24"/>
        </w:rPr>
      </w:pPr>
      <w:r w:rsidRPr="002F4258">
        <w:rPr>
          <w:rFonts w:ascii="Arial" w:hAnsi="Arial" w:cs="Arial"/>
          <w:sz w:val="24"/>
          <w:szCs w:val="24"/>
        </w:rPr>
        <w:t>This Appendix provides guidance on the standard ratios and metrics that will be used when assessing the econo</w:t>
      </w:r>
      <w:r w:rsidR="005679B6">
        <w:rPr>
          <w:rFonts w:ascii="Arial" w:hAnsi="Arial" w:cs="Arial"/>
          <w:sz w:val="24"/>
          <w:szCs w:val="24"/>
        </w:rPr>
        <w:t>mic and financial standing</w:t>
      </w:r>
      <w:r w:rsidRPr="002F4258">
        <w:rPr>
          <w:rFonts w:ascii="Arial" w:hAnsi="Arial" w:cs="Arial"/>
          <w:sz w:val="24"/>
          <w:szCs w:val="24"/>
        </w:rPr>
        <w:t xml:space="preserve"> of </w:t>
      </w:r>
      <w:r w:rsidR="009F20BC" w:rsidRPr="002F4258">
        <w:rPr>
          <w:rFonts w:ascii="Arial" w:hAnsi="Arial" w:cs="Arial"/>
          <w:sz w:val="24"/>
          <w:szCs w:val="24"/>
        </w:rPr>
        <w:t xml:space="preserve">Tenderers </w:t>
      </w:r>
      <w:r w:rsidRPr="002F4258">
        <w:rPr>
          <w:rFonts w:ascii="Arial" w:hAnsi="Arial" w:cs="Arial"/>
          <w:sz w:val="24"/>
          <w:szCs w:val="24"/>
        </w:rPr>
        <w:t xml:space="preserve">and </w:t>
      </w:r>
      <w:r w:rsidR="00CD1924" w:rsidRPr="002F4258">
        <w:rPr>
          <w:rFonts w:ascii="Arial" w:hAnsi="Arial" w:cs="Arial"/>
          <w:sz w:val="24"/>
          <w:szCs w:val="24"/>
        </w:rPr>
        <w:t>service providers</w:t>
      </w:r>
      <w:r w:rsidRPr="002F4258">
        <w:rPr>
          <w:rFonts w:ascii="Arial" w:hAnsi="Arial" w:cs="Arial"/>
          <w:sz w:val="24"/>
          <w:szCs w:val="24"/>
        </w:rPr>
        <w:t xml:space="preserve"> using the FVRA.</w:t>
      </w:r>
    </w:p>
    <w:p w14:paraId="73EB7207" w14:textId="46292B64" w:rsidR="00D75944" w:rsidRPr="002F4258" w:rsidRDefault="009F20BC" w:rsidP="00685F4E">
      <w:pPr>
        <w:spacing w:after="120"/>
        <w:rPr>
          <w:rFonts w:ascii="Arial" w:hAnsi="Arial" w:cs="Arial"/>
          <w:sz w:val="24"/>
          <w:szCs w:val="24"/>
        </w:rPr>
      </w:pPr>
      <w:r w:rsidRPr="002F4258">
        <w:rPr>
          <w:rFonts w:ascii="Arial" w:hAnsi="Arial" w:cs="Arial"/>
          <w:sz w:val="24"/>
          <w:szCs w:val="24"/>
        </w:rPr>
        <w:t xml:space="preserve">Tenderers </w:t>
      </w:r>
      <w:r w:rsidR="00D75944" w:rsidRPr="002F4258">
        <w:rPr>
          <w:rFonts w:ascii="Arial" w:hAnsi="Arial" w:cs="Arial"/>
          <w:sz w:val="24"/>
          <w:szCs w:val="24"/>
        </w:rPr>
        <w:t xml:space="preserve">should complete the FVRA as fully as possible, providing the required information for the bidding entity/lead supplier, parent companies (both immediate and ultimate, where applicable), and any consortium or joint-venture partners, where applicable. All boxes in yellow should be completed, where possible. Numeric values should be used for all financial information. </w:t>
      </w:r>
    </w:p>
    <w:p w14:paraId="2A8271BA" w14:textId="563FC26C" w:rsidR="00D75944" w:rsidRPr="002F4258" w:rsidRDefault="00D75944" w:rsidP="00685F4E">
      <w:pPr>
        <w:spacing w:after="120"/>
        <w:rPr>
          <w:rFonts w:ascii="Arial" w:hAnsi="Arial" w:cs="Arial"/>
          <w:sz w:val="24"/>
          <w:szCs w:val="24"/>
        </w:rPr>
      </w:pPr>
      <w:r w:rsidRPr="002F4258">
        <w:rPr>
          <w:rFonts w:ascii="Arial" w:hAnsi="Arial" w:cs="Arial"/>
          <w:sz w:val="24"/>
          <w:szCs w:val="24"/>
        </w:rPr>
        <w:t xml:space="preserve">At Stage 1A, </w:t>
      </w:r>
      <w:r w:rsidR="009F20BC" w:rsidRPr="002F4258">
        <w:rPr>
          <w:rFonts w:ascii="Arial" w:hAnsi="Arial" w:cs="Arial"/>
          <w:sz w:val="24"/>
          <w:szCs w:val="24"/>
        </w:rPr>
        <w:t xml:space="preserve">Tenderers </w:t>
      </w:r>
      <w:r w:rsidRPr="002F4258">
        <w:rPr>
          <w:rFonts w:ascii="Arial" w:hAnsi="Arial" w:cs="Arial"/>
          <w:sz w:val="24"/>
          <w:szCs w:val="24"/>
        </w:rPr>
        <w:t xml:space="preserve">will not be </w:t>
      </w:r>
      <w:r w:rsidR="00F97552" w:rsidRPr="002F4258">
        <w:rPr>
          <w:rFonts w:ascii="Arial" w:hAnsi="Arial" w:cs="Arial"/>
          <w:sz w:val="24"/>
          <w:szCs w:val="24"/>
        </w:rPr>
        <w:t>required</w:t>
      </w:r>
      <w:r w:rsidRPr="002F4258">
        <w:rPr>
          <w:rFonts w:ascii="Arial" w:hAnsi="Arial" w:cs="Arial"/>
          <w:sz w:val="24"/>
          <w:szCs w:val="24"/>
        </w:rPr>
        <w:t xml:space="preserve"> to provide this information for subcontractors; however, the FCO reserves the right to require such information in the future where deemed necessary. </w:t>
      </w:r>
    </w:p>
    <w:p w14:paraId="322F454A" w14:textId="15FB3C7A" w:rsidR="0044696A" w:rsidRPr="002F4258" w:rsidRDefault="0044696A" w:rsidP="00685F4E">
      <w:pPr>
        <w:spacing w:after="120"/>
        <w:rPr>
          <w:rFonts w:ascii="Arial" w:hAnsi="Arial" w:cs="Arial"/>
          <w:sz w:val="24"/>
          <w:szCs w:val="24"/>
        </w:rPr>
      </w:pPr>
      <w:r w:rsidRPr="002F4258">
        <w:rPr>
          <w:rFonts w:ascii="Arial" w:hAnsi="Arial" w:cs="Arial"/>
          <w:sz w:val="24"/>
          <w:szCs w:val="24"/>
        </w:rPr>
        <w:t>When completing the FVRA template, Tenderers should be cognisant of the following:</w:t>
      </w:r>
    </w:p>
    <w:p w14:paraId="6951B7B9" w14:textId="77777777" w:rsidR="00D75944" w:rsidRPr="002F4258" w:rsidRDefault="00D75944" w:rsidP="00685F4E">
      <w:pPr>
        <w:pStyle w:val="ListParagraph"/>
        <w:numPr>
          <w:ilvl w:val="0"/>
          <w:numId w:val="44"/>
        </w:numPr>
        <w:spacing w:after="120"/>
        <w:rPr>
          <w:rFonts w:ascii="Arial" w:hAnsi="Arial" w:cs="Arial"/>
          <w:sz w:val="24"/>
          <w:szCs w:val="24"/>
        </w:rPr>
      </w:pPr>
      <w:r w:rsidRPr="002F4258">
        <w:rPr>
          <w:rFonts w:ascii="Arial" w:hAnsi="Arial" w:cs="Arial"/>
          <w:b/>
          <w:bCs/>
          <w:sz w:val="24"/>
          <w:szCs w:val="24"/>
        </w:rPr>
        <w:t>Terminology</w:t>
      </w:r>
      <w:r w:rsidRPr="002F4258">
        <w:rPr>
          <w:rFonts w:ascii="Arial" w:hAnsi="Arial" w:cs="Arial"/>
          <w:sz w:val="24"/>
          <w:szCs w:val="24"/>
        </w:rPr>
        <w:t>: The terms referred to in this paper are those used by UK companies in their financial statements and are mostly available on the face of the Balance Sheet, Income Statement and Statements of Cash Flow. Where the entity is not a UK company, the corresponding items should be used even if the terminology is slightly different (for example a charity would refer to a surplus or deficit rather than a profit or loss).</w:t>
      </w:r>
    </w:p>
    <w:p w14:paraId="7F021529" w14:textId="77777777" w:rsidR="00D75944" w:rsidRPr="002F4258" w:rsidRDefault="00D75944" w:rsidP="00685F4E">
      <w:pPr>
        <w:pStyle w:val="ListParagraph"/>
        <w:spacing w:after="120"/>
        <w:rPr>
          <w:rFonts w:ascii="Arial" w:hAnsi="Arial" w:cs="Arial"/>
          <w:sz w:val="24"/>
          <w:szCs w:val="24"/>
        </w:rPr>
      </w:pPr>
    </w:p>
    <w:p w14:paraId="0DF2C7C0" w14:textId="77777777" w:rsidR="00D75944" w:rsidRPr="002F4258" w:rsidRDefault="00D75944" w:rsidP="00685F4E">
      <w:pPr>
        <w:pStyle w:val="ListParagraph"/>
        <w:numPr>
          <w:ilvl w:val="0"/>
          <w:numId w:val="44"/>
        </w:numPr>
        <w:spacing w:after="120"/>
        <w:rPr>
          <w:rFonts w:ascii="Arial" w:hAnsi="Arial" w:cs="Arial"/>
          <w:sz w:val="24"/>
          <w:szCs w:val="24"/>
        </w:rPr>
      </w:pPr>
      <w:r w:rsidRPr="002F4258">
        <w:rPr>
          <w:rFonts w:ascii="Arial" w:hAnsi="Arial" w:cs="Arial"/>
          <w:sz w:val="24"/>
          <w:szCs w:val="24"/>
        </w:rPr>
        <w:t xml:space="preserve"> </w:t>
      </w:r>
      <w:r w:rsidRPr="002F4258">
        <w:rPr>
          <w:rFonts w:ascii="Arial" w:hAnsi="Arial" w:cs="Arial"/>
          <w:b/>
          <w:bCs/>
          <w:sz w:val="24"/>
          <w:szCs w:val="24"/>
        </w:rPr>
        <w:t>Groups</w:t>
      </w:r>
      <w:r w:rsidRPr="002F4258">
        <w:rPr>
          <w:rFonts w:ascii="Arial" w:hAnsi="Arial" w:cs="Arial"/>
          <w:sz w:val="24"/>
          <w:szCs w:val="24"/>
        </w:rPr>
        <w:t>: Where the entity is the holding company of a group and prepares consolidated financial statements, the consolidated figures should be used.</w:t>
      </w:r>
    </w:p>
    <w:p w14:paraId="35E5BBFC" w14:textId="77777777" w:rsidR="00D75944" w:rsidRPr="002F4258" w:rsidRDefault="00D75944" w:rsidP="00685F4E">
      <w:pPr>
        <w:pStyle w:val="ListParagraph"/>
        <w:spacing w:after="120"/>
        <w:rPr>
          <w:rFonts w:ascii="Arial" w:hAnsi="Arial" w:cs="Arial"/>
          <w:sz w:val="24"/>
          <w:szCs w:val="24"/>
        </w:rPr>
      </w:pPr>
    </w:p>
    <w:p w14:paraId="40E00F8E" w14:textId="2B35B270" w:rsidR="00A66413" w:rsidRPr="002F4258" w:rsidRDefault="00D75944" w:rsidP="00685F4E">
      <w:pPr>
        <w:pStyle w:val="ListParagraph"/>
        <w:numPr>
          <w:ilvl w:val="0"/>
          <w:numId w:val="44"/>
        </w:numPr>
        <w:spacing w:after="120"/>
        <w:rPr>
          <w:rFonts w:ascii="Arial" w:hAnsi="Arial" w:cs="Arial"/>
          <w:sz w:val="24"/>
          <w:szCs w:val="24"/>
        </w:rPr>
      </w:pPr>
      <w:r w:rsidRPr="002F4258">
        <w:rPr>
          <w:rFonts w:ascii="Arial" w:hAnsi="Arial" w:cs="Arial"/>
          <w:b/>
          <w:bCs/>
          <w:sz w:val="24"/>
          <w:szCs w:val="24"/>
        </w:rPr>
        <w:t>Foreign currency</w:t>
      </w:r>
      <w:r w:rsidRPr="002F4258">
        <w:rPr>
          <w:rFonts w:ascii="Arial" w:hAnsi="Arial" w:cs="Arial"/>
          <w:sz w:val="24"/>
          <w:szCs w:val="24"/>
        </w:rPr>
        <w:t xml:space="preserve">: </w:t>
      </w:r>
      <w:r w:rsidR="00A66413" w:rsidRPr="002F4258">
        <w:rPr>
          <w:rFonts w:ascii="Arial" w:hAnsi="Arial" w:cs="Arial"/>
          <w:sz w:val="24"/>
          <w:szCs w:val="24"/>
        </w:rPr>
        <w:t xml:space="preserve">The FVRA template should be completed in the reporting currency of each entity. For the purpose of calculating the turnover ratio, Tenderers are required to select their reporting currency from a drop-down list. The FVRA template will then convert the reporting currency into Pound Sterling in order to compute the turnover ratio. A list of exchange rates used for this conversion, sourced from </w:t>
      </w:r>
      <w:r w:rsidR="002D0A64" w:rsidRPr="003F1A65">
        <w:rPr>
          <w:rFonts w:ascii="Arial" w:hAnsi="Arial" w:cs="Arial"/>
          <w:sz w:val="24"/>
          <w:szCs w:val="24"/>
        </w:rPr>
        <w:t>the Bank of England</w:t>
      </w:r>
      <w:r w:rsidR="00A66413" w:rsidRPr="003F1A65">
        <w:rPr>
          <w:rFonts w:ascii="Arial" w:hAnsi="Arial" w:cs="Arial"/>
          <w:sz w:val="24"/>
          <w:szCs w:val="24"/>
        </w:rPr>
        <w:t>,</w:t>
      </w:r>
      <w:r w:rsidR="00A66413" w:rsidRPr="002F4258">
        <w:rPr>
          <w:rFonts w:ascii="Arial" w:hAnsi="Arial" w:cs="Arial"/>
          <w:sz w:val="24"/>
          <w:szCs w:val="24"/>
        </w:rPr>
        <w:t xml:space="preserve"> is provided for reference as a worksheet within the FVRA template. </w:t>
      </w:r>
    </w:p>
    <w:p w14:paraId="02FA7FEA" w14:textId="0DFAB8A8" w:rsidR="00A66413" w:rsidRPr="002F4258" w:rsidRDefault="00A66413" w:rsidP="00685F4E">
      <w:pPr>
        <w:spacing w:after="120"/>
        <w:rPr>
          <w:rFonts w:ascii="Arial" w:hAnsi="Arial" w:cs="Arial"/>
          <w:sz w:val="24"/>
          <w:szCs w:val="24"/>
        </w:rPr>
      </w:pPr>
      <w:r w:rsidRPr="002F4258">
        <w:rPr>
          <w:rFonts w:ascii="Arial" w:hAnsi="Arial" w:cs="Arial"/>
          <w:sz w:val="24"/>
          <w:szCs w:val="24"/>
        </w:rPr>
        <w:t>The FCO reserves the right to make adjustments including but not limited to:</w:t>
      </w:r>
    </w:p>
    <w:p w14:paraId="14B1B536" w14:textId="5CF77096" w:rsidR="00A66413" w:rsidRPr="002F4258" w:rsidRDefault="00A66413" w:rsidP="00685F4E">
      <w:pPr>
        <w:pStyle w:val="ListParagraph"/>
        <w:numPr>
          <w:ilvl w:val="0"/>
          <w:numId w:val="56"/>
        </w:numPr>
        <w:spacing w:after="120"/>
        <w:rPr>
          <w:rFonts w:ascii="Arial" w:hAnsi="Arial" w:cs="Arial"/>
          <w:sz w:val="24"/>
          <w:szCs w:val="24"/>
        </w:rPr>
      </w:pPr>
      <w:r w:rsidRPr="002F4258">
        <w:rPr>
          <w:rFonts w:ascii="Arial" w:hAnsi="Arial" w:cs="Arial"/>
          <w:sz w:val="24"/>
          <w:szCs w:val="24"/>
        </w:rPr>
        <w:t xml:space="preserve">Treatment of non-underlying items; </w:t>
      </w:r>
    </w:p>
    <w:p w14:paraId="1BA71F3C" w14:textId="61CEC6D0" w:rsidR="00A66413" w:rsidRPr="002F4258" w:rsidRDefault="00A66413" w:rsidP="00685F4E">
      <w:pPr>
        <w:pStyle w:val="ListParagraph"/>
        <w:numPr>
          <w:ilvl w:val="0"/>
          <w:numId w:val="56"/>
        </w:numPr>
        <w:spacing w:after="120"/>
        <w:rPr>
          <w:rFonts w:ascii="Arial" w:hAnsi="Arial" w:cs="Arial"/>
          <w:sz w:val="24"/>
          <w:szCs w:val="24"/>
        </w:rPr>
      </w:pPr>
      <w:r w:rsidRPr="002F4258">
        <w:rPr>
          <w:rFonts w:ascii="Arial" w:hAnsi="Arial" w:cs="Arial"/>
          <w:sz w:val="24"/>
          <w:szCs w:val="24"/>
        </w:rPr>
        <w:t>Accounting periods other than 12 months</w:t>
      </w:r>
      <w:r w:rsidR="00E65931">
        <w:rPr>
          <w:rFonts w:ascii="Arial" w:hAnsi="Arial" w:cs="Arial"/>
          <w:sz w:val="24"/>
          <w:szCs w:val="24"/>
        </w:rPr>
        <w:t>;</w:t>
      </w:r>
    </w:p>
    <w:p w14:paraId="04B86A66" w14:textId="46BF30C7" w:rsidR="00A66413" w:rsidRPr="002F4258" w:rsidRDefault="00A66413" w:rsidP="00685F4E">
      <w:pPr>
        <w:pStyle w:val="ListParagraph"/>
        <w:numPr>
          <w:ilvl w:val="0"/>
          <w:numId w:val="56"/>
        </w:numPr>
        <w:spacing w:after="120"/>
        <w:rPr>
          <w:rFonts w:ascii="Arial" w:hAnsi="Arial" w:cs="Arial"/>
          <w:sz w:val="24"/>
          <w:szCs w:val="24"/>
        </w:rPr>
      </w:pPr>
      <w:r w:rsidRPr="002F4258">
        <w:rPr>
          <w:rFonts w:ascii="Arial" w:hAnsi="Arial" w:cs="Arial"/>
          <w:sz w:val="24"/>
          <w:szCs w:val="24"/>
        </w:rPr>
        <w:t>Post balance sheet events; and</w:t>
      </w:r>
    </w:p>
    <w:p w14:paraId="2FBF0A27" w14:textId="4C390232" w:rsidR="00A66413" w:rsidRPr="002F4258" w:rsidRDefault="00A66413" w:rsidP="00685F4E">
      <w:pPr>
        <w:pStyle w:val="ListParagraph"/>
        <w:numPr>
          <w:ilvl w:val="0"/>
          <w:numId w:val="56"/>
        </w:numPr>
        <w:spacing w:after="120"/>
        <w:rPr>
          <w:rFonts w:ascii="Arial" w:hAnsi="Arial" w:cs="Arial"/>
          <w:sz w:val="24"/>
          <w:szCs w:val="24"/>
        </w:rPr>
      </w:pPr>
      <w:r w:rsidRPr="002F4258">
        <w:rPr>
          <w:rFonts w:ascii="Arial" w:hAnsi="Arial" w:cs="Arial"/>
          <w:sz w:val="24"/>
          <w:szCs w:val="24"/>
        </w:rPr>
        <w:t xml:space="preserve">Qualified accounts. </w:t>
      </w:r>
    </w:p>
    <w:p w14:paraId="3CDC8788" w14:textId="026708DA" w:rsidR="00190D10" w:rsidRPr="002F4258" w:rsidRDefault="00D75944" w:rsidP="00685F4E">
      <w:pPr>
        <w:spacing w:after="120"/>
        <w:rPr>
          <w:rFonts w:ascii="Arial" w:hAnsi="Arial" w:cs="Arial"/>
          <w:sz w:val="24"/>
          <w:szCs w:val="24"/>
        </w:rPr>
      </w:pPr>
      <w:r w:rsidRPr="002F4258">
        <w:rPr>
          <w:rFonts w:ascii="Arial" w:hAnsi="Arial" w:cs="Arial"/>
          <w:sz w:val="24"/>
          <w:szCs w:val="24"/>
        </w:rPr>
        <w:lastRenderedPageBreak/>
        <w:t xml:space="preserve">Where a </w:t>
      </w:r>
      <w:r w:rsidR="000C4E06" w:rsidRPr="002F4258">
        <w:rPr>
          <w:rFonts w:ascii="Arial" w:hAnsi="Arial" w:cs="Arial"/>
          <w:sz w:val="24"/>
          <w:szCs w:val="24"/>
        </w:rPr>
        <w:t>Tenderer’s</w:t>
      </w:r>
      <w:r w:rsidRPr="002F4258">
        <w:rPr>
          <w:rFonts w:ascii="Arial" w:hAnsi="Arial" w:cs="Arial"/>
          <w:sz w:val="24"/>
          <w:szCs w:val="24"/>
        </w:rPr>
        <w:t xml:space="preserve"> ratio score results in a</w:t>
      </w:r>
      <w:r w:rsidR="00A66413" w:rsidRPr="002F4258">
        <w:rPr>
          <w:rFonts w:ascii="Arial" w:hAnsi="Arial" w:cs="Arial"/>
          <w:sz w:val="24"/>
          <w:szCs w:val="24"/>
        </w:rPr>
        <w:t>n</w:t>
      </w:r>
      <w:r w:rsidRPr="002F4258">
        <w:rPr>
          <w:rFonts w:ascii="Arial" w:hAnsi="Arial" w:cs="Arial"/>
          <w:sz w:val="24"/>
          <w:szCs w:val="24"/>
        </w:rPr>
        <w:t xml:space="preserve"> </w:t>
      </w:r>
      <w:r w:rsidR="00D015B4" w:rsidRPr="002F4258">
        <w:rPr>
          <w:rFonts w:ascii="Arial" w:hAnsi="Arial" w:cs="Arial"/>
          <w:sz w:val="24"/>
          <w:szCs w:val="24"/>
        </w:rPr>
        <w:t>Amber or R</w:t>
      </w:r>
      <w:r w:rsidR="00A66413" w:rsidRPr="002F4258">
        <w:rPr>
          <w:rFonts w:ascii="Arial" w:hAnsi="Arial" w:cs="Arial"/>
          <w:sz w:val="24"/>
          <w:szCs w:val="24"/>
        </w:rPr>
        <w:t>ed</w:t>
      </w:r>
      <w:r w:rsidRPr="002F4258">
        <w:rPr>
          <w:rFonts w:ascii="Arial" w:hAnsi="Arial" w:cs="Arial"/>
          <w:sz w:val="24"/>
          <w:szCs w:val="24"/>
        </w:rPr>
        <w:t xml:space="preserve"> classification, </w:t>
      </w:r>
      <w:r w:rsidR="00BD4290">
        <w:rPr>
          <w:rFonts w:ascii="Arial" w:hAnsi="Arial" w:cs="Arial"/>
          <w:sz w:val="24"/>
          <w:szCs w:val="24"/>
        </w:rPr>
        <w:t>that Tenderer</w:t>
      </w:r>
      <w:r w:rsidR="00A66413" w:rsidRPr="002F4258">
        <w:rPr>
          <w:rFonts w:ascii="Arial" w:hAnsi="Arial" w:cs="Arial"/>
          <w:sz w:val="24"/>
          <w:szCs w:val="24"/>
        </w:rPr>
        <w:t xml:space="preserve"> </w:t>
      </w:r>
      <w:r w:rsidR="00BD4290">
        <w:rPr>
          <w:rFonts w:ascii="Arial" w:hAnsi="Arial" w:cs="Arial"/>
          <w:sz w:val="24"/>
          <w:szCs w:val="24"/>
        </w:rPr>
        <w:t>will be asked to</w:t>
      </w:r>
      <w:r w:rsidR="00A66413" w:rsidRPr="002F4258">
        <w:rPr>
          <w:rFonts w:ascii="Arial" w:hAnsi="Arial" w:cs="Arial"/>
          <w:sz w:val="24"/>
          <w:szCs w:val="24"/>
        </w:rPr>
        <w:t xml:space="preserve"> provide an accompanying explanation. The FCO, at its sole discretion, </w:t>
      </w:r>
      <w:r w:rsidR="00190D10" w:rsidRPr="002F4258">
        <w:rPr>
          <w:rFonts w:ascii="Arial" w:hAnsi="Arial" w:cs="Arial"/>
          <w:sz w:val="24"/>
          <w:szCs w:val="24"/>
        </w:rPr>
        <w:t>reserves the right to desel</w:t>
      </w:r>
      <w:r w:rsidR="00D015B4" w:rsidRPr="002F4258">
        <w:rPr>
          <w:rFonts w:ascii="Arial" w:hAnsi="Arial" w:cs="Arial"/>
          <w:sz w:val="24"/>
          <w:szCs w:val="24"/>
        </w:rPr>
        <w:t>ect any Tenderer who scores an Amber or R</w:t>
      </w:r>
      <w:r w:rsidR="00190D10" w:rsidRPr="002F4258">
        <w:rPr>
          <w:rFonts w:ascii="Arial" w:hAnsi="Arial" w:cs="Arial"/>
          <w:sz w:val="24"/>
          <w:szCs w:val="24"/>
        </w:rPr>
        <w:t xml:space="preserve">ed in relation to any ratio score. </w:t>
      </w:r>
      <w:r w:rsidR="00BD4290">
        <w:rPr>
          <w:rFonts w:ascii="Arial" w:hAnsi="Arial" w:cs="Arial"/>
          <w:sz w:val="24"/>
          <w:szCs w:val="24"/>
        </w:rPr>
        <w:t>Further information is provided in section 8 of this Procurement Document.</w:t>
      </w:r>
    </w:p>
    <w:p w14:paraId="76ABF991" w14:textId="569FF4B4" w:rsidR="00D75944" w:rsidRPr="002F4258" w:rsidRDefault="00190D10" w:rsidP="00685F4E">
      <w:pPr>
        <w:spacing w:after="120"/>
        <w:rPr>
          <w:rFonts w:ascii="Arial" w:hAnsi="Arial" w:cs="Arial"/>
          <w:sz w:val="24"/>
          <w:szCs w:val="24"/>
        </w:rPr>
      </w:pPr>
      <w:r w:rsidRPr="002F4258">
        <w:rPr>
          <w:rFonts w:ascii="Arial" w:hAnsi="Arial" w:cs="Arial"/>
          <w:sz w:val="24"/>
          <w:szCs w:val="24"/>
        </w:rPr>
        <w:t xml:space="preserve">When inputting financial information into the FVRA the following guidance should be considered: </w:t>
      </w:r>
    </w:p>
    <w:p w14:paraId="3E923593" w14:textId="77777777" w:rsidR="00D75944" w:rsidRPr="005679B6" w:rsidRDefault="00D75944" w:rsidP="00685F4E">
      <w:pPr>
        <w:spacing w:after="120"/>
        <w:rPr>
          <w:rFonts w:ascii="Arial" w:hAnsi="Arial" w:cs="Arial"/>
          <w:b/>
          <w:sz w:val="24"/>
          <w:szCs w:val="24"/>
          <w:u w:val="single"/>
        </w:rPr>
      </w:pPr>
      <w:r w:rsidRPr="005679B6">
        <w:rPr>
          <w:rFonts w:ascii="Arial" w:hAnsi="Arial" w:cs="Arial"/>
          <w:b/>
          <w:sz w:val="24"/>
          <w:szCs w:val="24"/>
          <w:u w:val="single"/>
        </w:rPr>
        <w:t>Metric 1 – Turnover Ratio</w:t>
      </w:r>
    </w:p>
    <w:p w14:paraId="0A1E12A9" w14:textId="1E86C76E" w:rsidR="00D75944" w:rsidRPr="002F4258" w:rsidRDefault="00D75944" w:rsidP="00685F4E">
      <w:pPr>
        <w:spacing w:after="120"/>
        <w:rPr>
          <w:rFonts w:ascii="Arial" w:hAnsi="Arial" w:cs="Arial"/>
          <w:i/>
          <w:iCs/>
          <w:sz w:val="24"/>
          <w:szCs w:val="24"/>
        </w:rPr>
      </w:pPr>
      <w:r w:rsidRPr="002F4258">
        <w:rPr>
          <w:rFonts w:ascii="Arial" w:hAnsi="Arial" w:cs="Arial"/>
          <w:i/>
          <w:iCs/>
          <w:sz w:val="24"/>
          <w:szCs w:val="24"/>
        </w:rPr>
        <w:t xml:space="preserve">Turnover Ratio = </w:t>
      </w:r>
      <w:r w:rsidR="00CD1924" w:rsidRPr="002F4258">
        <w:rPr>
          <w:rFonts w:ascii="Arial" w:hAnsi="Arial" w:cs="Arial"/>
          <w:i/>
          <w:iCs/>
          <w:sz w:val="24"/>
          <w:szCs w:val="24"/>
        </w:rPr>
        <w:t>Tenderer</w:t>
      </w:r>
      <w:r w:rsidRPr="002F4258">
        <w:rPr>
          <w:rFonts w:ascii="Arial" w:hAnsi="Arial" w:cs="Arial"/>
          <w:i/>
          <w:iCs/>
          <w:sz w:val="24"/>
          <w:szCs w:val="24"/>
        </w:rPr>
        <w:t xml:space="preserve"> Annual Revenue / Expected Annual Contract Value</w:t>
      </w:r>
    </w:p>
    <w:p w14:paraId="3EBE9118" w14:textId="77777777" w:rsidR="00D75944" w:rsidRPr="002F4258" w:rsidRDefault="00D75944" w:rsidP="00685F4E">
      <w:pPr>
        <w:spacing w:after="120"/>
        <w:rPr>
          <w:rFonts w:ascii="Arial" w:hAnsi="Arial" w:cs="Arial"/>
          <w:b/>
          <w:bCs/>
          <w:sz w:val="24"/>
          <w:szCs w:val="24"/>
        </w:rPr>
      </w:pPr>
      <w:r w:rsidRPr="002F4258">
        <w:rPr>
          <w:rFonts w:ascii="Arial" w:hAnsi="Arial" w:cs="Arial"/>
          <w:b/>
          <w:bCs/>
          <w:sz w:val="24"/>
          <w:szCs w:val="24"/>
        </w:rPr>
        <w:t>Definition</w:t>
      </w:r>
    </w:p>
    <w:p w14:paraId="2FD12C4C"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Revenue should be shown on the face of the Income Statement in a standard set of financial statements. It should exclude the entity’s share of the revenue of joint ventures or associates.</w:t>
      </w:r>
    </w:p>
    <w:p w14:paraId="069D2CA4" w14:textId="77777777" w:rsidR="00D75944" w:rsidRPr="002F4258" w:rsidRDefault="00D75944" w:rsidP="00685F4E">
      <w:pPr>
        <w:spacing w:after="120"/>
        <w:rPr>
          <w:rFonts w:ascii="Arial" w:hAnsi="Arial" w:cs="Arial"/>
          <w:b/>
          <w:bCs/>
          <w:sz w:val="24"/>
          <w:szCs w:val="24"/>
        </w:rPr>
      </w:pPr>
      <w:r w:rsidRPr="002F4258">
        <w:rPr>
          <w:rFonts w:ascii="Arial" w:hAnsi="Arial" w:cs="Arial"/>
          <w:b/>
          <w:bCs/>
          <w:sz w:val="24"/>
          <w:szCs w:val="24"/>
        </w:rPr>
        <w:t>Interpretation</w:t>
      </w:r>
    </w:p>
    <w:p w14:paraId="56C63890" w14:textId="097446B6" w:rsidR="00D75944" w:rsidRPr="002F4258" w:rsidRDefault="00D75944" w:rsidP="00685F4E">
      <w:pPr>
        <w:spacing w:after="120"/>
        <w:rPr>
          <w:rFonts w:ascii="Arial" w:hAnsi="Arial" w:cs="Arial"/>
          <w:sz w:val="24"/>
          <w:szCs w:val="24"/>
        </w:rPr>
      </w:pPr>
      <w:r w:rsidRPr="002F4258">
        <w:rPr>
          <w:rFonts w:ascii="Arial" w:hAnsi="Arial" w:cs="Arial"/>
          <w:sz w:val="24"/>
          <w:szCs w:val="24"/>
        </w:rPr>
        <w:t>The Turnover Ratio is used to understand how large the</w:t>
      </w:r>
      <w:r w:rsidR="002611F9">
        <w:rPr>
          <w:rFonts w:ascii="Arial" w:hAnsi="Arial" w:cs="Arial"/>
          <w:sz w:val="24"/>
          <w:szCs w:val="24"/>
        </w:rPr>
        <w:t xml:space="preserve"> expected value of opportunities available on the DPS</w:t>
      </w:r>
      <w:r w:rsidRPr="002F4258">
        <w:rPr>
          <w:rFonts w:ascii="Arial" w:hAnsi="Arial" w:cs="Arial"/>
          <w:sz w:val="24"/>
          <w:szCs w:val="24"/>
        </w:rPr>
        <w:t xml:space="preserve"> is compared to the annual revenue of a </w:t>
      </w:r>
      <w:r w:rsidR="00CD1924" w:rsidRPr="002F4258">
        <w:rPr>
          <w:rFonts w:ascii="Arial" w:hAnsi="Arial" w:cs="Arial"/>
          <w:sz w:val="24"/>
          <w:szCs w:val="24"/>
        </w:rPr>
        <w:t>Tenderer</w:t>
      </w:r>
      <w:r w:rsidRPr="002F4258">
        <w:rPr>
          <w:rFonts w:ascii="Arial" w:hAnsi="Arial" w:cs="Arial"/>
          <w:sz w:val="24"/>
          <w:szCs w:val="24"/>
        </w:rPr>
        <w:t xml:space="preserve">. A larger number might suggest that the </w:t>
      </w:r>
      <w:r w:rsidR="00CD1924" w:rsidRPr="002F4258">
        <w:rPr>
          <w:rFonts w:ascii="Arial" w:hAnsi="Arial" w:cs="Arial"/>
          <w:sz w:val="24"/>
          <w:szCs w:val="24"/>
        </w:rPr>
        <w:t>Tenderer</w:t>
      </w:r>
      <w:r w:rsidRPr="002F4258">
        <w:rPr>
          <w:rFonts w:ascii="Arial" w:hAnsi="Arial" w:cs="Arial"/>
          <w:sz w:val="24"/>
          <w:szCs w:val="24"/>
        </w:rPr>
        <w:t xml:space="preserve"> can accommo</w:t>
      </w:r>
      <w:r w:rsidR="00662948">
        <w:rPr>
          <w:rFonts w:ascii="Arial" w:hAnsi="Arial" w:cs="Arial"/>
          <w:sz w:val="24"/>
          <w:szCs w:val="24"/>
        </w:rPr>
        <w:t>date DPS contract opportunities</w:t>
      </w:r>
      <w:r w:rsidRPr="002F4258">
        <w:rPr>
          <w:rFonts w:ascii="Arial" w:hAnsi="Arial" w:cs="Arial"/>
          <w:sz w:val="24"/>
          <w:szCs w:val="24"/>
        </w:rPr>
        <w:t xml:space="preserve"> more easily and be better able to deliver </w:t>
      </w:r>
      <w:r w:rsidR="002611F9">
        <w:rPr>
          <w:rFonts w:ascii="Arial" w:hAnsi="Arial" w:cs="Arial"/>
          <w:sz w:val="24"/>
          <w:szCs w:val="24"/>
        </w:rPr>
        <w:t>them.</w:t>
      </w:r>
    </w:p>
    <w:p w14:paraId="55BDBA10" w14:textId="12FB187B" w:rsidR="00D75944" w:rsidRPr="005679B6" w:rsidRDefault="00D75944" w:rsidP="00685F4E">
      <w:pPr>
        <w:spacing w:after="120"/>
        <w:rPr>
          <w:rFonts w:ascii="Arial" w:hAnsi="Arial" w:cs="Arial"/>
          <w:b/>
          <w:sz w:val="24"/>
          <w:szCs w:val="24"/>
          <w:u w:val="single"/>
        </w:rPr>
      </w:pPr>
      <w:r w:rsidRPr="005679B6">
        <w:rPr>
          <w:rFonts w:ascii="Arial" w:hAnsi="Arial" w:cs="Arial"/>
          <w:b/>
          <w:sz w:val="24"/>
          <w:szCs w:val="24"/>
          <w:u w:val="single"/>
        </w:rPr>
        <w:t>Metric 2 –Operating Margin</w:t>
      </w:r>
    </w:p>
    <w:p w14:paraId="6A97DEFD" w14:textId="77777777" w:rsidR="00D75944" w:rsidRPr="002F4258" w:rsidRDefault="00D75944" w:rsidP="00685F4E">
      <w:pPr>
        <w:spacing w:after="120"/>
        <w:rPr>
          <w:rFonts w:ascii="Arial" w:hAnsi="Arial" w:cs="Arial"/>
          <w:i/>
          <w:iCs/>
          <w:sz w:val="24"/>
          <w:szCs w:val="24"/>
        </w:rPr>
      </w:pPr>
      <w:r w:rsidRPr="002F4258">
        <w:rPr>
          <w:rFonts w:ascii="Arial" w:hAnsi="Arial" w:cs="Arial"/>
          <w:i/>
          <w:iCs/>
          <w:sz w:val="24"/>
          <w:szCs w:val="24"/>
        </w:rPr>
        <w:t>Operating Margin = Operating Profit / Revenue</w:t>
      </w:r>
    </w:p>
    <w:p w14:paraId="5F526E51" w14:textId="77777777" w:rsidR="00D75944" w:rsidRPr="002F4258" w:rsidRDefault="00D75944" w:rsidP="00685F4E">
      <w:pPr>
        <w:spacing w:after="120"/>
        <w:rPr>
          <w:rFonts w:ascii="Arial" w:hAnsi="Arial" w:cs="Arial"/>
          <w:b/>
          <w:bCs/>
          <w:sz w:val="24"/>
          <w:szCs w:val="24"/>
        </w:rPr>
      </w:pPr>
      <w:r w:rsidRPr="002F4258">
        <w:rPr>
          <w:rFonts w:ascii="Arial" w:hAnsi="Arial" w:cs="Arial"/>
          <w:b/>
          <w:bCs/>
          <w:sz w:val="24"/>
          <w:szCs w:val="24"/>
        </w:rPr>
        <w:t>Definition</w:t>
      </w:r>
    </w:p>
    <w:p w14:paraId="785F1488"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The elements used to calculate the Operating Margin should be shown on the face of the Income Statement in a standard set of financial statements. Figures for Operating Profit and Revenue should exclude the entity’s share of the results of joint ventures or associates.</w:t>
      </w:r>
    </w:p>
    <w:p w14:paraId="72A38FF4"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Where an entity has an operating loss (i.e. where the operating profit is negative), Operating Profit should generally be taken to be zero.</w:t>
      </w:r>
    </w:p>
    <w:p w14:paraId="07D668DF"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Since Operating Margin can vary, the test should normally be based on the higher of (a) the Operating Margin for the most recent accounting period and (b) the average Operating Margin for the last two accounting periods.</w:t>
      </w:r>
    </w:p>
    <w:p w14:paraId="4781F5C6" w14:textId="77777777" w:rsidR="00D75944" w:rsidRPr="002F4258" w:rsidRDefault="00D75944" w:rsidP="00685F4E">
      <w:pPr>
        <w:spacing w:after="120"/>
        <w:rPr>
          <w:rFonts w:ascii="Arial" w:hAnsi="Arial" w:cs="Arial"/>
          <w:b/>
          <w:bCs/>
          <w:sz w:val="24"/>
          <w:szCs w:val="24"/>
        </w:rPr>
      </w:pPr>
      <w:r w:rsidRPr="002F4258">
        <w:rPr>
          <w:rFonts w:ascii="Arial" w:hAnsi="Arial" w:cs="Arial"/>
          <w:b/>
          <w:bCs/>
          <w:sz w:val="24"/>
          <w:szCs w:val="24"/>
        </w:rPr>
        <w:t>Interpretation</w:t>
      </w:r>
    </w:p>
    <w:p w14:paraId="224239F7" w14:textId="42288506" w:rsidR="00D75944" w:rsidRPr="002F4258" w:rsidRDefault="00D75944" w:rsidP="00685F4E">
      <w:pPr>
        <w:spacing w:after="120"/>
        <w:rPr>
          <w:rFonts w:ascii="Arial" w:hAnsi="Arial" w:cs="Arial"/>
          <w:sz w:val="24"/>
          <w:szCs w:val="24"/>
        </w:rPr>
      </w:pPr>
      <w:r w:rsidRPr="002F4258">
        <w:rPr>
          <w:rFonts w:ascii="Arial" w:hAnsi="Arial" w:cs="Arial"/>
          <w:sz w:val="24"/>
          <w:szCs w:val="24"/>
        </w:rPr>
        <w:t xml:space="preserve">Operating Margin is a measure of an entity’s profitability. A higher ratio would normally suggest, other things being equal, that the entity’s business is more sustainable and able to withstand any change in business and financial </w:t>
      </w:r>
      <w:r w:rsidRPr="002F4258">
        <w:rPr>
          <w:rFonts w:ascii="Arial" w:hAnsi="Arial" w:cs="Arial"/>
          <w:sz w:val="24"/>
          <w:szCs w:val="24"/>
        </w:rPr>
        <w:lastRenderedPageBreak/>
        <w:t>circumstances. Conversely, a low ratio may raise doubts over the sustainability of the business and hence the entity.</w:t>
      </w:r>
    </w:p>
    <w:p w14:paraId="61B674F9" w14:textId="77777777" w:rsidR="00D75944" w:rsidRPr="005679B6" w:rsidRDefault="00D75944" w:rsidP="00685F4E">
      <w:pPr>
        <w:spacing w:after="120"/>
        <w:rPr>
          <w:rFonts w:ascii="Arial" w:hAnsi="Arial" w:cs="Arial"/>
          <w:b/>
          <w:sz w:val="24"/>
          <w:szCs w:val="24"/>
          <w:u w:val="single"/>
        </w:rPr>
      </w:pPr>
      <w:r w:rsidRPr="005679B6">
        <w:rPr>
          <w:rFonts w:ascii="Arial" w:hAnsi="Arial" w:cs="Arial"/>
          <w:b/>
          <w:sz w:val="24"/>
          <w:szCs w:val="24"/>
          <w:u w:val="single"/>
        </w:rPr>
        <w:t>Metric 3(A) – Free Cash Flow to Net Debt Ratio</w:t>
      </w:r>
    </w:p>
    <w:p w14:paraId="2FB24FCC" w14:textId="77777777" w:rsidR="00D75944" w:rsidRPr="002F4258" w:rsidRDefault="00D75944" w:rsidP="00685F4E">
      <w:pPr>
        <w:spacing w:after="120"/>
        <w:rPr>
          <w:rFonts w:ascii="Arial" w:hAnsi="Arial" w:cs="Arial"/>
          <w:i/>
          <w:iCs/>
          <w:sz w:val="24"/>
          <w:szCs w:val="24"/>
        </w:rPr>
      </w:pPr>
      <w:r w:rsidRPr="002F4258">
        <w:rPr>
          <w:rFonts w:ascii="Arial" w:hAnsi="Arial" w:cs="Arial"/>
          <w:i/>
          <w:iCs/>
          <w:sz w:val="24"/>
          <w:szCs w:val="24"/>
        </w:rPr>
        <w:t>Free Cash Flow to Net Debt Ratio = Free Cash Flow / Net Debt</w:t>
      </w:r>
    </w:p>
    <w:p w14:paraId="66AC08B1" w14:textId="77777777" w:rsidR="00D75944" w:rsidRPr="002F4258" w:rsidRDefault="00D75944" w:rsidP="00685F4E">
      <w:pPr>
        <w:spacing w:after="120"/>
        <w:rPr>
          <w:rFonts w:ascii="Arial" w:hAnsi="Arial" w:cs="Arial"/>
          <w:b/>
          <w:bCs/>
          <w:sz w:val="24"/>
          <w:szCs w:val="24"/>
        </w:rPr>
      </w:pPr>
      <w:r w:rsidRPr="002F4258">
        <w:rPr>
          <w:rFonts w:ascii="Arial" w:hAnsi="Arial" w:cs="Arial"/>
          <w:b/>
          <w:bCs/>
          <w:sz w:val="24"/>
          <w:szCs w:val="24"/>
        </w:rPr>
        <w:t>Definition</w:t>
      </w:r>
    </w:p>
    <w:p w14:paraId="70D6685B" w14:textId="77777777" w:rsidR="00D75944" w:rsidRPr="002F4258" w:rsidRDefault="00D75944" w:rsidP="00685F4E">
      <w:pPr>
        <w:spacing w:after="120"/>
        <w:rPr>
          <w:rFonts w:ascii="Arial" w:hAnsi="Arial" w:cs="Arial"/>
          <w:i/>
          <w:iCs/>
          <w:sz w:val="24"/>
          <w:szCs w:val="24"/>
        </w:rPr>
      </w:pPr>
      <w:r w:rsidRPr="002F4258">
        <w:rPr>
          <w:rFonts w:ascii="Arial" w:hAnsi="Arial" w:cs="Arial"/>
          <w:i/>
          <w:iCs/>
          <w:sz w:val="24"/>
          <w:szCs w:val="24"/>
        </w:rPr>
        <w:t>Free Cash Flow = Net cash flow from operating activities – Capital expenditure</w:t>
      </w:r>
    </w:p>
    <w:p w14:paraId="6C6E6723" w14:textId="77777777" w:rsidR="00D75944" w:rsidRPr="002F4258" w:rsidRDefault="00D75944" w:rsidP="00685F4E">
      <w:pPr>
        <w:spacing w:after="120"/>
        <w:rPr>
          <w:rFonts w:ascii="Arial" w:hAnsi="Arial" w:cs="Arial"/>
          <w:i/>
          <w:iCs/>
          <w:sz w:val="24"/>
          <w:szCs w:val="24"/>
        </w:rPr>
      </w:pPr>
      <w:r w:rsidRPr="002F4258">
        <w:rPr>
          <w:rFonts w:ascii="Arial" w:hAnsi="Arial" w:cs="Arial"/>
          <w:i/>
          <w:iCs/>
          <w:sz w:val="24"/>
          <w:szCs w:val="24"/>
        </w:rPr>
        <w:t>Capital expenditure = Purchase of property, plant &amp; equipment + Purchase of intangible assets</w:t>
      </w:r>
    </w:p>
    <w:p w14:paraId="6277A21F" w14:textId="77777777" w:rsidR="00D75944" w:rsidRPr="002F4258" w:rsidRDefault="00D75944" w:rsidP="00685F4E">
      <w:pPr>
        <w:spacing w:after="120"/>
        <w:rPr>
          <w:rFonts w:ascii="Arial" w:hAnsi="Arial" w:cs="Arial"/>
          <w:i/>
          <w:iCs/>
          <w:sz w:val="24"/>
          <w:szCs w:val="24"/>
        </w:rPr>
      </w:pPr>
      <w:r w:rsidRPr="002F4258">
        <w:rPr>
          <w:rFonts w:ascii="Arial" w:hAnsi="Arial" w:cs="Arial"/>
          <w:i/>
          <w:iCs/>
          <w:sz w:val="24"/>
          <w:szCs w:val="24"/>
        </w:rPr>
        <w:t>Net Debt = Bank overdrafts + Loans and borrowings + Finance leases + Deferred consideration payable – Cash and cash equivalents</w:t>
      </w:r>
    </w:p>
    <w:p w14:paraId="22937B92"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The majority of the elements used to calculate the Free Cash Flow to Net Debt Ratio should be shown on the face of the Statement of Cash Flows and the Balance Sheet in a standard set of financial statements.</w:t>
      </w:r>
    </w:p>
    <w:p w14:paraId="0EF850A1" w14:textId="77777777" w:rsidR="00D75944" w:rsidRPr="002F4258" w:rsidRDefault="00D75944" w:rsidP="00685F4E">
      <w:pPr>
        <w:pStyle w:val="ListParagraph"/>
        <w:numPr>
          <w:ilvl w:val="0"/>
          <w:numId w:val="47"/>
        </w:numPr>
        <w:spacing w:after="120"/>
        <w:rPr>
          <w:rFonts w:ascii="Arial" w:hAnsi="Arial" w:cs="Arial"/>
          <w:sz w:val="24"/>
          <w:szCs w:val="24"/>
        </w:rPr>
      </w:pPr>
      <w:r w:rsidRPr="002F4258">
        <w:rPr>
          <w:rFonts w:ascii="Arial" w:hAnsi="Arial" w:cs="Arial"/>
          <w:b/>
          <w:bCs/>
          <w:sz w:val="24"/>
          <w:szCs w:val="24"/>
        </w:rPr>
        <w:t>Net cash flow from operating activities</w:t>
      </w:r>
      <w:r w:rsidRPr="002F4258">
        <w:rPr>
          <w:rFonts w:ascii="Arial" w:hAnsi="Arial" w:cs="Arial"/>
          <w:sz w:val="24"/>
          <w:szCs w:val="24"/>
        </w:rPr>
        <w:t>: This should be stated after deduction of interest and tax paid.</w:t>
      </w:r>
    </w:p>
    <w:p w14:paraId="6739F9FE" w14:textId="77777777" w:rsidR="00D75944" w:rsidRPr="002F4258" w:rsidRDefault="00D75944" w:rsidP="00685F4E">
      <w:pPr>
        <w:pStyle w:val="ListParagraph"/>
        <w:numPr>
          <w:ilvl w:val="0"/>
          <w:numId w:val="47"/>
        </w:numPr>
        <w:spacing w:after="120"/>
        <w:rPr>
          <w:rFonts w:ascii="Arial" w:hAnsi="Arial" w:cs="Arial"/>
          <w:sz w:val="24"/>
          <w:szCs w:val="24"/>
        </w:rPr>
      </w:pPr>
      <w:r w:rsidRPr="002F4258">
        <w:rPr>
          <w:rFonts w:ascii="Arial" w:hAnsi="Arial" w:cs="Arial"/>
          <w:b/>
          <w:bCs/>
          <w:sz w:val="24"/>
          <w:szCs w:val="24"/>
        </w:rPr>
        <w:t>Capital expenditure</w:t>
      </w:r>
      <w:r w:rsidRPr="002F4258">
        <w:rPr>
          <w:rFonts w:ascii="Arial" w:hAnsi="Arial" w:cs="Arial"/>
          <w:sz w:val="24"/>
          <w:szCs w:val="24"/>
        </w:rPr>
        <w:t>: The elements of capital expenditure may be described slightly differently but will be found under ‘</w:t>
      </w:r>
      <w:r w:rsidRPr="002F4258">
        <w:rPr>
          <w:rFonts w:ascii="Arial" w:hAnsi="Arial" w:cs="Arial"/>
          <w:i/>
          <w:iCs/>
          <w:sz w:val="24"/>
          <w:szCs w:val="24"/>
        </w:rPr>
        <w:t xml:space="preserve">Cash flows from investing activities’ </w:t>
      </w:r>
      <w:r w:rsidRPr="002F4258">
        <w:rPr>
          <w:rFonts w:ascii="Arial" w:hAnsi="Arial" w:cs="Arial"/>
          <w:sz w:val="24"/>
          <w:szCs w:val="24"/>
        </w:rPr>
        <w:t>in the Statement of Cash Flows; they should be limited to the purchase of fixed assets (including intangible assets) for the business and exclude acquisitions of other companies or businesses. The figure should be shown gross without any deduction for any proceeds of sale of fixed assets.</w:t>
      </w:r>
    </w:p>
    <w:p w14:paraId="36386662" w14:textId="77777777" w:rsidR="00D75944" w:rsidRPr="002F4258" w:rsidRDefault="00D75944" w:rsidP="00685F4E">
      <w:pPr>
        <w:pStyle w:val="ListParagraph"/>
        <w:numPr>
          <w:ilvl w:val="0"/>
          <w:numId w:val="47"/>
        </w:numPr>
        <w:spacing w:after="120"/>
        <w:rPr>
          <w:rFonts w:ascii="Arial" w:hAnsi="Arial" w:cs="Arial"/>
          <w:sz w:val="24"/>
          <w:szCs w:val="24"/>
        </w:rPr>
      </w:pPr>
      <w:r w:rsidRPr="002F4258">
        <w:rPr>
          <w:rFonts w:ascii="Arial" w:hAnsi="Arial" w:cs="Arial"/>
          <w:b/>
          <w:bCs/>
          <w:sz w:val="24"/>
          <w:szCs w:val="24"/>
        </w:rPr>
        <w:t>Net Debt</w:t>
      </w:r>
      <w:r w:rsidRPr="002F4258">
        <w:rPr>
          <w:rFonts w:ascii="Arial" w:hAnsi="Arial" w:cs="Arial"/>
          <w:sz w:val="24"/>
          <w:szCs w:val="24"/>
        </w:rPr>
        <w:t>: The elements of Net Debt may also be described slightly differently and should be found either on the face of the Balance Sheet or in the relevant note to the financial statements. All interest bearing liabilities (other than retirement benefit obligations) should be treated as borrowings as should, where disclosed, any liabilities (less any assets) in respect of any hedges designated as linked to borrowings (but not non-designated hedges). Borrowings should also include balances owed to other group members.</w:t>
      </w:r>
    </w:p>
    <w:p w14:paraId="2CBC80AA"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Deferred consideration payable should be included in Net Debt despite typically being non-interest bearing.</w:t>
      </w:r>
    </w:p>
    <w:p w14:paraId="56A0C309"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Cash and cash equivalents should include short-term financial investments shown in current assets.</w:t>
      </w:r>
    </w:p>
    <w:p w14:paraId="706722D5"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Where an entity has net cash (i.e. where application of the formula would produce a negative figure), the outcome of the test should be treated as ‘Low Risk’.</w:t>
      </w:r>
    </w:p>
    <w:p w14:paraId="3FB03B2B" w14:textId="77777777" w:rsidR="00D75944" w:rsidRPr="002F4258" w:rsidRDefault="00D75944" w:rsidP="00685F4E">
      <w:pPr>
        <w:spacing w:after="120"/>
        <w:rPr>
          <w:rFonts w:ascii="Arial" w:hAnsi="Arial" w:cs="Arial"/>
          <w:b/>
          <w:bCs/>
          <w:sz w:val="24"/>
          <w:szCs w:val="24"/>
        </w:rPr>
      </w:pPr>
      <w:r w:rsidRPr="002F4258">
        <w:rPr>
          <w:rFonts w:ascii="Arial" w:hAnsi="Arial" w:cs="Arial"/>
          <w:b/>
          <w:bCs/>
          <w:sz w:val="24"/>
          <w:szCs w:val="24"/>
        </w:rPr>
        <w:t>Interpretation</w:t>
      </w:r>
    </w:p>
    <w:p w14:paraId="66DAA8C6" w14:textId="4858A3FF" w:rsidR="00D75944" w:rsidRPr="002F4258" w:rsidRDefault="00D75944" w:rsidP="00685F4E">
      <w:pPr>
        <w:spacing w:after="120"/>
        <w:rPr>
          <w:rFonts w:ascii="Arial" w:hAnsi="Arial" w:cs="Arial"/>
          <w:sz w:val="24"/>
          <w:szCs w:val="24"/>
        </w:rPr>
      </w:pPr>
      <w:r w:rsidRPr="002F4258">
        <w:rPr>
          <w:rFonts w:ascii="Arial" w:hAnsi="Arial" w:cs="Arial"/>
          <w:sz w:val="24"/>
          <w:szCs w:val="24"/>
        </w:rPr>
        <w:lastRenderedPageBreak/>
        <w:t xml:space="preserve">An entity’s free cash flow represents the cash generated from its operations which is available for other purposes after ongoing capital expenditure. The Free Cash Flow to Net Debt Ratio effectively shows the proportion of its outstanding net debt (debt less cash), which it could pay off in a year if all its free cash flow went towards repaying debt and is a measure of the </w:t>
      </w:r>
      <w:r w:rsidR="00CD1924" w:rsidRPr="002F4258">
        <w:rPr>
          <w:rFonts w:ascii="Arial" w:hAnsi="Arial" w:cs="Arial"/>
          <w:sz w:val="24"/>
          <w:szCs w:val="24"/>
        </w:rPr>
        <w:t>Tenderer’s</w:t>
      </w:r>
      <w:r w:rsidRPr="002F4258">
        <w:rPr>
          <w:rFonts w:ascii="Arial" w:hAnsi="Arial" w:cs="Arial"/>
          <w:sz w:val="24"/>
          <w:szCs w:val="24"/>
        </w:rPr>
        <w:t xml:space="preserve"> leverage. A high ratio would normally indicate, other things being equal, that an entity is better able to pay back its debt and/or may be able to take on more debt if necessary. Conversely, a low ratio may raise doubts over an entity’s ability to service its existing debt.</w:t>
      </w:r>
    </w:p>
    <w:p w14:paraId="53A7B040" w14:textId="77777777" w:rsidR="00D75944" w:rsidRPr="005679B6" w:rsidRDefault="00D75944" w:rsidP="00685F4E">
      <w:pPr>
        <w:spacing w:after="120"/>
        <w:rPr>
          <w:rFonts w:ascii="Arial" w:hAnsi="Arial" w:cs="Arial"/>
          <w:b/>
          <w:sz w:val="24"/>
          <w:szCs w:val="24"/>
          <w:u w:val="single"/>
        </w:rPr>
      </w:pPr>
      <w:r w:rsidRPr="005679B6">
        <w:rPr>
          <w:rFonts w:ascii="Arial" w:hAnsi="Arial" w:cs="Arial"/>
          <w:b/>
          <w:sz w:val="24"/>
          <w:szCs w:val="24"/>
          <w:u w:val="single"/>
        </w:rPr>
        <w:t>Metric 3(B) – Net Debt to EBITDA Ratio</w:t>
      </w:r>
    </w:p>
    <w:p w14:paraId="136E1755" w14:textId="77777777" w:rsidR="00D75944" w:rsidRPr="002F4258" w:rsidRDefault="00D75944" w:rsidP="00685F4E">
      <w:pPr>
        <w:spacing w:after="120"/>
        <w:rPr>
          <w:rFonts w:ascii="Arial" w:hAnsi="Arial" w:cs="Arial"/>
          <w:i/>
          <w:iCs/>
          <w:sz w:val="24"/>
          <w:szCs w:val="24"/>
        </w:rPr>
      </w:pPr>
      <w:r w:rsidRPr="002F4258">
        <w:rPr>
          <w:rFonts w:ascii="Arial" w:hAnsi="Arial" w:cs="Arial"/>
          <w:i/>
          <w:iCs/>
          <w:sz w:val="24"/>
          <w:szCs w:val="24"/>
        </w:rPr>
        <w:t>Net Debt to EBITDA ratio = Net Debt / EBITDA</w:t>
      </w:r>
    </w:p>
    <w:p w14:paraId="0181C8BC" w14:textId="77777777" w:rsidR="00D75944" w:rsidRPr="002F4258" w:rsidRDefault="00D75944" w:rsidP="00685F4E">
      <w:pPr>
        <w:spacing w:after="120"/>
        <w:rPr>
          <w:rFonts w:ascii="Arial" w:hAnsi="Arial" w:cs="Arial"/>
          <w:b/>
          <w:bCs/>
          <w:sz w:val="24"/>
          <w:szCs w:val="24"/>
        </w:rPr>
      </w:pPr>
      <w:r w:rsidRPr="002F4258">
        <w:rPr>
          <w:rFonts w:ascii="Arial" w:hAnsi="Arial" w:cs="Arial"/>
          <w:b/>
          <w:bCs/>
          <w:sz w:val="24"/>
          <w:szCs w:val="24"/>
        </w:rPr>
        <w:t>Definition</w:t>
      </w:r>
    </w:p>
    <w:p w14:paraId="6AFE9841" w14:textId="77777777" w:rsidR="00D75944" w:rsidRPr="002F4258" w:rsidRDefault="00D75944" w:rsidP="00685F4E">
      <w:pPr>
        <w:spacing w:after="120"/>
        <w:rPr>
          <w:rFonts w:ascii="Arial" w:hAnsi="Arial" w:cs="Arial"/>
          <w:i/>
          <w:iCs/>
          <w:sz w:val="24"/>
          <w:szCs w:val="24"/>
        </w:rPr>
      </w:pPr>
      <w:r w:rsidRPr="002F4258">
        <w:rPr>
          <w:rFonts w:ascii="Arial" w:hAnsi="Arial" w:cs="Arial"/>
          <w:i/>
          <w:iCs/>
          <w:sz w:val="24"/>
          <w:szCs w:val="24"/>
        </w:rPr>
        <w:t>Net Debt = Bank overdrafts + Loans and borrowings + Finance leases + Deferred consideration payable – Cash and cash equivalents</w:t>
      </w:r>
    </w:p>
    <w:p w14:paraId="4423EC27" w14:textId="77777777" w:rsidR="00D75944" w:rsidRPr="002F4258" w:rsidRDefault="00D75944" w:rsidP="00685F4E">
      <w:pPr>
        <w:spacing w:after="120"/>
        <w:rPr>
          <w:rFonts w:ascii="Arial" w:hAnsi="Arial" w:cs="Arial"/>
          <w:i/>
          <w:iCs/>
          <w:sz w:val="24"/>
          <w:szCs w:val="24"/>
        </w:rPr>
      </w:pPr>
      <w:r w:rsidRPr="002F4258">
        <w:rPr>
          <w:rFonts w:ascii="Arial" w:hAnsi="Arial" w:cs="Arial"/>
          <w:i/>
          <w:iCs/>
          <w:sz w:val="24"/>
          <w:szCs w:val="24"/>
        </w:rPr>
        <w:t>EBITDA = Operating profit + Depreciation charge + Amortisation charge</w:t>
      </w:r>
    </w:p>
    <w:p w14:paraId="312760D2"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14:paraId="571699B0" w14:textId="7A8B4CE1" w:rsidR="00D75944" w:rsidRDefault="00D75944" w:rsidP="00685F4E">
      <w:pPr>
        <w:pStyle w:val="ListParagraph"/>
        <w:numPr>
          <w:ilvl w:val="0"/>
          <w:numId w:val="49"/>
        </w:numPr>
        <w:spacing w:after="120"/>
        <w:rPr>
          <w:rFonts w:ascii="Arial" w:hAnsi="Arial" w:cs="Arial"/>
          <w:sz w:val="24"/>
          <w:szCs w:val="24"/>
        </w:rPr>
      </w:pPr>
      <w:r w:rsidRPr="002F4258">
        <w:rPr>
          <w:rFonts w:ascii="Arial" w:hAnsi="Arial" w:cs="Arial"/>
          <w:b/>
          <w:bCs/>
          <w:sz w:val="24"/>
          <w:szCs w:val="24"/>
        </w:rPr>
        <w:t>Net Debt</w:t>
      </w:r>
      <w:r w:rsidRPr="002F4258">
        <w:rPr>
          <w:rFonts w:ascii="Arial" w:hAnsi="Arial" w:cs="Arial"/>
          <w:sz w:val="24"/>
          <w:szCs w:val="24"/>
        </w:rPr>
        <w:t>: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w:t>
      </w:r>
      <w:r w:rsidR="004E19F0">
        <w:rPr>
          <w:rFonts w:ascii="Arial" w:hAnsi="Arial" w:cs="Arial"/>
          <w:sz w:val="24"/>
          <w:szCs w:val="24"/>
        </w:rPr>
        <w:t>-</w:t>
      </w:r>
      <w:r w:rsidRPr="002F4258">
        <w:rPr>
          <w:rFonts w:ascii="Arial" w:hAnsi="Arial" w:cs="Arial"/>
          <w:sz w:val="24"/>
          <w:szCs w:val="24"/>
        </w:rPr>
        <w:t xml:space="preserve">designated hedges). Borrowings should also include balances owed to other group members. </w:t>
      </w:r>
    </w:p>
    <w:p w14:paraId="4449357A" w14:textId="77777777" w:rsidR="00197E06" w:rsidRPr="00197E06" w:rsidRDefault="00197E06" w:rsidP="00685F4E">
      <w:pPr>
        <w:pStyle w:val="ListParagraph"/>
        <w:spacing w:after="120"/>
        <w:rPr>
          <w:rFonts w:ascii="Arial" w:hAnsi="Arial" w:cs="Arial"/>
          <w:sz w:val="24"/>
          <w:szCs w:val="24"/>
        </w:rPr>
      </w:pPr>
    </w:p>
    <w:p w14:paraId="1912CDF4" w14:textId="77777777" w:rsidR="00D75944" w:rsidRPr="002F4258" w:rsidRDefault="00D75944" w:rsidP="00685F4E">
      <w:pPr>
        <w:pStyle w:val="ListParagraph"/>
        <w:spacing w:after="120"/>
        <w:rPr>
          <w:rFonts w:ascii="Arial" w:hAnsi="Arial" w:cs="Arial"/>
          <w:sz w:val="24"/>
          <w:szCs w:val="24"/>
        </w:rPr>
      </w:pPr>
      <w:r w:rsidRPr="002F4258">
        <w:rPr>
          <w:rFonts w:ascii="Arial" w:hAnsi="Arial" w:cs="Arial"/>
          <w:sz w:val="24"/>
          <w:szCs w:val="24"/>
        </w:rPr>
        <w:t>Deferred consideration payable should be included in Net Debt despite typically being non-interest bearing.</w:t>
      </w:r>
    </w:p>
    <w:p w14:paraId="0173DB64" w14:textId="77777777" w:rsidR="00D75944" w:rsidRPr="002F4258" w:rsidRDefault="00D75944" w:rsidP="00685F4E">
      <w:pPr>
        <w:spacing w:after="120"/>
        <w:ind w:left="720"/>
        <w:rPr>
          <w:rFonts w:ascii="Arial" w:hAnsi="Arial" w:cs="Arial"/>
          <w:sz w:val="24"/>
          <w:szCs w:val="24"/>
        </w:rPr>
      </w:pPr>
      <w:r w:rsidRPr="002F4258">
        <w:rPr>
          <w:rFonts w:ascii="Arial" w:hAnsi="Arial" w:cs="Arial"/>
          <w:sz w:val="24"/>
          <w:szCs w:val="24"/>
        </w:rPr>
        <w:t>Cash and cash equivalents should include short-term financial investments shown in current assets.</w:t>
      </w:r>
    </w:p>
    <w:p w14:paraId="54B44552" w14:textId="77777777" w:rsidR="00D75944" w:rsidRPr="002F4258" w:rsidRDefault="00D75944" w:rsidP="00685F4E">
      <w:pPr>
        <w:spacing w:after="120"/>
        <w:ind w:left="720"/>
        <w:rPr>
          <w:rFonts w:ascii="Arial" w:hAnsi="Arial" w:cs="Arial"/>
          <w:sz w:val="24"/>
          <w:szCs w:val="24"/>
        </w:rPr>
      </w:pPr>
      <w:r w:rsidRPr="002F4258">
        <w:rPr>
          <w:rFonts w:ascii="Arial" w:hAnsi="Arial" w:cs="Arial"/>
          <w:sz w:val="24"/>
          <w:szCs w:val="24"/>
        </w:rPr>
        <w:t>Where an entity has net cash (i.e. where Net Debt is negative), the outcome of the test should be regarded as ‘</w:t>
      </w:r>
      <w:r w:rsidRPr="002F4258">
        <w:rPr>
          <w:rFonts w:ascii="Arial" w:hAnsi="Arial" w:cs="Arial"/>
          <w:i/>
          <w:iCs/>
          <w:sz w:val="24"/>
          <w:szCs w:val="24"/>
        </w:rPr>
        <w:t>Low Risk’</w:t>
      </w:r>
      <w:r w:rsidRPr="002F4258">
        <w:rPr>
          <w:rFonts w:ascii="Arial" w:hAnsi="Arial" w:cs="Arial"/>
          <w:sz w:val="24"/>
          <w:szCs w:val="24"/>
        </w:rPr>
        <w:t>.</w:t>
      </w:r>
    </w:p>
    <w:p w14:paraId="22D44B42" w14:textId="77777777" w:rsidR="00D75944" w:rsidRPr="002F4258" w:rsidRDefault="00D75944" w:rsidP="00685F4E">
      <w:pPr>
        <w:pStyle w:val="ListParagraph"/>
        <w:numPr>
          <w:ilvl w:val="0"/>
          <w:numId w:val="49"/>
        </w:numPr>
        <w:spacing w:after="120"/>
        <w:rPr>
          <w:rFonts w:ascii="Arial" w:hAnsi="Arial" w:cs="Arial"/>
          <w:sz w:val="24"/>
          <w:szCs w:val="24"/>
        </w:rPr>
      </w:pPr>
      <w:r w:rsidRPr="002F4258">
        <w:rPr>
          <w:rFonts w:ascii="Arial" w:hAnsi="Arial" w:cs="Arial"/>
          <w:b/>
          <w:bCs/>
          <w:sz w:val="24"/>
          <w:szCs w:val="24"/>
        </w:rPr>
        <w:t>EBITDA</w:t>
      </w:r>
      <w:r w:rsidRPr="002F4258">
        <w:rPr>
          <w:rFonts w:ascii="Arial" w:hAnsi="Arial" w:cs="Arial"/>
          <w:sz w:val="24"/>
          <w:szCs w:val="24"/>
        </w:rPr>
        <w:t>: Operating profit should be shown on the face of the Income Statement and, for the purposes of this test, should include the entity’s share of the results of any joint ventures or associates.</w:t>
      </w:r>
    </w:p>
    <w:p w14:paraId="4557FA91" w14:textId="77777777" w:rsidR="00D75944" w:rsidRPr="002F4258" w:rsidRDefault="00D75944" w:rsidP="00685F4E">
      <w:pPr>
        <w:spacing w:after="120"/>
        <w:ind w:left="720"/>
        <w:rPr>
          <w:rFonts w:ascii="Arial" w:hAnsi="Arial" w:cs="Arial"/>
          <w:sz w:val="24"/>
          <w:szCs w:val="24"/>
        </w:rPr>
      </w:pPr>
      <w:r w:rsidRPr="002F4258">
        <w:rPr>
          <w:rFonts w:ascii="Arial" w:hAnsi="Arial" w:cs="Arial"/>
          <w:sz w:val="24"/>
          <w:szCs w:val="24"/>
        </w:rPr>
        <w:t>The depreciation and amortisation charges for the period may be found on the face of the Statement of Cash Flows or in a Note to the Accounts.</w:t>
      </w:r>
    </w:p>
    <w:p w14:paraId="063EF141" w14:textId="77777777" w:rsidR="00D75944" w:rsidRPr="002F4258" w:rsidRDefault="00D75944" w:rsidP="00685F4E">
      <w:pPr>
        <w:spacing w:after="120"/>
        <w:rPr>
          <w:rFonts w:ascii="Arial" w:hAnsi="Arial" w:cs="Arial"/>
          <w:b/>
          <w:bCs/>
          <w:sz w:val="24"/>
          <w:szCs w:val="24"/>
        </w:rPr>
      </w:pPr>
      <w:r w:rsidRPr="002F4258">
        <w:rPr>
          <w:rFonts w:ascii="Arial" w:hAnsi="Arial" w:cs="Arial"/>
          <w:b/>
          <w:bCs/>
          <w:sz w:val="24"/>
          <w:szCs w:val="24"/>
        </w:rPr>
        <w:lastRenderedPageBreak/>
        <w:t>Interpretation</w:t>
      </w:r>
    </w:p>
    <w:p w14:paraId="37BA0D9A"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An entity’s EBITDA is a proxy for the cash flow it generates from its ongoing operations. The Net Debt to EBITDA Ratio is often used by lenders as a measure of an entity’s ability to service its debt. A low ratio would normally indicate, other things being equal, that an entity is better able to pay back its debt and/or may be able to take on more debt if necessary.</w:t>
      </w:r>
    </w:p>
    <w:p w14:paraId="77A88F41"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Conversely, a high ratio may raise doubts over an entity’s ability to service its existing debt.</w:t>
      </w:r>
    </w:p>
    <w:p w14:paraId="6CC46450" w14:textId="77777777" w:rsidR="00D75944" w:rsidRPr="005679B6" w:rsidRDefault="00D75944" w:rsidP="00685F4E">
      <w:pPr>
        <w:spacing w:after="120"/>
        <w:rPr>
          <w:rFonts w:ascii="Arial" w:hAnsi="Arial" w:cs="Arial"/>
          <w:b/>
          <w:sz w:val="24"/>
          <w:szCs w:val="24"/>
          <w:u w:val="single"/>
        </w:rPr>
      </w:pPr>
      <w:r w:rsidRPr="005679B6">
        <w:rPr>
          <w:rFonts w:ascii="Arial" w:hAnsi="Arial" w:cs="Arial"/>
          <w:b/>
          <w:sz w:val="24"/>
          <w:szCs w:val="24"/>
          <w:u w:val="single"/>
        </w:rPr>
        <w:t>Metric 4 – Net Debt + Net Pension Deficit to EBITDA Ratio</w:t>
      </w:r>
    </w:p>
    <w:p w14:paraId="45494F8B" w14:textId="77777777" w:rsidR="00D75944" w:rsidRPr="002F4258" w:rsidRDefault="00D75944" w:rsidP="00685F4E">
      <w:pPr>
        <w:spacing w:after="120"/>
        <w:rPr>
          <w:rFonts w:ascii="Arial" w:hAnsi="Arial" w:cs="Arial"/>
          <w:i/>
          <w:iCs/>
          <w:sz w:val="24"/>
          <w:szCs w:val="24"/>
        </w:rPr>
      </w:pPr>
      <w:r w:rsidRPr="002F4258">
        <w:rPr>
          <w:rFonts w:ascii="Arial" w:hAnsi="Arial" w:cs="Arial"/>
          <w:i/>
          <w:iCs/>
          <w:sz w:val="24"/>
          <w:szCs w:val="24"/>
        </w:rPr>
        <w:t>Net Debt + Net Pension Deficit to EBITDA ratio = (Net Debt + Net Pension Deficit) / EBITDA</w:t>
      </w:r>
    </w:p>
    <w:p w14:paraId="287D525A" w14:textId="77777777" w:rsidR="00D75944" w:rsidRPr="002F4258" w:rsidRDefault="00D75944" w:rsidP="00685F4E">
      <w:pPr>
        <w:spacing w:after="120"/>
        <w:rPr>
          <w:rFonts w:ascii="Arial" w:hAnsi="Arial" w:cs="Arial"/>
          <w:b/>
          <w:bCs/>
          <w:sz w:val="24"/>
          <w:szCs w:val="24"/>
        </w:rPr>
      </w:pPr>
      <w:r w:rsidRPr="002F4258">
        <w:rPr>
          <w:rFonts w:ascii="Arial" w:hAnsi="Arial" w:cs="Arial"/>
          <w:b/>
          <w:bCs/>
          <w:sz w:val="24"/>
          <w:szCs w:val="24"/>
        </w:rPr>
        <w:t>Definition</w:t>
      </w:r>
    </w:p>
    <w:p w14:paraId="6ACD0BC7" w14:textId="77777777" w:rsidR="00D75944" w:rsidRPr="002F4258" w:rsidRDefault="00D75944" w:rsidP="00685F4E">
      <w:pPr>
        <w:spacing w:after="120"/>
        <w:rPr>
          <w:rFonts w:ascii="Arial" w:hAnsi="Arial" w:cs="Arial"/>
          <w:i/>
          <w:iCs/>
          <w:sz w:val="24"/>
          <w:szCs w:val="24"/>
        </w:rPr>
      </w:pPr>
      <w:r w:rsidRPr="002F4258">
        <w:rPr>
          <w:rFonts w:ascii="Arial" w:hAnsi="Arial" w:cs="Arial"/>
          <w:i/>
          <w:iCs/>
          <w:sz w:val="24"/>
          <w:szCs w:val="24"/>
        </w:rPr>
        <w:t>Net Debt = Bank overdrafts + Loans and borrowings + Finance leases + Deferred consideration payable – Cash and cash equivalents</w:t>
      </w:r>
    </w:p>
    <w:p w14:paraId="5749BD43" w14:textId="77777777" w:rsidR="00D75944" w:rsidRPr="002F4258" w:rsidRDefault="00D75944" w:rsidP="00685F4E">
      <w:pPr>
        <w:spacing w:after="120"/>
        <w:rPr>
          <w:rFonts w:ascii="Arial" w:hAnsi="Arial" w:cs="Arial"/>
          <w:i/>
          <w:iCs/>
          <w:sz w:val="24"/>
          <w:szCs w:val="24"/>
        </w:rPr>
      </w:pPr>
      <w:r w:rsidRPr="002F4258">
        <w:rPr>
          <w:rFonts w:ascii="Arial" w:hAnsi="Arial" w:cs="Arial"/>
          <w:i/>
          <w:iCs/>
          <w:sz w:val="24"/>
          <w:szCs w:val="24"/>
        </w:rPr>
        <w:t>Net Pension Deficit = Retirement Benefit Obligations – Retirement Benefit Assets</w:t>
      </w:r>
    </w:p>
    <w:p w14:paraId="42EEA9CD" w14:textId="77777777" w:rsidR="00D75944" w:rsidRPr="002F4258" w:rsidRDefault="00D75944" w:rsidP="00685F4E">
      <w:pPr>
        <w:spacing w:after="120"/>
        <w:rPr>
          <w:rFonts w:ascii="Arial" w:hAnsi="Arial" w:cs="Arial"/>
          <w:i/>
          <w:iCs/>
          <w:sz w:val="24"/>
          <w:szCs w:val="24"/>
        </w:rPr>
      </w:pPr>
      <w:r w:rsidRPr="002F4258">
        <w:rPr>
          <w:rFonts w:ascii="Arial" w:hAnsi="Arial" w:cs="Arial"/>
          <w:i/>
          <w:iCs/>
          <w:sz w:val="24"/>
          <w:szCs w:val="24"/>
        </w:rPr>
        <w:t>EBITDA = Operating profit + Depreciation charge + Amortisation charge</w:t>
      </w:r>
    </w:p>
    <w:p w14:paraId="58F4FDFB"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14:paraId="49C05E39" w14:textId="1ABC7D32" w:rsidR="00D75944" w:rsidRPr="002F4258" w:rsidRDefault="00D75944" w:rsidP="00685F4E">
      <w:pPr>
        <w:pStyle w:val="ListParagraph"/>
        <w:numPr>
          <w:ilvl w:val="0"/>
          <w:numId w:val="50"/>
        </w:numPr>
        <w:spacing w:after="120"/>
        <w:rPr>
          <w:rFonts w:ascii="Arial" w:hAnsi="Arial" w:cs="Arial"/>
          <w:sz w:val="24"/>
          <w:szCs w:val="24"/>
        </w:rPr>
      </w:pPr>
      <w:r w:rsidRPr="002F4258">
        <w:rPr>
          <w:rFonts w:ascii="Arial" w:hAnsi="Arial" w:cs="Arial"/>
          <w:b/>
          <w:bCs/>
          <w:sz w:val="24"/>
          <w:szCs w:val="24"/>
        </w:rPr>
        <w:t>Net Debt</w:t>
      </w:r>
      <w:r w:rsidRPr="002F4258">
        <w:rPr>
          <w:rFonts w:ascii="Arial" w:hAnsi="Arial" w:cs="Arial"/>
          <w:sz w:val="24"/>
          <w:szCs w:val="24"/>
        </w:rPr>
        <w:t>: The elements of Net Debt may be described slightly differently and should be found either on the face of the Balance Sheet or in the relevant note to the financial statements. All interest bearing liabilities (other than retirement benefit obligations) should be included as borrowings as should, where disclosed, any liabilities (less any assets) in respect of any hedges designated as linked to borrowings (but not non</w:t>
      </w:r>
      <w:r w:rsidR="004E19F0">
        <w:rPr>
          <w:rFonts w:ascii="Arial" w:hAnsi="Arial" w:cs="Arial"/>
          <w:sz w:val="24"/>
          <w:szCs w:val="24"/>
        </w:rPr>
        <w:t>-</w:t>
      </w:r>
      <w:r w:rsidRPr="002F4258">
        <w:rPr>
          <w:rFonts w:ascii="Arial" w:hAnsi="Arial" w:cs="Arial"/>
          <w:sz w:val="24"/>
          <w:szCs w:val="24"/>
        </w:rPr>
        <w:t>designated hedges). Borrowings should also include balances owed to other group members.</w:t>
      </w:r>
    </w:p>
    <w:p w14:paraId="73EB9AF4" w14:textId="77777777" w:rsidR="00D75944" w:rsidRPr="002F4258" w:rsidRDefault="00D75944" w:rsidP="00685F4E">
      <w:pPr>
        <w:spacing w:after="120"/>
        <w:ind w:left="720"/>
        <w:rPr>
          <w:rFonts w:ascii="Arial" w:hAnsi="Arial" w:cs="Arial"/>
          <w:sz w:val="24"/>
          <w:szCs w:val="24"/>
        </w:rPr>
      </w:pPr>
      <w:r w:rsidRPr="002F4258">
        <w:rPr>
          <w:rFonts w:ascii="Arial" w:hAnsi="Arial" w:cs="Arial"/>
          <w:sz w:val="24"/>
          <w:szCs w:val="24"/>
        </w:rPr>
        <w:t>Deferred consideration payable should be included in Net Debt despite typically being non-interest bearing.</w:t>
      </w:r>
    </w:p>
    <w:p w14:paraId="30A47236" w14:textId="77777777" w:rsidR="00D75944" w:rsidRPr="002F4258" w:rsidRDefault="00D75944" w:rsidP="00685F4E">
      <w:pPr>
        <w:spacing w:after="120"/>
        <w:ind w:left="720"/>
        <w:rPr>
          <w:rFonts w:ascii="Arial" w:hAnsi="Arial" w:cs="Arial"/>
          <w:sz w:val="24"/>
          <w:szCs w:val="24"/>
        </w:rPr>
      </w:pPr>
      <w:r w:rsidRPr="002F4258">
        <w:rPr>
          <w:rFonts w:ascii="Arial" w:hAnsi="Arial" w:cs="Arial"/>
          <w:sz w:val="24"/>
          <w:szCs w:val="24"/>
        </w:rPr>
        <w:t>Cash and cash equivalents should include short-term financial investments shown in current assets.</w:t>
      </w:r>
    </w:p>
    <w:p w14:paraId="2FBE46ED" w14:textId="77777777" w:rsidR="00D75944" w:rsidRPr="002F4258" w:rsidRDefault="00D75944" w:rsidP="00685F4E">
      <w:pPr>
        <w:pStyle w:val="ListParagraph"/>
        <w:numPr>
          <w:ilvl w:val="0"/>
          <w:numId w:val="50"/>
        </w:numPr>
        <w:spacing w:after="120"/>
        <w:rPr>
          <w:rFonts w:ascii="Arial" w:hAnsi="Arial" w:cs="Arial"/>
          <w:sz w:val="24"/>
          <w:szCs w:val="24"/>
        </w:rPr>
      </w:pPr>
      <w:r w:rsidRPr="002F4258">
        <w:rPr>
          <w:rFonts w:ascii="Arial" w:hAnsi="Arial" w:cs="Arial"/>
          <w:b/>
          <w:bCs/>
          <w:sz w:val="24"/>
          <w:szCs w:val="24"/>
        </w:rPr>
        <w:t>Net Pension Deficit</w:t>
      </w:r>
      <w:r w:rsidRPr="002F4258">
        <w:rPr>
          <w:rFonts w:ascii="Arial" w:hAnsi="Arial" w:cs="Arial"/>
          <w:sz w:val="24"/>
          <w:szCs w:val="24"/>
        </w:rPr>
        <w:t>: Retirement Benefit Obligations and Retirement Benefit Assets may be shown on the face of the Balance Sheet or in the notes to the financial statements.</w:t>
      </w:r>
    </w:p>
    <w:p w14:paraId="31B3CC9D" w14:textId="77777777" w:rsidR="00D75944" w:rsidRPr="002F4258" w:rsidRDefault="00D75944" w:rsidP="00685F4E">
      <w:pPr>
        <w:spacing w:after="120"/>
        <w:ind w:left="720"/>
        <w:rPr>
          <w:rFonts w:ascii="Arial" w:hAnsi="Arial" w:cs="Arial"/>
          <w:sz w:val="24"/>
          <w:szCs w:val="24"/>
        </w:rPr>
      </w:pPr>
      <w:r w:rsidRPr="002F4258">
        <w:rPr>
          <w:rFonts w:ascii="Arial" w:hAnsi="Arial" w:cs="Arial"/>
          <w:sz w:val="24"/>
          <w:szCs w:val="24"/>
        </w:rPr>
        <w:t>They may also be described as pension benefits / obligations, post-employment obligations or other similar terms.</w:t>
      </w:r>
    </w:p>
    <w:p w14:paraId="59BD66B2" w14:textId="77777777" w:rsidR="00D75944" w:rsidRPr="002F4258" w:rsidRDefault="00D75944" w:rsidP="00685F4E">
      <w:pPr>
        <w:spacing w:after="120"/>
        <w:ind w:left="720"/>
        <w:rPr>
          <w:rFonts w:ascii="Arial" w:hAnsi="Arial" w:cs="Arial"/>
          <w:sz w:val="24"/>
          <w:szCs w:val="24"/>
        </w:rPr>
      </w:pPr>
      <w:r w:rsidRPr="002F4258">
        <w:rPr>
          <w:rFonts w:ascii="Arial" w:hAnsi="Arial" w:cs="Arial"/>
          <w:sz w:val="24"/>
          <w:szCs w:val="24"/>
        </w:rPr>
        <w:lastRenderedPageBreak/>
        <w:t>Where calculation of Net Debt + Net Pension Deficit produces a negative figure, the outcome of the test should be regarded as ‘</w:t>
      </w:r>
      <w:r w:rsidRPr="002F4258">
        <w:rPr>
          <w:rFonts w:ascii="Arial" w:hAnsi="Arial" w:cs="Arial"/>
          <w:i/>
          <w:iCs/>
          <w:sz w:val="24"/>
          <w:szCs w:val="24"/>
        </w:rPr>
        <w:t>Low Risk’</w:t>
      </w:r>
      <w:r w:rsidRPr="002F4258">
        <w:rPr>
          <w:rFonts w:ascii="Arial" w:hAnsi="Arial" w:cs="Arial"/>
          <w:sz w:val="24"/>
          <w:szCs w:val="24"/>
        </w:rPr>
        <w:t>.</w:t>
      </w:r>
    </w:p>
    <w:p w14:paraId="52199554" w14:textId="77777777" w:rsidR="00D75944" w:rsidRPr="002F4258" w:rsidRDefault="00D75944" w:rsidP="00685F4E">
      <w:pPr>
        <w:pStyle w:val="ListParagraph"/>
        <w:numPr>
          <w:ilvl w:val="0"/>
          <w:numId w:val="50"/>
        </w:numPr>
        <w:spacing w:after="120"/>
        <w:rPr>
          <w:rFonts w:ascii="Arial" w:hAnsi="Arial" w:cs="Arial"/>
          <w:sz w:val="24"/>
          <w:szCs w:val="24"/>
        </w:rPr>
      </w:pPr>
      <w:r w:rsidRPr="002F4258">
        <w:rPr>
          <w:rFonts w:ascii="Arial" w:hAnsi="Arial" w:cs="Arial"/>
          <w:b/>
          <w:bCs/>
          <w:sz w:val="24"/>
          <w:szCs w:val="24"/>
        </w:rPr>
        <w:t>EBITDA</w:t>
      </w:r>
      <w:r w:rsidRPr="002F4258">
        <w:rPr>
          <w:rFonts w:ascii="Arial" w:hAnsi="Arial" w:cs="Arial"/>
          <w:sz w:val="24"/>
          <w:szCs w:val="24"/>
        </w:rPr>
        <w:t>: Operating profit should be shown on the face of the Income Statement and, for the purposes of this test, should include the entity’s share of the results of any joint ventures or associates.</w:t>
      </w:r>
    </w:p>
    <w:p w14:paraId="3A82891D" w14:textId="77777777" w:rsidR="00D75944" w:rsidRPr="002F4258" w:rsidRDefault="00D75944" w:rsidP="00685F4E">
      <w:pPr>
        <w:spacing w:after="120"/>
        <w:ind w:left="720"/>
        <w:rPr>
          <w:rFonts w:ascii="Arial" w:hAnsi="Arial" w:cs="Arial"/>
          <w:sz w:val="24"/>
          <w:szCs w:val="24"/>
        </w:rPr>
      </w:pPr>
      <w:r w:rsidRPr="002F4258">
        <w:rPr>
          <w:rFonts w:ascii="Arial" w:hAnsi="Arial" w:cs="Arial"/>
          <w:sz w:val="24"/>
          <w:szCs w:val="24"/>
        </w:rPr>
        <w:t>The depreciation and amortisation charges for the period may be found on the face of the Statement of Cash Flows or in a Note to the Accounts.</w:t>
      </w:r>
    </w:p>
    <w:p w14:paraId="034C5C5B" w14:textId="77777777" w:rsidR="00D75944" w:rsidRPr="002F4258" w:rsidRDefault="00D75944" w:rsidP="00685F4E">
      <w:pPr>
        <w:spacing w:after="120"/>
        <w:rPr>
          <w:rFonts w:ascii="Arial" w:hAnsi="Arial" w:cs="Arial"/>
          <w:b/>
          <w:bCs/>
          <w:sz w:val="24"/>
          <w:szCs w:val="24"/>
        </w:rPr>
      </w:pPr>
      <w:r w:rsidRPr="002F4258">
        <w:rPr>
          <w:rFonts w:ascii="Arial" w:hAnsi="Arial" w:cs="Arial"/>
          <w:b/>
          <w:bCs/>
          <w:sz w:val="24"/>
          <w:szCs w:val="24"/>
        </w:rPr>
        <w:t>Interpretation</w:t>
      </w:r>
    </w:p>
    <w:p w14:paraId="237FB413"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Pension deficits have some similarities to debt in that they represent obligations repayable over time on which interest accrues. An entity’s EBITDA is a proxy for the cash flow it generates from its ongoing operations. The Net Debt + Net Pension Deficit to EBITDA Ratio measures the scale of an entity’s debt and any pension deficit relative to the entity’s size. A low ratio would normally indicate, other things being equal, that an entity is better able to pay back its debt and fund its pension fund deficit and/or may be able to take on more debt if necessary. Conversely, a high ratio may raise doubts over the sustainability of the entity.</w:t>
      </w:r>
    </w:p>
    <w:p w14:paraId="18D0A15E" w14:textId="77777777" w:rsidR="00D75944" w:rsidRPr="005679B6" w:rsidRDefault="00D75944" w:rsidP="00685F4E">
      <w:pPr>
        <w:spacing w:after="120"/>
        <w:rPr>
          <w:rFonts w:ascii="Arial" w:hAnsi="Arial" w:cs="Arial"/>
          <w:b/>
          <w:sz w:val="24"/>
          <w:szCs w:val="24"/>
          <w:u w:val="single"/>
        </w:rPr>
      </w:pPr>
      <w:r w:rsidRPr="005679B6">
        <w:rPr>
          <w:rFonts w:ascii="Arial" w:hAnsi="Arial" w:cs="Arial"/>
          <w:b/>
          <w:sz w:val="24"/>
          <w:szCs w:val="24"/>
          <w:u w:val="single"/>
        </w:rPr>
        <w:t>Metric 5 – Net Interest Paid Cover</w:t>
      </w:r>
    </w:p>
    <w:p w14:paraId="16CB46B4" w14:textId="77777777" w:rsidR="00D75944" w:rsidRPr="002F4258" w:rsidRDefault="00D75944" w:rsidP="00685F4E">
      <w:pPr>
        <w:spacing w:after="120"/>
        <w:rPr>
          <w:rFonts w:ascii="Arial" w:hAnsi="Arial" w:cs="Arial"/>
          <w:i/>
          <w:iCs/>
          <w:sz w:val="24"/>
          <w:szCs w:val="24"/>
        </w:rPr>
      </w:pPr>
      <w:r w:rsidRPr="002F4258">
        <w:rPr>
          <w:rFonts w:ascii="Arial" w:hAnsi="Arial" w:cs="Arial"/>
          <w:i/>
          <w:iCs/>
          <w:sz w:val="24"/>
          <w:szCs w:val="24"/>
        </w:rPr>
        <w:t>Net Interest Paid Cover = Earnings Before Interest and Tax / Net Interest Paid</w:t>
      </w:r>
    </w:p>
    <w:p w14:paraId="0F6419AC" w14:textId="77777777" w:rsidR="00D75944" w:rsidRPr="002F4258" w:rsidRDefault="00D75944" w:rsidP="00685F4E">
      <w:pPr>
        <w:spacing w:after="120"/>
        <w:rPr>
          <w:rFonts w:ascii="Arial" w:hAnsi="Arial" w:cs="Arial"/>
          <w:b/>
          <w:bCs/>
          <w:sz w:val="24"/>
          <w:szCs w:val="24"/>
        </w:rPr>
      </w:pPr>
      <w:r w:rsidRPr="002F4258">
        <w:rPr>
          <w:rFonts w:ascii="Arial" w:hAnsi="Arial" w:cs="Arial"/>
          <w:b/>
          <w:bCs/>
          <w:sz w:val="24"/>
          <w:szCs w:val="24"/>
        </w:rPr>
        <w:t>Definition</w:t>
      </w:r>
    </w:p>
    <w:p w14:paraId="0E398A65" w14:textId="77777777" w:rsidR="00D75944" w:rsidRPr="002F4258" w:rsidRDefault="00D75944" w:rsidP="00685F4E">
      <w:pPr>
        <w:spacing w:after="120"/>
        <w:rPr>
          <w:rFonts w:ascii="Arial" w:hAnsi="Arial" w:cs="Arial"/>
          <w:i/>
          <w:iCs/>
          <w:sz w:val="24"/>
          <w:szCs w:val="24"/>
        </w:rPr>
      </w:pPr>
      <w:r w:rsidRPr="002F4258">
        <w:rPr>
          <w:rFonts w:ascii="Arial" w:hAnsi="Arial" w:cs="Arial"/>
          <w:i/>
          <w:iCs/>
          <w:sz w:val="24"/>
          <w:szCs w:val="24"/>
        </w:rPr>
        <w:t>Earnings Before Interest and Tax = Operating profit</w:t>
      </w:r>
    </w:p>
    <w:p w14:paraId="507EECED" w14:textId="77777777" w:rsidR="00D75944" w:rsidRPr="002F4258" w:rsidRDefault="00D75944" w:rsidP="00685F4E">
      <w:pPr>
        <w:spacing w:after="120"/>
        <w:rPr>
          <w:rFonts w:ascii="Arial" w:hAnsi="Arial" w:cs="Arial"/>
          <w:i/>
          <w:iCs/>
          <w:sz w:val="24"/>
          <w:szCs w:val="24"/>
        </w:rPr>
      </w:pPr>
      <w:r w:rsidRPr="002F4258">
        <w:rPr>
          <w:rFonts w:ascii="Arial" w:hAnsi="Arial" w:cs="Arial"/>
          <w:i/>
          <w:iCs/>
          <w:sz w:val="24"/>
          <w:szCs w:val="24"/>
        </w:rPr>
        <w:t>Net Interest Paid = Interest paid – Interest received</w:t>
      </w:r>
    </w:p>
    <w:p w14:paraId="30542EB1"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Operating profit should be shown on the face of the Income Statement in a standard set of financial statements and, for the purposes of this test, should include the entity’s share of the results of any joint ventures or associates. Where the entity has an operating loss (i.e. a negative operating profit), operating profit should generally be taken to be zero.</w:t>
      </w:r>
    </w:p>
    <w:p w14:paraId="28901A0A"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Interest received and interest paid should be shown on the face of the Cash Flow statement.</w:t>
      </w:r>
    </w:p>
    <w:p w14:paraId="3B43AE07"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Where Net interest paid is negative (i.e. the entity has net interest received), the outcome of the test should be regarded as ‘</w:t>
      </w:r>
      <w:r w:rsidRPr="002F4258">
        <w:rPr>
          <w:rFonts w:ascii="Arial" w:hAnsi="Arial" w:cs="Arial"/>
          <w:i/>
          <w:iCs/>
          <w:sz w:val="24"/>
          <w:szCs w:val="24"/>
        </w:rPr>
        <w:t>Low risk</w:t>
      </w:r>
      <w:r w:rsidRPr="002F4258">
        <w:rPr>
          <w:rFonts w:ascii="Arial" w:hAnsi="Arial" w:cs="Arial"/>
          <w:sz w:val="24"/>
          <w:szCs w:val="24"/>
        </w:rPr>
        <w:t>’.</w:t>
      </w:r>
    </w:p>
    <w:p w14:paraId="2E780575" w14:textId="77777777" w:rsidR="00D75944" w:rsidRPr="002F4258" w:rsidRDefault="00D75944" w:rsidP="00685F4E">
      <w:pPr>
        <w:spacing w:after="120"/>
        <w:rPr>
          <w:rFonts w:ascii="Arial" w:hAnsi="Arial" w:cs="Arial"/>
          <w:b/>
          <w:bCs/>
          <w:sz w:val="24"/>
          <w:szCs w:val="24"/>
        </w:rPr>
      </w:pPr>
      <w:r w:rsidRPr="002F4258">
        <w:rPr>
          <w:rFonts w:ascii="Arial" w:hAnsi="Arial" w:cs="Arial"/>
          <w:b/>
          <w:bCs/>
          <w:sz w:val="24"/>
          <w:szCs w:val="24"/>
        </w:rPr>
        <w:t>Interpretation</w:t>
      </w:r>
    </w:p>
    <w:p w14:paraId="4D7614D9"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 xml:space="preserve">The Net Interest Paid Cover measures how easily an entity can pay interest on its debt out of the profits it generates from its operations, and therefore provides a measure of the entity’s solvency. A higher number would normally indicate, other things being equal, that the entity is better able to service interest on its debt, and/or is more likely to be able to borrow additional money if required. Conversely, a low </w:t>
      </w:r>
      <w:r w:rsidRPr="002F4258">
        <w:rPr>
          <w:rFonts w:ascii="Arial" w:hAnsi="Arial" w:cs="Arial"/>
          <w:sz w:val="24"/>
          <w:szCs w:val="24"/>
        </w:rPr>
        <w:lastRenderedPageBreak/>
        <w:t>figure may raise doubts over an entity’s ability to service the interest on its existing debt.</w:t>
      </w:r>
    </w:p>
    <w:p w14:paraId="64D00CF9" w14:textId="77777777" w:rsidR="00D75944" w:rsidRPr="005679B6" w:rsidRDefault="00D75944" w:rsidP="00685F4E">
      <w:pPr>
        <w:spacing w:after="120"/>
        <w:rPr>
          <w:rFonts w:ascii="Arial" w:hAnsi="Arial" w:cs="Arial"/>
          <w:b/>
          <w:sz w:val="24"/>
          <w:szCs w:val="24"/>
          <w:u w:val="single"/>
        </w:rPr>
      </w:pPr>
      <w:r w:rsidRPr="005679B6">
        <w:rPr>
          <w:rFonts w:ascii="Arial" w:hAnsi="Arial" w:cs="Arial"/>
          <w:b/>
          <w:sz w:val="24"/>
          <w:szCs w:val="24"/>
          <w:u w:val="single"/>
        </w:rPr>
        <w:t>Metric 6 – Acid Ratio</w:t>
      </w:r>
    </w:p>
    <w:p w14:paraId="1C8E9FED" w14:textId="77777777" w:rsidR="00D75944" w:rsidRPr="002F4258" w:rsidRDefault="00D75944" w:rsidP="00685F4E">
      <w:pPr>
        <w:spacing w:after="120"/>
        <w:rPr>
          <w:rFonts w:ascii="Arial" w:hAnsi="Arial" w:cs="Arial"/>
          <w:i/>
          <w:iCs/>
          <w:sz w:val="24"/>
          <w:szCs w:val="24"/>
        </w:rPr>
      </w:pPr>
      <w:r w:rsidRPr="002F4258">
        <w:rPr>
          <w:rFonts w:ascii="Arial" w:hAnsi="Arial" w:cs="Arial"/>
          <w:i/>
          <w:iCs/>
          <w:sz w:val="24"/>
          <w:szCs w:val="24"/>
        </w:rPr>
        <w:t>Acid Ratio = (Current Assets – Inventories)/ Current Liabilities</w:t>
      </w:r>
    </w:p>
    <w:p w14:paraId="2699F70E" w14:textId="77777777" w:rsidR="00D75944" w:rsidRPr="002F4258" w:rsidRDefault="00D75944" w:rsidP="00685F4E">
      <w:pPr>
        <w:spacing w:after="120"/>
        <w:rPr>
          <w:rFonts w:ascii="Arial" w:hAnsi="Arial" w:cs="Arial"/>
          <w:b/>
          <w:bCs/>
          <w:sz w:val="24"/>
          <w:szCs w:val="24"/>
        </w:rPr>
      </w:pPr>
      <w:r w:rsidRPr="002F4258">
        <w:rPr>
          <w:rFonts w:ascii="Arial" w:hAnsi="Arial" w:cs="Arial"/>
          <w:b/>
          <w:bCs/>
          <w:sz w:val="24"/>
          <w:szCs w:val="24"/>
        </w:rPr>
        <w:t>Definition</w:t>
      </w:r>
    </w:p>
    <w:p w14:paraId="7BA79126"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All elements that are used to calculate the Acid Ratio are available on the face of the Balance Sheet in a standard set of financial statements.</w:t>
      </w:r>
    </w:p>
    <w:p w14:paraId="6678606E" w14:textId="77777777" w:rsidR="00D75944" w:rsidRPr="002F4258" w:rsidRDefault="00D75944" w:rsidP="00685F4E">
      <w:pPr>
        <w:spacing w:after="120"/>
        <w:rPr>
          <w:rFonts w:ascii="Arial" w:hAnsi="Arial" w:cs="Arial"/>
          <w:b/>
          <w:bCs/>
          <w:sz w:val="24"/>
          <w:szCs w:val="24"/>
        </w:rPr>
      </w:pPr>
      <w:r w:rsidRPr="002F4258">
        <w:rPr>
          <w:rFonts w:ascii="Arial" w:hAnsi="Arial" w:cs="Arial"/>
          <w:b/>
          <w:bCs/>
          <w:sz w:val="24"/>
          <w:szCs w:val="24"/>
        </w:rPr>
        <w:t>Interpretation</w:t>
      </w:r>
    </w:p>
    <w:p w14:paraId="33183F18"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The Acid Ratio provides a measure of an entity’s ability to meet its short term liabilities. A high ratio would normally suggest, other things being equal, that it can more easily meet its liabilities as they fall due. Conversely, a low ratio may raise doubts over its ability to meet its liabilities as they fall due.</w:t>
      </w:r>
    </w:p>
    <w:p w14:paraId="4274EC6B" w14:textId="77777777" w:rsidR="00D75944" w:rsidRPr="005679B6" w:rsidRDefault="00D75944" w:rsidP="00685F4E">
      <w:pPr>
        <w:spacing w:after="120"/>
        <w:rPr>
          <w:rFonts w:ascii="Arial" w:hAnsi="Arial" w:cs="Arial"/>
          <w:b/>
          <w:sz w:val="24"/>
          <w:szCs w:val="24"/>
          <w:u w:val="single"/>
        </w:rPr>
      </w:pPr>
      <w:r w:rsidRPr="005679B6">
        <w:rPr>
          <w:rFonts w:ascii="Arial" w:hAnsi="Arial" w:cs="Arial"/>
          <w:b/>
          <w:sz w:val="24"/>
          <w:szCs w:val="24"/>
          <w:u w:val="single"/>
        </w:rPr>
        <w:t>Metric 7 – Net Asset Value</w:t>
      </w:r>
    </w:p>
    <w:p w14:paraId="1A9E9CB1" w14:textId="77777777" w:rsidR="00D75944" w:rsidRPr="002F4258" w:rsidRDefault="00D75944" w:rsidP="00685F4E">
      <w:pPr>
        <w:spacing w:after="120"/>
        <w:rPr>
          <w:rFonts w:ascii="Arial" w:hAnsi="Arial" w:cs="Arial"/>
          <w:i/>
          <w:iCs/>
          <w:sz w:val="24"/>
          <w:szCs w:val="24"/>
        </w:rPr>
      </w:pPr>
      <w:r w:rsidRPr="002F4258">
        <w:rPr>
          <w:rFonts w:ascii="Arial" w:hAnsi="Arial" w:cs="Arial"/>
          <w:i/>
          <w:iCs/>
          <w:sz w:val="24"/>
          <w:szCs w:val="24"/>
        </w:rPr>
        <w:t>Net Asset Value = Net Assets</w:t>
      </w:r>
    </w:p>
    <w:p w14:paraId="51EDE148" w14:textId="77777777" w:rsidR="00D75944" w:rsidRPr="002F4258" w:rsidRDefault="00D75944" w:rsidP="00685F4E">
      <w:pPr>
        <w:spacing w:after="120"/>
        <w:rPr>
          <w:rFonts w:ascii="Arial" w:hAnsi="Arial" w:cs="Arial"/>
          <w:b/>
          <w:bCs/>
          <w:sz w:val="24"/>
          <w:szCs w:val="24"/>
        </w:rPr>
      </w:pPr>
      <w:r w:rsidRPr="002F4258">
        <w:rPr>
          <w:rFonts w:ascii="Arial" w:hAnsi="Arial" w:cs="Arial"/>
          <w:b/>
          <w:bCs/>
          <w:sz w:val="24"/>
          <w:szCs w:val="24"/>
        </w:rPr>
        <w:t>Definition</w:t>
      </w:r>
    </w:p>
    <w:p w14:paraId="2DE85CBA" w14:textId="3F8A43E3" w:rsidR="00D75944" w:rsidRPr="002F4258" w:rsidRDefault="00D75944" w:rsidP="00685F4E">
      <w:pPr>
        <w:spacing w:after="120"/>
        <w:rPr>
          <w:rFonts w:ascii="Arial" w:hAnsi="Arial" w:cs="Arial"/>
          <w:sz w:val="24"/>
          <w:szCs w:val="24"/>
        </w:rPr>
      </w:pPr>
      <w:r w:rsidRPr="002F4258">
        <w:rPr>
          <w:rFonts w:ascii="Arial" w:hAnsi="Arial" w:cs="Arial"/>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w:t>
      </w:r>
      <w:r w:rsidR="004E19F0">
        <w:rPr>
          <w:rFonts w:ascii="Arial" w:hAnsi="Arial" w:cs="Arial"/>
          <w:sz w:val="24"/>
          <w:szCs w:val="24"/>
        </w:rPr>
        <w:t>-</w:t>
      </w:r>
      <w:r w:rsidRPr="002F4258">
        <w:rPr>
          <w:rFonts w:ascii="Arial" w:hAnsi="Arial" w:cs="Arial"/>
          <w:sz w:val="24"/>
          <w:szCs w:val="24"/>
        </w:rPr>
        <w:t>controlling interests (i.e. where it has a subsidiary partially owned by outside investors), Net Assets should be taken inclusive of minority or non-controlling interests (as if the entity owned 100% of the other entity).</w:t>
      </w:r>
    </w:p>
    <w:p w14:paraId="463A0FAE" w14:textId="77777777" w:rsidR="00D75944" w:rsidRPr="002F4258" w:rsidRDefault="00D75944" w:rsidP="00685F4E">
      <w:pPr>
        <w:spacing w:after="120"/>
        <w:rPr>
          <w:rFonts w:ascii="Arial" w:hAnsi="Arial" w:cs="Arial"/>
          <w:b/>
          <w:bCs/>
          <w:sz w:val="24"/>
          <w:szCs w:val="24"/>
        </w:rPr>
      </w:pPr>
      <w:r w:rsidRPr="002F4258">
        <w:rPr>
          <w:rFonts w:ascii="Arial" w:hAnsi="Arial" w:cs="Arial"/>
          <w:b/>
          <w:bCs/>
          <w:sz w:val="24"/>
          <w:szCs w:val="24"/>
        </w:rPr>
        <w:t>Interpretation</w:t>
      </w:r>
    </w:p>
    <w:p w14:paraId="3C786452"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The Net Asset Value provides a basic view of whether an entity’s assets exceed its liabilities. Where an entity has a negative Net Tangible Asset Value this may suggest the business and hence the entity is less sustainable in the event of any deterioration in performance.</w:t>
      </w:r>
    </w:p>
    <w:p w14:paraId="10753271" w14:textId="658C227A" w:rsidR="00D75944" w:rsidRPr="005679B6" w:rsidRDefault="00D75944" w:rsidP="00685F4E">
      <w:pPr>
        <w:spacing w:after="120"/>
        <w:rPr>
          <w:rFonts w:ascii="Arial" w:hAnsi="Arial" w:cs="Arial"/>
          <w:b/>
          <w:sz w:val="24"/>
          <w:szCs w:val="24"/>
          <w:u w:val="single"/>
        </w:rPr>
      </w:pPr>
      <w:r w:rsidRPr="005679B6">
        <w:rPr>
          <w:rFonts w:ascii="Arial" w:hAnsi="Arial" w:cs="Arial"/>
          <w:b/>
          <w:sz w:val="24"/>
          <w:szCs w:val="24"/>
          <w:u w:val="single"/>
        </w:rPr>
        <w:t>Metric 8 – Group Exposure Ratio</w:t>
      </w:r>
    </w:p>
    <w:p w14:paraId="7B1CE2C7" w14:textId="77777777" w:rsidR="00D75944" w:rsidRPr="002F4258" w:rsidRDefault="00D75944" w:rsidP="00685F4E">
      <w:pPr>
        <w:spacing w:after="120"/>
        <w:rPr>
          <w:rFonts w:ascii="Arial" w:hAnsi="Arial" w:cs="Arial"/>
          <w:i/>
          <w:iCs/>
          <w:sz w:val="24"/>
          <w:szCs w:val="24"/>
        </w:rPr>
      </w:pPr>
      <w:r w:rsidRPr="002F4258">
        <w:rPr>
          <w:rFonts w:ascii="Arial" w:hAnsi="Arial" w:cs="Arial"/>
          <w:i/>
          <w:iCs/>
          <w:sz w:val="24"/>
          <w:szCs w:val="24"/>
        </w:rPr>
        <w:t>Group Exposure Ratio = Group Exposure / Gross Assets</w:t>
      </w:r>
    </w:p>
    <w:p w14:paraId="1E34E24F" w14:textId="77777777" w:rsidR="00D75944" w:rsidRPr="002F4258" w:rsidRDefault="00D75944" w:rsidP="00685F4E">
      <w:pPr>
        <w:spacing w:after="120"/>
        <w:rPr>
          <w:rFonts w:ascii="Arial" w:hAnsi="Arial" w:cs="Arial"/>
          <w:b/>
          <w:bCs/>
          <w:sz w:val="24"/>
          <w:szCs w:val="24"/>
        </w:rPr>
      </w:pPr>
      <w:r w:rsidRPr="002F4258">
        <w:rPr>
          <w:rFonts w:ascii="Arial" w:hAnsi="Arial" w:cs="Arial"/>
          <w:b/>
          <w:bCs/>
          <w:sz w:val="24"/>
          <w:szCs w:val="24"/>
        </w:rPr>
        <w:t>Definition</w:t>
      </w:r>
    </w:p>
    <w:p w14:paraId="6DDAA778" w14:textId="77777777" w:rsidR="00D75944" w:rsidRPr="002F4258" w:rsidRDefault="00D75944" w:rsidP="00685F4E">
      <w:pPr>
        <w:spacing w:after="120"/>
        <w:rPr>
          <w:rFonts w:ascii="Arial" w:hAnsi="Arial" w:cs="Arial"/>
          <w:i/>
          <w:iCs/>
          <w:sz w:val="24"/>
          <w:szCs w:val="24"/>
        </w:rPr>
      </w:pPr>
      <w:r w:rsidRPr="002F4258">
        <w:rPr>
          <w:rFonts w:ascii="Arial" w:hAnsi="Arial" w:cs="Arial"/>
          <w:i/>
          <w:iCs/>
          <w:sz w:val="24"/>
          <w:szCs w:val="24"/>
        </w:rPr>
        <w:t>Group Exposure = Balances owed by Group Undertakings + Contingent liabilities assumed in support of Group Undertakings</w:t>
      </w:r>
    </w:p>
    <w:p w14:paraId="78579E53" w14:textId="77777777" w:rsidR="00D75944" w:rsidRPr="002F4258" w:rsidRDefault="00D75944" w:rsidP="00685F4E">
      <w:pPr>
        <w:spacing w:after="120"/>
        <w:rPr>
          <w:rFonts w:ascii="Arial" w:hAnsi="Arial" w:cs="Arial"/>
          <w:i/>
          <w:iCs/>
          <w:sz w:val="24"/>
          <w:szCs w:val="24"/>
        </w:rPr>
      </w:pPr>
      <w:r w:rsidRPr="002F4258">
        <w:rPr>
          <w:rFonts w:ascii="Arial" w:hAnsi="Arial" w:cs="Arial"/>
          <w:i/>
          <w:iCs/>
          <w:sz w:val="24"/>
          <w:szCs w:val="24"/>
        </w:rPr>
        <w:t>Gross Assets = Fixed Assets + Current Assets</w:t>
      </w:r>
    </w:p>
    <w:p w14:paraId="5461E08B" w14:textId="77777777" w:rsidR="00D75944" w:rsidRPr="002F4258" w:rsidRDefault="00D75944" w:rsidP="00685F4E">
      <w:pPr>
        <w:spacing w:after="120"/>
        <w:rPr>
          <w:rFonts w:ascii="Arial" w:hAnsi="Arial" w:cs="Arial"/>
          <w:sz w:val="24"/>
          <w:szCs w:val="24"/>
        </w:rPr>
      </w:pPr>
      <w:r w:rsidRPr="002F4258">
        <w:rPr>
          <w:rFonts w:ascii="Arial" w:hAnsi="Arial" w:cs="Arial"/>
          <w:b/>
          <w:bCs/>
          <w:sz w:val="24"/>
          <w:szCs w:val="24"/>
        </w:rPr>
        <w:lastRenderedPageBreak/>
        <w:t>Group Exposure</w:t>
      </w:r>
      <w:r w:rsidRPr="002F4258">
        <w:rPr>
          <w:rFonts w:ascii="Arial" w:hAnsi="Arial" w:cs="Arial"/>
          <w:sz w:val="24"/>
          <w:szCs w:val="24"/>
        </w:rPr>
        <w:t>: Balances owed by (i.e.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49F02137"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Contingent liabilities assumed in support of Group Undertakings are shown in the Contingent Liabilities note in a standard set of financial statements. They include the value of guarantees and security given in support of the borrowings of other group companies, often as part of group borrowing arrangements. Where the contingent liabilities are capped, the capped figure should be taken as their value. Where no cap or maximum is specified, the outcome of the test should automatically be regarded as ‘</w:t>
      </w:r>
      <w:r w:rsidRPr="002F4258">
        <w:rPr>
          <w:rFonts w:ascii="Arial" w:hAnsi="Arial" w:cs="Arial"/>
          <w:i/>
          <w:iCs/>
          <w:sz w:val="24"/>
          <w:szCs w:val="24"/>
        </w:rPr>
        <w:t>High risk</w:t>
      </w:r>
      <w:r w:rsidRPr="002F4258">
        <w:rPr>
          <w:rFonts w:ascii="Arial" w:hAnsi="Arial" w:cs="Arial"/>
          <w:sz w:val="24"/>
          <w:szCs w:val="24"/>
        </w:rPr>
        <w:t>’.</w:t>
      </w:r>
    </w:p>
    <w:p w14:paraId="1C372A54"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In many cases an entity may not have assumed any contingent liabilities in support of Group Undertakings, in particular where an entity is not a member of a group or is itself the ultimate holding company of the group.</w:t>
      </w:r>
    </w:p>
    <w:p w14:paraId="0B5F88D9" w14:textId="77777777" w:rsidR="00D75944" w:rsidRPr="002F4258" w:rsidRDefault="00D75944" w:rsidP="00685F4E">
      <w:pPr>
        <w:spacing w:after="120"/>
        <w:rPr>
          <w:rFonts w:ascii="Arial" w:hAnsi="Arial" w:cs="Arial"/>
          <w:sz w:val="24"/>
          <w:szCs w:val="24"/>
        </w:rPr>
      </w:pPr>
      <w:r w:rsidRPr="002F4258">
        <w:rPr>
          <w:rFonts w:ascii="Arial" w:hAnsi="Arial" w:cs="Arial"/>
          <w:b/>
          <w:bCs/>
          <w:sz w:val="24"/>
          <w:szCs w:val="24"/>
        </w:rPr>
        <w:t>Gross Assets</w:t>
      </w:r>
      <w:r w:rsidRPr="002F4258">
        <w:rPr>
          <w:rFonts w:ascii="Arial" w:hAnsi="Arial" w:cs="Arial"/>
          <w:sz w:val="24"/>
          <w:szCs w:val="24"/>
        </w:rPr>
        <w:t>: Both Fixed assets and Current assets are shown on the face of the Balance Sheet</w:t>
      </w:r>
    </w:p>
    <w:p w14:paraId="6B11A660" w14:textId="77777777" w:rsidR="00D75944" w:rsidRPr="002F4258" w:rsidRDefault="00D75944" w:rsidP="00685F4E">
      <w:pPr>
        <w:spacing w:after="120"/>
        <w:rPr>
          <w:rFonts w:ascii="Arial" w:hAnsi="Arial" w:cs="Arial"/>
          <w:b/>
          <w:bCs/>
          <w:sz w:val="24"/>
          <w:szCs w:val="24"/>
        </w:rPr>
      </w:pPr>
      <w:r w:rsidRPr="002F4258">
        <w:rPr>
          <w:rFonts w:ascii="Arial" w:hAnsi="Arial" w:cs="Arial"/>
          <w:b/>
          <w:bCs/>
          <w:sz w:val="24"/>
          <w:szCs w:val="24"/>
        </w:rPr>
        <w:t>Interpretation</w:t>
      </w:r>
    </w:p>
    <w:p w14:paraId="1F289DE6"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This test is relevant to subsidiaries and controlled entities which may have exposures (actual or contingent) to wider group entities whose results are not reflected in the entity’s own financial statements. The test is designed to establish whether an entity could withstand a significant adverse event elsewhere within the group of which it is a member; such an event could lead to the non-recovery of balances owed to it by other group members or to the crystallisation of a contingent liability linked to the wider group (e.g. a call under a guarantee).</w:t>
      </w:r>
    </w:p>
    <w:p w14:paraId="743E3F1E" w14:textId="77777777" w:rsidR="00D75944" w:rsidRPr="002F4258" w:rsidRDefault="00D75944" w:rsidP="00685F4E">
      <w:pPr>
        <w:spacing w:after="120"/>
        <w:rPr>
          <w:rFonts w:ascii="Arial" w:hAnsi="Arial" w:cs="Arial"/>
          <w:sz w:val="24"/>
          <w:szCs w:val="24"/>
        </w:rPr>
      </w:pPr>
      <w:r w:rsidRPr="002F4258">
        <w:rPr>
          <w:rFonts w:ascii="Arial" w:hAnsi="Arial" w:cs="Arial"/>
          <w:sz w:val="24"/>
          <w:szCs w:val="24"/>
        </w:rPr>
        <w:t>Where Group Exposure represents a high or uncapped percentage of an entity’s Gross Assets, this suggests the entity is more exposed to the performance or position of other entities within its wider group. Typical exposures arise where an entity is a member of a borrowing group the members of which have provided cross guarantees and/or security to the lender.</w:t>
      </w:r>
    </w:p>
    <w:p w14:paraId="5D546E3F" w14:textId="120CE34C" w:rsidR="00D75944" w:rsidRDefault="00D75944" w:rsidP="00685F4E">
      <w:pPr>
        <w:pStyle w:val="NormalWeb"/>
        <w:spacing w:before="0" w:beforeAutospacing="0" w:after="120" w:afterAutospacing="0" w:line="276" w:lineRule="auto"/>
        <w:rPr>
          <w:rFonts w:ascii="Arial" w:hAnsi="Arial" w:cs="Arial"/>
          <w:color w:val="000000"/>
        </w:rPr>
      </w:pPr>
    </w:p>
    <w:p w14:paraId="6E217F9B" w14:textId="58B14552" w:rsidR="009B0236" w:rsidRDefault="009B0236" w:rsidP="00685F4E">
      <w:pPr>
        <w:spacing w:after="160"/>
        <w:rPr>
          <w:rFonts w:ascii="Arial" w:hAnsi="Arial" w:cs="Arial"/>
          <w:color w:val="000000"/>
        </w:rPr>
      </w:pPr>
    </w:p>
    <w:p w14:paraId="6D6EC346" w14:textId="6062EC53" w:rsidR="001A76E9" w:rsidRPr="001A76E9" w:rsidRDefault="009B0236" w:rsidP="001A76E9">
      <w:pPr>
        <w:spacing w:after="160"/>
        <w:rPr>
          <w:rFonts w:ascii="Arial" w:eastAsia="Times New Roman" w:hAnsi="Arial" w:cs="Arial"/>
          <w:color w:val="000000"/>
          <w:sz w:val="24"/>
          <w:szCs w:val="24"/>
          <w:lang w:eastAsia="en-GB"/>
        </w:rPr>
        <w:sectPr w:rsidR="001A76E9" w:rsidRPr="001A76E9" w:rsidSect="00F75004">
          <w:pgSz w:w="11906" w:h="16838"/>
          <w:pgMar w:top="2268" w:right="1440" w:bottom="1440" w:left="1440" w:header="708" w:footer="708" w:gutter="0"/>
          <w:cols w:space="708"/>
          <w:titlePg/>
          <w:docGrid w:linePitch="360"/>
        </w:sectPr>
      </w:pPr>
      <w:r>
        <w:rPr>
          <w:rFonts w:ascii="Arial" w:hAnsi="Arial" w:cs="Arial"/>
          <w:color w:val="000000"/>
        </w:rPr>
        <w:br w:type="page"/>
      </w:r>
    </w:p>
    <w:p w14:paraId="0E5E9EEA" w14:textId="3257CD61" w:rsidR="009B0236" w:rsidRDefault="009B0236" w:rsidP="00685F4E">
      <w:pPr>
        <w:pStyle w:val="NormalWeb"/>
        <w:spacing w:before="0" w:beforeAutospacing="0" w:after="120" w:afterAutospacing="0" w:line="276" w:lineRule="auto"/>
        <w:jc w:val="center"/>
        <w:rPr>
          <w:rFonts w:ascii="Arial" w:hAnsi="Arial" w:cs="Arial"/>
          <w:b/>
          <w:color w:val="000000"/>
        </w:rPr>
      </w:pPr>
      <w:r w:rsidRPr="009B0236">
        <w:rPr>
          <w:rFonts w:ascii="Arial" w:hAnsi="Arial" w:cs="Arial"/>
          <w:b/>
          <w:color w:val="000000"/>
        </w:rPr>
        <w:lastRenderedPageBreak/>
        <w:t>Appendix E</w:t>
      </w:r>
      <w:r>
        <w:rPr>
          <w:rFonts w:ascii="Arial" w:hAnsi="Arial" w:cs="Arial"/>
          <w:b/>
          <w:color w:val="000000"/>
        </w:rPr>
        <w:t xml:space="preserve"> – Overview of Properties in Scope in Asia-Pacific</w:t>
      </w:r>
    </w:p>
    <w:p w14:paraId="46134ABE" w14:textId="400C4776" w:rsidR="001A76E9" w:rsidRDefault="001A76E9" w:rsidP="00685F4E">
      <w:pPr>
        <w:pStyle w:val="NormalWeb"/>
        <w:spacing w:before="0" w:beforeAutospacing="0" w:after="120" w:afterAutospacing="0" w:line="276" w:lineRule="auto"/>
        <w:rPr>
          <w:rFonts w:ascii="Arial" w:hAnsi="Arial" w:cs="Arial"/>
          <w:color w:val="000000"/>
        </w:rPr>
      </w:pPr>
    </w:p>
    <w:p w14:paraId="532A6368" w14:textId="7323F0B3" w:rsidR="00546480" w:rsidRDefault="00546480" w:rsidP="00685F4E">
      <w:pPr>
        <w:pStyle w:val="NormalWeb"/>
        <w:spacing w:before="0" w:beforeAutospacing="0" w:after="120" w:afterAutospacing="0" w:line="276" w:lineRule="auto"/>
        <w:rPr>
          <w:rFonts w:ascii="Arial" w:hAnsi="Arial" w:cs="Arial"/>
          <w:color w:val="000000"/>
        </w:rPr>
      </w:pPr>
      <w:r>
        <w:rPr>
          <w:rFonts w:ascii="Arial" w:hAnsi="Arial" w:cs="Arial"/>
          <w:color w:val="000000"/>
        </w:rPr>
        <w:t>Data in the table is provided for information purposes only. Cells that are shaded grey indicate that we may not have both GIA and NIA data for the properties in question.</w:t>
      </w:r>
    </w:p>
    <w:p w14:paraId="1684CE1D" w14:textId="3EA0EDD8" w:rsidR="009B0236" w:rsidRDefault="001A76E9" w:rsidP="00685F4E">
      <w:pPr>
        <w:pStyle w:val="NormalWeb"/>
        <w:spacing w:before="0" w:beforeAutospacing="0" w:after="120" w:afterAutospacing="0" w:line="276" w:lineRule="auto"/>
        <w:rPr>
          <w:rFonts w:ascii="Arial" w:hAnsi="Arial" w:cs="Arial"/>
          <w:b/>
          <w:color w:val="000000"/>
        </w:rPr>
      </w:pPr>
      <w:r>
        <w:rPr>
          <w:rFonts w:ascii="Arial" w:hAnsi="Arial" w:cs="Arial"/>
          <w:noProof/>
          <w:szCs w:val="27"/>
        </w:rPr>
        <w:drawing>
          <wp:inline distT="0" distB="0" distL="0" distR="0" wp14:anchorId="3ED14BFE" wp14:editId="41C25D06">
            <wp:extent cx="9027247" cy="346075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63532" cy="3512997"/>
                    </a:xfrm>
                    <a:prstGeom prst="rect">
                      <a:avLst/>
                    </a:prstGeom>
                    <a:noFill/>
                  </pic:spPr>
                </pic:pic>
              </a:graphicData>
            </a:graphic>
          </wp:inline>
        </w:drawing>
      </w:r>
    </w:p>
    <w:p w14:paraId="7FEE9E4A" w14:textId="77777777" w:rsidR="00603F53" w:rsidRDefault="00603F53">
      <w:pPr>
        <w:spacing w:after="160" w:line="259" w:lineRule="auto"/>
        <w:rPr>
          <w:rFonts w:ascii="Arial" w:hAnsi="Arial" w:cs="Arial"/>
          <w:color w:val="000000"/>
        </w:rPr>
        <w:sectPr w:rsidR="00603F53" w:rsidSect="001A76E9">
          <w:pgSz w:w="16838" w:h="11906" w:orient="landscape"/>
          <w:pgMar w:top="1440" w:right="2268" w:bottom="1440" w:left="1440" w:header="708" w:footer="708" w:gutter="0"/>
          <w:cols w:space="708"/>
          <w:titlePg/>
          <w:docGrid w:linePitch="360"/>
        </w:sectPr>
      </w:pPr>
      <w:r>
        <w:rPr>
          <w:rFonts w:ascii="Arial" w:hAnsi="Arial" w:cs="Arial"/>
          <w:color w:val="000000"/>
        </w:rPr>
        <w:br w:type="page"/>
      </w:r>
    </w:p>
    <w:p w14:paraId="6C42195D" w14:textId="7D70806B" w:rsidR="00603F53" w:rsidRPr="00603F53" w:rsidRDefault="00603F53" w:rsidP="00603F53">
      <w:pPr>
        <w:pStyle w:val="BodyText2"/>
        <w:spacing w:after="0"/>
        <w:jc w:val="center"/>
        <w:rPr>
          <w:rFonts w:ascii="Arial" w:hAnsi="Arial" w:cs="Arial"/>
          <w:b/>
        </w:rPr>
      </w:pPr>
      <w:r>
        <w:rPr>
          <w:rFonts w:ascii="Arial" w:hAnsi="Arial" w:cs="Arial"/>
          <w:b/>
        </w:rPr>
        <w:lastRenderedPageBreak/>
        <w:t>Appendix F – Copy of Confidentiality Agreement</w:t>
      </w:r>
    </w:p>
    <w:p w14:paraId="526687EF" w14:textId="354D299C" w:rsidR="00603F53" w:rsidRPr="00D56441" w:rsidRDefault="00603F53" w:rsidP="00603F53">
      <w:pPr>
        <w:pStyle w:val="BodyText2"/>
        <w:spacing w:after="0"/>
        <w:rPr>
          <w:rFonts w:ascii="Arial" w:hAnsi="Arial" w:cs="Arial"/>
        </w:rPr>
      </w:pPr>
      <w:r w:rsidRPr="00D56441">
        <w:rPr>
          <w:rFonts w:ascii="Arial" w:hAnsi="Arial" w:cs="Arial"/>
        </w:rPr>
        <w:t>Foreign &amp; Commonwealth Office UK Confidentiality Agreement</w:t>
      </w:r>
    </w:p>
    <w:p w14:paraId="4279BE5B" w14:textId="77777777" w:rsidR="00603F53" w:rsidRPr="00D56441" w:rsidRDefault="00603F53" w:rsidP="00603F53">
      <w:pPr>
        <w:tabs>
          <w:tab w:val="left" w:pos="600"/>
          <w:tab w:val="left" w:pos="1200"/>
          <w:tab w:val="left" w:pos="5400"/>
        </w:tabs>
        <w:ind w:right="-432"/>
        <w:rPr>
          <w:rFonts w:ascii="Arial" w:hAnsi="Arial" w:cs="Arial"/>
          <w:b/>
          <w:sz w:val="20"/>
        </w:rPr>
      </w:pPr>
      <w:r w:rsidRPr="00D56441">
        <w:rPr>
          <w:rFonts w:ascii="Arial" w:hAnsi="Arial" w:cs="Arial"/>
          <w:sz w:val="20"/>
        </w:rPr>
        <w:t>DATE: [</w:t>
      </w:r>
      <w:r w:rsidRPr="00D56441">
        <w:rPr>
          <w:rFonts w:ascii="Arial" w:hAnsi="Arial" w:cs="Arial"/>
          <w:i/>
          <w:sz w:val="20"/>
        </w:rPr>
        <w:t>insert date of document</w:t>
      </w:r>
      <w:r w:rsidRPr="00D56441">
        <w:rPr>
          <w:rFonts w:ascii="Arial" w:hAnsi="Arial" w:cs="Arial"/>
          <w:sz w:val="20"/>
        </w:rPr>
        <w:t>]</w:t>
      </w:r>
    </w:p>
    <w:p w14:paraId="53887D6D" w14:textId="77777777" w:rsidR="00603F53" w:rsidRPr="00D56441" w:rsidRDefault="00603F53" w:rsidP="00603F53">
      <w:pPr>
        <w:tabs>
          <w:tab w:val="left" w:pos="600"/>
          <w:tab w:val="left" w:pos="1200"/>
          <w:tab w:val="left" w:pos="5400"/>
        </w:tabs>
        <w:ind w:right="-432"/>
        <w:jc w:val="both"/>
        <w:rPr>
          <w:rFonts w:ascii="Arial" w:hAnsi="Arial" w:cs="Arial"/>
          <w:sz w:val="20"/>
        </w:rPr>
      </w:pPr>
      <w:r w:rsidRPr="00D56441">
        <w:rPr>
          <w:rFonts w:ascii="Arial" w:hAnsi="Arial" w:cs="Arial"/>
          <w:sz w:val="20"/>
        </w:rPr>
        <w:t>During the course of discussions between us in connection with the tender process relating to the provision of facilities management services in Asia Pacific ("the Tender Process") we will disclose to you various information including information contained in the invitation to participate in the Tender Process or sent with it and any information which has been or may be made available to you by us in connection with the Tender Process communicated orally, in writing, whether or not indicated "proprietary" or "confidential" ("Information").</w:t>
      </w:r>
    </w:p>
    <w:p w14:paraId="3640ACAB" w14:textId="77777777" w:rsidR="00603F53" w:rsidRPr="00D56441" w:rsidRDefault="00603F53" w:rsidP="00603F53">
      <w:pPr>
        <w:tabs>
          <w:tab w:val="left" w:pos="600"/>
          <w:tab w:val="left" w:pos="1200"/>
          <w:tab w:val="left" w:pos="5400"/>
        </w:tabs>
        <w:ind w:right="-432"/>
        <w:jc w:val="both"/>
        <w:rPr>
          <w:rFonts w:ascii="Arial" w:hAnsi="Arial" w:cs="Arial"/>
          <w:sz w:val="20"/>
        </w:rPr>
      </w:pPr>
      <w:r w:rsidRPr="00D56441">
        <w:rPr>
          <w:rFonts w:ascii="Arial" w:hAnsi="Arial" w:cs="Arial"/>
          <w:sz w:val="20"/>
        </w:rPr>
        <w:t>In order that we should be able to disclose the Information to you freely, we require you to enter into an undertaking as follows:</w:t>
      </w:r>
    </w:p>
    <w:p w14:paraId="6A2CEF70" w14:textId="77777777" w:rsidR="00603F53" w:rsidRPr="00D56441" w:rsidRDefault="00603F53" w:rsidP="00603F53">
      <w:pPr>
        <w:tabs>
          <w:tab w:val="left" w:pos="600"/>
          <w:tab w:val="left" w:pos="1200"/>
          <w:tab w:val="left" w:pos="5400"/>
        </w:tabs>
        <w:ind w:left="600" w:right="-432" w:hanging="600"/>
        <w:jc w:val="both"/>
        <w:rPr>
          <w:rFonts w:ascii="Arial" w:hAnsi="Arial" w:cs="Arial"/>
          <w:sz w:val="20"/>
        </w:rPr>
      </w:pPr>
      <w:r w:rsidRPr="00D56441">
        <w:rPr>
          <w:rFonts w:ascii="Arial" w:hAnsi="Arial" w:cs="Arial"/>
          <w:sz w:val="20"/>
        </w:rPr>
        <w:t>1.</w:t>
      </w:r>
      <w:r w:rsidRPr="00D56441">
        <w:rPr>
          <w:rFonts w:ascii="Arial" w:hAnsi="Arial" w:cs="Arial"/>
          <w:sz w:val="20"/>
        </w:rPr>
        <w:tab/>
        <w:t>In consideration of the Secretary of State for Foreign and Commonwealth Affairs ("the Secretary of State") or any representative, employee or adviser of the Secretary of State or any person acting on behalf of the Secretary of State or with the Secretary of State's authority including person affiliated with the Secretary of State and any subsidiary company or related company of the Secretary of State (all such representatives, persons, companies and related companies, together with the Secretary of State and any representatives of such companies being hereafter referred to collectively as "the Foreign and Commonwealth Office"), providing you with information in connection with the Tender Process, the Foreign and Commonwealth Office requires you to agree to treat the Information confidentially.</w:t>
      </w:r>
    </w:p>
    <w:p w14:paraId="58EA9B4A" w14:textId="77777777" w:rsidR="00603F53" w:rsidRPr="00D56441" w:rsidRDefault="00603F53" w:rsidP="00603F53">
      <w:pPr>
        <w:tabs>
          <w:tab w:val="left" w:pos="600"/>
          <w:tab w:val="left" w:pos="1200"/>
          <w:tab w:val="left" w:pos="5400"/>
        </w:tabs>
        <w:ind w:left="600" w:right="-432" w:hanging="600"/>
        <w:jc w:val="both"/>
        <w:rPr>
          <w:rFonts w:ascii="Arial" w:hAnsi="Arial" w:cs="Arial"/>
          <w:sz w:val="20"/>
        </w:rPr>
      </w:pPr>
      <w:r w:rsidRPr="00D56441">
        <w:rPr>
          <w:rFonts w:ascii="Arial" w:hAnsi="Arial" w:cs="Arial"/>
          <w:sz w:val="20"/>
        </w:rPr>
        <w:t>2.</w:t>
      </w:r>
      <w:r w:rsidRPr="00D56441">
        <w:rPr>
          <w:rFonts w:ascii="Arial" w:hAnsi="Arial" w:cs="Arial"/>
          <w:sz w:val="20"/>
        </w:rPr>
        <w:tab/>
        <w:t>You shall ensure that the Information is not disclosed in whole or in part to any person other than those of your consortium members, employees and professional advisers who need to know the Information for the purpose of carrying out the Tender Process.  You shall ensure before any such disclosure that such consortium members, employees and professional advisers are aware of the confidential nature of the Information (and you shall draw their attention to the requirements of the Official Secrets Acts</w:t>
      </w:r>
      <w:r w:rsidRPr="00D56441">
        <w:rPr>
          <w:rStyle w:val="FootnoteReference"/>
          <w:rFonts w:ascii="Arial" w:hAnsi="Arial" w:cs="Arial"/>
        </w:rPr>
        <w:footnoteReference w:id="5"/>
      </w:r>
      <w:r w:rsidRPr="00D56441">
        <w:rPr>
          <w:rFonts w:ascii="Arial" w:hAnsi="Arial" w:cs="Arial"/>
          <w:sz w:val="20"/>
        </w:rPr>
        <w:t xml:space="preserve"> and obtain written acknowledgement from them that this has been done) and agree with you for the benefit of you and the Foreign and Commonwealth Office on terms at least as restrictive as this agreement to perform the obligations set out in this Agreement as though the term "you" referred to that consortium member, employee or professional adviser (as applicable).</w:t>
      </w:r>
    </w:p>
    <w:p w14:paraId="3B544C89" w14:textId="77777777" w:rsidR="00603F53" w:rsidRPr="00D56441" w:rsidRDefault="00603F53" w:rsidP="00603F53">
      <w:pPr>
        <w:tabs>
          <w:tab w:val="left" w:pos="600"/>
          <w:tab w:val="left" w:pos="1200"/>
          <w:tab w:val="left" w:pos="5400"/>
        </w:tabs>
        <w:ind w:left="600" w:right="-432" w:hanging="600"/>
        <w:jc w:val="both"/>
        <w:rPr>
          <w:rFonts w:ascii="Arial" w:hAnsi="Arial" w:cs="Arial"/>
          <w:sz w:val="20"/>
        </w:rPr>
      </w:pPr>
      <w:r w:rsidRPr="00D56441">
        <w:rPr>
          <w:rFonts w:ascii="Arial" w:hAnsi="Arial" w:cs="Arial"/>
          <w:sz w:val="20"/>
        </w:rPr>
        <w:t>3.</w:t>
      </w:r>
      <w:r w:rsidRPr="00D56441">
        <w:rPr>
          <w:rFonts w:ascii="Arial" w:hAnsi="Arial" w:cs="Arial"/>
          <w:sz w:val="20"/>
        </w:rPr>
        <w:tab/>
        <w:t>You shall ensure that the Information is not used by you or your consortium members, employees or professional advisers at any time except for the purpose of participating in the Tender Process.  In any event, the Information will not be used by you or, your consortium members, employees or professional advisers, in any way which might reasonably be construed to be detrimental to the Foreign and Commonwealth Office.</w:t>
      </w:r>
    </w:p>
    <w:p w14:paraId="2C08F7C4" w14:textId="77777777" w:rsidR="00603F53" w:rsidRPr="00D56441" w:rsidRDefault="00603F53" w:rsidP="00603F53">
      <w:pPr>
        <w:tabs>
          <w:tab w:val="left" w:pos="600"/>
          <w:tab w:val="left" w:pos="1200"/>
          <w:tab w:val="left" w:pos="5400"/>
        </w:tabs>
        <w:ind w:left="600" w:right="-432" w:hanging="600"/>
        <w:jc w:val="both"/>
        <w:rPr>
          <w:rFonts w:ascii="Arial" w:hAnsi="Arial" w:cs="Arial"/>
          <w:sz w:val="20"/>
        </w:rPr>
      </w:pPr>
      <w:r w:rsidRPr="00D56441">
        <w:rPr>
          <w:rFonts w:ascii="Arial" w:hAnsi="Arial" w:cs="Arial"/>
          <w:sz w:val="20"/>
        </w:rPr>
        <w:t>4.</w:t>
      </w:r>
      <w:r w:rsidRPr="00D56441">
        <w:rPr>
          <w:rFonts w:ascii="Arial" w:hAnsi="Arial" w:cs="Arial"/>
          <w:sz w:val="20"/>
        </w:rPr>
        <w:tab/>
        <w:t xml:space="preserve">Upon request by the Foreign and Commonwealth Office at any time, you will immediately return (and shall ensure that your consortium members, employees and professional advisers immediately return) to the Foreign and Commonwealth Office all documents, letters and other written information which may have been supplied to you (or them) in connection with the Tender Process without retaining any copy thereof in any form including and without limiting the generality of the foregoing, extracts from such documents or copies or any notes relating thereto.  In returning the above material you will </w:t>
      </w:r>
      <w:r w:rsidRPr="00D56441">
        <w:rPr>
          <w:rFonts w:ascii="Arial" w:hAnsi="Arial" w:cs="Arial"/>
          <w:sz w:val="20"/>
        </w:rPr>
        <w:lastRenderedPageBreak/>
        <w:t>confirm your (and your consortium members', employees' and professional advisers') compliance with this paragraph 4 and all the other obligations on your part in this Agreement.</w:t>
      </w:r>
    </w:p>
    <w:p w14:paraId="6F15E56E" w14:textId="77777777" w:rsidR="00603F53" w:rsidRPr="00D56441" w:rsidRDefault="00603F53" w:rsidP="00603F53">
      <w:pPr>
        <w:tabs>
          <w:tab w:val="left" w:pos="600"/>
          <w:tab w:val="left" w:pos="1200"/>
          <w:tab w:val="left" w:pos="5400"/>
        </w:tabs>
        <w:ind w:left="600" w:right="-432" w:hanging="600"/>
        <w:jc w:val="both"/>
        <w:rPr>
          <w:rFonts w:ascii="Arial" w:hAnsi="Arial" w:cs="Arial"/>
          <w:sz w:val="20"/>
        </w:rPr>
      </w:pPr>
      <w:r w:rsidRPr="00D56441">
        <w:rPr>
          <w:rFonts w:ascii="Arial" w:hAnsi="Arial" w:cs="Arial"/>
          <w:sz w:val="20"/>
        </w:rPr>
        <w:t>5.</w:t>
      </w:r>
      <w:r w:rsidRPr="00D56441">
        <w:rPr>
          <w:rFonts w:ascii="Arial" w:hAnsi="Arial" w:cs="Arial"/>
          <w:sz w:val="20"/>
        </w:rPr>
        <w:tab/>
        <w:t>Your obligations of confidentiality under this Agreement shall continue in respect of any piece of the Information for a period of five years following disclosure of that piece of the Information.</w:t>
      </w:r>
    </w:p>
    <w:p w14:paraId="360F94E3" w14:textId="77777777" w:rsidR="00603F53" w:rsidRPr="00D56441" w:rsidRDefault="00603F53" w:rsidP="00603F53">
      <w:pPr>
        <w:tabs>
          <w:tab w:val="left" w:pos="600"/>
          <w:tab w:val="left" w:pos="1200"/>
          <w:tab w:val="left" w:pos="5400"/>
        </w:tabs>
        <w:ind w:left="600" w:right="-432" w:hanging="600"/>
        <w:jc w:val="both"/>
        <w:rPr>
          <w:rFonts w:ascii="Arial" w:hAnsi="Arial" w:cs="Arial"/>
          <w:sz w:val="20"/>
        </w:rPr>
      </w:pPr>
      <w:r w:rsidRPr="00D56441">
        <w:rPr>
          <w:rFonts w:ascii="Arial" w:hAnsi="Arial" w:cs="Arial"/>
          <w:sz w:val="20"/>
        </w:rPr>
        <w:t>6.</w:t>
      </w:r>
      <w:r w:rsidRPr="00D56441">
        <w:rPr>
          <w:rFonts w:ascii="Arial" w:hAnsi="Arial" w:cs="Arial"/>
          <w:sz w:val="20"/>
        </w:rPr>
        <w:tab/>
        <w:t>The Information does not include information which:</w:t>
      </w:r>
    </w:p>
    <w:p w14:paraId="0ECF9FE9" w14:textId="6C3393AE" w:rsidR="00603F53" w:rsidRPr="00D56441" w:rsidRDefault="009C00BE" w:rsidP="00603F53">
      <w:pPr>
        <w:pStyle w:val="BlockText"/>
        <w:spacing w:line="240" w:lineRule="auto"/>
        <w:ind w:left="1276" w:hanging="709"/>
        <w:rPr>
          <w:rFonts w:cs="Arial"/>
        </w:rPr>
      </w:pPr>
      <w:r>
        <w:rPr>
          <w:rFonts w:cs="Arial"/>
        </w:rPr>
        <w:t xml:space="preserve">a)      </w:t>
      </w:r>
      <w:proofErr w:type="gramStart"/>
      <w:r w:rsidR="00603F53" w:rsidRPr="00D56441">
        <w:rPr>
          <w:rFonts w:cs="Arial"/>
        </w:rPr>
        <w:t>is</w:t>
      </w:r>
      <w:proofErr w:type="gramEnd"/>
      <w:r w:rsidR="00603F53" w:rsidRPr="00D56441">
        <w:rPr>
          <w:rFonts w:cs="Arial"/>
        </w:rPr>
        <w:t xml:space="preserve"> lawfully known to you prior to your being provided with it by Foreign and Commonwealth Office, or</w:t>
      </w:r>
    </w:p>
    <w:p w14:paraId="4E366025" w14:textId="77777777" w:rsidR="00603F53" w:rsidRPr="00D56441" w:rsidRDefault="00603F53" w:rsidP="00603F53">
      <w:pPr>
        <w:tabs>
          <w:tab w:val="left" w:pos="600"/>
          <w:tab w:val="left" w:pos="1200"/>
          <w:tab w:val="left" w:pos="5400"/>
        </w:tabs>
        <w:spacing w:after="0"/>
        <w:ind w:left="1200" w:right="-432" w:hanging="1200"/>
        <w:jc w:val="both"/>
        <w:rPr>
          <w:rFonts w:ascii="Arial" w:hAnsi="Arial" w:cs="Arial"/>
          <w:sz w:val="20"/>
        </w:rPr>
      </w:pPr>
      <w:r w:rsidRPr="00D56441">
        <w:rPr>
          <w:rFonts w:ascii="Arial" w:hAnsi="Arial" w:cs="Arial"/>
          <w:sz w:val="20"/>
        </w:rPr>
        <w:tab/>
        <w:t>b)</w:t>
      </w:r>
      <w:r w:rsidRPr="00D56441">
        <w:rPr>
          <w:rFonts w:ascii="Arial" w:hAnsi="Arial" w:cs="Arial"/>
          <w:sz w:val="20"/>
        </w:rPr>
        <w:tab/>
        <w:t>is made available to you on a non-confidential basis from a source other than the Foreign and Commonwealth Office or its representatives provided that such information is not provided in breach of any confidentiality obligation owed to any person, or</w:t>
      </w:r>
    </w:p>
    <w:p w14:paraId="1713559E" w14:textId="77777777" w:rsidR="00603F53" w:rsidRPr="00D56441" w:rsidRDefault="00603F53" w:rsidP="00603F53">
      <w:pPr>
        <w:tabs>
          <w:tab w:val="left" w:pos="600"/>
          <w:tab w:val="left" w:pos="1200"/>
          <w:tab w:val="left" w:pos="5400"/>
        </w:tabs>
        <w:spacing w:after="0"/>
        <w:ind w:left="1200" w:right="-432" w:hanging="1200"/>
        <w:jc w:val="both"/>
        <w:rPr>
          <w:rFonts w:ascii="Arial" w:hAnsi="Arial" w:cs="Arial"/>
          <w:sz w:val="20"/>
        </w:rPr>
      </w:pPr>
      <w:r w:rsidRPr="00D56441">
        <w:rPr>
          <w:rFonts w:ascii="Arial" w:hAnsi="Arial" w:cs="Arial"/>
          <w:sz w:val="20"/>
        </w:rPr>
        <w:tab/>
        <w:t>c)</w:t>
      </w:r>
      <w:r w:rsidRPr="00D56441">
        <w:rPr>
          <w:rFonts w:ascii="Arial" w:hAnsi="Arial" w:cs="Arial"/>
          <w:sz w:val="20"/>
        </w:rPr>
        <w:tab/>
        <w:t>you are required by law to disclose, or</w:t>
      </w:r>
    </w:p>
    <w:p w14:paraId="5BC850A2" w14:textId="77777777" w:rsidR="00603F53" w:rsidRPr="00D56441" w:rsidRDefault="00603F53" w:rsidP="00603F53">
      <w:pPr>
        <w:tabs>
          <w:tab w:val="left" w:pos="600"/>
          <w:tab w:val="left" w:pos="1200"/>
          <w:tab w:val="left" w:pos="5400"/>
        </w:tabs>
        <w:ind w:left="1200" w:right="-432" w:hanging="1200"/>
        <w:jc w:val="both"/>
        <w:rPr>
          <w:rFonts w:ascii="Arial" w:hAnsi="Arial" w:cs="Arial"/>
          <w:sz w:val="20"/>
        </w:rPr>
      </w:pPr>
      <w:r w:rsidRPr="00D56441">
        <w:rPr>
          <w:rFonts w:ascii="Arial" w:hAnsi="Arial" w:cs="Arial"/>
          <w:sz w:val="20"/>
        </w:rPr>
        <w:tab/>
        <w:t>d)</w:t>
      </w:r>
      <w:r w:rsidRPr="00D56441">
        <w:rPr>
          <w:rFonts w:ascii="Arial" w:hAnsi="Arial" w:cs="Arial"/>
          <w:sz w:val="20"/>
        </w:rPr>
        <w:tab/>
        <w:t>is in the public domain or comes into the public domain other than as a result of disclosure in breach of this Agreement.</w:t>
      </w:r>
    </w:p>
    <w:p w14:paraId="2ECA4692" w14:textId="77777777" w:rsidR="00603F53" w:rsidRPr="00D56441" w:rsidRDefault="00603F53" w:rsidP="00603F53">
      <w:pPr>
        <w:ind w:left="570" w:hanging="570"/>
        <w:jc w:val="both"/>
        <w:rPr>
          <w:rFonts w:ascii="Arial" w:hAnsi="Arial" w:cs="Arial"/>
          <w:sz w:val="20"/>
        </w:rPr>
      </w:pPr>
      <w:r w:rsidRPr="00D56441">
        <w:rPr>
          <w:rFonts w:ascii="Arial" w:hAnsi="Arial" w:cs="Arial"/>
          <w:sz w:val="20"/>
        </w:rPr>
        <w:t>7.</w:t>
      </w:r>
      <w:r w:rsidRPr="00D56441">
        <w:rPr>
          <w:rFonts w:ascii="Arial" w:hAnsi="Arial" w:cs="Arial"/>
          <w:sz w:val="20"/>
        </w:rPr>
        <w:tab/>
        <w:t>You acknowledge that the Foreign and Commonwealth Office may be obliged (subject to the application of any relevant exemption(s) and, where applicable, the public interest test) to disclose information pursuant to the Freedom of Information Act 2000 ("FOIA")</w:t>
      </w:r>
      <w:r w:rsidRPr="00D56441">
        <w:rPr>
          <w:rStyle w:val="FootnoteReference"/>
          <w:rFonts w:ascii="Arial" w:hAnsi="Arial" w:cs="Arial"/>
        </w:rPr>
        <w:footnoteReference w:id="6"/>
      </w:r>
      <w:r w:rsidRPr="00D56441">
        <w:rPr>
          <w:rFonts w:ascii="Arial" w:hAnsi="Arial" w:cs="Arial"/>
          <w:sz w:val="20"/>
        </w:rPr>
        <w:t xml:space="preserve"> or the Environmental Information Regulations 2004 (the "Regulations")</w:t>
      </w:r>
      <w:r w:rsidRPr="00D56441">
        <w:rPr>
          <w:rStyle w:val="FootnoteReference"/>
          <w:rFonts w:ascii="Arial" w:hAnsi="Arial" w:cs="Arial"/>
        </w:rPr>
        <w:footnoteReference w:id="7"/>
      </w:r>
      <w:r w:rsidRPr="00D56441">
        <w:rPr>
          <w:rFonts w:ascii="Arial" w:hAnsi="Arial" w:cs="Arial"/>
          <w:sz w:val="20"/>
        </w:rPr>
        <w:t>.  Where the Foreign and Commonwealth Office consults the Supplier in accordance with section IV of the code of practice issued under section 45 of the FOIA (or, as the case may be, any code of practice issued under powers contained in the Regulations), you agree to respond to any such consultation promptly and within any reasonable deadline set by the Foreign and Commonwealth Office.  You also acknowledge that it is for the Foreign and Commonwealth Office to determine whether or not such information should be disclosed.</w:t>
      </w:r>
    </w:p>
    <w:p w14:paraId="21022236" w14:textId="77777777" w:rsidR="00603F53" w:rsidRPr="00D56441" w:rsidRDefault="00603F53" w:rsidP="00603F53">
      <w:pPr>
        <w:ind w:left="570" w:hanging="570"/>
        <w:jc w:val="both"/>
        <w:rPr>
          <w:rFonts w:ascii="Arial" w:hAnsi="Arial" w:cs="Arial"/>
          <w:sz w:val="20"/>
        </w:rPr>
      </w:pPr>
      <w:r w:rsidRPr="00D56441">
        <w:rPr>
          <w:rFonts w:ascii="Arial" w:hAnsi="Arial" w:cs="Arial"/>
          <w:sz w:val="20"/>
        </w:rPr>
        <w:t xml:space="preserve">8. </w:t>
      </w:r>
      <w:r w:rsidRPr="00D56441">
        <w:rPr>
          <w:rFonts w:ascii="Arial" w:hAnsi="Arial" w:cs="Arial"/>
          <w:sz w:val="20"/>
        </w:rPr>
        <w:tab/>
        <w:t>You shall and shall ensure that your consortium members, employees and professional advisers shall notify us of your and their press and communications point of contact for any press enquiries that may arise relating to the Tender Process or the supply of services specified.  You shall not and shall ensure that your consortium members, employees and professional advisers do not undertake or permit to be undertaken any publicity or activity with any section of the media (including but not limited to making any announcements) in relation to the Tender Process or the supply of services specified other than with the prior written consent of the Foreign and Commonwealth Office (which may be withheld in its absolute discretion).  All requests for such consent should be directed to [</w:t>
      </w:r>
      <w:r w:rsidRPr="00D56441">
        <w:rPr>
          <w:rFonts w:ascii="Arial" w:hAnsi="Arial" w:cs="Arial"/>
          <w:i/>
          <w:sz w:val="20"/>
        </w:rPr>
        <w:t>insert contact</w:t>
      </w:r>
      <w:r w:rsidRPr="00D56441">
        <w:rPr>
          <w:rFonts w:ascii="Arial" w:hAnsi="Arial" w:cs="Arial"/>
          <w:sz w:val="20"/>
        </w:rPr>
        <w:t xml:space="preserve">]. </w:t>
      </w:r>
    </w:p>
    <w:p w14:paraId="69E73CEB" w14:textId="77777777" w:rsidR="00603F53" w:rsidRPr="00D56441" w:rsidRDefault="00603F53" w:rsidP="00603F53">
      <w:pPr>
        <w:ind w:left="570" w:hanging="570"/>
        <w:jc w:val="both"/>
        <w:rPr>
          <w:rFonts w:ascii="Arial" w:hAnsi="Arial" w:cs="Arial"/>
        </w:rPr>
      </w:pPr>
      <w:r w:rsidRPr="00D56441">
        <w:rPr>
          <w:rFonts w:ascii="Arial" w:hAnsi="Arial" w:cs="Arial"/>
        </w:rPr>
        <w:t>9.</w:t>
      </w:r>
      <w:r w:rsidRPr="00D56441">
        <w:rPr>
          <w:rFonts w:ascii="Arial" w:hAnsi="Arial" w:cs="Arial"/>
        </w:rPr>
        <w:tab/>
        <w:t>T</w:t>
      </w:r>
      <w:r w:rsidRPr="00D56441">
        <w:rPr>
          <w:rFonts w:ascii="Arial" w:hAnsi="Arial" w:cs="Arial"/>
          <w:sz w:val="20"/>
        </w:rPr>
        <w:t>his Agreement shall be governed by the laws of England.  In addition to any and all remedies available at law, the Foreign and Commonwealth Office shall also be entitled to equitable relief, including injunction and specific performance, in the event of any breach of this Agreement.  The English Courts shall have exclusive jurisdiction except that the Foreign and Commonwealth Office may seek an interim injunction or other urgent relief in any court of competent jurisdiction.</w:t>
      </w:r>
    </w:p>
    <w:p w14:paraId="6718F243" w14:textId="77777777" w:rsidR="00603F53" w:rsidRPr="00D56441" w:rsidRDefault="00603F53" w:rsidP="00603F53">
      <w:pPr>
        <w:rPr>
          <w:rFonts w:ascii="Arial" w:hAnsi="Arial" w:cs="Arial"/>
          <w:sz w:val="20"/>
        </w:rPr>
      </w:pPr>
      <w:r w:rsidRPr="00D56441">
        <w:rPr>
          <w:rFonts w:ascii="Arial" w:hAnsi="Arial" w:cs="Arial"/>
          <w:sz w:val="20"/>
        </w:rPr>
        <w:t>IN WITNESS whereof you have executed this document as a Deed the day and year first before written:</w:t>
      </w:r>
    </w:p>
    <w:p w14:paraId="4312EDF3" w14:textId="77777777" w:rsidR="00603F53" w:rsidRPr="00D56441" w:rsidRDefault="00603F53" w:rsidP="00603F53">
      <w:pPr>
        <w:rPr>
          <w:rFonts w:ascii="Arial" w:hAnsi="Arial" w:cs="Arial"/>
          <w:sz w:val="20"/>
        </w:rPr>
      </w:pPr>
      <w:r w:rsidRPr="00D56441">
        <w:rPr>
          <w:rFonts w:ascii="Arial" w:hAnsi="Arial" w:cs="Arial"/>
          <w:sz w:val="20"/>
        </w:rPr>
        <w:t>EXECUTED as a Deed</w:t>
      </w:r>
    </w:p>
    <w:p w14:paraId="483F558C" w14:textId="77777777" w:rsidR="00603F53" w:rsidRPr="00D56441" w:rsidRDefault="00603F53" w:rsidP="00603F53">
      <w:pPr>
        <w:pStyle w:val="DefaultText1"/>
        <w:autoSpaceDE/>
        <w:adjustRightInd/>
        <w:rPr>
          <w:rFonts w:cs="Arial"/>
          <w:lang w:val="en-GB"/>
        </w:rPr>
      </w:pPr>
      <w:r w:rsidRPr="00D56441">
        <w:rPr>
          <w:rFonts w:cs="Arial"/>
          <w:lang w:val="en-GB"/>
        </w:rPr>
        <w:lastRenderedPageBreak/>
        <w:t>and delivered on behalf of</w:t>
      </w:r>
    </w:p>
    <w:p w14:paraId="40C1C6A2" w14:textId="77777777" w:rsidR="00603F53" w:rsidRPr="00D56441" w:rsidRDefault="00603F53" w:rsidP="00603F53">
      <w:pPr>
        <w:rPr>
          <w:rFonts w:ascii="Arial" w:hAnsi="Arial" w:cs="Arial"/>
          <w:sz w:val="20"/>
        </w:rPr>
      </w:pPr>
      <w:r w:rsidRPr="00D56441">
        <w:rPr>
          <w:rFonts w:ascii="Arial" w:hAnsi="Arial" w:cs="Arial"/>
          <w:sz w:val="20"/>
        </w:rPr>
        <w:t>[</w:t>
      </w:r>
      <w:r w:rsidRPr="00D56441">
        <w:rPr>
          <w:rFonts w:ascii="Arial" w:hAnsi="Arial" w:cs="Arial"/>
          <w:i/>
          <w:sz w:val="20"/>
        </w:rPr>
        <w:t>insert name of participant</w:t>
      </w:r>
      <w:r w:rsidRPr="00D56441">
        <w:rPr>
          <w:rFonts w:ascii="Arial" w:hAnsi="Arial" w:cs="Arial"/>
          <w:sz w:val="20"/>
        </w:rPr>
        <w:t>]</w:t>
      </w:r>
    </w:p>
    <w:p w14:paraId="64EE0878" w14:textId="77777777" w:rsidR="00603F53" w:rsidRPr="00D56441" w:rsidRDefault="00603F53" w:rsidP="00603F53">
      <w:pPr>
        <w:rPr>
          <w:rFonts w:ascii="Arial" w:hAnsi="Arial" w:cs="Arial"/>
          <w:sz w:val="20"/>
        </w:rPr>
      </w:pPr>
      <w:r w:rsidRPr="00D56441">
        <w:rPr>
          <w:rFonts w:ascii="Arial" w:hAnsi="Arial" w:cs="Arial"/>
          <w:sz w:val="20"/>
        </w:rPr>
        <w:t>by:</w:t>
      </w:r>
    </w:p>
    <w:p w14:paraId="1AC7D8B6" w14:textId="77777777" w:rsidR="00603F53" w:rsidRPr="00D56441" w:rsidRDefault="00603F53" w:rsidP="00603F53">
      <w:pPr>
        <w:spacing w:after="0"/>
        <w:rPr>
          <w:rFonts w:ascii="Arial" w:hAnsi="Arial" w:cs="Arial"/>
          <w:sz w:val="20"/>
        </w:rPr>
      </w:pPr>
      <w:r w:rsidRPr="00D56441">
        <w:rPr>
          <w:rFonts w:ascii="Arial" w:hAnsi="Arial" w:cs="Arial"/>
          <w:sz w:val="20"/>
        </w:rPr>
        <w:t>……………………………………………….</w:t>
      </w:r>
    </w:p>
    <w:p w14:paraId="7FD16DEB" w14:textId="77777777" w:rsidR="00603F53" w:rsidRPr="00D56441" w:rsidRDefault="00603F53" w:rsidP="00603F53">
      <w:pPr>
        <w:spacing w:after="0"/>
        <w:rPr>
          <w:rFonts w:ascii="Arial" w:hAnsi="Arial" w:cs="Arial"/>
          <w:sz w:val="20"/>
        </w:rPr>
      </w:pPr>
      <w:r w:rsidRPr="00D56441">
        <w:rPr>
          <w:rFonts w:ascii="Arial" w:hAnsi="Arial" w:cs="Arial"/>
          <w:sz w:val="20"/>
        </w:rPr>
        <w:t>Director</w:t>
      </w:r>
    </w:p>
    <w:p w14:paraId="2072CC3B" w14:textId="77777777" w:rsidR="00603F53" w:rsidRPr="00D56441" w:rsidRDefault="00603F53" w:rsidP="00603F53">
      <w:pPr>
        <w:spacing w:after="0"/>
        <w:rPr>
          <w:rFonts w:ascii="Arial" w:hAnsi="Arial" w:cs="Arial"/>
          <w:sz w:val="20"/>
        </w:rPr>
      </w:pPr>
    </w:p>
    <w:p w14:paraId="6F11B0A6" w14:textId="77777777" w:rsidR="00603F53" w:rsidRPr="00D56441" w:rsidRDefault="00603F53" w:rsidP="00603F53">
      <w:pPr>
        <w:spacing w:after="0"/>
        <w:rPr>
          <w:rFonts w:ascii="Arial" w:hAnsi="Arial" w:cs="Arial"/>
          <w:sz w:val="20"/>
        </w:rPr>
      </w:pPr>
      <w:r w:rsidRPr="00D56441">
        <w:rPr>
          <w:rFonts w:ascii="Arial" w:hAnsi="Arial" w:cs="Arial"/>
          <w:sz w:val="20"/>
        </w:rPr>
        <w:t>……………………………………………….</w:t>
      </w:r>
    </w:p>
    <w:p w14:paraId="14B2B982" w14:textId="77777777" w:rsidR="00603F53" w:rsidRPr="00D56441" w:rsidRDefault="00603F53" w:rsidP="00603F53">
      <w:pPr>
        <w:spacing w:after="0"/>
        <w:rPr>
          <w:rFonts w:ascii="Arial" w:hAnsi="Arial" w:cs="Arial"/>
        </w:rPr>
      </w:pPr>
      <w:r w:rsidRPr="00D56441">
        <w:rPr>
          <w:rFonts w:ascii="Arial" w:hAnsi="Arial" w:cs="Arial"/>
          <w:sz w:val="20"/>
        </w:rPr>
        <w:t>Director/Secretary</w:t>
      </w:r>
      <w:r w:rsidRPr="00D56441">
        <w:rPr>
          <w:rFonts w:ascii="Arial" w:hAnsi="Arial" w:cs="Arial"/>
        </w:rPr>
        <w:t xml:space="preserve"> </w:t>
      </w:r>
    </w:p>
    <w:p w14:paraId="2783649A" w14:textId="77777777" w:rsidR="00603F53" w:rsidRPr="00D56441" w:rsidRDefault="00603F53" w:rsidP="00603F53">
      <w:pPr>
        <w:rPr>
          <w:rFonts w:ascii="Arial" w:hAnsi="Arial" w:cs="Arial"/>
          <w:sz w:val="24"/>
        </w:rPr>
      </w:pPr>
    </w:p>
    <w:p w14:paraId="5B3B091B" w14:textId="372ACC5B" w:rsidR="00603F53" w:rsidRDefault="00603F53">
      <w:pPr>
        <w:spacing w:after="160" w:line="259" w:lineRule="auto"/>
        <w:rPr>
          <w:rFonts w:ascii="Arial" w:eastAsia="Times New Roman" w:hAnsi="Arial" w:cs="Arial"/>
          <w:color w:val="000000"/>
          <w:sz w:val="24"/>
          <w:szCs w:val="24"/>
          <w:lang w:eastAsia="en-GB"/>
        </w:rPr>
      </w:pPr>
    </w:p>
    <w:p w14:paraId="62A79690" w14:textId="77777777" w:rsidR="00546480" w:rsidRPr="00546480" w:rsidRDefault="00546480" w:rsidP="00685F4E">
      <w:pPr>
        <w:pStyle w:val="NormalWeb"/>
        <w:spacing w:before="0" w:beforeAutospacing="0" w:after="120" w:afterAutospacing="0" w:line="276" w:lineRule="auto"/>
        <w:rPr>
          <w:rFonts w:ascii="Arial" w:hAnsi="Arial" w:cs="Arial"/>
          <w:color w:val="000000"/>
        </w:rPr>
      </w:pPr>
    </w:p>
    <w:sectPr w:rsidR="00546480" w:rsidRPr="00546480" w:rsidSect="00603F53">
      <w:pgSz w:w="11906" w:h="16838"/>
      <w:pgMar w:top="22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3D5B51" w14:textId="77777777" w:rsidR="00DB4E5D" w:rsidRDefault="00DB4E5D" w:rsidP="00727110">
      <w:pPr>
        <w:spacing w:after="0" w:line="240" w:lineRule="auto"/>
      </w:pPr>
      <w:r>
        <w:separator/>
      </w:r>
    </w:p>
  </w:endnote>
  <w:endnote w:type="continuationSeparator" w:id="0">
    <w:p w14:paraId="2509E3F4" w14:textId="77777777" w:rsidR="00DB4E5D" w:rsidRDefault="00DB4E5D" w:rsidP="00727110">
      <w:pPr>
        <w:spacing w:after="0" w:line="240" w:lineRule="auto"/>
      </w:pPr>
      <w:r>
        <w:continuationSeparator/>
      </w:r>
    </w:p>
  </w:endnote>
  <w:endnote w:type="continuationNotice" w:id="1">
    <w:p w14:paraId="0EE70BD8" w14:textId="77777777" w:rsidR="00DB4E5D" w:rsidRDefault="00DB4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E4BEC" w14:textId="6E818C39" w:rsidR="00DB4E5D" w:rsidRPr="009B0236" w:rsidRDefault="00DB4E5D" w:rsidP="00480C8F">
    <w:pPr>
      <w:pStyle w:val="Footer"/>
      <w:jc w:val="center"/>
      <w:rPr>
        <w:rFonts w:ascii="Arial" w:hAnsi="Arial" w:cs="Arial"/>
        <w:b/>
        <w:sz w:val="16"/>
        <w:szCs w:val="16"/>
      </w:rPr>
    </w:pPr>
    <w:r w:rsidRPr="009B0236">
      <w:rPr>
        <w:rFonts w:ascii="Arial" w:hAnsi="Arial" w:cs="Arial"/>
        <w:sz w:val="16"/>
        <w:szCs w:val="16"/>
      </w:rPr>
      <w:t xml:space="preserve">Page </w:t>
    </w:r>
    <w:r w:rsidRPr="009B0236">
      <w:rPr>
        <w:rFonts w:ascii="Arial" w:hAnsi="Arial" w:cs="Arial"/>
        <w:b/>
        <w:sz w:val="16"/>
        <w:szCs w:val="16"/>
      </w:rPr>
      <w:fldChar w:fldCharType="begin"/>
    </w:r>
    <w:r w:rsidRPr="009B0236">
      <w:rPr>
        <w:rFonts w:ascii="Arial" w:hAnsi="Arial" w:cs="Arial"/>
        <w:b/>
        <w:sz w:val="16"/>
        <w:szCs w:val="16"/>
      </w:rPr>
      <w:instrText xml:space="preserve"> PAGE </w:instrText>
    </w:r>
    <w:r w:rsidRPr="009B0236">
      <w:rPr>
        <w:rFonts w:ascii="Arial" w:hAnsi="Arial" w:cs="Arial"/>
        <w:b/>
        <w:sz w:val="16"/>
        <w:szCs w:val="16"/>
      </w:rPr>
      <w:fldChar w:fldCharType="separate"/>
    </w:r>
    <w:r w:rsidR="00376964">
      <w:rPr>
        <w:rFonts w:ascii="Arial" w:hAnsi="Arial" w:cs="Arial"/>
        <w:b/>
        <w:noProof/>
        <w:sz w:val="16"/>
        <w:szCs w:val="16"/>
      </w:rPr>
      <w:t>19</w:t>
    </w:r>
    <w:r w:rsidRPr="009B0236">
      <w:rPr>
        <w:rFonts w:ascii="Arial" w:hAnsi="Arial" w:cs="Arial"/>
        <w:b/>
        <w:sz w:val="16"/>
        <w:szCs w:val="16"/>
      </w:rPr>
      <w:fldChar w:fldCharType="end"/>
    </w:r>
    <w:r w:rsidRPr="009B0236">
      <w:rPr>
        <w:rFonts w:ascii="Arial" w:hAnsi="Arial" w:cs="Arial"/>
        <w:sz w:val="16"/>
        <w:szCs w:val="16"/>
      </w:rPr>
      <w:t xml:space="preserve"> of </w:t>
    </w:r>
    <w:r w:rsidRPr="009B0236">
      <w:rPr>
        <w:rFonts w:ascii="Arial" w:hAnsi="Arial" w:cs="Arial"/>
        <w:b/>
        <w:sz w:val="16"/>
        <w:szCs w:val="16"/>
      </w:rPr>
      <w:fldChar w:fldCharType="begin"/>
    </w:r>
    <w:r w:rsidRPr="009B0236">
      <w:rPr>
        <w:rFonts w:ascii="Arial" w:hAnsi="Arial" w:cs="Arial"/>
        <w:b/>
        <w:sz w:val="16"/>
        <w:szCs w:val="16"/>
      </w:rPr>
      <w:instrText xml:space="preserve"> NUMPAGES  </w:instrText>
    </w:r>
    <w:r w:rsidRPr="009B0236">
      <w:rPr>
        <w:rFonts w:ascii="Arial" w:hAnsi="Arial" w:cs="Arial"/>
        <w:b/>
        <w:sz w:val="16"/>
        <w:szCs w:val="16"/>
      </w:rPr>
      <w:fldChar w:fldCharType="separate"/>
    </w:r>
    <w:r w:rsidR="00376964">
      <w:rPr>
        <w:rFonts w:ascii="Arial" w:hAnsi="Arial" w:cs="Arial"/>
        <w:b/>
        <w:noProof/>
        <w:sz w:val="16"/>
        <w:szCs w:val="16"/>
      </w:rPr>
      <w:t>44</w:t>
    </w:r>
    <w:r w:rsidRPr="009B0236">
      <w:rPr>
        <w:rFonts w:ascii="Arial" w:hAnsi="Arial" w:cs="Arial"/>
        <w:b/>
        <w:sz w:val="16"/>
        <w:szCs w:val="16"/>
      </w:rPr>
      <w:fldChar w:fldCharType="end"/>
    </w:r>
  </w:p>
  <w:p w14:paraId="3C736D6F" w14:textId="77777777" w:rsidR="00DB4E5D" w:rsidRPr="00935D10" w:rsidRDefault="00DB4E5D" w:rsidP="00480C8F">
    <w:pPr>
      <w:pStyle w:val="Footer"/>
      <w:jc w:val="center"/>
      <w:rPr>
        <w:rFonts w:cs="Arial"/>
        <w:sz w:val="16"/>
        <w:szCs w:val="16"/>
      </w:rPr>
    </w:pPr>
  </w:p>
  <w:p w14:paraId="333A1251" w14:textId="003D6E55" w:rsidR="00DB4E5D" w:rsidRDefault="00DB4E5D" w:rsidP="003D63B0">
    <w:pPr>
      <w:pStyle w:val="Footer"/>
      <w:jc w:val="center"/>
      <w:rPr>
        <w:rFonts w:ascii="Arial" w:hAnsi="Arial" w:cs="Arial"/>
        <w:sz w:val="16"/>
        <w:szCs w:val="16"/>
      </w:rPr>
    </w:pPr>
    <w:r>
      <w:rPr>
        <w:rFonts w:ascii="Arial" w:hAnsi="Arial" w:cs="Arial"/>
        <w:sz w:val="16"/>
        <w:szCs w:val="16"/>
      </w:rPr>
      <w:t>Commercial-in-Confidence</w:t>
    </w:r>
  </w:p>
  <w:p w14:paraId="55DD82D8" w14:textId="77777777" w:rsidR="00DB4E5D" w:rsidRPr="003D63B0" w:rsidRDefault="00DB4E5D" w:rsidP="003D63B0">
    <w:pPr>
      <w:pStyle w:val="Footer"/>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0296E" w14:textId="77777777" w:rsidR="00DB4E5D" w:rsidRDefault="00DB4E5D" w:rsidP="00E65931">
    <w:pPr>
      <w:pStyle w:val="Footer"/>
      <w:jc w:val="center"/>
      <w:rPr>
        <w:rFonts w:cs="Arial"/>
        <w:sz w:val="16"/>
        <w:szCs w:val="16"/>
      </w:rPr>
    </w:pPr>
  </w:p>
  <w:p w14:paraId="6D2B69CE" w14:textId="7350D0E7" w:rsidR="00DB4E5D" w:rsidRPr="00E65931" w:rsidRDefault="00DB4E5D" w:rsidP="00E65931">
    <w:pPr>
      <w:pStyle w:val="Footer"/>
      <w:jc w:val="center"/>
      <w:rPr>
        <w:rFonts w:ascii="Arial" w:hAnsi="Arial" w:cs="Arial"/>
        <w:b/>
        <w:sz w:val="16"/>
        <w:szCs w:val="16"/>
      </w:rPr>
    </w:pPr>
    <w:r w:rsidRPr="00E65931">
      <w:rPr>
        <w:rFonts w:ascii="Arial" w:hAnsi="Arial" w:cs="Arial"/>
        <w:sz w:val="16"/>
        <w:szCs w:val="16"/>
      </w:rPr>
      <w:t xml:space="preserve">Page </w:t>
    </w:r>
    <w:r w:rsidRPr="00E65931">
      <w:rPr>
        <w:rFonts w:ascii="Arial" w:hAnsi="Arial" w:cs="Arial"/>
        <w:b/>
        <w:sz w:val="16"/>
        <w:szCs w:val="16"/>
      </w:rPr>
      <w:fldChar w:fldCharType="begin"/>
    </w:r>
    <w:r w:rsidRPr="00E65931">
      <w:rPr>
        <w:rFonts w:ascii="Arial" w:hAnsi="Arial" w:cs="Arial"/>
        <w:b/>
        <w:sz w:val="16"/>
        <w:szCs w:val="16"/>
      </w:rPr>
      <w:instrText xml:space="preserve"> PAGE </w:instrText>
    </w:r>
    <w:r w:rsidRPr="00E65931">
      <w:rPr>
        <w:rFonts w:ascii="Arial" w:hAnsi="Arial" w:cs="Arial"/>
        <w:b/>
        <w:sz w:val="16"/>
        <w:szCs w:val="16"/>
      </w:rPr>
      <w:fldChar w:fldCharType="separate"/>
    </w:r>
    <w:r w:rsidR="00376964">
      <w:rPr>
        <w:rFonts w:ascii="Arial" w:hAnsi="Arial" w:cs="Arial"/>
        <w:b/>
        <w:noProof/>
        <w:sz w:val="16"/>
        <w:szCs w:val="16"/>
      </w:rPr>
      <w:t>1</w:t>
    </w:r>
    <w:r w:rsidRPr="00E65931">
      <w:rPr>
        <w:rFonts w:ascii="Arial" w:hAnsi="Arial" w:cs="Arial"/>
        <w:b/>
        <w:sz w:val="16"/>
        <w:szCs w:val="16"/>
      </w:rPr>
      <w:fldChar w:fldCharType="end"/>
    </w:r>
    <w:r w:rsidRPr="00E65931">
      <w:rPr>
        <w:rFonts w:ascii="Arial" w:hAnsi="Arial" w:cs="Arial"/>
        <w:sz w:val="16"/>
        <w:szCs w:val="16"/>
      </w:rPr>
      <w:t xml:space="preserve"> of </w:t>
    </w:r>
    <w:r w:rsidRPr="00E65931">
      <w:rPr>
        <w:rFonts w:ascii="Arial" w:hAnsi="Arial" w:cs="Arial"/>
        <w:b/>
        <w:sz w:val="16"/>
        <w:szCs w:val="16"/>
      </w:rPr>
      <w:fldChar w:fldCharType="begin"/>
    </w:r>
    <w:r w:rsidRPr="00E65931">
      <w:rPr>
        <w:rFonts w:ascii="Arial" w:hAnsi="Arial" w:cs="Arial"/>
        <w:b/>
        <w:sz w:val="16"/>
        <w:szCs w:val="16"/>
      </w:rPr>
      <w:instrText xml:space="preserve"> NUMPAGES  </w:instrText>
    </w:r>
    <w:r w:rsidRPr="00E65931">
      <w:rPr>
        <w:rFonts w:ascii="Arial" w:hAnsi="Arial" w:cs="Arial"/>
        <w:b/>
        <w:sz w:val="16"/>
        <w:szCs w:val="16"/>
      </w:rPr>
      <w:fldChar w:fldCharType="separate"/>
    </w:r>
    <w:r w:rsidR="00376964">
      <w:rPr>
        <w:rFonts w:ascii="Arial" w:hAnsi="Arial" w:cs="Arial"/>
        <w:b/>
        <w:noProof/>
        <w:sz w:val="16"/>
        <w:szCs w:val="16"/>
      </w:rPr>
      <w:t>44</w:t>
    </w:r>
    <w:r w:rsidRPr="00E65931">
      <w:rPr>
        <w:rFonts w:ascii="Arial" w:hAnsi="Arial" w:cs="Arial"/>
        <w:b/>
        <w:sz w:val="16"/>
        <w:szCs w:val="16"/>
      </w:rPr>
      <w:fldChar w:fldCharType="end"/>
    </w:r>
  </w:p>
  <w:p w14:paraId="2FF1E87F" w14:textId="77777777" w:rsidR="00DB4E5D" w:rsidRDefault="00DB4E5D" w:rsidP="00426145">
    <w:pPr>
      <w:pStyle w:val="Footer"/>
      <w:jc w:val="center"/>
      <w:rPr>
        <w:rFonts w:ascii="Arial" w:hAnsi="Arial" w:cs="Arial"/>
        <w:sz w:val="16"/>
        <w:szCs w:val="16"/>
      </w:rPr>
    </w:pPr>
  </w:p>
  <w:p w14:paraId="1BC8BD11" w14:textId="54432BBE" w:rsidR="00DB4E5D" w:rsidRDefault="00DB4E5D" w:rsidP="00426145">
    <w:pPr>
      <w:pStyle w:val="Footer"/>
      <w:jc w:val="center"/>
      <w:rPr>
        <w:rFonts w:ascii="Arial" w:hAnsi="Arial" w:cs="Arial"/>
        <w:sz w:val="16"/>
        <w:szCs w:val="16"/>
      </w:rPr>
    </w:pPr>
    <w:r w:rsidRPr="00B164AE">
      <w:rPr>
        <w:rFonts w:ascii="Arial" w:hAnsi="Arial" w:cs="Arial"/>
        <w:sz w:val="16"/>
        <w:szCs w:val="16"/>
      </w:rPr>
      <w:t xml:space="preserve">Classification: </w:t>
    </w:r>
    <w:r>
      <w:rPr>
        <w:rFonts w:ascii="Arial" w:hAnsi="Arial" w:cs="Arial"/>
        <w:sz w:val="16"/>
        <w:szCs w:val="16"/>
      </w:rPr>
      <w:t>Commercial in Confidence</w:t>
    </w:r>
  </w:p>
  <w:p w14:paraId="0F6EB37B" w14:textId="77777777" w:rsidR="00DB4E5D" w:rsidRPr="003D63B0" w:rsidRDefault="00DB4E5D" w:rsidP="003D63B0">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72D1CE" w14:textId="77777777" w:rsidR="00DB4E5D" w:rsidRDefault="00DB4E5D" w:rsidP="00727110">
      <w:pPr>
        <w:spacing w:after="0" w:line="240" w:lineRule="auto"/>
      </w:pPr>
      <w:r>
        <w:separator/>
      </w:r>
    </w:p>
  </w:footnote>
  <w:footnote w:type="continuationSeparator" w:id="0">
    <w:p w14:paraId="577983D7" w14:textId="77777777" w:rsidR="00DB4E5D" w:rsidRDefault="00DB4E5D" w:rsidP="00727110">
      <w:pPr>
        <w:spacing w:after="0" w:line="240" w:lineRule="auto"/>
      </w:pPr>
      <w:r>
        <w:continuationSeparator/>
      </w:r>
    </w:p>
  </w:footnote>
  <w:footnote w:type="continuationNotice" w:id="1">
    <w:p w14:paraId="4C631B84" w14:textId="77777777" w:rsidR="00DB4E5D" w:rsidRDefault="00DB4E5D">
      <w:pPr>
        <w:spacing w:after="0" w:line="240" w:lineRule="auto"/>
      </w:pPr>
    </w:p>
  </w:footnote>
  <w:footnote w:id="2">
    <w:p w14:paraId="5571BBC2" w14:textId="77777777" w:rsidR="00DB4E5D" w:rsidRPr="00E43201" w:rsidRDefault="00DB4E5D">
      <w:pPr>
        <w:pStyle w:val="FootnoteText"/>
        <w:rPr>
          <w:rFonts w:ascii="Arial" w:hAnsi="Arial" w:cs="Arial"/>
          <w:sz w:val="14"/>
        </w:rPr>
      </w:pPr>
      <w:r>
        <w:rPr>
          <w:rStyle w:val="FootnoteReference"/>
        </w:rPr>
        <w:footnoteRef/>
      </w:r>
      <w:r>
        <w:t xml:space="preserve"> </w:t>
      </w:r>
      <w:hyperlink r:id="rId1" w:history="1">
        <w:r w:rsidRPr="00E43201">
          <w:rPr>
            <w:rStyle w:val="Hyperlink"/>
            <w:rFonts w:ascii="Arial" w:hAnsi="Arial" w:cs="Arial"/>
            <w:sz w:val="16"/>
          </w:rPr>
          <w:t>https://www.gov.uk/government/publications/foreign-and-commonwealth-office-single-departmental-plan/foreign-and-commonwealth-office-single-departmental-plan-may-2018</w:t>
        </w:r>
      </w:hyperlink>
    </w:p>
  </w:footnote>
  <w:footnote w:id="3">
    <w:p w14:paraId="073CEA61" w14:textId="77777777" w:rsidR="00DB4E5D" w:rsidRPr="0034693C" w:rsidRDefault="00DB4E5D" w:rsidP="0034693C">
      <w:pPr>
        <w:pStyle w:val="FootnoteText"/>
        <w:rPr>
          <w:rFonts w:ascii="Arial" w:hAnsi="Arial" w:cs="Arial"/>
          <w:sz w:val="16"/>
        </w:rPr>
      </w:pPr>
      <w:r w:rsidRPr="0034693C">
        <w:rPr>
          <w:rStyle w:val="FootnoteReference"/>
          <w:rFonts w:ascii="Arial" w:hAnsi="Arial" w:cs="Arial"/>
          <w:sz w:val="16"/>
        </w:rPr>
        <w:footnoteRef/>
      </w:r>
      <w:r w:rsidRPr="0034693C">
        <w:rPr>
          <w:rFonts w:ascii="Arial" w:hAnsi="Arial" w:cs="Arial"/>
          <w:sz w:val="16"/>
        </w:rPr>
        <w:t xml:space="preserve"> Refers to UK Legislation</w:t>
      </w:r>
    </w:p>
  </w:footnote>
  <w:footnote w:id="4">
    <w:p w14:paraId="46F84A1A" w14:textId="77777777" w:rsidR="00DB4E5D" w:rsidRDefault="00DB4E5D" w:rsidP="0034693C">
      <w:pPr>
        <w:pStyle w:val="FootnoteText"/>
      </w:pPr>
      <w:r w:rsidRPr="0034693C">
        <w:rPr>
          <w:rStyle w:val="FootnoteReference"/>
          <w:rFonts w:ascii="Arial" w:hAnsi="Arial" w:cs="Arial"/>
          <w:sz w:val="16"/>
        </w:rPr>
        <w:footnoteRef/>
      </w:r>
      <w:r w:rsidRPr="0034693C">
        <w:rPr>
          <w:rFonts w:ascii="Arial" w:hAnsi="Arial" w:cs="Arial"/>
          <w:sz w:val="16"/>
        </w:rPr>
        <w:t xml:space="preserve"> Refers to UK Legislation</w:t>
      </w:r>
    </w:p>
  </w:footnote>
  <w:footnote w:id="5">
    <w:p w14:paraId="76B74082" w14:textId="77777777" w:rsidR="00DB4E5D" w:rsidRDefault="00DB4E5D" w:rsidP="00603F53">
      <w:pPr>
        <w:pStyle w:val="FootnoteText"/>
      </w:pPr>
      <w:r>
        <w:rPr>
          <w:rStyle w:val="FootnoteReference"/>
        </w:rPr>
        <w:footnoteRef/>
      </w:r>
      <w:r>
        <w:t xml:space="preserve"> Refers to UK Legislation</w:t>
      </w:r>
    </w:p>
  </w:footnote>
  <w:footnote w:id="6">
    <w:p w14:paraId="6F32AFE3" w14:textId="77777777" w:rsidR="00DB4E5D" w:rsidRPr="00D56441" w:rsidRDefault="00DB4E5D" w:rsidP="00603F53">
      <w:pPr>
        <w:pStyle w:val="FootnoteText"/>
        <w:rPr>
          <w:sz w:val="16"/>
        </w:rPr>
      </w:pPr>
      <w:r w:rsidRPr="00D56441">
        <w:rPr>
          <w:rStyle w:val="FootnoteReference"/>
          <w:sz w:val="16"/>
        </w:rPr>
        <w:footnoteRef/>
      </w:r>
      <w:r w:rsidRPr="00D56441">
        <w:rPr>
          <w:sz w:val="16"/>
        </w:rPr>
        <w:t xml:space="preserve"> Refers to UK Legislation</w:t>
      </w:r>
    </w:p>
  </w:footnote>
  <w:footnote w:id="7">
    <w:p w14:paraId="069290A1" w14:textId="77777777" w:rsidR="00DB4E5D" w:rsidRDefault="00DB4E5D" w:rsidP="00603F53">
      <w:pPr>
        <w:pStyle w:val="FootnoteText"/>
      </w:pPr>
      <w:r w:rsidRPr="00D56441">
        <w:rPr>
          <w:rStyle w:val="FootnoteReference"/>
          <w:sz w:val="16"/>
        </w:rPr>
        <w:footnoteRef/>
      </w:r>
      <w:r w:rsidRPr="00D56441">
        <w:rPr>
          <w:sz w:val="16"/>
        </w:rPr>
        <w:t xml:space="preserve"> Refers to UK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A798E9" w14:textId="77777777" w:rsidR="00DB4E5D" w:rsidRDefault="00DB4E5D">
    <w:pPr>
      <w:pStyle w:val="Header"/>
    </w:pPr>
    <w:r>
      <w:rPr>
        <w:noProof/>
        <w:lang w:eastAsia="en-GB"/>
      </w:rPr>
      <w:drawing>
        <wp:anchor distT="0" distB="0" distL="114300" distR="114300" simplePos="0" relativeHeight="251654656" behindDoc="1" locked="0" layoutInCell="1" allowOverlap="1" wp14:anchorId="3F6FCE71" wp14:editId="3F4F8E55">
          <wp:simplePos x="0" y="0"/>
          <wp:positionH relativeFrom="column">
            <wp:posOffset>0</wp:posOffset>
          </wp:positionH>
          <wp:positionV relativeFrom="paragraph">
            <wp:posOffset>3644</wp:posOffset>
          </wp:positionV>
          <wp:extent cx="1187450" cy="767715"/>
          <wp:effectExtent l="0" t="0" r="0" b="0"/>
          <wp:wrapTight wrapText="bothSides">
            <wp:wrapPolygon edited="0">
              <wp:start x="0" y="0"/>
              <wp:lineTo x="0" y="20703"/>
              <wp:lineTo x="9818" y="20703"/>
              <wp:lineTo x="20975" y="16562"/>
              <wp:lineTo x="20975" y="11732"/>
              <wp:lineTo x="14727" y="10351"/>
              <wp:lineTo x="12050" y="6211"/>
              <wp:lineTo x="580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767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28DB8" w14:textId="77777777" w:rsidR="00DB4E5D" w:rsidRDefault="00DB4E5D">
    <w:pPr>
      <w:pStyle w:val="Header"/>
    </w:pPr>
    <w:r>
      <w:rPr>
        <w:noProof/>
        <w:lang w:eastAsia="en-GB"/>
      </w:rPr>
      <w:drawing>
        <wp:anchor distT="0" distB="0" distL="114300" distR="114300" simplePos="0" relativeHeight="251653632" behindDoc="1" locked="0" layoutInCell="1" allowOverlap="1" wp14:anchorId="6A141F14" wp14:editId="20F9380E">
          <wp:simplePos x="0" y="0"/>
          <wp:positionH relativeFrom="margin">
            <wp:align>left</wp:align>
          </wp:positionH>
          <wp:positionV relativeFrom="paragraph">
            <wp:posOffset>3175</wp:posOffset>
          </wp:positionV>
          <wp:extent cx="1720215" cy="1112520"/>
          <wp:effectExtent l="0" t="0" r="0" b="0"/>
          <wp:wrapTight wrapText="bothSides">
            <wp:wrapPolygon edited="0">
              <wp:start x="0" y="0"/>
              <wp:lineTo x="0" y="21082"/>
              <wp:lineTo x="9090" y="21082"/>
              <wp:lineTo x="9568" y="19603"/>
              <wp:lineTo x="8133" y="18123"/>
              <wp:lineTo x="21289" y="16644"/>
              <wp:lineTo x="21289" y="12575"/>
              <wp:lineTo x="13874" y="11836"/>
              <wp:lineTo x="13395" y="7767"/>
              <wp:lineTo x="6219" y="5918"/>
              <wp:lineTo x="6937" y="4438"/>
              <wp:lineTo x="6458" y="1849"/>
              <wp:lineTo x="550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0215" cy="111252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3D6784" w14:textId="77777777" w:rsidR="00DB4E5D" w:rsidRDefault="00DB4E5D">
    <w:pPr>
      <w:pStyle w:val="Header"/>
    </w:pPr>
    <w:r>
      <w:rPr>
        <w:noProof/>
        <w:lang w:eastAsia="en-GB"/>
      </w:rPr>
      <w:drawing>
        <wp:anchor distT="0" distB="0" distL="114300" distR="114300" simplePos="0" relativeHeight="251660800" behindDoc="1" locked="0" layoutInCell="1" allowOverlap="1" wp14:anchorId="13E8393F" wp14:editId="4EE8D64A">
          <wp:simplePos x="0" y="0"/>
          <wp:positionH relativeFrom="margin">
            <wp:align>left</wp:align>
          </wp:positionH>
          <wp:positionV relativeFrom="paragraph">
            <wp:posOffset>24801</wp:posOffset>
          </wp:positionV>
          <wp:extent cx="1187450" cy="767715"/>
          <wp:effectExtent l="0" t="0" r="0" b="0"/>
          <wp:wrapTight wrapText="bothSides">
            <wp:wrapPolygon edited="0">
              <wp:start x="0" y="0"/>
              <wp:lineTo x="0" y="20903"/>
              <wp:lineTo x="9356" y="20903"/>
              <wp:lineTo x="10049" y="18759"/>
              <wp:lineTo x="21138" y="17151"/>
              <wp:lineTo x="21138" y="12864"/>
              <wp:lineTo x="13861" y="8576"/>
              <wp:lineTo x="5544"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7450" cy="767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24B33"/>
    <w:multiLevelType w:val="hybridMultilevel"/>
    <w:tmpl w:val="510E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D7D1D"/>
    <w:multiLevelType w:val="hybridMultilevel"/>
    <w:tmpl w:val="4328A9D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 w15:restartNumberingAfterBreak="0">
    <w:nsid w:val="077961D7"/>
    <w:multiLevelType w:val="hybridMultilevel"/>
    <w:tmpl w:val="5C023FFA"/>
    <w:lvl w:ilvl="0" w:tplc="E7B6F51A">
      <w:start w:val="1"/>
      <w:numFmt w:val="bullet"/>
      <w:lvlText w:val="•"/>
      <w:lvlJc w:val="left"/>
      <w:pPr>
        <w:tabs>
          <w:tab w:val="num" w:pos="720"/>
        </w:tabs>
        <w:ind w:left="720" w:hanging="360"/>
      </w:pPr>
      <w:rPr>
        <w:rFonts w:ascii="Arial" w:hAnsi="Arial" w:cs="Times New Roman" w:hint="default"/>
      </w:rPr>
    </w:lvl>
    <w:lvl w:ilvl="1" w:tplc="9C060722">
      <w:start w:val="1"/>
      <w:numFmt w:val="bullet"/>
      <w:lvlText w:val="•"/>
      <w:lvlJc w:val="left"/>
      <w:pPr>
        <w:tabs>
          <w:tab w:val="num" w:pos="1440"/>
        </w:tabs>
        <w:ind w:left="1440" w:hanging="360"/>
      </w:pPr>
      <w:rPr>
        <w:rFonts w:ascii="Arial" w:hAnsi="Arial" w:cs="Times New Roman" w:hint="default"/>
      </w:rPr>
    </w:lvl>
    <w:lvl w:ilvl="2" w:tplc="E3B40662">
      <w:start w:val="1"/>
      <w:numFmt w:val="bullet"/>
      <w:lvlText w:val="•"/>
      <w:lvlJc w:val="left"/>
      <w:pPr>
        <w:tabs>
          <w:tab w:val="num" w:pos="2160"/>
        </w:tabs>
        <w:ind w:left="2160" w:hanging="360"/>
      </w:pPr>
      <w:rPr>
        <w:rFonts w:ascii="Arial" w:hAnsi="Arial" w:cs="Times New Roman" w:hint="default"/>
      </w:rPr>
    </w:lvl>
    <w:lvl w:ilvl="3" w:tplc="1972A30E">
      <w:start w:val="1"/>
      <w:numFmt w:val="bullet"/>
      <w:lvlText w:val="•"/>
      <w:lvlJc w:val="left"/>
      <w:pPr>
        <w:tabs>
          <w:tab w:val="num" w:pos="2880"/>
        </w:tabs>
        <w:ind w:left="2880" w:hanging="360"/>
      </w:pPr>
      <w:rPr>
        <w:rFonts w:ascii="Arial" w:hAnsi="Arial" w:cs="Times New Roman" w:hint="default"/>
      </w:rPr>
    </w:lvl>
    <w:lvl w:ilvl="4" w:tplc="E6CCD120">
      <w:start w:val="1"/>
      <w:numFmt w:val="bullet"/>
      <w:lvlText w:val="•"/>
      <w:lvlJc w:val="left"/>
      <w:pPr>
        <w:tabs>
          <w:tab w:val="num" w:pos="3600"/>
        </w:tabs>
        <w:ind w:left="3600" w:hanging="360"/>
      </w:pPr>
      <w:rPr>
        <w:rFonts w:ascii="Arial" w:hAnsi="Arial" w:cs="Times New Roman" w:hint="default"/>
      </w:rPr>
    </w:lvl>
    <w:lvl w:ilvl="5" w:tplc="38020B2E">
      <w:start w:val="1"/>
      <w:numFmt w:val="bullet"/>
      <w:lvlText w:val="•"/>
      <w:lvlJc w:val="left"/>
      <w:pPr>
        <w:tabs>
          <w:tab w:val="num" w:pos="4320"/>
        </w:tabs>
        <w:ind w:left="4320" w:hanging="360"/>
      </w:pPr>
      <w:rPr>
        <w:rFonts w:ascii="Arial" w:hAnsi="Arial" w:cs="Times New Roman" w:hint="default"/>
      </w:rPr>
    </w:lvl>
    <w:lvl w:ilvl="6" w:tplc="61DA52A2">
      <w:start w:val="1"/>
      <w:numFmt w:val="bullet"/>
      <w:lvlText w:val="•"/>
      <w:lvlJc w:val="left"/>
      <w:pPr>
        <w:tabs>
          <w:tab w:val="num" w:pos="5040"/>
        </w:tabs>
        <w:ind w:left="5040" w:hanging="360"/>
      </w:pPr>
      <w:rPr>
        <w:rFonts w:ascii="Arial" w:hAnsi="Arial" w:cs="Times New Roman" w:hint="default"/>
      </w:rPr>
    </w:lvl>
    <w:lvl w:ilvl="7" w:tplc="962C99CE">
      <w:start w:val="1"/>
      <w:numFmt w:val="bullet"/>
      <w:lvlText w:val="•"/>
      <w:lvlJc w:val="left"/>
      <w:pPr>
        <w:tabs>
          <w:tab w:val="num" w:pos="5760"/>
        </w:tabs>
        <w:ind w:left="5760" w:hanging="360"/>
      </w:pPr>
      <w:rPr>
        <w:rFonts w:ascii="Arial" w:hAnsi="Arial" w:cs="Times New Roman" w:hint="default"/>
      </w:rPr>
    </w:lvl>
    <w:lvl w:ilvl="8" w:tplc="F8567FC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95E068D"/>
    <w:multiLevelType w:val="hybridMultilevel"/>
    <w:tmpl w:val="E69A634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4" w15:restartNumberingAfterBreak="0">
    <w:nsid w:val="0CA7057B"/>
    <w:multiLevelType w:val="hybridMultilevel"/>
    <w:tmpl w:val="F148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DA76960"/>
    <w:multiLevelType w:val="hybridMultilevel"/>
    <w:tmpl w:val="1130CD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7B313C"/>
    <w:multiLevelType w:val="hybridMultilevel"/>
    <w:tmpl w:val="0B6EBF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17E4815"/>
    <w:multiLevelType w:val="hybridMultilevel"/>
    <w:tmpl w:val="4A90C93A"/>
    <w:lvl w:ilvl="0" w:tplc="08090001">
      <w:start w:val="1"/>
      <w:numFmt w:val="bullet"/>
      <w:lvlText w:val=""/>
      <w:lvlJc w:val="left"/>
      <w:pPr>
        <w:ind w:left="144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6C66323"/>
    <w:multiLevelType w:val="hybridMultilevel"/>
    <w:tmpl w:val="DC04080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9C1A33"/>
    <w:multiLevelType w:val="hybridMultilevel"/>
    <w:tmpl w:val="93B4E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A37E1A"/>
    <w:multiLevelType w:val="hybridMultilevel"/>
    <w:tmpl w:val="E63E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C3900"/>
    <w:multiLevelType w:val="singleLevel"/>
    <w:tmpl w:val="4D288C52"/>
    <w:lvl w:ilvl="0">
      <w:start w:val="1"/>
      <w:numFmt w:val="bullet"/>
      <w:pStyle w:val="Bullet1"/>
      <w:lvlText w:val=""/>
      <w:lvlJc w:val="left"/>
      <w:pPr>
        <w:tabs>
          <w:tab w:val="num" w:pos="360"/>
        </w:tabs>
        <w:ind w:left="360" w:hanging="360"/>
      </w:pPr>
      <w:rPr>
        <w:rFonts w:ascii="Symbol" w:hAnsi="Symbol" w:hint="default"/>
        <w:sz w:val="24"/>
      </w:rPr>
    </w:lvl>
  </w:abstractNum>
  <w:abstractNum w:abstractNumId="12" w15:restartNumberingAfterBreak="0">
    <w:nsid w:val="23FC2604"/>
    <w:multiLevelType w:val="hybridMultilevel"/>
    <w:tmpl w:val="078CC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7A0E31"/>
    <w:multiLevelType w:val="hybridMultilevel"/>
    <w:tmpl w:val="3AB20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4906AAA"/>
    <w:multiLevelType w:val="hybridMultilevel"/>
    <w:tmpl w:val="B9208256"/>
    <w:lvl w:ilvl="0" w:tplc="FFFFFFFF">
      <w:start w:val="1"/>
      <w:numFmt w:val="bullet"/>
      <w:lvlText w:val=""/>
      <w:lvlJc w:val="left"/>
      <w:pPr>
        <w:tabs>
          <w:tab w:val="num" w:pos="360"/>
        </w:tabs>
        <w:ind w:left="360" w:hanging="360"/>
      </w:pPr>
      <w:rPr>
        <w:rFonts w:ascii="Symbol" w:hAnsi="Symbol" w:hint="default"/>
        <w:sz w:val="20"/>
      </w:rPr>
    </w:lvl>
    <w:lvl w:ilvl="1" w:tplc="FFFFFFFF" w:tentative="1">
      <w:start w:val="1"/>
      <w:numFmt w:val="bullet"/>
      <w:lvlText w:val="o"/>
      <w:lvlJc w:val="left"/>
      <w:pPr>
        <w:tabs>
          <w:tab w:val="num" w:pos="1080"/>
        </w:tabs>
        <w:ind w:left="1080" w:hanging="360"/>
      </w:pPr>
      <w:rPr>
        <w:rFonts w:ascii="Courier New" w:hAnsi="Courier New" w:hint="default"/>
        <w:sz w:val="20"/>
      </w:rPr>
    </w:lvl>
    <w:lvl w:ilvl="2" w:tplc="FFFFFFFF" w:tentative="1">
      <w:start w:val="1"/>
      <w:numFmt w:val="bullet"/>
      <w:lvlText w:val=""/>
      <w:lvlJc w:val="left"/>
      <w:pPr>
        <w:tabs>
          <w:tab w:val="num" w:pos="1800"/>
        </w:tabs>
        <w:ind w:left="1800" w:hanging="360"/>
      </w:pPr>
      <w:rPr>
        <w:rFonts w:ascii="Wingdings" w:hAnsi="Wingdings" w:hint="default"/>
        <w:sz w:val="20"/>
      </w:rPr>
    </w:lvl>
    <w:lvl w:ilvl="3" w:tplc="FFFFFFFF" w:tentative="1">
      <w:start w:val="1"/>
      <w:numFmt w:val="bullet"/>
      <w:lvlText w:val=""/>
      <w:lvlJc w:val="left"/>
      <w:pPr>
        <w:tabs>
          <w:tab w:val="num" w:pos="2520"/>
        </w:tabs>
        <w:ind w:left="2520" w:hanging="360"/>
      </w:pPr>
      <w:rPr>
        <w:rFonts w:ascii="Wingdings" w:hAnsi="Wingdings" w:hint="default"/>
        <w:sz w:val="20"/>
      </w:rPr>
    </w:lvl>
    <w:lvl w:ilvl="4" w:tplc="FFFFFFFF" w:tentative="1">
      <w:start w:val="1"/>
      <w:numFmt w:val="bullet"/>
      <w:lvlText w:val=""/>
      <w:lvlJc w:val="left"/>
      <w:pPr>
        <w:tabs>
          <w:tab w:val="num" w:pos="3240"/>
        </w:tabs>
        <w:ind w:left="3240" w:hanging="360"/>
      </w:pPr>
      <w:rPr>
        <w:rFonts w:ascii="Wingdings" w:hAnsi="Wingdings" w:hint="default"/>
        <w:sz w:val="20"/>
      </w:rPr>
    </w:lvl>
    <w:lvl w:ilvl="5" w:tplc="FFFFFFFF" w:tentative="1">
      <w:start w:val="1"/>
      <w:numFmt w:val="bullet"/>
      <w:lvlText w:val=""/>
      <w:lvlJc w:val="left"/>
      <w:pPr>
        <w:tabs>
          <w:tab w:val="num" w:pos="3960"/>
        </w:tabs>
        <w:ind w:left="3960" w:hanging="360"/>
      </w:pPr>
      <w:rPr>
        <w:rFonts w:ascii="Wingdings" w:hAnsi="Wingdings" w:hint="default"/>
        <w:sz w:val="20"/>
      </w:rPr>
    </w:lvl>
    <w:lvl w:ilvl="6" w:tplc="FFFFFFFF" w:tentative="1">
      <w:start w:val="1"/>
      <w:numFmt w:val="bullet"/>
      <w:lvlText w:val=""/>
      <w:lvlJc w:val="left"/>
      <w:pPr>
        <w:tabs>
          <w:tab w:val="num" w:pos="4680"/>
        </w:tabs>
        <w:ind w:left="4680" w:hanging="360"/>
      </w:pPr>
      <w:rPr>
        <w:rFonts w:ascii="Wingdings" w:hAnsi="Wingdings" w:hint="default"/>
        <w:sz w:val="20"/>
      </w:rPr>
    </w:lvl>
    <w:lvl w:ilvl="7" w:tplc="FFFFFFFF" w:tentative="1">
      <w:start w:val="1"/>
      <w:numFmt w:val="bullet"/>
      <w:lvlText w:val=""/>
      <w:lvlJc w:val="left"/>
      <w:pPr>
        <w:tabs>
          <w:tab w:val="num" w:pos="5400"/>
        </w:tabs>
        <w:ind w:left="5400" w:hanging="360"/>
      </w:pPr>
      <w:rPr>
        <w:rFonts w:ascii="Wingdings" w:hAnsi="Wingdings" w:hint="default"/>
        <w:sz w:val="20"/>
      </w:rPr>
    </w:lvl>
    <w:lvl w:ilvl="8" w:tplc="FFFFFFFF"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60D6994"/>
    <w:multiLevelType w:val="hybridMultilevel"/>
    <w:tmpl w:val="860CE2A6"/>
    <w:lvl w:ilvl="0" w:tplc="C1A20130">
      <w:start w:val="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7" w15:restartNumberingAfterBreak="0">
    <w:nsid w:val="26F36DB7"/>
    <w:multiLevelType w:val="hybridMultilevel"/>
    <w:tmpl w:val="898EB34A"/>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b w:val="0"/>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275522F5"/>
    <w:multiLevelType w:val="hybridMultilevel"/>
    <w:tmpl w:val="B1C2E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29F850B7"/>
    <w:multiLevelType w:val="hybridMultilevel"/>
    <w:tmpl w:val="E77E494A"/>
    <w:lvl w:ilvl="0" w:tplc="C1A20130">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2D4C23"/>
    <w:multiLevelType w:val="hybridMultilevel"/>
    <w:tmpl w:val="2A8A5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F04565D"/>
    <w:multiLevelType w:val="hybridMultilevel"/>
    <w:tmpl w:val="E8CA50C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2" w15:restartNumberingAfterBreak="0">
    <w:nsid w:val="2FCF623D"/>
    <w:multiLevelType w:val="hybridMultilevel"/>
    <w:tmpl w:val="EE886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35209CE"/>
    <w:multiLevelType w:val="hybridMultilevel"/>
    <w:tmpl w:val="96B05D34"/>
    <w:lvl w:ilvl="0" w:tplc="1E30861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C787547"/>
    <w:multiLevelType w:val="hybridMultilevel"/>
    <w:tmpl w:val="029C676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5" w15:restartNumberingAfterBreak="0">
    <w:nsid w:val="3D2F7E91"/>
    <w:multiLevelType w:val="hybridMultilevel"/>
    <w:tmpl w:val="BC0A64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D424656"/>
    <w:multiLevelType w:val="hybridMultilevel"/>
    <w:tmpl w:val="E440257A"/>
    <w:lvl w:ilvl="0" w:tplc="C1A20130">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E64F7E"/>
    <w:multiLevelType w:val="hybridMultilevel"/>
    <w:tmpl w:val="AA3AF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B83B81"/>
    <w:multiLevelType w:val="hybridMultilevel"/>
    <w:tmpl w:val="2B7A4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4A666D2"/>
    <w:multiLevelType w:val="hybridMultilevel"/>
    <w:tmpl w:val="849CD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DCC5DC9"/>
    <w:multiLevelType w:val="hybridMultilevel"/>
    <w:tmpl w:val="57C80B3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F3F5C91"/>
    <w:multiLevelType w:val="hybridMultilevel"/>
    <w:tmpl w:val="D9A2BB68"/>
    <w:lvl w:ilvl="0" w:tplc="FFFFFFFF">
      <w:start w:val="1"/>
      <w:numFmt w:val="bullet"/>
      <w:pStyle w:val="ListBullet"/>
      <w:lvlText w:val=""/>
      <w:lvlJc w:val="left"/>
      <w:pPr>
        <w:tabs>
          <w:tab w:val="num" w:pos="643"/>
        </w:tabs>
        <w:ind w:left="567" w:hanging="284"/>
      </w:pPr>
      <w:rPr>
        <w:rFonts w:ascii="Symbol" w:hAnsi="Symbol" w:hint="default"/>
      </w:rPr>
    </w:lvl>
    <w:lvl w:ilvl="1" w:tplc="FFFFFFFF">
      <w:start w:val="1"/>
      <w:numFmt w:val="bullet"/>
      <w:lvlText w:val="o"/>
      <w:lvlJc w:val="left"/>
      <w:pPr>
        <w:tabs>
          <w:tab w:val="num" w:pos="1156"/>
        </w:tabs>
        <w:ind w:left="1156" w:hanging="360"/>
      </w:pPr>
      <w:rPr>
        <w:rFonts w:ascii="Courier New" w:hAnsi="Courier New" w:hint="default"/>
      </w:rPr>
    </w:lvl>
    <w:lvl w:ilvl="2" w:tplc="FFFFFFFF" w:tentative="1">
      <w:start w:val="1"/>
      <w:numFmt w:val="bullet"/>
      <w:lvlText w:val=""/>
      <w:lvlJc w:val="left"/>
      <w:pPr>
        <w:tabs>
          <w:tab w:val="num" w:pos="1876"/>
        </w:tabs>
        <w:ind w:left="1876" w:hanging="360"/>
      </w:pPr>
      <w:rPr>
        <w:rFonts w:ascii="Wingdings" w:hAnsi="Wingdings" w:hint="default"/>
      </w:rPr>
    </w:lvl>
    <w:lvl w:ilvl="3" w:tplc="FFFFFFFF" w:tentative="1">
      <w:start w:val="1"/>
      <w:numFmt w:val="bullet"/>
      <w:lvlText w:val=""/>
      <w:lvlJc w:val="left"/>
      <w:pPr>
        <w:tabs>
          <w:tab w:val="num" w:pos="2596"/>
        </w:tabs>
        <w:ind w:left="2596" w:hanging="360"/>
      </w:pPr>
      <w:rPr>
        <w:rFonts w:ascii="Symbol" w:hAnsi="Symbol" w:hint="default"/>
      </w:rPr>
    </w:lvl>
    <w:lvl w:ilvl="4" w:tplc="FFFFFFFF" w:tentative="1">
      <w:start w:val="1"/>
      <w:numFmt w:val="bullet"/>
      <w:lvlText w:val="o"/>
      <w:lvlJc w:val="left"/>
      <w:pPr>
        <w:tabs>
          <w:tab w:val="num" w:pos="3316"/>
        </w:tabs>
        <w:ind w:left="3316" w:hanging="360"/>
      </w:pPr>
      <w:rPr>
        <w:rFonts w:ascii="Courier New" w:hAnsi="Courier New" w:hint="default"/>
      </w:rPr>
    </w:lvl>
    <w:lvl w:ilvl="5" w:tplc="FFFFFFFF" w:tentative="1">
      <w:start w:val="1"/>
      <w:numFmt w:val="bullet"/>
      <w:lvlText w:val=""/>
      <w:lvlJc w:val="left"/>
      <w:pPr>
        <w:tabs>
          <w:tab w:val="num" w:pos="4036"/>
        </w:tabs>
        <w:ind w:left="4036" w:hanging="360"/>
      </w:pPr>
      <w:rPr>
        <w:rFonts w:ascii="Wingdings" w:hAnsi="Wingdings" w:hint="default"/>
      </w:rPr>
    </w:lvl>
    <w:lvl w:ilvl="6" w:tplc="FFFFFFFF" w:tentative="1">
      <w:start w:val="1"/>
      <w:numFmt w:val="bullet"/>
      <w:lvlText w:val=""/>
      <w:lvlJc w:val="left"/>
      <w:pPr>
        <w:tabs>
          <w:tab w:val="num" w:pos="4756"/>
        </w:tabs>
        <w:ind w:left="4756" w:hanging="360"/>
      </w:pPr>
      <w:rPr>
        <w:rFonts w:ascii="Symbol" w:hAnsi="Symbol" w:hint="default"/>
      </w:rPr>
    </w:lvl>
    <w:lvl w:ilvl="7" w:tplc="FFFFFFFF" w:tentative="1">
      <w:start w:val="1"/>
      <w:numFmt w:val="bullet"/>
      <w:lvlText w:val="o"/>
      <w:lvlJc w:val="left"/>
      <w:pPr>
        <w:tabs>
          <w:tab w:val="num" w:pos="5476"/>
        </w:tabs>
        <w:ind w:left="5476" w:hanging="360"/>
      </w:pPr>
      <w:rPr>
        <w:rFonts w:ascii="Courier New" w:hAnsi="Courier New" w:hint="default"/>
      </w:rPr>
    </w:lvl>
    <w:lvl w:ilvl="8" w:tplc="FFFFFFFF" w:tentative="1">
      <w:start w:val="1"/>
      <w:numFmt w:val="bullet"/>
      <w:lvlText w:val=""/>
      <w:lvlJc w:val="left"/>
      <w:pPr>
        <w:tabs>
          <w:tab w:val="num" w:pos="6196"/>
        </w:tabs>
        <w:ind w:left="6196" w:hanging="360"/>
      </w:pPr>
      <w:rPr>
        <w:rFonts w:ascii="Wingdings" w:hAnsi="Wingdings" w:hint="default"/>
      </w:rPr>
    </w:lvl>
  </w:abstractNum>
  <w:abstractNum w:abstractNumId="32" w15:restartNumberingAfterBreak="0">
    <w:nsid w:val="4FE835CB"/>
    <w:multiLevelType w:val="hybridMultilevel"/>
    <w:tmpl w:val="EDDA5CA4"/>
    <w:lvl w:ilvl="0" w:tplc="708627B6">
      <w:start w:val="1"/>
      <w:numFmt w:val="bullet"/>
      <w:lvlText w:val=""/>
      <w:lvlJc w:val="left"/>
      <w:pPr>
        <w:ind w:left="720" w:hanging="360"/>
      </w:pPr>
      <w:rPr>
        <w:rFonts w:ascii="Symbol" w:hAnsi="Symbol" w:hint="default"/>
      </w:rPr>
    </w:lvl>
    <w:lvl w:ilvl="1" w:tplc="C65087E8">
      <w:start w:val="1"/>
      <w:numFmt w:val="bullet"/>
      <w:lvlText w:val="o"/>
      <w:lvlJc w:val="left"/>
      <w:pPr>
        <w:ind w:left="1440" w:hanging="360"/>
      </w:pPr>
      <w:rPr>
        <w:rFonts w:ascii="Courier New" w:hAnsi="Courier New" w:hint="default"/>
      </w:rPr>
    </w:lvl>
    <w:lvl w:ilvl="2" w:tplc="32AAF8E8">
      <w:start w:val="1"/>
      <w:numFmt w:val="bullet"/>
      <w:lvlText w:val=""/>
      <w:lvlJc w:val="left"/>
      <w:pPr>
        <w:ind w:left="2160" w:hanging="360"/>
      </w:pPr>
      <w:rPr>
        <w:rFonts w:ascii="Wingdings" w:hAnsi="Wingdings" w:hint="default"/>
      </w:rPr>
    </w:lvl>
    <w:lvl w:ilvl="3" w:tplc="88F22C12">
      <w:start w:val="1"/>
      <w:numFmt w:val="bullet"/>
      <w:lvlText w:val=""/>
      <w:lvlJc w:val="left"/>
      <w:pPr>
        <w:ind w:left="2880" w:hanging="360"/>
      </w:pPr>
      <w:rPr>
        <w:rFonts w:ascii="Symbol" w:hAnsi="Symbol" w:hint="default"/>
      </w:rPr>
    </w:lvl>
    <w:lvl w:ilvl="4" w:tplc="0A68AB88">
      <w:start w:val="1"/>
      <w:numFmt w:val="bullet"/>
      <w:lvlText w:val="o"/>
      <w:lvlJc w:val="left"/>
      <w:pPr>
        <w:ind w:left="3600" w:hanging="360"/>
      </w:pPr>
      <w:rPr>
        <w:rFonts w:ascii="Courier New" w:hAnsi="Courier New" w:hint="default"/>
      </w:rPr>
    </w:lvl>
    <w:lvl w:ilvl="5" w:tplc="0DF0FE9A">
      <w:start w:val="1"/>
      <w:numFmt w:val="bullet"/>
      <w:lvlText w:val=""/>
      <w:lvlJc w:val="left"/>
      <w:pPr>
        <w:ind w:left="4320" w:hanging="360"/>
      </w:pPr>
      <w:rPr>
        <w:rFonts w:ascii="Wingdings" w:hAnsi="Wingdings" w:hint="default"/>
      </w:rPr>
    </w:lvl>
    <w:lvl w:ilvl="6" w:tplc="090C882A">
      <w:start w:val="1"/>
      <w:numFmt w:val="bullet"/>
      <w:lvlText w:val=""/>
      <w:lvlJc w:val="left"/>
      <w:pPr>
        <w:ind w:left="5040" w:hanging="360"/>
      </w:pPr>
      <w:rPr>
        <w:rFonts w:ascii="Symbol" w:hAnsi="Symbol" w:hint="default"/>
      </w:rPr>
    </w:lvl>
    <w:lvl w:ilvl="7" w:tplc="2806CB66">
      <w:start w:val="1"/>
      <w:numFmt w:val="bullet"/>
      <w:lvlText w:val="o"/>
      <w:lvlJc w:val="left"/>
      <w:pPr>
        <w:ind w:left="5760" w:hanging="360"/>
      </w:pPr>
      <w:rPr>
        <w:rFonts w:ascii="Courier New" w:hAnsi="Courier New" w:hint="default"/>
      </w:rPr>
    </w:lvl>
    <w:lvl w:ilvl="8" w:tplc="9654AFF0">
      <w:start w:val="1"/>
      <w:numFmt w:val="bullet"/>
      <w:lvlText w:val=""/>
      <w:lvlJc w:val="left"/>
      <w:pPr>
        <w:ind w:left="6480" w:hanging="360"/>
      </w:pPr>
      <w:rPr>
        <w:rFonts w:ascii="Wingdings" w:hAnsi="Wingdings" w:hint="default"/>
      </w:rPr>
    </w:lvl>
  </w:abstractNum>
  <w:abstractNum w:abstractNumId="33" w15:restartNumberingAfterBreak="0">
    <w:nsid w:val="51A43984"/>
    <w:multiLevelType w:val="hybridMultilevel"/>
    <w:tmpl w:val="66CE692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4" w15:restartNumberingAfterBreak="0">
    <w:nsid w:val="526B238D"/>
    <w:multiLevelType w:val="hybridMultilevel"/>
    <w:tmpl w:val="AED48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7E076F"/>
    <w:multiLevelType w:val="hybridMultilevel"/>
    <w:tmpl w:val="BCBE7310"/>
    <w:lvl w:ilvl="0" w:tplc="C1A20130">
      <w:start w:val="1"/>
      <w:numFmt w:val="bullet"/>
      <w:lvlText w:val="-"/>
      <w:lvlJc w:val="left"/>
      <w:pPr>
        <w:ind w:left="3600" w:hanging="360"/>
      </w:pPr>
      <w:rPr>
        <w:rFonts w:ascii="Arial" w:eastAsia="Calibri" w:hAnsi="Arial" w:cs="Aria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6" w15:restartNumberingAfterBreak="0">
    <w:nsid w:val="5E3B4909"/>
    <w:multiLevelType w:val="hybridMultilevel"/>
    <w:tmpl w:val="15585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EA6FF5"/>
    <w:multiLevelType w:val="hybridMultilevel"/>
    <w:tmpl w:val="D8666BAC"/>
    <w:lvl w:ilvl="0" w:tplc="672EE3AC">
      <w:start w:val="1"/>
      <w:numFmt w:val="bullet"/>
      <w:lvlText w:val=""/>
      <w:lvlJc w:val="left"/>
      <w:pPr>
        <w:tabs>
          <w:tab w:val="num" w:pos="1080"/>
        </w:tabs>
        <w:ind w:left="1080" w:hanging="360"/>
      </w:pPr>
      <w:rPr>
        <w:rFonts w:ascii="Symbol" w:hAnsi="Symbol" w:hint="default"/>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187488A"/>
    <w:multiLevelType w:val="hybridMultilevel"/>
    <w:tmpl w:val="11124D5A"/>
    <w:lvl w:ilvl="0" w:tplc="08090001">
      <w:start w:val="1"/>
      <w:numFmt w:val="bullet"/>
      <w:lvlText w:val=""/>
      <w:lvlJc w:val="left"/>
      <w:pPr>
        <w:ind w:left="1080" w:hanging="360"/>
      </w:pPr>
      <w:rPr>
        <w:rFonts w:ascii="Symbol" w:hAnsi="Symbol" w:hint="default"/>
      </w:rPr>
    </w:lvl>
    <w:lvl w:ilvl="1" w:tplc="CFC6903A">
      <w:numFmt w:val="bullet"/>
      <w:lvlText w:val="-"/>
      <w:lvlJc w:val="left"/>
      <w:pPr>
        <w:ind w:left="1800" w:hanging="360"/>
      </w:pPr>
      <w:rPr>
        <w:rFonts w:ascii="Arial" w:eastAsia="SimSun"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2E83AD7"/>
    <w:multiLevelType w:val="hybridMultilevel"/>
    <w:tmpl w:val="32AAF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3AE4D36"/>
    <w:multiLevelType w:val="hybridMultilevel"/>
    <w:tmpl w:val="D368F5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3B429FE"/>
    <w:multiLevelType w:val="hybridMultilevel"/>
    <w:tmpl w:val="5CFEEB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648D5326"/>
    <w:multiLevelType w:val="hybridMultilevel"/>
    <w:tmpl w:val="2CC6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71428C2"/>
    <w:multiLevelType w:val="hybridMultilevel"/>
    <w:tmpl w:val="B6B843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68472DA9"/>
    <w:multiLevelType w:val="multilevel"/>
    <w:tmpl w:val="EC9017F8"/>
    <w:lvl w:ilvl="0">
      <w:start w:val="1"/>
      <w:numFmt w:val="decimal"/>
      <w:lvlText w:val="%1."/>
      <w:lvlJc w:val="left"/>
      <w:pPr>
        <w:ind w:left="720" w:hanging="360"/>
      </w:pPr>
      <w:rPr>
        <w:rFonts w:hint="default"/>
      </w:rPr>
    </w:lvl>
    <w:lvl w:ilvl="1">
      <w:start w:val="1"/>
      <w:numFmt w:val="decimal"/>
      <w:lvlText w:val="%1.%2"/>
      <w:lvlJc w:val="left"/>
      <w:pPr>
        <w:ind w:left="405" w:hanging="405"/>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45" w15:restartNumberingAfterBreak="0">
    <w:nsid w:val="6A952A0B"/>
    <w:multiLevelType w:val="hybridMultilevel"/>
    <w:tmpl w:val="45DA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B017A2"/>
    <w:multiLevelType w:val="hybridMultilevel"/>
    <w:tmpl w:val="C2F83F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6970B0"/>
    <w:multiLevelType w:val="hybridMultilevel"/>
    <w:tmpl w:val="2460E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47B5CF2"/>
    <w:multiLevelType w:val="hybridMultilevel"/>
    <w:tmpl w:val="D09EE9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AE1952"/>
    <w:multiLevelType w:val="hybridMultilevel"/>
    <w:tmpl w:val="3EFEE65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50" w15:restartNumberingAfterBreak="0">
    <w:nsid w:val="7571475E"/>
    <w:multiLevelType w:val="hybridMultilevel"/>
    <w:tmpl w:val="6A2C8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1" w15:restartNumberingAfterBreak="0">
    <w:nsid w:val="7A09000A"/>
    <w:multiLevelType w:val="hybridMultilevel"/>
    <w:tmpl w:val="3F5402A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52" w15:restartNumberingAfterBreak="0">
    <w:nsid w:val="7BDF76CB"/>
    <w:multiLevelType w:val="hybridMultilevel"/>
    <w:tmpl w:val="4C863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281BFE"/>
    <w:multiLevelType w:val="hybridMultilevel"/>
    <w:tmpl w:val="5EDA6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44"/>
  </w:num>
  <w:num w:numId="4">
    <w:abstractNumId w:val="26"/>
  </w:num>
  <w:num w:numId="5">
    <w:abstractNumId w:val="12"/>
  </w:num>
  <w:num w:numId="6">
    <w:abstractNumId w:val="0"/>
  </w:num>
  <w:num w:numId="7">
    <w:abstractNumId w:val="5"/>
  </w:num>
  <w:num w:numId="8">
    <w:abstractNumId w:val="24"/>
  </w:num>
  <w:num w:numId="9">
    <w:abstractNumId w:val="20"/>
  </w:num>
  <w:num w:numId="10">
    <w:abstractNumId w:val="9"/>
  </w:num>
  <w:num w:numId="11">
    <w:abstractNumId w:val="22"/>
  </w:num>
  <w:num w:numId="12">
    <w:abstractNumId w:val="3"/>
  </w:num>
  <w:num w:numId="13">
    <w:abstractNumId w:val="21"/>
  </w:num>
  <w:num w:numId="14">
    <w:abstractNumId w:val="49"/>
  </w:num>
  <w:num w:numId="15">
    <w:abstractNumId w:val="19"/>
  </w:num>
  <w:num w:numId="16">
    <w:abstractNumId w:val="35"/>
  </w:num>
  <w:num w:numId="17">
    <w:abstractNumId w:val="1"/>
  </w:num>
  <w:num w:numId="18">
    <w:abstractNumId w:val="51"/>
  </w:num>
  <w:num w:numId="19">
    <w:abstractNumId w:val="42"/>
  </w:num>
  <w:num w:numId="20">
    <w:abstractNumId w:val="8"/>
  </w:num>
  <w:num w:numId="21">
    <w:abstractNumId w:val="30"/>
  </w:num>
  <w:num w:numId="22">
    <w:abstractNumId w:val="10"/>
  </w:num>
  <w:num w:numId="23">
    <w:abstractNumId w:val="46"/>
  </w:num>
  <w:num w:numId="24">
    <w:abstractNumId w:val="15"/>
  </w:num>
  <w:num w:numId="25">
    <w:abstractNumId w:val="33"/>
  </w:num>
  <w:num w:numId="26">
    <w:abstractNumId w:val="45"/>
  </w:num>
  <w:num w:numId="27">
    <w:abstractNumId w:val="31"/>
  </w:num>
  <w:num w:numId="28">
    <w:abstractNumId w:val="14"/>
  </w:num>
  <w:num w:numId="29">
    <w:abstractNumId w:val="6"/>
  </w:num>
  <w:num w:numId="30">
    <w:abstractNumId w:val="16"/>
  </w:num>
  <w:num w:numId="31">
    <w:abstractNumId w:val="38"/>
  </w:num>
  <w:num w:numId="32">
    <w:abstractNumId w:val="39"/>
  </w:num>
  <w:num w:numId="33">
    <w:abstractNumId w:val="47"/>
  </w:num>
  <w:num w:numId="34">
    <w:abstractNumId w:val="53"/>
  </w:num>
  <w:num w:numId="35">
    <w:abstractNumId w:val="36"/>
  </w:num>
  <w:num w:numId="36">
    <w:abstractNumId w:val="34"/>
  </w:num>
  <w:num w:numId="37">
    <w:abstractNumId w:val="52"/>
  </w:num>
  <w:num w:numId="38">
    <w:abstractNumId w:val="11"/>
  </w:num>
  <w:num w:numId="39">
    <w:abstractNumId w:val="37"/>
  </w:num>
  <w:num w:numId="40">
    <w:abstractNumId w:val="48"/>
  </w:num>
  <w:num w:numId="41">
    <w:abstractNumId w:val="17"/>
  </w:num>
  <w:num w:numId="42">
    <w:abstractNumId w:val="17"/>
  </w:num>
  <w:num w:numId="43">
    <w:abstractNumId w:val="7"/>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num>
  <w:num w:numId="46">
    <w:abstractNumId w:val="50"/>
  </w:num>
  <w:num w:numId="47">
    <w:abstractNumId w:val="18"/>
  </w:num>
  <w:num w:numId="48">
    <w:abstractNumId w:val="28"/>
  </w:num>
  <w:num w:numId="49">
    <w:abstractNumId w:val="40"/>
  </w:num>
  <w:num w:numId="50">
    <w:abstractNumId w:val="4"/>
  </w:num>
  <w:num w:numId="51">
    <w:abstractNumId w:val="25"/>
  </w:num>
  <w:num w:numId="52">
    <w:abstractNumId w:val="13"/>
  </w:num>
  <w:num w:numId="53">
    <w:abstractNumId w:val="41"/>
  </w:num>
  <w:num w:numId="54">
    <w:abstractNumId w:val="2"/>
  </w:num>
  <w:num w:numId="55">
    <w:abstractNumId w:val="2"/>
  </w:num>
  <w:num w:numId="56">
    <w:abstractNumId w:val="2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BS_DocClass" w:val="CON"/>
    <w:docVar w:name="BS_DocClassDescr" w:val="Confidential"/>
  </w:docVars>
  <w:rsids>
    <w:rsidRoot w:val="00727110"/>
    <w:rsid w:val="00011741"/>
    <w:rsid w:val="00012D77"/>
    <w:rsid w:val="00013115"/>
    <w:rsid w:val="00013C0C"/>
    <w:rsid w:val="0001675C"/>
    <w:rsid w:val="00032A92"/>
    <w:rsid w:val="00033F65"/>
    <w:rsid w:val="00037BEA"/>
    <w:rsid w:val="0004056D"/>
    <w:rsid w:val="000417AC"/>
    <w:rsid w:val="00043829"/>
    <w:rsid w:val="000535BD"/>
    <w:rsid w:val="00061815"/>
    <w:rsid w:val="000A4582"/>
    <w:rsid w:val="000B0F32"/>
    <w:rsid w:val="000C1332"/>
    <w:rsid w:val="000C4E06"/>
    <w:rsid w:val="000C57C1"/>
    <w:rsid w:val="000F2A51"/>
    <w:rsid w:val="000F33EB"/>
    <w:rsid w:val="000F50CF"/>
    <w:rsid w:val="000F6151"/>
    <w:rsid w:val="00105836"/>
    <w:rsid w:val="00123FAF"/>
    <w:rsid w:val="0014596E"/>
    <w:rsid w:val="00160EBF"/>
    <w:rsid w:val="00166FCB"/>
    <w:rsid w:val="001700E9"/>
    <w:rsid w:val="00172844"/>
    <w:rsid w:val="00174B01"/>
    <w:rsid w:val="00182860"/>
    <w:rsid w:val="00184653"/>
    <w:rsid w:val="00190D10"/>
    <w:rsid w:val="00197E06"/>
    <w:rsid w:val="001A4902"/>
    <w:rsid w:val="001A58EA"/>
    <w:rsid w:val="001A76E9"/>
    <w:rsid w:val="001B0B21"/>
    <w:rsid w:val="001B1402"/>
    <w:rsid w:val="001B2FDC"/>
    <w:rsid w:val="001C0EDB"/>
    <w:rsid w:val="001C33EF"/>
    <w:rsid w:val="001F5EDE"/>
    <w:rsid w:val="00203B38"/>
    <w:rsid w:val="002208A9"/>
    <w:rsid w:val="00232C68"/>
    <w:rsid w:val="00240367"/>
    <w:rsid w:val="002439F8"/>
    <w:rsid w:val="0024643B"/>
    <w:rsid w:val="00256E48"/>
    <w:rsid w:val="002611F9"/>
    <w:rsid w:val="00266383"/>
    <w:rsid w:val="00286E12"/>
    <w:rsid w:val="002A5FC3"/>
    <w:rsid w:val="002D0A64"/>
    <w:rsid w:val="002D2127"/>
    <w:rsid w:val="002D260D"/>
    <w:rsid w:val="002E7A5F"/>
    <w:rsid w:val="002F2C0A"/>
    <w:rsid w:val="002F4258"/>
    <w:rsid w:val="0031250C"/>
    <w:rsid w:val="00314033"/>
    <w:rsid w:val="00320688"/>
    <w:rsid w:val="00331FBE"/>
    <w:rsid w:val="0034693C"/>
    <w:rsid w:val="00352B79"/>
    <w:rsid w:val="003620D4"/>
    <w:rsid w:val="003643D7"/>
    <w:rsid w:val="00366D1D"/>
    <w:rsid w:val="00371BD2"/>
    <w:rsid w:val="00372B57"/>
    <w:rsid w:val="003746B7"/>
    <w:rsid w:val="00376964"/>
    <w:rsid w:val="00383172"/>
    <w:rsid w:val="00387065"/>
    <w:rsid w:val="003929AF"/>
    <w:rsid w:val="00392F6D"/>
    <w:rsid w:val="00393D12"/>
    <w:rsid w:val="003A3D0E"/>
    <w:rsid w:val="003C49A3"/>
    <w:rsid w:val="003C5E03"/>
    <w:rsid w:val="003D63B0"/>
    <w:rsid w:val="003E68CA"/>
    <w:rsid w:val="003F1A65"/>
    <w:rsid w:val="003F32B5"/>
    <w:rsid w:val="003F33F4"/>
    <w:rsid w:val="0040571B"/>
    <w:rsid w:val="0042306C"/>
    <w:rsid w:val="004259A7"/>
    <w:rsid w:val="00426145"/>
    <w:rsid w:val="00432AC7"/>
    <w:rsid w:val="00434017"/>
    <w:rsid w:val="0043491D"/>
    <w:rsid w:val="0044696A"/>
    <w:rsid w:val="00454132"/>
    <w:rsid w:val="00454B61"/>
    <w:rsid w:val="004557F7"/>
    <w:rsid w:val="00465B32"/>
    <w:rsid w:val="00470DED"/>
    <w:rsid w:val="00471638"/>
    <w:rsid w:val="004752CD"/>
    <w:rsid w:val="00480C8F"/>
    <w:rsid w:val="004926FB"/>
    <w:rsid w:val="00496579"/>
    <w:rsid w:val="004966C2"/>
    <w:rsid w:val="004A0146"/>
    <w:rsid w:val="004A2682"/>
    <w:rsid w:val="004D0693"/>
    <w:rsid w:val="004D248F"/>
    <w:rsid w:val="004D446E"/>
    <w:rsid w:val="004D7113"/>
    <w:rsid w:val="004D7412"/>
    <w:rsid w:val="004E19F0"/>
    <w:rsid w:val="004F7E99"/>
    <w:rsid w:val="005019A3"/>
    <w:rsid w:val="00503541"/>
    <w:rsid w:val="005106CA"/>
    <w:rsid w:val="00515861"/>
    <w:rsid w:val="0052300F"/>
    <w:rsid w:val="00525B5D"/>
    <w:rsid w:val="0053052D"/>
    <w:rsid w:val="00543741"/>
    <w:rsid w:val="00546480"/>
    <w:rsid w:val="00562FA0"/>
    <w:rsid w:val="0056359C"/>
    <w:rsid w:val="005679B6"/>
    <w:rsid w:val="00577A55"/>
    <w:rsid w:val="00587DD1"/>
    <w:rsid w:val="005A3F7E"/>
    <w:rsid w:val="005C7E22"/>
    <w:rsid w:val="005E5AFF"/>
    <w:rsid w:val="005F0EC0"/>
    <w:rsid w:val="005F49A7"/>
    <w:rsid w:val="00603F53"/>
    <w:rsid w:val="00604B4E"/>
    <w:rsid w:val="006106C6"/>
    <w:rsid w:val="00620B86"/>
    <w:rsid w:val="00636C8C"/>
    <w:rsid w:val="00645310"/>
    <w:rsid w:val="00662948"/>
    <w:rsid w:val="006724D9"/>
    <w:rsid w:val="0067358A"/>
    <w:rsid w:val="00685F4E"/>
    <w:rsid w:val="00696C8B"/>
    <w:rsid w:val="00697A02"/>
    <w:rsid w:val="006A01FF"/>
    <w:rsid w:val="006B7381"/>
    <w:rsid w:val="006C149C"/>
    <w:rsid w:val="006D2F7C"/>
    <w:rsid w:val="006D3CCD"/>
    <w:rsid w:val="006E1607"/>
    <w:rsid w:val="006F61A1"/>
    <w:rsid w:val="007073C8"/>
    <w:rsid w:val="007203BA"/>
    <w:rsid w:val="00727110"/>
    <w:rsid w:val="00740212"/>
    <w:rsid w:val="007410AE"/>
    <w:rsid w:val="007440DF"/>
    <w:rsid w:val="00757E58"/>
    <w:rsid w:val="0077382D"/>
    <w:rsid w:val="00784537"/>
    <w:rsid w:val="00794826"/>
    <w:rsid w:val="007A0B52"/>
    <w:rsid w:val="007B07CD"/>
    <w:rsid w:val="007B2FEA"/>
    <w:rsid w:val="007B61CD"/>
    <w:rsid w:val="007C0837"/>
    <w:rsid w:val="007C27C4"/>
    <w:rsid w:val="007C60AF"/>
    <w:rsid w:val="007F3AAE"/>
    <w:rsid w:val="00802879"/>
    <w:rsid w:val="00803D06"/>
    <w:rsid w:val="0082387C"/>
    <w:rsid w:val="00825CE1"/>
    <w:rsid w:val="00826613"/>
    <w:rsid w:val="00854CF4"/>
    <w:rsid w:val="008868DA"/>
    <w:rsid w:val="00892E0E"/>
    <w:rsid w:val="008F26E9"/>
    <w:rsid w:val="00903077"/>
    <w:rsid w:val="009210E6"/>
    <w:rsid w:val="009463FB"/>
    <w:rsid w:val="0094760E"/>
    <w:rsid w:val="00955B98"/>
    <w:rsid w:val="00960555"/>
    <w:rsid w:val="00965DF8"/>
    <w:rsid w:val="00966229"/>
    <w:rsid w:val="00970F56"/>
    <w:rsid w:val="00972EC7"/>
    <w:rsid w:val="00974AC2"/>
    <w:rsid w:val="009B0236"/>
    <w:rsid w:val="009B5753"/>
    <w:rsid w:val="009C00BE"/>
    <w:rsid w:val="009C4D04"/>
    <w:rsid w:val="009D4D69"/>
    <w:rsid w:val="009F20BC"/>
    <w:rsid w:val="009F24EB"/>
    <w:rsid w:val="009F6BBD"/>
    <w:rsid w:val="00A052EF"/>
    <w:rsid w:val="00A35776"/>
    <w:rsid w:val="00A36EFA"/>
    <w:rsid w:val="00A37B5B"/>
    <w:rsid w:val="00A461CD"/>
    <w:rsid w:val="00A66413"/>
    <w:rsid w:val="00A7100D"/>
    <w:rsid w:val="00A84A61"/>
    <w:rsid w:val="00A86F3E"/>
    <w:rsid w:val="00A94FA5"/>
    <w:rsid w:val="00AA7004"/>
    <w:rsid w:val="00AB2E6E"/>
    <w:rsid w:val="00AB7F9C"/>
    <w:rsid w:val="00AC2955"/>
    <w:rsid w:val="00AF370E"/>
    <w:rsid w:val="00B040F5"/>
    <w:rsid w:val="00B10278"/>
    <w:rsid w:val="00B114BD"/>
    <w:rsid w:val="00B14B89"/>
    <w:rsid w:val="00B164AE"/>
    <w:rsid w:val="00B25A7D"/>
    <w:rsid w:val="00B2629F"/>
    <w:rsid w:val="00B36F61"/>
    <w:rsid w:val="00B45815"/>
    <w:rsid w:val="00B506AF"/>
    <w:rsid w:val="00B529B3"/>
    <w:rsid w:val="00B562DF"/>
    <w:rsid w:val="00B5772F"/>
    <w:rsid w:val="00B612BE"/>
    <w:rsid w:val="00B72B7C"/>
    <w:rsid w:val="00B84CB3"/>
    <w:rsid w:val="00B92766"/>
    <w:rsid w:val="00BA0CD3"/>
    <w:rsid w:val="00BA1595"/>
    <w:rsid w:val="00BB0E32"/>
    <w:rsid w:val="00BC016A"/>
    <w:rsid w:val="00BC261E"/>
    <w:rsid w:val="00BC56E7"/>
    <w:rsid w:val="00BC7C5A"/>
    <w:rsid w:val="00BD4290"/>
    <w:rsid w:val="00BF620A"/>
    <w:rsid w:val="00BF77EB"/>
    <w:rsid w:val="00C424FD"/>
    <w:rsid w:val="00C45B8E"/>
    <w:rsid w:val="00C72B59"/>
    <w:rsid w:val="00C95CA4"/>
    <w:rsid w:val="00CA40D6"/>
    <w:rsid w:val="00CA7B40"/>
    <w:rsid w:val="00CB46C0"/>
    <w:rsid w:val="00CB6537"/>
    <w:rsid w:val="00CC633B"/>
    <w:rsid w:val="00CD1924"/>
    <w:rsid w:val="00CD4347"/>
    <w:rsid w:val="00CE5EF8"/>
    <w:rsid w:val="00D015B4"/>
    <w:rsid w:val="00D03768"/>
    <w:rsid w:val="00D04394"/>
    <w:rsid w:val="00D05DF5"/>
    <w:rsid w:val="00D11247"/>
    <w:rsid w:val="00D14FFB"/>
    <w:rsid w:val="00D22E4E"/>
    <w:rsid w:val="00D261A9"/>
    <w:rsid w:val="00D262EE"/>
    <w:rsid w:val="00D429D0"/>
    <w:rsid w:val="00D75944"/>
    <w:rsid w:val="00D91511"/>
    <w:rsid w:val="00D92BDE"/>
    <w:rsid w:val="00D95D87"/>
    <w:rsid w:val="00D97ACE"/>
    <w:rsid w:val="00DB4E5D"/>
    <w:rsid w:val="00DD0794"/>
    <w:rsid w:val="00DD3E26"/>
    <w:rsid w:val="00DD7A92"/>
    <w:rsid w:val="00DE31D3"/>
    <w:rsid w:val="00DE3BBF"/>
    <w:rsid w:val="00DE502F"/>
    <w:rsid w:val="00E16649"/>
    <w:rsid w:val="00E2744D"/>
    <w:rsid w:val="00E30EDE"/>
    <w:rsid w:val="00E43201"/>
    <w:rsid w:val="00E55614"/>
    <w:rsid w:val="00E65931"/>
    <w:rsid w:val="00E7310D"/>
    <w:rsid w:val="00EB131D"/>
    <w:rsid w:val="00EE2782"/>
    <w:rsid w:val="00EF2B9A"/>
    <w:rsid w:val="00F0428C"/>
    <w:rsid w:val="00F05500"/>
    <w:rsid w:val="00F06C93"/>
    <w:rsid w:val="00F14C7F"/>
    <w:rsid w:val="00F25385"/>
    <w:rsid w:val="00F321CE"/>
    <w:rsid w:val="00F34333"/>
    <w:rsid w:val="00F34338"/>
    <w:rsid w:val="00F37827"/>
    <w:rsid w:val="00F37D15"/>
    <w:rsid w:val="00F44B28"/>
    <w:rsid w:val="00F45D9B"/>
    <w:rsid w:val="00F54873"/>
    <w:rsid w:val="00F61936"/>
    <w:rsid w:val="00F63CF7"/>
    <w:rsid w:val="00F706BD"/>
    <w:rsid w:val="00F75004"/>
    <w:rsid w:val="00F80E25"/>
    <w:rsid w:val="00F850C2"/>
    <w:rsid w:val="00F91711"/>
    <w:rsid w:val="00F97552"/>
    <w:rsid w:val="00FB376F"/>
    <w:rsid w:val="00FF2227"/>
    <w:rsid w:val="0C025963"/>
    <w:rsid w:val="12E426D0"/>
    <w:rsid w:val="17190AA7"/>
    <w:rsid w:val="1DABC98B"/>
    <w:rsid w:val="20063F06"/>
    <w:rsid w:val="26D2F44E"/>
    <w:rsid w:val="3249D63F"/>
    <w:rsid w:val="347E4524"/>
    <w:rsid w:val="374347EF"/>
    <w:rsid w:val="3B68CA5B"/>
    <w:rsid w:val="3E7698E6"/>
    <w:rsid w:val="411C64C4"/>
    <w:rsid w:val="44933125"/>
    <w:rsid w:val="4B0D7295"/>
    <w:rsid w:val="4B9787B1"/>
    <w:rsid w:val="4F4B1258"/>
    <w:rsid w:val="4F710FBE"/>
    <w:rsid w:val="52E48BF4"/>
    <w:rsid w:val="58DD7A10"/>
    <w:rsid w:val="5DF6B449"/>
    <w:rsid w:val="5F127C90"/>
    <w:rsid w:val="61A4D26B"/>
    <w:rsid w:val="622D3F84"/>
    <w:rsid w:val="696CF96C"/>
    <w:rsid w:val="6DD097F8"/>
    <w:rsid w:val="700B8D1D"/>
    <w:rsid w:val="762C7436"/>
    <w:rsid w:val="76CDF540"/>
    <w:rsid w:val="76E374C6"/>
    <w:rsid w:val="77904EC4"/>
    <w:rsid w:val="7801EB84"/>
    <w:rsid w:val="783E9760"/>
    <w:rsid w:val="79511E51"/>
    <w:rsid w:val="7E3F5600"/>
    <w:rsid w:val="7EB7EC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2A0BFE"/>
  <w15:chartTrackingRefBased/>
  <w15:docId w15:val="{AFA20676-CC9D-41A8-B8E8-6191C754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7110"/>
    <w:pPr>
      <w:spacing w:after="200" w:line="276" w:lineRule="auto"/>
    </w:pPr>
    <w:rPr>
      <w:rFonts w:ascii="Calibri" w:eastAsia="Calibri" w:hAnsi="Calibri" w:cs="Times New Roman"/>
      <w:sz w:val="22"/>
    </w:rPr>
  </w:style>
  <w:style w:type="paragraph" w:styleId="Heading3">
    <w:name w:val="heading 3"/>
    <w:aliases w:val="Tribal heading 3,H3,PARA3,Proposa,Heading 4 Proposal,h3,Lev 3,HHHeading,3,para number,h31,Titre 3,sub-sub,Minor1,1.2.3.,heading3,Heading 1fm,Task,Tsk,L3,1.1.1 Heading 3,l3,CT,l31,CT1,H31,Heading3,H3-Heading 3,l3.3,l32,list 3,list3"/>
    <w:basedOn w:val="Normal"/>
    <w:next w:val="Normal"/>
    <w:link w:val="Heading3Char"/>
    <w:uiPriority w:val="99"/>
    <w:unhideWhenUsed/>
    <w:qFormat/>
    <w:rsid w:val="002E7A5F"/>
    <w:pPr>
      <w:keepNext/>
      <w:spacing w:before="240" w:after="60"/>
      <w:outlineLvl w:val="2"/>
    </w:pPr>
    <w:rPr>
      <w:rFonts w:ascii="Arial" w:eastAsia="Times New Roman"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71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7110"/>
  </w:style>
  <w:style w:type="paragraph" w:styleId="Footer">
    <w:name w:val="footer"/>
    <w:basedOn w:val="Normal"/>
    <w:link w:val="FooterChar"/>
    <w:uiPriority w:val="99"/>
    <w:unhideWhenUsed/>
    <w:rsid w:val="007271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7110"/>
  </w:style>
  <w:style w:type="paragraph" w:styleId="ListParagraph">
    <w:name w:val="List Paragraph"/>
    <w:basedOn w:val="Normal"/>
    <w:uiPriority w:val="34"/>
    <w:qFormat/>
    <w:rsid w:val="00727110"/>
    <w:pPr>
      <w:ind w:left="720"/>
      <w:contextualSpacing/>
    </w:pPr>
  </w:style>
  <w:style w:type="paragraph" w:styleId="FootnoteText">
    <w:name w:val="footnote text"/>
    <w:basedOn w:val="Normal"/>
    <w:link w:val="FootnoteTextChar"/>
    <w:uiPriority w:val="99"/>
    <w:semiHidden/>
    <w:unhideWhenUsed/>
    <w:rsid w:val="00E4320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3201"/>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E43201"/>
    <w:rPr>
      <w:vertAlign w:val="superscript"/>
    </w:rPr>
  </w:style>
  <w:style w:type="character" w:styleId="Hyperlink">
    <w:name w:val="Hyperlink"/>
    <w:uiPriority w:val="99"/>
    <w:unhideWhenUsed/>
    <w:rsid w:val="00E43201"/>
    <w:rPr>
      <w:color w:val="0000FF"/>
      <w:u w:val="single"/>
    </w:rPr>
  </w:style>
  <w:style w:type="table" w:styleId="TableGrid">
    <w:name w:val="Table Grid"/>
    <w:basedOn w:val="TableNormal"/>
    <w:uiPriority w:val="39"/>
    <w:rsid w:val="00B1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OI-pointa">
    <w:name w:val="EOI - point a)"/>
    <w:basedOn w:val="Normal"/>
    <w:next w:val="Normal"/>
    <w:rsid w:val="002E7A5F"/>
    <w:pPr>
      <w:spacing w:before="60" w:after="60" w:line="240" w:lineRule="auto"/>
    </w:pPr>
    <w:rPr>
      <w:rFonts w:ascii="Times New Roman" w:eastAsia="Times New Roman" w:hAnsi="Times New Roman"/>
      <w:szCs w:val="20"/>
      <w:lang w:val="en-AU"/>
    </w:rPr>
  </w:style>
  <w:style w:type="character" w:customStyle="1" w:styleId="Heading3Char">
    <w:name w:val="Heading 3 Char"/>
    <w:aliases w:val="Tribal heading 3 Char,H3 Char,PARA3 Char,Proposa Char,Heading 4 Proposal Char,h3 Char,Lev 3 Char,HHHeading Char,3 Char,para number Char,h31 Char,Titre 3 Char,sub-sub Char,Minor1 Char,1.2.3. Char,heading3 Char,Heading 1fm Char,Task Char"/>
    <w:basedOn w:val="DefaultParagraphFont"/>
    <w:link w:val="Heading3"/>
    <w:uiPriority w:val="9"/>
    <w:rsid w:val="002E7A5F"/>
    <w:rPr>
      <w:rFonts w:eastAsia="Times New Roman" w:cs="Times New Roman"/>
      <w:b/>
      <w:bCs/>
      <w:sz w:val="22"/>
      <w:szCs w:val="26"/>
    </w:rPr>
  </w:style>
  <w:style w:type="character" w:styleId="CommentReference">
    <w:name w:val="annotation reference"/>
    <w:uiPriority w:val="99"/>
    <w:semiHidden/>
    <w:unhideWhenUsed/>
    <w:rsid w:val="002E7A5F"/>
    <w:rPr>
      <w:sz w:val="16"/>
      <w:szCs w:val="16"/>
    </w:rPr>
  </w:style>
  <w:style w:type="paragraph" w:styleId="CommentText">
    <w:name w:val="annotation text"/>
    <w:basedOn w:val="Normal"/>
    <w:link w:val="CommentTextChar"/>
    <w:uiPriority w:val="99"/>
    <w:semiHidden/>
    <w:unhideWhenUsed/>
    <w:rsid w:val="002E7A5F"/>
    <w:rPr>
      <w:sz w:val="20"/>
      <w:szCs w:val="20"/>
    </w:rPr>
  </w:style>
  <w:style w:type="character" w:customStyle="1" w:styleId="CommentTextChar">
    <w:name w:val="Comment Text Char"/>
    <w:basedOn w:val="DefaultParagraphFont"/>
    <w:link w:val="CommentText"/>
    <w:uiPriority w:val="99"/>
    <w:semiHidden/>
    <w:rsid w:val="002E7A5F"/>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E7A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7A5F"/>
    <w:rPr>
      <w:rFonts w:ascii="Segoe UI" w:eastAsia="Calibri" w:hAnsi="Segoe UI" w:cs="Segoe UI"/>
      <w:sz w:val="18"/>
      <w:szCs w:val="18"/>
    </w:rPr>
  </w:style>
  <w:style w:type="paragraph" w:styleId="ListBullet">
    <w:name w:val="List Bullet"/>
    <w:aliases w:val="lb,List Bullet Standard,List Bullet Char1,***,List Bullet 1"/>
    <w:basedOn w:val="Normal"/>
    <w:uiPriority w:val="99"/>
    <w:semiHidden/>
    <w:rsid w:val="0034693C"/>
    <w:pPr>
      <w:keepLines/>
      <w:numPr>
        <w:numId w:val="27"/>
      </w:numPr>
      <w:tabs>
        <w:tab w:val="left" w:pos="1080"/>
      </w:tabs>
      <w:spacing w:before="160" w:after="0" w:line="240" w:lineRule="auto"/>
    </w:pPr>
    <w:rPr>
      <w:rFonts w:ascii="Arial" w:eastAsia="Times New Roman" w:hAnsi="Arial"/>
      <w:szCs w:val="20"/>
    </w:rPr>
  </w:style>
  <w:style w:type="paragraph" w:customStyle="1" w:styleId="TableHeading">
    <w:name w:val="Table Heading"/>
    <w:basedOn w:val="Normal"/>
    <w:next w:val="Normal"/>
    <w:rsid w:val="0034693C"/>
    <w:pPr>
      <w:keepNext/>
      <w:keepLines/>
      <w:spacing w:before="60" w:after="60" w:line="240" w:lineRule="auto"/>
    </w:pPr>
    <w:rPr>
      <w:rFonts w:ascii="Arial" w:eastAsia="Times New Roman" w:hAnsi="Arial"/>
      <w:b/>
      <w:szCs w:val="20"/>
    </w:rPr>
  </w:style>
  <w:style w:type="paragraph" w:customStyle="1" w:styleId="Normal1">
    <w:name w:val="Normal1"/>
    <w:rsid w:val="00D91511"/>
    <w:pPr>
      <w:spacing w:after="0" w:line="240" w:lineRule="auto"/>
    </w:pPr>
    <w:rPr>
      <w:rFonts w:ascii="Times New Roman" w:eastAsia="Times New Roman" w:hAnsi="Times New Roman" w:cs="Times New Roman"/>
      <w:color w:val="000000"/>
      <w:szCs w:val="24"/>
    </w:rPr>
  </w:style>
  <w:style w:type="paragraph" w:styleId="NormalWeb">
    <w:name w:val="Normal (Web)"/>
    <w:basedOn w:val="Normal"/>
    <w:uiPriority w:val="99"/>
    <w:unhideWhenUsed/>
    <w:rsid w:val="00696C8B"/>
    <w:pPr>
      <w:spacing w:before="100" w:beforeAutospacing="1" w:after="100" w:afterAutospacing="1" w:line="240" w:lineRule="auto"/>
    </w:pPr>
    <w:rPr>
      <w:rFonts w:ascii="Times New Roman" w:eastAsia="Times New Roman" w:hAnsi="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AB2E6E"/>
    <w:pPr>
      <w:spacing w:line="240" w:lineRule="auto"/>
    </w:pPr>
    <w:rPr>
      <w:b/>
      <w:bCs/>
    </w:rPr>
  </w:style>
  <w:style w:type="character" w:customStyle="1" w:styleId="CommentSubjectChar">
    <w:name w:val="Comment Subject Char"/>
    <w:basedOn w:val="CommentTextChar"/>
    <w:link w:val="CommentSubject"/>
    <w:uiPriority w:val="99"/>
    <w:semiHidden/>
    <w:rsid w:val="00AB2E6E"/>
    <w:rPr>
      <w:rFonts w:ascii="Calibri" w:eastAsia="Calibri" w:hAnsi="Calibri" w:cs="Times New Roman"/>
      <w:b/>
      <w:bCs/>
      <w:sz w:val="20"/>
      <w:szCs w:val="20"/>
    </w:rPr>
  </w:style>
  <w:style w:type="paragraph" w:customStyle="1" w:styleId="Bullet1">
    <w:name w:val="Bullet1"/>
    <w:basedOn w:val="Normal"/>
    <w:link w:val="Bullet1Char"/>
    <w:qFormat/>
    <w:rsid w:val="00826613"/>
    <w:pPr>
      <w:numPr>
        <w:numId w:val="38"/>
      </w:numPr>
      <w:spacing w:after="120" w:line="240" w:lineRule="auto"/>
    </w:pPr>
    <w:rPr>
      <w:rFonts w:ascii="Arial" w:eastAsia="Times New Roman" w:hAnsi="Arial"/>
      <w:szCs w:val="20"/>
      <w:lang w:eastAsia="en-GB"/>
    </w:rPr>
  </w:style>
  <w:style w:type="character" w:customStyle="1" w:styleId="Bullet1Char">
    <w:name w:val="Bullet1 Char"/>
    <w:basedOn w:val="DefaultParagraphFont"/>
    <w:link w:val="Bullet1"/>
    <w:rsid w:val="00826613"/>
    <w:rPr>
      <w:rFonts w:eastAsia="Times New Roman" w:cs="Times New Roman"/>
      <w:sz w:val="22"/>
      <w:szCs w:val="20"/>
      <w:lang w:eastAsia="en-GB"/>
    </w:rPr>
  </w:style>
  <w:style w:type="paragraph" w:customStyle="1" w:styleId="Default">
    <w:name w:val="Default"/>
    <w:rsid w:val="00434017"/>
    <w:pPr>
      <w:autoSpaceDE w:val="0"/>
      <w:autoSpaceDN w:val="0"/>
      <w:adjustRightInd w:val="0"/>
      <w:spacing w:after="0" w:line="240" w:lineRule="auto"/>
    </w:pPr>
    <w:rPr>
      <w:rFonts w:eastAsia="Times New Roman" w:cs="Arial"/>
      <w:color w:val="000000"/>
      <w:szCs w:val="24"/>
      <w:lang w:eastAsia="en-GB"/>
    </w:rPr>
  </w:style>
  <w:style w:type="paragraph" w:styleId="TOC1">
    <w:name w:val="toc 1"/>
    <w:basedOn w:val="Normal"/>
    <w:next w:val="Normal"/>
    <w:autoRedefine/>
    <w:uiPriority w:val="39"/>
    <w:semiHidden/>
    <w:unhideWhenUsed/>
    <w:rsid w:val="00454132"/>
    <w:pPr>
      <w:spacing w:after="100"/>
    </w:pPr>
  </w:style>
  <w:style w:type="paragraph" w:styleId="TOC4">
    <w:name w:val="toc 4"/>
    <w:basedOn w:val="Normal"/>
    <w:next w:val="Normal"/>
    <w:autoRedefine/>
    <w:uiPriority w:val="39"/>
    <w:semiHidden/>
    <w:unhideWhenUsed/>
    <w:rsid w:val="00454132"/>
    <w:pPr>
      <w:spacing w:after="100"/>
      <w:ind w:left="660"/>
    </w:pPr>
  </w:style>
  <w:style w:type="character" w:styleId="FollowedHyperlink">
    <w:name w:val="FollowedHyperlink"/>
    <w:basedOn w:val="DefaultParagraphFont"/>
    <w:uiPriority w:val="99"/>
    <w:semiHidden/>
    <w:unhideWhenUsed/>
    <w:rsid w:val="00955B98"/>
    <w:rPr>
      <w:color w:val="954F72" w:themeColor="followedHyperlink"/>
      <w:u w:val="single"/>
    </w:rPr>
  </w:style>
  <w:style w:type="paragraph" w:styleId="BodyText2">
    <w:name w:val="Body Text 2"/>
    <w:basedOn w:val="Normal"/>
    <w:link w:val="BodyText2Char"/>
    <w:uiPriority w:val="99"/>
    <w:semiHidden/>
    <w:unhideWhenUsed/>
    <w:rsid w:val="00603F53"/>
    <w:pPr>
      <w:spacing w:after="120" w:line="480" w:lineRule="auto"/>
    </w:pPr>
  </w:style>
  <w:style w:type="character" w:customStyle="1" w:styleId="BodyText2Char">
    <w:name w:val="Body Text 2 Char"/>
    <w:basedOn w:val="DefaultParagraphFont"/>
    <w:link w:val="BodyText2"/>
    <w:uiPriority w:val="99"/>
    <w:semiHidden/>
    <w:rsid w:val="00603F53"/>
    <w:rPr>
      <w:rFonts w:ascii="Calibri" w:eastAsia="Calibri" w:hAnsi="Calibri" w:cs="Times New Roman"/>
      <w:sz w:val="22"/>
    </w:rPr>
  </w:style>
  <w:style w:type="paragraph" w:styleId="BlockText">
    <w:name w:val="Block Text"/>
    <w:basedOn w:val="Normal"/>
    <w:uiPriority w:val="99"/>
    <w:semiHidden/>
    <w:unhideWhenUsed/>
    <w:rsid w:val="00603F53"/>
    <w:pPr>
      <w:overflowPunct w:val="0"/>
      <w:autoSpaceDE w:val="0"/>
      <w:autoSpaceDN w:val="0"/>
      <w:adjustRightInd w:val="0"/>
      <w:spacing w:after="0" w:line="312" w:lineRule="auto"/>
      <w:ind w:left="425" w:right="284" w:firstLine="1"/>
      <w:jc w:val="both"/>
    </w:pPr>
    <w:rPr>
      <w:rFonts w:ascii="Arial" w:eastAsia="Times New Roman" w:hAnsi="Arial"/>
      <w:sz w:val="20"/>
      <w:szCs w:val="20"/>
      <w:lang w:eastAsia="en-GB"/>
    </w:rPr>
  </w:style>
  <w:style w:type="paragraph" w:customStyle="1" w:styleId="DefaultText1">
    <w:name w:val="Default Text:1"/>
    <w:basedOn w:val="Normal"/>
    <w:rsid w:val="00603F53"/>
    <w:pPr>
      <w:autoSpaceDE w:val="0"/>
      <w:autoSpaceDN w:val="0"/>
      <w:adjustRightInd w:val="0"/>
      <w:spacing w:after="0" w:line="240" w:lineRule="auto"/>
    </w:pPr>
    <w:rPr>
      <w:rFonts w:ascii="Arial" w:eastAsia="Times New Roman" w:hAnsi="Arial"/>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96808">
      <w:bodyDiv w:val="1"/>
      <w:marLeft w:val="0"/>
      <w:marRight w:val="0"/>
      <w:marTop w:val="0"/>
      <w:marBottom w:val="0"/>
      <w:divBdr>
        <w:top w:val="none" w:sz="0" w:space="0" w:color="auto"/>
        <w:left w:val="none" w:sz="0" w:space="0" w:color="auto"/>
        <w:bottom w:val="none" w:sz="0" w:space="0" w:color="auto"/>
        <w:right w:val="none" w:sz="0" w:space="0" w:color="auto"/>
      </w:divBdr>
    </w:div>
    <w:div w:id="119154367">
      <w:bodyDiv w:val="1"/>
      <w:marLeft w:val="0"/>
      <w:marRight w:val="0"/>
      <w:marTop w:val="0"/>
      <w:marBottom w:val="0"/>
      <w:divBdr>
        <w:top w:val="none" w:sz="0" w:space="0" w:color="auto"/>
        <w:left w:val="none" w:sz="0" w:space="0" w:color="auto"/>
        <w:bottom w:val="none" w:sz="0" w:space="0" w:color="auto"/>
        <w:right w:val="none" w:sz="0" w:space="0" w:color="auto"/>
      </w:divBdr>
    </w:div>
    <w:div w:id="907613826">
      <w:bodyDiv w:val="1"/>
      <w:marLeft w:val="0"/>
      <w:marRight w:val="0"/>
      <w:marTop w:val="0"/>
      <w:marBottom w:val="0"/>
      <w:divBdr>
        <w:top w:val="none" w:sz="0" w:space="0" w:color="auto"/>
        <w:left w:val="none" w:sz="0" w:space="0" w:color="auto"/>
        <w:bottom w:val="none" w:sz="0" w:space="0" w:color="auto"/>
        <w:right w:val="none" w:sz="0" w:space="0" w:color="auto"/>
      </w:divBdr>
    </w:div>
    <w:div w:id="1099257939">
      <w:bodyDiv w:val="1"/>
      <w:marLeft w:val="0"/>
      <w:marRight w:val="0"/>
      <w:marTop w:val="0"/>
      <w:marBottom w:val="0"/>
      <w:divBdr>
        <w:top w:val="none" w:sz="0" w:space="0" w:color="auto"/>
        <w:left w:val="none" w:sz="0" w:space="0" w:color="auto"/>
        <w:bottom w:val="none" w:sz="0" w:space="0" w:color="auto"/>
        <w:right w:val="none" w:sz="0" w:space="0" w:color="auto"/>
      </w:divBdr>
    </w:div>
    <w:div w:id="1457724264">
      <w:bodyDiv w:val="1"/>
      <w:marLeft w:val="0"/>
      <w:marRight w:val="0"/>
      <w:marTop w:val="0"/>
      <w:marBottom w:val="0"/>
      <w:divBdr>
        <w:top w:val="none" w:sz="0" w:space="0" w:color="auto"/>
        <w:left w:val="none" w:sz="0" w:space="0" w:color="auto"/>
        <w:bottom w:val="none" w:sz="0" w:space="0" w:color="auto"/>
        <w:right w:val="none" w:sz="0" w:space="0" w:color="auto"/>
      </w:divBdr>
    </w:div>
    <w:div w:id="1642811890">
      <w:bodyDiv w:val="1"/>
      <w:marLeft w:val="0"/>
      <w:marRight w:val="0"/>
      <w:marTop w:val="0"/>
      <w:marBottom w:val="0"/>
      <w:divBdr>
        <w:top w:val="none" w:sz="0" w:space="0" w:color="auto"/>
        <w:left w:val="none" w:sz="0" w:space="0" w:color="auto"/>
        <w:bottom w:val="none" w:sz="0" w:space="0" w:color="auto"/>
        <w:right w:val="none" w:sz="0" w:space="0" w:color="auto"/>
      </w:divBdr>
    </w:div>
    <w:div w:id="1809934776">
      <w:bodyDiv w:val="1"/>
      <w:marLeft w:val="0"/>
      <w:marRight w:val="0"/>
      <w:marTop w:val="0"/>
      <w:marBottom w:val="0"/>
      <w:divBdr>
        <w:top w:val="none" w:sz="0" w:space="0" w:color="auto"/>
        <w:left w:val="none" w:sz="0" w:space="0" w:color="auto"/>
        <w:bottom w:val="none" w:sz="0" w:space="0" w:color="auto"/>
        <w:right w:val="none" w:sz="0" w:space="0" w:color="auto"/>
      </w:divBdr>
    </w:div>
    <w:div w:id="1892183736">
      <w:bodyDiv w:val="1"/>
      <w:marLeft w:val="0"/>
      <w:marRight w:val="0"/>
      <w:marTop w:val="0"/>
      <w:marBottom w:val="0"/>
      <w:divBdr>
        <w:top w:val="none" w:sz="0" w:space="0" w:color="auto"/>
        <w:left w:val="none" w:sz="0" w:space="0" w:color="auto"/>
        <w:bottom w:val="none" w:sz="0" w:space="0" w:color="auto"/>
        <w:right w:val="none" w:sz="0" w:space="0" w:color="auto"/>
      </w:divBdr>
    </w:div>
    <w:div w:id="1896817664">
      <w:bodyDiv w:val="1"/>
      <w:marLeft w:val="0"/>
      <w:marRight w:val="0"/>
      <w:marTop w:val="0"/>
      <w:marBottom w:val="0"/>
      <w:divBdr>
        <w:top w:val="none" w:sz="0" w:space="0" w:color="auto"/>
        <w:left w:val="none" w:sz="0" w:space="0" w:color="auto"/>
        <w:bottom w:val="none" w:sz="0" w:space="0" w:color="auto"/>
        <w:right w:val="none" w:sz="0" w:space="0" w:color="auto"/>
      </w:divBdr>
    </w:div>
    <w:div w:id="1968002225">
      <w:bodyDiv w:val="1"/>
      <w:marLeft w:val="0"/>
      <w:marRight w:val="0"/>
      <w:marTop w:val="0"/>
      <w:marBottom w:val="0"/>
      <w:divBdr>
        <w:top w:val="none" w:sz="0" w:space="0" w:color="auto"/>
        <w:left w:val="none" w:sz="0" w:space="0" w:color="auto"/>
        <w:bottom w:val="none" w:sz="0" w:space="0" w:color="auto"/>
        <w:right w:val="none" w:sz="0" w:space="0" w:color="auto"/>
      </w:divBdr>
    </w:div>
    <w:div w:id="2029216636">
      <w:bodyDiv w:val="1"/>
      <w:marLeft w:val="0"/>
      <w:marRight w:val="0"/>
      <w:marTop w:val="0"/>
      <w:marBottom w:val="0"/>
      <w:divBdr>
        <w:top w:val="none" w:sz="0" w:space="0" w:color="auto"/>
        <w:left w:val="none" w:sz="0" w:space="0" w:color="auto"/>
        <w:bottom w:val="none" w:sz="0" w:space="0" w:color="auto"/>
        <w:right w:val="none" w:sz="0" w:space="0" w:color="auto"/>
      </w:divBdr>
    </w:div>
    <w:div w:id="204671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global.FM@fco.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co.gov.uk" TargetMode="External"/><Relationship Id="rId5" Type="http://schemas.openxmlformats.org/officeDocument/2006/relationships/numbering" Target="numbering.xml"/><Relationship Id="rId15" Type="http://schemas.openxmlformats.org/officeDocument/2006/relationships/hyperlink" Target="https://fco.bravosolution.co.uk/web/login.html"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foreign-and-commonwealth-office-single-departmental-plan/foreign-and-commonwealth-office-single-departmental-plan-may-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B6E9983A34FD429BC2EAEA5259587C" ma:contentTypeVersion="4" ma:contentTypeDescription="Create a new document." ma:contentTypeScope="" ma:versionID="eab40f89a82cc9129932cb5b51e40e93">
  <xsd:schema xmlns:xsd="http://www.w3.org/2001/XMLSchema" xmlns:xs="http://www.w3.org/2001/XMLSchema" xmlns:p="http://schemas.microsoft.com/office/2006/metadata/properties" xmlns:ns1="http://schemas.microsoft.com/sharepoint/v3" xmlns:ns2="6b540eca-9cdb-48a8-9cc3-52675b8e23ae" targetNamespace="http://schemas.microsoft.com/office/2006/metadata/properties" ma:root="true" ma:fieldsID="775bd31dad4a1980b0581238e105a545" ns1:_="" ns2:_="">
    <xsd:import namespace="http://schemas.microsoft.com/sharepoint/v3"/>
    <xsd:import namespace="6b540eca-9cdb-48a8-9cc3-52675b8e23ae"/>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540eca-9cdb-48a8-9cc3-52675b8e2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D2C6C2-44A0-4358-B216-7DC200328C57}">
  <ds:schemaRefs>
    <ds:schemaRef ds:uri="http://schemas.microsoft.com/sharepoint/v3/contenttype/forms"/>
  </ds:schemaRefs>
</ds:datastoreItem>
</file>

<file path=customXml/itemProps2.xml><?xml version="1.0" encoding="utf-8"?>
<ds:datastoreItem xmlns:ds="http://schemas.openxmlformats.org/officeDocument/2006/customXml" ds:itemID="{62C5D51F-D7E6-4CB1-8044-52513B528E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540eca-9cdb-48a8-9cc3-52675b8e23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BE1F15-1DB4-439A-A57E-CBE6A97E2213}">
  <ds:schemaRefs>
    <ds:schemaRef ds:uri="http://schemas.microsoft.com/sharepoint/v3"/>
    <ds:schemaRef ds:uri="http://purl.org/dc/terms/"/>
    <ds:schemaRef ds:uri="6b540eca-9cdb-48a8-9cc3-52675b8e23a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B16EC670-2679-4CB5-9897-62499B68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44</Pages>
  <Words>11194</Words>
  <Characters>63812</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
    </vt:vector>
  </TitlesOfParts>
  <Company>The Authority</Company>
  <LinksUpToDate>false</LinksUpToDate>
  <CharactersWithSpaces>74857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WORK\34984430\v.1</dc:subject>
  <dc:creator>Lucy Wilkins (Sensitive)</dc:creator>
  <cp:keywords>33925.11</cp:keywords>
  <dc:description/>
  <cp:lastModifiedBy>Andy Wood (Sensitive)</cp:lastModifiedBy>
  <cp:revision>3</cp:revision>
  <cp:lastPrinted>2019-09-02T18:54:00Z</cp:lastPrinted>
  <dcterms:created xsi:type="dcterms:W3CDTF">2019-09-19T12:53:00Z</dcterms:created>
  <dcterms:modified xsi:type="dcterms:W3CDTF">2019-09-19T12:54:00Z</dcterms:modified>
  <cp:category>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0x0101001FB6E9983A34FD429BC2EAEA5259587C</vt:lpwstr>
  </property>
</Properties>
</file>