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3F71C" w14:textId="77777777" w:rsidR="00FE18AC" w:rsidRPr="00376787" w:rsidRDefault="00FE18AC" w:rsidP="00FE18AC">
      <w:pPr>
        <w:pStyle w:val="bodystrongcentred"/>
      </w:pPr>
      <w:r w:rsidRPr="00376787">
        <w:t>CONTENTS</w:t>
      </w:r>
    </w:p>
    <w:p w14:paraId="361BF970" w14:textId="77777777" w:rsidR="00FE18AC" w:rsidRPr="00376787" w:rsidRDefault="00FE18AC" w:rsidP="00FE18AC"/>
    <w:p w14:paraId="13894764" w14:textId="12BC88AD" w:rsidR="0045749D" w:rsidRDefault="00E10E97">
      <w:pPr>
        <w:pStyle w:val="TOC1"/>
        <w:rPr>
          <w:rFonts w:asciiTheme="minorHAnsi" w:eastAsiaTheme="minorEastAsia" w:hAnsiTheme="minorHAnsi" w:cstheme="minorBidi"/>
          <w:caps w:val="0"/>
          <w:noProof/>
          <w:szCs w:val="22"/>
          <w:lang w:eastAsia="en-GB"/>
        </w:rPr>
      </w:pPr>
      <w:r w:rsidRPr="00376787">
        <w:rPr>
          <w:rFonts w:cs="Arial"/>
          <w:caps w:val="0"/>
        </w:rPr>
        <w:fldChar w:fldCharType="begin"/>
      </w:r>
      <w:r w:rsidR="00FE18AC" w:rsidRPr="00376787">
        <w:rPr>
          <w:rFonts w:cs="Arial"/>
          <w:caps w:val="0"/>
        </w:rPr>
        <w:instrText xml:space="preserve"> TOC \o "1-1" \h \z \u </w:instrText>
      </w:r>
      <w:r w:rsidRPr="00376787">
        <w:rPr>
          <w:rFonts w:cs="Arial"/>
          <w:caps w:val="0"/>
        </w:rPr>
        <w:fldChar w:fldCharType="separate"/>
      </w:r>
      <w:hyperlink w:anchor="_Toc528318945" w:history="1">
        <w:r w:rsidR="0045749D" w:rsidRPr="008D3C6C">
          <w:rPr>
            <w:rStyle w:val="Hyperlink"/>
            <w:noProof/>
          </w:rPr>
          <w:t>1.</w:t>
        </w:r>
        <w:r w:rsidR="0045749D">
          <w:rPr>
            <w:rFonts w:asciiTheme="minorHAnsi" w:eastAsiaTheme="minorEastAsia" w:hAnsiTheme="minorHAnsi" w:cstheme="minorBidi"/>
            <w:caps w:val="0"/>
            <w:noProof/>
            <w:szCs w:val="22"/>
            <w:lang w:eastAsia="en-GB"/>
          </w:rPr>
          <w:tab/>
        </w:r>
        <w:r w:rsidR="0045749D" w:rsidRPr="008D3C6C">
          <w:rPr>
            <w:rStyle w:val="Hyperlink"/>
            <w:noProof/>
          </w:rPr>
          <w:t>PURPOSE</w:t>
        </w:r>
        <w:r w:rsidR="0045749D">
          <w:rPr>
            <w:noProof/>
            <w:webHidden/>
          </w:rPr>
          <w:tab/>
        </w:r>
        <w:r w:rsidR="0045749D">
          <w:rPr>
            <w:noProof/>
            <w:webHidden/>
          </w:rPr>
          <w:fldChar w:fldCharType="begin"/>
        </w:r>
        <w:r w:rsidR="0045749D">
          <w:rPr>
            <w:noProof/>
            <w:webHidden/>
          </w:rPr>
          <w:instrText xml:space="preserve"> PAGEREF _Toc528318945 \h </w:instrText>
        </w:r>
        <w:r w:rsidR="0045749D">
          <w:rPr>
            <w:noProof/>
            <w:webHidden/>
          </w:rPr>
        </w:r>
        <w:r w:rsidR="0045749D">
          <w:rPr>
            <w:noProof/>
            <w:webHidden/>
          </w:rPr>
          <w:fldChar w:fldCharType="separate"/>
        </w:r>
        <w:r w:rsidR="0045749D">
          <w:rPr>
            <w:noProof/>
            <w:webHidden/>
          </w:rPr>
          <w:t>2</w:t>
        </w:r>
        <w:r w:rsidR="0045749D">
          <w:rPr>
            <w:noProof/>
            <w:webHidden/>
          </w:rPr>
          <w:fldChar w:fldCharType="end"/>
        </w:r>
      </w:hyperlink>
    </w:p>
    <w:p w14:paraId="14847E8E" w14:textId="65D41C67" w:rsidR="0045749D" w:rsidRDefault="0045749D">
      <w:pPr>
        <w:pStyle w:val="TOC1"/>
        <w:rPr>
          <w:rFonts w:asciiTheme="minorHAnsi" w:eastAsiaTheme="minorEastAsia" w:hAnsiTheme="minorHAnsi" w:cstheme="minorBidi"/>
          <w:caps w:val="0"/>
          <w:noProof/>
          <w:szCs w:val="22"/>
          <w:lang w:eastAsia="en-GB"/>
        </w:rPr>
      </w:pPr>
      <w:hyperlink w:anchor="_Toc528318946" w:history="1">
        <w:r w:rsidRPr="008D3C6C">
          <w:rPr>
            <w:rStyle w:val="Hyperlink"/>
            <w:noProof/>
          </w:rPr>
          <w:t>2.</w:t>
        </w:r>
        <w:r>
          <w:rPr>
            <w:rFonts w:asciiTheme="minorHAnsi" w:eastAsiaTheme="minorEastAsia" w:hAnsiTheme="minorHAnsi" w:cstheme="minorBidi"/>
            <w:caps w:val="0"/>
            <w:noProof/>
            <w:szCs w:val="22"/>
            <w:lang w:eastAsia="en-GB"/>
          </w:rPr>
          <w:tab/>
        </w:r>
        <w:r w:rsidRPr="008D3C6C">
          <w:rPr>
            <w:rStyle w:val="Hyperlink"/>
            <w:noProof/>
          </w:rPr>
          <w:t>BACKGROUND TO THE CONTRACTING aUTHORITY</w:t>
        </w:r>
        <w:r>
          <w:rPr>
            <w:noProof/>
            <w:webHidden/>
          </w:rPr>
          <w:tab/>
        </w:r>
        <w:r>
          <w:rPr>
            <w:noProof/>
            <w:webHidden/>
          </w:rPr>
          <w:fldChar w:fldCharType="begin"/>
        </w:r>
        <w:r>
          <w:rPr>
            <w:noProof/>
            <w:webHidden/>
          </w:rPr>
          <w:instrText xml:space="preserve"> PAGEREF _Toc528318946 \h </w:instrText>
        </w:r>
        <w:r>
          <w:rPr>
            <w:noProof/>
            <w:webHidden/>
          </w:rPr>
        </w:r>
        <w:r>
          <w:rPr>
            <w:noProof/>
            <w:webHidden/>
          </w:rPr>
          <w:fldChar w:fldCharType="separate"/>
        </w:r>
        <w:r>
          <w:rPr>
            <w:noProof/>
            <w:webHidden/>
          </w:rPr>
          <w:t>2</w:t>
        </w:r>
        <w:r>
          <w:rPr>
            <w:noProof/>
            <w:webHidden/>
          </w:rPr>
          <w:fldChar w:fldCharType="end"/>
        </w:r>
      </w:hyperlink>
    </w:p>
    <w:p w14:paraId="39F7BC0B" w14:textId="1552872B" w:rsidR="0045749D" w:rsidRDefault="0045749D">
      <w:pPr>
        <w:pStyle w:val="TOC1"/>
        <w:rPr>
          <w:rFonts w:asciiTheme="minorHAnsi" w:eastAsiaTheme="minorEastAsia" w:hAnsiTheme="minorHAnsi" w:cstheme="minorBidi"/>
          <w:caps w:val="0"/>
          <w:noProof/>
          <w:szCs w:val="22"/>
          <w:lang w:eastAsia="en-GB"/>
        </w:rPr>
      </w:pPr>
      <w:hyperlink w:anchor="_Toc528318947" w:history="1">
        <w:r w:rsidRPr="008D3C6C">
          <w:rPr>
            <w:rStyle w:val="Hyperlink"/>
            <w:noProof/>
          </w:rPr>
          <w:t>3.</w:t>
        </w:r>
        <w:r>
          <w:rPr>
            <w:rFonts w:asciiTheme="minorHAnsi" w:eastAsiaTheme="minorEastAsia" w:hAnsiTheme="minorHAnsi" w:cstheme="minorBidi"/>
            <w:caps w:val="0"/>
            <w:noProof/>
            <w:szCs w:val="22"/>
            <w:lang w:eastAsia="en-GB"/>
          </w:rPr>
          <w:tab/>
        </w:r>
        <w:r w:rsidRPr="008D3C6C">
          <w:rPr>
            <w:rStyle w:val="Hyperlink"/>
            <w:noProof/>
          </w:rPr>
          <w:t>Background to requirement/OVERVIEW of requirement</w:t>
        </w:r>
        <w:r>
          <w:rPr>
            <w:noProof/>
            <w:webHidden/>
          </w:rPr>
          <w:tab/>
        </w:r>
        <w:r>
          <w:rPr>
            <w:noProof/>
            <w:webHidden/>
          </w:rPr>
          <w:fldChar w:fldCharType="begin"/>
        </w:r>
        <w:r>
          <w:rPr>
            <w:noProof/>
            <w:webHidden/>
          </w:rPr>
          <w:instrText xml:space="preserve"> PAGEREF _Toc528318947 \h </w:instrText>
        </w:r>
        <w:r>
          <w:rPr>
            <w:noProof/>
            <w:webHidden/>
          </w:rPr>
        </w:r>
        <w:r>
          <w:rPr>
            <w:noProof/>
            <w:webHidden/>
          </w:rPr>
          <w:fldChar w:fldCharType="separate"/>
        </w:r>
        <w:r>
          <w:rPr>
            <w:noProof/>
            <w:webHidden/>
          </w:rPr>
          <w:t>2</w:t>
        </w:r>
        <w:r>
          <w:rPr>
            <w:noProof/>
            <w:webHidden/>
          </w:rPr>
          <w:fldChar w:fldCharType="end"/>
        </w:r>
      </w:hyperlink>
    </w:p>
    <w:p w14:paraId="6FF5BD26" w14:textId="1A1837BE" w:rsidR="0045749D" w:rsidRDefault="0045749D">
      <w:pPr>
        <w:pStyle w:val="TOC1"/>
        <w:rPr>
          <w:rFonts w:asciiTheme="minorHAnsi" w:eastAsiaTheme="minorEastAsia" w:hAnsiTheme="minorHAnsi" w:cstheme="minorBidi"/>
          <w:caps w:val="0"/>
          <w:noProof/>
          <w:szCs w:val="22"/>
          <w:lang w:eastAsia="en-GB"/>
        </w:rPr>
      </w:pPr>
      <w:hyperlink w:anchor="_Toc528318948" w:history="1">
        <w:r w:rsidRPr="008D3C6C">
          <w:rPr>
            <w:rStyle w:val="Hyperlink"/>
            <w:noProof/>
          </w:rPr>
          <w:t>4.</w:t>
        </w:r>
        <w:r>
          <w:rPr>
            <w:rFonts w:asciiTheme="minorHAnsi" w:eastAsiaTheme="minorEastAsia" w:hAnsiTheme="minorHAnsi" w:cstheme="minorBidi"/>
            <w:caps w:val="0"/>
            <w:noProof/>
            <w:szCs w:val="22"/>
            <w:lang w:eastAsia="en-GB"/>
          </w:rPr>
          <w:tab/>
        </w:r>
        <w:r w:rsidRPr="008D3C6C">
          <w:rPr>
            <w:rStyle w:val="Hyperlink"/>
            <w:noProof/>
          </w:rPr>
          <w:t>definitions</w:t>
        </w:r>
        <w:r>
          <w:rPr>
            <w:noProof/>
            <w:webHidden/>
          </w:rPr>
          <w:tab/>
        </w:r>
        <w:r>
          <w:rPr>
            <w:noProof/>
            <w:webHidden/>
          </w:rPr>
          <w:fldChar w:fldCharType="begin"/>
        </w:r>
        <w:r>
          <w:rPr>
            <w:noProof/>
            <w:webHidden/>
          </w:rPr>
          <w:instrText xml:space="preserve"> PAGEREF _Toc528318948 \h </w:instrText>
        </w:r>
        <w:r>
          <w:rPr>
            <w:noProof/>
            <w:webHidden/>
          </w:rPr>
        </w:r>
        <w:r>
          <w:rPr>
            <w:noProof/>
            <w:webHidden/>
          </w:rPr>
          <w:fldChar w:fldCharType="separate"/>
        </w:r>
        <w:r>
          <w:rPr>
            <w:noProof/>
            <w:webHidden/>
          </w:rPr>
          <w:t>2</w:t>
        </w:r>
        <w:r>
          <w:rPr>
            <w:noProof/>
            <w:webHidden/>
          </w:rPr>
          <w:fldChar w:fldCharType="end"/>
        </w:r>
      </w:hyperlink>
    </w:p>
    <w:p w14:paraId="41663BC3" w14:textId="2E1F3390" w:rsidR="0045749D" w:rsidRDefault="0045749D">
      <w:pPr>
        <w:pStyle w:val="TOC1"/>
        <w:rPr>
          <w:rFonts w:asciiTheme="minorHAnsi" w:eastAsiaTheme="minorEastAsia" w:hAnsiTheme="minorHAnsi" w:cstheme="minorBidi"/>
          <w:caps w:val="0"/>
          <w:noProof/>
          <w:szCs w:val="22"/>
          <w:lang w:eastAsia="en-GB"/>
        </w:rPr>
      </w:pPr>
      <w:hyperlink w:anchor="_Toc528318949" w:history="1">
        <w:r w:rsidRPr="008D3C6C">
          <w:rPr>
            <w:rStyle w:val="Hyperlink"/>
            <w:noProof/>
          </w:rPr>
          <w:t>5.</w:t>
        </w:r>
        <w:r>
          <w:rPr>
            <w:rFonts w:asciiTheme="minorHAnsi" w:eastAsiaTheme="minorEastAsia" w:hAnsiTheme="minorHAnsi" w:cstheme="minorBidi"/>
            <w:caps w:val="0"/>
            <w:noProof/>
            <w:szCs w:val="22"/>
            <w:lang w:eastAsia="en-GB"/>
          </w:rPr>
          <w:tab/>
        </w:r>
        <w:r w:rsidRPr="008D3C6C">
          <w:rPr>
            <w:rStyle w:val="Hyperlink"/>
            <w:noProof/>
          </w:rPr>
          <w:t>scope of requirement</w:t>
        </w:r>
        <w:r>
          <w:rPr>
            <w:noProof/>
            <w:webHidden/>
          </w:rPr>
          <w:tab/>
        </w:r>
        <w:r>
          <w:rPr>
            <w:noProof/>
            <w:webHidden/>
          </w:rPr>
          <w:fldChar w:fldCharType="begin"/>
        </w:r>
        <w:r>
          <w:rPr>
            <w:noProof/>
            <w:webHidden/>
          </w:rPr>
          <w:instrText xml:space="preserve"> PAGEREF _Toc528318949 \h </w:instrText>
        </w:r>
        <w:r>
          <w:rPr>
            <w:noProof/>
            <w:webHidden/>
          </w:rPr>
        </w:r>
        <w:r>
          <w:rPr>
            <w:noProof/>
            <w:webHidden/>
          </w:rPr>
          <w:fldChar w:fldCharType="separate"/>
        </w:r>
        <w:r>
          <w:rPr>
            <w:noProof/>
            <w:webHidden/>
          </w:rPr>
          <w:t>3</w:t>
        </w:r>
        <w:r>
          <w:rPr>
            <w:noProof/>
            <w:webHidden/>
          </w:rPr>
          <w:fldChar w:fldCharType="end"/>
        </w:r>
      </w:hyperlink>
    </w:p>
    <w:p w14:paraId="0A0F837B" w14:textId="7E09F659" w:rsidR="0045749D" w:rsidRDefault="0045749D">
      <w:pPr>
        <w:pStyle w:val="TOC1"/>
        <w:rPr>
          <w:rFonts w:asciiTheme="minorHAnsi" w:eastAsiaTheme="minorEastAsia" w:hAnsiTheme="minorHAnsi" w:cstheme="minorBidi"/>
          <w:caps w:val="0"/>
          <w:noProof/>
          <w:szCs w:val="22"/>
          <w:lang w:eastAsia="en-GB"/>
        </w:rPr>
      </w:pPr>
      <w:hyperlink w:anchor="_Toc528318950" w:history="1">
        <w:r w:rsidRPr="008D3C6C">
          <w:rPr>
            <w:rStyle w:val="Hyperlink"/>
            <w:noProof/>
          </w:rPr>
          <w:t>6.</w:t>
        </w:r>
        <w:r>
          <w:rPr>
            <w:rFonts w:asciiTheme="minorHAnsi" w:eastAsiaTheme="minorEastAsia" w:hAnsiTheme="minorHAnsi" w:cstheme="minorBidi"/>
            <w:caps w:val="0"/>
            <w:noProof/>
            <w:szCs w:val="22"/>
            <w:lang w:eastAsia="en-GB"/>
          </w:rPr>
          <w:tab/>
        </w:r>
        <w:r w:rsidRPr="008D3C6C">
          <w:rPr>
            <w:rStyle w:val="Hyperlink"/>
            <w:noProof/>
          </w:rPr>
          <w:t>The requirement</w:t>
        </w:r>
        <w:r>
          <w:rPr>
            <w:noProof/>
            <w:webHidden/>
          </w:rPr>
          <w:tab/>
        </w:r>
        <w:r>
          <w:rPr>
            <w:noProof/>
            <w:webHidden/>
          </w:rPr>
          <w:fldChar w:fldCharType="begin"/>
        </w:r>
        <w:r>
          <w:rPr>
            <w:noProof/>
            <w:webHidden/>
          </w:rPr>
          <w:instrText xml:space="preserve"> PAGEREF _Toc528318950 \h </w:instrText>
        </w:r>
        <w:r>
          <w:rPr>
            <w:noProof/>
            <w:webHidden/>
          </w:rPr>
        </w:r>
        <w:r>
          <w:rPr>
            <w:noProof/>
            <w:webHidden/>
          </w:rPr>
          <w:fldChar w:fldCharType="separate"/>
        </w:r>
        <w:r>
          <w:rPr>
            <w:noProof/>
            <w:webHidden/>
          </w:rPr>
          <w:t>3</w:t>
        </w:r>
        <w:r>
          <w:rPr>
            <w:noProof/>
            <w:webHidden/>
          </w:rPr>
          <w:fldChar w:fldCharType="end"/>
        </w:r>
      </w:hyperlink>
    </w:p>
    <w:p w14:paraId="1033BEC8" w14:textId="5F3CA8C5" w:rsidR="0045749D" w:rsidRDefault="0045749D">
      <w:pPr>
        <w:pStyle w:val="TOC1"/>
        <w:rPr>
          <w:rFonts w:asciiTheme="minorHAnsi" w:eastAsiaTheme="minorEastAsia" w:hAnsiTheme="minorHAnsi" w:cstheme="minorBidi"/>
          <w:caps w:val="0"/>
          <w:noProof/>
          <w:szCs w:val="22"/>
          <w:lang w:eastAsia="en-GB"/>
        </w:rPr>
      </w:pPr>
      <w:hyperlink w:anchor="_Toc528318951" w:history="1">
        <w:r w:rsidRPr="008D3C6C">
          <w:rPr>
            <w:rStyle w:val="Hyperlink"/>
            <w:noProof/>
          </w:rPr>
          <w:t>7.</w:t>
        </w:r>
        <w:r>
          <w:rPr>
            <w:rFonts w:asciiTheme="minorHAnsi" w:eastAsiaTheme="minorEastAsia" w:hAnsiTheme="minorHAnsi" w:cstheme="minorBidi"/>
            <w:caps w:val="0"/>
            <w:noProof/>
            <w:szCs w:val="22"/>
            <w:lang w:eastAsia="en-GB"/>
          </w:rPr>
          <w:tab/>
        </w:r>
        <w:r w:rsidRPr="008D3C6C">
          <w:rPr>
            <w:rStyle w:val="Hyperlink"/>
            <w:noProof/>
          </w:rPr>
          <w:t>key milestones</w:t>
        </w:r>
        <w:r>
          <w:rPr>
            <w:noProof/>
            <w:webHidden/>
          </w:rPr>
          <w:tab/>
        </w:r>
        <w:r>
          <w:rPr>
            <w:noProof/>
            <w:webHidden/>
          </w:rPr>
          <w:fldChar w:fldCharType="begin"/>
        </w:r>
        <w:r>
          <w:rPr>
            <w:noProof/>
            <w:webHidden/>
          </w:rPr>
          <w:instrText xml:space="preserve"> PAGEREF _Toc528318951 \h </w:instrText>
        </w:r>
        <w:r>
          <w:rPr>
            <w:noProof/>
            <w:webHidden/>
          </w:rPr>
        </w:r>
        <w:r>
          <w:rPr>
            <w:noProof/>
            <w:webHidden/>
          </w:rPr>
          <w:fldChar w:fldCharType="separate"/>
        </w:r>
        <w:r>
          <w:rPr>
            <w:noProof/>
            <w:webHidden/>
          </w:rPr>
          <w:t>3</w:t>
        </w:r>
        <w:r>
          <w:rPr>
            <w:noProof/>
            <w:webHidden/>
          </w:rPr>
          <w:fldChar w:fldCharType="end"/>
        </w:r>
      </w:hyperlink>
    </w:p>
    <w:p w14:paraId="2C2AC1DE" w14:textId="352371E5" w:rsidR="0045749D" w:rsidRDefault="0045749D">
      <w:pPr>
        <w:pStyle w:val="TOC1"/>
        <w:rPr>
          <w:rFonts w:asciiTheme="minorHAnsi" w:eastAsiaTheme="minorEastAsia" w:hAnsiTheme="minorHAnsi" w:cstheme="minorBidi"/>
          <w:caps w:val="0"/>
          <w:noProof/>
          <w:szCs w:val="22"/>
          <w:lang w:eastAsia="en-GB"/>
        </w:rPr>
      </w:pPr>
      <w:hyperlink w:anchor="_Toc528318952" w:history="1">
        <w:r w:rsidRPr="008D3C6C">
          <w:rPr>
            <w:rStyle w:val="Hyperlink"/>
            <w:rFonts w:cs="Arial"/>
            <w:noProof/>
          </w:rPr>
          <w:t>8.</w:t>
        </w:r>
        <w:r>
          <w:rPr>
            <w:rFonts w:asciiTheme="minorHAnsi" w:eastAsiaTheme="minorEastAsia" w:hAnsiTheme="minorHAnsi" w:cstheme="minorBidi"/>
            <w:caps w:val="0"/>
            <w:noProof/>
            <w:szCs w:val="22"/>
            <w:lang w:eastAsia="en-GB"/>
          </w:rPr>
          <w:tab/>
        </w:r>
        <w:r w:rsidRPr="008D3C6C">
          <w:rPr>
            <w:rStyle w:val="Hyperlink"/>
            <w:rFonts w:cs="Arial"/>
            <w:noProof/>
          </w:rPr>
          <w:t>authority’s responsibilities</w:t>
        </w:r>
        <w:r>
          <w:rPr>
            <w:noProof/>
            <w:webHidden/>
          </w:rPr>
          <w:tab/>
        </w:r>
        <w:r>
          <w:rPr>
            <w:noProof/>
            <w:webHidden/>
          </w:rPr>
          <w:fldChar w:fldCharType="begin"/>
        </w:r>
        <w:r>
          <w:rPr>
            <w:noProof/>
            <w:webHidden/>
          </w:rPr>
          <w:instrText xml:space="preserve"> PAGEREF _Toc528318952 \h </w:instrText>
        </w:r>
        <w:r>
          <w:rPr>
            <w:noProof/>
            <w:webHidden/>
          </w:rPr>
        </w:r>
        <w:r>
          <w:rPr>
            <w:noProof/>
            <w:webHidden/>
          </w:rPr>
          <w:fldChar w:fldCharType="separate"/>
        </w:r>
        <w:r>
          <w:rPr>
            <w:noProof/>
            <w:webHidden/>
          </w:rPr>
          <w:t>4</w:t>
        </w:r>
        <w:r>
          <w:rPr>
            <w:noProof/>
            <w:webHidden/>
          </w:rPr>
          <w:fldChar w:fldCharType="end"/>
        </w:r>
      </w:hyperlink>
    </w:p>
    <w:p w14:paraId="7F5C38DD" w14:textId="2BD54059" w:rsidR="0045749D" w:rsidRDefault="0045749D">
      <w:pPr>
        <w:pStyle w:val="TOC1"/>
        <w:rPr>
          <w:rFonts w:asciiTheme="minorHAnsi" w:eastAsiaTheme="minorEastAsia" w:hAnsiTheme="minorHAnsi" w:cstheme="minorBidi"/>
          <w:caps w:val="0"/>
          <w:noProof/>
          <w:szCs w:val="22"/>
          <w:lang w:eastAsia="en-GB"/>
        </w:rPr>
      </w:pPr>
      <w:hyperlink w:anchor="_Toc528318953" w:history="1">
        <w:r w:rsidRPr="008D3C6C">
          <w:rPr>
            <w:rStyle w:val="Hyperlink"/>
            <w:rFonts w:cs="Arial"/>
            <w:noProof/>
          </w:rPr>
          <w:t>9.</w:t>
        </w:r>
        <w:r>
          <w:rPr>
            <w:rFonts w:asciiTheme="minorHAnsi" w:eastAsiaTheme="minorEastAsia" w:hAnsiTheme="minorHAnsi" w:cstheme="minorBidi"/>
            <w:caps w:val="0"/>
            <w:noProof/>
            <w:szCs w:val="22"/>
            <w:lang w:eastAsia="en-GB"/>
          </w:rPr>
          <w:tab/>
        </w:r>
        <w:r w:rsidRPr="008D3C6C">
          <w:rPr>
            <w:rStyle w:val="Hyperlink"/>
            <w:rFonts w:cs="Arial"/>
            <w:noProof/>
          </w:rPr>
          <w:t>reporting</w:t>
        </w:r>
        <w:r>
          <w:rPr>
            <w:noProof/>
            <w:webHidden/>
          </w:rPr>
          <w:tab/>
        </w:r>
        <w:r>
          <w:rPr>
            <w:noProof/>
            <w:webHidden/>
          </w:rPr>
          <w:fldChar w:fldCharType="begin"/>
        </w:r>
        <w:r>
          <w:rPr>
            <w:noProof/>
            <w:webHidden/>
          </w:rPr>
          <w:instrText xml:space="preserve"> PAGEREF _Toc528318953 \h </w:instrText>
        </w:r>
        <w:r>
          <w:rPr>
            <w:noProof/>
            <w:webHidden/>
          </w:rPr>
        </w:r>
        <w:r>
          <w:rPr>
            <w:noProof/>
            <w:webHidden/>
          </w:rPr>
          <w:fldChar w:fldCharType="separate"/>
        </w:r>
        <w:r>
          <w:rPr>
            <w:noProof/>
            <w:webHidden/>
          </w:rPr>
          <w:t>4</w:t>
        </w:r>
        <w:r>
          <w:rPr>
            <w:noProof/>
            <w:webHidden/>
          </w:rPr>
          <w:fldChar w:fldCharType="end"/>
        </w:r>
      </w:hyperlink>
    </w:p>
    <w:p w14:paraId="0FFE609D" w14:textId="2F126E39" w:rsidR="0045749D" w:rsidRDefault="0045749D">
      <w:pPr>
        <w:pStyle w:val="TOC1"/>
        <w:rPr>
          <w:rFonts w:asciiTheme="minorHAnsi" w:eastAsiaTheme="minorEastAsia" w:hAnsiTheme="minorHAnsi" w:cstheme="minorBidi"/>
          <w:caps w:val="0"/>
          <w:noProof/>
          <w:szCs w:val="22"/>
          <w:lang w:eastAsia="en-GB"/>
        </w:rPr>
      </w:pPr>
      <w:hyperlink w:anchor="_Toc528318954" w:history="1">
        <w:r w:rsidRPr="008D3C6C">
          <w:rPr>
            <w:rStyle w:val="Hyperlink"/>
            <w:rFonts w:cs="Arial"/>
            <w:noProof/>
          </w:rPr>
          <w:t>10.</w:t>
        </w:r>
        <w:r>
          <w:rPr>
            <w:rFonts w:asciiTheme="minorHAnsi" w:eastAsiaTheme="minorEastAsia" w:hAnsiTheme="minorHAnsi" w:cstheme="minorBidi"/>
            <w:caps w:val="0"/>
            <w:noProof/>
            <w:szCs w:val="22"/>
            <w:lang w:eastAsia="en-GB"/>
          </w:rPr>
          <w:tab/>
        </w:r>
        <w:r w:rsidRPr="008D3C6C">
          <w:rPr>
            <w:rStyle w:val="Hyperlink"/>
            <w:rFonts w:cs="Arial"/>
            <w:noProof/>
          </w:rPr>
          <w:t>volumes</w:t>
        </w:r>
        <w:r>
          <w:rPr>
            <w:noProof/>
            <w:webHidden/>
          </w:rPr>
          <w:tab/>
        </w:r>
        <w:r>
          <w:rPr>
            <w:noProof/>
            <w:webHidden/>
          </w:rPr>
          <w:fldChar w:fldCharType="begin"/>
        </w:r>
        <w:r>
          <w:rPr>
            <w:noProof/>
            <w:webHidden/>
          </w:rPr>
          <w:instrText xml:space="preserve"> PAGEREF _Toc528318954 \h </w:instrText>
        </w:r>
        <w:r>
          <w:rPr>
            <w:noProof/>
            <w:webHidden/>
          </w:rPr>
        </w:r>
        <w:r>
          <w:rPr>
            <w:noProof/>
            <w:webHidden/>
          </w:rPr>
          <w:fldChar w:fldCharType="separate"/>
        </w:r>
        <w:r>
          <w:rPr>
            <w:noProof/>
            <w:webHidden/>
          </w:rPr>
          <w:t>4</w:t>
        </w:r>
        <w:r>
          <w:rPr>
            <w:noProof/>
            <w:webHidden/>
          </w:rPr>
          <w:fldChar w:fldCharType="end"/>
        </w:r>
      </w:hyperlink>
    </w:p>
    <w:p w14:paraId="2CCD10EC" w14:textId="711B5D04" w:rsidR="0045749D" w:rsidRDefault="0045749D">
      <w:pPr>
        <w:pStyle w:val="TOC1"/>
        <w:rPr>
          <w:rFonts w:asciiTheme="minorHAnsi" w:eastAsiaTheme="minorEastAsia" w:hAnsiTheme="minorHAnsi" w:cstheme="minorBidi"/>
          <w:caps w:val="0"/>
          <w:noProof/>
          <w:szCs w:val="22"/>
          <w:lang w:eastAsia="en-GB"/>
        </w:rPr>
      </w:pPr>
      <w:hyperlink w:anchor="_Toc528318955" w:history="1">
        <w:r w:rsidRPr="008D3C6C">
          <w:rPr>
            <w:rStyle w:val="Hyperlink"/>
            <w:rFonts w:cs="Arial"/>
            <w:noProof/>
          </w:rPr>
          <w:t>11.</w:t>
        </w:r>
        <w:r>
          <w:rPr>
            <w:rFonts w:asciiTheme="minorHAnsi" w:eastAsiaTheme="minorEastAsia" w:hAnsiTheme="minorHAnsi" w:cstheme="minorBidi"/>
            <w:caps w:val="0"/>
            <w:noProof/>
            <w:szCs w:val="22"/>
            <w:lang w:eastAsia="en-GB"/>
          </w:rPr>
          <w:tab/>
        </w:r>
        <w:r w:rsidRPr="008D3C6C">
          <w:rPr>
            <w:rStyle w:val="Hyperlink"/>
            <w:rFonts w:cs="Arial"/>
            <w:noProof/>
          </w:rPr>
          <w:t>continuous improvement</w:t>
        </w:r>
        <w:r>
          <w:rPr>
            <w:noProof/>
            <w:webHidden/>
          </w:rPr>
          <w:tab/>
        </w:r>
        <w:r>
          <w:rPr>
            <w:noProof/>
            <w:webHidden/>
          </w:rPr>
          <w:fldChar w:fldCharType="begin"/>
        </w:r>
        <w:r>
          <w:rPr>
            <w:noProof/>
            <w:webHidden/>
          </w:rPr>
          <w:instrText xml:space="preserve"> PAGEREF _Toc528318955 \h </w:instrText>
        </w:r>
        <w:r>
          <w:rPr>
            <w:noProof/>
            <w:webHidden/>
          </w:rPr>
        </w:r>
        <w:r>
          <w:rPr>
            <w:noProof/>
            <w:webHidden/>
          </w:rPr>
          <w:fldChar w:fldCharType="separate"/>
        </w:r>
        <w:r>
          <w:rPr>
            <w:noProof/>
            <w:webHidden/>
          </w:rPr>
          <w:t>4</w:t>
        </w:r>
        <w:r>
          <w:rPr>
            <w:noProof/>
            <w:webHidden/>
          </w:rPr>
          <w:fldChar w:fldCharType="end"/>
        </w:r>
      </w:hyperlink>
    </w:p>
    <w:p w14:paraId="520EF5D1" w14:textId="41CC5A44" w:rsidR="0045749D" w:rsidRDefault="0045749D">
      <w:pPr>
        <w:pStyle w:val="TOC1"/>
        <w:rPr>
          <w:rFonts w:asciiTheme="minorHAnsi" w:eastAsiaTheme="minorEastAsia" w:hAnsiTheme="minorHAnsi" w:cstheme="minorBidi"/>
          <w:caps w:val="0"/>
          <w:noProof/>
          <w:szCs w:val="22"/>
          <w:lang w:eastAsia="en-GB"/>
        </w:rPr>
      </w:pPr>
      <w:hyperlink w:anchor="_Toc528318956" w:history="1">
        <w:r w:rsidRPr="008D3C6C">
          <w:rPr>
            <w:rStyle w:val="Hyperlink"/>
            <w:noProof/>
          </w:rPr>
          <w:t>12.</w:t>
        </w:r>
        <w:r>
          <w:rPr>
            <w:rFonts w:asciiTheme="minorHAnsi" w:eastAsiaTheme="minorEastAsia" w:hAnsiTheme="minorHAnsi" w:cstheme="minorBidi"/>
            <w:caps w:val="0"/>
            <w:noProof/>
            <w:szCs w:val="22"/>
            <w:lang w:eastAsia="en-GB"/>
          </w:rPr>
          <w:tab/>
        </w:r>
        <w:r w:rsidRPr="008D3C6C">
          <w:rPr>
            <w:rStyle w:val="Hyperlink"/>
            <w:noProof/>
          </w:rPr>
          <w:t>Sustainability</w:t>
        </w:r>
        <w:r>
          <w:rPr>
            <w:noProof/>
            <w:webHidden/>
          </w:rPr>
          <w:tab/>
        </w:r>
        <w:r>
          <w:rPr>
            <w:noProof/>
            <w:webHidden/>
          </w:rPr>
          <w:fldChar w:fldCharType="begin"/>
        </w:r>
        <w:r>
          <w:rPr>
            <w:noProof/>
            <w:webHidden/>
          </w:rPr>
          <w:instrText xml:space="preserve"> PAGEREF _Toc528318956 \h </w:instrText>
        </w:r>
        <w:r>
          <w:rPr>
            <w:noProof/>
            <w:webHidden/>
          </w:rPr>
        </w:r>
        <w:r>
          <w:rPr>
            <w:noProof/>
            <w:webHidden/>
          </w:rPr>
          <w:fldChar w:fldCharType="separate"/>
        </w:r>
        <w:r>
          <w:rPr>
            <w:noProof/>
            <w:webHidden/>
          </w:rPr>
          <w:t>4</w:t>
        </w:r>
        <w:r>
          <w:rPr>
            <w:noProof/>
            <w:webHidden/>
          </w:rPr>
          <w:fldChar w:fldCharType="end"/>
        </w:r>
      </w:hyperlink>
    </w:p>
    <w:p w14:paraId="22F922BA" w14:textId="57AFA743" w:rsidR="0045749D" w:rsidRDefault="0045749D">
      <w:pPr>
        <w:pStyle w:val="TOC1"/>
        <w:rPr>
          <w:rFonts w:asciiTheme="minorHAnsi" w:eastAsiaTheme="minorEastAsia" w:hAnsiTheme="minorHAnsi" w:cstheme="minorBidi"/>
          <w:caps w:val="0"/>
          <w:noProof/>
          <w:szCs w:val="22"/>
          <w:lang w:eastAsia="en-GB"/>
        </w:rPr>
      </w:pPr>
      <w:hyperlink w:anchor="_Toc528318957" w:history="1">
        <w:r w:rsidRPr="008D3C6C">
          <w:rPr>
            <w:rStyle w:val="Hyperlink"/>
            <w:rFonts w:cs="Arial"/>
            <w:noProof/>
          </w:rPr>
          <w:t>13.</w:t>
        </w:r>
        <w:r>
          <w:rPr>
            <w:rFonts w:asciiTheme="minorHAnsi" w:eastAsiaTheme="minorEastAsia" w:hAnsiTheme="minorHAnsi" w:cstheme="minorBidi"/>
            <w:caps w:val="0"/>
            <w:noProof/>
            <w:szCs w:val="22"/>
            <w:lang w:eastAsia="en-GB"/>
          </w:rPr>
          <w:tab/>
        </w:r>
        <w:r w:rsidRPr="008D3C6C">
          <w:rPr>
            <w:rStyle w:val="Hyperlink"/>
            <w:rFonts w:cs="Arial"/>
            <w:noProof/>
          </w:rPr>
          <w:t>quality</w:t>
        </w:r>
        <w:r>
          <w:rPr>
            <w:noProof/>
            <w:webHidden/>
          </w:rPr>
          <w:tab/>
        </w:r>
        <w:r>
          <w:rPr>
            <w:noProof/>
            <w:webHidden/>
          </w:rPr>
          <w:fldChar w:fldCharType="begin"/>
        </w:r>
        <w:r>
          <w:rPr>
            <w:noProof/>
            <w:webHidden/>
          </w:rPr>
          <w:instrText xml:space="preserve"> PAGEREF _Toc528318957 \h </w:instrText>
        </w:r>
        <w:r>
          <w:rPr>
            <w:noProof/>
            <w:webHidden/>
          </w:rPr>
        </w:r>
        <w:r>
          <w:rPr>
            <w:noProof/>
            <w:webHidden/>
          </w:rPr>
          <w:fldChar w:fldCharType="separate"/>
        </w:r>
        <w:r>
          <w:rPr>
            <w:noProof/>
            <w:webHidden/>
          </w:rPr>
          <w:t>4</w:t>
        </w:r>
        <w:r>
          <w:rPr>
            <w:noProof/>
            <w:webHidden/>
          </w:rPr>
          <w:fldChar w:fldCharType="end"/>
        </w:r>
      </w:hyperlink>
    </w:p>
    <w:p w14:paraId="4AB5FE34" w14:textId="08B096E6" w:rsidR="0045749D" w:rsidRDefault="0045749D">
      <w:pPr>
        <w:pStyle w:val="TOC1"/>
        <w:rPr>
          <w:rFonts w:asciiTheme="minorHAnsi" w:eastAsiaTheme="minorEastAsia" w:hAnsiTheme="minorHAnsi" w:cstheme="minorBidi"/>
          <w:caps w:val="0"/>
          <w:noProof/>
          <w:szCs w:val="22"/>
          <w:lang w:eastAsia="en-GB"/>
        </w:rPr>
      </w:pPr>
      <w:hyperlink w:anchor="_Toc528318958" w:history="1">
        <w:r w:rsidRPr="008D3C6C">
          <w:rPr>
            <w:rStyle w:val="Hyperlink"/>
            <w:rFonts w:cs="Arial"/>
            <w:noProof/>
          </w:rPr>
          <w:t>14.</w:t>
        </w:r>
        <w:r>
          <w:rPr>
            <w:rFonts w:asciiTheme="minorHAnsi" w:eastAsiaTheme="minorEastAsia" w:hAnsiTheme="minorHAnsi" w:cstheme="minorBidi"/>
            <w:caps w:val="0"/>
            <w:noProof/>
            <w:szCs w:val="22"/>
            <w:lang w:eastAsia="en-GB"/>
          </w:rPr>
          <w:tab/>
        </w:r>
        <w:r w:rsidRPr="008D3C6C">
          <w:rPr>
            <w:rStyle w:val="Hyperlink"/>
            <w:rFonts w:cs="Arial"/>
            <w:noProof/>
          </w:rPr>
          <w:t>PRICE</w:t>
        </w:r>
        <w:r>
          <w:rPr>
            <w:noProof/>
            <w:webHidden/>
          </w:rPr>
          <w:tab/>
        </w:r>
        <w:r>
          <w:rPr>
            <w:noProof/>
            <w:webHidden/>
          </w:rPr>
          <w:fldChar w:fldCharType="begin"/>
        </w:r>
        <w:r>
          <w:rPr>
            <w:noProof/>
            <w:webHidden/>
          </w:rPr>
          <w:instrText xml:space="preserve"> PAGEREF _Toc528318958 \h </w:instrText>
        </w:r>
        <w:r>
          <w:rPr>
            <w:noProof/>
            <w:webHidden/>
          </w:rPr>
        </w:r>
        <w:r>
          <w:rPr>
            <w:noProof/>
            <w:webHidden/>
          </w:rPr>
          <w:fldChar w:fldCharType="separate"/>
        </w:r>
        <w:r>
          <w:rPr>
            <w:noProof/>
            <w:webHidden/>
          </w:rPr>
          <w:t>4</w:t>
        </w:r>
        <w:r>
          <w:rPr>
            <w:noProof/>
            <w:webHidden/>
          </w:rPr>
          <w:fldChar w:fldCharType="end"/>
        </w:r>
      </w:hyperlink>
    </w:p>
    <w:p w14:paraId="42E5F96A" w14:textId="7999BC0F" w:rsidR="0045749D" w:rsidRDefault="0045749D">
      <w:pPr>
        <w:pStyle w:val="TOC1"/>
        <w:rPr>
          <w:rFonts w:asciiTheme="minorHAnsi" w:eastAsiaTheme="minorEastAsia" w:hAnsiTheme="minorHAnsi" w:cstheme="minorBidi"/>
          <w:caps w:val="0"/>
          <w:noProof/>
          <w:szCs w:val="22"/>
          <w:lang w:eastAsia="en-GB"/>
        </w:rPr>
      </w:pPr>
      <w:hyperlink w:anchor="_Toc528318959" w:history="1">
        <w:r w:rsidRPr="008D3C6C">
          <w:rPr>
            <w:rStyle w:val="Hyperlink"/>
            <w:rFonts w:cs="Arial"/>
            <w:noProof/>
          </w:rPr>
          <w:t>15.</w:t>
        </w:r>
        <w:r>
          <w:rPr>
            <w:rFonts w:asciiTheme="minorHAnsi" w:eastAsiaTheme="minorEastAsia" w:hAnsiTheme="minorHAnsi" w:cstheme="minorBidi"/>
            <w:caps w:val="0"/>
            <w:noProof/>
            <w:szCs w:val="22"/>
            <w:lang w:eastAsia="en-GB"/>
          </w:rPr>
          <w:tab/>
        </w:r>
        <w:r w:rsidRPr="008D3C6C">
          <w:rPr>
            <w:rStyle w:val="Hyperlink"/>
            <w:rFonts w:cs="Arial"/>
            <w:noProof/>
          </w:rPr>
          <w:t>STAFF AND CUSTOMER SERVICE</w:t>
        </w:r>
        <w:r>
          <w:rPr>
            <w:noProof/>
            <w:webHidden/>
          </w:rPr>
          <w:tab/>
        </w:r>
        <w:r>
          <w:rPr>
            <w:noProof/>
            <w:webHidden/>
          </w:rPr>
          <w:fldChar w:fldCharType="begin"/>
        </w:r>
        <w:r>
          <w:rPr>
            <w:noProof/>
            <w:webHidden/>
          </w:rPr>
          <w:instrText xml:space="preserve"> PAGEREF _Toc528318959 \h </w:instrText>
        </w:r>
        <w:r>
          <w:rPr>
            <w:noProof/>
            <w:webHidden/>
          </w:rPr>
        </w:r>
        <w:r>
          <w:rPr>
            <w:noProof/>
            <w:webHidden/>
          </w:rPr>
          <w:fldChar w:fldCharType="separate"/>
        </w:r>
        <w:r>
          <w:rPr>
            <w:noProof/>
            <w:webHidden/>
          </w:rPr>
          <w:t>4</w:t>
        </w:r>
        <w:r>
          <w:rPr>
            <w:noProof/>
            <w:webHidden/>
          </w:rPr>
          <w:fldChar w:fldCharType="end"/>
        </w:r>
      </w:hyperlink>
    </w:p>
    <w:p w14:paraId="0B9E4043" w14:textId="19D088BB" w:rsidR="0045749D" w:rsidRDefault="0045749D">
      <w:pPr>
        <w:pStyle w:val="TOC1"/>
        <w:rPr>
          <w:rFonts w:asciiTheme="minorHAnsi" w:eastAsiaTheme="minorEastAsia" w:hAnsiTheme="minorHAnsi" w:cstheme="minorBidi"/>
          <w:caps w:val="0"/>
          <w:noProof/>
          <w:szCs w:val="22"/>
          <w:lang w:eastAsia="en-GB"/>
        </w:rPr>
      </w:pPr>
      <w:hyperlink w:anchor="_Toc528318960" w:history="1">
        <w:r w:rsidRPr="008D3C6C">
          <w:rPr>
            <w:rStyle w:val="Hyperlink"/>
            <w:rFonts w:cs="Arial"/>
            <w:noProof/>
          </w:rPr>
          <w:t>16.</w:t>
        </w:r>
        <w:r>
          <w:rPr>
            <w:rFonts w:asciiTheme="minorHAnsi" w:eastAsiaTheme="minorEastAsia" w:hAnsiTheme="minorHAnsi" w:cstheme="minorBidi"/>
            <w:caps w:val="0"/>
            <w:noProof/>
            <w:szCs w:val="22"/>
            <w:lang w:eastAsia="en-GB"/>
          </w:rPr>
          <w:tab/>
        </w:r>
        <w:r w:rsidRPr="008D3C6C">
          <w:rPr>
            <w:rStyle w:val="Hyperlink"/>
            <w:rFonts w:cs="Arial"/>
            <w:noProof/>
          </w:rPr>
          <w:t>service levels and performance</w:t>
        </w:r>
        <w:r>
          <w:rPr>
            <w:noProof/>
            <w:webHidden/>
          </w:rPr>
          <w:tab/>
        </w:r>
        <w:r>
          <w:rPr>
            <w:noProof/>
            <w:webHidden/>
          </w:rPr>
          <w:fldChar w:fldCharType="begin"/>
        </w:r>
        <w:r>
          <w:rPr>
            <w:noProof/>
            <w:webHidden/>
          </w:rPr>
          <w:instrText xml:space="preserve"> PAGEREF _Toc528318960 \h </w:instrText>
        </w:r>
        <w:r>
          <w:rPr>
            <w:noProof/>
            <w:webHidden/>
          </w:rPr>
        </w:r>
        <w:r>
          <w:rPr>
            <w:noProof/>
            <w:webHidden/>
          </w:rPr>
          <w:fldChar w:fldCharType="separate"/>
        </w:r>
        <w:r>
          <w:rPr>
            <w:noProof/>
            <w:webHidden/>
          </w:rPr>
          <w:t>5</w:t>
        </w:r>
        <w:r>
          <w:rPr>
            <w:noProof/>
            <w:webHidden/>
          </w:rPr>
          <w:fldChar w:fldCharType="end"/>
        </w:r>
      </w:hyperlink>
    </w:p>
    <w:p w14:paraId="5113FB44" w14:textId="701A3C62" w:rsidR="0045749D" w:rsidRDefault="0045749D">
      <w:pPr>
        <w:pStyle w:val="TOC1"/>
        <w:rPr>
          <w:rFonts w:asciiTheme="minorHAnsi" w:eastAsiaTheme="minorEastAsia" w:hAnsiTheme="minorHAnsi" w:cstheme="minorBidi"/>
          <w:caps w:val="0"/>
          <w:noProof/>
          <w:szCs w:val="22"/>
          <w:lang w:eastAsia="en-GB"/>
        </w:rPr>
      </w:pPr>
      <w:hyperlink w:anchor="_Toc528318961" w:history="1">
        <w:r w:rsidRPr="008D3C6C">
          <w:rPr>
            <w:rStyle w:val="Hyperlink"/>
            <w:noProof/>
          </w:rPr>
          <w:t>17.</w:t>
        </w:r>
        <w:r>
          <w:rPr>
            <w:rFonts w:asciiTheme="minorHAnsi" w:eastAsiaTheme="minorEastAsia" w:hAnsiTheme="minorHAnsi" w:cstheme="minorBidi"/>
            <w:caps w:val="0"/>
            <w:noProof/>
            <w:szCs w:val="22"/>
            <w:lang w:eastAsia="en-GB"/>
          </w:rPr>
          <w:tab/>
        </w:r>
        <w:r w:rsidRPr="008D3C6C">
          <w:rPr>
            <w:rStyle w:val="Hyperlink"/>
            <w:noProof/>
          </w:rPr>
          <w:t>Security requirements</w:t>
        </w:r>
        <w:r>
          <w:rPr>
            <w:noProof/>
            <w:webHidden/>
          </w:rPr>
          <w:tab/>
        </w:r>
        <w:r>
          <w:rPr>
            <w:noProof/>
            <w:webHidden/>
          </w:rPr>
          <w:fldChar w:fldCharType="begin"/>
        </w:r>
        <w:r>
          <w:rPr>
            <w:noProof/>
            <w:webHidden/>
          </w:rPr>
          <w:instrText xml:space="preserve"> PAGEREF _Toc528318961 \h </w:instrText>
        </w:r>
        <w:r>
          <w:rPr>
            <w:noProof/>
            <w:webHidden/>
          </w:rPr>
        </w:r>
        <w:r>
          <w:rPr>
            <w:noProof/>
            <w:webHidden/>
          </w:rPr>
          <w:fldChar w:fldCharType="separate"/>
        </w:r>
        <w:r>
          <w:rPr>
            <w:noProof/>
            <w:webHidden/>
          </w:rPr>
          <w:t>5</w:t>
        </w:r>
        <w:r>
          <w:rPr>
            <w:noProof/>
            <w:webHidden/>
          </w:rPr>
          <w:fldChar w:fldCharType="end"/>
        </w:r>
      </w:hyperlink>
    </w:p>
    <w:p w14:paraId="069B5100" w14:textId="398B5C43" w:rsidR="0045749D" w:rsidRDefault="0045749D">
      <w:pPr>
        <w:pStyle w:val="TOC1"/>
        <w:rPr>
          <w:rFonts w:asciiTheme="minorHAnsi" w:eastAsiaTheme="minorEastAsia" w:hAnsiTheme="minorHAnsi" w:cstheme="minorBidi"/>
          <w:caps w:val="0"/>
          <w:noProof/>
          <w:szCs w:val="22"/>
          <w:lang w:eastAsia="en-GB"/>
        </w:rPr>
      </w:pPr>
      <w:hyperlink w:anchor="_Toc528318962" w:history="1">
        <w:r w:rsidRPr="008D3C6C">
          <w:rPr>
            <w:rStyle w:val="Hyperlink"/>
            <w:rFonts w:cs="Arial"/>
            <w:noProof/>
          </w:rPr>
          <w:t>18.</w:t>
        </w:r>
        <w:r>
          <w:rPr>
            <w:rFonts w:asciiTheme="minorHAnsi" w:eastAsiaTheme="minorEastAsia" w:hAnsiTheme="minorHAnsi" w:cstheme="minorBidi"/>
            <w:caps w:val="0"/>
            <w:noProof/>
            <w:szCs w:val="22"/>
            <w:lang w:eastAsia="en-GB"/>
          </w:rPr>
          <w:tab/>
        </w:r>
        <w:r w:rsidRPr="008D3C6C">
          <w:rPr>
            <w:rStyle w:val="Hyperlink"/>
            <w:rFonts w:cs="Arial"/>
            <w:noProof/>
          </w:rPr>
          <w:t>intellectual property rights (ipr)</w:t>
        </w:r>
        <w:r>
          <w:rPr>
            <w:noProof/>
            <w:webHidden/>
          </w:rPr>
          <w:tab/>
        </w:r>
        <w:r>
          <w:rPr>
            <w:noProof/>
            <w:webHidden/>
          </w:rPr>
          <w:fldChar w:fldCharType="begin"/>
        </w:r>
        <w:r>
          <w:rPr>
            <w:noProof/>
            <w:webHidden/>
          </w:rPr>
          <w:instrText xml:space="preserve"> PAGEREF _Toc528318962 \h </w:instrText>
        </w:r>
        <w:r>
          <w:rPr>
            <w:noProof/>
            <w:webHidden/>
          </w:rPr>
        </w:r>
        <w:r>
          <w:rPr>
            <w:noProof/>
            <w:webHidden/>
          </w:rPr>
          <w:fldChar w:fldCharType="separate"/>
        </w:r>
        <w:r>
          <w:rPr>
            <w:noProof/>
            <w:webHidden/>
          </w:rPr>
          <w:t>5</w:t>
        </w:r>
        <w:r>
          <w:rPr>
            <w:noProof/>
            <w:webHidden/>
          </w:rPr>
          <w:fldChar w:fldCharType="end"/>
        </w:r>
      </w:hyperlink>
    </w:p>
    <w:p w14:paraId="0F7F12B1" w14:textId="325F361B" w:rsidR="0045749D" w:rsidRDefault="0045749D">
      <w:pPr>
        <w:pStyle w:val="TOC1"/>
        <w:rPr>
          <w:rFonts w:asciiTheme="minorHAnsi" w:eastAsiaTheme="minorEastAsia" w:hAnsiTheme="minorHAnsi" w:cstheme="minorBidi"/>
          <w:caps w:val="0"/>
          <w:noProof/>
          <w:szCs w:val="22"/>
          <w:lang w:eastAsia="en-GB"/>
        </w:rPr>
      </w:pPr>
      <w:hyperlink w:anchor="_Toc528318963" w:history="1">
        <w:r w:rsidRPr="008D3C6C">
          <w:rPr>
            <w:rStyle w:val="Hyperlink"/>
            <w:rFonts w:cs="Arial"/>
            <w:noProof/>
          </w:rPr>
          <w:t>19.</w:t>
        </w:r>
        <w:r>
          <w:rPr>
            <w:rFonts w:asciiTheme="minorHAnsi" w:eastAsiaTheme="minorEastAsia" w:hAnsiTheme="minorHAnsi" w:cstheme="minorBidi"/>
            <w:caps w:val="0"/>
            <w:noProof/>
            <w:szCs w:val="22"/>
            <w:lang w:eastAsia="en-GB"/>
          </w:rPr>
          <w:tab/>
        </w:r>
        <w:r w:rsidRPr="008D3C6C">
          <w:rPr>
            <w:rStyle w:val="Hyperlink"/>
            <w:rFonts w:cs="Arial"/>
            <w:noProof/>
          </w:rPr>
          <w:t>payment</w:t>
        </w:r>
        <w:r>
          <w:rPr>
            <w:noProof/>
            <w:webHidden/>
          </w:rPr>
          <w:tab/>
        </w:r>
        <w:r>
          <w:rPr>
            <w:noProof/>
            <w:webHidden/>
          </w:rPr>
          <w:fldChar w:fldCharType="begin"/>
        </w:r>
        <w:r>
          <w:rPr>
            <w:noProof/>
            <w:webHidden/>
          </w:rPr>
          <w:instrText xml:space="preserve"> PAGEREF _Toc528318963 \h </w:instrText>
        </w:r>
        <w:r>
          <w:rPr>
            <w:noProof/>
            <w:webHidden/>
          </w:rPr>
        </w:r>
        <w:r>
          <w:rPr>
            <w:noProof/>
            <w:webHidden/>
          </w:rPr>
          <w:fldChar w:fldCharType="separate"/>
        </w:r>
        <w:r>
          <w:rPr>
            <w:noProof/>
            <w:webHidden/>
          </w:rPr>
          <w:t>6</w:t>
        </w:r>
        <w:r>
          <w:rPr>
            <w:noProof/>
            <w:webHidden/>
          </w:rPr>
          <w:fldChar w:fldCharType="end"/>
        </w:r>
      </w:hyperlink>
    </w:p>
    <w:p w14:paraId="18FCD1CA" w14:textId="09AB7364" w:rsidR="0045749D" w:rsidRDefault="0045749D">
      <w:pPr>
        <w:pStyle w:val="TOC1"/>
        <w:rPr>
          <w:rFonts w:asciiTheme="minorHAnsi" w:eastAsiaTheme="minorEastAsia" w:hAnsiTheme="minorHAnsi" w:cstheme="minorBidi"/>
          <w:caps w:val="0"/>
          <w:noProof/>
          <w:szCs w:val="22"/>
          <w:lang w:eastAsia="en-GB"/>
        </w:rPr>
      </w:pPr>
      <w:hyperlink w:anchor="_Toc528318964" w:history="1">
        <w:r w:rsidRPr="008D3C6C">
          <w:rPr>
            <w:rStyle w:val="Hyperlink"/>
            <w:noProof/>
          </w:rPr>
          <w:t>20.</w:t>
        </w:r>
        <w:r>
          <w:rPr>
            <w:rFonts w:asciiTheme="minorHAnsi" w:eastAsiaTheme="minorEastAsia" w:hAnsiTheme="minorHAnsi" w:cstheme="minorBidi"/>
            <w:caps w:val="0"/>
            <w:noProof/>
            <w:szCs w:val="22"/>
            <w:lang w:eastAsia="en-GB"/>
          </w:rPr>
          <w:tab/>
        </w:r>
        <w:r w:rsidRPr="008D3C6C">
          <w:rPr>
            <w:rStyle w:val="Hyperlink"/>
            <w:noProof/>
          </w:rPr>
          <w:t>additional information</w:t>
        </w:r>
        <w:r>
          <w:rPr>
            <w:noProof/>
            <w:webHidden/>
          </w:rPr>
          <w:tab/>
        </w:r>
        <w:r>
          <w:rPr>
            <w:noProof/>
            <w:webHidden/>
          </w:rPr>
          <w:fldChar w:fldCharType="begin"/>
        </w:r>
        <w:r>
          <w:rPr>
            <w:noProof/>
            <w:webHidden/>
          </w:rPr>
          <w:instrText xml:space="preserve"> PAGEREF _Toc528318964 \h </w:instrText>
        </w:r>
        <w:r>
          <w:rPr>
            <w:noProof/>
            <w:webHidden/>
          </w:rPr>
        </w:r>
        <w:r>
          <w:rPr>
            <w:noProof/>
            <w:webHidden/>
          </w:rPr>
          <w:fldChar w:fldCharType="separate"/>
        </w:r>
        <w:r>
          <w:rPr>
            <w:noProof/>
            <w:webHidden/>
          </w:rPr>
          <w:t>6</w:t>
        </w:r>
        <w:r>
          <w:rPr>
            <w:noProof/>
            <w:webHidden/>
          </w:rPr>
          <w:fldChar w:fldCharType="end"/>
        </w:r>
      </w:hyperlink>
    </w:p>
    <w:p w14:paraId="360902C8" w14:textId="1176850B" w:rsidR="0045749D" w:rsidRDefault="0045749D">
      <w:pPr>
        <w:pStyle w:val="TOC1"/>
        <w:rPr>
          <w:rFonts w:asciiTheme="minorHAnsi" w:eastAsiaTheme="minorEastAsia" w:hAnsiTheme="minorHAnsi" w:cstheme="minorBidi"/>
          <w:caps w:val="0"/>
          <w:noProof/>
          <w:szCs w:val="22"/>
          <w:lang w:eastAsia="en-GB"/>
        </w:rPr>
      </w:pPr>
      <w:hyperlink w:anchor="_Toc528318965" w:history="1">
        <w:r w:rsidRPr="008D3C6C">
          <w:rPr>
            <w:rStyle w:val="Hyperlink"/>
            <w:noProof/>
          </w:rPr>
          <w:t>21.</w:t>
        </w:r>
        <w:r>
          <w:rPr>
            <w:rFonts w:asciiTheme="minorHAnsi" w:eastAsiaTheme="minorEastAsia" w:hAnsiTheme="minorHAnsi" w:cstheme="minorBidi"/>
            <w:caps w:val="0"/>
            <w:noProof/>
            <w:szCs w:val="22"/>
            <w:lang w:eastAsia="en-GB"/>
          </w:rPr>
          <w:tab/>
        </w:r>
        <w:r w:rsidRPr="008D3C6C">
          <w:rPr>
            <w:rStyle w:val="Hyperlink"/>
            <w:noProof/>
          </w:rPr>
          <w:t>Location</w:t>
        </w:r>
        <w:r>
          <w:rPr>
            <w:noProof/>
            <w:webHidden/>
          </w:rPr>
          <w:tab/>
        </w:r>
        <w:r>
          <w:rPr>
            <w:noProof/>
            <w:webHidden/>
          </w:rPr>
          <w:fldChar w:fldCharType="begin"/>
        </w:r>
        <w:r>
          <w:rPr>
            <w:noProof/>
            <w:webHidden/>
          </w:rPr>
          <w:instrText xml:space="preserve"> PAGEREF _Toc528318965 \h </w:instrText>
        </w:r>
        <w:r>
          <w:rPr>
            <w:noProof/>
            <w:webHidden/>
          </w:rPr>
        </w:r>
        <w:r>
          <w:rPr>
            <w:noProof/>
            <w:webHidden/>
          </w:rPr>
          <w:fldChar w:fldCharType="separate"/>
        </w:r>
        <w:r>
          <w:rPr>
            <w:noProof/>
            <w:webHidden/>
          </w:rPr>
          <w:t>6</w:t>
        </w:r>
        <w:r>
          <w:rPr>
            <w:noProof/>
            <w:webHidden/>
          </w:rPr>
          <w:fldChar w:fldCharType="end"/>
        </w:r>
      </w:hyperlink>
    </w:p>
    <w:p w14:paraId="75B587D0" w14:textId="77777777" w:rsidR="00FE18AC" w:rsidRPr="00376787" w:rsidRDefault="00E10E97" w:rsidP="00FE18AC">
      <w:pPr>
        <w:spacing w:after="120"/>
        <w:jc w:val="center"/>
        <w:rPr>
          <w:b/>
        </w:rPr>
      </w:pPr>
      <w:r w:rsidRPr="00376787">
        <w:rPr>
          <w:rFonts w:cs="Arial"/>
          <w:caps/>
        </w:rPr>
        <w:fldChar w:fldCharType="end"/>
      </w:r>
    </w:p>
    <w:p w14:paraId="5028283A" w14:textId="77777777" w:rsidR="00F44D62" w:rsidRPr="00376787" w:rsidRDefault="00F44D62" w:rsidP="00F44D62">
      <w:pPr>
        <w:adjustRightInd w:val="0"/>
        <w:spacing w:before="60" w:after="60"/>
        <w:jc w:val="center"/>
        <w:rPr>
          <w:rFonts w:eastAsia="STZhongsong" w:cs="Arial"/>
          <w:b/>
          <w:szCs w:val="22"/>
        </w:rPr>
      </w:pPr>
      <w:bookmarkStart w:id="0" w:name="_Toc297554772"/>
    </w:p>
    <w:p w14:paraId="2F9C280A" w14:textId="77777777" w:rsidR="00FE18AC" w:rsidRPr="00376787" w:rsidRDefault="00FE18AC" w:rsidP="00F44D62">
      <w:pPr>
        <w:pStyle w:val="Heading1"/>
        <w:numPr>
          <w:ilvl w:val="0"/>
          <w:numId w:val="0"/>
        </w:numPr>
        <w:overflowPunct w:val="0"/>
        <w:autoSpaceDE w:val="0"/>
        <w:autoSpaceDN w:val="0"/>
        <w:spacing w:after="120"/>
        <w:ind w:left="720"/>
        <w:textAlignment w:val="baseline"/>
        <w:rPr>
          <w:szCs w:val="22"/>
        </w:rPr>
      </w:pPr>
      <w:r w:rsidRPr="00376787">
        <w:rPr>
          <w:caps w:val="0"/>
          <w:szCs w:val="22"/>
        </w:rPr>
        <w:br w:type="page"/>
      </w:r>
    </w:p>
    <w:p w14:paraId="14B8E1D9" w14:textId="77777777" w:rsidR="00FE18AC" w:rsidRPr="00376787" w:rsidRDefault="00FE18AC" w:rsidP="00376787">
      <w:pPr>
        <w:pStyle w:val="Heading1"/>
        <w:numPr>
          <w:ilvl w:val="0"/>
          <w:numId w:val="30"/>
        </w:numPr>
        <w:tabs>
          <w:tab w:val="clear" w:pos="720"/>
        </w:tabs>
        <w:overflowPunct w:val="0"/>
        <w:autoSpaceDE w:val="0"/>
        <w:autoSpaceDN w:val="0"/>
        <w:spacing w:before="240" w:after="120"/>
        <w:textAlignment w:val="baseline"/>
        <w:rPr>
          <w:szCs w:val="22"/>
        </w:rPr>
      </w:pPr>
      <w:bookmarkStart w:id="1" w:name="_Toc368573027"/>
      <w:bookmarkStart w:id="2" w:name="_Toc528318945"/>
      <w:r w:rsidRPr="00376787">
        <w:rPr>
          <w:caps w:val="0"/>
          <w:szCs w:val="22"/>
        </w:rPr>
        <w:lastRenderedPageBreak/>
        <w:t>PURPOSE</w:t>
      </w:r>
      <w:bookmarkEnd w:id="0"/>
      <w:bookmarkEnd w:id="1"/>
      <w:bookmarkEnd w:id="2"/>
    </w:p>
    <w:p w14:paraId="13BD0FFC" w14:textId="167B8DED" w:rsidR="00FE18AC" w:rsidRPr="00376787" w:rsidRDefault="00805385" w:rsidP="00376787">
      <w:pPr>
        <w:pStyle w:val="Heading2"/>
        <w:spacing w:after="120"/>
        <w:rPr>
          <w:szCs w:val="22"/>
        </w:rPr>
      </w:pPr>
      <w:bookmarkStart w:id="3" w:name="_Toc296415791"/>
      <w:r w:rsidRPr="00376787">
        <w:rPr>
          <w:szCs w:val="22"/>
        </w:rPr>
        <w:t>The Ministry of Defence (hereafter referred to as “The Authority”) is looking to award a contract to a suitable certification body to certify 1710 N</w:t>
      </w:r>
      <w:r w:rsidR="009B24DD">
        <w:rPr>
          <w:szCs w:val="22"/>
        </w:rPr>
        <w:t xml:space="preserve">aval Air </w:t>
      </w:r>
      <w:r w:rsidRPr="00376787">
        <w:rPr>
          <w:szCs w:val="22"/>
        </w:rPr>
        <w:t>S</w:t>
      </w:r>
      <w:r w:rsidR="009B24DD">
        <w:rPr>
          <w:szCs w:val="22"/>
        </w:rPr>
        <w:t>quadron</w:t>
      </w:r>
      <w:r w:rsidRPr="00376787">
        <w:rPr>
          <w:szCs w:val="22"/>
        </w:rPr>
        <w:t xml:space="preserve"> to ISO 9001 standard.</w:t>
      </w:r>
    </w:p>
    <w:p w14:paraId="571AFB54" w14:textId="77777777" w:rsidR="00671798" w:rsidRPr="00376787" w:rsidRDefault="00FE18AC" w:rsidP="00376787">
      <w:pPr>
        <w:pStyle w:val="Heading1"/>
        <w:tabs>
          <w:tab w:val="clear" w:pos="720"/>
        </w:tabs>
        <w:overflowPunct w:val="0"/>
        <w:autoSpaceDE w:val="0"/>
        <w:autoSpaceDN w:val="0"/>
        <w:spacing w:before="240" w:after="120"/>
        <w:textAlignment w:val="baseline"/>
        <w:rPr>
          <w:szCs w:val="22"/>
        </w:rPr>
      </w:pPr>
      <w:bookmarkStart w:id="4" w:name="_Toc368573028"/>
      <w:bookmarkStart w:id="5" w:name="_Toc297554773"/>
      <w:bookmarkStart w:id="6" w:name="_Toc296415805"/>
      <w:bookmarkStart w:id="7" w:name="_Toc296415793"/>
      <w:bookmarkStart w:id="8" w:name="_Toc528318946"/>
      <w:bookmarkEnd w:id="3"/>
      <w:r w:rsidRPr="00376787">
        <w:rPr>
          <w:szCs w:val="22"/>
        </w:rPr>
        <w:t>BACKGROUND TO THE CONTRACTING aUTHORITY</w:t>
      </w:r>
      <w:bookmarkEnd w:id="4"/>
      <w:bookmarkEnd w:id="8"/>
    </w:p>
    <w:p w14:paraId="4128BBFA" w14:textId="0E066FD6" w:rsidR="00671798" w:rsidRPr="00376787" w:rsidRDefault="00805385" w:rsidP="00376787">
      <w:pPr>
        <w:pStyle w:val="Heading2"/>
        <w:spacing w:after="120"/>
      </w:pPr>
      <w:r w:rsidRPr="00376787">
        <w:t xml:space="preserve">The Ministry of Defence (MOD) protect the security, independence and interests of our country at home and abroad. The Authority work with allies and partners whenever possible. </w:t>
      </w:r>
      <w:r w:rsidR="00B05851">
        <w:t>The</w:t>
      </w:r>
      <w:r w:rsidRPr="00376787">
        <w:t xml:space="preserve"> aim is to ensure that the armed forces have the training, equipment and support necessary for their work, and that we keep within budget. MOD is a ministerial department, supported by 27 agencies and public bodies.</w:t>
      </w:r>
    </w:p>
    <w:p w14:paraId="52C04654" w14:textId="77777777" w:rsidR="00FE18AC" w:rsidRPr="00376787" w:rsidRDefault="00FE18AC" w:rsidP="00376787">
      <w:pPr>
        <w:pStyle w:val="Heading1"/>
        <w:tabs>
          <w:tab w:val="clear" w:pos="720"/>
        </w:tabs>
        <w:overflowPunct w:val="0"/>
        <w:autoSpaceDE w:val="0"/>
        <w:autoSpaceDN w:val="0"/>
        <w:spacing w:before="240" w:after="120"/>
        <w:textAlignment w:val="baseline"/>
        <w:rPr>
          <w:szCs w:val="22"/>
        </w:rPr>
      </w:pPr>
      <w:bookmarkStart w:id="9" w:name="_Toc368573029"/>
      <w:bookmarkStart w:id="10" w:name="_Toc528318947"/>
      <w:r w:rsidRPr="00376787">
        <w:rPr>
          <w:szCs w:val="22"/>
        </w:rPr>
        <w:t>Background to requirement/OVERVIEW</w:t>
      </w:r>
      <w:bookmarkEnd w:id="5"/>
      <w:r w:rsidRPr="00376787">
        <w:rPr>
          <w:szCs w:val="22"/>
        </w:rPr>
        <w:t xml:space="preserve"> of requirement</w:t>
      </w:r>
      <w:bookmarkEnd w:id="9"/>
      <w:bookmarkEnd w:id="10"/>
    </w:p>
    <w:p w14:paraId="3556DC8F" w14:textId="77777777" w:rsidR="00805385" w:rsidRPr="00376787" w:rsidRDefault="00805385" w:rsidP="00376787">
      <w:pPr>
        <w:pStyle w:val="Heading2"/>
        <w:spacing w:after="120"/>
      </w:pPr>
      <w:bookmarkStart w:id="11" w:name="_Toc297554774"/>
      <w:bookmarkStart w:id="12" w:name="_Toc368573030"/>
      <w:bookmarkEnd w:id="6"/>
      <w:r w:rsidRPr="00376787">
        <w:t>1710 Naval Air Squadron (NAS) delivers a range of specialist aircraft support capabilities to recover, enhance or sustain Tri-Service Aviation Force Elements at Readiness (FE@R). It achieves this through deployable repair teams who design and implement aircraft structural repairs, the rapid design and development of modifications to deliver emergent requirements and the provision of essential reactive airworthiness advice across all elements of materials integrity. These capabilities directly support the Royal Navy Command Plan.</w:t>
      </w:r>
    </w:p>
    <w:p w14:paraId="60581DD5" w14:textId="77777777" w:rsidR="00805385" w:rsidRPr="00376787" w:rsidRDefault="00805385" w:rsidP="00376787">
      <w:pPr>
        <w:pStyle w:val="Heading2"/>
        <w:spacing w:after="120"/>
      </w:pPr>
      <w:r w:rsidRPr="00376787">
        <w:t>The aircraft design activities, for both Repair and Service Modification of military aircraft, are approved by the Military Aviation Authority (MAA) under the MoD's Design Approved Organisation Scheme (DAOS). Under this scheme the organisation must provide evidence of a Quality Management System (QMS) certification to AS/EN 9100, or ISO 9001 standards.</w:t>
      </w:r>
    </w:p>
    <w:p w14:paraId="2F7D63F3" w14:textId="77777777" w:rsidR="00805385" w:rsidRPr="00376787" w:rsidRDefault="00805385" w:rsidP="00376787">
      <w:pPr>
        <w:pStyle w:val="Heading2"/>
        <w:spacing w:after="120"/>
      </w:pPr>
      <w:r w:rsidRPr="00376787">
        <w:t>In addition, forensic investigation and airworthiness outputs within the Materials and Monitoring Group must also be independently verified to prove competency in accordance with ISO 17025; this relies on a QMS certified to ISO 9001.</w:t>
      </w:r>
    </w:p>
    <w:p w14:paraId="78702682" w14:textId="77777777" w:rsidR="00C4233A" w:rsidRPr="00376787" w:rsidRDefault="00106F24" w:rsidP="00376787">
      <w:pPr>
        <w:pStyle w:val="Heading1"/>
        <w:tabs>
          <w:tab w:val="clear" w:pos="720"/>
        </w:tabs>
        <w:overflowPunct w:val="0"/>
        <w:autoSpaceDE w:val="0"/>
        <w:autoSpaceDN w:val="0"/>
        <w:spacing w:before="240" w:after="120"/>
        <w:textAlignment w:val="baseline"/>
        <w:rPr>
          <w:szCs w:val="22"/>
        </w:rPr>
      </w:pPr>
      <w:bookmarkStart w:id="13" w:name="_Toc528318948"/>
      <w:r w:rsidRPr="00376787">
        <w:rPr>
          <w:szCs w:val="22"/>
        </w:rPr>
        <w:t>definitions</w:t>
      </w:r>
      <w:bookmarkEnd w:id="13"/>
      <w:r w:rsidRPr="00376787">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805385" w:rsidRPr="00376787" w14:paraId="75508B4B" w14:textId="77777777" w:rsidTr="009B24DD">
        <w:tc>
          <w:tcPr>
            <w:tcW w:w="1827" w:type="dxa"/>
            <w:shd w:val="clear" w:color="auto" w:fill="C6D9F1" w:themeFill="text2" w:themeFillTint="33"/>
          </w:tcPr>
          <w:p w14:paraId="01824324" w14:textId="77777777" w:rsidR="00805385" w:rsidRPr="00376787" w:rsidRDefault="00805385" w:rsidP="009B24DD">
            <w:pPr>
              <w:pStyle w:val="Heading2"/>
              <w:numPr>
                <w:ilvl w:val="1"/>
                <w:numId w:val="0"/>
              </w:numPr>
              <w:spacing w:after="120"/>
              <w:ind w:left="18" w:hanging="18"/>
              <w:jc w:val="left"/>
              <w:outlineLvl w:val="1"/>
            </w:pPr>
            <w:r w:rsidRPr="00376787">
              <w:t>Expression or Acronym</w:t>
            </w:r>
          </w:p>
        </w:tc>
        <w:tc>
          <w:tcPr>
            <w:tcW w:w="6472" w:type="dxa"/>
            <w:shd w:val="clear" w:color="auto" w:fill="C6D9F1" w:themeFill="text2" w:themeFillTint="33"/>
          </w:tcPr>
          <w:p w14:paraId="7D565D91" w14:textId="77777777" w:rsidR="00805385" w:rsidRPr="00376787" w:rsidRDefault="00805385" w:rsidP="009B24DD">
            <w:pPr>
              <w:pStyle w:val="Heading2"/>
              <w:numPr>
                <w:ilvl w:val="1"/>
                <w:numId w:val="0"/>
              </w:numPr>
              <w:spacing w:after="120"/>
              <w:ind w:left="720" w:hanging="720"/>
              <w:outlineLvl w:val="1"/>
            </w:pPr>
            <w:r w:rsidRPr="00376787">
              <w:t>Definition</w:t>
            </w:r>
          </w:p>
        </w:tc>
      </w:tr>
      <w:tr w:rsidR="008B1BAF" w:rsidRPr="00376787" w14:paraId="631C2E19" w14:textId="77777777" w:rsidTr="009B24DD">
        <w:tc>
          <w:tcPr>
            <w:tcW w:w="1827" w:type="dxa"/>
          </w:tcPr>
          <w:p w14:paraId="2DFCBF26" w14:textId="77777777" w:rsidR="008B1BAF" w:rsidRPr="00376787" w:rsidRDefault="008B1BAF" w:rsidP="009B24DD">
            <w:pPr>
              <w:pStyle w:val="Heading2"/>
              <w:numPr>
                <w:ilvl w:val="1"/>
                <w:numId w:val="0"/>
              </w:numPr>
              <w:spacing w:after="120"/>
              <w:ind w:left="720" w:hanging="720"/>
              <w:outlineLvl w:val="1"/>
            </w:pPr>
            <w:r>
              <w:t>CP&amp;F</w:t>
            </w:r>
          </w:p>
        </w:tc>
        <w:tc>
          <w:tcPr>
            <w:tcW w:w="6472" w:type="dxa"/>
          </w:tcPr>
          <w:p w14:paraId="543DD4DE" w14:textId="77777777" w:rsidR="008B1BAF" w:rsidRPr="00376787" w:rsidRDefault="008B1BAF">
            <w:pPr>
              <w:pStyle w:val="Heading2"/>
              <w:numPr>
                <w:ilvl w:val="1"/>
                <w:numId w:val="0"/>
              </w:numPr>
              <w:spacing w:after="120"/>
              <w:outlineLvl w:val="1"/>
            </w:pPr>
            <w:r w:rsidRPr="008B1BAF">
              <w:t>Co</w:t>
            </w:r>
            <w:r>
              <w:t xml:space="preserve">ntracting Purchasing &amp; Finance - </w:t>
            </w:r>
            <w:r w:rsidRPr="008B1BAF">
              <w:t>MoD online payment system</w:t>
            </w:r>
          </w:p>
        </w:tc>
      </w:tr>
      <w:tr w:rsidR="0009596B" w:rsidRPr="00376787" w14:paraId="08E71F79" w14:textId="77777777" w:rsidTr="009B24DD">
        <w:tc>
          <w:tcPr>
            <w:tcW w:w="1827" w:type="dxa"/>
          </w:tcPr>
          <w:p w14:paraId="4B217309" w14:textId="77777777" w:rsidR="0009596B" w:rsidRDefault="0009596B" w:rsidP="009B24DD">
            <w:pPr>
              <w:pStyle w:val="Heading2"/>
              <w:numPr>
                <w:ilvl w:val="1"/>
                <w:numId w:val="0"/>
              </w:numPr>
              <w:spacing w:after="120"/>
              <w:ind w:left="720" w:hanging="720"/>
              <w:outlineLvl w:val="1"/>
            </w:pPr>
            <w:r>
              <w:t>1710 NAS</w:t>
            </w:r>
          </w:p>
        </w:tc>
        <w:tc>
          <w:tcPr>
            <w:tcW w:w="6472" w:type="dxa"/>
          </w:tcPr>
          <w:p w14:paraId="5D470712" w14:textId="77777777" w:rsidR="0009596B" w:rsidRPr="008B1BAF" w:rsidRDefault="0009596B">
            <w:pPr>
              <w:pStyle w:val="Heading2"/>
              <w:numPr>
                <w:ilvl w:val="1"/>
                <w:numId w:val="0"/>
              </w:numPr>
              <w:spacing w:after="120"/>
              <w:outlineLvl w:val="1"/>
            </w:pPr>
            <w:r>
              <w:t>1710 (squadron number) Naval Air Squadron</w:t>
            </w:r>
          </w:p>
        </w:tc>
      </w:tr>
      <w:tr w:rsidR="00805385" w:rsidRPr="00376787" w14:paraId="42194E65" w14:textId="77777777" w:rsidTr="009B24DD">
        <w:tc>
          <w:tcPr>
            <w:tcW w:w="1827" w:type="dxa"/>
          </w:tcPr>
          <w:p w14:paraId="25AF27F2" w14:textId="77777777" w:rsidR="00805385" w:rsidRPr="00376787" w:rsidRDefault="00805385" w:rsidP="009B24DD">
            <w:pPr>
              <w:pStyle w:val="Heading2"/>
              <w:numPr>
                <w:ilvl w:val="1"/>
                <w:numId w:val="0"/>
              </w:numPr>
              <w:spacing w:after="120"/>
              <w:ind w:left="720" w:hanging="720"/>
              <w:outlineLvl w:val="1"/>
            </w:pPr>
            <w:r w:rsidRPr="00376787">
              <w:t>FE@R</w:t>
            </w:r>
          </w:p>
        </w:tc>
        <w:tc>
          <w:tcPr>
            <w:tcW w:w="6472" w:type="dxa"/>
          </w:tcPr>
          <w:p w14:paraId="4B9C313A" w14:textId="77777777" w:rsidR="00805385" w:rsidRPr="00376787" w:rsidRDefault="00805385" w:rsidP="009B24DD">
            <w:pPr>
              <w:pStyle w:val="Heading2"/>
              <w:numPr>
                <w:ilvl w:val="1"/>
                <w:numId w:val="0"/>
              </w:numPr>
              <w:spacing w:after="120"/>
              <w:outlineLvl w:val="1"/>
            </w:pPr>
            <w:r w:rsidRPr="00376787">
              <w:t>Force Elements at Readiness</w:t>
            </w:r>
            <w:r w:rsidR="00B4092A">
              <w:t xml:space="preserve"> - keeping our aircraft fit and ready for operations</w:t>
            </w:r>
          </w:p>
        </w:tc>
      </w:tr>
      <w:tr w:rsidR="00805385" w:rsidRPr="00376787" w14:paraId="2B893167" w14:textId="77777777" w:rsidTr="009B24DD">
        <w:tc>
          <w:tcPr>
            <w:tcW w:w="1827" w:type="dxa"/>
          </w:tcPr>
          <w:p w14:paraId="5FE147BD" w14:textId="77777777" w:rsidR="00805385" w:rsidRPr="00376787" w:rsidRDefault="00805385" w:rsidP="009B24DD">
            <w:pPr>
              <w:pStyle w:val="Heading2"/>
              <w:numPr>
                <w:ilvl w:val="1"/>
                <w:numId w:val="0"/>
              </w:numPr>
              <w:spacing w:after="120"/>
              <w:ind w:left="720" w:hanging="720"/>
              <w:outlineLvl w:val="1"/>
            </w:pPr>
            <w:r w:rsidRPr="00376787">
              <w:t>ISO 9001</w:t>
            </w:r>
          </w:p>
        </w:tc>
        <w:tc>
          <w:tcPr>
            <w:tcW w:w="6472" w:type="dxa"/>
          </w:tcPr>
          <w:p w14:paraId="608A0FB3" w14:textId="77777777" w:rsidR="00805385" w:rsidRPr="00376787" w:rsidRDefault="00805385" w:rsidP="009B24DD">
            <w:pPr>
              <w:pStyle w:val="Heading2"/>
              <w:numPr>
                <w:ilvl w:val="1"/>
                <w:numId w:val="0"/>
              </w:numPr>
              <w:spacing w:after="120"/>
              <w:outlineLvl w:val="1"/>
            </w:pPr>
            <w:r w:rsidRPr="00376787">
              <w:t>BS EN ISO 9001:2015</w:t>
            </w:r>
          </w:p>
        </w:tc>
      </w:tr>
      <w:tr w:rsidR="00805385" w:rsidRPr="00376787" w14:paraId="007B9A63" w14:textId="77777777" w:rsidTr="009B24DD">
        <w:tc>
          <w:tcPr>
            <w:tcW w:w="1827" w:type="dxa"/>
          </w:tcPr>
          <w:p w14:paraId="4938FB0F" w14:textId="77777777" w:rsidR="00805385" w:rsidRPr="00376787" w:rsidRDefault="00805385" w:rsidP="009B24DD">
            <w:pPr>
              <w:pStyle w:val="Heading2"/>
              <w:numPr>
                <w:ilvl w:val="1"/>
                <w:numId w:val="0"/>
              </w:numPr>
              <w:spacing w:after="120"/>
              <w:ind w:left="720" w:hanging="720"/>
              <w:outlineLvl w:val="1"/>
            </w:pPr>
            <w:r w:rsidRPr="00376787">
              <w:t>MOD</w:t>
            </w:r>
          </w:p>
        </w:tc>
        <w:tc>
          <w:tcPr>
            <w:tcW w:w="6472" w:type="dxa"/>
          </w:tcPr>
          <w:p w14:paraId="2A044298" w14:textId="77777777" w:rsidR="00805385" w:rsidRPr="00376787" w:rsidRDefault="00805385" w:rsidP="009B24DD">
            <w:pPr>
              <w:pStyle w:val="Heading2"/>
              <w:numPr>
                <w:ilvl w:val="1"/>
                <w:numId w:val="0"/>
              </w:numPr>
              <w:spacing w:after="120"/>
              <w:ind w:left="720" w:hanging="720"/>
              <w:outlineLvl w:val="1"/>
            </w:pPr>
            <w:r w:rsidRPr="00376787">
              <w:t>Ministry of Defence (the Authority)</w:t>
            </w:r>
          </w:p>
        </w:tc>
      </w:tr>
      <w:tr w:rsidR="00805385" w:rsidRPr="00376787" w14:paraId="4D693492" w14:textId="77777777" w:rsidTr="009B24DD">
        <w:tc>
          <w:tcPr>
            <w:tcW w:w="1827" w:type="dxa"/>
          </w:tcPr>
          <w:p w14:paraId="20DE814A" w14:textId="77777777" w:rsidR="00805385" w:rsidRPr="00376787" w:rsidRDefault="00805385" w:rsidP="009B24DD">
            <w:pPr>
              <w:pStyle w:val="Heading2"/>
              <w:numPr>
                <w:ilvl w:val="1"/>
                <w:numId w:val="0"/>
              </w:numPr>
              <w:spacing w:after="120"/>
              <w:ind w:left="720" w:hanging="720"/>
              <w:outlineLvl w:val="1"/>
            </w:pPr>
            <w:r w:rsidRPr="00376787">
              <w:t>NAS</w:t>
            </w:r>
          </w:p>
        </w:tc>
        <w:tc>
          <w:tcPr>
            <w:tcW w:w="6472" w:type="dxa"/>
          </w:tcPr>
          <w:p w14:paraId="1312A5A4" w14:textId="77777777" w:rsidR="00805385" w:rsidRPr="00376787" w:rsidRDefault="00805385" w:rsidP="009B24DD">
            <w:pPr>
              <w:pStyle w:val="Heading2"/>
              <w:numPr>
                <w:ilvl w:val="1"/>
                <w:numId w:val="0"/>
              </w:numPr>
              <w:spacing w:after="120"/>
              <w:outlineLvl w:val="1"/>
            </w:pPr>
            <w:r w:rsidRPr="00376787">
              <w:t>Naval Air Squadron</w:t>
            </w:r>
          </w:p>
        </w:tc>
      </w:tr>
      <w:tr w:rsidR="00805385" w:rsidRPr="00376787" w14:paraId="0F324283" w14:textId="77777777" w:rsidTr="009B24DD">
        <w:tc>
          <w:tcPr>
            <w:tcW w:w="1827" w:type="dxa"/>
          </w:tcPr>
          <w:p w14:paraId="581298C5" w14:textId="77777777" w:rsidR="00805385" w:rsidRPr="00376787" w:rsidRDefault="00805385" w:rsidP="009B24DD">
            <w:pPr>
              <w:pStyle w:val="Heading2"/>
              <w:numPr>
                <w:ilvl w:val="1"/>
                <w:numId w:val="0"/>
              </w:numPr>
              <w:spacing w:after="120"/>
              <w:ind w:left="720" w:hanging="720"/>
              <w:outlineLvl w:val="1"/>
            </w:pPr>
            <w:r w:rsidRPr="00376787">
              <w:t>QMS</w:t>
            </w:r>
          </w:p>
        </w:tc>
        <w:tc>
          <w:tcPr>
            <w:tcW w:w="6472" w:type="dxa"/>
          </w:tcPr>
          <w:p w14:paraId="5C7BA9E9" w14:textId="77777777" w:rsidR="00805385" w:rsidRPr="00376787" w:rsidRDefault="00805385" w:rsidP="009B24DD">
            <w:pPr>
              <w:pStyle w:val="Heading2"/>
              <w:numPr>
                <w:ilvl w:val="1"/>
                <w:numId w:val="0"/>
              </w:numPr>
              <w:spacing w:after="120"/>
              <w:outlineLvl w:val="1"/>
            </w:pPr>
            <w:r w:rsidRPr="00376787">
              <w:t>Quality Management System</w:t>
            </w:r>
          </w:p>
        </w:tc>
      </w:tr>
      <w:tr w:rsidR="00805385" w:rsidRPr="00376787" w14:paraId="21558EC0" w14:textId="77777777" w:rsidTr="009B24DD">
        <w:tc>
          <w:tcPr>
            <w:tcW w:w="1827" w:type="dxa"/>
          </w:tcPr>
          <w:p w14:paraId="162E6087" w14:textId="77777777" w:rsidR="00805385" w:rsidRPr="00376787" w:rsidRDefault="00805385" w:rsidP="009B24DD">
            <w:pPr>
              <w:pStyle w:val="Heading2"/>
              <w:numPr>
                <w:ilvl w:val="1"/>
                <w:numId w:val="0"/>
              </w:numPr>
              <w:spacing w:after="120"/>
              <w:ind w:left="720" w:hanging="720"/>
              <w:outlineLvl w:val="1"/>
            </w:pPr>
            <w:r w:rsidRPr="00376787">
              <w:t>MAA</w:t>
            </w:r>
          </w:p>
        </w:tc>
        <w:tc>
          <w:tcPr>
            <w:tcW w:w="6472" w:type="dxa"/>
          </w:tcPr>
          <w:p w14:paraId="0C39D2B8" w14:textId="77777777" w:rsidR="00805385" w:rsidRPr="00376787" w:rsidRDefault="00805385" w:rsidP="009B24DD">
            <w:pPr>
              <w:pStyle w:val="Heading2"/>
              <w:numPr>
                <w:ilvl w:val="1"/>
                <w:numId w:val="0"/>
              </w:numPr>
              <w:spacing w:after="120"/>
              <w:outlineLvl w:val="1"/>
            </w:pPr>
            <w:r w:rsidRPr="00376787">
              <w:t>Military Aviation Authority</w:t>
            </w:r>
          </w:p>
        </w:tc>
      </w:tr>
      <w:tr w:rsidR="00805385" w:rsidRPr="00376787" w14:paraId="5BEC88F1" w14:textId="77777777" w:rsidTr="009B24DD">
        <w:tc>
          <w:tcPr>
            <w:tcW w:w="1827" w:type="dxa"/>
          </w:tcPr>
          <w:p w14:paraId="6A520E2D" w14:textId="77777777" w:rsidR="00805385" w:rsidRPr="00376787" w:rsidRDefault="00805385" w:rsidP="009B24DD">
            <w:pPr>
              <w:pStyle w:val="Heading2"/>
              <w:numPr>
                <w:ilvl w:val="1"/>
                <w:numId w:val="0"/>
              </w:numPr>
              <w:spacing w:after="120"/>
              <w:ind w:left="720" w:hanging="720"/>
              <w:outlineLvl w:val="1"/>
            </w:pPr>
            <w:r w:rsidRPr="00376787">
              <w:t>DAOS</w:t>
            </w:r>
          </w:p>
        </w:tc>
        <w:tc>
          <w:tcPr>
            <w:tcW w:w="6472" w:type="dxa"/>
          </w:tcPr>
          <w:p w14:paraId="68F6B78D" w14:textId="77777777" w:rsidR="00805385" w:rsidRPr="00376787" w:rsidRDefault="00805385" w:rsidP="009B24DD">
            <w:pPr>
              <w:pStyle w:val="Heading2"/>
              <w:numPr>
                <w:ilvl w:val="1"/>
                <w:numId w:val="0"/>
              </w:numPr>
              <w:spacing w:after="120"/>
              <w:outlineLvl w:val="1"/>
            </w:pPr>
            <w:r w:rsidRPr="00376787">
              <w:t>Design Approved Organisation Scheme</w:t>
            </w:r>
          </w:p>
        </w:tc>
      </w:tr>
    </w:tbl>
    <w:p w14:paraId="1C4E74E6" w14:textId="77777777" w:rsidR="00671798" w:rsidRPr="00376787" w:rsidRDefault="00FE18AC" w:rsidP="00106F24">
      <w:pPr>
        <w:pStyle w:val="Heading1"/>
        <w:tabs>
          <w:tab w:val="clear" w:pos="720"/>
        </w:tabs>
        <w:overflowPunct w:val="0"/>
        <w:autoSpaceDE w:val="0"/>
        <w:autoSpaceDN w:val="0"/>
        <w:spacing w:before="240" w:after="120"/>
        <w:textAlignment w:val="baseline"/>
        <w:rPr>
          <w:szCs w:val="22"/>
        </w:rPr>
      </w:pPr>
      <w:bookmarkStart w:id="14" w:name="_Toc528318949"/>
      <w:r w:rsidRPr="00376787">
        <w:rPr>
          <w:szCs w:val="22"/>
        </w:rPr>
        <w:lastRenderedPageBreak/>
        <w:t>scope of requirement</w:t>
      </w:r>
      <w:bookmarkEnd w:id="11"/>
      <w:bookmarkEnd w:id="12"/>
      <w:bookmarkEnd w:id="14"/>
      <w:r w:rsidRPr="00376787">
        <w:rPr>
          <w:szCs w:val="22"/>
        </w:rPr>
        <w:t xml:space="preserve"> </w:t>
      </w:r>
    </w:p>
    <w:p w14:paraId="4FFFEE3F" w14:textId="327B8123" w:rsidR="00356EFC" w:rsidRPr="00376787" w:rsidRDefault="00805385" w:rsidP="00376787">
      <w:pPr>
        <w:pStyle w:val="Heading2"/>
        <w:spacing w:after="120"/>
      </w:pPr>
      <w:bookmarkStart w:id="15" w:name="_Toc368573031"/>
      <w:bookmarkEnd w:id="7"/>
      <w:r w:rsidRPr="00376787">
        <w:t>The requirements for a contract with a certification body to enable the next tri-annual ISO 9001 certificate renewal are as follows:</w:t>
      </w:r>
    </w:p>
    <w:p w14:paraId="2C56FD03" w14:textId="03C19E8E" w:rsidR="00805385" w:rsidRPr="00376787" w:rsidRDefault="00805385" w:rsidP="00917333">
      <w:pPr>
        <w:pStyle w:val="Heading3"/>
      </w:pPr>
      <w:r w:rsidRPr="00376787">
        <w:t>The Potential Provider must be recognised and registered by UKAS as an auditing organisation.</w:t>
      </w:r>
      <w:bookmarkStart w:id="16" w:name="_GoBack"/>
      <w:bookmarkEnd w:id="16"/>
    </w:p>
    <w:p w14:paraId="203522C0" w14:textId="77777777" w:rsidR="00805385" w:rsidRPr="00376787" w:rsidRDefault="00805385" w:rsidP="0035283C">
      <w:pPr>
        <w:pStyle w:val="Heading3"/>
        <w:spacing w:after="120"/>
      </w:pPr>
      <w:r w:rsidRPr="00376787">
        <w:t>The Potential Provider must have full accreditation capability in the following European Co-operation for Accreditation Scope references:</w:t>
      </w:r>
    </w:p>
    <w:p w14:paraId="3182DE3E" w14:textId="77777777" w:rsidR="00805385" w:rsidRPr="00376787" w:rsidRDefault="00805385" w:rsidP="0035283C">
      <w:pPr>
        <w:pStyle w:val="Heading4"/>
      </w:pPr>
      <w:r w:rsidRPr="00376787">
        <w:t>EA 17 Basic metals and fabricated metal products</w:t>
      </w:r>
    </w:p>
    <w:p w14:paraId="0494B6BC" w14:textId="77777777" w:rsidR="00805385" w:rsidRPr="00376787" w:rsidRDefault="00805385" w:rsidP="0035283C">
      <w:pPr>
        <w:pStyle w:val="Heading4"/>
      </w:pPr>
      <w:r w:rsidRPr="00376787">
        <w:t>EA 19 Electrical and optical equipment</w:t>
      </w:r>
    </w:p>
    <w:p w14:paraId="58330557" w14:textId="77777777" w:rsidR="00805385" w:rsidRPr="00376787" w:rsidRDefault="00805385" w:rsidP="0035283C">
      <w:pPr>
        <w:pStyle w:val="Heading4"/>
      </w:pPr>
      <w:r w:rsidRPr="00376787">
        <w:t>EA 21 Aerospace</w:t>
      </w:r>
    </w:p>
    <w:p w14:paraId="3860B98A" w14:textId="77777777" w:rsidR="00805385" w:rsidRPr="00376787" w:rsidRDefault="00805385" w:rsidP="0035283C">
      <w:pPr>
        <w:pStyle w:val="Heading4"/>
      </w:pPr>
      <w:r w:rsidRPr="00376787">
        <w:t>EA 22 Other transport equipment</w:t>
      </w:r>
    </w:p>
    <w:p w14:paraId="71BAC24A" w14:textId="77777777" w:rsidR="00805385" w:rsidRPr="00376787" w:rsidRDefault="00805385" w:rsidP="0035283C">
      <w:pPr>
        <w:pStyle w:val="Heading4"/>
      </w:pPr>
      <w:r w:rsidRPr="00376787">
        <w:t>EA 23 Manufacturing not elsewhere specified</w:t>
      </w:r>
    </w:p>
    <w:p w14:paraId="24BC84F3" w14:textId="77777777" w:rsidR="00805385" w:rsidRPr="00376787" w:rsidRDefault="00805385" w:rsidP="0035283C">
      <w:pPr>
        <w:pStyle w:val="Heading4"/>
      </w:pPr>
      <w:r w:rsidRPr="00376787">
        <w:t>EA 34 Engineering services</w:t>
      </w:r>
    </w:p>
    <w:p w14:paraId="6F451FB0" w14:textId="77777777" w:rsidR="00805385" w:rsidRPr="00376787" w:rsidRDefault="00805385" w:rsidP="00376787">
      <w:pPr>
        <w:pStyle w:val="Heading2"/>
        <w:spacing w:after="120"/>
      </w:pPr>
      <w:r w:rsidRPr="00376787">
        <w:t>The Potential Provider must be able to supply auditors with experience of auditing within the aviation industry.</w:t>
      </w:r>
    </w:p>
    <w:p w14:paraId="49DD92BB" w14:textId="77777777" w:rsidR="00805385" w:rsidRPr="00376787" w:rsidRDefault="00805385" w:rsidP="00805385">
      <w:pPr>
        <w:pStyle w:val="Heading2"/>
        <w:rPr>
          <w:b/>
          <w:caps/>
        </w:rPr>
      </w:pPr>
      <w:r w:rsidRPr="00376787">
        <w:t>The Potential Provider is to provide external audit by way of surveillance visits to confirm 1710NAS compliance with the requirements of the ISO 9001 standard.</w:t>
      </w:r>
    </w:p>
    <w:p w14:paraId="5452EA12" w14:textId="77777777" w:rsidR="00671798" w:rsidRPr="00376787" w:rsidRDefault="00FE18AC" w:rsidP="00B05851">
      <w:pPr>
        <w:pStyle w:val="Heading1"/>
        <w:spacing w:before="240" w:after="120"/>
      </w:pPr>
      <w:bookmarkStart w:id="17" w:name="_Toc528318950"/>
      <w:r w:rsidRPr="00376787">
        <w:t>The requirement</w:t>
      </w:r>
      <w:bookmarkEnd w:id="15"/>
      <w:bookmarkEnd w:id="17"/>
    </w:p>
    <w:p w14:paraId="0BEAA216" w14:textId="308F6755" w:rsidR="00BB379F" w:rsidRPr="00376787" w:rsidRDefault="00BB379F" w:rsidP="00376787">
      <w:pPr>
        <w:pStyle w:val="Heading2"/>
        <w:spacing w:after="120"/>
      </w:pPr>
      <w:bookmarkStart w:id="18" w:name="_Toc368573032"/>
      <w:r w:rsidRPr="00376787">
        <w:t>Potential Provider must meet the requirements detailed in Section 5 - Scope of Requirement.</w:t>
      </w:r>
    </w:p>
    <w:p w14:paraId="4358EEE6" w14:textId="77777777" w:rsidR="00671798" w:rsidRPr="00376787" w:rsidRDefault="00FE18AC" w:rsidP="00376787">
      <w:pPr>
        <w:pStyle w:val="Heading1"/>
        <w:spacing w:before="240" w:after="120"/>
      </w:pPr>
      <w:bookmarkStart w:id="19" w:name="_Toc528318951"/>
      <w:r w:rsidRPr="00376787">
        <w:t>key milestones</w:t>
      </w:r>
      <w:bookmarkEnd w:id="18"/>
      <w:bookmarkEnd w:id="19"/>
    </w:p>
    <w:p w14:paraId="1A5730D3" w14:textId="2824F85A" w:rsidR="00AC774B" w:rsidRPr="00356EFC" w:rsidRDefault="003438D3" w:rsidP="00917333">
      <w:pPr>
        <w:pStyle w:val="Heading2"/>
        <w:numPr>
          <w:ilvl w:val="0"/>
          <w:numId w:val="0"/>
        </w:numPr>
        <w:tabs>
          <w:tab w:val="num" w:pos="862"/>
        </w:tabs>
        <w:overflowPunct w:val="0"/>
        <w:autoSpaceDE w:val="0"/>
        <w:autoSpaceDN w:val="0"/>
        <w:spacing w:after="120"/>
        <w:ind w:left="709"/>
        <w:textAlignment w:val="baseline"/>
        <w:rPr>
          <w:rFonts w:cs="Arial"/>
          <w:szCs w:val="22"/>
        </w:rPr>
      </w:pPr>
      <w:r w:rsidRPr="00376787">
        <w:rPr>
          <w:rFonts w:cs="Arial"/>
          <w:szCs w:val="22"/>
        </w:rPr>
        <w:t>The Potential Provider should note the following pr</w:t>
      </w:r>
      <w:r w:rsidR="00A57B4E" w:rsidRPr="00376787">
        <w:rPr>
          <w:rFonts w:cs="Arial"/>
          <w:szCs w:val="22"/>
        </w:rPr>
        <w:t>oject milestones that the Authority</w:t>
      </w:r>
      <w:r w:rsidRPr="00376787">
        <w:rPr>
          <w:rFonts w:cs="Arial"/>
          <w:szCs w:val="22"/>
        </w:rPr>
        <w:t xml:space="preserve"> will measure the quality of delivery against:</w:t>
      </w:r>
    </w:p>
    <w:tbl>
      <w:tblPr>
        <w:tblStyle w:val="TableGrid"/>
        <w:tblpPr w:leftFromText="180" w:rightFromText="180" w:vertAnchor="text" w:horzAnchor="page" w:tblpX="1981" w:tblpY="646"/>
        <w:tblW w:w="4819" w:type="pct"/>
        <w:tblLayout w:type="fixed"/>
        <w:tblLook w:val="04A0" w:firstRow="1" w:lastRow="0" w:firstColumn="1" w:lastColumn="0" w:noHBand="0" w:noVBand="1"/>
      </w:tblPr>
      <w:tblGrid>
        <w:gridCol w:w="1415"/>
        <w:gridCol w:w="3700"/>
        <w:gridCol w:w="2326"/>
        <w:gridCol w:w="1252"/>
      </w:tblGrid>
      <w:tr w:rsidR="001C51E8" w:rsidRPr="00376787" w14:paraId="1AD93C42" w14:textId="77777777" w:rsidTr="00B4092A">
        <w:trPr>
          <w:trHeight w:val="589"/>
        </w:trPr>
        <w:tc>
          <w:tcPr>
            <w:tcW w:w="814" w:type="pct"/>
            <w:shd w:val="clear" w:color="auto" w:fill="C6D9F1" w:themeFill="text2" w:themeFillTint="33"/>
            <w:vAlign w:val="center"/>
          </w:tcPr>
          <w:p w14:paraId="1DF8D4F0" w14:textId="77777777" w:rsidR="001C51E8" w:rsidRPr="00376787" w:rsidRDefault="001C51E8" w:rsidP="001C51E8">
            <w:pPr>
              <w:pStyle w:val="Heading3"/>
              <w:numPr>
                <w:ilvl w:val="0"/>
                <w:numId w:val="0"/>
              </w:numPr>
              <w:spacing w:before="120" w:after="60"/>
              <w:jc w:val="center"/>
              <w:outlineLvl w:val="2"/>
              <w:rPr>
                <w:b/>
                <w:szCs w:val="24"/>
              </w:rPr>
            </w:pPr>
            <w:bookmarkStart w:id="20" w:name="_Toc302637211"/>
            <w:r w:rsidRPr="00376787">
              <w:rPr>
                <w:b/>
              </w:rPr>
              <w:t>Milestone</w:t>
            </w:r>
          </w:p>
        </w:tc>
        <w:tc>
          <w:tcPr>
            <w:tcW w:w="2128" w:type="pct"/>
            <w:shd w:val="clear" w:color="auto" w:fill="C6D9F1" w:themeFill="text2" w:themeFillTint="33"/>
            <w:vAlign w:val="center"/>
          </w:tcPr>
          <w:p w14:paraId="6E0DBD32" w14:textId="77777777" w:rsidR="001C51E8" w:rsidRPr="00376787" w:rsidRDefault="001C51E8" w:rsidP="009B24DD">
            <w:pPr>
              <w:pStyle w:val="Heading3"/>
              <w:numPr>
                <w:ilvl w:val="0"/>
                <w:numId w:val="0"/>
              </w:numPr>
              <w:spacing w:before="60" w:after="60"/>
              <w:jc w:val="center"/>
              <w:outlineLvl w:val="2"/>
              <w:rPr>
                <w:b/>
                <w:szCs w:val="24"/>
              </w:rPr>
            </w:pPr>
            <w:r w:rsidRPr="00376787">
              <w:rPr>
                <w:b/>
              </w:rPr>
              <w:t>Description</w:t>
            </w:r>
          </w:p>
        </w:tc>
        <w:tc>
          <w:tcPr>
            <w:tcW w:w="1338" w:type="pct"/>
            <w:shd w:val="clear" w:color="auto" w:fill="C6D9F1" w:themeFill="text2" w:themeFillTint="33"/>
            <w:vAlign w:val="center"/>
          </w:tcPr>
          <w:p w14:paraId="20202858" w14:textId="77777777" w:rsidR="001C51E8" w:rsidRPr="00376787" w:rsidRDefault="001C51E8" w:rsidP="009B24DD">
            <w:pPr>
              <w:pStyle w:val="Heading3"/>
              <w:numPr>
                <w:ilvl w:val="0"/>
                <w:numId w:val="0"/>
              </w:numPr>
              <w:spacing w:before="60" w:after="60"/>
              <w:jc w:val="center"/>
              <w:outlineLvl w:val="2"/>
              <w:rPr>
                <w:b/>
                <w:szCs w:val="24"/>
              </w:rPr>
            </w:pPr>
            <w:r w:rsidRPr="00376787">
              <w:rPr>
                <w:b/>
              </w:rPr>
              <w:t>Timeframe</w:t>
            </w:r>
          </w:p>
        </w:tc>
        <w:tc>
          <w:tcPr>
            <w:tcW w:w="720" w:type="pct"/>
            <w:shd w:val="clear" w:color="auto" w:fill="C6D9F1" w:themeFill="text2" w:themeFillTint="33"/>
            <w:vAlign w:val="center"/>
          </w:tcPr>
          <w:p w14:paraId="0CB87124" w14:textId="77777777" w:rsidR="001C51E8" w:rsidRPr="00376787" w:rsidRDefault="001C51E8" w:rsidP="009B24DD">
            <w:pPr>
              <w:pStyle w:val="Heading3"/>
              <w:numPr>
                <w:ilvl w:val="0"/>
                <w:numId w:val="0"/>
              </w:numPr>
              <w:spacing w:before="60" w:after="60"/>
              <w:jc w:val="center"/>
              <w:outlineLvl w:val="2"/>
              <w:rPr>
                <w:b/>
              </w:rPr>
            </w:pPr>
            <w:r w:rsidRPr="00376787">
              <w:rPr>
                <w:b/>
              </w:rPr>
              <w:t>Financial Year (F/Y)</w:t>
            </w:r>
          </w:p>
        </w:tc>
      </w:tr>
      <w:tr w:rsidR="001C51E8" w:rsidRPr="00376787" w14:paraId="7585321D" w14:textId="77777777" w:rsidTr="00B4092A">
        <w:trPr>
          <w:trHeight w:val="326"/>
        </w:trPr>
        <w:tc>
          <w:tcPr>
            <w:tcW w:w="814" w:type="pct"/>
            <w:vAlign w:val="center"/>
          </w:tcPr>
          <w:p w14:paraId="1AE98313" w14:textId="2C8C9D49" w:rsidR="001C51E8" w:rsidRPr="00376787" w:rsidRDefault="00B4092A" w:rsidP="009B24DD">
            <w:pPr>
              <w:pStyle w:val="Heading3"/>
              <w:numPr>
                <w:ilvl w:val="0"/>
                <w:numId w:val="0"/>
              </w:numPr>
              <w:spacing w:before="60" w:after="60"/>
              <w:jc w:val="center"/>
              <w:outlineLvl w:val="2"/>
              <w:rPr>
                <w:szCs w:val="24"/>
              </w:rPr>
            </w:pPr>
            <w:r>
              <w:t>1</w:t>
            </w:r>
          </w:p>
        </w:tc>
        <w:tc>
          <w:tcPr>
            <w:tcW w:w="2128" w:type="pct"/>
            <w:vAlign w:val="center"/>
          </w:tcPr>
          <w:p w14:paraId="0B56343E" w14:textId="2D58610C" w:rsidR="001C51E8" w:rsidRPr="00376787" w:rsidRDefault="00B4092A" w:rsidP="009B24DD">
            <w:pPr>
              <w:pStyle w:val="Heading3"/>
              <w:numPr>
                <w:ilvl w:val="0"/>
                <w:numId w:val="0"/>
              </w:numPr>
              <w:spacing w:before="60" w:after="60"/>
              <w:outlineLvl w:val="2"/>
              <w:rPr>
                <w:szCs w:val="24"/>
              </w:rPr>
            </w:pPr>
            <w:r>
              <w:t>Inception Meeting</w:t>
            </w:r>
          </w:p>
        </w:tc>
        <w:tc>
          <w:tcPr>
            <w:tcW w:w="1338" w:type="pct"/>
            <w:vAlign w:val="center"/>
          </w:tcPr>
          <w:p w14:paraId="051ED4D1" w14:textId="644D1C6A" w:rsidR="001C51E8" w:rsidRPr="00376787" w:rsidRDefault="00B4092A" w:rsidP="009B24DD">
            <w:pPr>
              <w:pStyle w:val="Heading3"/>
              <w:numPr>
                <w:ilvl w:val="0"/>
                <w:numId w:val="0"/>
              </w:numPr>
              <w:spacing w:before="60" w:after="60"/>
              <w:jc w:val="center"/>
              <w:outlineLvl w:val="2"/>
              <w:rPr>
                <w:szCs w:val="24"/>
              </w:rPr>
            </w:pPr>
            <w:r>
              <w:t>November 2018</w:t>
            </w:r>
          </w:p>
        </w:tc>
        <w:tc>
          <w:tcPr>
            <w:tcW w:w="720" w:type="pct"/>
            <w:vAlign w:val="center"/>
          </w:tcPr>
          <w:p w14:paraId="0AD70270" w14:textId="7D47FCE0" w:rsidR="001C51E8" w:rsidRPr="00376787" w:rsidRDefault="00B4092A" w:rsidP="009B24DD">
            <w:pPr>
              <w:pStyle w:val="Heading3"/>
              <w:numPr>
                <w:ilvl w:val="0"/>
                <w:numId w:val="0"/>
              </w:numPr>
              <w:spacing w:before="60" w:after="60"/>
              <w:jc w:val="center"/>
              <w:outlineLvl w:val="2"/>
            </w:pPr>
            <w:r>
              <w:t>2018/19</w:t>
            </w:r>
          </w:p>
        </w:tc>
      </w:tr>
      <w:tr w:rsidR="00B4092A" w:rsidRPr="00376787" w14:paraId="327594AF" w14:textId="77777777" w:rsidTr="00B4092A">
        <w:trPr>
          <w:trHeight w:val="326"/>
        </w:trPr>
        <w:tc>
          <w:tcPr>
            <w:tcW w:w="814" w:type="pct"/>
            <w:vAlign w:val="center"/>
          </w:tcPr>
          <w:p w14:paraId="11E081EB" w14:textId="77777777" w:rsidR="00B4092A" w:rsidRPr="00376787" w:rsidRDefault="00B4092A" w:rsidP="00B4092A">
            <w:pPr>
              <w:pStyle w:val="Heading3"/>
              <w:numPr>
                <w:ilvl w:val="0"/>
                <w:numId w:val="0"/>
              </w:numPr>
              <w:spacing w:before="60" w:after="60"/>
              <w:jc w:val="center"/>
              <w:outlineLvl w:val="2"/>
            </w:pPr>
            <w:r>
              <w:t>2</w:t>
            </w:r>
          </w:p>
        </w:tc>
        <w:tc>
          <w:tcPr>
            <w:tcW w:w="2128" w:type="pct"/>
            <w:vAlign w:val="center"/>
          </w:tcPr>
          <w:p w14:paraId="6CE4BFC1" w14:textId="77777777" w:rsidR="00B4092A" w:rsidRPr="00376787" w:rsidRDefault="00B4092A" w:rsidP="00B4092A">
            <w:pPr>
              <w:pStyle w:val="Heading3"/>
              <w:numPr>
                <w:ilvl w:val="0"/>
                <w:numId w:val="0"/>
              </w:numPr>
              <w:spacing w:before="60" w:after="60"/>
              <w:outlineLvl w:val="2"/>
            </w:pPr>
            <w:r w:rsidRPr="00376787">
              <w:t>Surveillance Visit</w:t>
            </w:r>
          </w:p>
        </w:tc>
        <w:tc>
          <w:tcPr>
            <w:tcW w:w="1338" w:type="pct"/>
            <w:vAlign w:val="center"/>
          </w:tcPr>
          <w:p w14:paraId="1E9D2F79" w14:textId="77777777" w:rsidR="00B4092A" w:rsidRPr="00376787" w:rsidRDefault="00B4092A" w:rsidP="00B4092A">
            <w:pPr>
              <w:pStyle w:val="Heading3"/>
              <w:numPr>
                <w:ilvl w:val="0"/>
                <w:numId w:val="0"/>
              </w:numPr>
              <w:spacing w:before="60" w:after="60"/>
              <w:jc w:val="center"/>
              <w:outlineLvl w:val="2"/>
            </w:pPr>
            <w:r w:rsidRPr="00376787">
              <w:t>December 2018</w:t>
            </w:r>
          </w:p>
        </w:tc>
        <w:tc>
          <w:tcPr>
            <w:tcW w:w="720" w:type="pct"/>
            <w:vAlign w:val="center"/>
          </w:tcPr>
          <w:p w14:paraId="0F32FF37" w14:textId="77777777" w:rsidR="00B4092A" w:rsidRPr="00376787" w:rsidRDefault="00B4092A" w:rsidP="00B4092A">
            <w:pPr>
              <w:pStyle w:val="Heading3"/>
              <w:numPr>
                <w:ilvl w:val="0"/>
                <w:numId w:val="0"/>
              </w:numPr>
              <w:spacing w:before="60" w:after="60"/>
              <w:jc w:val="center"/>
              <w:outlineLvl w:val="2"/>
            </w:pPr>
            <w:r w:rsidRPr="00376787">
              <w:t>2018/19</w:t>
            </w:r>
          </w:p>
        </w:tc>
      </w:tr>
      <w:tr w:rsidR="00B4092A" w:rsidRPr="00376787" w14:paraId="62F51A0A" w14:textId="77777777" w:rsidTr="00B4092A">
        <w:trPr>
          <w:trHeight w:val="326"/>
        </w:trPr>
        <w:tc>
          <w:tcPr>
            <w:tcW w:w="814" w:type="pct"/>
            <w:vAlign w:val="center"/>
          </w:tcPr>
          <w:p w14:paraId="63D5BDC9" w14:textId="4DBD0C91" w:rsidR="00B4092A" w:rsidRPr="00376787" w:rsidRDefault="00B4092A" w:rsidP="00B4092A">
            <w:pPr>
              <w:pStyle w:val="Heading3"/>
              <w:numPr>
                <w:ilvl w:val="0"/>
                <w:numId w:val="0"/>
              </w:numPr>
              <w:spacing w:before="60" w:after="60"/>
              <w:jc w:val="center"/>
              <w:outlineLvl w:val="2"/>
              <w:rPr>
                <w:szCs w:val="24"/>
              </w:rPr>
            </w:pPr>
            <w:r>
              <w:t>3</w:t>
            </w:r>
          </w:p>
        </w:tc>
        <w:tc>
          <w:tcPr>
            <w:tcW w:w="2128" w:type="pct"/>
            <w:vAlign w:val="center"/>
          </w:tcPr>
          <w:p w14:paraId="19DEBB69" w14:textId="77777777" w:rsidR="00B4092A" w:rsidRPr="00376787" w:rsidRDefault="00B4092A" w:rsidP="00B4092A">
            <w:pPr>
              <w:pStyle w:val="Heading3"/>
              <w:numPr>
                <w:ilvl w:val="0"/>
                <w:numId w:val="0"/>
              </w:numPr>
              <w:spacing w:before="60" w:after="60"/>
              <w:outlineLvl w:val="2"/>
              <w:rPr>
                <w:szCs w:val="24"/>
              </w:rPr>
            </w:pPr>
            <w:r w:rsidRPr="00376787">
              <w:t>Surveillance Visit</w:t>
            </w:r>
          </w:p>
        </w:tc>
        <w:tc>
          <w:tcPr>
            <w:tcW w:w="1338" w:type="pct"/>
            <w:vAlign w:val="center"/>
          </w:tcPr>
          <w:p w14:paraId="10C87A7F" w14:textId="77777777" w:rsidR="00B4092A" w:rsidRPr="00376787" w:rsidRDefault="00B4092A" w:rsidP="00B4092A">
            <w:pPr>
              <w:pStyle w:val="Heading3"/>
              <w:numPr>
                <w:ilvl w:val="0"/>
                <w:numId w:val="0"/>
              </w:numPr>
              <w:spacing w:before="60" w:after="60"/>
              <w:jc w:val="center"/>
              <w:outlineLvl w:val="2"/>
              <w:rPr>
                <w:szCs w:val="24"/>
              </w:rPr>
            </w:pPr>
            <w:r w:rsidRPr="00376787">
              <w:t>May/June 2019</w:t>
            </w:r>
          </w:p>
        </w:tc>
        <w:tc>
          <w:tcPr>
            <w:tcW w:w="720" w:type="pct"/>
            <w:vAlign w:val="center"/>
          </w:tcPr>
          <w:p w14:paraId="76101B52" w14:textId="77777777" w:rsidR="00B4092A" w:rsidRPr="00376787" w:rsidRDefault="00B4092A" w:rsidP="00B4092A">
            <w:pPr>
              <w:pStyle w:val="Heading3"/>
              <w:numPr>
                <w:ilvl w:val="0"/>
                <w:numId w:val="0"/>
              </w:numPr>
              <w:spacing w:before="60" w:after="60"/>
              <w:jc w:val="center"/>
              <w:outlineLvl w:val="2"/>
            </w:pPr>
            <w:r w:rsidRPr="00376787">
              <w:t>2019/20</w:t>
            </w:r>
          </w:p>
        </w:tc>
      </w:tr>
      <w:tr w:rsidR="00B4092A" w:rsidRPr="00376787" w14:paraId="6F7B2036" w14:textId="77777777" w:rsidTr="00B4092A">
        <w:trPr>
          <w:trHeight w:val="326"/>
        </w:trPr>
        <w:tc>
          <w:tcPr>
            <w:tcW w:w="814" w:type="pct"/>
            <w:vAlign w:val="center"/>
          </w:tcPr>
          <w:p w14:paraId="6FF4D835" w14:textId="689805CB" w:rsidR="00B4092A" w:rsidRPr="00376787" w:rsidRDefault="00B4092A" w:rsidP="00B4092A">
            <w:pPr>
              <w:pStyle w:val="Heading3"/>
              <w:numPr>
                <w:ilvl w:val="0"/>
                <w:numId w:val="0"/>
              </w:numPr>
              <w:spacing w:before="60" w:after="60"/>
              <w:jc w:val="center"/>
              <w:outlineLvl w:val="2"/>
              <w:rPr>
                <w:szCs w:val="24"/>
              </w:rPr>
            </w:pPr>
            <w:r>
              <w:t>4</w:t>
            </w:r>
          </w:p>
        </w:tc>
        <w:tc>
          <w:tcPr>
            <w:tcW w:w="2128" w:type="pct"/>
            <w:vAlign w:val="center"/>
          </w:tcPr>
          <w:p w14:paraId="1F175CA5" w14:textId="77777777" w:rsidR="00B4092A" w:rsidRPr="00376787" w:rsidRDefault="00B4092A" w:rsidP="00B4092A">
            <w:pPr>
              <w:pStyle w:val="Heading3"/>
              <w:numPr>
                <w:ilvl w:val="0"/>
                <w:numId w:val="0"/>
              </w:numPr>
              <w:spacing w:before="60" w:after="60"/>
              <w:outlineLvl w:val="2"/>
              <w:rPr>
                <w:szCs w:val="24"/>
              </w:rPr>
            </w:pPr>
            <w:r w:rsidRPr="00376787">
              <w:t>Surveillance Visit</w:t>
            </w:r>
          </w:p>
        </w:tc>
        <w:tc>
          <w:tcPr>
            <w:tcW w:w="1338" w:type="pct"/>
            <w:vAlign w:val="center"/>
          </w:tcPr>
          <w:p w14:paraId="5E49F54A" w14:textId="77777777" w:rsidR="00B4092A" w:rsidRPr="00376787" w:rsidRDefault="00B4092A" w:rsidP="00B4092A">
            <w:pPr>
              <w:pStyle w:val="Heading3"/>
              <w:numPr>
                <w:ilvl w:val="0"/>
                <w:numId w:val="0"/>
              </w:numPr>
              <w:spacing w:before="60" w:after="60"/>
              <w:jc w:val="center"/>
              <w:outlineLvl w:val="2"/>
              <w:rPr>
                <w:szCs w:val="24"/>
              </w:rPr>
            </w:pPr>
            <w:r w:rsidRPr="00376787">
              <w:t>December 2019</w:t>
            </w:r>
          </w:p>
        </w:tc>
        <w:tc>
          <w:tcPr>
            <w:tcW w:w="720" w:type="pct"/>
            <w:vAlign w:val="center"/>
          </w:tcPr>
          <w:p w14:paraId="5653FF6F" w14:textId="77777777" w:rsidR="00B4092A" w:rsidRPr="00376787" w:rsidRDefault="00B4092A" w:rsidP="00B4092A">
            <w:pPr>
              <w:pStyle w:val="Heading3"/>
              <w:numPr>
                <w:ilvl w:val="0"/>
                <w:numId w:val="0"/>
              </w:numPr>
              <w:spacing w:before="60" w:after="60"/>
              <w:jc w:val="center"/>
              <w:outlineLvl w:val="2"/>
            </w:pPr>
            <w:r w:rsidRPr="00376787">
              <w:t>2019/20</w:t>
            </w:r>
          </w:p>
        </w:tc>
      </w:tr>
      <w:tr w:rsidR="00B4092A" w:rsidRPr="00376787" w14:paraId="4B5E4F94" w14:textId="77777777" w:rsidTr="00B4092A">
        <w:trPr>
          <w:trHeight w:val="326"/>
        </w:trPr>
        <w:tc>
          <w:tcPr>
            <w:tcW w:w="814" w:type="pct"/>
            <w:vAlign w:val="center"/>
          </w:tcPr>
          <w:p w14:paraId="618F9E1E" w14:textId="2B2324E6" w:rsidR="00B4092A" w:rsidRPr="00376787" w:rsidRDefault="00B4092A" w:rsidP="00B4092A">
            <w:pPr>
              <w:pStyle w:val="Heading3"/>
              <w:numPr>
                <w:ilvl w:val="0"/>
                <w:numId w:val="0"/>
              </w:numPr>
              <w:spacing w:before="60" w:after="60"/>
              <w:jc w:val="center"/>
              <w:outlineLvl w:val="2"/>
              <w:rPr>
                <w:szCs w:val="24"/>
              </w:rPr>
            </w:pPr>
            <w:r>
              <w:t>5</w:t>
            </w:r>
          </w:p>
        </w:tc>
        <w:tc>
          <w:tcPr>
            <w:tcW w:w="2128" w:type="pct"/>
            <w:vAlign w:val="center"/>
          </w:tcPr>
          <w:p w14:paraId="5DB1D151" w14:textId="77777777" w:rsidR="00B4092A" w:rsidRPr="00376787" w:rsidRDefault="00B4092A" w:rsidP="00B4092A">
            <w:pPr>
              <w:pStyle w:val="Heading3"/>
              <w:numPr>
                <w:ilvl w:val="0"/>
                <w:numId w:val="0"/>
              </w:numPr>
              <w:spacing w:before="60" w:after="60"/>
              <w:outlineLvl w:val="2"/>
              <w:rPr>
                <w:szCs w:val="24"/>
              </w:rPr>
            </w:pPr>
            <w:r w:rsidRPr="00376787">
              <w:t>Surveillance Visit</w:t>
            </w:r>
          </w:p>
        </w:tc>
        <w:tc>
          <w:tcPr>
            <w:tcW w:w="1338" w:type="pct"/>
            <w:vAlign w:val="center"/>
          </w:tcPr>
          <w:p w14:paraId="09B80A43" w14:textId="77777777" w:rsidR="00B4092A" w:rsidRPr="00376787" w:rsidRDefault="00B4092A" w:rsidP="00B4092A">
            <w:pPr>
              <w:pStyle w:val="Heading3"/>
              <w:numPr>
                <w:ilvl w:val="0"/>
                <w:numId w:val="0"/>
              </w:numPr>
              <w:spacing w:before="60" w:after="60"/>
              <w:jc w:val="center"/>
              <w:outlineLvl w:val="2"/>
              <w:rPr>
                <w:szCs w:val="24"/>
              </w:rPr>
            </w:pPr>
            <w:r w:rsidRPr="00376787">
              <w:t>May/Jun 2020</w:t>
            </w:r>
          </w:p>
        </w:tc>
        <w:tc>
          <w:tcPr>
            <w:tcW w:w="720" w:type="pct"/>
            <w:vAlign w:val="center"/>
          </w:tcPr>
          <w:p w14:paraId="746E6D26" w14:textId="77777777" w:rsidR="00B4092A" w:rsidRPr="00376787" w:rsidRDefault="00B4092A" w:rsidP="00B4092A">
            <w:pPr>
              <w:pStyle w:val="Heading3"/>
              <w:numPr>
                <w:ilvl w:val="0"/>
                <w:numId w:val="0"/>
              </w:numPr>
              <w:spacing w:before="60" w:after="60"/>
              <w:jc w:val="center"/>
              <w:outlineLvl w:val="2"/>
            </w:pPr>
            <w:r w:rsidRPr="00376787">
              <w:t>2020/21</w:t>
            </w:r>
          </w:p>
        </w:tc>
      </w:tr>
      <w:tr w:rsidR="00B4092A" w:rsidRPr="00376787" w14:paraId="7D03A2ED" w14:textId="77777777" w:rsidTr="00B4092A">
        <w:trPr>
          <w:trHeight w:val="577"/>
        </w:trPr>
        <w:tc>
          <w:tcPr>
            <w:tcW w:w="814" w:type="pct"/>
            <w:vAlign w:val="center"/>
          </w:tcPr>
          <w:p w14:paraId="7C1FB582" w14:textId="7E4B5176" w:rsidR="00B4092A" w:rsidRPr="00376787" w:rsidRDefault="00B4092A" w:rsidP="00B4092A">
            <w:pPr>
              <w:pStyle w:val="Heading3"/>
              <w:numPr>
                <w:ilvl w:val="0"/>
                <w:numId w:val="0"/>
              </w:numPr>
              <w:spacing w:before="60" w:after="60"/>
              <w:jc w:val="center"/>
              <w:outlineLvl w:val="2"/>
            </w:pPr>
            <w:r>
              <w:t>6</w:t>
            </w:r>
          </w:p>
        </w:tc>
        <w:tc>
          <w:tcPr>
            <w:tcW w:w="2128" w:type="pct"/>
            <w:vAlign w:val="center"/>
          </w:tcPr>
          <w:p w14:paraId="678326C6" w14:textId="77777777" w:rsidR="00B4092A" w:rsidRPr="00376787" w:rsidRDefault="00B4092A" w:rsidP="00B4092A">
            <w:pPr>
              <w:pStyle w:val="Heading3"/>
              <w:numPr>
                <w:ilvl w:val="0"/>
                <w:numId w:val="0"/>
              </w:numPr>
              <w:spacing w:before="60" w:after="60"/>
              <w:jc w:val="left"/>
              <w:outlineLvl w:val="2"/>
            </w:pPr>
            <w:r w:rsidRPr="00376787">
              <w:t>Surveillance Visit / Certificate Renewal</w:t>
            </w:r>
          </w:p>
        </w:tc>
        <w:tc>
          <w:tcPr>
            <w:tcW w:w="1338" w:type="pct"/>
            <w:vAlign w:val="center"/>
          </w:tcPr>
          <w:p w14:paraId="2D735F29" w14:textId="77777777" w:rsidR="00B4092A" w:rsidRPr="00376787" w:rsidRDefault="00B4092A" w:rsidP="00B4092A">
            <w:pPr>
              <w:pStyle w:val="Heading3"/>
              <w:numPr>
                <w:ilvl w:val="0"/>
                <w:numId w:val="0"/>
              </w:numPr>
              <w:spacing w:before="60" w:after="60"/>
              <w:jc w:val="center"/>
              <w:outlineLvl w:val="2"/>
            </w:pPr>
            <w:r w:rsidRPr="00376787">
              <w:t>December 2020</w:t>
            </w:r>
          </w:p>
        </w:tc>
        <w:tc>
          <w:tcPr>
            <w:tcW w:w="720" w:type="pct"/>
            <w:vAlign w:val="center"/>
          </w:tcPr>
          <w:p w14:paraId="3E166A95" w14:textId="77777777" w:rsidR="00B4092A" w:rsidRPr="00376787" w:rsidRDefault="00B4092A" w:rsidP="00B4092A">
            <w:pPr>
              <w:pStyle w:val="Heading3"/>
              <w:numPr>
                <w:ilvl w:val="0"/>
                <w:numId w:val="0"/>
              </w:numPr>
              <w:spacing w:before="60" w:after="60"/>
              <w:jc w:val="center"/>
              <w:outlineLvl w:val="2"/>
            </w:pPr>
            <w:r w:rsidRPr="00376787">
              <w:t>2020/21</w:t>
            </w:r>
          </w:p>
        </w:tc>
      </w:tr>
    </w:tbl>
    <w:p w14:paraId="0F8E6546" w14:textId="77777777" w:rsidR="00FE18AC" w:rsidRPr="00376787" w:rsidRDefault="00FE18AC" w:rsidP="00F44D62">
      <w:pPr>
        <w:pStyle w:val="Heading1"/>
        <w:numPr>
          <w:ilvl w:val="0"/>
          <w:numId w:val="0"/>
        </w:numPr>
        <w:overflowPunct w:val="0"/>
        <w:autoSpaceDE w:val="0"/>
        <w:autoSpaceDN w:val="0"/>
        <w:spacing w:after="120"/>
        <w:textAlignment w:val="baseline"/>
        <w:rPr>
          <w:rFonts w:cs="Arial"/>
          <w:szCs w:val="22"/>
        </w:rPr>
      </w:pPr>
    </w:p>
    <w:p w14:paraId="64CFD59E" w14:textId="77777777" w:rsidR="00106F24" w:rsidRPr="00376787" w:rsidRDefault="00106F24" w:rsidP="00376787">
      <w:pPr>
        <w:pStyle w:val="Heading1"/>
        <w:tabs>
          <w:tab w:val="clear" w:pos="720"/>
          <w:tab w:val="num" w:pos="0"/>
        </w:tabs>
        <w:overflowPunct w:val="0"/>
        <w:autoSpaceDE w:val="0"/>
        <w:autoSpaceDN w:val="0"/>
        <w:spacing w:before="240" w:after="120"/>
        <w:ind w:left="709" w:hanging="709"/>
        <w:textAlignment w:val="baseline"/>
        <w:rPr>
          <w:rFonts w:cs="Arial"/>
          <w:szCs w:val="22"/>
        </w:rPr>
      </w:pPr>
      <w:bookmarkStart w:id="21" w:name="_Toc368573033"/>
      <w:bookmarkStart w:id="22" w:name="_Toc528318952"/>
      <w:r w:rsidRPr="00376787">
        <w:rPr>
          <w:rFonts w:cs="Arial"/>
          <w:szCs w:val="22"/>
        </w:rPr>
        <w:t>authority’s responsibilities</w:t>
      </w:r>
      <w:bookmarkEnd w:id="22"/>
    </w:p>
    <w:p w14:paraId="1442E82A" w14:textId="77777777" w:rsidR="001C51E8" w:rsidRPr="00376787" w:rsidRDefault="001C51E8" w:rsidP="00376787">
      <w:pPr>
        <w:pStyle w:val="Heading2"/>
        <w:spacing w:after="120"/>
      </w:pPr>
      <w:r w:rsidRPr="00376787">
        <w:t>The Authority will provide access to specific 1710 NAS locations, detailed at paragraph 10.1, for the surveillance visits to be carried out.</w:t>
      </w:r>
    </w:p>
    <w:p w14:paraId="65D15DF6" w14:textId="77777777" w:rsidR="00671798" w:rsidRPr="00376787" w:rsidRDefault="00FE18AC" w:rsidP="00376787">
      <w:pPr>
        <w:pStyle w:val="Heading1"/>
        <w:tabs>
          <w:tab w:val="clear" w:pos="720"/>
          <w:tab w:val="num" w:pos="0"/>
        </w:tabs>
        <w:overflowPunct w:val="0"/>
        <w:autoSpaceDE w:val="0"/>
        <w:autoSpaceDN w:val="0"/>
        <w:spacing w:before="240" w:after="120"/>
        <w:ind w:left="709" w:hanging="709"/>
        <w:textAlignment w:val="baseline"/>
        <w:rPr>
          <w:rFonts w:cs="Arial"/>
          <w:szCs w:val="22"/>
        </w:rPr>
      </w:pPr>
      <w:bookmarkStart w:id="23" w:name="_Toc528318953"/>
      <w:r w:rsidRPr="00376787">
        <w:rPr>
          <w:rFonts w:cs="Arial"/>
          <w:szCs w:val="22"/>
        </w:rPr>
        <w:t>reporting</w:t>
      </w:r>
      <w:bookmarkEnd w:id="21"/>
      <w:bookmarkEnd w:id="23"/>
    </w:p>
    <w:p w14:paraId="2C0E83E1" w14:textId="77777777" w:rsidR="00671798" w:rsidRPr="00376787" w:rsidRDefault="001C51E8" w:rsidP="00376787">
      <w:pPr>
        <w:pStyle w:val="Heading2"/>
        <w:spacing w:after="120"/>
      </w:pPr>
      <w:r w:rsidRPr="00376787">
        <w:t>The Potential Provider will be expected to produce a report for the Authority following each surveillance visit and certification visit, to detail the auditor's observations, any non-conformances and comments.</w:t>
      </w:r>
      <w:r w:rsidR="00B4092A">
        <w:t xml:space="preserve"> This should be provided as PDF or Microsoft Word Document, and emailed to the 1710 NAS Quality Assurance Manager following each visit.</w:t>
      </w:r>
    </w:p>
    <w:p w14:paraId="43E61C97" w14:textId="77777777" w:rsidR="00FE18AC" w:rsidRPr="00376787" w:rsidRDefault="00FE18AC" w:rsidP="00376787">
      <w:pPr>
        <w:pStyle w:val="Heading1"/>
        <w:tabs>
          <w:tab w:val="clear" w:pos="720"/>
          <w:tab w:val="num" w:pos="0"/>
        </w:tabs>
        <w:overflowPunct w:val="0"/>
        <w:autoSpaceDE w:val="0"/>
        <w:autoSpaceDN w:val="0"/>
        <w:spacing w:before="240" w:after="120"/>
        <w:ind w:left="709" w:hanging="709"/>
        <w:textAlignment w:val="baseline"/>
        <w:rPr>
          <w:rFonts w:cs="Arial"/>
          <w:szCs w:val="22"/>
        </w:rPr>
      </w:pPr>
      <w:bookmarkStart w:id="24" w:name="_Toc368573034"/>
      <w:bookmarkStart w:id="25" w:name="_Toc528318954"/>
      <w:r w:rsidRPr="00376787">
        <w:rPr>
          <w:rFonts w:cs="Arial"/>
          <w:szCs w:val="22"/>
        </w:rPr>
        <w:t>volumes</w:t>
      </w:r>
      <w:bookmarkEnd w:id="24"/>
      <w:bookmarkEnd w:id="25"/>
    </w:p>
    <w:p w14:paraId="6DE39C21" w14:textId="77777777" w:rsidR="001C51E8" w:rsidRPr="00376787" w:rsidRDefault="001C51E8" w:rsidP="00376787">
      <w:pPr>
        <w:pStyle w:val="Heading2"/>
        <w:spacing w:after="120"/>
      </w:pPr>
      <w:bookmarkStart w:id="26" w:name="_Toc368573035"/>
      <w:r w:rsidRPr="00376787">
        <w:t>Over the period of the contract, surveillance visits will need to be carried out at 1710 NAS Portsmouth and incorporate 1710 NAS regional teams at RAF Benson, Wattisham Flying Station and RAF Wyton.</w:t>
      </w:r>
      <w:r w:rsidR="00B4092A">
        <w:t xml:space="preserve"> The Potential Provider will be expected to visit these satellite sites.</w:t>
      </w:r>
    </w:p>
    <w:p w14:paraId="4FE97E92" w14:textId="77777777" w:rsidR="001C51E8" w:rsidRPr="00376787" w:rsidRDefault="001C51E8" w:rsidP="001C51E8">
      <w:pPr>
        <w:pStyle w:val="Heading2"/>
        <w:rPr>
          <w:rFonts w:cs="Arial"/>
          <w:b/>
          <w:caps/>
          <w:szCs w:val="22"/>
        </w:rPr>
      </w:pPr>
      <w:r w:rsidRPr="00376787">
        <w:t>A total of up to 24 man-days</w:t>
      </w:r>
      <w:r w:rsidR="0009596B">
        <w:t xml:space="preserve"> will be required</w:t>
      </w:r>
      <w:r w:rsidRPr="00376787">
        <w:t xml:space="preserve"> for the period of contract as detailed in the Key Milestones (Section 7), on a task-by-task basis (the Authority has the right not to use all 24 days).</w:t>
      </w:r>
    </w:p>
    <w:p w14:paraId="4BA9861F" w14:textId="77777777" w:rsidR="00FE18AC" w:rsidRPr="00376787" w:rsidRDefault="00FE18AC" w:rsidP="00376787">
      <w:pPr>
        <w:pStyle w:val="Heading1"/>
        <w:spacing w:before="240" w:after="120"/>
        <w:rPr>
          <w:rFonts w:cs="Arial"/>
          <w:szCs w:val="22"/>
        </w:rPr>
      </w:pPr>
      <w:bookmarkStart w:id="27" w:name="_Toc528318955"/>
      <w:r w:rsidRPr="00376787">
        <w:rPr>
          <w:rFonts w:cs="Arial"/>
          <w:szCs w:val="22"/>
        </w:rPr>
        <w:t>continuous improvement</w:t>
      </w:r>
      <w:bookmarkEnd w:id="26"/>
      <w:bookmarkEnd w:id="27"/>
    </w:p>
    <w:p w14:paraId="418B405C" w14:textId="77777777" w:rsidR="001C51E8" w:rsidRPr="00376787" w:rsidRDefault="001C51E8" w:rsidP="00376787">
      <w:pPr>
        <w:pStyle w:val="Heading2"/>
        <w:spacing w:after="120"/>
      </w:pPr>
      <w:r w:rsidRPr="00376787">
        <w:t xml:space="preserve">The Potential Provider will be expected to continually improve the way in which the required Services are to be delivered throughout the Contract duration. </w:t>
      </w:r>
    </w:p>
    <w:p w14:paraId="1630CEE2" w14:textId="77777777" w:rsidR="001C51E8" w:rsidRPr="00376787" w:rsidRDefault="001C51E8" w:rsidP="001C51E8">
      <w:pPr>
        <w:pStyle w:val="Heading2"/>
        <w:rPr>
          <w:b/>
          <w:caps/>
        </w:rPr>
      </w:pPr>
      <w:r w:rsidRPr="00376787">
        <w:t xml:space="preserve">Changes to the way in which the Services are to be delivered must be brought to the Authority’s attention and agreed prior to any changes being implemented. </w:t>
      </w:r>
    </w:p>
    <w:p w14:paraId="697D7630" w14:textId="77777777" w:rsidR="004E78BC" w:rsidRPr="00376787" w:rsidRDefault="004E78BC" w:rsidP="00376787">
      <w:pPr>
        <w:pStyle w:val="Heading1"/>
        <w:spacing w:before="240" w:after="120"/>
      </w:pPr>
      <w:bookmarkStart w:id="28" w:name="_Toc528318956"/>
      <w:r w:rsidRPr="00376787">
        <w:t>Sustainability</w:t>
      </w:r>
      <w:bookmarkEnd w:id="28"/>
    </w:p>
    <w:p w14:paraId="0D2BF139" w14:textId="77777777" w:rsidR="001C51E8" w:rsidRPr="00376787" w:rsidRDefault="001C51E8" w:rsidP="00376787">
      <w:pPr>
        <w:pStyle w:val="Heading2"/>
        <w:spacing w:after="120"/>
      </w:pPr>
      <w:bookmarkStart w:id="29" w:name="_Toc368573036"/>
      <w:r w:rsidRPr="00376787">
        <w:t xml:space="preserve">There are no specific sustainability considerations for this requirement. </w:t>
      </w:r>
    </w:p>
    <w:p w14:paraId="69D1CCC1" w14:textId="77777777" w:rsidR="00FE18AC" w:rsidRPr="00376787" w:rsidRDefault="00FE18AC" w:rsidP="00376787">
      <w:pPr>
        <w:pStyle w:val="Heading1"/>
        <w:tabs>
          <w:tab w:val="clear" w:pos="720"/>
          <w:tab w:val="num" w:pos="0"/>
        </w:tabs>
        <w:overflowPunct w:val="0"/>
        <w:autoSpaceDE w:val="0"/>
        <w:autoSpaceDN w:val="0"/>
        <w:spacing w:before="240" w:after="120"/>
        <w:ind w:left="709" w:hanging="709"/>
        <w:textAlignment w:val="baseline"/>
        <w:rPr>
          <w:rFonts w:cs="Arial"/>
          <w:szCs w:val="22"/>
        </w:rPr>
      </w:pPr>
      <w:bookmarkStart w:id="30" w:name="_Toc528318957"/>
      <w:r w:rsidRPr="00376787">
        <w:rPr>
          <w:rFonts w:cs="Arial"/>
          <w:szCs w:val="22"/>
        </w:rPr>
        <w:t>quality</w:t>
      </w:r>
      <w:bookmarkEnd w:id="29"/>
      <w:bookmarkEnd w:id="30"/>
    </w:p>
    <w:p w14:paraId="30A8F908" w14:textId="77777777" w:rsidR="001C51E8" w:rsidRPr="00376787" w:rsidRDefault="001C51E8" w:rsidP="00376787">
      <w:pPr>
        <w:pStyle w:val="Heading2"/>
        <w:spacing w:after="120"/>
      </w:pPr>
      <w:bookmarkStart w:id="31" w:name="_Toc368573037"/>
      <w:r w:rsidRPr="00376787">
        <w:t>See Section 5 - 'Scope of Requirement'.</w:t>
      </w:r>
    </w:p>
    <w:p w14:paraId="5D66777B" w14:textId="77777777" w:rsidR="00FE18AC" w:rsidRPr="00376787" w:rsidRDefault="00FE18AC" w:rsidP="00376787">
      <w:pPr>
        <w:pStyle w:val="Heading1"/>
        <w:tabs>
          <w:tab w:val="clear" w:pos="720"/>
          <w:tab w:val="num" w:pos="0"/>
        </w:tabs>
        <w:overflowPunct w:val="0"/>
        <w:autoSpaceDE w:val="0"/>
        <w:autoSpaceDN w:val="0"/>
        <w:spacing w:before="240" w:after="120"/>
        <w:ind w:left="709" w:hanging="709"/>
        <w:textAlignment w:val="baseline"/>
        <w:rPr>
          <w:rFonts w:cs="Arial"/>
          <w:szCs w:val="22"/>
        </w:rPr>
      </w:pPr>
      <w:bookmarkStart w:id="32" w:name="_Toc528318958"/>
      <w:r w:rsidRPr="00376787">
        <w:rPr>
          <w:rFonts w:cs="Arial"/>
          <w:szCs w:val="22"/>
        </w:rPr>
        <w:t>PRICE</w:t>
      </w:r>
      <w:bookmarkEnd w:id="31"/>
      <w:bookmarkEnd w:id="32"/>
    </w:p>
    <w:p w14:paraId="3F027FC7" w14:textId="762086BB" w:rsidR="001C51E8" w:rsidRPr="00376787" w:rsidRDefault="001C51E8" w:rsidP="00376787">
      <w:pPr>
        <w:pStyle w:val="Heading2"/>
        <w:spacing w:after="120"/>
      </w:pPr>
      <w:bookmarkStart w:id="33" w:name="_Toc368573038"/>
      <w:r w:rsidRPr="00376787">
        <w:t xml:space="preserve">This contract will be on a task-by-task basis, and therefore prices should be provided </w:t>
      </w:r>
      <w:r w:rsidR="00311412">
        <w:t>in</w:t>
      </w:r>
      <w:r w:rsidR="00311412" w:rsidRPr="00376787">
        <w:t xml:space="preserve"> </w:t>
      </w:r>
      <w:r w:rsidRPr="00376787">
        <w:t xml:space="preserve">a </w:t>
      </w:r>
      <w:r w:rsidR="00AC774B">
        <w:t xml:space="preserve">capped cost </w:t>
      </w:r>
      <w:r w:rsidR="00311412">
        <w:t>format</w:t>
      </w:r>
      <w:r w:rsidRPr="00376787">
        <w:t xml:space="preserve">. </w:t>
      </w:r>
    </w:p>
    <w:p w14:paraId="5DECC3D1" w14:textId="691344F8" w:rsidR="001C51E8" w:rsidRDefault="001C51E8" w:rsidP="00376787">
      <w:pPr>
        <w:pStyle w:val="Heading2"/>
        <w:spacing w:after="120"/>
      </w:pPr>
      <w:r w:rsidRPr="00376787">
        <w:t>Prices are to be submitted via the e-Sourcing Suite excluding VAT.</w:t>
      </w:r>
    </w:p>
    <w:p w14:paraId="2349C20D" w14:textId="2779C70C" w:rsidR="00AC774B" w:rsidRPr="00AC774B" w:rsidRDefault="00C16E34" w:rsidP="00376787">
      <w:pPr>
        <w:pStyle w:val="Heading2"/>
        <w:spacing w:after="120"/>
        <w:rPr>
          <w:b/>
        </w:rPr>
      </w:pPr>
      <w:r>
        <w:rPr>
          <w:b/>
        </w:rPr>
        <w:t xml:space="preserve">The </w:t>
      </w:r>
      <w:r w:rsidR="00AC774B" w:rsidRPr="00AC774B">
        <w:rPr>
          <w:b/>
        </w:rPr>
        <w:t>maximum budget for this work is £25,727.00 excluding VAT and as such any bid exceeding this amount will be deemed non-compliant.</w:t>
      </w:r>
    </w:p>
    <w:p w14:paraId="5F21108D" w14:textId="77777777" w:rsidR="00FE18AC" w:rsidRPr="00376787" w:rsidRDefault="00FE18AC" w:rsidP="00376787">
      <w:pPr>
        <w:pStyle w:val="Heading1"/>
        <w:tabs>
          <w:tab w:val="clear" w:pos="720"/>
          <w:tab w:val="num" w:pos="0"/>
        </w:tabs>
        <w:overflowPunct w:val="0"/>
        <w:autoSpaceDE w:val="0"/>
        <w:autoSpaceDN w:val="0"/>
        <w:spacing w:before="240" w:after="120"/>
        <w:ind w:left="709" w:hanging="709"/>
        <w:textAlignment w:val="baseline"/>
        <w:rPr>
          <w:rFonts w:cs="Arial"/>
          <w:szCs w:val="22"/>
        </w:rPr>
      </w:pPr>
      <w:bookmarkStart w:id="34" w:name="_Toc528318959"/>
      <w:r w:rsidRPr="00376787">
        <w:rPr>
          <w:rFonts w:cs="Arial"/>
          <w:szCs w:val="22"/>
        </w:rPr>
        <w:t>STAFF AND CUSTOMER SERVICE</w:t>
      </w:r>
      <w:bookmarkEnd w:id="33"/>
      <w:bookmarkEnd w:id="34"/>
    </w:p>
    <w:p w14:paraId="1284D315" w14:textId="77777777" w:rsidR="001C51E8" w:rsidRPr="00376787" w:rsidRDefault="001C51E8" w:rsidP="00B05851">
      <w:pPr>
        <w:pStyle w:val="Heading2"/>
        <w:spacing w:after="120"/>
      </w:pPr>
      <w:bookmarkStart w:id="35" w:name="_Toc368573039"/>
      <w:r w:rsidRPr="00376787">
        <w:t>The Authority requires the Potential Provider to provide a sufficient level of resource throughout the duration of the Provision of Consultancy for Surveillance and Certification to BSEN ISO 9001 Quality Management System Contract in order to consistently deliver a quality service to all Parties.</w:t>
      </w:r>
    </w:p>
    <w:p w14:paraId="0CA288A6" w14:textId="77777777" w:rsidR="001C51E8" w:rsidRPr="00376787" w:rsidRDefault="001C51E8" w:rsidP="00376787">
      <w:pPr>
        <w:pStyle w:val="Heading2"/>
        <w:spacing w:after="120"/>
      </w:pPr>
      <w:r w:rsidRPr="00376787">
        <w:t xml:space="preserve">Potential Provider’s staff assigned to the Provision of Consultancy for Surveillance and Certification to BSEN ISO 9001 Quality Management System Contract shall have the relevant qualifications and experience to deliver the Contract. </w:t>
      </w:r>
    </w:p>
    <w:p w14:paraId="52610EBD" w14:textId="77777777" w:rsidR="001C51E8" w:rsidRPr="00376787" w:rsidRDefault="001C51E8" w:rsidP="00376787">
      <w:pPr>
        <w:pStyle w:val="Heading2"/>
        <w:spacing w:after="120"/>
      </w:pPr>
      <w:r w:rsidRPr="00376787">
        <w:t xml:space="preserve">The Potential Provider shall ensure that staff understand the Authority’s vision and objectives and will provide excellent customer service to the Authority throughout the duration of the Contract.  </w:t>
      </w:r>
    </w:p>
    <w:p w14:paraId="707F389B" w14:textId="77777777" w:rsidR="00FE18AC" w:rsidRPr="00376787" w:rsidRDefault="00FE18AC" w:rsidP="00376787">
      <w:pPr>
        <w:pStyle w:val="Heading1"/>
        <w:tabs>
          <w:tab w:val="clear" w:pos="720"/>
          <w:tab w:val="num" w:pos="0"/>
        </w:tabs>
        <w:overflowPunct w:val="0"/>
        <w:autoSpaceDE w:val="0"/>
        <w:autoSpaceDN w:val="0"/>
        <w:spacing w:before="240" w:after="120"/>
        <w:ind w:left="709" w:hanging="709"/>
        <w:textAlignment w:val="baseline"/>
        <w:rPr>
          <w:rFonts w:cs="Arial"/>
          <w:szCs w:val="22"/>
        </w:rPr>
      </w:pPr>
      <w:bookmarkStart w:id="36" w:name="_Toc528318960"/>
      <w:r w:rsidRPr="00376787">
        <w:rPr>
          <w:rFonts w:cs="Arial"/>
          <w:szCs w:val="22"/>
        </w:rPr>
        <w:t>service levels and performance</w:t>
      </w:r>
      <w:bookmarkEnd w:id="35"/>
      <w:bookmarkEnd w:id="36"/>
    </w:p>
    <w:p w14:paraId="5BAB8B3E" w14:textId="77777777" w:rsidR="00671798" w:rsidRPr="00376787" w:rsidRDefault="00FE18AC">
      <w:pPr>
        <w:pStyle w:val="Heading2"/>
        <w:tabs>
          <w:tab w:val="clear" w:pos="720"/>
          <w:tab w:val="num" w:pos="132"/>
          <w:tab w:val="num" w:pos="862"/>
        </w:tabs>
        <w:overflowPunct w:val="0"/>
        <w:autoSpaceDE w:val="0"/>
        <w:autoSpaceDN w:val="0"/>
        <w:spacing w:after="120"/>
        <w:ind w:left="709" w:hanging="709"/>
        <w:textAlignment w:val="baseline"/>
      </w:pPr>
      <w:r w:rsidRPr="00376787">
        <w:t>The Authority will measure the quality of the Supplier’s delivery by:</w:t>
      </w:r>
    </w:p>
    <w:p w14:paraId="5F09A9F4" w14:textId="77777777" w:rsidR="00671798" w:rsidRPr="00376787" w:rsidRDefault="00671798">
      <w:pPr>
        <w:pStyle w:val="Heading3"/>
        <w:tabs>
          <w:tab w:val="clear" w:pos="1800"/>
          <w:tab w:val="num" w:pos="1418"/>
        </w:tabs>
        <w:spacing w:after="120"/>
        <w:ind w:left="1418" w:hanging="698"/>
      </w:pPr>
    </w:p>
    <w:tbl>
      <w:tblPr>
        <w:tblStyle w:val="TableGrid"/>
        <w:tblW w:w="0" w:type="auto"/>
        <w:tblInd w:w="720" w:type="dxa"/>
        <w:tblLook w:val="04A0" w:firstRow="1" w:lastRow="0" w:firstColumn="1" w:lastColumn="0" w:noHBand="0" w:noVBand="1"/>
      </w:tblPr>
      <w:tblGrid>
        <w:gridCol w:w="1048"/>
        <w:gridCol w:w="1771"/>
        <w:gridCol w:w="3827"/>
        <w:gridCol w:w="1653"/>
      </w:tblGrid>
      <w:tr w:rsidR="00B13763" w:rsidRPr="00376787" w14:paraId="769D7DDE" w14:textId="77777777" w:rsidTr="00B13763">
        <w:tc>
          <w:tcPr>
            <w:tcW w:w="1048" w:type="dxa"/>
            <w:shd w:val="clear" w:color="auto" w:fill="DBE5F1" w:themeFill="accent1" w:themeFillTint="33"/>
          </w:tcPr>
          <w:p w14:paraId="10C9ED14" w14:textId="77777777" w:rsidR="00B13763" w:rsidRPr="00376787" w:rsidRDefault="00B13763" w:rsidP="00B13763">
            <w:pPr>
              <w:pStyle w:val="Heading2"/>
              <w:numPr>
                <w:ilvl w:val="0"/>
                <w:numId w:val="0"/>
              </w:numPr>
              <w:jc w:val="center"/>
              <w:outlineLvl w:val="1"/>
            </w:pPr>
            <w:r w:rsidRPr="00376787">
              <w:t>KPI/SLA</w:t>
            </w:r>
          </w:p>
        </w:tc>
        <w:tc>
          <w:tcPr>
            <w:tcW w:w="1771" w:type="dxa"/>
            <w:shd w:val="clear" w:color="auto" w:fill="DBE5F1" w:themeFill="accent1" w:themeFillTint="33"/>
          </w:tcPr>
          <w:p w14:paraId="2D98E046" w14:textId="77777777" w:rsidR="00B13763" w:rsidRPr="00376787" w:rsidRDefault="00B13763" w:rsidP="00B13763">
            <w:pPr>
              <w:pStyle w:val="Heading2"/>
              <w:numPr>
                <w:ilvl w:val="0"/>
                <w:numId w:val="0"/>
              </w:numPr>
              <w:jc w:val="center"/>
              <w:outlineLvl w:val="1"/>
            </w:pPr>
            <w:r w:rsidRPr="00376787">
              <w:t>Service Area</w:t>
            </w:r>
          </w:p>
        </w:tc>
        <w:tc>
          <w:tcPr>
            <w:tcW w:w="3827" w:type="dxa"/>
            <w:shd w:val="clear" w:color="auto" w:fill="DBE5F1" w:themeFill="accent1" w:themeFillTint="33"/>
          </w:tcPr>
          <w:p w14:paraId="5CE0A642" w14:textId="77777777" w:rsidR="00B13763" w:rsidRPr="00376787" w:rsidRDefault="00B13763" w:rsidP="00B13763">
            <w:pPr>
              <w:pStyle w:val="Heading2"/>
              <w:numPr>
                <w:ilvl w:val="0"/>
                <w:numId w:val="0"/>
              </w:numPr>
              <w:jc w:val="center"/>
              <w:outlineLvl w:val="1"/>
            </w:pPr>
            <w:r w:rsidRPr="00376787">
              <w:t>KPI/SLA description</w:t>
            </w:r>
          </w:p>
        </w:tc>
        <w:tc>
          <w:tcPr>
            <w:tcW w:w="1653" w:type="dxa"/>
            <w:shd w:val="clear" w:color="auto" w:fill="DBE5F1" w:themeFill="accent1" w:themeFillTint="33"/>
          </w:tcPr>
          <w:p w14:paraId="31572119" w14:textId="77777777" w:rsidR="00B13763" w:rsidRPr="00376787" w:rsidRDefault="00B13763" w:rsidP="00B13763">
            <w:pPr>
              <w:pStyle w:val="Heading2"/>
              <w:numPr>
                <w:ilvl w:val="0"/>
                <w:numId w:val="0"/>
              </w:numPr>
              <w:jc w:val="center"/>
              <w:outlineLvl w:val="1"/>
            </w:pPr>
            <w:r w:rsidRPr="00376787">
              <w:t>Target</w:t>
            </w:r>
          </w:p>
        </w:tc>
      </w:tr>
      <w:tr w:rsidR="001C51E8" w:rsidRPr="00376787" w14:paraId="74D3895C" w14:textId="77777777" w:rsidTr="00B13763">
        <w:tc>
          <w:tcPr>
            <w:tcW w:w="1048" w:type="dxa"/>
          </w:tcPr>
          <w:p w14:paraId="12F299EC" w14:textId="77777777" w:rsidR="001C51E8" w:rsidRPr="00376787" w:rsidRDefault="001C51E8" w:rsidP="001C51E8">
            <w:pPr>
              <w:pStyle w:val="Heading2"/>
              <w:numPr>
                <w:ilvl w:val="0"/>
                <w:numId w:val="0"/>
              </w:numPr>
              <w:jc w:val="center"/>
              <w:outlineLvl w:val="1"/>
            </w:pPr>
            <w:r w:rsidRPr="00376787">
              <w:t>1</w:t>
            </w:r>
          </w:p>
        </w:tc>
        <w:tc>
          <w:tcPr>
            <w:tcW w:w="1771" w:type="dxa"/>
          </w:tcPr>
          <w:p w14:paraId="0007B859" w14:textId="01AC351A" w:rsidR="001C51E8" w:rsidRPr="00376787" w:rsidRDefault="000937B9" w:rsidP="001C51E8">
            <w:pPr>
              <w:pStyle w:val="Heading2"/>
              <w:numPr>
                <w:ilvl w:val="0"/>
                <w:numId w:val="0"/>
              </w:numPr>
              <w:jc w:val="left"/>
              <w:outlineLvl w:val="1"/>
            </w:pPr>
            <w:r>
              <w:t>Quality</w:t>
            </w:r>
          </w:p>
        </w:tc>
        <w:tc>
          <w:tcPr>
            <w:tcW w:w="3827" w:type="dxa"/>
          </w:tcPr>
          <w:p w14:paraId="4337D7FE" w14:textId="467DD31A" w:rsidR="001C51E8" w:rsidRPr="00376787" w:rsidRDefault="001C51E8" w:rsidP="001C51E8">
            <w:pPr>
              <w:pStyle w:val="Heading2"/>
              <w:numPr>
                <w:ilvl w:val="0"/>
                <w:numId w:val="0"/>
              </w:numPr>
              <w:jc w:val="left"/>
              <w:outlineLvl w:val="1"/>
            </w:pPr>
            <w:r w:rsidRPr="00376787">
              <w:t xml:space="preserve">The Potential Provider will produce a report </w:t>
            </w:r>
            <w:r w:rsidR="000937B9">
              <w:t xml:space="preserve">in line with the key milestones </w:t>
            </w:r>
            <w:r w:rsidRPr="00376787">
              <w:t xml:space="preserve">immediately following each surveillance visit, to the satisfaction of the designated officer </w:t>
            </w:r>
            <w:r w:rsidR="008B1BAF">
              <w:t>(The Authority</w:t>
            </w:r>
            <w:r w:rsidRPr="00376787">
              <w:t>- '1710 NAS').</w:t>
            </w:r>
          </w:p>
        </w:tc>
        <w:tc>
          <w:tcPr>
            <w:tcW w:w="1653" w:type="dxa"/>
          </w:tcPr>
          <w:p w14:paraId="506604D0" w14:textId="77777777" w:rsidR="001C51E8" w:rsidRPr="00376787" w:rsidRDefault="001C51E8" w:rsidP="001C51E8">
            <w:pPr>
              <w:pStyle w:val="Heading2"/>
              <w:numPr>
                <w:ilvl w:val="0"/>
                <w:numId w:val="0"/>
              </w:numPr>
              <w:outlineLvl w:val="1"/>
            </w:pPr>
            <w:r w:rsidRPr="00376787">
              <w:t>100%</w:t>
            </w:r>
          </w:p>
        </w:tc>
      </w:tr>
    </w:tbl>
    <w:p w14:paraId="4A1DFF9A" w14:textId="77777777" w:rsidR="001C51E8" w:rsidRPr="00376787" w:rsidRDefault="001C51E8" w:rsidP="00376787">
      <w:pPr>
        <w:pStyle w:val="Heading2"/>
        <w:spacing w:before="120" w:after="120"/>
      </w:pPr>
      <w:bookmarkStart w:id="37" w:name="_Toc368573040"/>
      <w:r w:rsidRPr="00376787">
        <w:t>'DEFCON 514 (Edn. 08/15) - Material Breach' shall apply to this contract.</w:t>
      </w:r>
    </w:p>
    <w:p w14:paraId="7BE38624" w14:textId="77777777" w:rsidR="00671798" w:rsidRPr="00376787" w:rsidRDefault="00FE18AC">
      <w:pPr>
        <w:pStyle w:val="Heading1"/>
        <w:spacing w:after="120"/>
      </w:pPr>
      <w:bookmarkStart w:id="38" w:name="_Toc528318961"/>
      <w:r w:rsidRPr="00376787">
        <w:t>Security requirements</w:t>
      </w:r>
      <w:bookmarkEnd w:id="37"/>
      <w:bookmarkEnd w:id="38"/>
    </w:p>
    <w:p w14:paraId="629E130E" w14:textId="6418702D" w:rsidR="001C51E8" w:rsidRPr="00376787" w:rsidRDefault="001C51E8" w:rsidP="00376787">
      <w:pPr>
        <w:pStyle w:val="Heading2"/>
        <w:spacing w:after="120"/>
      </w:pPr>
      <w:bookmarkStart w:id="39" w:name="_Toc368573041"/>
      <w:r w:rsidRPr="00376787">
        <w:t xml:space="preserve">Security Clearance is not mandated </w:t>
      </w:r>
      <w:r w:rsidR="00376787">
        <w:t>–</w:t>
      </w:r>
      <w:r w:rsidRPr="00376787">
        <w:t xml:space="preserve"> </w:t>
      </w:r>
      <w:r w:rsidR="00376787">
        <w:t>The Potential Provider</w:t>
      </w:r>
      <w:r w:rsidRPr="00376787">
        <w:t xml:space="preserve"> will be escorted at all times whilst on </w:t>
      </w:r>
      <w:r w:rsidR="008B1BAF">
        <w:t>the Authority’s</w:t>
      </w:r>
      <w:r w:rsidR="008B1BAF" w:rsidRPr="00376787">
        <w:t xml:space="preserve"> </w:t>
      </w:r>
      <w:r w:rsidRPr="00376787">
        <w:t>sites.</w:t>
      </w:r>
    </w:p>
    <w:p w14:paraId="654DE337" w14:textId="77777777" w:rsidR="001C51E8" w:rsidRPr="00376787" w:rsidRDefault="001C51E8" w:rsidP="00376787">
      <w:pPr>
        <w:pStyle w:val="Heading2"/>
        <w:spacing w:after="120"/>
      </w:pPr>
      <w:r w:rsidRPr="00376787">
        <w:t>A Cyber Risk Assessment has been raised for this requirement under Assessment number RAR-GAGC34HR. The associated Cyber Risk Profile is ‘very low’.</w:t>
      </w:r>
    </w:p>
    <w:p w14:paraId="78129ABB" w14:textId="6D852341" w:rsidR="001C51E8" w:rsidRPr="00376787" w:rsidRDefault="001C51E8" w:rsidP="00376787">
      <w:pPr>
        <w:pStyle w:val="Heading2"/>
        <w:spacing w:after="120"/>
      </w:pPr>
      <w:r w:rsidRPr="00376787">
        <w:t>The Potential Provider must</w:t>
      </w:r>
      <w:r w:rsidR="00311412">
        <w:t xml:space="preserve"> </w:t>
      </w:r>
      <w:r w:rsidRPr="00376787">
        <w:t>complete a Supplier Assurance Questionnaire against this Cyber Risk Assessment</w:t>
      </w:r>
      <w:r w:rsidR="000937B9">
        <w:t xml:space="preserve"> prior to contract award</w:t>
      </w:r>
      <w:r w:rsidRPr="00376787">
        <w:t xml:space="preserve">. </w:t>
      </w:r>
    </w:p>
    <w:p w14:paraId="7CC6EB65" w14:textId="77777777" w:rsidR="001C51E8" w:rsidRPr="00376787" w:rsidRDefault="001C51E8" w:rsidP="00B05851">
      <w:pPr>
        <w:pStyle w:val="Heading3"/>
        <w:spacing w:after="120"/>
      </w:pPr>
      <w:r w:rsidRPr="00376787">
        <w:t>A Supplier Assurance Questionnaire can be completed online at https://supplier-cyber-protection.service.gov.uk.</w:t>
      </w:r>
    </w:p>
    <w:p w14:paraId="76417E72" w14:textId="77777777" w:rsidR="001C51E8" w:rsidRPr="00376787" w:rsidRDefault="001C51E8">
      <w:pPr>
        <w:pStyle w:val="Heading2"/>
        <w:spacing w:after="120"/>
      </w:pPr>
      <w:r w:rsidRPr="00376787">
        <w:t>Potential Providers can register to view the Assessment and submit their Questionnaire at:</w:t>
      </w:r>
    </w:p>
    <w:p w14:paraId="499CC5E3" w14:textId="77777777" w:rsidR="001C51E8" w:rsidRPr="00376787" w:rsidRDefault="001C51E8" w:rsidP="00B05851">
      <w:pPr>
        <w:pStyle w:val="Heading3"/>
        <w:spacing w:after="120"/>
      </w:pPr>
      <w:r w:rsidRPr="00376787">
        <w:t xml:space="preserve">https://supplier-cyber-protection.service.gov.uk/organisation/register </w:t>
      </w:r>
    </w:p>
    <w:p w14:paraId="1E6073A7" w14:textId="77777777" w:rsidR="001C51E8" w:rsidRPr="00376787" w:rsidRDefault="001C51E8">
      <w:pPr>
        <w:pStyle w:val="Heading2"/>
        <w:spacing w:after="120"/>
      </w:pPr>
      <w:r w:rsidRPr="00376787">
        <w:t>Further guidance on the Cyber Risk process can be found at:</w:t>
      </w:r>
    </w:p>
    <w:p w14:paraId="75418D81" w14:textId="77777777" w:rsidR="001C51E8" w:rsidRPr="00376787" w:rsidRDefault="001C51E8" w:rsidP="00B05851">
      <w:pPr>
        <w:pStyle w:val="Heading3"/>
        <w:spacing w:after="120"/>
      </w:pPr>
      <w:r w:rsidRPr="00376787">
        <w:t>https://www.gov.uk/government/collections/defence-cyber-protection-partnership</w:t>
      </w:r>
    </w:p>
    <w:p w14:paraId="6EDE84C6" w14:textId="77777777" w:rsidR="001C51E8" w:rsidRPr="00376787" w:rsidRDefault="001C51E8" w:rsidP="00B05851">
      <w:pPr>
        <w:pStyle w:val="Heading2"/>
        <w:spacing w:after="120"/>
      </w:pPr>
      <w:r w:rsidRPr="00376787">
        <w:t>Cyber Security Model Industry Buyer and Supplier Guide at:</w:t>
      </w:r>
    </w:p>
    <w:p w14:paraId="699883F5" w14:textId="77777777" w:rsidR="001C51E8" w:rsidRPr="00376787" w:rsidRDefault="001C51E8" w:rsidP="00B05851">
      <w:pPr>
        <w:pStyle w:val="Heading3"/>
        <w:spacing w:after="120"/>
      </w:pPr>
      <w:r w:rsidRPr="00376787">
        <w:t xml:space="preserve">https://www.gov.uk/government/uploads/system/uploads/attachment_data/file/669646/20171201_Cyber_Industry_Buyer_and_Supplier_Guide_FINAL_Dec_2017.pdf </w:t>
      </w:r>
    </w:p>
    <w:p w14:paraId="1B0B3ABA" w14:textId="77777777" w:rsidR="00183DAF" w:rsidRPr="00376787" w:rsidRDefault="00FE18AC" w:rsidP="00376787">
      <w:pPr>
        <w:pStyle w:val="Heading1"/>
        <w:tabs>
          <w:tab w:val="clear" w:pos="720"/>
          <w:tab w:val="num" w:pos="0"/>
        </w:tabs>
        <w:overflowPunct w:val="0"/>
        <w:autoSpaceDE w:val="0"/>
        <w:autoSpaceDN w:val="0"/>
        <w:spacing w:before="240" w:after="120"/>
        <w:ind w:left="709" w:hanging="709"/>
        <w:textAlignment w:val="baseline"/>
        <w:rPr>
          <w:rFonts w:cs="Arial"/>
          <w:szCs w:val="22"/>
        </w:rPr>
      </w:pPr>
      <w:bookmarkStart w:id="40" w:name="_Toc528318962"/>
      <w:r w:rsidRPr="00376787">
        <w:rPr>
          <w:rFonts w:cs="Arial"/>
          <w:szCs w:val="22"/>
        </w:rPr>
        <w:t>intellectual property rights (ipr)</w:t>
      </w:r>
      <w:bookmarkEnd w:id="39"/>
      <w:bookmarkEnd w:id="40"/>
    </w:p>
    <w:p w14:paraId="18D8BA8E" w14:textId="0DB8D30F" w:rsidR="001C51E8" w:rsidRPr="00376787" w:rsidRDefault="008B1BAF" w:rsidP="001C51E8">
      <w:pPr>
        <w:pStyle w:val="Heading2"/>
      </w:pPr>
      <w:bookmarkStart w:id="41" w:name="_Toc368573042"/>
      <w:r>
        <w:t>Section 34 of the CCS Management Consultancy Framework (RM3745) Terms and Conditions shall apply.</w:t>
      </w:r>
    </w:p>
    <w:p w14:paraId="4D7989EA" w14:textId="77777777" w:rsidR="0081061A" w:rsidRPr="00376787" w:rsidRDefault="0081061A" w:rsidP="00376787">
      <w:pPr>
        <w:pStyle w:val="Heading1"/>
        <w:tabs>
          <w:tab w:val="clear" w:pos="720"/>
          <w:tab w:val="num" w:pos="0"/>
        </w:tabs>
        <w:overflowPunct w:val="0"/>
        <w:autoSpaceDE w:val="0"/>
        <w:autoSpaceDN w:val="0"/>
        <w:spacing w:before="240" w:after="120"/>
        <w:ind w:left="709" w:hanging="709"/>
        <w:textAlignment w:val="baseline"/>
        <w:rPr>
          <w:rFonts w:cs="Arial"/>
          <w:szCs w:val="22"/>
        </w:rPr>
      </w:pPr>
      <w:bookmarkStart w:id="42" w:name="_Toc528318963"/>
      <w:r w:rsidRPr="00376787">
        <w:rPr>
          <w:rFonts w:cs="Arial"/>
          <w:szCs w:val="22"/>
        </w:rPr>
        <w:t>payment</w:t>
      </w:r>
      <w:bookmarkEnd w:id="42"/>
    </w:p>
    <w:p w14:paraId="4AACB5EA" w14:textId="77777777" w:rsidR="00DF7D3A" w:rsidRPr="00376787" w:rsidRDefault="00DF7D3A" w:rsidP="00376787">
      <w:pPr>
        <w:pStyle w:val="Heading2"/>
        <w:spacing w:after="120"/>
      </w:pPr>
      <w:r w:rsidRPr="00376787">
        <w:t xml:space="preserve">Agreed and approved payments, on a task-by-task basis, will be made via the Contracting Purchasing &amp; Finance (CP&amp;F) MoD online payment system. </w:t>
      </w:r>
    </w:p>
    <w:p w14:paraId="5ECBBF07" w14:textId="06859A3A" w:rsidR="00DF7D3A" w:rsidRPr="00376787" w:rsidRDefault="00DF7D3A" w:rsidP="00376787">
      <w:pPr>
        <w:pStyle w:val="Heading2"/>
        <w:spacing w:after="120"/>
      </w:pPr>
      <w:r w:rsidRPr="00376787">
        <w:t>Payment can only be made following satisfactory delivery of the pre-agreed deliverables</w:t>
      </w:r>
      <w:r w:rsidR="00B05851">
        <w:t>.</w:t>
      </w:r>
      <w:r w:rsidRPr="00376787">
        <w:t xml:space="preserve"> </w:t>
      </w:r>
    </w:p>
    <w:p w14:paraId="496C5465" w14:textId="77777777" w:rsidR="00DF7D3A" w:rsidRPr="00376787" w:rsidRDefault="00DF7D3A" w:rsidP="00376787">
      <w:pPr>
        <w:pStyle w:val="Heading2"/>
        <w:spacing w:after="120"/>
        <w:rPr>
          <w:rFonts w:cs="Arial"/>
          <w:szCs w:val="22"/>
        </w:rPr>
      </w:pPr>
      <w:r w:rsidRPr="00376787">
        <w:t xml:space="preserve">Before payment can be considered, each invoice must include a detailed elemental breakdown of work completed and the associated costs. </w:t>
      </w:r>
    </w:p>
    <w:p w14:paraId="5BEE9343" w14:textId="77777777" w:rsidR="00FE18AC" w:rsidRPr="00376787" w:rsidRDefault="00FE18AC" w:rsidP="00B05851">
      <w:pPr>
        <w:pStyle w:val="Heading1"/>
        <w:spacing w:before="240" w:after="120"/>
      </w:pPr>
      <w:bookmarkStart w:id="43" w:name="_Toc528318964"/>
      <w:r w:rsidRPr="00376787">
        <w:t>additional information</w:t>
      </w:r>
      <w:bookmarkEnd w:id="41"/>
      <w:bookmarkEnd w:id="43"/>
      <w:r w:rsidRPr="00376787">
        <w:t xml:space="preserve"> </w:t>
      </w:r>
    </w:p>
    <w:p w14:paraId="6A9452BF" w14:textId="77777777" w:rsidR="00DF7D3A" w:rsidRPr="00376787" w:rsidRDefault="00DF7D3A" w:rsidP="00DF7D3A">
      <w:pPr>
        <w:pStyle w:val="Heading2"/>
      </w:pPr>
      <w:bookmarkStart w:id="44" w:name="_Toc368573043"/>
      <w:bookmarkEnd w:id="20"/>
      <w:r w:rsidRPr="00376787">
        <w:t>Not applicable.</w:t>
      </w:r>
    </w:p>
    <w:p w14:paraId="57374852" w14:textId="77777777" w:rsidR="00671798" w:rsidRPr="00376787" w:rsidRDefault="00FE18AC" w:rsidP="00B05851">
      <w:pPr>
        <w:pStyle w:val="Heading1"/>
        <w:spacing w:before="240" w:after="120"/>
      </w:pPr>
      <w:bookmarkStart w:id="45" w:name="_Toc528318965"/>
      <w:r w:rsidRPr="00376787">
        <w:t>Location</w:t>
      </w:r>
      <w:bookmarkEnd w:id="44"/>
      <w:bookmarkEnd w:id="45"/>
      <w:r w:rsidRPr="00376787">
        <w:t xml:space="preserve"> </w:t>
      </w:r>
    </w:p>
    <w:p w14:paraId="7EDE50F2" w14:textId="4B9DDAAD" w:rsidR="00DF7D3A" w:rsidRPr="00376787" w:rsidRDefault="00DF7D3A" w:rsidP="00DF7D3A">
      <w:pPr>
        <w:pStyle w:val="Heading2"/>
        <w:spacing w:after="120"/>
      </w:pPr>
      <w:r w:rsidRPr="00376787">
        <w:t xml:space="preserve">The location of the Services will </w:t>
      </w:r>
      <w:r w:rsidR="00356EFC">
        <w:t xml:space="preserve">mainly </w:t>
      </w:r>
      <w:r w:rsidRPr="00376787">
        <w:t xml:space="preserve">be carried out at </w:t>
      </w:r>
      <w:r w:rsidR="00356EFC">
        <w:t xml:space="preserve">the base location of </w:t>
      </w:r>
      <w:r w:rsidRPr="00376787">
        <w:t>1710 NAS Portsmouth</w:t>
      </w:r>
      <w:r w:rsidR="00356EFC">
        <w:t>.</w:t>
      </w:r>
      <w:r w:rsidRPr="00376787">
        <w:t xml:space="preserve"> </w:t>
      </w:r>
      <w:r w:rsidR="00356EFC">
        <w:t xml:space="preserve">The daily rates provided must include travel and subsistence to this site. Ad hoc visits will be required to </w:t>
      </w:r>
      <w:r w:rsidRPr="00376787">
        <w:t xml:space="preserve">1710 NAS regional teams at RAF Benson, Wattisham Flying Station and RAF Wyton. </w:t>
      </w:r>
      <w:r w:rsidR="00356EFC">
        <w:t xml:space="preserve">Visits to these sites </w:t>
      </w:r>
      <w:r w:rsidR="007119AB">
        <w:t>can</w:t>
      </w:r>
      <w:r w:rsidR="00356EFC">
        <w:t xml:space="preserve"> be charged in line with MOD travel and subsistence policy. </w:t>
      </w:r>
      <w:r w:rsidRPr="00376787">
        <w:t>Site addresses:</w:t>
      </w:r>
    </w:p>
    <w:p w14:paraId="31D447FB" w14:textId="43889255" w:rsidR="00DF7D3A" w:rsidRPr="00376787" w:rsidRDefault="00DF7D3A" w:rsidP="00DF7D3A">
      <w:pPr>
        <w:pStyle w:val="Heading2"/>
        <w:numPr>
          <w:ilvl w:val="0"/>
          <w:numId w:val="0"/>
        </w:numPr>
        <w:spacing w:after="120"/>
        <w:ind w:left="720"/>
      </w:pPr>
      <w:r w:rsidRPr="00376787">
        <w:t>1710 NAS, Unicorn Building, HM Naval Base, Portsmouth. PO1 3GX</w:t>
      </w:r>
      <w:r w:rsidR="00397001">
        <w:t xml:space="preserve"> </w:t>
      </w:r>
      <w:r w:rsidR="00B408BD">
        <w:t>(</w:t>
      </w:r>
      <w:r w:rsidR="00397001">
        <w:rPr>
          <w:b/>
        </w:rPr>
        <w:t>base</w:t>
      </w:r>
      <w:r w:rsidR="00B408BD">
        <w:t>)</w:t>
      </w:r>
    </w:p>
    <w:p w14:paraId="37DA2999" w14:textId="77777777" w:rsidR="00DF7D3A" w:rsidRPr="00376787" w:rsidRDefault="00DF7D3A" w:rsidP="00DF7D3A">
      <w:pPr>
        <w:pStyle w:val="Heading2"/>
        <w:numPr>
          <w:ilvl w:val="0"/>
          <w:numId w:val="0"/>
        </w:numPr>
        <w:spacing w:after="120"/>
        <w:ind w:left="720"/>
      </w:pPr>
      <w:r w:rsidRPr="00376787">
        <w:t>1710 NAS RNDTT, Building 66, RAF Benson, Wallingford, Oxfordshire. OX10 6AA</w:t>
      </w:r>
    </w:p>
    <w:p w14:paraId="477A9C03" w14:textId="77777777" w:rsidR="00DF7D3A" w:rsidRPr="00376787" w:rsidRDefault="00DF7D3A" w:rsidP="00DF7D3A">
      <w:pPr>
        <w:pStyle w:val="Heading2"/>
        <w:numPr>
          <w:ilvl w:val="0"/>
          <w:numId w:val="0"/>
        </w:numPr>
        <w:spacing w:after="120"/>
        <w:ind w:left="720"/>
      </w:pPr>
      <w:r w:rsidRPr="00376787">
        <w:t>1710 NAS RNDTT, AHDSU, Rm A83, Wattisham Airfield, Ipswich, Suffolk. IP77 7RA</w:t>
      </w:r>
    </w:p>
    <w:p w14:paraId="45BFF93B" w14:textId="77777777" w:rsidR="00DF7D3A" w:rsidRPr="00376787" w:rsidRDefault="00DF7D3A" w:rsidP="00DF7D3A">
      <w:pPr>
        <w:pStyle w:val="Heading2"/>
        <w:numPr>
          <w:ilvl w:val="0"/>
          <w:numId w:val="0"/>
        </w:numPr>
        <w:spacing w:after="120"/>
        <w:ind w:left="720"/>
      </w:pPr>
      <w:r w:rsidRPr="00376787">
        <w:t>1710 NAS VHUMS, Z Block, RAF Wyton, Huntingdon, Cambridgeshire. PE28 2EA</w:t>
      </w:r>
    </w:p>
    <w:sectPr w:rsidR="00DF7D3A" w:rsidRPr="00376787" w:rsidSect="001C51E8">
      <w:headerReference w:type="default" r:id="rId8"/>
      <w:footerReference w:type="default" r:id="rId9"/>
      <w:endnotePr>
        <w:numFmt w:val="decimal"/>
      </w:endnotePr>
      <w:pgSz w:w="11909" w:h="16834" w:code="9"/>
      <w:pgMar w:top="1440" w:right="1440" w:bottom="1559" w:left="1440" w:header="340" w:footer="283"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F6BA7" w14:textId="77777777" w:rsidR="0035283C" w:rsidRDefault="0035283C">
      <w:pPr>
        <w:spacing w:line="20" w:lineRule="exact"/>
      </w:pPr>
    </w:p>
  </w:endnote>
  <w:endnote w:type="continuationSeparator" w:id="0">
    <w:p w14:paraId="460F95EC" w14:textId="77777777" w:rsidR="0035283C" w:rsidRDefault="0035283C">
      <w:pPr>
        <w:spacing w:line="20" w:lineRule="exact"/>
      </w:pPr>
      <w:r>
        <w:t xml:space="preserve"> </w:t>
      </w:r>
    </w:p>
  </w:endnote>
  <w:endnote w:type="continuationNotice" w:id="1">
    <w:p w14:paraId="4F956D86" w14:textId="77777777" w:rsidR="0035283C" w:rsidRDefault="0035283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0AB117A5" w14:textId="77777777" w:rsidR="0035283C" w:rsidRDefault="0035283C"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561C1907" wp14:editId="0EF8F757">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22552"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46E4BDDA" w14:textId="77777777" w:rsidR="0035283C" w:rsidRPr="00985B4D" w:rsidRDefault="0035283C" w:rsidP="00985B4D">
        <w:pPr>
          <w:pStyle w:val="Footer"/>
          <w:jc w:val="center"/>
          <w:rPr>
            <w:sz w:val="20"/>
            <w:szCs w:val="20"/>
          </w:rPr>
        </w:pPr>
        <w:r w:rsidRPr="00985B4D">
          <w:rPr>
            <w:sz w:val="20"/>
            <w:szCs w:val="20"/>
          </w:rPr>
          <w:t>OFFICIAL</w:t>
        </w:r>
      </w:p>
      <w:p w14:paraId="505434C7" w14:textId="77777777" w:rsidR="0035283C" w:rsidRPr="00985B4D" w:rsidRDefault="0035283C">
        <w:pPr>
          <w:pStyle w:val="Footer"/>
          <w:rPr>
            <w:sz w:val="20"/>
            <w:szCs w:val="20"/>
          </w:rPr>
        </w:pPr>
        <w:r w:rsidRPr="00985B4D">
          <w:rPr>
            <w:sz w:val="20"/>
            <w:szCs w:val="20"/>
          </w:rPr>
          <w:t>Appendix B – Statement of Requirements</w:t>
        </w:r>
      </w:p>
      <w:p w14:paraId="4979954D" w14:textId="55982F52" w:rsidR="0035283C" w:rsidRDefault="0035283C">
        <w:pPr>
          <w:pStyle w:val="Footer"/>
          <w:rPr>
            <w:sz w:val="20"/>
            <w:szCs w:val="20"/>
          </w:rPr>
        </w:pPr>
        <w:r>
          <w:rPr>
            <w:sz w:val="20"/>
            <w:szCs w:val="20"/>
          </w:rPr>
          <w:t xml:space="preserve">Caroline Bradshaw </w:t>
        </w:r>
      </w:p>
      <w:p w14:paraId="58619119" w14:textId="77777777" w:rsidR="0035283C" w:rsidRPr="00985B4D" w:rsidRDefault="0035283C">
        <w:pPr>
          <w:pStyle w:val="Footer"/>
          <w:rPr>
            <w:sz w:val="20"/>
            <w:szCs w:val="20"/>
          </w:rPr>
        </w:pPr>
        <w:r>
          <w:rPr>
            <w:rFonts w:cs="Arial"/>
            <w:color w:val="222222"/>
            <w:sz w:val="19"/>
            <w:szCs w:val="19"/>
            <w:shd w:val="clear" w:color="auto" w:fill="FFFFFF"/>
          </w:rPr>
          <w:t>© Crown copyright 2016</w:t>
        </w:r>
      </w:p>
      <w:p w14:paraId="05BF3A42" w14:textId="0BE9B649" w:rsidR="0035283C" w:rsidRDefault="0035283C" w:rsidP="00575086">
        <w:pPr>
          <w:pStyle w:val="Footer"/>
          <w:jc w:val="right"/>
        </w:pPr>
        <w:r>
          <w:rPr>
            <w:sz w:val="20"/>
            <w:szCs w:val="20"/>
          </w:rPr>
          <w:t>V1.0 24/10/2018</w:t>
        </w:r>
      </w:p>
    </w:sdtContent>
  </w:sdt>
  <w:p w14:paraId="142AB4EB" w14:textId="77777777" w:rsidR="0035283C" w:rsidRPr="002933F8" w:rsidRDefault="0035283C"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CCE56" w14:textId="77777777" w:rsidR="0035283C" w:rsidRDefault="0035283C">
      <w:r>
        <w:separator/>
      </w:r>
    </w:p>
  </w:footnote>
  <w:footnote w:type="continuationSeparator" w:id="0">
    <w:p w14:paraId="7EBE0841" w14:textId="77777777" w:rsidR="0035283C" w:rsidRDefault="0035283C">
      <w:r>
        <w:continuationSeparator/>
      </w:r>
    </w:p>
  </w:footnote>
  <w:footnote w:type="continuationNotice" w:id="1">
    <w:p w14:paraId="1B176366" w14:textId="77777777" w:rsidR="0035283C" w:rsidRDefault="003528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D7268" w14:textId="77777777" w:rsidR="0035283C" w:rsidRPr="00F44D62" w:rsidRDefault="0035283C"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29D19E4" wp14:editId="7FF709DB">
          <wp:simplePos x="0" y="0"/>
          <wp:positionH relativeFrom="column">
            <wp:posOffset>-304800</wp:posOffset>
          </wp:positionH>
          <wp:positionV relativeFrom="page">
            <wp:posOffset>205740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205AC983" w14:textId="77777777" w:rsidR="0035283C" w:rsidRDefault="0035283C"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55F1763D" w14:textId="77777777" w:rsidR="0035283C" w:rsidRPr="00DF7D3A" w:rsidRDefault="0035283C" w:rsidP="00DF7D3A">
    <w:pPr>
      <w:tabs>
        <w:tab w:val="center" w:pos="4153"/>
        <w:tab w:val="right" w:pos="8306"/>
      </w:tabs>
      <w:ind w:left="720"/>
      <w:jc w:val="center"/>
      <w:rPr>
        <w:rFonts w:cs="Arial"/>
        <w:sz w:val="20"/>
        <w:szCs w:val="20"/>
      </w:rPr>
    </w:pPr>
    <w:r w:rsidRPr="00DF7D3A">
      <w:rPr>
        <w:rFonts w:cs="Arial"/>
        <w:sz w:val="20"/>
        <w:szCs w:val="20"/>
      </w:rPr>
      <w:t xml:space="preserve">Provision of Consultancy for Surveillance and Certification </w:t>
    </w:r>
  </w:p>
  <w:p w14:paraId="2B51DF39" w14:textId="77777777" w:rsidR="0035283C" w:rsidRPr="00DF7D3A" w:rsidRDefault="0035283C" w:rsidP="00DF7D3A">
    <w:pPr>
      <w:tabs>
        <w:tab w:val="center" w:pos="4153"/>
        <w:tab w:val="right" w:pos="8306"/>
      </w:tabs>
      <w:ind w:left="720"/>
      <w:jc w:val="center"/>
      <w:rPr>
        <w:rFonts w:cs="Arial"/>
        <w:sz w:val="20"/>
        <w:szCs w:val="20"/>
      </w:rPr>
    </w:pPr>
    <w:r w:rsidRPr="00DF7D3A">
      <w:rPr>
        <w:rFonts w:cs="Arial"/>
        <w:sz w:val="20"/>
        <w:szCs w:val="20"/>
      </w:rPr>
      <w:t>to BSEN ISO 9001 Quality Management System</w:t>
    </w:r>
  </w:p>
  <w:p w14:paraId="7EED581B" w14:textId="5FC87859" w:rsidR="0035283C" w:rsidRPr="009D0EAE" w:rsidRDefault="0035283C" w:rsidP="00DF7D3A">
    <w:pPr>
      <w:tabs>
        <w:tab w:val="center" w:pos="4153"/>
        <w:tab w:val="right" w:pos="8306"/>
      </w:tabs>
      <w:ind w:left="720"/>
      <w:jc w:val="center"/>
      <w:rPr>
        <w:rFonts w:cs="Arial"/>
        <w:sz w:val="20"/>
        <w:szCs w:val="20"/>
        <w:highlight w:val="yellow"/>
      </w:rPr>
    </w:pPr>
    <w:r>
      <w:rPr>
        <w:rFonts w:cs="Arial"/>
        <w:sz w:val="20"/>
        <w:szCs w:val="20"/>
      </w:rPr>
      <w:t>Contract Reference: CCCC18A98</w:t>
    </w:r>
  </w:p>
  <w:p w14:paraId="725A122B" w14:textId="77777777" w:rsidR="0035283C" w:rsidRPr="00074357" w:rsidRDefault="0035283C" w:rsidP="00074357">
    <w:pPr>
      <w:pStyle w:val="Header"/>
    </w:pPr>
    <w:r>
      <w:rPr>
        <w:noProof/>
        <w:lang w:eastAsia="en-GB"/>
      </w:rPr>
      <mc:AlternateContent>
        <mc:Choice Requires="wps">
          <w:drawing>
            <wp:anchor distT="0" distB="0" distL="114300" distR="114300" simplePos="0" relativeHeight="251658242" behindDoc="0" locked="0" layoutInCell="1" allowOverlap="1" wp14:anchorId="43420215" wp14:editId="5656AC48">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3458E5"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4B6C2C5C"/>
    <w:multiLevelType w:val="multilevel"/>
    <w:tmpl w:val="1332CCD4"/>
    <w:name w:val="Plato Schedule Numbering List"/>
    <w:numStyleLink w:val="111111"/>
  </w:abstractNum>
  <w:abstractNum w:abstractNumId="23" w15:restartNumberingAfterBreak="0">
    <w:nsid w:val="50965CCA"/>
    <w:multiLevelType w:val="multilevel"/>
    <w:tmpl w:val="1332CCD4"/>
    <w:name w:val="Appendicies Heading List"/>
    <w:numStyleLink w:val="111111"/>
  </w:abstractNum>
  <w:abstractNum w:abstractNumId="24" w15:restartNumberingAfterBreak="0">
    <w:nsid w:val="51200365"/>
    <w:multiLevelType w:val="multilevel"/>
    <w:tmpl w:val="0C1E320C"/>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3"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abstractNum w:abstractNumId="34" w15:restartNumberingAfterBreak="0">
    <w:nsid w:val="7FCE4B14"/>
    <w:multiLevelType w:val="hybridMultilevel"/>
    <w:tmpl w:val="D18092C2"/>
    <w:lvl w:ilvl="0" w:tplc="CA64FF60">
      <w:start w:val="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14"/>
  </w:num>
  <w:num w:numId="4">
    <w:abstractNumId w:val="15"/>
  </w:num>
  <w:num w:numId="5">
    <w:abstractNumId w:val="5"/>
  </w:num>
  <w:num w:numId="6">
    <w:abstractNumId w:val="20"/>
  </w:num>
  <w:num w:numId="7">
    <w:abstractNumId w:val="17"/>
  </w:num>
  <w:num w:numId="8">
    <w:abstractNumId w:val="13"/>
  </w:num>
  <w:num w:numId="9">
    <w:abstractNumId w:val="4"/>
  </w:num>
  <w:num w:numId="10">
    <w:abstractNumId w:val="3"/>
  </w:num>
  <w:num w:numId="11">
    <w:abstractNumId w:val="2"/>
  </w:num>
  <w:num w:numId="12">
    <w:abstractNumId w:val="1"/>
  </w:num>
  <w:num w:numId="13">
    <w:abstractNumId w:val="0"/>
  </w:num>
  <w:num w:numId="14">
    <w:abstractNumId w:val="32"/>
  </w:num>
  <w:num w:numId="15">
    <w:abstractNumId w:val="9"/>
  </w:num>
  <w:num w:numId="16">
    <w:abstractNumId w:val="28"/>
  </w:num>
  <w:num w:numId="17">
    <w:abstractNumId w:val="8"/>
  </w:num>
  <w:num w:numId="18">
    <w:abstractNumId w:val="18"/>
  </w:num>
  <w:num w:numId="19">
    <w:abstractNumId w:val="16"/>
  </w:num>
  <w:num w:numId="20">
    <w:abstractNumId w:val="26"/>
  </w:num>
  <w:num w:numId="21">
    <w:abstractNumId w:val="12"/>
  </w:num>
  <w:num w:numId="22">
    <w:abstractNumId w:val="30"/>
  </w:num>
  <w:num w:numId="23">
    <w:abstractNumId w:val="21"/>
  </w:num>
  <w:num w:numId="24">
    <w:abstractNumId w:val="11"/>
  </w:num>
  <w:num w:numId="25">
    <w:abstractNumId w:val="29"/>
  </w:num>
  <w:num w:numId="26">
    <w:abstractNumId w:val="7"/>
  </w:num>
  <w:num w:numId="27">
    <w:abstractNumId w:val="25"/>
  </w:num>
  <w:num w:numId="28">
    <w:abstractNumId w:val="19"/>
  </w:num>
  <w:num w:numId="29">
    <w:abstractNumId w:val="31"/>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4"/>
  </w:num>
  <w:num w:numId="33">
    <w:abstractNumId w:val="34"/>
  </w:num>
  <w:num w:numId="34">
    <w:abstractNumId w:val="24"/>
  </w:num>
  <w:num w:numId="35">
    <w:abstractNumId w:val="24"/>
  </w:num>
  <w:num w:numId="36">
    <w:abstractNumId w:val="24"/>
  </w:num>
  <w:num w:numId="37">
    <w:abstractNumId w:val="24"/>
  </w:num>
  <w:num w:numId="38">
    <w:abstractNumId w:val="24"/>
  </w:num>
  <w:num w:numId="39">
    <w:abstractNumId w:val="24"/>
  </w:num>
  <w:num w:numId="40">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37B9"/>
    <w:rsid w:val="00093C26"/>
    <w:rsid w:val="00094E2D"/>
    <w:rsid w:val="0009596B"/>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C9F"/>
    <w:rsid w:val="000B7E75"/>
    <w:rsid w:val="000C1D0A"/>
    <w:rsid w:val="000C2484"/>
    <w:rsid w:val="000C2E05"/>
    <w:rsid w:val="000C68BF"/>
    <w:rsid w:val="000C6BD6"/>
    <w:rsid w:val="000C7C2B"/>
    <w:rsid w:val="000D3719"/>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7AB1"/>
    <w:rsid w:val="001B0587"/>
    <w:rsid w:val="001B2EA8"/>
    <w:rsid w:val="001B3C1C"/>
    <w:rsid w:val="001B485F"/>
    <w:rsid w:val="001B4B79"/>
    <w:rsid w:val="001B52D8"/>
    <w:rsid w:val="001B62DA"/>
    <w:rsid w:val="001B7109"/>
    <w:rsid w:val="001B7657"/>
    <w:rsid w:val="001C210F"/>
    <w:rsid w:val="001C2D04"/>
    <w:rsid w:val="001C4CDC"/>
    <w:rsid w:val="001C51E8"/>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2BB"/>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56F8"/>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11412"/>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283C"/>
    <w:rsid w:val="00353191"/>
    <w:rsid w:val="00353EC0"/>
    <w:rsid w:val="003550DB"/>
    <w:rsid w:val="00356EFC"/>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787"/>
    <w:rsid w:val="00376922"/>
    <w:rsid w:val="00376FF7"/>
    <w:rsid w:val="003770F8"/>
    <w:rsid w:val="0038049D"/>
    <w:rsid w:val="003833FD"/>
    <w:rsid w:val="00386338"/>
    <w:rsid w:val="00386706"/>
    <w:rsid w:val="003874EB"/>
    <w:rsid w:val="003908EB"/>
    <w:rsid w:val="00390BC3"/>
    <w:rsid w:val="0039193D"/>
    <w:rsid w:val="00396B62"/>
    <w:rsid w:val="00397001"/>
    <w:rsid w:val="003A0CDA"/>
    <w:rsid w:val="003A199A"/>
    <w:rsid w:val="003A21C8"/>
    <w:rsid w:val="003A2C48"/>
    <w:rsid w:val="003A4DD7"/>
    <w:rsid w:val="003B0599"/>
    <w:rsid w:val="003B3AED"/>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6E3"/>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34BBA"/>
    <w:rsid w:val="004401D5"/>
    <w:rsid w:val="00442EDE"/>
    <w:rsid w:val="00447F11"/>
    <w:rsid w:val="004516D6"/>
    <w:rsid w:val="0045279B"/>
    <w:rsid w:val="00453EE6"/>
    <w:rsid w:val="0045425C"/>
    <w:rsid w:val="00456D72"/>
    <w:rsid w:val="0045749D"/>
    <w:rsid w:val="00461688"/>
    <w:rsid w:val="00462365"/>
    <w:rsid w:val="00462E6A"/>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62"/>
    <w:rsid w:val="004A31F5"/>
    <w:rsid w:val="004A4371"/>
    <w:rsid w:val="004A48ED"/>
    <w:rsid w:val="004B4E34"/>
    <w:rsid w:val="004B6951"/>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3A21"/>
    <w:rsid w:val="005147FE"/>
    <w:rsid w:val="00515D51"/>
    <w:rsid w:val="00517904"/>
    <w:rsid w:val="0052086C"/>
    <w:rsid w:val="00522AAC"/>
    <w:rsid w:val="0052365A"/>
    <w:rsid w:val="0052487A"/>
    <w:rsid w:val="00527040"/>
    <w:rsid w:val="00531417"/>
    <w:rsid w:val="0053220D"/>
    <w:rsid w:val="0053273C"/>
    <w:rsid w:val="005334EA"/>
    <w:rsid w:val="00533F76"/>
    <w:rsid w:val="005364E3"/>
    <w:rsid w:val="0055006C"/>
    <w:rsid w:val="00551203"/>
    <w:rsid w:val="00551397"/>
    <w:rsid w:val="005571B2"/>
    <w:rsid w:val="00561AE0"/>
    <w:rsid w:val="00561BB6"/>
    <w:rsid w:val="00563F76"/>
    <w:rsid w:val="00564CCA"/>
    <w:rsid w:val="0056660C"/>
    <w:rsid w:val="00575086"/>
    <w:rsid w:val="005750D7"/>
    <w:rsid w:val="005750F5"/>
    <w:rsid w:val="005759DD"/>
    <w:rsid w:val="00576C34"/>
    <w:rsid w:val="00581887"/>
    <w:rsid w:val="005821EF"/>
    <w:rsid w:val="005825F1"/>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19AB"/>
    <w:rsid w:val="007145F1"/>
    <w:rsid w:val="0072081F"/>
    <w:rsid w:val="007217F8"/>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1568"/>
    <w:rsid w:val="00791F7F"/>
    <w:rsid w:val="00792660"/>
    <w:rsid w:val="00792A76"/>
    <w:rsid w:val="00792F41"/>
    <w:rsid w:val="00793CFE"/>
    <w:rsid w:val="007957E7"/>
    <w:rsid w:val="00797375"/>
    <w:rsid w:val="007A1EDB"/>
    <w:rsid w:val="007A3FF7"/>
    <w:rsid w:val="007A4212"/>
    <w:rsid w:val="007A5C92"/>
    <w:rsid w:val="007A6776"/>
    <w:rsid w:val="007A7E53"/>
    <w:rsid w:val="007B22E8"/>
    <w:rsid w:val="007B3FCD"/>
    <w:rsid w:val="007B5019"/>
    <w:rsid w:val="007B52CD"/>
    <w:rsid w:val="007B6D7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5385"/>
    <w:rsid w:val="0080626B"/>
    <w:rsid w:val="00806CB2"/>
    <w:rsid w:val="00806DC0"/>
    <w:rsid w:val="008073BC"/>
    <w:rsid w:val="0081061A"/>
    <w:rsid w:val="00811C30"/>
    <w:rsid w:val="00814198"/>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545"/>
    <w:rsid w:val="008A3F1A"/>
    <w:rsid w:val="008A3FCF"/>
    <w:rsid w:val="008A41ED"/>
    <w:rsid w:val="008A5EAC"/>
    <w:rsid w:val="008A74AE"/>
    <w:rsid w:val="008A7593"/>
    <w:rsid w:val="008A7C5C"/>
    <w:rsid w:val="008B0FDC"/>
    <w:rsid w:val="008B1BAF"/>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5027"/>
    <w:rsid w:val="008D66D4"/>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447A"/>
    <w:rsid w:val="00905BFB"/>
    <w:rsid w:val="009064EA"/>
    <w:rsid w:val="009066E0"/>
    <w:rsid w:val="00910C56"/>
    <w:rsid w:val="00911C93"/>
    <w:rsid w:val="00912B1E"/>
    <w:rsid w:val="00912C42"/>
    <w:rsid w:val="009141BA"/>
    <w:rsid w:val="0091531E"/>
    <w:rsid w:val="00915583"/>
    <w:rsid w:val="0091733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B24DD"/>
    <w:rsid w:val="009C1684"/>
    <w:rsid w:val="009C2B62"/>
    <w:rsid w:val="009C3578"/>
    <w:rsid w:val="009C3DAF"/>
    <w:rsid w:val="009C3E01"/>
    <w:rsid w:val="009C426E"/>
    <w:rsid w:val="009D08E6"/>
    <w:rsid w:val="009D12CD"/>
    <w:rsid w:val="009D1AF6"/>
    <w:rsid w:val="009D4394"/>
    <w:rsid w:val="009D4927"/>
    <w:rsid w:val="009D737E"/>
    <w:rsid w:val="009D7801"/>
    <w:rsid w:val="009E1BA0"/>
    <w:rsid w:val="009E2289"/>
    <w:rsid w:val="009E22EF"/>
    <w:rsid w:val="009E2B2D"/>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670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C774B"/>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E3EE0"/>
    <w:rsid w:val="00AF0BC0"/>
    <w:rsid w:val="00AF21E6"/>
    <w:rsid w:val="00AF2BB0"/>
    <w:rsid w:val="00AF5288"/>
    <w:rsid w:val="00AF5D31"/>
    <w:rsid w:val="00AF655B"/>
    <w:rsid w:val="00AF75E2"/>
    <w:rsid w:val="00AF7B04"/>
    <w:rsid w:val="00B008C0"/>
    <w:rsid w:val="00B0302C"/>
    <w:rsid w:val="00B05851"/>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8BD"/>
    <w:rsid w:val="00B4092A"/>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745"/>
    <w:rsid w:val="00BA7ABE"/>
    <w:rsid w:val="00BB0A71"/>
    <w:rsid w:val="00BB201E"/>
    <w:rsid w:val="00BB379F"/>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407A"/>
    <w:rsid w:val="00BF1413"/>
    <w:rsid w:val="00BF19C4"/>
    <w:rsid w:val="00BF3BAD"/>
    <w:rsid w:val="00BF3CBD"/>
    <w:rsid w:val="00BF3E29"/>
    <w:rsid w:val="00BF411A"/>
    <w:rsid w:val="00BF423A"/>
    <w:rsid w:val="00BF4C2E"/>
    <w:rsid w:val="00C00B5F"/>
    <w:rsid w:val="00C00D58"/>
    <w:rsid w:val="00C02A15"/>
    <w:rsid w:val="00C02C4F"/>
    <w:rsid w:val="00C0327F"/>
    <w:rsid w:val="00C0387E"/>
    <w:rsid w:val="00C16E34"/>
    <w:rsid w:val="00C1747F"/>
    <w:rsid w:val="00C20E79"/>
    <w:rsid w:val="00C226E8"/>
    <w:rsid w:val="00C233B8"/>
    <w:rsid w:val="00C24337"/>
    <w:rsid w:val="00C25BEE"/>
    <w:rsid w:val="00C26F1C"/>
    <w:rsid w:val="00C3280C"/>
    <w:rsid w:val="00C356C1"/>
    <w:rsid w:val="00C35E26"/>
    <w:rsid w:val="00C36C28"/>
    <w:rsid w:val="00C3701E"/>
    <w:rsid w:val="00C4233A"/>
    <w:rsid w:val="00C44DC2"/>
    <w:rsid w:val="00C50014"/>
    <w:rsid w:val="00C50E68"/>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05A81"/>
    <w:rsid w:val="00D10BD3"/>
    <w:rsid w:val="00D12A9F"/>
    <w:rsid w:val="00D16593"/>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6944"/>
    <w:rsid w:val="00D56954"/>
    <w:rsid w:val="00D62E47"/>
    <w:rsid w:val="00D70A58"/>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E557A"/>
    <w:rsid w:val="00DF55DF"/>
    <w:rsid w:val="00DF5A32"/>
    <w:rsid w:val="00DF61D8"/>
    <w:rsid w:val="00DF7D3A"/>
    <w:rsid w:val="00E0083E"/>
    <w:rsid w:val="00E024D2"/>
    <w:rsid w:val="00E030C9"/>
    <w:rsid w:val="00E05439"/>
    <w:rsid w:val="00E05F1D"/>
    <w:rsid w:val="00E10534"/>
    <w:rsid w:val="00E10E97"/>
    <w:rsid w:val="00E13CFC"/>
    <w:rsid w:val="00E14310"/>
    <w:rsid w:val="00E20D35"/>
    <w:rsid w:val="00E22084"/>
    <w:rsid w:val="00E22767"/>
    <w:rsid w:val="00E245A6"/>
    <w:rsid w:val="00E25C2D"/>
    <w:rsid w:val="00E2791D"/>
    <w:rsid w:val="00E32A1D"/>
    <w:rsid w:val="00E33788"/>
    <w:rsid w:val="00E3410E"/>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3242"/>
    <w:rsid w:val="00ED3ECF"/>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52A"/>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366A"/>
    <w:rsid w:val="00F8387B"/>
    <w:rsid w:val="00F85C06"/>
    <w:rsid w:val="00F87597"/>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24E"/>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2CF0BA"/>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0B312-814C-4D06-9460-9C94709A2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10911</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Caroline Bradshaw</cp:lastModifiedBy>
  <cp:revision>6</cp:revision>
  <dcterms:created xsi:type="dcterms:W3CDTF">2018-10-02T09:12:00Z</dcterms:created>
  <dcterms:modified xsi:type="dcterms:W3CDTF">2018-10-26T11:06:00Z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