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C07" w:rsidRPr="00F90280" w:rsidRDefault="00D10F1F" w:rsidP="00F90280">
      <w:pPr>
        <w:jc w:val="center"/>
        <w:rPr>
          <w:rFonts w:eastAsiaTheme="majorEastAsia" w:cstheme="majorBidi"/>
          <w:b/>
          <w:spacing w:val="5"/>
          <w:kern w:val="28"/>
          <w:sz w:val="28"/>
          <w:szCs w:val="28"/>
        </w:rPr>
      </w:pPr>
      <w:r w:rsidRPr="00F90280">
        <w:rPr>
          <w:rFonts w:eastAsiaTheme="majorEastAsia" w:cstheme="majorBidi"/>
          <w:b/>
          <w:spacing w:val="5"/>
          <w:kern w:val="28"/>
          <w:sz w:val="28"/>
          <w:szCs w:val="28"/>
        </w:rPr>
        <w:t xml:space="preserve">Resilient Heritage </w:t>
      </w:r>
      <w:r w:rsidR="00ED2277">
        <w:rPr>
          <w:rFonts w:eastAsiaTheme="majorEastAsia" w:cstheme="majorBidi"/>
          <w:b/>
          <w:spacing w:val="5"/>
          <w:kern w:val="28"/>
          <w:sz w:val="28"/>
          <w:szCs w:val="28"/>
        </w:rPr>
        <w:t>P</w:t>
      </w:r>
      <w:r w:rsidRPr="00F90280">
        <w:rPr>
          <w:rFonts w:eastAsiaTheme="majorEastAsia" w:cstheme="majorBidi"/>
          <w:b/>
          <w:spacing w:val="5"/>
          <w:kern w:val="28"/>
          <w:sz w:val="28"/>
          <w:szCs w:val="28"/>
        </w:rPr>
        <w:t xml:space="preserve">rogramme </w:t>
      </w:r>
      <w:r w:rsidR="00ED2277">
        <w:rPr>
          <w:rFonts w:eastAsiaTheme="majorEastAsia" w:cstheme="majorBidi"/>
          <w:b/>
          <w:spacing w:val="5"/>
          <w:kern w:val="28"/>
          <w:sz w:val="28"/>
          <w:szCs w:val="28"/>
        </w:rPr>
        <w:t>E</w:t>
      </w:r>
      <w:r w:rsidRPr="00F90280">
        <w:rPr>
          <w:rFonts w:eastAsiaTheme="majorEastAsia" w:cstheme="majorBidi"/>
          <w:b/>
          <w:spacing w:val="5"/>
          <w:kern w:val="28"/>
          <w:sz w:val="28"/>
          <w:szCs w:val="28"/>
        </w:rPr>
        <w:t>valuation</w:t>
      </w:r>
    </w:p>
    <w:p w:rsidR="00D10F1F" w:rsidRPr="002A3C07" w:rsidRDefault="00D10F1F"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9C7A47"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A80CE3">
        <w:rPr>
          <w:rStyle w:val="Strong"/>
          <w:b w:val="0"/>
        </w:rPr>
        <w:t xml:space="preserve">Resilient </w:t>
      </w:r>
      <w:r w:rsidR="009C7A47">
        <w:rPr>
          <w:rStyle w:val="Strong"/>
          <w:b w:val="0"/>
        </w:rPr>
        <w:t xml:space="preserve">Heritage </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9C7A47">
        <w:t>Evaluation Service</w:t>
      </w:r>
    </w:p>
    <w:p w:rsidR="008D34A7" w:rsidRDefault="007C40BC" w:rsidP="008D34A7">
      <w:pPr>
        <w:tabs>
          <w:tab w:val="left" w:pos="567"/>
          <w:tab w:val="left" w:pos="4111"/>
        </w:tabs>
        <w:spacing w:after="240"/>
      </w:pPr>
      <w:r>
        <w:rPr>
          <w:b/>
        </w:rPr>
        <w:t>Estimated v</w:t>
      </w:r>
      <w:r w:rsidRPr="00A87B76">
        <w:rPr>
          <w:b/>
        </w:rPr>
        <w:t>alue of tender</w:t>
      </w:r>
      <w:r w:rsidRPr="00B230B6">
        <w:tab/>
      </w:r>
      <w:r w:rsidR="008D34A7">
        <w:t>Up to £40,000 including expenses and VAT</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EA1F32">
        <w:t>December 2017</w:t>
      </w:r>
      <w:r w:rsidR="00BF3A90">
        <w:t xml:space="preserve"> to March 2019</w:t>
      </w:r>
    </w:p>
    <w:p w:rsidR="00A13593" w:rsidRDefault="007C40BC" w:rsidP="00A13593">
      <w:r w:rsidRPr="00A87B76">
        <w:rPr>
          <w:b/>
        </w:rPr>
        <w:t xml:space="preserve">Name of </w:t>
      </w:r>
      <w:r>
        <w:rPr>
          <w:b/>
        </w:rPr>
        <w:t>HL</w:t>
      </w:r>
      <w:r w:rsidRPr="00A87B76">
        <w:rPr>
          <w:b/>
        </w:rPr>
        <w:t>F Contact</w:t>
      </w:r>
      <w:r w:rsidRPr="00EE3B0C">
        <w:tab/>
      </w:r>
      <w:r w:rsidR="00A13593">
        <w:t xml:space="preserve">                    Hilary Leavy</w:t>
      </w:r>
    </w:p>
    <w:p w:rsidR="00A13593" w:rsidRDefault="00A13593" w:rsidP="00A13593">
      <w:r>
        <w:t xml:space="preserve">                                                                   Evaluation Manager</w:t>
      </w:r>
    </w:p>
    <w:p w:rsidR="00A13593" w:rsidRDefault="00A13593" w:rsidP="00A13593">
      <w:r>
        <w:tab/>
      </w:r>
      <w:r>
        <w:tab/>
        <w:t xml:space="preserve">                                            020 7591 6188 </w:t>
      </w:r>
    </w:p>
    <w:p w:rsidR="00A13593" w:rsidRDefault="00A13593" w:rsidP="00A13593">
      <w:r>
        <w:t xml:space="preserve">                                                                   hilary.leavy@hlf.org.uk</w:t>
      </w:r>
      <w:r>
        <w:tab/>
      </w:r>
    </w:p>
    <w:p w:rsidR="009C7A47" w:rsidRDefault="00A13593" w:rsidP="00A13593">
      <w:pPr>
        <w:tabs>
          <w:tab w:val="left" w:pos="567"/>
          <w:tab w:val="left" w:pos="4111"/>
        </w:tabs>
        <w:spacing w:after="240"/>
      </w:pPr>
      <w:r>
        <w:t xml:space="preserve">                                                             </w:t>
      </w:r>
    </w:p>
    <w:p w:rsidR="00F90280" w:rsidRDefault="007C40BC" w:rsidP="00F90280">
      <w:pPr>
        <w:tabs>
          <w:tab w:val="left" w:pos="4111"/>
        </w:tabs>
        <w:spacing w:after="240"/>
        <w:ind w:left="4111" w:hanging="4111"/>
      </w:pPr>
      <w:r w:rsidRPr="008A4DA4">
        <w:rPr>
          <w:b/>
        </w:rPr>
        <w:t>Timetable</w:t>
      </w:r>
      <w:r w:rsidR="00697E37">
        <w:tab/>
      </w:r>
      <w:r w:rsidR="00F90280">
        <w:t>Response deadline</w:t>
      </w:r>
      <w:proofErr w:type="gramStart"/>
      <w:r w:rsidR="00F90280">
        <w:t>:</w:t>
      </w:r>
      <w:proofErr w:type="gramEnd"/>
      <w:r w:rsidR="00F90280">
        <w:br/>
        <w:t>11.00 am on 14 November 2017</w:t>
      </w:r>
      <w:r w:rsidR="00F90280">
        <w:rPr>
          <w:b/>
        </w:rPr>
        <w:tab/>
      </w:r>
      <w:r w:rsidR="00F90280">
        <w:br/>
      </w:r>
      <w:r w:rsidR="00F90280">
        <w:br/>
        <w:t>Clar</w:t>
      </w:r>
      <w:r w:rsidR="00B63D48">
        <w:t>ification questions deadline:</w:t>
      </w:r>
      <w:r w:rsidR="00B63D48">
        <w:br/>
        <w:t>31</w:t>
      </w:r>
      <w:r w:rsidR="00F90280">
        <w:t xml:space="preserve"> October 2017</w:t>
      </w:r>
    </w:p>
    <w:p w:rsidR="00F90280" w:rsidRDefault="00F90280" w:rsidP="00F90280">
      <w:pPr>
        <w:tabs>
          <w:tab w:val="left" w:pos="4111"/>
        </w:tabs>
        <w:spacing w:after="240"/>
        <w:ind w:left="4111"/>
      </w:pPr>
      <w:r>
        <w:t>Clarification meetings</w:t>
      </w:r>
      <w:proofErr w:type="gramStart"/>
      <w:r>
        <w:t>:</w:t>
      </w:r>
      <w:proofErr w:type="gramEnd"/>
      <w:r>
        <w:br/>
        <w:t>Week commencing 20 November 2017</w:t>
      </w:r>
    </w:p>
    <w:p w:rsidR="00F90280" w:rsidRDefault="00F90280" w:rsidP="00F90280">
      <w:pPr>
        <w:tabs>
          <w:tab w:val="left" w:pos="4111"/>
        </w:tabs>
        <w:spacing w:after="240"/>
        <w:ind w:left="4110"/>
      </w:pPr>
      <w:r>
        <w:tab/>
        <w:t>Confirmation of contract</w:t>
      </w:r>
      <w:proofErr w:type="gramStart"/>
      <w:r>
        <w:t>:</w:t>
      </w:r>
      <w:proofErr w:type="gramEnd"/>
      <w:r>
        <w:br/>
        <w:t>Week commencing 27 November 2017</w:t>
      </w:r>
    </w:p>
    <w:p w:rsidR="00F90280" w:rsidRDefault="00F90280" w:rsidP="00F90280">
      <w:pPr>
        <w:tabs>
          <w:tab w:val="left" w:pos="4111"/>
        </w:tabs>
        <w:spacing w:after="240"/>
        <w:ind w:left="4110"/>
      </w:pPr>
      <w:r>
        <w:t>Completion of research</w:t>
      </w:r>
      <w:proofErr w:type="gramStart"/>
      <w:r>
        <w:t>:</w:t>
      </w:r>
      <w:proofErr w:type="gramEnd"/>
      <w:r>
        <w:br/>
        <w:t>January 2022</w:t>
      </w:r>
    </w:p>
    <w:p w:rsidR="00F90280" w:rsidRDefault="00F90280" w:rsidP="00F90280">
      <w:pPr>
        <w:tabs>
          <w:tab w:val="left" w:pos="4111"/>
        </w:tabs>
        <w:spacing w:after="240"/>
        <w:ind w:left="4111" w:hanging="4111"/>
      </w:pPr>
    </w:p>
    <w:p w:rsidR="007C40BC" w:rsidRDefault="007C40BC" w:rsidP="007C40BC">
      <w:pPr>
        <w:tabs>
          <w:tab w:val="left" w:pos="4111"/>
        </w:tabs>
        <w:spacing w:after="240"/>
        <w:ind w:left="4110"/>
      </w:pP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82194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9" w:history="1">
        <w:r w:rsidRPr="0082194B">
          <w:rPr>
            <w:rFonts w:cs="Arial"/>
            <w:color w:val="0000FF"/>
            <w:szCs w:val="22"/>
            <w:u w:val="single"/>
          </w:rPr>
          <w:t>HLF website</w:t>
        </w:r>
      </w:hyperlink>
      <w:r w:rsidRPr="0082194B">
        <w:rPr>
          <w:rFonts w:cs="Arial"/>
          <w:szCs w:val="22"/>
        </w:rPr>
        <w:t xml:space="preserve"> for more details.</w:t>
      </w:r>
    </w:p>
    <w:p w:rsidR="0082194B" w:rsidRPr="0082194B" w:rsidRDefault="0082194B" w:rsidP="0082194B">
      <w:pPr>
        <w:numPr>
          <w:ilvl w:val="1"/>
          <w:numId w:val="2"/>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w:t>
      </w:r>
      <w:proofErr w:type="gramStart"/>
      <w:r w:rsidRPr="0082194B">
        <w:rPr>
          <w:rFonts w:cs="Arial"/>
          <w:szCs w:val="22"/>
        </w:rPr>
        <w:t>funding</w:t>
      </w:r>
      <w:r w:rsidR="00AE2088">
        <w:rPr>
          <w:rFonts w:cs="Arial"/>
          <w:szCs w:val="22"/>
        </w:rPr>
        <w:t>,</w:t>
      </w:r>
      <w:proofErr w:type="gramEnd"/>
      <w:r w:rsidRPr="0082194B">
        <w:rPr>
          <w:rFonts w:cs="Arial"/>
          <w:szCs w:val="22"/>
        </w:rPr>
        <w:t xml:space="preserve"> we aim to make a lasting difference for heritage and people. This is reflected in the outcomes for heritage, people and communities which underpin our grant-making.</w:t>
      </w:r>
    </w:p>
    <w:p w:rsidR="00441942" w:rsidRPr="00ED0955" w:rsidRDefault="00B63D48" w:rsidP="0082194B">
      <w:pPr>
        <w:numPr>
          <w:ilvl w:val="1"/>
          <w:numId w:val="2"/>
        </w:numPr>
        <w:spacing w:after="240" w:line="276" w:lineRule="auto"/>
        <w:rPr>
          <w:rFonts w:cs="Arial"/>
          <w:szCs w:val="22"/>
        </w:rPr>
      </w:pPr>
      <w:hyperlink r:id="rId10" w:history="1">
        <w:r w:rsidR="005A5F69" w:rsidRPr="005A5F69">
          <w:rPr>
            <w:rStyle w:val="Hyperlink"/>
            <w:rFonts w:cs="Arial"/>
            <w:iCs/>
            <w:szCs w:val="22"/>
          </w:rPr>
          <w:t>Resilient Heritage</w:t>
        </w:r>
      </w:hyperlink>
      <w:r w:rsidR="005A5F69">
        <w:rPr>
          <w:rFonts w:cs="Arial"/>
          <w:iCs/>
          <w:color w:val="000000" w:themeColor="text1"/>
          <w:szCs w:val="22"/>
        </w:rPr>
        <w:t xml:space="preserve"> </w:t>
      </w:r>
      <w:r w:rsidR="00ED0955">
        <w:rPr>
          <w:rFonts w:cs="Arial"/>
          <w:iCs/>
          <w:color w:val="000000" w:themeColor="text1"/>
          <w:szCs w:val="22"/>
        </w:rPr>
        <w:t>is a grants programme of between £3,000 and £250,000 to help strengthen organisations, build staff and volunteer capacity and better manage heritage in the long term.</w:t>
      </w:r>
    </w:p>
    <w:p w:rsidR="00ED0955" w:rsidRPr="00A170FA" w:rsidRDefault="00ED0955" w:rsidP="0082194B">
      <w:pPr>
        <w:numPr>
          <w:ilvl w:val="1"/>
          <w:numId w:val="2"/>
        </w:numPr>
        <w:spacing w:after="240" w:line="276" w:lineRule="auto"/>
        <w:rPr>
          <w:rFonts w:cs="Arial"/>
          <w:szCs w:val="22"/>
        </w:rPr>
      </w:pPr>
      <w:r>
        <w:rPr>
          <w:rFonts w:cs="Arial"/>
          <w:iCs/>
          <w:color w:val="000000" w:themeColor="text1"/>
          <w:szCs w:val="22"/>
        </w:rPr>
        <w:t>Funding is intended to increase organisational resilience by helping adapt to changing and challenging circumstances, withstand threats and respond to opportunities.  We want to support organisations and groups to build their capacity through adopting new ways of working, testing out ideas, increasing skills of staff</w:t>
      </w:r>
      <w:r w:rsidR="00D10F1F">
        <w:rPr>
          <w:rFonts w:cs="Arial"/>
          <w:iCs/>
          <w:color w:val="000000" w:themeColor="text1"/>
          <w:szCs w:val="22"/>
        </w:rPr>
        <w:t>, volunteers</w:t>
      </w:r>
      <w:r>
        <w:rPr>
          <w:rFonts w:cs="Arial"/>
          <w:iCs/>
          <w:color w:val="000000" w:themeColor="text1"/>
          <w:szCs w:val="22"/>
        </w:rPr>
        <w:t xml:space="preserve"> and trustees and becoming more financially </w:t>
      </w:r>
      <w:r w:rsidR="00C519AF">
        <w:rPr>
          <w:rFonts w:cs="Arial"/>
          <w:iCs/>
          <w:color w:val="000000" w:themeColor="text1"/>
          <w:szCs w:val="22"/>
        </w:rPr>
        <w:t xml:space="preserve">sustainable. </w:t>
      </w:r>
    </w:p>
    <w:p w:rsidR="00A170FA" w:rsidRPr="00D10F1F" w:rsidRDefault="00A170FA" w:rsidP="0082194B">
      <w:pPr>
        <w:numPr>
          <w:ilvl w:val="1"/>
          <w:numId w:val="2"/>
        </w:numPr>
        <w:spacing w:after="240" w:line="276" w:lineRule="auto"/>
        <w:rPr>
          <w:rFonts w:cs="Arial"/>
          <w:szCs w:val="22"/>
        </w:rPr>
      </w:pPr>
      <w:r>
        <w:t xml:space="preserve">The programme aims to support organisations to increase their capacity and capability </w:t>
      </w:r>
      <w:r w:rsidR="00DA555F">
        <w:t>or to</w:t>
      </w:r>
      <w:r>
        <w:t xml:space="preserve"> undertake a significant programme of organisational change in order to become more resilient. This may include taking on new responsibility for heritage, reviewing current business models and implementing change, exploring alternative funding streams (including social investment) or reviewing and setting up new governance arrangements. It will also be possible to apply for some short term revenue support whilst activity is undertaken.</w:t>
      </w:r>
    </w:p>
    <w:p w:rsidR="00D10F1F" w:rsidRPr="00D10F1F" w:rsidRDefault="00D10F1F" w:rsidP="00D10F1F">
      <w:pPr>
        <w:numPr>
          <w:ilvl w:val="1"/>
          <w:numId w:val="2"/>
        </w:numPr>
        <w:spacing w:after="240" w:line="276" w:lineRule="auto"/>
        <w:rPr>
          <w:rFonts w:cs="Arial"/>
          <w:szCs w:val="22"/>
        </w:rPr>
      </w:pPr>
      <w:r>
        <w:rPr>
          <w:rFonts w:cs="Arial"/>
          <w:szCs w:val="22"/>
        </w:rPr>
        <w:t>Resilient Heritage</w:t>
      </w:r>
      <w:r w:rsidRPr="00D10F1F">
        <w:rPr>
          <w:rFonts w:cs="Arial"/>
          <w:szCs w:val="22"/>
        </w:rPr>
        <w:t xml:space="preserve"> grants are expected to deliver the following outcomes:</w:t>
      </w:r>
    </w:p>
    <w:p w:rsidR="00D10F1F" w:rsidRPr="00D10F1F" w:rsidRDefault="00EA1F32" w:rsidP="00F90280">
      <w:pPr>
        <w:spacing w:after="240" w:line="276" w:lineRule="auto"/>
        <w:rPr>
          <w:rFonts w:cs="Arial"/>
          <w:szCs w:val="22"/>
        </w:rPr>
      </w:pPr>
      <w:r>
        <w:rPr>
          <w:rFonts w:cs="Arial"/>
          <w:szCs w:val="22"/>
        </w:rPr>
        <w:t xml:space="preserve">             </w:t>
      </w:r>
      <w:r w:rsidR="00D10F1F" w:rsidRPr="00D10F1F">
        <w:rPr>
          <w:rFonts w:cs="Arial"/>
          <w:szCs w:val="22"/>
        </w:rPr>
        <w:t>Outcomes for heritage:</w:t>
      </w:r>
    </w:p>
    <w:p w:rsidR="00D10F1F" w:rsidRPr="007D3ABF" w:rsidRDefault="007D3ABF" w:rsidP="00F90280">
      <w:pPr>
        <w:pStyle w:val="ListParagraph"/>
        <w:numPr>
          <w:ilvl w:val="0"/>
          <w:numId w:val="47"/>
        </w:numPr>
        <w:spacing w:after="240" w:line="276" w:lineRule="auto"/>
        <w:rPr>
          <w:rFonts w:cs="Arial"/>
          <w:szCs w:val="22"/>
        </w:rPr>
      </w:pPr>
      <w:r>
        <w:rPr>
          <w:rFonts w:cs="Arial"/>
          <w:szCs w:val="22"/>
        </w:rPr>
        <w:t xml:space="preserve">With our support, heritage will be </w:t>
      </w:r>
      <w:r w:rsidR="00D10F1F" w:rsidRPr="007D3ABF">
        <w:rPr>
          <w:rFonts w:cs="Arial"/>
          <w:szCs w:val="22"/>
        </w:rPr>
        <w:t>better managed</w:t>
      </w:r>
    </w:p>
    <w:p w:rsidR="007D3ABF" w:rsidRDefault="00EA1F32" w:rsidP="00F90280">
      <w:pPr>
        <w:spacing w:after="240" w:line="276" w:lineRule="auto"/>
        <w:rPr>
          <w:rFonts w:cs="Arial"/>
          <w:szCs w:val="22"/>
        </w:rPr>
      </w:pPr>
      <w:r>
        <w:rPr>
          <w:rFonts w:cs="Arial"/>
          <w:szCs w:val="22"/>
        </w:rPr>
        <w:t xml:space="preserve">             </w:t>
      </w:r>
      <w:r w:rsidR="007D3ABF">
        <w:rPr>
          <w:rFonts w:cs="Arial"/>
          <w:szCs w:val="22"/>
        </w:rPr>
        <w:t>Outcomes for people:</w:t>
      </w:r>
    </w:p>
    <w:p w:rsidR="007D3ABF" w:rsidRPr="007D3ABF" w:rsidRDefault="007D3ABF" w:rsidP="00F90280">
      <w:pPr>
        <w:pStyle w:val="ListParagraph"/>
        <w:numPr>
          <w:ilvl w:val="0"/>
          <w:numId w:val="47"/>
        </w:numPr>
        <w:spacing w:after="240" w:line="276" w:lineRule="auto"/>
        <w:rPr>
          <w:rFonts w:cs="Arial"/>
          <w:szCs w:val="22"/>
        </w:rPr>
      </w:pPr>
      <w:r>
        <w:rPr>
          <w:rFonts w:cs="Arial"/>
          <w:szCs w:val="22"/>
        </w:rPr>
        <w:t>With our support, people will have developed skills</w:t>
      </w:r>
    </w:p>
    <w:p w:rsidR="00D10F1F" w:rsidRPr="00D10F1F" w:rsidRDefault="00EA1F32" w:rsidP="00F90280">
      <w:pPr>
        <w:spacing w:after="240" w:line="276" w:lineRule="auto"/>
        <w:rPr>
          <w:rFonts w:cs="Arial"/>
          <w:szCs w:val="22"/>
        </w:rPr>
      </w:pPr>
      <w:r>
        <w:rPr>
          <w:rFonts w:cs="Arial"/>
          <w:szCs w:val="22"/>
        </w:rPr>
        <w:t xml:space="preserve">              </w:t>
      </w:r>
      <w:r w:rsidR="00D10F1F" w:rsidRPr="00D10F1F">
        <w:rPr>
          <w:rFonts w:cs="Arial"/>
          <w:szCs w:val="22"/>
        </w:rPr>
        <w:t>Outcomes for communities</w:t>
      </w:r>
    </w:p>
    <w:p w:rsidR="00D10F1F" w:rsidRPr="00E348BA" w:rsidRDefault="007D3ABF" w:rsidP="00F90280">
      <w:pPr>
        <w:pStyle w:val="ListParagraph"/>
        <w:numPr>
          <w:ilvl w:val="0"/>
          <w:numId w:val="47"/>
        </w:numPr>
        <w:spacing w:after="240" w:line="276" w:lineRule="auto"/>
        <w:rPr>
          <w:rFonts w:cs="Arial"/>
          <w:szCs w:val="22"/>
        </w:rPr>
      </w:pPr>
      <w:r>
        <w:rPr>
          <w:rFonts w:cs="Arial"/>
          <w:szCs w:val="22"/>
        </w:rPr>
        <w:t>With our support</w:t>
      </w:r>
      <w:r w:rsidR="00D10F1F" w:rsidRPr="007D3ABF">
        <w:rPr>
          <w:rFonts w:cs="Arial"/>
          <w:szCs w:val="22"/>
        </w:rPr>
        <w:t>: your organisation will be more resilient</w:t>
      </w:r>
    </w:p>
    <w:p w:rsidR="00BB103E" w:rsidRPr="008F25AD" w:rsidRDefault="00BB103E" w:rsidP="0082194B">
      <w:pPr>
        <w:numPr>
          <w:ilvl w:val="1"/>
          <w:numId w:val="2"/>
        </w:numPr>
        <w:spacing w:after="240" w:line="276" w:lineRule="auto"/>
        <w:rPr>
          <w:rFonts w:cs="Arial"/>
          <w:szCs w:val="22"/>
        </w:rPr>
      </w:pPr>
      <w:r>
        <w:t>Building on three previous programmes</w:t>
      </w:r>
      <w:r w:rsidR="00DA555F">
        <w:t xml:space="preserve"> </w:t>
      </w:r>
      <w:r w:rsidR="007C41B3" w:rsidRPr="00AD2632">
        <w:t>Transition Funding</w:t>
      </w:r>
      <w:r w:rsidR="007C41B3">
        <w:t>,</w:t>
      </w:r>
      <w:r w:rsidR="00E348BA">
        <w:t xml:space="preserve"> </w:t>
      </w:r>
      <w:r w:rsidR="007C41B3" w:rsidRPr="00AD2632">
        <w:t>Start-up grants</w:t>
      </w:r>
      <w:r w:rsidR="007C41B3">
        <w:t xml:space="preserve"> </w:t>
      </w:r>
      <w:r>
        <w:t>and</w:t>
      </w:r>
      <w:r w:rsidR="00DA555F">
        <w:t xml:space="preserve"> </w:t>
      </w:r>
      <w:r w:rsidR="007C41B3" w:rsidRPr="00AD2632">
        <w:t>Catalyst: small grants</w:t>
      </w:r>
      <w:r>
        <w:t>, we have developed Resilient Heritage</w:t>
      </w:r>
      <w:r w:rsidR="00AD2632">
        <w:t xml:space="preserve"> (guidance documents for these programmes are available on request). </w:t>
      </w:r>
      <w:r>
        <w:t xml:space="preserve">This is a programme that is flexible, allowing applicants to bid for all the activities covered by the previous programmes </w:t>
      </w:r>
      <w:r>
        <w:lastRenderedPageBreak/>
        <w:t xml:space="preserve">but also allows for a broader capacity building focus </w:t>
      </w:r>
      <w:r w:rsidR="00CC35EB">
        <w:t>to meet</w:t>
      </w:r>
      <w:r>
        <w:t xml:space="preserve"> the applicant’s needs.</w:t>
      </w:r>
      <w:r w:rsidR="00CC35EB">
        <w:t xml:space="preserve"> Projects will usually take no longer than 18 months to complete.</w:t>
      </w:r>
    </w:p>
    <w:p w:rsidR="00BB103E" w:rsidRPr="00441942" w:rsidRDefault="00BB103E" w:rsidP="0082194B">
      <w:pPr>
        <w:numPr>
          <w:ilvl w:val="1"/>
          <w:numId w:val="2"/>
        </w:numPr>
        <w:spacing w:after="240" w:line="276" w:lineRule="auto"/>
        <w:rPr>
          <w:rFonts w:cs="Arial"/>
          <w:szCs w:val="22"/>
        </w:rPr>
      </w:pPr>
      <w:r>
        <w:rPr>
          <w:rFonts w:cs="Arial"/>
          <w:szCs w:val="22"/>
        </w:rPr>
        <w:t xml:space="preserve">We have strongly encouraged established organisations to include a diagnostic stage as part of their project planning, using the online </w:t>
      </w:r>
      <w:hyperlink r:id="rId11" w:history="1">
        <w:r w:rsidRPr="00BB103E">
          <w:rPr>
            <w:rStyle w:val="Hyperlink"/>
            <w:rFonts w:cs="Arial"/>
            <w:szCs w:val="22"/>
          </w:rPr>
          <w:t>Resilient Heritage Strength Checker</w:t>
        </w:r>
      </w:hyperlink>
      <w:r>
        <w:rPr>
          <w:rFonts w:cs="Arial"/>
          <w:szCs w:val="22"/>
        </w:rPr>
        <w:t>.  This helps organisations analyse how they currently work and highlights areas of strengths and weakness, to help identify what they need to address as part of their project.</w:t>
      </w:r>
    </w:p>
    <w:p w:rsidR="000B4E51" w:rsidRPr="007D3ABF" w:rsidRDefault="008F25AD" w:rsidP="000B4E51">
      <w:pPr>
        <w:numPr>
          <w:ilvl w:val="1"/>
          <w:numId w:val="2"/>
        </w:numPr>
        <w:spacing w:after="240" w:line="276" w:lineRule="auto"/>
        <w:rPr>
          <w:rFonts w:cs="Arial"/>
          <w:i/>
          <w:iCs/>
          <w:color w:val="FF0000"/>
          <w:szCs w:val="22"/>
        </w:rPr>
      </w:pPr>
      <w:r>
        <w:rPr>
          <w:rFonts w:cs="Arial"/>
          <w:iCs/>
          <w:color w:val="000000" w:themeColor="text1"/>
          <w:szCs w:val="22"/>
        </w:rPr>
        <w:t xml:space="preserve">We are looking to commission an evaluation which captures learning about Resilient Heritage.  We would also like the evaluation to look at the overall initiative and the additional support provided by our online </w:t>
      </w:r>
      <w:hyperlink r:id="rId12" w:history="1">
        <w:r w:rsidRPr="008F25AD">
          <w:rPr>
            <w:rStyle w:val="Hyperlink"/>
            <w:rFonts w:cs="Arial"/>
            <w:iCs/>
            <w:szCs w:val="22"/>
          </w:rPr>
          <w:t>Resilient Heritage Strength Checker</w:t>
        </w:r>
      </w:hyperlink>
      <w:r>
        <w:rPr>
          <w:rFonts w:cs="Arial"/>
          <w:iCs/>
          <w:color w:val="000000" w:themeColor="text1"/>
          <w:szCs w:val="22"/>
        </w:rPr>
        <w:t xml:space="preserve"> and mentor </w:t>
      </w:r>
      <w:r w:rsidR="00CC78A2">
        <w:rPr>
          <w:rFonts w:cs="Arial"/>
          <w:iCs/>
          <w:color w:val="000000" w:themeColor="text1"/>
          <w:szCs w:val="22"/>
        </w:rPr>
        <w:t xml:space="preserve">and other consultancy </w:t>
      </w:r>
      <w:r>
        <w:rPr>
          <w:rFonts w:cs="Arial"/>
          <w:iCs/>
          <w:color w:val="000000" w:themeColor="text1"/>
          <w:szCs w:val="22"/>
        </w:rPr>
        <w:t>support</w:t>
      </w:r>
      <w:r w:rsidR="00AA7BD2">
        <w:rPr>
          <w:rFonts w:cs="Arial"/>
          <w:i/>
          <w:iCs/>
          <w:color w:val="FF0000"/>
          <w:szCs w:val="22"/>
        </w:rPr>
        <w:t>.</w:t>
      </w:r>
    </w:p>
    <w:p w:rsidR="007D3ABF" w:rsidRPr="008F25AD" w:rsidRDefault="00CC78A2" w:rsidP="000B4E51">
      <w:pPr>
        <w:numPr>
          <w:ilvl w:val="1"/>
          <w:numId w:val="2"/>
        </w:numPr>
        <w:spacing w:after="240" w:line="276" w:lineRule="auto"/>
        <w:rPr>
          <w:rFonts w:cs="Arial"/>
          <w:szCs w:val="22"/>
        </w:rPr>
      </w:pPr>
      <w:r>
        <w:rPr>
          <w:rFonts w:cs="Arial"/>
          <w:szCs w:val="22"/>
        </w:rPr>
        <w:t>Applicants are encouraged to consider commissioning support from a professional when carrying out their Resilient Heritage project. They can include budget to either find someone through their own networks or to appoint an HLF-approved mentor. If an applicant chooses to use an HLF-mentor local development staff will provide a list of those who would be suitable to undertake the work and advise how much budget to allocate for the mentors time.</w:t>
      </w:r>
    </w:p>
    <w:p w:rsidR="008F25AD" w:rsidRPr="008F25AD" w:rsidRDefault="008F25AD" w:rsidP="000B4E51">
      <w:pPr>
        <w:numPr>
          <w:ilvl w:val="1"/>
          <w:numId w:val="2"/>
        </w:numPr>
        <w:spacing w:after="240" w:line="276" w:lineRule="auto"/>
        <w:rPr>
          <w:rFonts w:cs="Arial"/>
          <w:szCs w:val="22"/>
        </w:rPr>
      </w:pPr>
      <w:r>
        <w:rPr>
          <w:rFonts w:cs="Arial"/>
          <w:iCs/>
          <w:color w:val="000000" w:themeColor="text1"/>
          <w:szCs w:val="22"/>
        </w:rPr>
        <w:t xml:space="preserve">We are interested in examining how differences in the findings across grantees relate to the characteristics of the grantees (i.e. organisation location, size, financial health and the type of heritage organisation).  For instance have those organisations </w:t>
      </w:r>
      <w:proofErr w:type="gramStart"/>
      <w:r>
        <w:rPr>
          <w:rFonts w:cs="Arial"/>
          <w:iCs/>
          <w:color w:val="000000" w:themeColor="text1"/>
          <w:szCs w:val="22"/>
        </w:rPr>
        <w:t>who</w:t>
      </w:r>
      <w:proofErr w:type="gramEnd"/>
      <w:r>
        <w:rPr>
          <w:rFonts w:cs="Arial"/>
          <w:iCs/>
          <w:color w:val="000000" w:themeColor="text1"/>
          <w:szCs w:val="22"/>
        </w:rPr>
        <w:t xml:space="preserve"> trialled new approaches to fundraising</w:t>
      </w:r>
      <w:r w:rsidR="00771262">
        <w:rPr>
          <w:rFonts w:cs="Arial"/>
          <w:iCs/>
          <w:color w:val="000000" w:themeColor="text1"/>
          <w:szCs w:val="22"/>
        </w:rPr>
        <w:t xml:space="preserve"> or identified other new sources of income</w:t>
      </w:r>
      <w:r>
        <w:rPr>
          <w:rFonts w:cs="Arial"/>
          <w:iCs/>
          <w:color w:val="000000" w:themeColor="text1"/>
          <w:szCs w:val="22"/>
        </w:rPr>
        <w:t xml:space="preserve"> become more financially sustainable</w:t>
      </w:r>
      <w:r w:rsidR="00771262">
        <w:rPr>
          <w:rFonts w:cs="Arial"/>
          <w:iCs/>
          <w:color w:val="000000" w:themeColor="text1"/>
          <w:szCs w:val="22"/>
        </w:rPr>
        <w:t xml:space="preserve"> and resilient</w:t>
      </w:r>
      <w:r>
        <w:rPr>
          <w:rFonts w:cs="Arial"/>
          <w:iCs/>
          <w:color w:val="000000" w:themeColor="text1"/>
          <w:szCs w:val="22"/>
        </w:rPr>
        <w:t>.</w:t>
      </w:r>
    </w:p>
    <w:p w:rsidR="008F25AD" w:rsidRPr="00F90280" w:rsidRDefault="008F25AD" w:rsidP="000B4E51">
      <w:pPr>
        <w:numPr>
          <w:ilvl w:val="1"/>
          <w:numId w:val="2"/>
        </w:numPr>
        <w:spacing w:after="240" w:line="276" w:lineRule="auto"/>
        <w:rPr>
          <w:rFonts w:cs="Arial"/>
          <w:szCs w:val="22"/>
        </w:rPr>
      </w:pPr>
      <w:r>
        <w:rPr>
          <w:rFonts w:cs="Arial"/>
          <w:iCs/>
          <w:color w:val="000000" w:themeColor="text1"/>
          <w:szCs w:val="22"/>
        </w:rPr>
        <w:t>The evaluation should be delivered in a collaborative relationship with Heritage Lottery Fund, as well as with grantees.</w:t>
      </w:r>
      <w:r>
        <w:rPr>
          <w:rFonts w:cs="Arial"/>
          <w:iCs/>
          <w:color w:val="000000" w:themeColor="text1"/>
          <w:szCs w:val="22"/>
        </w:rPr>
        <w:br/>
      </w:r>
      <w:r>
        <w:rPr>
          <w:rFonts w:cs="Arial"/>
          <w:iCs/>
          <w:color w:val="000000" w:themeColor="text1"/>
          <w:szCs w:val="22"/>
        </w:rPr>
        <w:br/>
        <w:t>Key audienc</w:t>
      </w:r>
      <w:r w:rsidR="00AD2632">
        <w:rPr>
          <w:rFonts w:cs="Arial"/>
          <w:iCs/>
          <w:color w:val="000000" w:themeColor="text1"/>
          <w:szCs w:val="22"/>
        </w:rPr>
        <w:t>es</w:t>
      </w:r>
      <w:r w:rsidR="00844F16">
        <w:rPr>
          <w:rFonts w:cs="Arial"/>
          <w:iCs/>
          <w:color w:val="000000" w:themeColor="text1"/>
          <w:szCs w:val="22"/>
        </w:rPr>
        <w:t xml:space="preserve"> for the evaluation include:</w:t>
      </w:r>
      <w:r w:rsidR="00844F16">
        <w:rPr>
          <w:rFonts w:cs="Arial"/>
          <w:iCs/>
          <w:color w:val="000000" w:themeColor="text1"/>
          <w:szCs w:val="22"/>
        </w:rPr>
        <w:br/>
        <w:t xml:space="preserve"> - </w:t>
      </w:r>
      <w:r w:rsidR="00AD2632">
        <w:rPr>
          <w:rFonts w:cs="Arial"/>
          <w:iCs/>
          <w:color w:val="000000" w:themeColor="text1"/>
          <w:szCs w:val="22"/>
        </w:rPr>
        <w:t>HLF staff</w:t>
      </w:r>
      <w:r w:rsidR="00AD2632">
        <w:rPr>
          <w:rFonts w:cs="Arial"/>
          <w:iCs/>
          <w:color w:val="000000" w:themeColor="text1"/>
          <w:szCs w:val="22"/>
        </w:rPr>
        <w:br/>
        <w:t xml:space="preserve"> - The grantees</w:t>
      </w:r>
      <w:r w:rsidR="00AD2632">
        <w:rPr>
          <w:rFonts w:cs="Arial"/>
          <w:iCs/>
          <w:color w:val="000000" w:themeColor="text1"/>
          <w:szCs w:val="22"/>
        </w:rPr>
        <w:br/>
        <w:t xml:space="preserve"> - </w:t>
      </w:r>
      <w:r w:rsidR="00FC2656">
        <w:rPr>
          <w:rFonts w:cs="Arial"/>
          <w:iCs/>
          <w:color w:val="000000" w:themeColor="text1"/>
          <w:szCs w:val="22"/>
        </w:rPr>
        <w:t>Other funders, heritage stakeholders and other interested parties</w:t>
      </w:r>
    </w:p>
    <w:p w:rsidR="00771262" w:rsidRPr="000B4E51" w:rsidRDefault="00EA1F32" w:rsidP="00F90280">
      <w:pPr>
        <w:spacing w:after="240" w:line="276" w:lineRule="auto"/>
        <w:rPr>
          <w:rFonts w:cs="Arial"/>
          <w:szCs w:val="22"/>
        </w:rPr>
      </w:pPr>
      <w:r>
        <w:rPr>
          <w:rFonts w:cs="Arial"/>
          <w:iCs/>
          <w:color w:val="000000" w:themeColor="text1"/>
          <w:szCs w:val="22"/>
        </w:rPr>
        <w:t xml:space="preserve">           </w:t>
      </w:r>
      <w:r w:rsidR="00771262">
        <w:rPr>
          <w:rFonts w:cs="Arial"/>
          <w:iCs/>
          <w:color w:val="000000" w:themeColor="text1"/>
          <w:szCs w:val="22"/>
        </w:rPr>
        <w:t>The evaluation will also be used to inform future policy development.</w:t>
      </w:r>
    </w:p>
    <w:p w:rsidR="00AE2088" w:rsidRPr="00EA1F32" w:rsidRDefault="00A170FA" w:rsidP="00697E37">
      <w:pPr>
        <w:pStyle w:val="Heading1"/>
        <w:numPr>
          <w:ilvl w:val="0"/>
          <w:numId w:val="2"/>
        </w:numPr>
      </w:pPr>
      <w:r>
        <w:t>Purpose of the Evaluation</w:t>
      </w:r>
    </w:p>
    <w:p w:rsidR="00AA7BD2" w:rsidRPr="00A170FA" w:rsidRDefault="00A170FA" w:rsidP="00AA7BD2">
      <w:pPr>
        <w:pStyle w:val="ListParagraph"/>
        <w:numPr>
          <w:ilvl w:val="1"/>
          <w:numId w:val="2"/>
        </w:numPr>
        <w:spacing w:after="240"/>
        <w:rPr>
          <w:rFonts w:cs="Arial"/>
          <w:i/>
          <w:color w:val="FF0000"/>
          <w:szCs w:val="22"/>
        </w:rPr>
      </w:pPr>
      <w:r>
        <w:rPr>
          <w:rFonts w:cs="Arial"/>
          <w:color w:val="000000" w:themeColor="text1"/>
          <w:szCs w:val="22"/>
        </w:rPr>
        <w:t xml:space="preserve">The aim of the evaluation is </w:t>
      </w:r>
      <w:r w:rsidR="00E13941">
        <w:rPr>
          <w:rFonts w:cs="Arial"/>
          <w:color w:val="000000" w:themeColor="text1"/>
          <w:szCs w:val="22"/>
        </w:rPr>
        <w:t>to assess the impact of Resilient Her</w:t>
      </w:r>
      <w:r w:rsidR="00EA1F32">
        <w:rPr>
          <w:rFonts w:cs="Arial"/>
          <w:color w:val="000000" w:themeColor="text1"/>
          <w:szCs w:val="22"/>
        </w:rPr>
        <w:t>itage f</w:t>
      </w:r>
      <w:r w:rsidR="00E13941">
        <w:rPr>
          <w:rFonts w:cs="Arial"/>
          <w:color w:val="000000" w:themeColor="text1"/>
          <w:szCs w:val="22"/>
        </w:rPr>
        <w:t xml:space="preserve">unding on </w:t>
      </w:r>
      <w:r w:rsidR="00784E36">
        <w:rPr>
          <w:rFonts w:cs="Arial"/>
          <w:color w:val="000000" w:themeColor="text1"/>
          <w:szCs w:val="22"/>
        </w:rPr>
        <w:t xml:space="preserve">increasing </w:t>
      </w:r>
      <w:r w:rsidR="00E13941">
        <w:rPr>
          <w:rFonts w:cs="Arial"/>
          <w:color w:val="000000" w:themeColor="text1"/>
          <w:szCs w:val="22"/>
        </w:rPr>
        <w:t xml:space="preserve">grantees </w:t>
      </w:r>
      <w:r w:rsidR="002B7A9B">
        <w:rPr>
          <w:rFonts w:cs="Arial"/>
          <w:color w:val="000000" w:themeColor="text1"/>
          <w:szCs w:val="22"/>
        </w:rPr>
        <w:t>capacity, capability</w:t>
      </w:r>
      <w:r w:rsidR="00771262">
        <w:rPr>
          <w:rFonts w:cs="Arial"/>
          <w:color w:val="000000" w:themeColor="text1"/>
          <w:szCs w:val="22"/>
        </w:rPr>
        <w:t xml:space="preserve"> and overall resilience</w:t>
      </w:r>
      <w:r w:rsidR="00E13941">
        <w:rPr>
          <w:rFonts w:cs="Arial"/>
          <w:color w:val="000000" w:themeColor="text1"/>
          <w:szCs w:val="22"/>
        </w:rPr>
        <w:t>.</w:t>
      </w:r>
      <w:r>
        <w:rPr>
          <w:rFonts w:cs="Arial"/>
          <w:color w:val="000000" w:themeColor="text1"/>
          <w:szCs w:val="22"/>
        </w:rPr>
        <w:t xml:space="preserve">     </w:t>
      </w:r>
      <w:r>
        <w:rPr>
          <w:rFonts w:cs="Arial"/>
          <w:color w:val="000000" w:themeColor="text1"/>
          <w:szCs w:val="22"/>
        </w:rPr>
        <w:br/>
      </w:r>
    </w:p>
    <w:p w:rsidR="002B7A9B" w:rsidRPr="002B7A9B" w:rsidRDefault="00A170FA" w:rsidP="002B7A9B">
      <w:pPr>
        <w:pStyle w:val="ListParagraph"/>
        <w:numPr>
          <w:ilvl w:val="1"/>
          <w:numId w:val="2"/>
        </w:numPr>
        <w:spacing w:after="240"/>
        <w:rPr>
          <w:rFonts w:cs="Arial"/>
          <w:i/>
          <w:color w:val="FF0000"/>
          <w:szCs w:val="22"/>
        </w:rPr>
      </w:pPr>
      <w:r w:rsidRPr="002B7A9B">
        <w:rPr>
          <w:rFonts w:cs="Arial"/>
          <w:color w:val="000000" w:themeColor="text1"/>
          <w:szCs w:val="22"/>
        </w:rPr>
        <w:t>We want the evaluation to address the following questions</w:t>
      </w:r>
      <w:proofErr w:type="gramStart"/>
      <w:r w:rsidRPr="002B7A9B">
        <w:rPr>
          <w:rFonts w:cs="Arial"/>
          <w:color w:val="000000" w:themeColor="text1"/>
          <w:szCs w:val="22"/>
        </w:rPr>
        <w:t>:</w:t>
      </w:r>
      <w:proofErr w:type="gramEnd"/>
      <w:r w:rsidRPr="002B7A9B">
        <w:rPr>
          <w:rFonts w:cs="Arial"/>
          <w:color w:val="000000" w:themeColor="text1"/>
          <w:szCs w:val="22"/>
        </w:rPr>
        <w:br/>
      </w:r>
      <w:r w:rsidRPr="002B7A9B">
        <w:rPr>
          <w:rFonts w:cs="Arial"/>
          <w:color w:val="000000" w:themeColor="text1"/>
          <w:szCs w:val="22"/>
        </w:rPr>
        <w:br/>
      </w:r>
      <w:r w:rsidR="005A4892" w:rsidRPr="002B7A9B">
        <w:rPr>
          <w:rFonts w:cs="Arial"/>
          <w:color w:val="000000" w:themeColor="text1"/>
          <w:szCs w:val="22"/>
        </w:rPr>
        <w:t>1. How did overall management capacities (governance, leadership, management, fundraising, financial management, communications etc.) improve as a result of capacity building engagement?</w:t>
      </w:r>
      <w:r w:rsidR="005A4892" w:rsidRPr="002B7A9B">
        <w:rPr>
          <w:rFonts w:cs="Arial"/>
          <w:color w:val="000000" w:themeColor="text1"/>
          <w:szCs w:val="22"/>
        </w:rPr>
        <w:br/>
        <w:t xml:space="preserve">2. In what ways </w:t>
      </w:r>
      <w:r w:rsidR="00771262" w:rsidRPr="002B7A9B">
        <w:rPr>
          <w:rFonts w:cs="Arial"/>
          <w:color w:val="000000" w:themeColor="text1"/>
          <w:szCs w:val="22"/>
        </w:rPr>
        <w:t>h</w:t>
      </w:r>
      <w:r w:rsidR="005A4892" w:rsidRPr="002B7A9B">
        <w:rPr>
          <w:rFonts w:cs="Arial"/>
          <w:color w:val="000000" w:themeColor="text1"/>
          <w:szCs w:val="22"/>
        </w:rPr>
        <w:t>a</w:t>
      </w:r>
      <w:r w:rsidR="00771262" w:rsidRPr="002B7A9B">
        <w:rPr>
          <w:rFonts w:cs="Arial"/>
          <w:color w:val="000000" w:themeColor="text1"/>
          <w:szCs w:val="22"/>
        </w:rPr>
        <w:t>ve</w:t>
      </w:r>
      <w:r w:rsidR="005A4892" w:rsidRPr="002B7A9B">
        <w:rPr>
          <w:rFonts w:cs="Arial"/>
          <w:color w:val="000000" w:themeColor="text1"/>
          <w:szCs w:val="22"/>
        </w:rPr>
        <w:t xml:space="preserve"> the quality of grantees activities improved?</w:t>
      </w:r>
      <w:r w:rsidR="005A4892" w:rsidRPr="002B7A9B">
        <w:rPr>
          <w:rFonts w:cs="Arial"/>
          <w:color w:val="000000" w:themeColor="text1"/>
          <w:szCs w:val="22"/>
        </w:rPr>
        <w:br/>
        <w:t xml:space="preserve">3. In what ways </w:t>
      </w:r>
      <w:r w:rsidR="00771262" w:rsidRPr="002B7A9B">
        <w:rPr>
          <w:rFonts w:cs="Arial"/>
          <w:color w:val="000000" w:themeColor="text1"/>
          <w:szCs w:val="22"/>
        </w:rPr>
        <w:t>have</w:t>
      </w:r>
      <w:r w:rsidR="005A4892" w:rsidRPr="002B7A9B">
        <w:rPr>
          <w:rFonts w:cs="Arial"/>
          <w:color w:val="000000" w:themeColor="text1"/>
          <w:szCs w:val="22"/>
        </w:rPr>
        <w:t xml:space="preserve"> grantees capacity increased (scale, reach or extent of impact)?</w:t>
      </w:r>
      <w:r w:rsidR="002B7A9B">
        <w:rPr>
          <w:rFonts w:cs="Arial"/>
          <w:color w:val="000000" w:themeColor="text1"/>
          <w:szCs w:val="22"/>
        </w:rPr>
        <w:br/>
      </w:r>
      <w:r w:rsidR="002B7A9B">
        <w:rPr>
          <w:rFonts w:cs="Arial"/>
          <w:color w:val="000000" w:themeColor="text1"/>
          <w:szCs w:val="22"/>
        </w:rPr>
        <w:lastRenderedPageBreak/>
        <w:t>4. For those looking to take on the management of heritage, to what extent has the Resilient Heritage grant prepared them for this?</w:t>
      </w:r>
    </w:p>
    <w:p w:rsidR="00A170FA" w:rsidRPr="005E277C" w:rsidRDefault="002B7A9B" w:rsidP="002B7A9B">
      <w:pPr>
        <w:pStyle w:val="ListParagraph"/>
        <w:spacing w:after="240"/>
        <w:rPr>
          <w:rFonts w:cs="Arial"/>
          <w:i/>
          <w:color w:val="FF0000"/>
          <w:szCs w:val="22"/>
        </w:rPr>
      </w:pPr>
      <w:r>
        <w:rPr>
          <w:rFonts w:cs="Arial"/>
          <w:color w:val="000000" w:themeColor="text1"/>
          <w:szCs w:val="22"/>
        </w:rPr>
        <w:t>5</w:t>
      </w:r>
      <w:r w:rsidR="00D14F64">
        <w:rPr>
          <w:rFonts w:cs="Arial"/>
          <w:color w:val="000000" w:themeColor="text1"/>
          <w:szCs w:val="22"/>
        </w:rPr>
        <w:t>. Is there evidence that the change Resilient Heritage enables grantees to achieve lead</w:t>
      </w:r>
      <w:r w:rsidR="00771262">
        <w:rPr>
          <w:rFonts w:cs="Arial"/>
          <w:color w:val="000000" w:themeColor="text1"/>
          <w:szCs w:val="22"/>
        </w:rPr>
        <w:t>s</w:t>
      </w:r>
      <w:r w:rsidR="00D14F64">
        <w:rPr>
          <w:rFonts w:cs="Arial"/>
          <w:color w:val="000000" w:themeColor="text1"/>
          <w:szCs w:val="22"/>
        </w:rPr>
        <w:t xml:space="preserve"> to long term </w:t>
      </w:r>
      <w:r w:rsidR="00DC6A91">
        <w:rPr>
          <w:rFonts w:cs="Arial"/>
          <w:color w:val="000000" w:themeColor="text1"/>
          <w:szCs w:val="22"/>
        </w:rPr>
        <w:t>sustainability</w:t>
      </w:r>
      <w:r w:rsidR="00D14F64">
        <w:rPr>
          <w:rFonts w:cs="Arial"/>
          <w:color w:val="000000" w:themeColor="text1"/>
          <w:szCs w:val="22"/>
        </w:rPr>
        <w:t>?</w:t>
      </w:r>
      <w:r w:rsidR="0029280A">
        <w:rPr>
          <w:rFonts w:cs="Arial"/>
          <w:color w:val="000000" w:themeColor="text1"/>
          <w:szCs w:val="22"/>
        </w:rPr>
        <w:br/>
      </w:r>
      <w:r>
        <w:rPr>
          <w:rFonts w:cs="Arial"/>
          <w:color w:val="000000" w:themeColor="text1"/>
          <w:szCs w:val="22"/>
        </w:rPr>
        <w:t>6</w:t>
      </w:r>
      <w:r w:rsidR="0029280A">
        <w:rPr>
          <w:rFonts w:cs="Arial"/>
          <w:color w:val="000000" w:themeColor="text1"/>
          <w:szCs w:val="22"/>
        </w:rPr>
        <w:t>. How effective was the mentor support element?</w:t>
      </w:r>
      <w:r w:rsidR="0029280A">
        <w:rPr>
          <w:rFonts w:cs="Arial"/>
          <w:color w:val="000000" w:themeColor="text1"/>
          <w:szCs w:val="22"/>
        </w:rPr>
        <w:br/>
      </w:r>
      <w:r>
        <w:rPr>
          <w:rFonts w:cs="Arial"/>
          <w:color w:val="000000" w:themeColor="text1"/>
          <w:szCs w:val="22"/>
        </w:rPr>
        <w:t>7</w:t>
      </w:r>
      <w:r w:rsidR="0029280A">
        <w:rPr>
          <w:rFonts w:cs="Arial"/>
          <w:color w:val="000000" w:themeColor="text1"/>
          <w:szCs w:val="22"/>
        </w:rPr>
        <w:t xml:space="preserve">. How effective was the Resilient Heritage Strength Checker in identifying </w:t>
      </w:r>
      <w:r w:rsidR="00DC6A91">
        <w:rPr>
          <w:rFonts w:cs="Arial"/>
          <w:color w:val="000000" w:themeColor="text1"/>
          <w:szCs w:val="22"/>
        </w:rPr>
        <w:t>needs and priorities for project planning and improving organisational strength?</w:t>
      </w:r>
      <w:r w:rsidR="005E277C">
        <w:rPr>
          <w:rFonts w:cs="Arial"/>
          <w:color w:val="000000" w:themeColor="text1"/>
          <w:szCs w:val="22"/>
        </w:rPr>
        <w:br/>
      </w:r>
    </w:p>
    <w:p w:rsidR="005E277C" w:rsidRPr="002B7A9B" w:rsidRDefault="005E277C" w:rsidP="00AA7BD2">
      <w:pPr>
        <w:pStyle w:val="ListParagraph"/>
        <w:numPr>
          <w:ilvl w:val="1"/>
          <w:numId w:val="2"/>
        </w:numPr>
        <w:spacing w:after="240"/>
        <w:rPr>
          <w:rFonts w:cs="Arial"/>
          <w:i/>
          <w:color w:val="FF0000"/>
          <w:szCs w:val="22"/>
        </w:rPr>
      </w:pPr>
      <w:r>
        <w:rPr>
          <w:rFonts w:cs="Arial"/>
          <w:color w:val="000000" w:themeColor="text1"/>
          <w:szCs w:val="22"/>
        </w:rPr>
        <w:t xml:space="preserve">The evaluation should seek to understand if grantees have increased organisational resilience, increased capacity or </w:t>
      </w:r>
      <w:r w:rsidR="00771262">
        <w:rPr>
          <w:rFonts w:cs="Arial"/>
          <w:color w:val="000000" w:themeColor="text1"/>
          <w:szCs w:val="22"/>
        </w:rPr>
        <w:t xml:space="preserve">achieved </w:t>
      </w:r>
      <w:r>
        <w:rPr>
          <w:rFonts w:cs="Arial"/>
          <w:color w:val="000000" w:themeColor="text1"/>
          <w:szCs w:val="22"/>
        </w:rPr>
        <w:t>significant strategic change,</w:t>
      </w:r>
      <w:r w:rsidR="004A0E8D">
        <w:rPr>
          <w:rFonts w:cs="Arial"/>
          <w:color w:val="000000" w:themeColor="text1"/>
          <w:szCs w:val="22"/>
        </w:rPr>
        <w:t xml:space="preserve"> and the extent to which the programme outcomes have been achieved.</w:t>
      </w:r>
      <w:r>
        <w:rPr>
          <w:rFonts w:cs="Arial"/>
          <w:color w:val="000000" w:themeColor="text1"/>
          <w:szCs w:val="22"/>
        </w:rPr>
        <w:t xml:space="preserve"> </w:t>
      </w:r>
      <w:r w:rsidR="002B7A9B">
        <w:rPr>
          <w:rFonts w:cs="Arial"/>
          <w:color w:val="000000" w:themeColor="text1"/>
          <w:szCs w:val="22"/>
        </w:rPr>
        <w:br/>
      </w:r>
    </w:p>
    <w:p w:rsidR="002B7A9B" w:rsidRPr="00F90280" w:rsidRDefault="002B7A9B" w:rsidP="00AA7BD2">
      <w:pPr>
        <w:pStyle w:val="ListParagraph"/>
        <w:numPr>
          <w:ilvl w:val="1"/>
          <w:numId w:val="2"/>
        </w:numPr>
        <w:spacing w:after="240"/>
        <w:rPr>
          <w:rFonts w:cs="Arial"/>
          <w:i/>
          <w:color w:val="FF0000"/>
          <w:szCs w:val="22"/>
        </w:rPr>
      </w:pPr>
      <w:r>
        <w:rPr>
          <w:rFonts w:cs="Arial"/>
          <w:color w:val="000000" w:themeColor="text1"/>
          <w:szCs w:val="22"/>
        </w:rPr>
        <w:t>The evaluation should identify examples of best practice and effective ways of sharing learning.</w:t>
      </w:r>
    </w:p>
    <w:p w:rsidR="000B4E51" w:rsidRPr="000B4E51" w:rsidRDefault="0082194B" w:rsidP="000B4E51">
      <w:pPr>
        <w:pStyle w:val="Heading1"/>
        <w:numPr>
          <w:ilvl w:val="0"/>
          <w:numId w:val="2"/>
        </w:numPr>
      </w:pPr>
      <w:r w:rsidRPr="0082194B">
        <w:t>Outputs</w:t>
      </w:r>
    </w:p>
    <w:p w:rsidR="00441942" w:rsidRDefault="00441942" w:rsidP="00441942">
      <w:pPr>
        <w:numPr>
          <w:ilvl w:val="1"/>
          <w:numId w:val="2"/>
        </w:numPr>
        <w:spacing w:after="240" w:line="276" w:lineRule="auto"/>
        <w:rPr>
          <w:rFonts w:cs="Arial"/>
          <w:szCs w:val="22"/>
        </w:rPr>
      </w:pPr>
      <w:r w:rsidRPr="00441942">
        <w:rPr>
          <w:rFonts w:cs="Arial"/>
          <w:szCs w:val="22"/>
        </w:rPr>
        <w:t>The following outputs will be required:</w:t>
      </w:r>
    </w:p>
    <w:p w:rsidR="00C90AC1" w:rsidRDefault="007C41B3" w:rsidP="00441942">
      <w:pPr>
        <w:pStyle w:val="ListParagraph"/>
        <w:numPr>
          <w:ilvl w:val="0"/>
          <w:numId w:val="40"/>
        </w:numPr>
        <w:spacing w:after="240" w:line="276" w:lineRule="auto"/>
        <w:rPr>
          <w:rFonts w:cs="Arial"/>
          <w:szCs w:val="22"/>
        </w:rPr>
      </w:pPr>
      <w:r>
        <w:rPr>
          <w:rFonts w:cs="Arial"/>
          <w:szCs w:val="22"/>
        </w:rPr>
        <w:t>an interim report</w:t>
      </w:r>
    </w:p>
    <w:p w:rsidR="00844F16" w:rsidRDefault="00844F16" w:rsidP="00441942">
      <w:pPr>
        <w:pStyle w:val="ListParagraph"/>
        <w:numPr>
          <w:ilvl w:val="0"/>
          <w:numId w:val="40"/>
        </w:numPr>
        <w:spacing w:after="240" w:line="276" w:lineRule="auto"/>
        <w:rPr>
          <w:rFonts w:cs="Arial"/>
          <w:szCs w:val="22"/>
        </w:rPr>
      </w:pPr>
      <w:r>
        <w:rPr>
          <w:rFonts w:cs="Arial"/>
          <w:szCs w:val="22"/>
        </w:rPr>
        <w:t>a second interim report</w:t>
      </w:r>
    </w:p>
    <w:p w:rsidR="00441942" w:rsidRDefault="00481AC9" w:rsidP="00441942">
      <w:pPr>
        <w:pStyle w:val="ListParagraph"/>
        <w:numPr>
          <w:ilvl w:val="0"/>
          <w:numId w:val="40"/>
        </w:numPr>
        <w:spacing w:after="240" w:line="276" w:lineRule="auto"/>
        <w:rPr>
          <w:rFonts w:cs="Arial"/>
          <w:szCs w:val="22"/>
        </w:rPr>
      </w:pPr>
      <w:r>
        <w:rPr>
          <w:rFonts w:cs="Arial"/>
          <w:szCs w:val="22"/>
        </w:rPr>
        <w:t>a final report in word;</w:t>
      </w:r>
      <w:r w:rsidR="00441942" w:rsidRPr="00441942">
        <w:rPr>
          <w:rFonts w:cs="Arial"/>
          <w:szCs w:val="22"/>
        </w:rPr>
        <w:t xml:space="preserve"> </w:t>
      </w:r>
    </w:p>
    <w:p w:rsidR="00441942" w:rsidRDefault="00441942" w:rsidP="00441942">
      <w:pPr>
        <w:pStyle w:val="ListParagraph"/>
        <w:numPr>
          <w:ilvl w:val="0"/>
          <w:numId w:val="40"/>
        </w:numPr>
        <w:spacing w:after="240" w:line="276" w:lineRule="auto"/>
        <w:rPr>
          <w:rFonts w:cs="Arial"/>
          <w:szCs w:val="22"/>
        </w:rPr>
      </w:pPr>
      <w:r w:rsidRPr="00441942">
        <w:rPr>
          <w:rFonts w:cs="Arial"/>
          <w:szCs w:val="22"/>
        </w:rPr>
        <w:t xml:space="preserve">any other reports as set out here or agreed between HLF and the contractor; and </w:t>
      </w:r>
    </w:p>
    <w:p w:rsidR="00441942" w:rsidRDefault="00441942" w:rsidP="00441942">
      <w:pPr>
        <w:pStyle w:val="ListParagraph"/>
        <w:numPr>
          <w:ilvl w:val="0"/>
          <w:numId w:val="40"/>
        </w:numPr>
        <w:spacing w:after="240" w:line="276" w:lineRule="auto"/>
        <w:rPr>
          <w:rFonts w:cs="Arial"/>
          <w:szCs w:val="22"/>
        </w:rPr>
      </w:pPr>
      <w:r w:rsidRPr="00441942">
        <w:rPr>
          <w:rFonts w:cs="Arial"/>
          <w:szCs w:val="22"/>
        </w:rPr>
        <w:t>a set of research data, to be stored in a readily accessible electronic format such as Excel</w:t>
      </w:r>
    </w:p>
    <w:p w:rsidR="005641CE" w:rsidRPr="00647563" w:rsidRDefault="005641CE" w:rsidP="005641CE">
      <w:pPr>
        <w:pStyle w:val="Heading1"/>
        <w:rPr>
          <w:rStyle w:val="PageNumber"/>
          <w:rFonts w:cs="Arial"/>
        </w:rPr>
      </w:pPr>
      <w:r w:rsidRPr="00647563">
        <w:rPr>
          <w:rStyle w:val="PageNumber"/>
          <w:rFonts w:cs="Arial"/>
        </w:rPr>
        <w:t>A project plan with specific deliverables* and timetable will be agreed with the successful consultant/</w:t>
      </w:r>
      <w:proofErr w:type="spellStart"/>
      <w:r w:rsidRPr="00647563">
        <w:rPr>
          <w:rStyle w:val="PageNumber"/>
          <w:rFonts w:cs="Arial"/>
        </w:rPr>
        <w:t>ies</w:t>
      </w:r>
      <w:proofErr w:type="spellEnd"/>
      <w:r w:rsidRPr="00647563">
        <w:rPr>
          <w:rStyle w:val="PageNumber"/>
          <w:rFonts w:cs="Arial"/>
        </w:rPr>
        <w:t xml:space="preserve">. However, </w:t>
      </w:r>
      <w:r>
        <w:rPr>
          <w:rStyle w:val="PageNumber"/>
          <w:rFonts w:cs="Arial"/>
        </w:rPr>
        <w:t xml:space="preserve">HLF </w:t>
      </w:r>
      <w:r w:rsidRPr="00647563">
        <w:rPr>
          <w:rStyle w:val="PageNumber"/>
          <w:rFonts w:cs="Arial"/>
        </w:rPr>
        <w:t>expects the following deliverables in accordance with the following timetable as a minimum:</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5641CE" w:rsidRPr="00647563" w:rsidTr="004066B2">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rsidR="005641CE" w:rsidRPr="00647563" w:rsidRDefault="005641CE" w:rsidP="004066B2">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rsidR="005641CE" w:rsidRPr="00647563" w:rsidRDefault="005641CE" w:rsidP="004066B2">
            <w:pPr>
              <w:jc w:val="both"/>
              <w:rPr>
                <w:rFonts w:cs="Arial"/>
                <w:b/>
                <w:bCs/>
              </w:rPr>
            </w:pPr>
            <w:r w:rsidRPr="00647563">
              <w:rPr>
                <w:rFonts w:cs="Arial"/>
                <w:b/>
                <w:bCs/>
              </w:rPr>
              <w:t>Due date</w:t>
            </w:r>
          </w:p>
        </w:tc>
      </w:tr>
      <w:tr w:rsidR="005641CE" w:rsidRPr="00647563" w:rsidTr="004066B2">
        <w:tc>
          <w:tcPr>
            <w:tcW w:w="5092" w:type="dxa"/>
            <w:tcBorders>
              <w:top w:val="single" w:sz="4" w:space="0" w:color="auto"/>
              <w:left w:val="single" w:sz="4" w:space="0" w:color="auto"/>
              <w:bottom w:val="single" w:sz="4" w:space="0" w:color="auto"/>
              <w:right w:val="single" w:sz="4" w:space="0" w:color="auto"/>
            </w:tcBorders>
            <w:hideMark/>
          </w:tcPr>
          <w:p w:rsidR="005641CE" w:rsidRPr="00647563" w:rsidRDefault="005641CE" w:rsidP="004066B2">
            <w:pPr>
              <w:jc w:val="both"/>
              <w:rPr>
                <w:rFonts w:cs="Arial"/>
                <w:color w:val="000000"/>
              </w:rPr>
            </w:pPr>
            <w:r w:rsidRPr="00647563">
              <w:rPr>
                <w:rStyle w:val="PageNumber"/>
                <w:rFonts w:cs="Arial"/>
                <w:color w:val="000000"/>
              </w:rPr>
              <w:t>Inception Meeting to agre</w:t>
            </w:r>
            <w:r w:rsidRPr="00647563">
              <w:rPr>
                <w:rFonts w:cs="Arial"/>
                <w:color w:val="000000"/>
              </w:rPr>
              <w:t>e plans</w:t>
            </w:r>
            <w:r>
              <w:rPr>
                <w:rFonts w:cs="Arial"/>
                <w:color w:val="000000"/>
              </w:rPr>
              <w:t>, including reporting structures, learning events and a communication and dissemination strategy</w:t>
            </w:r>
          </w:p>
        </w:tc>
        <w:tc>
          <w:tcPr>
            <w:tcW w:w="2126" w:type="dxa"/>
            <w:tcBorders>
              <w:top w:val="single" w:sz="4" w:space="0" w:color="auto"/>
              <w:left w:val="single" w:sz="4" w:space="0" w:color="auto"/>
              <w:bottom w:val="single" w:sz="4" w:space="0" w:color="auto"/>
              <w:right w:val="single" w:sz="4" w:space="0" w:color="auto"/>
            </w:tcBorders>
            <w:hideMark/>
          </w:tcPr>
          <w:p w:rsidR="005641CE" w:rsidRPr="00647563" w:rsidRDefault="005641CE" w:rsidP="004066B2">
            <w:pPr>
              <w:rPr>
                <w:rFonts w:cs="Arial"/>
              </w:rPr>
            </w:pPr>
            <w:r w:rsidRPr="00647563">
              <w:rPr>
                <w:rFonts w:cs="Arial"/>
              </w:rPr>
              <w:t xml:space="preserve">TBC </w:t>
            </w:r>
          </w:p>
        </w:tc>
      </w:tr>
      <w:tr w:rsidR="005641CE" w:rsidRPr="00647563" w:rsidTr="004066B2">
        <w:tc>
          <w:tcPr>
            <w:tcW w:w="5092" w:type="dxa"/>
            <w:tcBorders>
              <w:top w:val="single" w:sz="4" w:space="0" w:color="auto"/>
              <w:left w:val="single" w:sz="4" w:space="0" w:color="auto"/>
              <w:bottom w:val="single" w:sz="4" w:space="0" w:color="auto"/>
              <w:right w:val="single" w:sz="4" w:space="0" w:color="auto"/>
            </w:tcBorders>
            <w:hideMark/>
          </w:tcPr>
          <w:p w:rsidR="005641CE" w:rsidRPr="00647563" w:rsidRDefault="005641CE" w:rsidP="004066B2">
            <w:pPr>
              <w:jc w:val="both"/>
              <w:rPr>
                <w:rFonts w:cs="Arial"/>
              </w:rPr>
            </w:pPr>
            <w:r w:rsidRPr="00647563">
              <w:rPr>
                <w:rFonts w:cs="Arial"/>
              </w:rPr>
              <w:t>Make arrangements to contact all grantees.</w:t>
            </w:r>
          </w:p>
        </w:tc>
        <w:tc>
          <w:tcPr>
            <w:tcW w:w="2126" w:type="dxa"/>
            <w:tcBorders>
              <w:top w:val="single" w:sz="4" w:space="0" w:color="auto"/>
              <w:left w:val="single" w:sz="4" w:space="0" w:color="auto"/>
              <w:bottom w:val="single" w:sz="4" w:space="0" w:color="auto"/>
              <w:right w:val="single" w:sz="4" w:space="0" w:color="auto"/>
            </w:tcBorders>
            <w:hideMark/>
          </w:tcPr>
          <w:p w:rsidR="005641CE" w:rsidRPr="00647563" w:rsidRDefault="005641CE" w:rsidP="004066B2">
            <w:pPr>
              <w:rPr>
                <w:rFonts w:cs="Arial"/>
              </w:rPr>
            </w:pPr>
            <w:r w:rsidRPr="00647563">
              <w:rPr>
                <w:rFonts w:cs="Arial"/>
              </w:rPr>
              <w:t xml:space="preserve">Within 10 working days of contract start date </w:t>
            </w:r>
          </w:p>
        </w:tc>
      </w:tr>
      <w:tr w:rsidR="005641CE" w:rsidRPr="00647563" w:rsidTr="004066B2">
        <w:tc>
          <w:tcPr>
            <w:tcW w:w="5092" w:type="dxa"/>
            <w:tcBorders>
              <w:top w:val="single" w:sz="4" w:space="0" w:color="auto"/>
              <w:left w:val="single" w:sz="4" w:space="0" w:color="auto"/>
              <w:bottom w:val="single" w:sz="4" w:space="0" w:color="auto"/>
              <w:right w:val="single" w:sz="4" w:space="0" w:color="auto"/>
            </w:tcBorders>
          </w:tcPr>
          <w:p w:rsidR="005641CE" w:rsidRPr="00647563" w:rsidRDefault="005641CE" w:rsidP="004066B2">
            <w:pPr>
              <w:jc w:val="both"/>
              <w:rPr>
                <w:rFonts w:cs="Arial"/>
              </w:rPr>
            </w:pPr>
            <w:r w:rsidRPr="00647563">
              <w:rPr>
                <w:rFonts w:cs="Arial"/>
              </w:rPr>
              <w:t>A</w:t>
            </w:r>
            <w:r>
              <w:rPr>
                <w:rFonts w:cs="Arial"/>
              </w:rPr>
              <w:t>n interim report detailing learning to date and any recommendations to ensure outcomes are achieved</w:t>
            </w:r>
          </w:p>
        </w:tc>
        <w:tc>
          <w:tcPr>
            <w:tcW w:w="2126" w:type="dxa"/>
            <w:tcBorders>
              <w:top w:val="single" w:sz="4" w:space="0" w:color="auto"/>
              <w:left w:val="single" w:sz="4" w:space="0" w:color="auto"/>
              <w:bottom w:val="single" w:sz="4" w:space="0" w:color="auto"/>
              <w:right w:val="single" w:sz="4" w:space="0" w:color="auto"/>
            </w:tcBorders>
            <w:hideMark/>
          </w:tcPr>
          <w:p w:rsidR="005641CE" w:rsidRPr="00647563" w:rsidRDefault="00844F16" w:rsidP="004066B2">
            <w:pPr>
              <w:rPr>
                <w:rFonts w:cs="Arial"/>
              </w:rPr>
            </w:pPr>
            <w:r>
              <w:rPr>
                <w:rFonts w:cs="Arial"/>
              </w:rPr>
              <w:t>March</w:t>
            </w:r>
            <w:r w:rsidR="00FC278E">
              <w:rPr>
                <w:rFonts w:cs="Arial"/>
              </w:rPr>
              <w:t xml:space="preserve"> 2018</w:t>
            </w:r>
          </w:p>
        </w:tc>
      </w:tr>
      <w:tr w:rsidR="00844F16" w:rsidRPr="00647563" w:rsidTr="004066B2">
        <w:tc>
          <w:tcPr>
            <w:tcW w:w="5092" w:type="dxa"/>
            <w:tcBorders>
              <w:top w:val="single" w:sz="4" w:space="0" w:color="auto"/>
              <w:left w:val="single" w:sz="4" w:space="0" w:color="auto"/>
              <w:bottom w:val="single" w:sz="4" w:space="0" w:color="auto"/>
              <w:right w:val="single" w:sz="4" w:space="0" w:color="auto"/>
            </w:tcBorders>
          </w:tcPr>
          <w:p w:rsidR="00844F16" w:rsidRDefault="00844F16" w:rsidP="004066B2">
            <w:pPr>
              <w:jc w:val="both"/>
              <w:rPr>
                <w:rFonts w:cs="Arial"/>
              </w:rPr>
            </w:pPr>
            <w:r w:rsidRPr="00647563">
              <w:rPr>
                <w:rFonts w:cs="Arial"/>
              </w:rPr>
              <w:t>A</w:t>
            </w:r>
            <w:r>
              <w:rPr>
                <w:rFonts w:cs="Arial"/>
              </w:rPr>
              <w:t>n interim report detailing learning to date and grantee progress</w:t>
            </w:r>
          </w:p>
        </w:tc>
        <w:tc>
          <w:tcPr>
            <w:tcW w:w="2126" w:type="dxa"/>
            <w:tcBorders>
              <w:top w:val="single" w:sz="4" w:space="0" w:color="auto"/>
              <w:left w:val="single" w:sz="4" w:space="0" w:color="auto"/>
              <w:bottom w:val="single" w:sz="4" w:space="0" w:color="auto"/>
              <w:right w:val="single" w:sz="4" w:space="0" w:color="auto"/>
            </w:tcBorders>
          </w:tcPr>
          <w:p w:rsidR="00844F16" w:rsidRDefault="00844F16" w:rsidP="004066B2">
            <w:pPr>
              <w:rPr>
                <w:rFonts w:cs="Arial"/>
              </w:rPr>
            </w:pPr>
            <w:r>
              <w:rPr>
                <w:rFonts w:cs="Arial"/>
              </w:rPr>
              <w:t>January 2019</w:t>
            </w:r>
          </w:p>
        </w:tc>
      </w:tr>
      <w:tr w:rsidR="005641CE" w:rsidRPr="00647563" w:rsidTr="004066B2">
        <w:tc>
          <w:tcPr>
            <w:tcW w:w="5092" w:type="dxa"/>
            <w:tcBorders>
              <w:top w:val="single" w:sz="4" w:space="0" w:color="auto"/>
              <w:left w:val="single" w:sz="4" w:space="0" w:color="auto"/>
              <w:bottom w:val="single" w:sz="4" w:space="0" w:color="auto"/>
              <w:right w:val="single" w:sz="4" w:space="0" w:color="auto"/>
            </w:tcBorders>
            <w:hideMark/>
          </w:tcPr>
          <w:p w:rsidR="005641CE" w:rsidRPr="00647563" w:rsidRDefault="005641CE" w:rsidP="004066B2">
            <w:pPr>
              <w:jc w:val="both"/>
              <w:rPr>
                <w:rFonts w:cs="Arial"/>
              </w:rPr>
            </w:pPr>
            <w:r>
              <w:rPr>
                <w:rFonts w:cs="Arial"/>
              </w:rPr>
              <w:t xml:space="preserve"> A final report, of 50 pages maximum, with structure agreed with HLF</w:t>
            </w:r>
          </w:p>
        </w:tc>
        <w:tc>
          <w:tcPr>
            <w:tcW w:w="2126" w:type="dxa"/>
            <w:tcBorders>
              <w:top w:val="single" w:sz="4" w:space="0" w:color="auto"/>
              <w:left w:val="single" w:sz="4" w:space="0" w:color="auto"/>
              <w:bottom w:val="single" w:sz="4" w:space="0" w:color="auto"/>
              <w:right w:val="single" w:sz="4" w:space="0" w:color="auto"/>
            </w:tcBorders>
            <w:hideMark/>
          </w:tcPr>
          <w:p w:rsidR="005641CE" w:rsidRPr="00647563" w:rsidRDefault="00844F16" w:rsidP="004066B2">
            <w:pPr>
              <w:rPr>
                <w:rFonts w:cs="Arial"/>
              </w:rPr>
            </w:pPr>
            <w:r>
              <w:rPr>
                <w:rFonts w:cs="Arial"/>
              </w:rPr>
              <w:t>December</w:t>
            </w:r>
            <w:r w:rsidR="00FC278E">
              <w:rPr>
                <w:rFonts w:cs="Arial"/>
              </w:rPr>
              <w:t xml:space="preserve"> 2019</w:t>
            </w:r>
          </w:p>
        </w:tc>
      </w:tr>
    </w:tbl>
    <w:p w:rsidR="005641CE" w:rsidRPr="00647563" w:rsidRDefault="005641CE" w:rsidP="005641CE">
      <w:pPr>
        <w:pStyle w:val="Heading1"/>
        <w:ind w:left="709"/>
      </w:pPr>
    </w:p>
    <w:p w:rsidR="005641CE" w:rsidRPr="00647563" w:rsidRDefault="005641CE" w:rsidP="005641CE">
      <w:pPr>
        <w:pStyle w:val="Heading1"/>
      </w:pPr>
      <w:r w:rsidRPr="00647563">
        <w:t xml:space="preserve">The above represents our minimum requirements. </w:t>
      </w:r>
    </w:p>
    <w:p w:rsidR="005641CE" w:rsidRPr="00844F16" w:rsidRDefault="005641CE" w:rsidP="00844F16">
      <w:pPr>
        <w:pStyle w:val="Heading1"/>
      </w:pPr>
      <w:r w:rsidRPr="00647563">
        <w:t xml:space="preserve">* </w:t>
      </w:r>
      <w:r>
        <w:t xml:space="preserve">HLF </w:t>
      </w:r>
      <w:r w:rsidRPr="00647563">
        <w:t>reserve</w:t>
      </w:r>
      <w:r>
        <w:t>s</w:t>
      </w:r>
      <w:r w:rsidRPr="00647563">
        <w:t xml:space="preserve"> the right to amend this timetable where required.</w:t>
      </w:r>
    </w:p>
    <w:p w:rsidR="005641CE" w:rsidRPr="00441942" w:rsidRDefault="005641CE" w:rsidP="005641CE">
      <w:pPr>
        <w:pStyle w:val="ListParagraph"/>
        <w:rPr>
          <w:rFonts w:cs="Arial"/>
          <w:szCs w:val="22"/>
        </w:rPr>
      </w:pPr>
    </w:p>
    <w:p w:rsidR="00441942" w:rsidRPr="00847015" w:rsidRDefault="00DF1B4E" w:rsidP="00441942">
      <w:pPr>
        <w:numPr>
          <w:ilvl w:val="1"/>
          <w:numId w:val="2"/>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rsidR="00441942" w:rsidRDefault="0082194B" w:rsidP="00441942">
      <w:pPr>
        <w:numPr>
          <w:ilvl w:val="1"/>
          <w:numId w:val="2"/>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rsidR="00441942" w:rsidRPr="007C42CF" w:rsidRDefault="00441942" w:rsidP="00441942">
      <w:pPr>
        <w:numPr>
          <w:ilvl w:val="1"/>
          <w:numId w:val="2"/>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rsidR="0082194B" w:rsidRPr="00697E37" w:rsidRDefault="00E4627B" w:rsidP="00697E37">
      <w:pPr>
        <w:pStyle w:val="ListParagraph"/>
        <w:numPr>
          <w:ilvl w:val="1"/>
          <w:numId w:val="2"/>
        </w:numPr>
        <w:spacing w:after="240"/>
        <w:contextualSpacing w:val="0"/>
      </w:pPr>
      <w:r w:rsidRPr="007C5D75">
        <w:t>All bidders are required to adhere to all appropriate regulations and guidelines on the collection, storage, transmission and destruction of personal data (</w:t>
      </w:r>
      <w:hyperlink r:id="rId13" w:history="1">
        <w:r w:rsidRPr="007C5D75">
          <w:rPr>
            <w:rStyle w:val="Hyperlink"/>
          </w:rPr>
          <w:t>MRS/SRA, Data Protection Act 1998: Guidelines for Social Research, April 2013</w:t>
        </w:r>
      </w:hyperlink>
      <w:r w:rsidRPr="007C5D75">
        <w:t>).</w:t>
      </w:r>
    </w:p>
    <w:p w:rsidR="0082194B" w:rsidRPr="0082194B" w:rsidRDefault="00C26086" w:rsidP="0082194B">
      <w:pPr>
        <w:pStyle w:val="Heading1"/>
        <w:numPr>
          <w:ilvl w:val="0"/>
          <w:numId w:val="2"/>
        </w:numPr>
      </w:pPr>
      <w:r>
        <w:t>Contract</w:t>
      </w:r>
      <w:r w:rsidR="0082194B" w:rsidRPr="0082194B">
        <w:t xml:space="preserve"> management</w:t>
      </w:r>
    </w:p>
    <w:p w:rsidR="00DB2497" w:rsidRPr="00693F08" w:rsidRDefault="00E4627B" w:rsidP="00697E37">
      <w:pPr>
        <w:numPr>
          <w:ilvl w:val="1"/>
          <w:numId w:val="2"/>
        </w:numPr>
        <w:spacing w:before="240" w:after="200" w:line="276" w:lineRule="auto"/>
        <w:contextualSpacing/>
        <w:rPr>
          <w:rFonts w:cs="Arial"/>
          <w:szCs w:val="22"/>
        </w:rPr>
      </w:pPr>
      <w:r w:rsidRPr="00693F08">
        <w:rPr>
          <w:rFonts w:cs="Arial"/>
          <w:szCs w:val="22"/>
        </w:rPr>
        <w:t>We expect the research</w:t>
      </w:r>
      <w:r w:rsidR="00C26086" w:rsidRPr="00693F08">
        <w:rPr>
          <w:rFonts w:cs="Arial"/>
          <w:szCs w:val="22"/>
        </w:rPr>
        <w:t>/evaluation</w:t>
      </w:r>
      <w:r w:rsidRPr="00693F08">
        <w:rPr>
          <w:rFonts w:cs="Arial"/>
          <w:szCs w:val="22"/>
        </w:rPr>
        <w:t xml:space="preserve"> to begin </w:t>
      </w:r>
      <w:r w:rsidR="00FC278E" w:rsidRPr="00693F08">
        <w:rPr>
          <w:rFonts w:cs="Arial"/>
          <w:szCs w:val="22"/>
        </w:rPr>
        <w:t xml:space="preserve">in January 2018 </w:t>
      </w:r>
      <w:r w:rsidRPr="00693F08">
        <w:rPr>
          <w:rFonts w:cs="Arial"/>
          <w:szCs w:val="22"/>
        </w:rPr>
        <w:t>and be completed by</w:t>
      </w:r>
      <w:r w:rsidR="00693F08" w:rsidRPr="00693F08">
        <w:rPr>
          <w:rFonts w:cs="Arial"/>
          <w:szCs w:val="22"/>
        </w:rPr>
        <w:t xml:space="preserve"> January 2020</w:t>
      </w:r>
      <w:r w:rsidRPr="00693F08">
        <w:rPr>
          <w:rFonts w:cs="Arial"/>
          <w:szCs w:val="22"/>
        </w:rPr>
        <w:t>. The final rep</w:t>
      </w:r>
      <w:r w:rsidR="00693F08" w:rsidRPr="00693F08">
        <w:rPr>
          <w:rFonts w:cs="Arial"/>
          <w:szCs w:val="22"/>
        </w:rPr>
        <w:t xml:space="preserve">ort shall be submitted to HLF in December </w:t>
      </w:r>
      <w:r w:rsidR="00FC278E" w:rsidRPr="00693F08">
        <w:rPr>
          <w:rFonts w:cs="Arial"/>
          <w:szCs w:val="22"/>
        </w:rPr>
        <w:t>2019</w:t>
      </w:r>
      <w:r w:rsidR="00DB2497" w:rsidRPr="00693F08">
        <w:rPr>
          <w:rFonts w:cs="Arial"/>
          <w:color w:val="FF0000"/>
          <w:szCs w:val="22"/>
        </w:rPr>
        <w:t>.</w:t>
      </w:r>
    </w:p>
    <w:p w:rsidR="00C26086" w:rsidRPr="00697E37" w:rsidRDefault="00C26086" w:rsidP="00C26086">
      <w:pPr>
        <w:spacing w:before="240" w:after="200" w:line="276" w:lineRule="auto"/>
        <w:ind w:left="720"/>
        <w:contextualSpacing/>
        <w:rPr>
          <w:rFonts w:cs="Arial"/>
          <w:szCs w:val="22"/>
        </w:rPr>
      </w:pPr>
    </w:p>
    <w:p w:rsidR="0082194B" w:rsidRDefault="0082194B" w:rsidP="00697E37">
      <w:pPr>
        <w:numPr>
          <w:ilvl w:val="1"/>
          <w:numId w:val="2"/>
        </w:numPr>
        <w:spacing w:before="240" w:after="200" w:line="276" w:lineRule="auto"/>
        <w:contextualSpacing/>
        <w:rPr>
          <w:rFonts w:cs="Arial"/>
          <w:szCs w:val="22"/>
        </w:rPr>
      </w:pPr>
      <w:r w:rsidRPr="0082194B">
        <w:rPr>
          <w:rFonts w:cs="Arial"/>
          <w:szCs w:val="22"/>
        </w:rPr>
        <w:t xml:space="preserve">The anticipated budget is </w:t>
      </w:r>
      <w:r w:rsidR="00693F08">
        <w:rPr>
          <w:rFonts w:cs="Arial"/>
          <w:szCs w:val="22"/>
        </w:rPr>
        <w:t>£4</w:t>
      </w:r>
      <w:r w:rsidR="00FC278E">
        <w:rPr>
          <w:rFonts w:cs="Arial"/>
          <w:szCs w:val="22"/>
        </w:rPr>
        <w:t xml:space="preserve">0,000 </w:t>
      </w:r>
      <w:r w:rsidRPr="0082194B">
        <w:rPr>
          <w:rFonts w:cs="Arial"/>
          <w:szCs w:val="22"/>
        </w:rPr>
        <w:t>to include all expenses and VAT. The contract will be let by the National Heritage Memorial Fund.</w:t>
      </w:r>
    </w:p>
    <w:p w:rsidR="00E4627B" w:rsidRPr="00697E37" w:rsidRDefault="00E4627B" w:rsidP="00697E37">
      <w:pPr>
        <w:spacing w:before="240" w:after="200" w:line="276" w:lineRule="auto"/>
        <w:ind w:left="720"/>
        <w:contextualSpacing/>
        <w:rPr>
          <w:i/>
          <w:color w:val="FF0000"/>
        </w:rPr>
      </w:pPr>
    </w:p>
    <w:p w:rsidR="00E4627B" w:rsidRDefault="0082194B" w:rsidP="00AD2632">
      <w:pPr>
        <w:numPr>
          <w:ilvl w:val="1"/>
          <w:numId w:val="2"/>
        </w:numPr>
        <w:spacing w:before="240" w:after="200" w:line="276" w:lineRule="auto"/>
        <w:contextualSpacing/>
        <w:rPr>
          <w:rFonts w:cs="Arial"/>
          <w:szCs w:val="22"/>
        </w:rPr>
      </w:pPr>
      <w:r w:rsidRPr="00FC278E">
        <w:rPr>
          <w:rFonts w:cs="Arial"/>
          <w:szCs w:val="22"/>
        </w:rPr>
        <w:t xml:space="preserve">The payment schedule will be </w:t>
      </w:r>
      <w:r w:rsidR="00AD2632">
        <w:rPr>
          <w:rFonts w:cs="Arial"/>
          <w:color w:val="000000" w:themeColor="text1"/>
          <w:szCs w:val="22"/>
        </w:rPr>
        <w:t xml:space="preserve">three </w:t>
      </w:r>
      <w:r w:rsidR="00FC278E">
        <w:rPr>
          <w:rFonts w:cs="Arial"/>
          <w:color w:val="000000" w:themeColor="text1"/>
          <w:szCs w:val="22"/>
        </w:rPr>
        <w:t>payments</w:t>
      </w:r>
      <w:r w:rsidR="00AD2632">
        <w:rPr>
          <w:rFonts w:cs="Arial"/>
          <w:color w:val="000000" w:themeColor="text1"/>
          <w:szCs w:val="22"/>
        </w:rPr>
        <w:t xml:space="preserve"> and</w:t>
      </w:r>
      <w:r w:rsidR="00FC278E">
        <w:rPr>
          <w:rFonts w:cs="Arial"/>
          <w:szCs w:val="22"/>
        </w:rPr>
        <w:t xml:space="preserve"> will be made in three instalments.  The first payment will be made upon signing of the contract and inception meeting.  The second one upon</w:t>
      </w:r>
      <w:r w:rsidR="00AD2632">
        <w:rPr>
          <w:rFonts w:cs="Arial"/>
          <w:szCs w:val="22"/>
        </w:rPr>
        <w:t xml:space="preserve"> </w:t>
      </w:r>
      <w:r w:rsidR="00FC278E">
        <w:rPr>
          <w:rFonts w:cs="Arial"/>
          <w:szCs w:val="22"/>
        </w:rPr>
        <w:t>receipt of the</w:t>
      </w:r>
      <w:r w:rsidR="00693F08">
        <w:rPr>
          <w:rFonts w:cs="Arial"/>
          <w:szCs w:val="22"/>
        </w:rPr>
        <w:t xml:space="preserve"> second</w:t>
      </w:r>
      <w:r w:rsidR="00FC278E">
        <w:rPr>
          <w:rFonts w:cs="Arial"/>
          <w:szCs w:val="22"/>
        </w:rPr>
        <w:t xml:space="preserve"> interim report</w:t>
      </w:r>
      <w:r w:rsidR="00AD2632">
        <w:rPr>
          <w:rFonts w:cs="Arial"/>
          <w:szCs w:val="22"/>
        </w:rPr>
        <w:t xml:space="preserve"> in </w:t>
      </w:r>
      <w:r w:rsidR="00693F08">
        <w:rPr>
          <w:rFonts w:cs="Arial"/>
          <w:szCs w:val="22"/>
        </w:rPr>
        <w:t>January 2019</w:t>
      </w:r>
      <w:r w:rsidR="00FC278E">
        <w:rPr>
          <w:rFonts w:cs="Arial"/>
          <w:szCs w:val="22"/>
        </w:rPr>
        <w:t>, and the final payment upon HLF’s receipt of an approved f</w:t>
      </w:r>
      <w:r w:rsidR="00693F08">
        <w:rPr>
          <w:rFonts w:cs="Arial"/>
          <w:szCs w:val="22"/>
        </w:rPr>
        <w:t>inal copy of the report in January 2020</w:t>
      </w:r>
      <w:r w:rsidR="00FC278E">
        <w:rPr>
          <w:rFonts w:cs="Arial"/>
          <w:szCs w:val="22"/>
        </w:rPr>
        <w:t>.</w:t>
      </w:r>
    </w:p>
    <w:p w:rsidR="00AD2632" w:rsidRPr="00AD2632" w:rsidRDefault="00AD2632" w:rsidP="00AD2632">
      <w:pPr>
        <w:spacing w:before="240" w:after="200" w:line="276" w:lineRule="auto"/>
        <w:contextualSpacing/>
        <w:rPr>
          <w:rFonts w:cs="Arial"/>
          <w:szCs w:val="22"/>
        </w:rPr>
      </w:pPr>
    </w:p>
    <w:p w:rsidR="00CF253B" w:rsidRPr="00CF253B" w:rsidRDefault="0082194B" w:rsidP="00CF253B">
      <w:pPr>
        <w:numPr>
          <w:ilvl w:val="1"/>
          <w:numId w:val="2"/>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rsidR="0082194B" w:rsidRPr="00697E37" w:rsidRDefault="0082194B" w:rsidP="00697E37">
      <w:pPr>
        <w:numPr>
          <w:ilvl w:val="1"/>
          <w:numId w:val="2"/>
        </w:numPr>
        <w:spacing w:after="200" w:line="276" w:lineRule="auto"/>
        <w:contextualSpacing/>
        <w:rPr>
          <w:rFonts w:cs="Arial"/>
          <w:szCs w:val="22"/>
        </w:rPr>
      </w:pPr>
      <w:r w:rsidRPr="0082194B">
        <w:rPr>
          <w:rFonts w:cs="Arial"/>
          <w:szCs w:val="22"/>
        </w:rPr>
        <w:t>The research will be managed on a day to day basis for HLF by</w:t>
      </w:r>
      <w:r w:rsidR="00693F08">
        <w:rPr>
          <w:rFonts w:cs="Arial"/>
          <w:szCs w:val="22"/>
        </w:rPr>
        <w:t xml:space="preserve"> Hilary Leavy</w:t>
      </w:r>
      <w:r w:rsidR="00FC278E">
        <w:rPr>
          <w:rFonts w:cs="Arial"/>
          <w:szCs w:val="22"/>
        </w:rPr>
        <w:t>.</w:t>
      </w:r>
    </w:p>
    <w:p w:rsidR="0082194B" w:rsidRPr="0082194B" w:rsidRDefault="00CF253B" w:rsidP="0082194B">
      <w:pPr>
        <w:pStyle w:val="Heading1"/>
        <w:numPr>
          <w:ilvl w:val="0"/>
          <w:numId w:val="2"/>
        </w:numPr>
      </w:pPr>
      <w:r>
        <w:t>Award Criteria</w:t>
      </w:r>
    </w:p>
    <w:p w:rsidR="0082194B" w:rsidRPr="0082194B" w:rsidRDefault="0082194B" w:rsidP="0082194B">
      <w:pPr>
        <w:numPr>
          <w:ilvl w:val="1"/>
          <w:numId w:val="2"/>
        </w:numPr>
        <w:spacing w:after="240" w:line="276" w:lineRule="auto"/>
        <w:rPr>
          <w:rFonts w:cs="Arial"/>
          <w:szCs w:val="22"/>
        </w:rPr>
      </w:pPr>
      <w:r w:rsidRPr="0082194B">
        <w:rPr>
          <w:rFonts w:cs="Arial"/>
          <w:szCs w:val="22"/>
        </w:rPr>
        <w:t>A proposal for undertaking the work should</w:t>
      </w:r>
      <w:r w:rsidR="003F5A07">
        <w:rPr>
          <w:rFonts w:cs="Arial"/>
          <w:szCs w:val="22"/>
        </w:rPr>
        <w:t xml:space="preserve"> be a maximum of 10</w:t>
      </w:r>
      <w:r w:rsidR="00FC278E">
        <w:rPr>
          <w:rFonts w:cs="Arial"/>
          <w:szCs w:val="22"/>
        </w:rPr>
        <w:t xml:space="preserve"> pages and</w:t>
      </w:r>
      <w:r w:rsidRPr="0082194B">
        <w:rPr>
          <w:rFonts w:cs="Arial"/>
          <w:szCs w:val="22"/>
        </w:rPr>
        <w:t xml:space="preserve"> include:</w:t>
      </w:r>
    </w:p>
    <w:p w:rsidR="0082194B" w:rsidRPr="0082194B" w:rsidRDefault="00C26086" w:rsidP="0082194B">
      <w:pPr>
        <w:numPr>
          <w:ilvl w:val="0"/>
          <w:numId w:val="3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rsidR="0082194B" w:rsidRPr="0082194B" w:rsidRDefault="0082194B" w:rsidP="0082194B">
      <w:pPr>
        <w:numPr>
          <w:ilvl w:val="0"/>
          <w:numId w:val="33"/>
        </w:numPr>
        <w:tabs>
          <w:tab w:val="left" w:pos="1080"/>
        </w:tabs>
        <w:spacing w:after="200" w:line="276" w:lineRule="auto"/>
        <w:rPr>
          <w:rFonts w:cs="Arial"/>
          <w:szCs w:val="22"/>
        </w:rPr>
      </w:pPr>
      <w:proofErr w:type="gramStart"/>
      <w:r w:rsidRPr="0082194B">
        <w:rPr>
          <w:rFonts w:cs="Arial"/>
          <w:szCs w:val="22"/>
        </w:rPr>
        <w:t>details</w:t>
      </w:r>
      <w:proofErr w:type="gramEnd"/>
      <w:r w:rsidRPr="0082194B">
        <w:rPr>
          <w:rFonts w:cs="Arial"/>
          <w:szCs w:val="22"/>
        </w:rPr>
        <w:t xml:space="preserve"> of staff allocated to the project, together with experience of the contractor and staff members in carrying out similar projects. The project manager / lead contact should be identified;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lastRenderedPageBreak/>
        <w:t>the daily charging rate of individual staff involved;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82194B">
      <w:pPr>
        <w:numPr>
          <w:ilvl w:val="0"/>
          <w:numId w:val="33"/>
        </w:numPr>
        <w:tabs>
          <w:tab w:val="left" w:pos="1080"/>
        </w:tabs>
        <w:spacing w:after="200" w:line="276" w:lineRule="auto"/>
        <w:rPr>
          <w:rFonts w:cs="Arial"/>
          <w:szCs w:val="22"/>
        </w:rPr>
      </w:pPr>
      <w:proofErr w:type="gramStart"/>
      <w:r w:rsidRPr="0082194B">
        <w:rPr>
          <w:rFonts w:cs="Arial"/>
          <w:szCs w:val="22"/>
        </w:rPr>
        <w:t>an</w:t>
      </w:r>
      <w:proofErr w:type="gramEnd"/>
      <w:r w:rsidRPr="0082194B">
        <w:rPr>
          <w:rFonts w:cs="Arial"/>
          <w:szCs w:val="22"/>
        </w:rPr>
        <w:t xml:space="preserve"> overall cost for the work.</w:t>
      </w:r>
    </w:p>
    <w:p w:rsidR="0082194B" w:rsidRPr="0082194B" w:rsidRDefault="0082194B" w:rsidP="0082194B">
      <w:pPr>
        <w:numPr>
          <w:ilvl w:val="1"/>
          <w:numId w:val="2"/>
        </w:numPr>
        <w:spacing w:after="240" w:line="276" w:lineRule="auto"/>
        <w:rPr>
          <w:rFonts w:cs="Arial"/>
          <w:szCs w:val="22"/>
        </w:rPr>
      </w:pPr>
      <w:r w:rsidRPr="0082194B">
        <w:rPr>
          <w:rFonts w:cs="Arial"/>
          <w:szCs w:val="22"/>
        </w:rPr>
        <w:t xml:space="preserve">Your Bid will be scored out of 100%. </w:t>
      </w:r>
    </w:p>
    <w:p w:rsidR="00A30CE9" w:rsidRDefault="001B0833" w:rsidP="00A30CE9">
      <w:pPr>
        <w:pStyle w:val="BodyTextIndent2"/>
        <w:spacing w:after="240"/>
        <w:ind w:left="709"/>
        <w:rPr>
          <w:b w:val="0"/>
          <w:szCs w:val="22"/>
        </w:rPr>
      </w:pPr>
      <w:r w:rsidRPr="00517834">
        <w:rPr>
          <w:b w:val="0"/>
          <w:szCs w:val="22"/>
        </w:rPr>
        <w:t>70% of the marks will be allocated to your response to the Quality Question</w:t>
      </w:r>
      <w:r>
        <w:rPr>
          <w:b w:val="0"/>
          <w:szCs w:val="22"/>
        </w:rPr>
        <w:t>s b</w:t>
      </w:r>
      <w:r w:rsidRPr="00517834">
        <w:rPr>
          <w:b w:val="0"/>
          <w:szCs w:val="22"/>
        </w:rPr>
        <w:t xml:space="preserve">elow. 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r w:rsidR="00A30CE9">
        <w:rPr>
          <w:b w:val="0"/>
          <w:szCs w:val="22"/>
          <w:lang w:eastAsia="en-US"/>
        </w:rPr>
        <w:br/>
      </w:r>
    </w:p>
    <w:p w:rsidR="00A30CE9" w:rsidRPr="00517834" w:rsidRDefault="001B0833" w:rsidP="00A30CE9">
      <w:pPr>
        <w:pStyle w:val="BodyTextIndent2"/>
        <w:spacing w:after="24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r w:rsidR="00A30CE9">
        <w:rPr>
          <w:b w:val="0"/>
          <w:color w:val="FF0000"/>
          <w:szCs w:val="22"/>
        </w:rPr>
        <w:br/>
      </w:r>
    </w:p>
    <w:tbl>
      <w:tblPr>
        <w:tblStyle w:val="TableGrid"/>
        <w:tblW w:w="0" w:type="auto"/>
        <w:tblLook w:val="04A0" w:firstRow="1" w:lastRow="0" w:firstColumn="1" w:lastColumn="0" w:noHBand="0" w:noVBand="1"/>
      </w:tblPr>
      <w:tblGrid>
        <w:gridCol w:w="6771"/>
        <w:gridCol w:w="2471"/>
      </w:tblGrid>
      <w:tr w:rsidR="00A30CE9" w:rsidTr="00243472">
        <w:tc>
          <w:tcPr>
            <w:tcW w:w="6771" w:type="dxa"/>
          </w:tcPr>
          <w:p w:rsidR="00A30CE9" w:rsidRDefault="00A30CE9" w:rsidP="00A30CE9">
            <w:pPr>
              <w:pStyle w:val="ListParagraph"/>
              <w:numPr>
                <w:ilvl w:val="0"/>
                <w:numId w:val="46"/>
              </w:numPr>
              <w:contextualSpacing w:val="0"/>
              <w:rPr>
                <w:rFonts w:cs="Arial"/>
              </w:rPr>
            </w:pPr>
            <w:r>
              <w:rPr>
                <w:rFonts w:cs="Arial"/>
              </w:rPr>
              <w:t>Demonstrated a clear understanding of the aims, objectives and main concerns of the evaluation.</w:t>
            </w:r>
          </w:p>
          <w:p w:rsidR="00A30CE9" w:rsidRPr="002A3985" w:rsidRDefault="00A30CE9" w:rsidP="00243472">
            <w:pPr>
              <w:pStyle w:val="ListParagraph"/>
              <w:rPr>
                <w:rFonts w:cs="Arial"/>
              </w:rPr>
            </w:pPr>
          </w:p>
        </w:tc>
        <w:tc>
          <w:tcPr>
            <w:tcW w:w="2471" w:type="dxa"/>
          </w:tcPr>
          <w:p w:rsidR="00A30CE9" w:rsidRDefault="00A30CE9" w:rsidP="00243472">
            <w:pPr>
              <w:pStyle w:val="ListParagraph"/>
              <w:rPr>
                <w:rFonts w:cs="Arial"/>
              </w:rPr>
            </w:pPr>
            <w:r>
              <w:rPr>
                <w:rFonts w:cs="Arial"/>
              </w:rPr>
              <w:t xml:space="preserve">Weighing </w:t>
            </w:r>
          </w:p>
          <w:p w:rsidR="00A30CE9" w:rsidRDefault="00A30CE9" w:rsidP="00243472">
            <w:pPr>
              <w:pStyle w:val="ListParagraph"/>
              <w:rPr>
                <w:rFonts w:cs="Arial"/>
              </w:rPr>
            </w:pPr>
            <w:r>
              <w:rPr>
                <w:rFonts w:cs="Arial"/>
              </w:rPr>
              <w:t>25%</w:t>
            </w:r>
          </w:p>
        </w:tc>
      </w:tr>
      <w:tr w:rsidR="00A30CE9" w:rsidTr="00243472">
        <w:tc>
          <w:tcPr>
            <w:tcW w:w="6771" w:type="dxa"/>
          </w:tcPr>
          <w:p w:rsidR="00A30CE9" w:rsidRPr="002A3985" w:rsidRDefault="00A30CE9" w:rsidP="00A30CE9">
            <w:pPr>
              <w:pStyle w:val="ListParagraph"/>
              <w:numPr>
                <w:ilvl w:val="0"/>
                <w:numId w:val="46"/>
              </w:numPr>
              <w:contextualSpacing w:val="0"/>
              <w:rPr>
                <w:rFonts w:cs="Arial"/>
              </w:rPr>
            </w:pPr>
            <w:r>
              <w:rPr>
                <w:rFonts w:cs="Arial"/>
              </w:rPr>
              <w:t>Demonstrated an awareness of the different policy contexts, evaluation and issues relating to capacity building</w:t>
            </w:r>
            <w:r w:rsidR="00B110D3">
              <w:rPr>
                <w:rFonts w:cs="Arial"/>
              </w:rPr>
              <w:t xml:space="preserve"> and organisational resilience</w:t>
            </w:r>
            <w:r w:rsidR="00AD2632">
              <w:rPr>
                <w:rFonts w:cs="Arial"/>
              </w:rPr>
              <w:t>.</w:t>
            </w:r>
            <w:r>
              <w:rPr>
                <w:rFonts w:cs="Arial"/>
              </w:rPr>
              <w:br/>
            </w:r>
          </w:p>
        </w:tc>
        <w:tc>
          <w:tcPr>
            <w:tcW w:w="2471" w:type="dxa"/>
          </w:tcPr>
          <w:p w:rsidR="00A30CE9" w:rsidRDefault="00A30CE9" w:rsidP="00243472">
            <w:pPr>
              <w:pStyle w:val="ListParagraph"/>
              <w:rPr>
                <w:rFonts w:cs="Arial"/>
              </w:rPr>
            </w:pPr>
            <w:r>
              <w:rPr>
                <w:rFonts w:cs="Arial"/>
              </w:rPr>
              <w:t>Weighting</w:t>
            </w:r>
          </w:p>
          <w:p w:rsidR="00A30CE9" w:rsidRDefault="00A30CE9" w:rsidP="00243472">
            <w:pPr>
              <w:pStyle w:val="ListParagraph"/>
              <w:rPr>
                <w:rFonts w:cs="Arial"/>
              </w:rPr>
            </w:pPr>
            <w:r>
              <w:rPr>
                <w:rFonts w:cs="Arial"/>
              </w:rPr>
              <w:t>25%</w:t>
            </w:r>
          </w:p>
        </w:tc>
      </w:tr>
      <w:tr w:rsidR="00A30CE9" w:rsidTr="00243472">
        <w:tc>
          <w:tcPr>
            <w:tcW w:w="6771" w:type="dxa"/>
          </w:tcPr>
          <w:p w:rsidR="00A30CE9" w:rsidRDefault="00A30CE9" w:rsidP="00A30CE9">
            <w:pPr>
              <w:pStyle w:val="ListParagraph"/>
              <w:numPr>
                <w:ilvl w:val="0"/>
                <w:numId w:val="46"/>
              </w:numPr>
              <w:contextualSpacing w:val="0"/>
              <w:rPr>
                <w:rFonts w:cs="Arial"/>
              </w:rPr>
            </w:pPr>
            <w:r>
              <w:rPr>
                <w:rFonts w:cs="Arial"/>
              </w:rPr>
              <w:t>Demonstrated a record of producing high quality evaluation reports to support policy and practice development, and</w:t>
            </w:r>
            <w:r w:rsidR="004009CB">
              <w:rPr>
                <w:rFonts w:cs="Arial"/>
              </w:rPr>
              <w:t xml:space="preserve"> to do so </w:t>
            </w:r>
            <w:r w:rsidR="00F177A9">
              <w:rPr>
                <w:rFonts w:cs="Arial"/>
              </w:rPr>
              <w:t>concisely</w:t>
            </w:r>
          </w:p>
          <w:p w:rsidR="00A30CE9" w:rsidRPr="002A3985" w:rsidRDefault="00A30CE9" w:rsidP="00243472">
            <w:pPr>
              <w:pStyle w:val="ListParagraph"/>
              <w:rPr>
                <w:rFonts w:cs="Arial"/>
              </w:rPr>
            </w:pPr>
          </w:p>
        </w:tc>
        <w:tc>
          <w:tcPr>
            <w:tcW w:w="2471" w:type="dxa"/>
          </w:tcPr>
          <w:p w:rsidR="00A30CE9" w:rsidRDefault="00A30CE9" w:rsidP="00243472">
            <w:pPr>
              <w:pStyle w:val="ListParagraph"/>
              <w:rPr>
                <w:rFonts w:cs="Arial"/>
              </w:rPr>
            </w:pPr>
            <w:r>
              <w:rPr>
                <w:rFonts w:cs="Arial"/>
              </w:rPr>
              <w:t>Weighting</w:t>
            </w:r>
          </w:p>
          <w:p w:rsidR="00A30CE9" w:rsidRDefault="00A30CE9" w:rsidP="00243472">
            <w:pPr>
              <w:pStyle w:val="ListParagraph"/>
              <w:rPr>
                <w:rFonts w:cs="Arial"/>
              </w:rPr>
            </w:pPr>
            <w:r>
              <w:rPr>
                <w:rFonts w:cs="Arial"/>
              </w:rPr>
              <w:t>15%</w:t>
            </w:r>
          </w:p>
        </w:tc>
      </w:tr>
      <w:tr w:rsidR="00A30CE9" w:rsidTr="00243472">
        <w:tc>
          <w:tcPr>
            <w:tcW w:w="6771" w:type="dxa"/>
          </w:tcPr>
          <w:p w:rsidR="00A30CE9" w:rsidRDefault="00A30CE9" w:rsidP="00A30CE9">
            <w:pPr>
              <w:pStyle w:val="ListParagraph"/>
              <w:numPr>
                <w:ilvl w:val="0"/>
                <w:numId w:val="46"/>
              </w:numPr>
              <w:contextualSpacing w:val="0"/>
              <w:rPr>
                <w:rFonts w:cs="Arial"/>
              </w:rPr>
            </w:pPr>
            <w:r>
              <w:rPr>
                <w:rFonts w:cs="Arial"/>
              </w:rPr>
              <w:t>Demonstrated the bidder has the capacity and resources to carry out the evaluation within the timescale, or if working in partnership, each organisation has the capacity to fulfil its role and roles of each partner is clear.</w:t>
            </w:r>
          </w:p>
          <w:p w:rsidR="00A30CE9" w:rsidRPr="002A3985" w:rsidRDefault="00A30CE9" w:rsidP="00243472">
            <w:pPr>
              <w:pStyle w:val="ListParagraph"/>
              <w:rPr>
                <w:rFonts w:cs="Arial"/>
              </w:rPr>
            </w:pPr>
          </w:p>
        </w:tc>
        <w:tc>
          <w:tcPr>
            <w:tcW w:w="2471" w:type="dxa"/>
          </w:tcPr>
          <w:p w:rsidR="00A30CE9" w:rsidRDefault="00A30CE9" w:rsidP="00243472">
            <w:pPr>
              <w:pStyle w:val="ListParagraph"/>
              <w:rPr>
                <w:rFonts w:cs="Arial"/>
              </w:rPr>
            </w:pPr>
            <w:r>
              <w:rPr>
                <w:rFonts w:cs="Arial"/>
              </w:rPr>
              <w:t>Weighting</w:t>
            </w:r>
          </w:p>
          <w:p w:rsidR="00A30CE9" w:rsidRDefault="00A30CE9" w:rsidP="00243472">
            <w:pPr>
              <w:pStyle w:val="ListParagraph"/>
              <w:rPr>
                <w:rFonts w:cs="Arial"/>
              </w:rPr>
            </w:pPr>
            <w:r>
              <w:rPr>
                <w:rFonts w:cs="Arial"/>
              </w:rPr>
              <w:t>10%</w:t>
            </w:r>
          </w:p>
        </w:tc>
      </w:tr>
      <w:tr w:rsidR="00A30CE9" w:rsidTr="00243472">
        <w:tc>
          <w:tcPr>
            <w:tcW w:w="6771" w:type="dxa"/>
          </w:tcPr>
          <w:p w:rsidR="00A30CE9" w:rsidRDefault="00A30CE9" w:rsidP="00A30CE9">
            <w:pPr>
              <w:pStyle w:val="ListParagraph"/>
              <w:numPr>
                <w:ilvl w:val="0"/>
                <w:numId w:val="46"/>
              </w:numPr>
              <w:contextualSpacing w:val="0"/>
              <w:rPr>
                <w:rFonts w:cs="Arial"/>
              </w:rPr>
            </w:pPr>
            <w:r>
              <w:rPr>
                <w:rFonts w:cs="Arial"/>
              </w:rPr>
              <w:t>Demonstrated a clear and realistic project plan, showing phases of the evaluation, tasks for each phase and roles and responsibilities for each member of the team.</w:t>
            </w:r>
          </w:p>
          <w:p w:rsidR="00A30CE9" w:rsidRPr="008D5A89" w:rsidRDefault="00A30CE9" w:rsidP="00243472">
            <w:pPr>
              <w:pStyle w:val="ListParagraph"/>
              <w:rPr>
                <w:rFonts w:cs="Arial"/>
              </w:rPr>
            </w:pPr>
          </w:p>
        </w:tc>
        <w:tc>
          <w:tcPr>
            <w:tcW w:w="2471" w:type="dxa"/>
          </w:tcPr>
          <w:p w:rsidR="00A30CE9" w:rsidRDefault="00A30CE9" w:rsidP="00243472">
            <w:pPr>
              <w:pStyle w:val="ListParagraph"/>
              <w:rPr>
                <w:rFonts w:cs="Arial"/>
              </w:rPr>
            </w:pPr>
            <w:r>
              <w:rPr>
                <w:rFonts w:cs="Arial"/>
              </w:rPr>
              <w:t>Weighting</w:t>
            </w:r>
          </w:p>
          <w:p w:rsidR="00A30CE9" w:rsidRDefault="00A30CE9" w:rsidP="00243472">
            <w:pPr>
              <w:pStyle w:val="ListParagraph"/>
              <w:rPr>
                <w:rFonts w:cs="Arial"/>
              </w:rPr>
            </w:pPr>
            <w:r>
              <w:rPr>
                <w:rFonts w:cs="Arial"/>
              </w:rPr>
              <w:t>10%</w:t>
            </w:r>
          </w:p>
        </w:tc>
      </w:tr>
      <w:tr w:rsidR="00A30CE9" w:rsidTr="00243472">
        <w:tc>
          <w:tcPr>
            <w:tcW w:w="6771" w:type="dxa"/>
          </w:tcPr>
          <w:p w:rsidR="00A30CE9" w:rsidRDefault="00A30CE9" w:rsidP="00A30CE9">
            <w:pPr>
              <w:pStyle w:val="ListParagraph"/>
              <w:numPr>
                <w:ilvl w:val="0"/>
                <w:numId w:val="46"/>
              </w:numPr>
              <w:contextualSpacing w:val="0"/>
              <w:rPr>
                <w:rFonts w:cs="Arial"/>
              </w:rPr>
            </w:pPr>
            <w:r>
              <w:rPr>
                <w:rFonts w:cs="Arial"/>
              </w:rPr>
              <w:t>Demonstrated well considered plans for dissemination of evaluation findings.</w:t>
            </w:r>
          </w:p>
          <w:p w:rsidR="00A30CE9" w:rsidRPr="008D5A89" w:rsidRDefault="00A30CE9" w:rsidP="00243472">
            <w:pPr>
              <w:pStyle w:val="ListParagraph"/>
              <w:rPr>
                <w:rFonts w:cs="Arial"/>
              </w:rPr>
            </w:pPr>
          </w:p>
        </w:tc>
        <w:tc>
          <w:tcPr>
            <w:tcW w:w="2471" w:type="dxa"/>
          </w:tcPr>
          <w:p w:rsidR="00A30CE9" w:rsidRDefault="00A30CE9" w:rsidP="00243472">
            <w:pPr>
              <w:pStyle w:val="ListParagraph"/>
              <w:rPr>
                <w:rFonts w:cs="Arial"/>
              </w:rPr>
            </w:pPr>
            <w:r>
              <w:rPr>
                <w:rFonts w:cs="Arial"/>
              </w:rPr>
              <w:t>Weighting</w:t>
            </w:r>
          </w:p>
          <w:p w:rsidR="00A30CE9" w:rsidRDefault="00A30CE9" w:rsidP="00243472">
            <w:pPr>
              <w:pStyle w:val="ListParagraph"/>
              <w:rPr>
                <w:rFonts w:cs="Arial"/>
              </w:rPr>
            </w:pPr>
            <w:r>
              <w:rPr>
                <w:rFonts w:cs="Arial"/>
              </w:rPr>
              <w:t>15%</w:t>
            </w:r>
          </w:p>
        </w:tc>
      </w:tr>
    </w:tbl>
    <w:p w:rsidR="001B0833" w:rsidRPr="00517834" w:rsidRDefault="001B0833" w:rsidP="00693F08">
      <w:pPr>
        <w:pStyle w:val="BodyTextIndent2"/>
        <w:spacing w:after="240"/>
        <w:ind w:left="0"/>
        <w:rPr>
          <w:b w:val="0"/>
          <w:szCs w:val="22"/>
        </w:rPr>
      </w:pPr>
    </w:p>
    <w:p w:rsidR="00693F08" w:rsidRDefault="00693F08"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Default="003F5A07" w:rsidP="00693F08">
      <w:pPr>
        <w:pStyle w:val="Bullettext"/>
        <w:numPr>
          <w:ilvl w:val="0"/>
          <w:numId w:val="0"/>
        </w:numPr>
        <w:spacing w:after="240"/>
        <w:ind w:left="714" w:hanging="357"/>
        <w:contextualSpacing/>
        <w:rPr>
          <w:rFonts w:cs="Arial"/>
        </w:rPr>
      </w:pPr>
    </w:p>
    <w:p w:rsidR="003F5A07" w:rsidRPr="00697E37" w:rsidRDefault="003F5A07" w:rsidP="00693F08">
      <w:pPr>
        <w:pStyle w:val="Bullettext"/>
        <w:numPr>
          <w:ilvl w:val="0"/>
          <w:numId w:val="0"/>
        </w:numPr>
        <w:spacing w:after="240"/>
        <w:ind w:left="714" w:hanging="357"/>
        <w:contextualSpacing/>
        <w:rPr>
          <w:rFonts w:cs="Arial"/>
          <w:b/>
        </w:rPr>
      </w:pPr>
    </w:p>
    <w:p w:rsidR="001B0833" w:rsidRPr="003C5497" w:rsidRDefault="001B0833" w:rsidP="00164796">
      <w:pPr>
        <w:pStyle w:val="Heading2"/>
        <w:ind w:firstLine="284"/>
      </w:pPr>
      <w:r w:rsidRPr="003C5497">
        <w:lastRenderedPageBreak/>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6B27B4" w:rsidRDefault="001B0833" w:rsidP="006B27B4">
      <w:pPr>
        <w:spacing w:before="240"/>
        <w:rPr>
          <w:rFonts w:cs="Arial"/>
          <w:b/>
          <w:bCs/>
          <w:iCs/>
          <w:u w:val="single"/>
        </w:rPr>
      </w:pPr>
      <w:r w:rsidRPr="00517834">
        <w:rPr>
          <w:rFonts w:cs="Arial"/>
          <w:b/>
          <w:bCs/>
          <w:iCs/>
          <w:u w:val="single"/>
        </w:rPr>
        <w:t>30% of marks will be awarded for Price.</w:t>
      </w:r>
    </w:p>
    <w:p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pStyle w:val="Heading2"/>
        <w:rPr>
          <w:u w:val="single"/>
          <w:lang w:val="en-US"/>
        </w:rPr>
      </w:pPr>
      <w:r w:rsidRPr="00E00936">
        <w:rPr>
          <w:u w:val="single"/>
          <w:lang w:val="en-US"/>
        </w:rPr>
        <w:t>Price Criterion at 30%</w:t>
      </w:r>
    </w:p>
    <w:p w:rsidR="00E00936" w:rsidRPr="00697E37" w:rsidRDefault="00E00936" w:rsidP="00E00936">
      <w:pPr>
        <w:pStyle w:val="ListParagraph"/>
        <w:numPr>
          <w:ilvl w:val="0"/>
          <w:numId w:val="39"/>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697E37" w:rsidRDefault="00E00936" w:rsidP="001B0833">
      <w:pPr>
        <w:pStyle w:val="ListParagraph"/>
        <w:numPr>
          <w:ilvl w:val="0"/>
          <w:numId w:val="39"/>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Pr="00E00936" w:rsidRDefault="001B0833" w:rsidP="00E00936">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rsidR="001B0833" w:rsidRPr="006B27B4" w:rsidRDefault="001B0833" w:rsidP="006B27B4">
      <w:pPr>
        <w:pStyle w:val="Heading2"/>
        <w:rPr>
          <w:u w:val="single"/>
        </w:rPr>
      </w:pPr>
      <w:r w:rsidRPr="00164796">
        <w:rPr>
          <w:u w:val="single"/>
        </w:rPr>
        <w:t xml:space="preserve">Table </w:t>
      </w:r>
      <w:proofErr w:type="gramStart"/>
      <w:r w:rsidRPr="00164796">
        <w:rPr>
          <w:u w:val="single"/>
        </w:rPr>
        <w:t>A</w:t>
      </w:r>
      <w:proofErr w:type="gramEnd"/>
      <w:r w:rsidRPr="00164796">
        <w:rPr>
          <w:u w:val="single"/>
        </w:rPr>
        <w:t xml:space="preserve">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lastRenderedPageBreak/>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r w:rsidR="00C26086">
        <w:rPr>
          <w:rFonts w:cs="Arial"/>
          <w:bCs/>
          <w:i/>
          <w:iCs/>
          <w:u w:val="single"/>
        </w:rPr>
        <w:t>.</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CF253B">
      <w:pPr>
        <w:pStyle w:val="Heading1"/>
        <w:numPr>
          <w:ilvl w:val="0"/>
          <w:numId w:val="2"/>
        </w:numPr>
      </w:pPr>
      <w:r w:rsidRPr="0034414E">
        <w:t>Procurement Process</w:t>
      </w:r>
    </w:p>
    <w:p w:rsidR="00E4627B" w:rsidRDefault="0082194B" w:rsidP="00E4627B">
      <w:pPr>
        <w:numPr>
          <w:ilvl w:val="1"/>
          <w:numId w:val="2"/>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rsidR="00E4627B" w:rsidRPr="00E4627B" w:rsidRDefault="00E4627B" w:rsidP="00E4627B">
      <w:pPr>
        <w:numPr>
          <w:ilvl w:val="1"/>
          <w:numId w:val="2"/>
        </w:numPr>
        <w:spacing w:after="240" w:line="276" w:lineRule="auto"/>
        <w:rPr>
          <w:rFonts w:cs="Arial"/>
          <w:szCs w:val="22"/>
        </w:rPr>
      </w:pPr>
      <w:r w:rsidRPr="00E4627B">
        <w:t>The procurement timetable will be:</w:t>
      </w:r>
    </w:p>
    <w:p w:rsidR="00F90280" w:rsidRDefault="00F90280" w:rsidP="00F90280">
      <w:r>
        <w:lastRenderedPageBreak/>
        <w:t xml:space="preserve">Deadline </w:t>
      </w:r>
      <w:r w:rsidR="00B63D48">
        <w:t>for clarification questions*: 31</w:t>
      </w:r>
      <w:bookmarkStart w:id="0" w:name="_GoBack"/>
      <w:bookmarkEnd w:id="0"/>
      <w:r>
        <w:t xml:space="preserve"> October 2017</w:t>
      </w:r>
    </w:p>
    <w:p w:rsidR="00F90280" w:rsidRPr="00E4627B" w:rsidRDefault="00F90280" w:rsidP="00F90280">
      <w:r w:rsidRPr="00E4627B">
        <w:t xml:space="preserve">Tender return deadline: completed proposal to be returned to HLF by </w:t>
      </w:r>
      <w:r>
        <w:t>11.00 am on 14 November 2017</w:t>
      </w:r>
      <w:r w:rsidRPr="00E4627B">
        <w:t>.</w:t>
      </w:r>
    </w:p>
    <w:p w:rsidR="00F90280" w:rsidRPr="00E4627B" w:rsidRDefault="00F90280" w:rsidP="00F90280">
      <w:r w:rsidRPr="00847015">
        <w:t xml:space="preserve"> Clarification meetings</w:t>
      </w:r>
      <w:r>
        <w:t>**</w:t>
      </w:r>
      <w:r w:rsidRPr="00847015">
        <w:t xml:space="preserve"> may be held with shortlisted consultants and w</w:t>
      </w:r>
      <w:r w:rsidRPr="00E4627B">
        <w:t xml:space="preserve">ould take place on </w:t>
      </w:r>
      <w:r>
        <w:t>week commencing 20 November 2017</w:t>
      </w:r>
    </w:p>
    <w:p w:rsidR="00F90280" w:rsidRPr="007D4608" w:rsidRDefault="00F90280" w:rsidP="00F90280">
      <w:r>
        <w:t>HLF will n</w:t>
      </w:r>
      <w:r w:rsidRPr="00E4627B">
        <w:t>otify</w:t>
      </w:r>
      <w:r>
        <w:t xml:space="preserve"> bidders of our procurement decision week commencing: 27 November 2017</w:t>
      </w:r>
      <w:r w:rsidRPr="00DB2497">
        <w:rPr>
          <w:i/>
        </w:rPr>
        <w:t>.</w:t>
      </w:r>
      <w:r>
        <w:br/>
      </w:r>
      <w:r>
        <w:br/>
        <w:t xml:space="preserve">*HLF will upload responses to clarification on our website, </w:t>
      </w:r>
      <w:hyperlink r:id="rId14" w:history="1">
        <w:r w:rsidRPr="00571E12">
          <w:rPr>
            <w:rStyle w:val="Hyperlink"/>
          </w:rPr>
          <w:t>here</w:t>
        </w:r>
      </w:hyperlink>
      <w:r>
        <w:t>.</w:t>
      </w:r>
      <w:r>
        <w:rPr>
          <w:i/>
        </w:rPr>
        <w:t xml:space="preserve">  </w:t>
      </w:r>
      <w:r>
        <w:t>Please note that we will make the anonymised questions, and our responses to them, available to everyone on the HLF website.</w:t>
      </w:r>
      <w:r>
        <w:rPr>
          <w:i/>
        </w:rPr>
        <w:br/>
      </w:r>
      <w:r>
        <w:rPr>
          <w:i/>
        </w:rPr>
        <w:br/>
      </w:r>
      <w:r>
        <w:t>*</w:t>
      </w:r>
      <w:r>
        <w:rPr>
          <w:i/>
        </w:rPr>
        <w:t>*</w:t>
      </w:r>
      <w:r>
        <w:t>We reserve the right to carry out clarifications if necessary; these may be carried out via email or by inviting bidders to attend a clarification meeting.  In order to ensure that both HLF’s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rsidR="00F90280" w:rsidRPr="00697E37" w:rsidRDefault="00F90280" w:rsidP="00F90280">
      <w:pPr>
        <w:rPr>
          <w:i/>
        </w:rPr>
      </w:pPr>
    </w:p>
    <w:p w:rsidR="00F90280" w:rsidRDefault="00F90280" w:rsidP="00F90280">
      <w:pPr>
        <w:pStyle w:val="ListParagraph"/>
        <w:numPr>
          <w:ilvl w:val="1"/>
          <w:numId w:val="2"/>
        </w:numPr>
        <w:spacing w:after="240"/>
        <w:contextualSpacing w:val="0"/>
      </w:pPr>
      <w:r w:rsidRPr="004D2C5F">
        <w:t xml:space="preserve">Your tender proposals must be sent electronically via e-mail before the tender return deadline of </w:t>
      </w:r>
      <w:r>
        <w:t xml:space="preserve">11.00 am on 14 November 2017 </w:t>
      </w:r>
      <w:r w:rsidRPr="004D2C5F">
        <w:t>to the following contact:</w:t>
      </w:r>
    </w:p>
    <w:p w:rsidR="00693F08" w:rsidRDefault="00693F08" w:rsidP="00693F08">
      <w:pPr>
        <w:pStyle w:val="ListParagraph"/>
        <w:spacing w:after="240"/>
      </w:pPr>
      <w:r>
        <w:t>Hilary Leavy</w:t>
      </w:r>
    </w:p>
    <w:p w:rsidR="00693F08" w:rsidRDefault="00693F08" w:rsidP="00693F08">
      <w:pPr>
        <w:pStyle w:val="ListParagraph"/>
        <w:spacing w:after="240"/>
      </w:pPr>
      <w:r>
        <w:t>Evaluation Manager</w:t>
      </w:r>
    </w:p>
    <w:p w:rsidR="00693F08" w:rsidRDefault="00693F08" w:rsidP="00693F08">
      <w:pPr>
        <w:pStyle w:val="ListParagraph"/>
        <w:spacing w:after="240"/>
      </w:pPr>
      <w:r>
        <w:t>Heritage Lottery Fund</w:t>
      </w:r>
    </w:p>
    <w:p w:rsidR="00693F08" w:rsidRDefault="00693F08" w:rsidP="00693F08">
      <w:pPr>
        <w:pStyle w:val="ListParagraph"/>
        <w:spacing w:after="240"/>
      </w:pPr>
      <w:r>
        <w:t>020 7591 6188</w:t>
      </w:r>
    </w:p>
    <w:p w:rsidR="00F90280" w:rsidRPr="00693F08" w:rsidRDefault="00693F08" w:rsidP="00693F08">
      <w:pPr>
        <w:pStyle w:val="ListParagraph"/>
        <w:spacing w:after="240"/>
      </w:pPr>
      <w:r>
        <w:t>hilary.leavy@hlf.org.uk</w:t>
      </w:r>
    </w:p>
    <w:p w:rsidR="00F90280" w:rsidRPr="00697E37" w:rsidRDefault="00F90280" w:rsidP="00F90280">
      <w:pPr>
        <w:numPr>
          <w:ilvl w:val="1"/>
          <w:numId w:val="2"/>
        </w:numPr>
        <w:spacing w:after="240" w:line="276" w:lineRule="auto"/>
        <w:rPr>
          <w:rFonts w:cs="Arial"/>
          <w:szCs w:val="22"/>
        </w:rPr>
      </w:pPr>
      <w:r w:rsidRPr="00E4627B">
        <w:rPr>
          <w:szCs w:val="22"/>
        </w:rPr>
        <w:t xml:space="preserve">Please visit the </w:t>
      </w:r>
      <w:hyperlink r:id="rId15" w:history="1">
        <w:r w:rsidRPr="00E4627B">
          <w:rPr>
            <w:rStyle w:val="Hyperlink"/>
            <w:rFonts w:cs="Arial"/>
            <w:szCs w:val="22"/>
          </w:rPr>
          <w:t>HLF website</w:t>
        </w:r>
      </w:hyperlink>
      <w:r w:rsidRPr="00E4627B">
        <w:rPr>
          <w:szCs w:val="22"/>
        </w:rPr>
        <w:t xml:space="preserve"> for further information about the organisation</w:t>
      </w:r>
      <w:r>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A103BE" w:rsidRPr="00783C36" w:rsidRDefault="00A103BE" w:rsidP="00A103BE">
      <w:pPr>
        <w:pStyle w:val="Heading1"/>
      </w:pPr>
      <w:r w:rsidRPr="00783C36">
        <w:lastRenderedPageBreak/>
        <w:t>Appendix: Accessibility and formatting guidance</w:t>
      </w:r>
    </w:p>
    <w:p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t>
      </w:r>
      <w:proofErr w:type="spellStart"/>
      <w:r>
        <w:t>WebAIM</w:t>
      </w:r>
      <w:proofErr w:type="spellEnd"/>
      <w:r>
        <w:t xml:space="preserve"> for more detailed information. </w:t>
      </w:r>
    </w:p>
    <w:p w:rsidR="00A103BE" w:rsidRPr="00164469" w:rsidRDefault="00A103BE" w:rsidP="00A103BE">
      <w:pPr>
        <w:pStyle w:val="Heading2"/>
      </w:pPr>
      <w:r w:rsidRPr="00164469">
        <w:t>Readability</w:t>
      </w:r>
    </w:p>
    <w:p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rsidR="00A103BE" w:rsidRPr="008C409D" w:rsidRDefault="00A103BE" w:rsidP="00A103BE">
      <w:pPr>
        <w:numPr>
          <w:ilvl w:val="0"/>
          <w:numId w:val="38"/>
        </w:numPr>
        <w:contextualSpacing/>
        <w:rPr>
          <w:szCs w:val="24"/>
          <w:lang w:eastAsia="en-GB"/>
        </w:rPr>
      </w:pPr>
      <w:r w:rsidRPr="008C409D">
        <w:rPr>
          <w:szCs w:val="24"/>
          <w:lang w:eastAsia="en-GB"/>
        </w:rPr>
        <w:t>The size of the font is at least 11pt;</w:t>
      </w:r>
    </w:p>
    <w:p w:rsidR="00A103BE" w:rsidRPr="008C409D" w:rsidRDefault="00A103BE" w:rsidP="00A103BE">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8C409D" w:rsidRDefault="00A103BE" w:rsidP="00A103BE">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rsidR="00A103BE" w:rsidRPr="008C409D" w:rsidRDefault="00A103BE" w:rsidP="00A103BE">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6" w:history="1">
        <w:r w:rsidRPr="008C409D">
          <w:rPr>
            <w:rFonts w:cs="Arial"/>
            <w:color w:val="0000FF"/>
            <w:u w:val="single"/>
          </w:rPr>
          <w:t>RNIB website</w:t>
        </w:r>
      </w:hyperlink>
      <w:r w:rsidRPr="008C409D">
        <w:rPr>
          <w:rFonts w:cs="Arial"/>
        </w:rPr>
        <w:t>.</w:t>
      </w:r>
    </w:p>
    <w:p w:rsidR="00A103BE" w:rsidRPr="00A103BE" w:rsidRDefault="00A103BE" w:rsidP="00A103BE">
      <w:pPr>
        <w:pStyle w:val="Heading2"/>
      </w:pPr>
      <w:r w:rsidRPr="00A103BE">
        <w:t>Accessibility</w:t>
      </w:r>
    </w:p>
    <w:p w:rsidR="00A103BE" w:rsidRPr="008C409D" w:rsidRDefault="00A103BE" w:rsidP="00A103BE">
      <w:r w:rsidRPr="008C409D">
        <w:t>Reports should adhere to the following guidelines:</w:t>
      </w:r>
    </w:p>
    <w:p w:rsidR="00A103BE" w:rsidRPr="006738C2" w:rsidRDefault="00A103BE" w:rsidP="00A103BE">
      <w:pPr>
        <w:pStyle w:val="Heading3"/>
      </w:pPr>
      <w:r w:rsidRPr="006738C2">
        <w:t>Formatting</w:t>
      </w:r>
    </w:p>
    <w:p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8C409D" w:rsidRDefault="00A103BE" w:rsidP="00A103BE">
      <w:pPr>
        <w:pStyle w:val="Heading3"/>
      </w:pPr>
      <w:bookmarkStart w:id="1" w:name="_Toc322438558"/>
      <w:r w:rsidRPr="008C409D">
        <w:t>Spacing</w:t>
      </w:r>
      <w:bookmarkEnd w:id="1"/>
    </w:p>
    <w:p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8C409D" w:rsidRDefault="00A103BE" w:rsidP="00A103BE">
      <w:pPr>
        <w:pStyle w:val="Heading3"/>
      </w:pPr>
      <w:r w:rsidRPr="008C409D">
        <w:t>Alternative text</w:t>
      </w:r>
    </w:p>
    <w:p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8C409D" w:rsidRDefault="00A103BE" w:rsidP="00A103BE">
      <w:pPr>
        <w:pStyle w:val="Heading3"/>
      </w:pPr>
      <w:r w:rsidRPr="008C409D">
        <w:t>Images</w:t>
      </w:r>
    </w:p>
    <w:p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rsidR="00A103BE" w:rsidRPr="008C409D" w:rsidRDefault="00A103BE" w:rsidP="00A103BE">
      <w:pPr>
        <w:pStyle w:val="Heading3"/>
      </w:pPr>
      <w:r w:rsidRPr="008C409D">
        <w:lastRenderedPageBreak/>
        <w:t>Tables</w:t>
      </w:r>
    </w:p>
    <w:p w:rsidR="00A103BE" w:rsidRPr="008C409D" w:rsidRDefault="00A103BE" w:rsidP="00A103BE">
      <w:pPr>
        <w:contextualSpacing/>
      </w:pPr>
      <w:r w:rsidRPr="008C409D">
        <w:t>These should be for used for presenting data and not for layout or design. They should also be simple, and include a descriptive title.</w:t>
      </w:r>
    </w:p>
    <w:p w:rsidR="00A103BE" w:rsidRPr="008C409D" w:rsidRDefault="00A103BE" w:rsidP="00A103BE">
      <w:pPr>
        <w:pStyle w:val="Heading3"/>
      </w:pPr>
      <w:r w:rsidRPr="008C409D">
        <w:t>Additional documents</w:t>
      </w:r>
    </w:p>
    <w:p w:rsidR="00A103BE" w:rsidRPr="008C409D" w:rsidRDefault="00A103BE" w:rsidP="00A103BE">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rsidR="00A103BE" w:rsidRPr="00164469" w:rsidRDefault="00A103BE" w:rsidP="00A103BE">
      <w:pPr>
        <w:pStyle w:val="Heading3"/>
      </w:pPr>
      <w:r w:rsidRPr="00164469">
        <w:t>Acknowledgement</w:t>
      </w:r>
    </w:p>
    <w:p w:rsidR="00A103BE" w:rsidRPr="00164469" w:rsidRDefault="00A103BE" w:rsidP="00A103BE">
      <w:pPr>
        <w:rPr>
          <w:rFonts w:cs="Arial"/>
        </w:rPr>
      </w:pPr>
      <w:r w:rsidRPr="00164469">
        <w:rPr>
          <w:rFonts w:cs="Arial"/>
        </w:rPr>
        <w:t xml:space="preserve">All reports should acknowledge HLF. Our logo can be found on the </w:t>
      </w:r>
      <w:hyperlink r:id="rId17" w:history="1">
        <w:r w:rsidRPr="00164469">
          <w:rPr>
            <w:rStyle w:val="Hyperlink"/>
            <w:rFonts w:cs="Arial"/>
          </w:rPr>
          <w:t>HLF website</w:t>
        </w:r>
      </w:hyperlink>
      <w:r w:rsidRPr="00164469">
        <w:rPr>
          <w:rFonts w:cs="Arial"/>
        </w:rPr>
        <w:t>.</w:t>
      </w:r>
    </w:p>
    <w:p w:rsidR="00A103BE" w:rsidRPr="00164469" w:rsidRDefault="00A103BE" w:rsidP="00A103BE">
      <w:pPr>
        <w:pStyle w:val="Heading3"/>
      </w:pPr>
      <w:r w:rsidRPr="00164469">
        <w:t>Further resources</w:t>
      </w:r>
    </w:p>
    <w:p w:rsidR="00A103BE" w:rsidRPr="00164469" w:rsidRDefault="00A103BE" w:rsidP="00A103BE">
      <w:pPr>
        <w:rPr>
          <w:rFonts w:cs="Arial"/>
        </w:rPr>
      </w:pPr>
      <w:r w:rsidRPr="00164469">
        <w:rPr>
          <w:rFonts w:cs="Arial"/>
        </w:rPr>
        <w:t>Please refer to the links below for further information:</w:t>
      </w:r>
    </w:p>
    <w:p w:rsidR="00A103BE" w:rsidRPr="00164469" w:rsidRDefault="00A103BE" w:rsidP="00A103BE">
      <w:pPr>
        <w:rPr>
          <w:rFonts w:cs="Arial"/>
        </w:rPr>
      </w:pPr>
    </w:p>
    <w:p w:rsidR="00A103BE" w:rsidRPr="00164469" w:rsidRDefault="00B63D48" w:rsidP="00A103BE">
      <w:pPr>
        <w:pStyle w:val="ListParagraph"/>
        <w:numPr>
          <w:ilvl w:val="0"/>
          <w:numId w:val="45"/>
        </w:numPr>
        <w:spacing w:after="200" w:line="276" w:lineRule="auto"/>
        <w:rPr>
          <w:rFonts w:cs="Arial"/>
        </w:rPr>
      </w:pPr>
      <w:hyperlink r:id="rId18" w:history="1">
        <w:r w:rsidR="00A103BE" w:rsidRPr="00164469">
          <w:rPr>
            <w:rStyle w:val="Hyperlink"/>
            <w:rFonts w:cs="Arial"/>
          </w:rPr>
          <w:t>'Microsoft Word: creating accessible documents' - webaim.org</w:t>
        </w:r>
      </w:hyperlink>
    </w:p>
    <w:p w:rsidR="00A103BE" w:rsidRPr="00164469" w:rsidRDefault="00B63D48" w:rsidP="00A103BE">
      <w:pPr>
        <w:pStyle w:val="ListParagraph"/>
        <w:numPr>
          <w:ilvl w:val="0"/>
          <w:numId w:val="45"/>
        </w:numPr>
        <w:spacing w:after="200" w:line="276" w:lineRule="auto"/>
        <w:rPr>
          <w:rFonts w:cs="Arial"/>
        </w:rPr>
      </w:pPr>
      <w:hyperlink r:id="rId19" w:history="1">
        <w:r w:rsidR="00A103BE" w:rsidRPr="00164469">
          <w:rPr>
            <w:rStyle w:val="Hyperlink"/>
            <w:rFonts w:cs="Arial"/>
          </w:rPr>
          <w:t>'How to create an accessible PDF' - GOV.UK</w:t>
        </w:r>
      </w:hyperlink>
    </w:p>
    <w:p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20" w:history="1">
        <w:r w:rsidRPr="00164469">
          <w:rPr>
            <w:rStyle w:val="Hyperlink"/>
            <w:rFonts w:cs="Arial"/>
          </w:rPr>
          <w:t>Shaw Trust</w:t>
        </w:r>
      </w:hyperlink>
      <w:r w:rsidRPr="00164469">
        <w:rPr>
          <w:rFonts w:cs="Arial"/>
        </w:rPr>
        <w:t xml:space="preserve"> and </w:t>
      </w:r>
      <w:hyperlink r:id="rId21" w:history="1">
        <w:r w:rsidRPr="00164469">
          <w:rPr>
            <w:rStyle w:val="Hyperlink"/>
            <w:rFonts w:cs="Arial"/>
          </w:rPr>
          <w:t>The Accessible Digital Documents Company</w:t>
        </w:r>
      </w:hyperlink>
      <w:r w:rsidRPr="00164469">
        <w:rPr>
          <w:rFonts w:cs="Arial"/>
        </w:rPr>
        <w:t>.</w:t>
      </w:r>
    </w:p>
    <w:p w:rsidR="00A103BE" w:rsidRPr="00164469" w:rsidRDefault="00A103BE" w:rsidP="00A103BE">
      <w:pPr>
        <w:rPr>
          <w:rFonts w:cs="Arial"/>
        </w:rPr>
      </w:pPr>
    </w:p>
    <w:p w:rsidR="00A103BE" w:rsidRPr="00164469" w:rsidRDefault="00A103BE" w:rsidP="00A103BE">
      <w:pPr>
        <w:rPr>
          <w:rFonts w:cs="Arial"/>
        </w:rPr>
      </w:pPr>
      <w:r w:rsidRPr="00164469">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63" w:rsidRDefault="00626563">
      <w:r>
        <w:separator/>
      </w:r>
    </w:p>
  </w:endnote>
  <w:endnote w:type="continuationSeparator" w:id="0">
    <w:p w:rsidR="00626563" w:rsidRDefault="0062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B63D48">
      <w:rPr>
        <w:rStyle w:val="PageNumber"/>
        <w:rFonts w:cs="Arial"/>
        <w:noProof/>
        <w:sz w:val="20"/>
      </w:rPr>
      <w:t>8</w:t>
    </w:r>
    <w:r w:rsidRPr="00FE2F89">
      <w:rPr>
        <w:rStyle w:val="PageNumber"/>
        <w:rFonts w:cs="Arial"/>
        <w:sz w:val="20"/>
      </w:rPr>
      <w:fldChar w:fldCharType="end"/>
    </w:r>
  </w:p>
  <w:p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Default="00847015"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847015" w:rsidRPr="00DC45DF" w:rsidRDefault="00847015" w:rsidP="00C93A35">
    <w:pPr>
      <w:pStyle w:val="Footer"/>
      <w:ind w:left="-1260" w:right="-1176"/>
      <w:jc w:val="center"/>
      <w:rPr>
        <w:sz w:val="20"/>
      </w:rPr>
    </w:pPr>
  </w:p>
  <w:p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63" w:rsidRDefault="00626563">
      <w:r>
        <w:separator/>
      </w:r>
    </w:p>
  </w:footnote>
  <w:footnote w:type="continuationSeparator" w:id="0">
    <w:p w:rsidR="00626563" w:rsidRDefault="00626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015" w:rsidRDefault="00847015"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5">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8">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1">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729D3D56"/>
    <w:multiLevelType w:val="hybridMultilevel"/>
    <w:tmpl w:val="66E02E9E"/>
    <w:lvl w:ilvl="0" w:tplc="4CCA552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C00FA3"/>
    <w:multiLevelType w:val="hybridMultilevel"/>
    <w:tmpl w:val="1E9ED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7">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1"/>
  </w:num>
  <w:num w:numId="3">
    <w:abstractNumId w:val="47"/>
  </w:num>
  <w:num w:numId="4">
    <w:abstractNumId w:val="34"/>
  </w:num>
  <w:num w:numId="5">
    <w:abstractNumId w:val="12"/>
  </w:num>
  <w:num w:numId="6">
    <w:abstractNumId w:val="20"/>
  </w:num>
  <w:num w:numId="7">
    <w:abstractNumId w:val="33"/>
  </w:num>
  <w:num w:numId="8">
    <w:abstractNumId w:val="4"/>
  </w:num>
  <w:num w:numId="9">
    <w:abstractNumId w:val="42"/>
  </w:num>
  <w:num w:numId="10">
    <w:abstractNumId w:val="23"/>
  </w:num>
  <w:num w:numId="11">
    <w:abstractNumId w:val="25"/>
  </w:num>
  <w:num w:numId="12">
    <w:abstractNumId w:val="13"/>
  </w:num>
  <w:num w:numId="13">
    <w:abstractNumId w:val="44"/>
  </w:num>
  <w:num w:numId="14">
    <w:abstractNumId w:val="2"/>
  </w:num>
  <w:num w:numId="15">
    <w:abstractNumId w:val="1"/>
  </w:num>
  <w:num w:numId="16">
    <w:abstractNumId w:val="22"/>
  </w:num>
  <w:num w:numId="17">
    <w:abstractNumId w:val="43"/>
  </w:num>
  <w:num w:numId="18">
    <w:abstractNumId w:val="17"/>
  </w:num>
  <w:num w:numId="19">
    <w:abstractNumId w:val="32"/>
  </w:num>
  <w:num w:numId="20">
    <w:abstractNumId w:val="21"/>
  </w:num>
  <w:num w:numId="21">
    <w:abstractNumId w:val="10"/>
  </w:num>
  <w:num w:numId="22">
    <w:abstractNumId w:val="5"/>
  </w:num>
  <w:num w:numId="23">
    <w:abstractNumId w:val="11"/>
  </w:num>
  <w:num w:numId="24">
    <w:abstractNumId w:val="35"/>
  </w:num>
  <w:num w:numId="25">
    <w:abstractNumId w:val="36"/>
  </w:num>
  <w:num w:numId="26">
    <w:abstractNumId w:val="14"/>
  </w:num>
  <w:num w:numId="27">
    <w:abstractNumId w:val="9"/>
  </w:num>
  <w:num w:numId="28">
    <w:abstractNumId w:val="7"/>
  </w:num>
  <w:num w:numId="29">
    <w:abstractNumId w:val="0"/>
  </w:num>
  <w:num w:numId="30">
    <w:abstractNumId w:val="26"/>
  </w:num>
  <w:num w:numId="31">
    <w:abstractNumId w:val="39"/>
  </w:num>
  <w:num w:numId="32">
    <w:abstractNumId w:val="30"/>
  </w:num>
  <w:num w:numId="33">
    <w:abstractNumId w:val="15"/>
  </w:num>
  <w:num w:numId="34">
    <w:abstractNumId w:val="40"/>
  </w:num>
  <w:num w:numId="35">
    <w:abstractNumId w:val="6"/>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8"/>
  </w:num>
  <w:num w:numId="39">
    <w:abstractNumId w:val="41"/>
  </w:num>
  <w:num w:numId="40">
    <w:abstractNumId w:val="37"/>
  </w:num>
  <w:num w:numId="41">
    <w:abstractNumId w:val="18"/>
  </w:num>
  <w:num w:numId="42">
    <w:abstractNumId w:val="24"/>
  </w:num>
  <w:num w:numId="43">
    <w:abstractNumId w:val="46"/>
  </w:num>
  <w:num w:numId="44">
    <w:abstractNumId w:val="19"/>
  </w:num>
  <w:num w:numId="45">
    <w:abstractNumId w:val="29"/>
  </w:num>
  <w:num w:numId="46">
    <w:abstractNumId w:val="16"/>
  </w:num>
  <w:num w:numId="47">
    <w:abstractNumId w:val="45"/>
  </w:num>
  <w:num w:numId="48">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63"/>
    <w:rsid w:val="00010655"/>
    <w:rsid w:val="000232DC"/>
    <w:rsid w:val="00023FF3"/>
    <w:rsid w:val="000302FA"/>
    <w:rsid w:val="00044308"/>
    <w:rsid w:val="00056B22"/>
    <w:rsid w:val="000600B0"/>
    <w:rsid w:val="00062F02"/>
    <w:rsid w:val="00065DF2"/>
    <w:rsid w:val="0007195E"/>
    <w:rsid w:val="00080479"/>
    <w:rsid w:val="00084D37"/>
    <w:rsid w:val="00087032"/>
    <w:rsid w:val="000B1288"/>
    <w:rsid w:val="000B4E51"/>
    <w:rsid w:val="000C0DC9"/>
    <w:rsid w:val="000C1537"/>
    <w:rsid w:val="000D05FE"/>
    <w:rsid w:val="000E4409"/>
    <w:rsid w:val="000E567C"/>
    <w:rsid w:val="00100665"/>
    <w:rsid w:val="0010334A"/>
    <w:rsid w:val="0011075E"/>
    <w:rsid w:val="0012514A"/>
    <w:rsid w:val="00130E94"/>
    <w:rsid w:val="00131128"/>
    <w:rsid w:val="001467AF"/>
    <w:rsid w:val="00156E03"/>
    <w:rsid w:val="00157446"/>
    <w:rsid w:val="00164796"/>
    <w:rsid w:val="00175979"/>
    <w:rsid w:val="00183CA1"/>
    <w:rsid w:val="001855AF"/>
    <w:rsid w:val="00193C0A"/>
    <w:rsid w:val="001A510E"/>
    <w:rsid w:val="001A5F4A"/>
    <w:rsid w:val="001B0833"/>
    <w:rsid w:val="001B0A45"/>
    <w:rsid w:val="001B3754"/>
    <w:rsid w:val="001B633C"/>
    <w:rsid w:val="001C3408"/>
    <w:rsid w:val="001D5F79"/>
    <w:rsid w:val="001E0220"/>
    <w:rsid w:val="0021230D"/>
    <w:rsid w:val="002205C6"/>
    <w:rsid w:val="00230F44"/>
    <w:rsid w:val="00234ED8"/>
    <w:rsid w:val="002409F5"/>
    <w:rsid w:val="00245CDA"/>
    <w:rsid w:val="00252DBB"/>
    <w:rsid w:val="00274270"/>
    <w:rsid w:val="00286E4F"/>
    <w:rsid w:val="0029057B"/>
    <w:rsid w:val="0029280A"/>
    <w:rsid w:val="002A3C07"/>
    <w:rsid w:val="002B736C"/>
    <w:rsid w:val="002B7A9B"/>
    <w:rsid w:val="002D1955"/>
    <w:rsid w:val="002D6957"/>
    <w:rsid w:val="002E6DE0"/>
    <w:rsid w:val="002F2E3D"/>
    <w:rsid w:val="0030091E"/>
    <w:rsid w:val="0030363F"/>
    <w:rsid w:val="00304AC1"/>
    <w:rsid w:val="00310EB0"/>
    <w:rsid w:val="003119D1"/>
    <w:rsid w:val="0032402A"/>
    <w:rsid w:val="00334094"/>
    <w:rsid w:val="00337632"/>
    <w:rsid w:val="003440FF"/>
    <w:rsid w:val="003653D3"/>
    <w:rsid w:val="00370C76"/>
    <w:rsid w:val="00372811"/>
    <w:rsid w:val="00374149"/>
    <w:rsid w:val="00390875"/>
    <w:rsid w:val="003A3FA3"/>
    <w:rsid w:val="003A6577"/>
    <w:rsid w:val="003B180F"/>
    <w:rsid w:val="003C0CAC"/>
    <w:rsid w:val="003C5497"/>
    <w:rsid w:val="003D688D"/>
    <w:rsid w:val="003E1863"/>
    <w:rsid w:val="003F5A07"/>
    <w:rsid w:val="004009CB"/>
    <w:rsid w:val="00406171"/>
    <w:rsid w:val="00410299"/>
    <w:rsid w:val="0042281E"/>
    <w:rsid w:val="004328A0"/>
    <w:rsid w:val="00437E6F"/>
    <w:rsid w:val="00441942"/>
    <w:rsid w:val="00457454"/>
    <w:rsid w:val="00481AC9"/>
    <w:rsid w:val="00485DF2"/>
    <w:rsid w:val="004A0E8D"/>
    <w:rsid w:val="004A1711"/>
    <w:rsid w:val="004A57F3"/>
    <w:rsid w:val="004A60CE"/>
    <w:rsid w:val="004B51F1"/>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43341"/>
    <w:rsid w:val="00551CF6"/>
    <w:rsid w:val="005641CE"/>
    <w:rsid w:val="00586075"/>
    <w:rsid w:val="0058712E"/>
    <w:rsid w:val="0059222F"/>
    <w:rsid w:val="005949B6"/>
    <w:rsid w:val="005956B7"/>
    <w:rsid w:val="005A4892"/>
    <w:rsid w:val="005A5561"/>
    <w:rsid w:val="005A5F69"/>
    <w:rsid w:val="005C5052"/>
    <w:rsid w:val="005D78CC"/>
    <w:rsid w:val="005E277C"/>
    <w:rsid w:val="005E2B6C"/>
    <w:rsid w:val="005F01C7"/>
    <w:rsid w:val="005F3B9A"/>
    <w:rsid w:val="005F7F3F"/>
    <w:rsid w:val="00601065"/>
    <w:rsid w:val="006018FA"/>
    <w:rsid w:val="006101AF"/>
    <w:rsid w:val="0061033A"/>
    <w:rsid w:val="0061657B"/>
    <w:rsid w:val="00617D51"/>
    <w:rsid w:val="00626563"/>
    <w:rsid w:val="00635984"/>
    <w:rsid w:val="0063783B"/>
    <w:rsid w:val="0064695C"/>
    <w:rsid w:val="00646D58"/>
    <w:rsid w:val="0066252D"/>
    <w:rsid w:val="00671D59"/>
    <w:rsid w:val="00690EA9"/>
    <w:rsid w:val="00693F08"/>
    <w:rsid w:val="00697E37"/>
    <w:rsid w:val="006B27B4"/>
    <w:rsid w:val="006D3573"/>
    <w:rsid w:val="006E4C66"/>
    <w:rsid w:val="006F375E"/>
    <w:rsid w:val="006F41A3"/>
    <w:rsid w:val="006F47FA"/>
    <w:rsid w:val="00701F0C"/>
    <w:rsid w:val="0070362F"/>
    <w:rsid w:val="00705DBB"/>
    <w:rsid w:val="00711011"/>
    <w:rsid w:val="00734E40"/>
    <w:rsid w:val="00743E11"/>
    <w:rsid w:val="00771262"/>
    <w:rsid w:val="00774489"/>
    <w:rsid w:val="00784E36"/>
    <w:rsid w:val="00785B3B"/>
    <w:rsid w:val="007A096A"/>
    <w:rsid w:val="007A3B89"/>
    <w:rsid w:val="007B4B9B"/>
    <w:rsid w:val="007C0317"/>
    <w:rsid w:val="007C29BF"/>
    <w:rsid w:val="007C40BC"/>
    <w:rsid w:val="007C41B3"/>
    <w:rsid w:val="007C42CF"/>
    <w:rsid w:val="007D3ABF"/>
    <w:rsid w:val="007D5EE0"/>
    <w:rsid w:val="007D7154"/>
    <w:rsid w:val="007D750C"/>
    <w:rsid w:val="007F22D4"/>
    <w:rsid w:val="00807DE0"/>
    <w:rsid w:val="0082194B"/>
    <w:rsid w:val="0082540F"/>
    <w:rsid w:val="008341BC"/>
    <w:rsid w:val="0084478B"/>
    <w:rsid w:val="00844F16"/>
    <w:rsid w:val="00847015"/>
    <w:rsid w:val="0086443C"/>
    <w:rsid w:val="0087078E"/>
    <w:rsid w:val="00871A60"/>
    <w:rsid w:val="00895A89"/>
    <w:rsid w:val="008A4DA4"/>
    <w:rsid w:val="008A5F51"/>
    <w:rsid w:val="008D34A7"/>
    <w:rsid w:val="008D4111"/>
    <w:rsid w:val="008E4937"/>
    <w:rsid w:val="008F25AD"/>
    <w:rsid w:val="009012D3"/>
    <w:rsid w:val="00914043"/>
    <w:rsid w:val="00916ECA"/>
    <w:rsid w:val="00933D4B"/>
    <w:rsid w:val="0097623A"/>
    <w:rsid w:val="00986BD2"/>
    <w:rsid w:val="009901B6"/>
    <w:rsid w:val="009970CC"/>
    <w:rsid w:val="009A0AFE"/>
    <w:rsid w:val="009B0D88"/>
    <w:rsid w:val="009C7A47"/>
    <w:rsid w:val="009D7BCE"/>
    <w:rsid w:val="009E147C"/>
    <w:rsid w:val="009E7000"/>
    <w:rsid w:val="009F733A"/>
    <w:rsid w:val="00A05123"/>
    <w:rsid w:val="00A06A66"/>
    <w:rsid w:val="00A103BE"/>
    <w:rsid w:val="00A13593"/>
    <w:rsid w:val="00A170FA"/>
    <w:rsid w:val="00A263F6"/>
    <w:rsid w:val="00A30CE9"/>
    <w:rsid w:val="00A313B1"/>
    <w:rsid w:val="00A3484F"/>
    <w:rsid w:val="00A37458"/>
    <w:rsid w:val="00A41848"/>
    <w:rsid w:val="00A52F79"/>
    <w:rsid w:val="00A61094"/>
    <w:rsid w:val="00A70C89"/>
    <w:rsid w:val="00A75320"/>
    <w:rsid w:val="00A75D04"/>
    <w:rsid w:val="00A75F0A"/>
    <w:rsid w:val="00A77FE7"/>
    <w:rsid w:val="00A80CE3"/>
    <w:rsid w:val="00A87B76"/>
    <w:rsid w:val="00A96B6A"/>
    <w:rsid w:val="00AA004E"/>
    <w:rsid w:val="00AA7BD2"/>
    <w:rsid w:val="00AB6493"/>
    <w:rsid w:val="00AC14FF"/>
    <w:rsid w:val="00AC368F"/>
    <w:rsid w:val="00AD2632"/>
    <w:rsid w:val="00AE0C61"/>
    <w:rsid w:val="00AE2088"/>
    <w:rsid w:val="00AE436A"/>
    <w:rsid w:val="00AF0729"/>
    <w:rsid w:val="00AF57EC"/>
    <w:rsid w:val="00B110D3"/>
    <w:rsid w:val="00B11CB8"/>
    <w:rsid w:val="00B3228E"/>
    <w:rsid w:val="00B42AA0"/>
    <w:rsid w:val="00B47373"/>
    <w:rsid w:val="00B50AEE"/>
    <w:rsid w:val="00B52005"/>
    <w:rsid w:val="00B61E0C"/>
    <w:rsid w:val="00B62348"/>
    <w:rsid w:val="00B63A91"/>
    <w:rsid w:val="00B63D48"/>
    <w:rsid w:val="00B66C11"/>
    <w:rsid w:val="00B831A0"/>
    <w:rsid w:val="00BA1623"/>
    <w:rsid w:val="00BA6125"/>
    <w:rsid w:val="00BB103E"/>
    <w:rsid w:val="00BB427C"/>
    <w:rsid w:val="00BC0577"/>
    <w:rsid w:val="00BC6770"/>
    <w:rsid w:val="00BD163B"/>
    <w:rsid w:val="00BD4BBE"/>
    <w:rsid w:val="00BF3A90"/>
    <w:rsid w:val="00C10ACC"/>
    <w:rsid w:val="00C10E1D"/>
    <w:rsid w:val="00C231DD"/>
    <w:rsid w:val="00C26086"/>
    <w:rsid w:val="00C507FB"/>
    <w:rsid w:val="00C519AF"/>
    <w:rsid w:val="00C53228"/>
    <w:rsid w:val="00C75004"/>
    <w:rsid w:val="00C75AE9"/>
    <w:rsid w:val="00C819A0"/>
    <w:rsid w:val="00C90AC1"/>
    <w:rsid w:val="00C93A35"/>
    <w:rsid w:val="00CB4ACA"/>
    <w:rsid w:val="00CB6EA7"/>
    <w:rsid w:val="00CC35EB"/>
    <w:rsid w:val="00CC78A2"/>
    <w:rsid w:val="00CD6F79"/>
    <w:rsid w:val="00CD7B50"/>
    <w:rsid w:val="00CE4902"/>
    <w:rsid w:val="00CF0490"/>
    <w:rsid w:val="00CF253B"/>
    <w:rsid w:val="00CF3EFA"/>
    <w:rsid w:val="00CF6323"/>
    <w:rsid w:val="00D00803"/>
    <w:rsid w:val="00D07124"/>
    <w:rsid w:val="00D10F1F"/>
    <w:rsid w:val="00D13DCB"/>
    <w:rsid w:val="00D14F64"/>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A555F"/>
    <w:rsid w:val="00DB2497"/>
    <w:rsid w:val="00DB5DDE"/>
    <w:rsid w:val="00DC02F5"/>
    <w:rsid w:val="00DC350E"/>
    <w:rsid w:val="00DC45DF"/>
    <w:rsid w:val="00DC6A91"/>
    <w:rsid w:val="00DD0D84"/>
    <w:rsid w:val="00DD29EF"/>
    <w:rsid w:val="00DD60E7"/>
    <w:rsid w:val="00DD78BF"/>
    <w:rsid w:val="00DF17DC"/>
    <w:rsid w:val="00DF1B4E"/>
    <w:rsid w:val="00DF2CD8"/>
    <w:rsid w:val="00DF3BDB"/>
    <w:rsid w:val="00E00936"/>
    <w:rsid w:val="00E01E77"/>
    <w:rsid w:val="00E041AC"/>
    <w:rsid w:val="00E04BF0"/>
    <w:rsid w:val="00E13941"/>
    <w:rsid w:val="00E13B2A"/>
    <w:rsid w:val="00E348BA"/>
    <w:rsid w:val="00E446E6"/>
    <w:rsid w:val="00E4627B"/>
    <w:rsid w:val="00E61EE1"/>
    <w:rsid w:val="00E63058"/>
    <w:rsid w:val="00E7611E"/>
    <w:rsid w:val="00E83D56"/>
    <w:rsid w:val="00E87C87"/>
    <w:rsid w:val="00E91339"/>
    <w:rsid w:val="00EA1F32"/>
    <w:rsid w:val="00EA3ED2"/>
    <w:rsid w:val="00EA7234"/>
    <w:rsid w:val="00ED0955"/>
    <w:rsid w:val="00ED2277"/>
    <w:rsid w:val="00ED3A60"/>
    <w:rsid w:val="00ED5E78"/>
    <w:rsid w:val="00EF0AA1"/>
    <w:rsid w:val="00EF1286"/>
    <w:rsid w:val="00EF48E1"/>
    <w:rsid w:val="00EF7FBA"/>
    <w:rsid w:val="00F03DBE"/>
    <w:rsid w:val="00F177A9"/>
    <w:rsid w:val="00F45311"/>
    <w:rsid w:val="00F471F2"/>
    <w:rsid w:val="00F52988"/>
    <w:rsid w:val="00F61389"/>
    <w:rsid w:val="00F61636"/>
    <w:rsid w:val="00F70CBA"/>
    <w:rsid w:val="00F721AD"/>
    <w:rsid w:val="00F75A7D"/>
    <w:rsid w:val="00F90280"/>
    <w:rsid w:val="00FA3F8F"/>
    <w:rsid w:val="00FB5F73"/>
    <w:rsid w:val="00FC222D"/>
    <w:rsid w:val="00FC2656"/>
    <w:rsid w:val="00FC278E"/>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743916550">
      <w:bodyDiv w:val="1"/>
      <w:marLeft w:val="0"/>
      <w:marRight w:val="0"/>
      <w:marTop w:val="0"/>
      <w:marBottom w:val="0"/>
      <w:divBdr>
        <w:top w:val="none" w:sz="0" w:space="0" w:color="auto"/>
        <w:left w:val="none" w:sz="0" w:space="0" w:color="auto"/>
        <w:bottom w:val="none" w:sz="0" w:space="0" w:color="auto"/>
        <w:right w:val="none" w:sz="0" w:space="0" w:color="auto"/>
      </w:divBdr>
    </w:div>
    <w:div w:id="15338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rs.org.uk/pdf/2013-04-23%20MRS%20SRA%20-%20DP%20Guidelines%20updated.pdf" TargetMode="External"/><Relationship Id="rId18" Type="http://schemas.openxmlformats.org/officeDocument/2006/relationships/hyperlink" Target="http://webaim.org/techniques/wo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ccessible-digital-documents.com/" TargetMode="External"/><Relationship Id="rId7" Type="http://schemas.openxmlformats.org/officeDocument/2006/relationships/footnotes" Target="footnotes.xml"/><Relationship Id="rId12" Type="http://schemas.openxmlformats.org/officeDocument/2006/relationships/hyperlink" Target="http://www.resilientheritagechecker.org.uk/" TargetMode="External"/><Relationship Id="rId17" Type="http://schemas.openxmlformats.org/officeDocument/2006/relationships/hyperlink" Target="http://www.hlf.org.uk/grantholders/acknowledgement/Pages/Logosandacknowledgement.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nib.org.uk/Pages/Home.aspx" TargetMode="External"/><Relationship Id="rId20" Type="http://schemas.openxmlformats.org/officeDocument/2006/relationships/hyperlink" Target="http://webacc.shaw-trust.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ilientheritagechecker.org.uk/"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lf.org.uk/Pages/Home.aspx" TargetMode="External"/><Relationship Id="rId23" Type="http://schemas.openxmlformats.org/officeDocument/2006/relationships/footer" Target="footer2.xml"/><Relationship Id="rId10" Type="http://schemas.openxmlformats.org/officeDocument/2006/relationships/hyperlink" Target="https://www.hlf.org.uk/looking-funding/our-grant-programmes/resilient-heritage" TargetMode="External"/><Relationship Id="rId19" Type="http://schemas.openxmlformats.org/officeDocument/2006/relationships/hyperlink" Target="https://www.gov.uk/guidance/how-to-publish-on-gov-uk/accessible-pdfs" TargetMode="External"/><Relationship Id="rId4" Type="http://schemas.microsoft.com/office/2007/relationships/stylesWithEffects" Target="stylesWithEffect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s://www.hlf.org.uk/about-us/corporate-information/transparency/tender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05044-A96A-4790-87EB-C42250DF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3251</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Gemma Thorpe</cp:lastModifiedBy>
  <cp:revision>7</cp:revision>
  <cp:lastPrinted>2012-10-15T14:38:00Z</cp:lastPrinted>
  <dcterms:created xsi:type="dcterms:W3CDTF">2017-10-05T11:53:00Z</dcterms:created>
  <dcterms:modified xsi:type="dcterms:W3CDTF">2017-10-18T10:03:00Z</dcterms:modified>
</cp:coreProperties>
</file>