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EAF05" w14:textId="77777777" w:rsidR="00102AC0" w:rsidRPr="00AB361B" w:rsidRDefault="00664B57" w:rsidP="006E61A7">
      <w:pPr>
        <w:jc w:val="center"/>
        <w:rPr>
          <w:rFonts w:ascii="Arial" w:hAnsi="Arial" w:cs="Arial"/>
          <w:b/>
          <w:sz w:val="28"/>
          <w:szCs w:val="28"/>
          <w:u w:val="single"/>
        </w:rPr>
      </w:pPr>
      <w:r w:rsidRPr="00AB361B">
        <w:rPr>
          <w:rFonts w:ascii="Arial" w:hAnsi="Arial" w:cs="Arial"/>
          <w:b/>
          <w:sz w:val="28"/>
          <w:szCs w:val="28"/>
          <w:u w:val="single"/>
        </w:rPr>
        <w:t>STATEMENT OF REQUIREMENT</w:t>
      </w:r>
    </w:p>
    <w:p w14:paraId="3EBD36FF" w14:textId="4C144E82" w:rsidR="006E61A7" w:rsidRDefault="00746C61" w:rsidP="006E61A7">
      <w:pPr>
        <w:jc w:val="center"/>
        <w:rPr>
          <w:rFonts w:ascii="Arial" w:hAnsi="Arial" w:cs="Arial"/>
          <w:b/>
          <w:sz w:val="28"/>
          <w:szCs w:val="28"/>
        </w:rPr>
      </w:pPr>
      <w:r>
        <w:rPr>
          <w:rFonts w:ascii="Arial" w:hAnsi="Arial" w:cs="Arial"/>
          <w:b/>
          <w:sz w:val="28"/>
          <w:szCs w:val="28"/>
        </w:rPr>
        <w:t xml:space="preserve">CCDT/546 – Framework for </w:t>
      </w:r>
      <w:r w:rsidR="000A3F2F">
        <w:rPr>
          <w:rFonts w:ascii="Arial" w:hAnsi="Arial" w:cs="Arial"/>
          <w:b/>
          <w:sz w:val="28"/>
          <w:szCs w:val="28"/>
        </w:rPr>
        <w:t>Reasonable Adjustments for D</w:t>
      </w:r>
      <w:r w:rsidR="00AB361B">
        <w:rPr>
          <w:rFonts w:ascii="Arial" w:hAnsi="Arial" w:cs="Arial"/>
          <w:b/>
          <w:sz w:val="28"/>
          <w:szCs w:val="28"/>
        </w:rPr>
        <w:t xml:space="preserve">efence </w:t>
      </w:r>
      <w:r w:rsidR="000A3F2F">
        <w:rPr>
          <w:rFonts w:ascii="Arial" w:hAnsi="Arial" w:cs="Arial"/>
          <w:b/>
          <w:sz w:val="28"/>
          <w:szCs w:val="28"/>
        </w:rPr>
        <w:t>E</w:t>
      </w:r>
      <w:r w:rsidR="00AB361B">
        <w:rPr>
          <w:rFonts w:ascii="Arial" w:hAnsi="Arial" w:cs="Arial"/>
          <w:b/>
          <w:sz w:val="28"/>
          <w:szCs w:val="28"/>
        </w:rPr>
        <w:t>quipment &amp; Support</w:t>
      </w:r>
      <w:r w:rsidR="0068132F">
        <w:rPr>
          <w:rFonts w:ascii="Arial" w:hAnsi="Arial" w:cs="Arial"/>
          <w:b/>
          <w:sz w:val="28"/>
          <w:szCs w:val="28"/>
        </w:rPr>
        <w:t xml:space="preserve"> Employees with D</w:t>
      </w:r>
      <w:bookmarkStart w:id="0" w:name="_GoBack"/>
      <w:bookmarkEnd w:id="0"/>
      <w:r w:rsidR="000A3F2F">
        <w:rPr>
          <w:rFonts w:ascii="Arial" w:hAnsi="Arial" w:cs="Arial"/>
          <w:b/>
          <w:sz w:val="28"/>
          <w:szCs w:val="28"/>
        </w:rPr>
        <w:t>isabilities</w:t>
      </w:r>
    </w:p>
    <w:p w14:paraId="7F03D048" w14:textId="7B479B3D" w:rsidR="000A3F2F" w:rsidRDefault="006E61A7" w:rsidP="006E61A7">
      <w:pPr>
        <w:rPr>
          <w:rFonts w:ascii="Arial" w:hAnsi="Arial" w:cs="Arial"/>
          <w:b/>
        </w:rPr>
      </w:pPr>
      <w:r w:rsidRPr="006E61A7">
        <w:rPr>
          <w:rFonts w:ascii="Arial" w:hAnsi="Arial" w:cs="Arial"/>
          <w:b/>
        </w:rPr>
        <w:t>Background</w:t>
      </w:r>
    </w:p>
    <w:p w14:paraId="4BEFC157" w14:textId="77777777" w:rsidR="000A3F2F" w:rsidRDefault="000A3F2F" w:rsidP="000A3F2F">
      <w:pPr>
        <w:pStyle w:val="Paragraph"/>
        <w:tabs>
          <w:tab w:val="clear" w:pos="1152"/>
          <w:tab w:val="left" w:pos="0"/>
        </w:tabs>
        <w:spacing w:before="0" w:after="0"/>
        <w:ind w:left="0" w:firstLine="0"/>
        <w:rPr>
          <w:rFonts w:ascii="Arial" w:hAnsi="Arial" w:cs="Arial"/>
          <w:color w:val="0B0C0C"/>
          <w:sz w:val="22"/>
          <w:shd w:val="clear" w:color="auto" w:fill="FFFFFF"/>
        </w:rPr>
      </w:pPr>
      <w:bookmarkStart w:id="1" w:name="_Hlk524679210"/>
      <w:r>
        <w:rPr>
          <w:rFonts w:ascii="Arial" w:hAnsi="Arial" w:cs="Arial"/>
          <w:sz w:val="22"/>
        </w:rPr>
        <w:t xml:space="preserve">The Equalities Act 2010 </w:t>
      </w:r>
      <w:r>
        <w:rPr>
          <w:rFonts w:ascii="Arial" w:hAnsi="Arial" w:cs="Arial"/>
          <w:color w:val="0B0C0C"/>
          <w:sz w:val="22"/>
          <w:shd w:val="clear" w:color="auto" w:fill="FFFFFF"/>
        </w:rPr>
        <w:t xml:space="preserve">legally protects people from discrimination in the workplace and in wider society. The Act requires employers to make reasonable adjustments for disabled members of staff to </w:t>
      </w:r>
      <w:r>
        <w:rPr>
          <w:rFonts w:ascii="Arial" w:hAnsi="Arial" w:cs="Arial"/>
          <w:sz w:val="22"/>
        </w:rPr>
        <w:t>any elements of the job which place a disabled person at a substantial disadvantage compared to non-disabled people.</w:t>
      </w:r>
    </w:p>
    <w:p w14:paraId="47D8F475" w14:textId="77777777" w:rsidR="000A3F2F" w:rsidRDefault="000A3F2F" w:rsidP="000A3F2F">
      <w:pPr>
        <w:pStyle w:val="Paragraph"/>
        <w:tabs>
          <w:tab w:val="clear" w:pos="1152"/>
          <w:tab w:val="left" w:pos="0"/>
        </w:tabs>
        <w:spacing w:before="0" w:after="0"/>
        <w:ind w:left="0" w:firstLine="0"/>
        <w:rPr>
          <w:rFonts w:ascii="Arial" w:hAnsi="Arial" w:cs="Arial"/>
          <w:color w:val="0B0C0C"/>
          <w:sz w:val="22"/>
          <w:shd w:val="clear" w:color="auto" w:fill="FFFFFF"/>
        </w:rPr>
      </w:pPr>
    </w:p>
    <w:p w14:paraId="6C072D62" w14:textId="75B99BCB" w:rsidR="000A3F2F" w:rsidRDefault="000A3F2F" w:rsidP="000A3F2F">
      <w:pPr>
        <w:pStyle w:val="Paragraph"/>
        <w:tabs>
          <w:tab w:val="clear" w:pos="1152"/>
          <w:tab w:val="left" w:pos="0"/>
        </w:tabs>
        <w:spacing w:before="0" w:after="0"/>
        <w:ind w:left="0" w:firstLine="0"/>
        <w:rPr>
          <w:rFonts w:ascii="Arial" w:hAnsi="Arial" w:cs="Arial"/>
          <w:color w:val="0B0C0C"/>
          <w:sz w:val="22"/>
          <w:shd w:val="clear" w:color="auto" w:fill="FFFFFF"/>
        </w:rPr>
      </w:pPr>
      <w:r>
        <w:rPr>
          <w:rFonts w:ascii="Arial" w:hAnsi="Arial" w:cs="Arial"/>
          <w:color w:val="0B0C0C"/>
          <w:sz w:val="22"/>
          <w:shd w:val="clear" w:color="auto" w:fill="FFFFFF"/>
        </w:rPr>
        <w:t>The provision of goods and services relating to reasonable adjustments is therefore a requirement of both the Equalities Act and the Public Sector Equality Duty.</w:t>
      </w:r>
      <w:bookmarkEnd w:id="1"/>
    </w:p>
    <w:p w14:paraId="6C9A9F5F" w14:textId="161BED62" w:rsidR="000A3F2F" w:rsidRDefault="000A3F2F" w:rsidP="000A3F2F">
      <w:pPr>
        <w:pStyle w:val="Paragraph"/>
        <w:tabs>
          <w:tab w:val="clear" w:pos="1152"/>
          <w:tab w:val="left" w:pos="0"/>
        </w:tabs>
        <w:spacing w:before="0" w:after="0"/>
        <w:ind w:left="0" w:firstLine="0"/>
        <w:rPr>
          <w:rFonts w:ascii="Arial" w:hAnsi="Arial" w:cs="Arial"/>
          <w:color w:val="0B0C0C"/>
          <w:sz w:val="22"/>
          <w:shd w:val="clear" w:color="auto" w:fill="FFFFFF"/>
        </w:rPr>
      </w:pPr>
    </w:p>
    <w:p w14:paraId="486E9249" w14:textId="25642392" w:rsidR="000A3F2F" w:rsidRDefault="000A3F2F" w:rsidP="000A3F2F">
      <w:pPr>
        <w:pStyle w:val="Paragraph"/>
        <w:tabs>
          <w:tab w:val="clear" w:pos="1152"/>
          <w:tab w:val="left" w:pos="0"/>
        </w:tabs>
        <w:spacing w:before="0" w:after="0"/>
        <w:ind w:left="0" w:firstLine="0"/>
        <w:rPr>
          <w:rFonts w:ascii="Arial" w:hAnsi="Arial" w:cs="Arial"/>
          <w:sz w:val="22"/>
        </w:rPr>
      </w:pPr>
      <w:r w:rsidRPr="000A3F2F">
        <w:rPr>
          <w:rFonts w:ascii="Arial" w:hAnsi="Arial" w:cs="Arial"/>
          <w:sz w:val="22"/>
        </w:rPr>
        <w:t>S</w:t>
      </w:r>
      <w:r>
        <w:rPr>
          <w:rFonts w:ascii="Arial" w:hAnsi="Arial" w:cs="Arial"/>
          <w:sz w:val="22"/>
        </w:rPr>
        <w:t>pend relating to reasonable adjustments for</w:t>
      </w:r>
      <w:r w:rsidRPr="000A3F2F">
        <w:rPr>
          <w:rFonts w:ascii="Arial" w:hAnsi="Arial" w:cs="Arial"/>
          <w:sz w:val="22"/>
        </w:rPr>
        <w:t xml:space="preserve"> members of staff in DE&amp;S </w:t>
      </w:r>
      <w:r>
        <w:rPr>
          <w:rFonts w:ascii="Arial" w:hAnsi="Arial" w:cs="Arial"/>
          <w:sz w:val="22"/>
        </w:rPr>
        <w:t xml:space="preserve">(excluding infrastructure and some IT provision) </w:t>
      </w:r>
      <w:r w:rsidRPr="000A3F2F">
        <w:rPr>
          <w:rFonts w:ascii="Arial" w:hAnsi="Arial" w:cs="Arial"/>
          <w:sz w:val="22"/>
        </w:rPr>
        <w:t>is not centrally managed</w:t>
      </w:r>
      <w:r>
        <w:rPr>
          <w:rFonts w:ascii="Arial" w:hAnsi="Arial" w:cs="Arial"/>
          <w:sz w:val="22"/>
        </w:rPr>
        <w:t xml:space="preserve"> at present</w:t>
      </w:r>
      <w:r w:rsidRPr="000A3F2F">
        <w:rPr>
          <w:rFonts w:ascii="Arial" w:hAnsi="Arial" w:cs="Arial"/>
          <w:sz w:val="22"/>
        </w:rPr>
        <w:t xml:space="preserve">. </w:t>
      </w:r>
      <w:r>
        <w:rPr>
          <w:rFonts w:ascii="Arial" w:hAnsi="Arial" w:cs="Arial"/>
          <w:sz w:val="22"/>
        </w:rPr>
        <w:t>The majority of smaller reasonable adjustments are</w:t>
      </w:r>
      <w:r w:rsidRPr="000A3F2F">
        <w:rPr>
          <w:rFonts w:ascii="Arial" w:hAnsi="Arial" w:cs="Arial"/>
          <w:sz w:val="22"/>
        </w:rPr>
        <w:t xml:space="preserve"> currently provided on an ad-hoc basis </w:t>
      </w:r>
      <w:r>
        <w:rPr>
          <w:rFonts w:ascii="Arial" w:hAnsi="Arial" w:cs="Arial"/>
          <w:sz w:val="22"/>
        </w:rPr>
        <w:t xml:space="preserve">by business units and often </w:t>
      </w:r>
      <w:r w:rsidRPr="000A3F2F">
        <w:rPr>
          <w:rFonts w:ascii="Arial" w:hAnsi="Arial" w:cs="Arial"/>
          <w:sz w:val="22"/>
        </w:rPr>
        <w:t xml:space="preserve">paid using </w:t>
      </w:r>
      <w:proofErr w:type="spellStart"/>
      <w:proofErr w:type="gramStart"/>
      <w:r w:rsidRPr="000A3F2F">
        <w:rPr>
          <w:rFonts w:ascii="Arial" w:hAnsi="Arial" w:cs="Arial"/>
          <w:sz w:val="22"/>
        </w:rPr>
        <w:t>a</w:t>
      </w:r>
      <w:proofErr w:type="spellEnd"/>
      <w:proofErr w:type="gramEnd"/>
      <w:r w:rsidRPr="000A3F2F">
        <w:rPr>
          <w:rFonts w:ascii="Arial" w:hAnsi="Arial" w:cs="Arial"/>
          <w:sz w:val="22"/>
        </w:rPr>
        <w:t xml:space="preserve"> Electronic Procurement Card (EPC). There is no </w:t>
      </w:r>
      <w:r w:rsidR="00AB361B">
        <w:rPr>
          <w:rFonts w:ascii="Arial" w:hAnsi="Arial" w:cs="Arial"/>
          <w:sz w:val="22"/>
        </w:rPr>
        <w:t>clear route to</w:t>
      </w:r>
      <w:r>
        <w:rPr>
          <w:rFonts w:ascii="Arial" w:hAnsi="Arial" w:cs="Arial"/>
          <w:sz w:val="22"/>
        </w:rPr>
        <w:t xml:space="preserve"> market, </w:t>
      </w:r>
      <w:r w:rsidRPr="000A3F2F">
        <w:rPr>
          <w:rFonts w:ascii="Arial" w:hAnsi="Arial" w:cs="Arial"/>
          <w:sz w:val="22"/>
        </w:rPr>
        <w:t>contract and associated SLAs in place for this provision, resulting in an untracked spe</w:t>
      </w:r>
      <w:r w:rsidR="00AB361B">
        <w:rPr>
          <w:rFonts w:ascii="Arial" w:hAnsi="Arial" w:cs="Arial"/>
          <w:sz w:val="22"/>
        </w:rPr>
        <w:t>nd and inconsistent/delayed</w:t>
      </w:r>
      <w:r w:rsidR="00D254C8">
        <w:rPr>
          <w:rFonts w:ascii="Arial" w:hAnsi="Arial" w:cs="Arial"/>
          <w:sz w:val="22"/>
        </w:rPr>
        <w:t>/</w:t>
      </w:r>
      <w:r>
        <w:rPr>
          <w:rFonts w:ascii="Arial" w:hAnsi="Arial" w:cs="Arial"/>
          <w:sz w:val="22"/>
        </w:rPr>
        <w:t>incomplete delivery</w:t>
      </w:r>
      <w:r w:rsidRPr="000A3F2F">
        <w:rPr>
          <w:rFonts w:ascii="Arial" w:hAnsi="Arial" w:cs="Arial"/>
          <w:sz w:val="22"/>
        </w:rPr>
        <w:t>. As the spend profile is shared across various business areas, DE&amp;S is at risk of exceeding the thresholds above which a service must be competed for under the Public Contract R</w:t>
      </w:r>
      <w:r>
        <w:rPr>
          <w:rFonts w:ascii="Arial" w:hAnsi="Arial" w:cs="Arial"/>
          <w:sz w:val="22"/>
        </w:rPr>
        <w:t>egulations. Many of the current providers (e.g. translation services) are</w:t>
      </w:r>
      <w:r w:rsidRPr="000A3F2F">
        <w:rPr>
          <w:rFonts w:ascii="Arial" w:hAnsi="Arial" w:cs="Arial"/>
          <w:sz w:val="22"/>
        </w:rPr>
        <w:t xml:space="preserve"> not CP&amp;F enabled and payments are made using EPC which is not appropriate as a long-term solution.</w:t>
      </w:r>
    </w:p>
    <w:p w14:paraId="78C8A295" w14:textId="44122531" w:rsidR="000A3F2F" w:rsidRDefault="000A3F2F" w:rsidP="000A3F2F">
      <w:pPr>
        <w:pStyle w:val="Paragraph"/>
        <w:tabs>
          <w:tab w:val="clear" w:pos="1152"/>
          <w:tab w:val="left" w:pos="0"/>
        </w:tabs>
        <w:spacing w:before="0" w:after="0"/>
        <w:ind w:left="0" w:firstLine="0"/>
        <w:rPr>
          <w:rFonts w:ascii="Arial" w:hAnsi="Arial" w:cs="Arial"/>
          <w:sz w:val="22"/>
        </w:rPr>
      </w:pPr>
    </w:p>
    <w:p w14:paraId="07299468" w14:textId="3811495D" w:rsidR="000A3F2F" w:rsidRDefault="000A3F2F" w:rsidP="000A3F2F">
      <w:pPr>
        <w:pStyle w:val="Paragraph"/>
        <w:tabs>
          <w:tab w:val="clear" w:pos="1152"/>
          <w:tab w:val="left" w:pos="0"/>
        </w:tabs>
        <w:spacing w:before="0" w:after="0"/>
        <w:ind w:left="0" w:firstLine="0"/>
        <w:rPr>
          <w:rFonts w:ascii="Arial" w:hAnsi="Arial" w:cs="Arial"/>
          <w:sz w:val="22"/>
        </w:rPr>
      </w:pPr>
      <w:r>
        <w:rPr>
          <w:rFonts w:ascii="Arial" w:hAnsi="Arial" w:cs="Arial"/>
          <w:sz w:val="22"/>
        </w:rPr>
        <w:t>By setting up enabling arrangements with providers for commonly procured reasonable adjustment items, employees with disabilities will have a clear route to market, resulting in more efficient provision of reasonable adjustments and the ability for DE&amp;S to track its spend.</w:t>
      </w:r>
    </w:p>
    <w:p w14:paraId="0A38444A" w14:textId="313AC667" w:rsidR="000A3F2F" w:rsidRDefault="000A3F2F" w:rsidP="000A3F2F">
      <w:pPr>
        <w:pStyle w:val="Paragraph"/>
        <w:tabs>
          <w:tab w:val="clear" w:pos="1152"/>
          <w:tab w:val="left" w:pos="0"/>
        </w:tabs>
        <w:spacing w:before="0" w:after="0"/>
        <w:ind w:left="0" w:firstLine="0"/>
        <w:rPr>
          <w:rFonts w:ascii="Arial" w:hAnsi="Arial" w:cs="Arial"/>
          <w:sz w:val="22"/>
        </w:rPr>
      </w:pPr>
    </w:p>
    <w:p w14:paraId="36DA2E0B" w14:textId="14096491" w:rsidR="000A3F2F" w:rsidRDefault="000A3F2F" w:rsidP="000A3F2F">
      <w:pPr>
        <w:pStyle w:val="Paragraph"/>
        <w:tabs>
          <w:tab w:val="clear" w:pos="1152"/>
          <w:tab w:val="left" w:pos="0"/>
        </w:tabs>
        <w:spacing w:before="0" w:after="0"/>
        <w:ind w:left="0" w:firstLine="0"/>
        <w:rPr>
          <w:rFonts w:ascii="Arial" w:hAnsi="Arial" w:cs="Arial"/>
          <w:sz w:val="22"/>
        </w:rPr>
      </w:pPr>
      <w:r>
        <w:rPr>
          <w:rFonts w:ascii="Arial" w:hAnsi="Arial" w:cs="Arial"/>
          <w:sz w:val="22"/>
        </w:rPr>
        <w:t>Many of the items that fall under this requirement are commonly available and not specific to DE&amp;S. Only IT peripherals</w:t>
      </w:r>
      <w:r w:rsidR="00662DEB">
        <w:rPr>
          <w:rFonts w:ascii="Arial" w:hAnsi="Arial" w:cs="Arial"/>
          <w:sz w:val="22"/>
        </w:rPr>
        <w:t xml:space="preserve"> require more specialist knowledge of MOD IT and these are out of scope.</w:t>
      </w:r>
    </w:p>
    <w:p w14:paraId="4763C560" w14:textId="5997BE47" w:rsidR="00746C61" w:rsidRDefault="00746C61" w:rsidP="000A3F2F">
      <w:pPr>
        <w:pStyle w:val="Paragraph"/>
        <w:tabs>
          <w:tab w:val="clear" w:pos="1152"/>
          <w:tab w:val="left" w:pos="0"/>
        </w:tabs>
        <w:spacing w:before="0" w:after="0"/>
        <w:ind w:left="0" w:firstLine="0"/>
        <w:rPr>
          <w:rFonts w:ascii="Arial" w:hAnsi="Arial" w:cs="Arial"/>
          <w:sz w:val="22"/>
        </w:rPr>
      </w:pPr>
    </w:p>
    <w:p w14:paraId="2D6B91CB" w14:textId="77CE78BB" w:rsidR="00746C61" w:rsidRDefault="00746C61" w:rsidP="000A3F2F">
      <w:pPr>
        <w:pStyle w:val="Paragraph"/>
        <w:tabs>
          <w:tab w:val="clear" w:pos="1152"/>
          <w:tab w:val="left" w:pos="0"/>
        </w:tabs>
        <w:spacing w:before="0" w:after="0"/>
        <w:ind w:left="0" w:firstLine="0"/>
        <w:rPr>
          <w:rFonts w:ascii="Arial" w:hAnsi="Arial" w:cs="Arial"/>
          <w:b/>
          <w:sz w:val="22"/>
        </w:rPr>
      </w:pPr>
      <w:r w:rsidRPr="00AB361B">
        <w:rPr>
          <w:rFonts w:ascii="Arial" w:hAnsi="Arial" w:cs="Arial"/>
          <w:b/>
          <w:sz w:val="22"/>
        </w:rPr>
        <w:t xml:space="preserve">Call Off </w:t>
      </w:r>
    </w:p>
    <w:p w14:paraId="46FAA28E" w14:textId="77777777" w:rsidR="00AB361B" w:rsidRPr="00AB361B" w:rsidRDefault="00AB361B" w:rsidP="000A3F2F">
      <w:pPr>
        <w:pStyle w:val="Paragraph"/>
        <w:tabs>
          <w:tab w:val="clear" w:pos="1152"/>
          <w:tab w:val="left" w:pos="0"/>
        </w:tabs>
        <w:spacing w:before="0" w:after="0"/>
        <w:ind w:left="0" w:firstLine="0"/>
        <w:rPr>
          <w:rFonts w:ascii="Arial" w:hAnsi="Arial" w:cs="Arial"/>
          <w:b/>
          <w:sz w:val="22"/>
        </w:rPr>
      </w:pPr>
    </w:p>
    <w:p w14:paraId="5E968B65" w14:textId="2A8F04ED" w:rsidR="00746C61" w:rsidRDefault="00746C61" w:rsidP="000A3F2F">
      <w:pPr>
        <w:pStyle w:val="Paragraph"/>
        <w:tabs>
          <w:tab w:val="clear" w:pos="1152"/>
          <w:tab w:val="left" w:pos="0"/>
        </w:tabs>
        <w:spacing w:before="0" w:after="0"/>
        <w:ind w:left="0" w:firstLine="0"/>
        <w:rPr>
          <w:rFonts w:ascii="Arial" w:hAnsi="Arial" w:cs="Arial"/>
          <w:sz w:val="22"/>
        </w:rPr>
      </w:pPr>
      <w:proofErr w:type="gramStart"/>
      <w:r>
        <w:rPr>
          <w:rFonts w:ascii="Arial" w:hAnsi="Arial" w:cs="Arial"/>
          <w:sz w:val="22"/>
        </w:rPr>
        <w:t>On the basis of</w:t>
      </w:r>
      <w:proofErr w:type="gramEnd"/>
      <w:r>
        <w:rPr>
          <w:rFonts w:ascii="Arial" w:hAnsi="Arial" w:cs="Arial"/>
          <w:sz w:val="22"/>
        </w:rPr>
        <w:t xml:space="preserve"> the Tender, the selected supplier(s) will enter into a Framework Agreement for Lot(s) to provide the Goods and Services on a call off basis in accordance with this Framework Agreement. Suppliers will be notified of Quantities and Delivery Timescales as necessary</w:t>
      </w:r>
      <w:r w:rsidR="00AB361B">
        <w:rPr>
          <w:rFonts w:ascii="Arial" w:hAnsi="Arial" w:cs="Arial"/>
          <w:sz w:val="22"/>
        </w:rPr>
        <w:t xml:space="preserve"> using </w:t>
      </w:r>
      <w:proofErr w:type="spellStart"/>
      <w:r w:rsidR="00AB361B">
        <w:rPr>
          <w:rFonts w:ascii="Arial" w:hAnsi="Arial" w:cs="Arial"/>
          <w:sz w:val="22"/>
        </w:rPr>
        <w:t>aTasking</w:t>
      </w:r>
      <w:proofErr w:type="spellEnd"/>
      <w:r w:rsidR="00AB361B">
        <w:rPr>
          <w:rFonts w:ascii="Arial" w:hAnsi="Arial" w:cs="Arial"/>
          <w:sz w:val="22"/>
        </w:rPr>
        <w:t xml:space="preserve"> Mechanism</w:t>
      </w:r>
      <w:r>
        <w:rPr>
          <w:rFonts w:ascii="Arial" w:hAnsi="Arial" w:cs="Arial"/>
          <w:sz w:val="22"/>
        </w:rPr>
        <w:t>.</w:t>
      </w:r>
      <w:r w:rsidR="00AB361B">
        <w:rPr>
          <w:rFonts w:ascii="Arial" w:hAnsi="Arial" w:cs="Arial"/>
          <w:sz w:val="22"/>
        </w:rPr>
        <w:t xml:space="preserve"> Suppliers can bid for one lot or all the lots.</w:t>
      </w:r>
    </w:p>
    <w:p w14:paraId="0AD05E76" w14:textId="76C49AEC" w:rsidR="002F29E2" w:rsidRDefault="002F29E2" w:rsidP="000A3F2F">
      <w:pPr>
        <w:pStyle w:val="Paragraph"/>
        <w:tabs>
          <w:tab w:val="clear" w:pos="1152"/>
          <w:tab w:val="left" w:pos="0"/>
        </w:tabs>
        <w:spacing w:before="0" w:after="0"/>
        <w:ind w:left="0" w:firstLine="0"/>
        <w:rPr>
          <w:rFonts w:ascii="Arial" w:hAnsi="Arial" w:cs="Arial"/>
          <w:sz w:val="22"/>
        </w:rPr>
      </w:pPr>
    </w:p>
    <w:p w14:paraId="74AB2700" w14:textId="77777777" w:rsidR="002F29E2" w:rsidRDefault="002F29E2" w:rsidP="002F29E2">
      <w:pPr>
        <w:rPr>
          <w:rFonts w:ascii="Arial" w:hAnsi="Arial" w:cs="Arial"/>
          <w:b/>
        </w:rPr>
      </w:pPr>
      <w:r>
        <w:rPr>
          <w:rFonts w:ascii="Arial" w:hAnsi="Arial" w:cs="Arial"/>
          <w:b/>
        </w:rPr>
        <w:t>Milestones</w:t>
      </w:r>
    </w:p>
    <w:tbl>
      <w:tblPr>
        <w:tblStyle w:val="TableGrid"/>
        <w:tblW w:w="0" w:type="auto"/>
        <w:tblLook w:val="04A0" w:firstRow="1" w:lastRow="0" w:firstColumn="1" w:lastColumn="0" w:noHBand="0" w:noVBand="1"/>
      </w:tblPr>
      <w:tblGrid>
        <w:gridCol w:w="5098"/>
        <w:gridCol w:w="5098"/>
      </w:tblGrid>
      <w:tr w:rsidR="002F29E2" w14:paraId="41318970" w14:textId="77777777" w:rsidTr="00F42CA5">
        <w:tc>
          <w:tcPr>
            <w:tcW w:w="5098" w:type="dxa"/>
          </w:tcPr>
          <w:p w14:paraId="6504176B" w14:textId="77777777" w:rsidR="002F29E2" w:rsidRDefault="002F29E2" w:rsidP="00F42CA5">
            <w:pPr>
              <w:rPr>
                <w:rFonts w:ascii="Arial" w:hAnsi="Arial" w:cs="Arial"/>
                <w:b/>
              </w:rPr>
            </w:pPr>
            <w:r>
              <w:rPr>
                <w:rFonts w:ascii="Arial" w:hAnsi="Arial" w:cs="Arial"/>
                <w:b/>
              </w:rPr>
              <w:t>Contract Notice Advert Published</w:t>
            </w:r>
          </w:p>
        </w:tc>
        <w:tc>
          <w:tcPr>
            <w:tcW w:w="5098" w:type="dxa"/>
          </w:tcPr>
          <w:p w14:paraId="69035DC7" w14:textId="77777777" w:rsidR="002F29E2" w:rsidRDefault="002F29E2" w:rsidP="00F42CA5">
            <w:pPr>
              <w:rPr>
                <w:rFonts w:ascii="Arial" w:hAnsi="Arial" w:cs="Arial"/>
                <w:b/>
              </w:rPr>
            </w:pPr>
            <w:r>
              <w:rPr>
                <w:rFonts w:ascii="Arial" w:hAnsi="Arial" w:cs="Arial"/>
                <w:b/>
              </w:rPr>
              <w:t>21</w:t>
            </w:r>
            <w:r w:rsidRPr="00746C61">
              <w:rPr>
                <w:rFonts w:ascii="Arial" w:hAnsi="Arial" w:cs="Arial"/>
                <w:b/>
                <w:vertAlign w:val="superscript"/>
              </w:rPr>
              <w:t>st</w:t>
            </w:r>
            <w:r>
              <w:rPr>
                <w:rFonts w:ascii="Arial" w:hAnsi="Arial" w:cs="Arial"/>
                <w:b/>
              </w:rPr>
              <w:t xml:space="preserve"> January 2019</w:t>
            </w:r>
          </w:p>
        </w:tc>
      </w:tr>
      <w:tr w:rsidR="002F29E2" w14:paraId="6075FC36" w14:textId="77777777" w:rsidTr="00F42CA5">
        <w:tc>
          <w:tcPr>
            <w:tcW w:w="5098" w:type="dxa"/>
          </w:tcPr>
          <w:p w14:paraId="247267FA" w14:textId="77777777" w:rsidR="002F29E2" w:rsidRDefault="002F29E2" w:rsidP="00F42CA5">
            <w:pPr>
              <w:rPr>
                <w:rFonts w:ascii="Arial" w:hAnsi="Arial" w:cs="Arial"/>
                <w:b/>
              </w:rPr>
            </w:pPr>
            <w:r>
              <w:rPr>
                <w:rFonts w:ascii="Arial" w:hAnsi="Arial" w:cs="Arial"/>
                <w:b/>
              </w:rPr>
              <w:t xml:space="preserve">Tender Docs Issued </w:t>
            </w:r>
          </w:p>
        </w:tc>
        <w:tc>
          <w:tcPr>
            <w:tcW w:w="5098" w:type="dxa"/>
          </w:tcPr>
          <w:p w14:paraId="540BB6F0" w14:textId="77777777" w:rsidR="002F29E2" w:rsidRDefault="002F29E2" w:rsidP="00F42CA5">
            <w:pPr>
              <w:rPr>
                <w:rFonts w:ascii="Arial" w:hAnsi="Arial" w:cs="Arial"/>
                <w:b/>
              </w:rPr>
            </w:pPr>
            <w:r>
              <w:rPr>
                <w:rFonts w:ascii="Arial" w:hAnsi="Arial" w:cs="Arial"/>
                <w:b/>
              </w:rPr>
              <w:t>21</w:t>
            </w:r>
            <w:r w:rsidRPr="00746C61">
              <w:rPr>
                <w:rFonts w:ascii="Arial" w:hAnsi="Arial" w:cs="Arial"/>
                <w:b/>
                <w:vertAlign w:val="superscript"/>
              </w:rPr>
              <w:t>st</w:t>
            </w:r>
            <w:r>
              <w:rPr>
                <w:rFonts w:ascii="Arial" w:hAnsi="Arial" w:cs="Arial"/>
                <w:b/>
              </w:rPr>
              <w:t xml:space="preserve"> January 2019</w:t>
            </w:r>
          </w:p>
        </w:tc>
      </w:tr>
      <w:tr w:rsidR="002F29E2" w14:paraId="7674826C" w14:textId="77777777" w:rsidTr="00F42CA5">
        <w:tc>
          <w:tcPr>
            <w:tcW w:w="5098" w:type="dxa"/>
          </w:tcPr>
          <w:p w14:paraId="29599A75" w14:textId="77777777" w:rsidR="002F29E2" w:rsidRDefault="002F29E2" w:rsidP="00F42CA5">
            <w:pPr>
              <w:rPr>
                <w:rFonts w:ascii="Arial" w:hAnsi="Arial" w:cs="Arial"/>
                <w:b/>
              </w:rPr>
            </w:pPr>
            <w:r>
              <w:rPr>
                <w:rFonts w:ascii="Arial" w:hAnsi="Arial" w:cs="Arial"/>
                <w:b/>
              </w:rPr>
              <w:t>Tender Return Date</w:t>
            </w:r>
          </w:p>
        </w:tc>
        <w:tc>
          <w:tcPr>
            <w:tcW w:w="5098" w:type="dxa"/>
          </w:tcPr>
          <w:p w14:paraId="6D873120" w14:textId="40738945" w:rsidR="002F29E2" w:rsidRDefault="005454C3" w:rsidP="00F42CA5">
            <w:pPr>
              <w:rPr>
                <w:rFonts w:ascii="Arial" w:hAnsi="Arial" w:cs="Arial"/>
                <w:b/>
              </w:rPr>
            </w:pPr>
            <w:r>
              <w:rPr>
                <w:rFonts w:ascii="Arial" w:hAnsi="Arial" w:cs="Arial"/>
                <w:b/>
              </w:rPr>
              <w:t>18</w:t>
            </w:r>
            <w:r>
              <w:rPr>
                <w:rFonts w:ascii="Arial" w:hAnsi="Arial" w:cs="Arial"/>
                <w:b/>
                <w:vertAlign w:val="superscript"/>
              </w:rPr>
              <w:t>th</w:t>
            </w:r>
            <w:r w:rsidR="002F29E2">
              <w:rPr>
                <w:rFonts w:ascii="Arial" w:hAnsi="Arial" w:cs="Arial"/>
                <w:b/>
              </w:rPr>
              <w:t xml:space="preserve"> February 2019</w:t>
            </w:r>
          </w:p>
        </w:tc>
      </w:tr>
      <w:tr w:rsidR="002F29E2" w14:paraId="4A770B0F" w14:textId="77777777" w:rsidTr="00F42CA5">
        <w:tc>
          <w:tcPr>
            <w:tcW w:w="5098" w:type="dxa"/>
          </w:tcPr>
          <w:p w14:paraId="6EBC555A" w14:textId="77777777" w:rsidR="002F29E2" w:rsidRDefault="002F29E2" w:rsidP="00F42CA5">
            <w:pPr>
              <w:rPr>
                <w:rFonts w:ascii="Arial" w:hAnsi="Arial" w:cs="Arial"/>
                <w:b/>
              </w:rPr>
            </w:pPr>
            <w:r>
              <w:rPr>
                <w:rFonts w:ascii="Arial" w:hAnsi="Arial" w:cs="Arial"/>
                <w:b/>
              </w:rPr>
              <w:t>Contract Award Date</w:t>
            </w:r>
          </w:p>
        </w:tc>
        <w:tc>
          <w:tcPr>
            <w:tcW w:w="5098" w:type="dxa"/>
          </w:tcPr>
          <w:p w14:paraId="4A236218" w14:textId="77777777" w:rsidR="002F29E2" w:rsidRDefault="002F29E2" w:rsidP="00F42CA5">
            <w:pPr>
              <w:rPr>
                <w:rFonts w:ascii="Arial" w:hAnsi="Arial" w:cs="Arial"/>
                <w:b/>
              </w:rPr>
            </w:pPr>
            <w:r>
              <w:rPr>
                <w:rFonts w:ascii="Arial" w:hAnsi="Arial" w:cs="Arial"/>
                <w:b/>
              </w:rPr>
              <w:t>1</w:t>
            </w:r>
            <w:r w:rsidRPr="002F29E2">
              <w:rPr>
                <w:rFonts w:ascii="Arial" w:hAnsi="Arial" w:cs="Arial"/>
                <w:b/>
                <w:vertAlign w:val="superscript"/>
              </w:rPr>
              <w:t>st</w:t>
            </w:r>
            <w:r>
              <w:rPr>
                <w:rFonts w:ascii="Arial" w:hAnsi="Arial" w:cs="Arial"/>
                <w:b/>
              </w:rPr>
              <w:t xml:space="preserve"> March 2019</w:t>
            </w:r>
          </w:p>
        </w:tc>
      </w:tr>
      <w:tr w:rsidR="002F29E2" w14:paraId="1836EE57" w14:textId="77777777" w:rsidTr="00F42CA5">
        <w:tc>
          <w:tcPr>
            <w:tcW w:w="5098" w:type="dxa"/>
          </w:tcPr>
          <w:p w14:paraId="53F01E35" w14:textId="77777777" w:rsidR="002F29E2" w:rsidRDefault="002F29E2" w:rsidP="00F42CA5">
            <w:pPr>
              <w:rPr>
                <w:rFonts w:ascii="Arial" w:hAnsi="Arial" w:cs="Arial"/>
                <w:b/>
              </w:rPr>
            </w:pPr>
            <w:r>
              <w:rPr>
                <w:rFonts w:ascii="Arial" w:hAnsi="Arial" w:cs="Arial"/>
                <w:b/>
              </w:rPr>
              <w:t xml:space="preserve">Standstill Period </w:t>
            </w:r>
          </w:p>
        </w:tc>
        <w:tc>
          <w:tcPr>
            <w:tcW w:w="5098" w:type="dxa"/>
          </w:tcPr>
          <w:p w14:paraId="3DC3B657" w14:textId="77777777" w:rsidR="002F29E2" w:rsidRDefault="002F29E2" w:rsidP="00F42CA5">
            <w:pPr>
              <w:rPr>
                <w:rFonts w:ascii="Arial" w:hAnsi="Arial" w:cs="Arial"/>
                <w:b/>
              </w:rPr>
            </w:pPr>
            <w:r>
              <w:rPr>
                <w:rFonts w:ascii="Arial" w:hAnsi="Arial" w:cs="Arial"/>
                <w:b/>
              </w:rPr>
              <w:t>10 calendar days</w:t>
            </w:r>
          </w:p>
        </w:tc>
      </w:tr>
    </w:tbl>
    <w:p w14:paraId="2733CEE2" w14:textId="77777777" w:rsidR="002F29E2" w:rsidRDefault="002F29E2" w:rsidP="00662DEB">
      <w:pPr>
        <w:rPr>
          <w:rFonts w:ascii="Arial" w:hAnsi="Arial" w:cs="Arial"/>
          <w:b/>
        </w:rPr>
      </w:pPr>
    </w:p>
    <w:p w14:paraId="55388B7F" w14:textId="7CFA3E45" w:rsidR="00662DEB" w:rsidRDefault="006E61A7" w:rsidP="00662DEB">
      <w:pPr>
        <w:rPr>
          <w:rFonts w:ascii="Arial" w:hAnsi="Arial" w:cs="Arial"/>
          <w:b/>
        </w:rPr>
      </w:pPr>
      <w:r w:rsidRPr="00E02C34">
        <w:rPr>
          <w:rFonts w:ascii="Arial" w:hAnsi="Arial" w:cs="Arial"/>
          <w:b/>
        </w:rPr>
        <w:t>Requirement</w:t>
      </w:r>
    </w:p>
    <w:p w14:paraId="2905E658" w14:textId="0923D138" w:rsidR="00662DEB" w:rsidRDefault="00662DEB" w:rsidP="00662DEB">
      <w:pPr>
        <w:rPr>
          <w:rFonts w:ascii="Arial" w:hAnsi="Arial" w:cs="Arial"/>
        </w:rPr>
      </w:pPr>
      <w:r w:rsidRPr="00662DEB">
        <w:rPr>
          <w:rFonts w:ascii="Arial" w:hAnsi="Arial" w:cs="Arial"/>
        </w:rPr>
        <w:t>Co</w:t>
      </w:r>
      <w:r>
        <w:rPr>
          <w:rFonts w:ascii="Arial" w:hAnsi="Arial" w:cs="Arial"/>
        </w:rPr>
        <w:t xml:space="preserve">nsultation with the DE&amp;S Disability Networks has identified four main areas of commonly procured goods / services relating to the provision of reasonable adjustments. </w:t>
      </w:r>
      <w:r w:rsidR="002F29E2">
        <w:rPr>
          <w:rFonts w:ascii="Arial" w:hAnsi="Arial" w:cs="Arial"/>
        </w:rPr>
        <w:t>The framework will be segmented into the following Lots;</w:t>
      </w:r>
    </w:p>
    <w:p w14:paraId="16327E78" w14:textId="4303F63D" w:rsidR="00662DEB" w:rsidRPr="002F29E2" w:rsidRDefault="002F29E2" w:rsidP="00662DEB">
      <w:pPr>
        <w:pStyle w:val="ListParagraph"/>
        <w:numPr>
          <w:ilvl w:val="0"/>
          <w:numId w:val="2"/>
        </w:numPr>
        <w:rPr>
          <w:rFonts w:ascii="Arial" w:hAnsi="Arial" w:cs="Arial"/>
          <w:b/>
        </w:rPr>
      </w:pPr>
      <w:r>
        <w:rPr>
          <w:rFonts w:ascii="Arial" w:hAnsi="Arial" w:cs="Arial"/>
          <w:b/>
        </w:rPr>
        <w:t xml:space="preserve">Lot 1 - </w:t>
      </w:r>
      <w:r w:rsidR="00662DEB" w:rsidRPr="002F29E2">
        <w:rPr>
          <w:rFonts w:ascii="Arial" w:hAnsi="Arial" w:cs="Arial"/>
          <w:b/>
        </w:rPr>
        <w:t>Interpreting, Communication Support &amp; Translation Services</w:t>
      </w:r>
      <w:r>
        <w:rPr>
          <w:rFonts w:ascii="Arial" w:hAnsi="Arial" w:cs="Arial"/>
          <w:b/>
        </w:rPr>
        <w:t xml:space="preserve"> </w:t>
      </w:r>
    </w:p>
    <w:p w14:paraId="6B468628" w14:textId="0DE20272" w:rsidR="00662DEB" w:rsidRDefault="00662DEB" w:rsidP="00662DEB">
      <w:pPr>
        <w:pStyle w:val="ListParagraph"/>
        <w:numPr>
          <w:ilvl w:val="1"/>
          <w:numId w:val="2"/>
        </w:numPr>
        <w:rPr>
          <w:rFonts w:ascii="Arial" w:hAnsi="Arial" w:cs="Arial"/>
        </w:rPr>
      </w:pPr>
      <w:r>
        <w:rPr>
          <w:rFonts w:ascii="Arial" w:hAnsi="Arial" w:cs="Arial"/>
        </w:rPr>
        <w:t>This involves the provision of a trained interpreter to translate either at meetings or corporate events. There are various forms of sign language including BSL and finger spelling</w:t>
      </w:r>
      <w:r w:rsidR="00900BFD">
        <w:rPr>
          <w:rFonts w:ascii="Arial" w:hAnsi="Arial" w:cs="Arial"/>
        </w:rPr>
        <w:t xml:space="preserve"> which are available through external agencies. Familiarity with MOD / DE&amp;S isn’t </w:t>
      </w:r>
      <w:r w:rsidR="00900BFD">
        <w:rPr>
          <w:rFonts w:ascii="Arial" w:hAnsi="Arial" w:cs="Arial"/>
        </w:rPr>
        <w:lastRenderedPageBreak/>
        <w:t xml:space="preserve">necessary at the outset, but the provision of a regular cadre of interpreters who become familiar with MOD / DE&amp;S language over time would be beneficial. </w:t>
      </w:r>
      <w:proofErr w:type="gramStart"/>
      <w:r w:rsidR="00900BFD">
        <w:rPr>
          <w:rFonts w:ascii="Arial" w:hAnsi="Arial" w:cs="Arial"/>
        </w:rPr>
        <w:t>The majority of</w:t>
      </w:r>
      <w:proofErr w:type="gramEnd"/>
      <w:r w:rsidR="00900BFD">
        <w:rPr>
          <w:rFonts w:ascii="Arial" w:hAnsi="Arial" w:cs="Arial"/>
        </w:rPr>
        <w:t xml:space="preserve"> the requirement is for material / events classed as “official” so SC would be useful, but not compulsory provided the providers were subject to a confidentiality clause.</w:t>
      </w:r>
    </w:p>
    <w:p w14:paraId="5487BA7F" w14:textId="77777777" w:rsidR="00900BFD" w:rsidRDefault="00900BFD" w:rsidP="00900BFD">
      <w:pPr>
        <w:pStyle w:val="ListParagraph"/>
        <w:ind w:left="1440"/>
        <w:rPr>
          <w:rFonts w:ascii="Arial" w:hAnsi="Arial" w:cs="Arial"/>
        </w:rPr>
      </w:pPr>
    </w:p>
    <w:p w14:paraId="13BFB5BE" w14:textId="4BED2CD9" w:rsidR="00662DEB" w:rsidRPr="002F29E2" w:rsidRDefault="002F29E2" w:rsidP="00662DEB">
      <w:pPr>
        <w:pStyle w:val="ListParagraph"/>
        <w:numPr>
          <w:ilvl w:val="0"/>
          <w:numId w:val="2"/>
        </w:numPr>
        <w:rPr>
          <w:rFonts w:ascii="Arial" w:hAnsi="Arial" w:cs="Arial"/>
          <w:b/>
        </w:rPr>
      </w:pPr>
      <w:r>
        <w:rPr>
          <w:rFonts w:ascii="Arial" w:hAnsi="Arial" w:cs="Arial"/>
          <w:b/>
        </w:rPr>
        <w:t>Lot 2 - Scribing S</w:t>
      </w:r>
      <w:r w:rsidR="00662DEB" w:rsidRPr="002F29E2">
        <w:rPr>
          <w:rFonts w:ascii="Arial" w:hAnsi="Arial" w:cs="Arial"/>
          <w:b/>
        </w:rPr>
        <w:t>ervices</w:t>
      </w:r>
      <w:r>
        <w:rPr>
          <w:rFonts w:ascii="Arial" w:hAnsi="Arial" w:cs="Arial"/>
          <w:b/>
        </w:rPr>
        <w:t xml:space="preserve"> </w:t>
      </w:r>
    </w:p>
    <w:p w14:paraId="09359953" w14:textId="1B9CAF40" w:rsidR="00900BFD" w:rsidRDefault="00900BFD" w:rsidP="00900BFD">
      <w:pPr>
        <w:pStyle w:val="ListParagraph"/>
        <w:numPr>
          <w:ilvl w:val="1"/>
          <w:numId w:val="2"/>
        </w:numPr>
        <w:rPr>
          <w:rFonts w:ascii="Arial" w:hAnsi="Arial" w:cs="Arial"/>
        </w:rPr>
      </w:pPr>
      <w:r>
        <w:rPr>
          <w:rFonts w:ascii="Arial" w:hAnsi="Arial" w:cs="Arial"/>
        </w:rPr>
        <w:t xml:space="preserve">This involves the provision of someone to take notes on behalf of someone else, for example at team meetings or corporate events where the induvial is unable to. It may also be required for written exams in cases where the candidate is unable to write / type answers themselves. Familiarity with MOD / DE&amp;S isn’t necessary at the outset, but the provision of a regular cadre of notetakers who become familiar with MOD / DE&amp;S language over time would be beneficial. </w:t>
      </w:r>
      <w:proofErr w:type="gramStart"/>
      <w:r>
        <w:rPr>
          <w:rFonts w:ascii="Arial" w:hAnsi="Arial" w:cs="Arial"/>
        </w:rPr>
        <w:t>The majority of</w:t>
      </w:r>
      <w:proofErr w:type="gramEnd"/>
      <w:r>
        <w:rPr>
          <w:rFonts w:ascii="Arial" w:hAnsi="Arial" w:cs="Arial"/>
        </w:rPr>
        <w:t xml:space="preserve"> the requirement is for material / events classed as “official” so SC would be useful, but not compulsory provided the providers were subject to a confidentiality clause.</w:t>
      </w:r>
    </w:p>
    <w:p w14:paraId="7CE906F3" w14:textId="77777777" w:rsidR="00900BFD" w:rsidRDefault="00900BFD" w:rsidP="00900BFD">
      <w:pPr>
        <w:pStyle w:val="ListParagraph"/>
        <w:ind w:left="1440"/>
        <w:rPr>
          <w:rFonts w:ascii="Arial" w:hAnsi="Arial" w:cs="Arial"/>
        </w:rPr>
      </w:pPr>
    </w:p>
    <w:p w14:paraId="2AFB3E5B" w14:textId="29514216" w:rsidR="00662DEB" w:rsidRPr="002F29E2" w:rsidRDefault="002F29E2" w:rsidP="00662DEB">
      <w:pPr>
        <w:pStyle w:val="ListParagraph"/>
        <w:numPr>
          <w:ilvl w:val="0"/>
          <w:numId w:val="2"/>
        </w:numPr>
        <w:rPr>
          <w:rFonts w:ascii="Arial" w:hAnsi="Arial" w:cs="Arial"/>
          <w:b/>
        </w:rPr>
      </w:pPr>
      <w:r>
        <w:rPr>
          <w:rFonts w:ascii="Arial" w:hAnsi="Arial" w:cs="Arial"/>
          <w:b/>
        </w:rPr>
        <w:t>Lot 3 - Sensory/</w:t>
      </w:r>
      <w:r w:rsidR="00662DEB" w:rsidRPr="002F29E2">
        <w:rPr>
          <w:rFonts w:ascii="Arial" w:hAnsi="Arial" w:cs="Arial"/>
          <w:b/>
        </w:rPr>
        <w:t>Auxiliary</w:t>
      </w:r>
      <w:r>
        <w:rPr>
          <w:rFonts w:ascii="Arial" w:hAnsi="Arial" w:cs="Arial"/>
          <w:b/>
        </w:rPr>
        <w:t>/Visual A</w:t>
      </w:r>
      <w:r w:rsidR="00662DEB" w:rsidRPr="002F29E2">
        <w:rPr>
          <w:rFonts w:ascii="Arial" w:hAnsi="Arial" w:cs="Arial"/>
          <w:b/>
        </w:rPr>
        <w:t>ids</w:t>
      </w:r>
    </w:p>
    <w:p w14:paraId="23D45184" w14:textId="26FB3D04" w:rsidR="00900BFD" w:rsidRDefault="00900BFD" w:rsidP="00900BFD">
      <w:pPr>
        <w:pStyle w:val="ListParagraph"/>
        <w:numPr>
          <w:ilvl w:val="1"/>
          <w:numId w:val="2"/>
        </w:numPr>
        <w:rPr>
          <w:rFonts w:ascii="Arial" w:hAnsi="Arial" w:cs="Arial"/>
        </w:rPr>
      </w:pPr>
      <w:r>
        <w:rPr>
          <w:rFonts w:ascii="Arial" w:hAnsi="Arial" w:cs="Arial"/>
        </w:rPr>
        <w:t xml:space="preserve">This covers a broad range of stand-alone and off-the-shelf items including noise cancelling headphones, fidget toys, sensory aids, lighting and visual aids which aren’t currently available through usual stationery </w:t>
      </w:r>
      <w:r w:rsidR="00D254C8">
        <w:rPr>
          <w:rFonts w:ascii="Arial" w:hAnsi="Arial" w:cs="Arial"/>
        </w:rPr>
        <w:t>catalogues</w:t>
      </w:r>
      <w:r>
        <w:rPr>
          <w:rFonts w:ascii="Arial" w:hAnsi="Arial" w:cs="Arial"/>
        </w:rPr>
        <w:t>.</w:t>
      </w:r>
      <w:r w:rsidR="00D254C8">
        <w:rPr>
          <w:rFonts w:ascii="Arial" w:hAnsi="Arial" w:cs="Arial"/>
        </w:rPr>
        <w:t xml:space="preserve"> </w:t>
      </w:r>
    </w:p>
    <w:p w14:paraId="5DB5BB85" w14:textId="77777777" w:rsidR="00900BFD" w:rsidRDefault="00900BFD" w:rsidP="00900BFD">
      <w:pPr>
        <w:pStyle w:val="ListParagraph"/>
        <w:ind w:left="1440"/>
        <w:rPr>
          <w:rFonts w:ascii="Arial" w:hAnsi="Arial" w:cs="Arial"/>
        </w:rPr>
      </w:pPr>
    </w:p>
    <w:p w14:paraId="03879267" w14:textId="31094491" w:rsidR="00D254C8" w:rsidRPr="002F29E2" w:rsidRDefault="002F29E2" w:rsidP="00662DEB">
      <w:pPr>
        <w:pStyle w:val="ListParagraph"/>
        <w:numPr>
          <w:ilvl w:val="0"/>
          <w:numId w:val="2"/>
        </w:numPr>
        <w:rPr>
          <w:rFonts w:ascii="Arial" w:hAnsi="Arial" w:cs="Arial"/>
          <w:b/>
        </w:rPr>
      </w:pPr>
      <w:r>
        <w:rPr>
          <w:rFonts w:ascii="Arial" w:hAnsi="Arial" w:cs="Arial"/>
          <w:b/>
        </w:rPr>
        <w:t>Lot 4 - Mobility A</w:t>
      </w:r>
      <w:r w:rsidR="00662DEB" w:rsidRPr="002F29E2">
        <w:rPr>
          <w:rFonts w:ascii="Arial" w:hAnsi="Arial" w:cs="Arial"/>
          <w:b/>
        </w:rPr>
        <w:t>ids</w:t>
      </w:r>
      <w:r w:rsidRPr="002F29E2">
        <w:rPr>
          <w:rFonts w:ascii="Arial" w:hAnsi="Arial" w:cs="Arial"/>
          <w:b/>
        </w:rPr>
        <w:t xml:space="preserve"> </w:t>
      </w:r>
    </w:p>
    <w:p w14:paraId="52798AAB" w14:textId="4D58B8F9" w:rsidR="00D254C8" w:rsidRDefault="00D254C8" w:rsidP="00D254C8">
      <w:pPr>
        <w:pStyle w:val="ListParagraph"/>
        <w:numPr>
          <w:ilvl w:val="1"/>
          <w:numId w:val="2"/>
        </w:numPr>
        <w:rPr>
          <w:rFonts w:ascii="Arial" w:hAnsi="Arial" w:cs="Arial"/>
        </w:rPr>
      </w:pPr>
      <w:r>
        <w:rPr>
          <w:rFonts w:ascii="Arial" w:hAnsi="Arial" w:cs="Arial"/>
        </w:rPr>
        <w:t xml:space="preserve">This refers to items which employees may already use or own but use more heavily </w:t>
      </w:r>
      <w:proofErr w:type="gramStart"/>
      <w:r>
        <w:rPr>
          <w:rFonts w:ascii="Arial" w:hAnsi="Arial" w:cs="Arial"/>
        </w:rPr>
        <w:t>as a result of</w:t>
      </w:r>
      <w:proofErr w:type="gramEnd"/>
      <w:r>
        <w:rPr>
          <w:rFonts w:ascii="Arial" w:hAnsi="Arial" w:cs="Arial"/>
        </w:rPr>
        <w:t xml:space="preserve"> the office environment. For example, an employee with a mobility scooter may find that they need to replace their battery more often because they spend a lot of time moving between meetings on the Abbey Wood site. If it can be proven that it is a reasonable adjustment to maintain / replace existing kit </w:t>
      </w:r>
      <w:proofErr w:type="gramStart"/>
      <w:r>
        <w:rPr>
          <w:rFonts w:ascii="Arial" w:hAnsi="Arial" w:cs="Arial"/>
        </w:rPr>
        <w:t>as a result of</w:t>
      </w:r>
      <w:proofErr w:type="gramEnd"/>
      <w:r>
        <w:rPr>
          <w:rFonts w:ascii="Arial" w:hAnsi="Arial" w:cs="Arial"/>
        </w:rPr>
        <w:t xml:space="preserve"> their work, this section would provide the necessary provision to do so.</w:t>
      </w:r>
    </w:p>
    <w:p w14:paraId="5FBCFF39" w14:textId="5B05C7A0" w:rsidR="00550D2B" w:rsidRPr="0060695E" w:rsidRDefault="0060695E" w:rsidP="00550D2B">
      <w:pPr>
        <w:rPr>
          <w:rFonts w:ascii="Arial" w:hAnsi="Arial" w:cs="Arial"/>
          <w:b/>
          <w:i/>
        </w:rPr>
      </w:pPr>
      <w:r w:rsidRPr="0060695E">
        <w:rPr>
          <w:rFonts w:ascii="Arial" w:hAnsi="Arial" w:cs="Arial"/>
          <w:b/>
          <w:i/>
        </w:rPr>
        <w:t xml:space="preserve">Further details of the items required can be found in Annex B – Detailed Specification </w:t>
      </w:r>
    </w:p>
    <w:p w14:paraId="7DEE49F1" w14:textId="07C82EB4" w:rsidR="00844089" w:rsidRPr="00644B55" w:rsidRDefault="00AE3577" w:rsidP="00644B55">
      <w:pPr>
        <w:rPr>
          <w:rFonts w:ascii="Arial" w:hAnsi="Arial" w:cs="Arial"/>
        </w:rPr>
      </w:pPr>
      <w:r w:rsidRPr="00644B55">
        <w:rPr>
          <w:rFonts w:ascii="Arial" w:hAnsi="Arial" w:cs="Arial"/>
          <w:b/>
        </w:rPr>
        <w:t>Deliverables</w:t>
      </w:r>
      <w:r w:rsidR="00746C61">
        <w:rPr>
          <w:rFonts w:ascii="Arial" w:hAnsi="Arial" w:cs="Arial"/>
          <w:b/>
        </w:rPr>
        <w:t>- Services (Lot 1 &amp; 2)</w:t>
      </w:r>
    </w:p>
    <w:p w14:paraId="27728E76" w14:textId="7E8E4AC0" w:rsidR="00FA52CF" w:rsidRDefault="00FA52CF" w:rsidP="00FB5A86">
      <w:pPr>
        <w:rPr>
          <w:rFonts w:ascii="Arial" w:hAnsi="Arial" w:cs="Arial"/>
        </w:rPr>
      </w:pPr>
      <w:r>
        <w:rPr>
          <w:rFonts w:ascii="Arial" w:hAnsi="Arial" w:cs="Arial"/>
        </w:rPr>
        <w:t>All four areas of spend are required for DE&amp;S employees in the UK, both on DE&amp;S and non-DE&amp;S sites.</w:t>
      </w:r>
    </w:p>
    <w:p w14:paraId="32FC99C2" w14:textId="6606B26E" w:rsidR="004220D9" w:rsidRDefault="004220D9" w:rsidP="00FB5A86">
      <w:pPr>
        <w:rPr>
          <w:rFonts w:ascii="Arial" w:hAnsi="Arial" w:cs="Arial"/>
        </w:rPr>
      </w:pPr>
      <w:r>
        <w:rPr>
          <w:rFonts w:ascii="Arial" w:hAnsi="Arial" w:cs="Arial"/>
        </w:rPr>
        <w:t xml:space="preserve">Provision of the translation scribing services will be on an as-required </w:t>
      </w:r>
      <w:r w:rsidR="00FA52CF">
        <w:rPr>
          <w:rFonts w:ascii="Arial" w:hAnsi="Arial" w:cs="Arial"/>
        </w:rPr>
        <w:t xml:space="preserve">individual tasking </w:t>
      </w:r>
      <w:r>
        <w:rPr>
          <w:rFonts w:ascii="Arial" w:hAnsi="Arial" w:cs="Arial"/>
        </w:rPr>
        <w:t>basis subject to a</w:t>
      </w:r>
      <w:r w:rsidR="00FA52CF">
        <w:rPr>
          <w:rFonts w:ascii="Arial" w:hAnsi="Arial" w:cs="Arial"/>
        </w:rPr>
        <w:t>n agreed</w:t>
      </w:r>
      <w:r>
        <w:rPr>
          <w:rFonts w:ascii="Arial" w:hAnsi="Arial" w:cs="Arial"/>
        </w:rPr>
        <w:t xml:space="preserve"> notice period </w:t>
      </w:r>
      <w:r w:rsidR="00FA52CF">
        <w:rPr>
          <w:rFonts w:ascii="Arial" w:hAnsi="Arial" w:cs="Arial"/>
        </w:rPr>
        <w:t>(</w:t>
      </w:r>
      <w:r>
        <w:rPr>
          <w:rFonts w:ascii="Arial" w:hAnsi="Arial" w:cs="Arial"/>
        </w:rPr>
        <w:t xml:space="preserve">5 working </w:t>
      </w:r>
      <w:r w:rsidR="00644B55">
        <w:rPr>
          <w:rFonts w:ascii="Arial" w:hAnsi="Arial" w:cs="Arial"/>
        </w:rPr>
        <w:t>days</w:t>
      </w:r>
      <w:r>
        <w:rPr>
          <w:rFonts w:ascii="Arial" w:hAnsi="Arial" w:cs="Arial"/>
        </w:rPr>
        <w:t xml:space="preserve">). It is suggested that a service level agreement is drawn up with the provider which sets out the expected </w:t>
      </w:r>
      <w:r w:rsidR="00FA52CF">
        <w:rPr>
          <w:rFonts w:ascii="Arial" w:hAnsi="Arial" w:cs="Arial"/>
        </w:rPr>
        <w:t>notice period and measures their performance. The requirement will be subject to the needs of DE&amp;S rather than the ability of the provider – e.g. we will specify the time and location in the expectation that they meet it.</w:t>
      </w:r>
      <w:r w:rsidR="00644B55">
        <w:rPr>
          <w:rFonts w:ascii="Arial" w:hAnsi="Arial" w:cs="Arial"/>
        </w:rPr>
        <w:t xml:space="preserve"> </w:t>
      </w:r>
      <w:proofErr w:type="gramStart"/>
      <w:r w:rsidR="00644B55">
        <w:rPr>
          <w:rFonts w:ascii="Arial" w:hAnsi="Arial" w:cs="Arial"/>
        </w:rPr>
        <w:t>However</w:t>
      </w:r>
      <w:proofErr w:type="gramEnd"/>
      <w:r w:rsidR="00644B55">
        <w:rPr>
          <w:rFonts w:ascii="Arial" w:hAnsi="Arial" w:cs="Arial"/>
        </w:rPr>
        <w:t xml:space="preserve"> DE&amp;S may require up to 5 separate concurrent requests for Translation/Scribing Services at one time.</w:t>
      </w:r>
    </w:p>
    <w:p w14:paraId="29F81A7A" w14:textId="1299223D" w:rsidR="00644B55" w:rsidRPr="00644B55" w:rsidRDefault="00644B55" w:rsidP="00FB5A86">
      <w:pPr>
        <w:rPr>
          <w:rFonts w:ascii="Arial" w:hAnsi="Arial" w:cs="Arial"/>
          <w:b/>
        </w:rPr>
      </w:pPr>
      <w:r w:rsidRPr="00644B55">
        <w:rPr>
          <w:rFonts w:ascii="Arial" w:hAnsi="Arial" w:cs="Arial"/>
          <w:b/>
        </w:rPr>
        <w:t xml:space="preserve">Booking System </w:t>
      </w:r>
      <w:r w:rsidR="002F29E2">
        <w:rPr>
          <w:rFonts w:ascii="Arial" w:hAnsi="Arial" w:cs="Arial"/>
          <w:b/>
        </w:rPr>
        <w:t>for Lots 1 &amp; 2</w:t>
      </w:r>
    </w:p>
    <w:p w14:paraId="24B21EE6" w14:textId="6EF71DBD" w:rsidR="00644B55" w:rsidRDefault="00644B55" w:rsidP="00FB5A86">
      <w:pPr>
        <w:rPr>
          <w:rFonts w:ascii="Arial" w:hAnsi="Arial" w:cs="Arial"/>
        </w:rPr>
      </w:pPr>
      <w:r>
        <w:rPr>
          <w:rFonts w:ascii="Arial" w:hAnsi="Arial" w:cs="Arial"/>
        </w:rPr>
        <w:t>DE&amp;S require</w:t>
      </w:r>
      <w:r w:rsidR="00746C61">
        <w:rPr>
          <w:rFonts w:ascii="Arial" w:hAnsi="Arial" w:cs="Arial"/>
        </w:rPr>
        <w:t xml:space="preserve"> the supplier to have a </w:t>
      </w:r>
      <w:r>
        <w:rPr>
          <w:rFonts w:ascii="Arial" w:hAnsi="Arial" w:cs="Arial"/>
        </w:rPr>
        <w:t>robust online Booking System to be available from 7am to 7pm Monday to Friday, to be able to book a request for services either directly online or by email or telephone.</w:t>
      </w:r>
      <w:r w:rsidR="00746C61">
        <w:rPr>
          <w:rFonts w:ascii="Arial" w:hAnsi="Arial" w:cs="Arial"/>
        </w:rPr>
        <w:t xml:space="preserve"> A response confirming the booking must be received within 24hrs of request being submitted.</w:t>
      </w:r>
    </w:p>
    <w:p w14:paraId="73248EC5" w14:textId="64453C3C" w:rsidR="00644B55" w:rsidRPr="00746C61" w:rsidRDefault="00746C61" w:rsidP="00FB5A86">
      <w:pPr>
        <w:rPr>
          <w:rFonts w:ascii="Arial" w:hAnsi="Arial" w:cs="Arial"/>
          <w:b/>
        </w:rPr>
      </w:pPr>
      <w:r w:rsidRPr="00746C61">
        <w:rPr>
          <w:rFonts w:ascii="Arial" w:hAnsi="Arial" w:cs="Arial"/>
          <w:b/>
        </w:rPr>
        <w:t xml:space="preserve">Deliverables – Goods (Lot 3 &amp; 4) </w:t>
      </w:r>
    </w:p>
    <w:p w14:paraId="2297ADEA" w14:textId="3C262909" w:rsidR="002F29E2" w:rsidRDefault="00FA52CF" w:rsidP="00FB5A86">
      <w:pPr>
        <w:rPr>
          <w:rFonts w:ascii="Arial" w:hAnsi="Arial" w:cs="Arial"/>
        </w:rPr>
      </w:pPr>
      <w:r>
        <w:rPr>
          <w:rFonts w:ascii="Arial" w:hAnsi="Arial" w:cs="Arial"/>
        </w:rPr>
        <w:t>Provision of goods will also be on an as-required individual tasking basis and subject to an agreed delivery timesca</w:t>
      </w:r>
      <w:r w:rsidR="00746C61">
        <w:rPr>
          <w:rFonts w:ascii="Arial" w:hAnsi="Arial" w:cs="Arial"/>
        </w:rPr>
        <w:t>le. Where the goods have set-up/</w:t>
      </w:r>
      <w:r>
        <w:rPr>
          <w:rFonts w:ascii="Arial" w:hAnsi="Arial" w:cs="Arial"/>
        </w:rPr>
        <w:t xml:space="preserve">training costs associated with them, it will be expected that this is included in the quoted price. </w:t>
      </w:r>
      <w:proofErr w:type="gramStart"/>
      <w:r>
        <w:rPr>
          <w:rFonts w:ascii="Arial" w:hAnsi="Arial" w:cs="Arial"/>
        </w:rPr>
        <w:t>In the event that</w:t>
      </w:r>
      <w:proofErr w:type="gramEnd"/>
      <w:r>
        <w:rPr>
          <w:rFonts w:ascii="Arial" w:hAnsi="Arial" w:cs="Arial"/>
        </w:rPr>
        <w:t xml:space="preserve"> a named product has been specified by a medical expert without an “or equivalent” caveat, the provider will be expected to deliver the item as specified and not a “similar” piece of equipment. It is assumed that all goods that fall within this requirement are standalone and do not need to directly interface with MOD / DE&amp;S systems.</w:t>
      </w:r>
    </w:p>
    <w:p w14:paraId="3135EA47" w14:textId="2167E88F" w:rsidR="00746C61" w:rsidRDefault="00746C61" w:rsidP="00FB5A86">
      <w:pPr>
        <w:rPr>
          <w:rFonts w:ascii="Arial" w:hAnsi="Arial" w:cs="Arial"/>
        </w:rPr>
      </w:pPr>
      <w:r>
        <w:rPr>
          <w:rFonts w:ascii="Arial" w:hAnsi="Arial" w:cs="Arial"/>
        </w:rPr>
        <w:lastRenderedPageBreak/>
        <w:t>All items must be delivered in secure packaging, with full instructions</w:t>
      </w:r>
      <w:r w:rsidR="002F29E2">
        <w:rPr>
          <w:rFonts w:ascii="Arial" w:hAnsi="Arial" w:cs="Arial"/>
        </w:rPr>
        <w:t>/and or training</w:t>
      </w:r>
      <w:r>
        <w:rPr>
          <w:rFonts w:ascii="Arial" w:hAnsi="Arial" w:cs="Arial"/>
        </w:rPr>
        <w:t xml:space="preserve"> </w:t>
      </w:r>
      <w:r w:rsidR="002F29E2">
        <w:rPr>
          <w:rFonts w:ascii="Arial" w:hAnsi="Arial" w:cs="Arial"/>
        </w:rPr>
        <w:t xml:space="preserve">requirements </w:t>
      </w:r>
      <w:r>
        <w:rPr>
          <w:rFonts w:ascii="Arial" w:hAnsi="Arial" w:cs="Arial"/>
        </w:rPr>
        <w:t>and within required timescales</w:t>
      </w:r>
      <w:r w:rsidR="002F29E2">
        <w:rPr>
          <w:rFonts w:ascii="Arial" w:hAnsi="Arial" w:cs="Arial"/>
        </w:rPr>
        <w:t>.</w:t>
      </w:r>
      <w:r>
        <w:rPr>
          <w:rFonts w:ascii="Arial" w:hAnsi="Arial" w:cs="Arial"/>
        </w:rPr>
        <w:t xml:space="preserve"> </w:t>
      </w:r>
    </w:p>
    <w:p w14:paraId="35FDB552" w14:textId="3C0E70A6" w:rsidR="002F29E2" w:rsidRDefault="002F29E2" w:rsidP="00FB5A86">
      <w:pPr>
        <w:rPr>
          <w:rFonts w:ascii="Arial" w:hAnsi="Arial" w:cs="Arial"/>
        </w:rPr>
      </w:pPr>
      <w:r>
        <w:rPr>
          <w:rFonts w:ascii="Arial" w:hAnsi="Arial" w:cs="Arial"/>
        </w:rPr>
        <w:t xml:space="preserve">The supplier shall detail how damaged or missing goods will be replaced or repaired and provide timescales of repairs or replacements </w:t>
      </w:r>
    </w:p>
    <w:p w14:paraId="6A4B9D8E" w14:textId="77777777" w:rsidR="002F29E2" w:rsidRDefault="002F29E2" w:rsidP="00FB5A86">
      <w:pPr>
        <w:rPr>
          <w:rFonts w:ascii="Arial" w:hAnsi="Arial" w:cs="Arial"/>
          <w:b/>
        </w:rPr>
      </w:pPr>
      <w:r>
        <w:rPr>
          <w:rFonts w:ascii="Arial" w:hAnsi="Arial" w:cs="Arial"/>
          <w:b/>
        </w:rPr>
        <w:t xml:space="preserve">Cancellation Policy </w:t>
      </w:r>
    </w:p>
    <w:p w14:paraId="31DE44F9" w14:textId="71E83D74" w:rsidR="002F29E2" w:rsidRPr="002F29E2" w:rsidRDefault="002F29E2" w:rsidP="00FB5A86">
      <w:pPr>
        <w:rPr>
          <w:rFonts w:ascii="Arial" w:hAnsi="Arial" w:cs="Arial"/>
          <w:b/>
        </w:rPr>
      </w:pPr>
      <w:r>
        <w:rPr>
          <w:rFonts w:ascii="Arial" w:hAnsi="Arial" w:cs="Arial"/>
        </w:rPr>
        <w:t xml:space="preserve">The supplier should provide details of their order cancellation policy. </w:t>
      </w:r>
    </w:p>
    <w:p w14:paraId="507A972B" w14:textId="58C540FF" w:rsidR="00644B55" w:rsidRDefault="00644B55" w:rsidP="00FB5A86">
      <w:pPr>
        <w:rPr>
          <w:rFonts w:ascii="Arial" w:hAnsi="Arial" w:cs="Arial"/>
        </w:rPr>
      </w:pPr>
      <w:r w:rsidRPr="00644B55">
        <w:rPr>
          <w:rFonts w:ascii="Arial" w:hAnsi="Arial" w:cs="Arial"/>
          <w:b/>
        </w:rPr>
        <w:t>Evaluation</w:t>
      </w:r>
      <w:r>
        <w:rPr>
          <w:rFonts w:ascii="Arial" w:hAnsi="Arial" w:cs="Arial"/>
        </w:rPr>
        <w:t>:</w:t>
      </w:r>
    </w:p>
    <w:p w14:paraId="411D753E" w14:textId="6C61E54C" w:rsidR="00FA52CF" w:rsidRDefault="00FA52CF" w:rsidP="00FB5A86">
      <w:pPr>
        <w:rPr>
          <w:rFonts w:ascii="Arial" w:hAnsi="Arial" w:cs="Arial"/>
        </w:rPr>
      </w:pPr>
      <w:r>
        <w:rPr>
          <w:rFonts w:ascii="Arial" w:hAnsi="Arial" w:cs="Arial"/>
        </w:rPr>
        <w:t>Tenders will be evaluated on a M</w:t>
      </w:r>
      <w:r w:rsidR="001D4C25">
        <w:rPr>
          <w:rFonts w:ascii="Arial" w:hAnsi="Arial" w:cs="Arial"/>
        </w:rPr>
        <w:t xml:space="preserve">ost </w:t>
      </w:r>
      <w:r>
        <w:rPr>
          <w:rFonts w:ascii="Arial" w:hAnsi="Arial" w:cs="Arial"/>
        </w:rPr>
        <w:t>E</w:t>
      </w:r>
      <w:r w:rsidR="001D4C25">
        <w:rPr>
          <w:rFonts w:ascii="Arial" w:hAnsi="Arial" w:cs="Arial"/>
        </w:rPr>
        <w:t xml:space="preserve">conomically </w:t>
      </w:r>
      <w:r>
        <w:rPr>
          <w:rFonts w:ascii="Arial" w:hAnsi="Arial" w:cs="Arial"/>
        </w:rPr>
        <w:t>A</w:t>
      </w:r>
      <w:r w:rsidR="001D4C25">
        <w:rPr>
          <w:rFonts w:ascii="Arial" w:hAnsi="Arial" w:cs="Arial"/>
        </w:rPr>
        <w:t xml:space="preserve">dvantageous </w:t>
      </w:r>
      <w:r>
        <w:rPr>
          <w:rFonts w:ascii="Arial" w:hAnsi="Arial" w:cs="Arial"/>
        </w:rPr>
        <w:t>T</w:t>
      </w:r>
      <w:r w:rsidR="001D4C25">
        <w:rPr>
          <w:rFonts w:ascii="Arial" w:hAnsi="Arial" w:cs="Arial"/>
        </w:rPr>
        <w:t>ender</w:t>
      </w:r>
      <w:r>
        <w:rPr>
          <w:rFonts w:ascii="Arial" w:hAnsi="Arial" w:cs="Arial"/>
        </w:rPr>
        <w:t xml:space="preserve"> basis rather than base cost alone. </w:t>
      </w:r>
      <w:r w:rsidR="000612A6">
        <w:rPr>
          <w:rFonts w:ascii="Arial" w:hAnsi="Arial" w:cs="Arial"/>
        </w:rPr>
        <w:t>Expected d</w:t>
      </w:r>
      <w:r>
        <w:rPr>
          <w:rFonts w:ascii="Arial" w:hAnsi="Arial" w:cs="Arial"/>
        </w:rPr>
        <w:t xml:space="preserve">elivery timescales should also form part of the evaluation as time off </w:t>
      </w:r>
      <w:r w:rsidR="000612A6">
        <w:rPr>
          <w:rFonts w:ascii="Arial" w:hAnsi="Arial" w:cs="Arial"/>
        </w:rPr>
        <w:t xml:space="preserve">for employees </w:t>
      </w:r>
      <w:r>
        <w:rPr>
          <w:rFonts w:ascii="Arial" w:hAnsi="Arial" w:cs="Arial"/>
        </w:rPr>
        <w:t>due to the absence of reasonable adjustments is a hidden</w:t>
      </w:r>
      <w:r w:rsidR="000612A6">
        <w:rPr>
          <w:rFonts w:ascii="Arial" w:hAnsi="Arial" w:cs="Arial"/>
        </w:rPr>
        <w:t>, but potentially significant,</w:t>
      </w:r>
      <w:r>
        <w:rPr>
          <w:rFonts w:ascii="Arial" w:hAnsi="Arial" w:cs="Arial"/>
        </w:rPr>
        <w:t xml:space="preserve"> cost to the business.</w:t>
      </w:r>
    </w:p>
    <w:p w14:paraId="359ED7D4" w14:textId="4F313350" w:rsidR="00897D94" w:rsidRDefault="00897D94" w:rsidP="00FB5A86">
      <w:pPr>
        <w:rPr>
          <w:rFonts w:ascii="Arial" w:hAnsi="Arial" w:cs="Arial"/>
        </w:rPr>
      </w:pPr>
      <w:r>
        <w:rPr>
          <w:rFonts w:ascii="Arial" w:hAnsi="Arial" w:cs="Arial"/>
        </w:rPr>
        <w:t>Suppliers are encouraged to provide innovative and optional services/devices however these will not be evaluated at this time, but maybe added as a future requirement.</w:t>
      </w:r>
    </w:p>
    <w:p w14:paraId="5F83092E" w14:textId="0B771573" w:rsidR="00E221D9" w:rsidRPr="00897D94" w:rsidRDefault="00897D94" w:rsidP="00E221D9">
      <w:pPr>
        <w:rPr>
          <w:rFonts w:ascii="Arial" w:hAnsi="Arial" w:cs="Arial"/>
          <w:b/>
        </w:rPr>
      </w:pPr>
      <w:r w:rsidRPr="00897D94">
        <w:rPr>
          <w:rFonts w:ascii="Arial" w:hAnsi="Arial" w:cs="Arial"/>
          <w:b/>
        </w:rPr>
        <w:t xml:space="preserve">Duration: </w:t>
      </w:r>
    </w:p>
    <w:p w14:paraId="08FBAB33" w14:textId="3FD8FC6D" w:rsidR="00897D94" w:rsidRDefault="00897D94" w:rsidP="00E221D9">
      <w:pPr>
        <w:rPr>
          <w:rFonts w:ascii="Arial" w:hAnsi="Arial" w:cs="Arial"/>
        </w:rPr>
      </w:pPr>
      <w:r>
        <w:rPr>
          <w:rFonts w:ascii="Arial" w:hAnsi="Arial" w:cs="Arial"/>
        </w:rPr>
        <w:t>The framework will be in place for a minimum of 2 years with an option to extend the contract further for an additional 2 years.</w:t>
      </w:r>
    </w:p>
    <w:p w14:paraId="275C3F4C" w14:textId="41AF3B88" w:rsidR="00897D94" w:rsidRDefault="00897D94" w:rsidP="00E221D9">
      <w:pPr>
        <w:rPr>
          <w:rFonts w:ascii="Arial" w:hAnsi="Arial" w:cs="Arial"/>
        </w:rPr>
      </w:pPr>
      <w:r>
        <w:rPr>
          <w:rFonts w:ascii="Arial" w:hAnsi="Arial" w:cs="Arial"/>
        </w:rPr>
        <w:t>Contract Start Date: 01 March 2019</w:t>
      </w:r>
    </w:p>
    <w:p w14:paraId="7A8BA96B" w14:textId="08659BF1" w:rsidR="00897D94" w:rsidRDefault="00897D94" w:rsidP="00E221D9">
      <w:pPr>
        <w:rPr>
          <w:rFonts w:ascii="Arial" w:hAnsi="Arial" w:cs="Arial"/>
        </w:rPr>
      </w:pPr>
      <w:r>
        <w:rPr>
          <w:rFonts w:ascii="Arial" w:hAnsi="Arial" w:cs="Arial"/>
        </w:rPr>
        <w:t>Contract End Date: 01 Ma</w:t>
      </w:r>
      <w:r w:rsidR="00746C61">
        <w:rPr>
          <w:rFonts w:ascii="Arial" w:hAnsi="Arial" w:cs="Arial"/>
        </w:rPr>
        <w:t>rch 2021</w:t>
      </w:r>
      <w:r>
        <w:rPr>
          <w:rFonts w:ascii="Arial" w:hAnsi="Arial" w:cs="Arial"/>
        </w:rPr>
        <w:t xml:space="preserve"> </w:t>
      </w:r>
    </w:p>
    <w:sectPr w:rsidR="00897D94" w:rsidSect="003F63A4">
      <w:headerReference w:type="default" r:id="rId7"/>
      <w:footerReference w:type="default" r:id="rId8"/>
      <w:pgSz w:w="11906" w:h="16838"/>
      <w:pgMar w:top="993"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83713" w14:textId="77777777" w:rsidR="001410F6" w:rsidRDefault="001410F6" w:rsidP="00AB361B">
      <w:pPr>
        <w:spacing w:after="0" w:line="240" w:lineRule="auto"/>
      </w:pPr>
      <w:r>
        <w:separator/>
      </w:r>
    </w:p>
  </w:endnote>
  <w:endnote w:type="continuationSeparator" w:id="0">
    <w:p w14:paraId="556DD83D" w14:textId="77777777" w:rsidR="001410F6" w:rsidRDefault="001410F6" w:rsidP="00AB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309389"/>
      <w:docPartObj>
        <w:docPartGallery w:val="Page Numbers (Bottom of Page)"/>
        <w:docPartUnique/>
      </w:docPartObj>
    </w:sdtPr>
    <w:sdtEndPr>
      <w:rPr>
        <w:noProof/>
      </w:rPr>
    </w:sdtEndPr>
    <w:sdtContent>
      <w:p w14:paraId="78115146" w14:textId="6A50F53D" w:rsidR="00AB361B" w:rsidRDefault="00AB36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FBC18" w14:textId="77777777" w:rsidR="00AB361B" w:rsidRDefault="00AB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D2CB9" w14:textId="77777777" w:rsidR="001410F6" w:rsidRDefault="001410F6" w:rsidP="00AB361B">
      <w:pPr>
        <w:spacing w:after="0" w:line="240" w:lineRule="auto"/>
      </w:pPr>
      <w:r>
        <w:separator/>
      </w:r>
    </w:p>
  </w:footnote>
  <w:footnote w:type="continuationSeparator" w:id="0">
    <w:p w14:paraId="100A9C79" w14:textId="77777777" w:rsidR="001410F6" w:rsidRDefault="001410F6" w:rsidP="00AB3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1BB1" w14:textId="53AEE686" w:rsidR="00AB361B" w:rsidRDefault="00AB361B" w:rsidP="00AB361B">
    <w:pPr>
      <w:pStyle w:val="Header"/>
      <w:jc w:val="right"/>
    </w:pPr>
    <w:r>
      <w:t xml:space="preserve">Annex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E420C"/>
    <w:multiLevelType w:val="hybridMultilevel"/>
    <w:tmpl w:val="1B2A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E376DD"/>
    <w:multiLevelType w:val="hybridMultilevel"/>
    <w:tmpl w:val="CB10D454"/>
    <w:lvl w:ilvl="0" w:tplc="F16A372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85D2F0C"/>
    <w:multiLevelType w:val="hybridMultilevel"/>
    <w:tmpl w:val="1486BBA0"/>
    <w:lvl w:ilvl="0" w:tplc="F16A372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86DDF"/>
    <w:multiLevelType w:val="hybridMultilevel"/>
    <w:tmpl w:val="3D3CAA18"/>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70500967"/>
    <w:multiLevelType w:val="hybridMultilevel"/>
    <w:tmpl w:val="C4C2E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57"/>
    <w:rsid w:val="000612A6"/>
    <w:rsid w:val="000A3F2F"/>
    <w:rsid w:val="00102AC0"/>
    <w:rsid w:val="001410F6"/>
    <w:rsid w:val="00173F42"/>
    <w:rsid w:val="001875A2"/>
    <w:rsid w:val="001D4C25"/>
    <w:rsid w:val="002101E4"/>
    <w:rsid w:val="00213B10"/>
    <w:rsid w:val="002F29E2"/>
    <w:rsid w:val="003F63A4"/>
    <w:rsid w:val="004220D9"/>
    <w:rsid w:val="004F3B97"/>
    <w:rsid w:val="00535680"/>
    <w:rsid w:val="005454C3"/>
    <w:rsid w:val="00550D2B"/>
    <w:rsid w:val="0060695E"/>
    <w:rsid w:val="00644B55"/>
    <w:rsid w:val="00662DEB"/>
    <w:rsid w:val="00664B57"/>
    <w:rsid w:val="0068132F"/>
    <w:rsid w:val="006A5745"/>
    <w:rsid w:val="006D19F8"/>
    <w:rsid w:val="006E61A7"/>
    <w:rsid w:val="00746C61"/>
    <w:rsid w:val="007E36D5"/>
    <w:rsid w:val="00826D65"/>
    <w:rsid w:val="00844089"/>
    <w:rsid w:val="00897D94"/>
    <w:rsid w:val="008A7ED8"/>
    <w:rsid w:val="00900BFD"/>
    <w:rsid w:val="00AA2619"/>
    <w:rsid w:val="00AB361B"/>
    <w:rsid w:val="00AE3577"/>
    <w:rsid w:val="00B01864"/>
    <w:rsid w:val="00D254C8"/>
    <w:rsid w:val="00D8413B"/>
    <w:rsid w:val="00E02C34"/>
    <w:rsid w:val="00E221D9"/>
    <w:rsid w:val="00E83EDE"/>
    <w:rsid w:val="00F15C3E"/>
    <w:rsid w:val="00FA52CF"/>
    <w:rsid w:val="00FB5A86"/>
    <w:rsid w:val="60E12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F870"/>
  <w15:chartTrackingRefBased/>
  <w15:docId w15:val="{80D69B05-7174-471D-8E37-CB513057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864"/>
    <w:pPr>
      <w:ind w:left="720"/>
      <w:contextualSpacing/>
    </w:pPr>
  </w:style>
  <w:style w:type="paragraph" w:styleId="BalloonText">
    <w:name w:val="Balloon Text"/>
    <w:basedOn w:val="Normal"/>
    <w:link w:val="BalloonTextChar"/>
    <w:uiPriority w:val="99"/>
    <w:semiHidden/>
    <w:unhideWhenUsed/>
    <w:rsid w:val="00210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E4"/>
    <w:rPr>
      <w:rFonts w:ascii="Segoe UI" w:hAnsi="Segoe UI" w:cs="Segoe UI"/>
      <w:sz w:val="18"/>
      <w:szCs w:val="18"/>
    </w:rPr>
  </w:style>
  <w:style w:type="character" w:customStyle="1" w:styleId="ParagraphChar">
    <w:name w:val="Paragraph Char"/>
    <w:aliases w:val="p Char"/>
    <w:link w:val="Paragraph"/>
    <w:locked/>
    <w:rsid w:val="000A3F2F"/>
    <w:rPr>
      <w:sz w:val="24"/>
    </w:rPr>
  </w:style>
  <w:style w:type="paragraph" w:customStyle="1" w:styleId="Paragraph">
    <w:name w:val="Paragraph"/>
    <w:aliases w:val="p,paragraph"/>
    <w:basedOn w:val="Normal"/>
    <w:link w:val="ParagraphChar"/>
    <w:rsid w:val="000A3F2F"/>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240" w:lineRule="auto"/>
      <w:ind w:left="1152" w:hanging="1152"/>
    </w:pPr>
    <w:rPr>
      <w:sz w:val="24"/>
    </w:rPr>
  </w:style>
  <w:style w:type="table" w:styleId="TableGrid">
    <w:name w:val="Table Grid"/>
    <w:basedOn w:val="TableNormal"/>
    <w:uiPriority w:val="39"/>
    <w:rsid w:val="00746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61B"/>
  </w:style>
  <w:style w:type="paragraph" w:styleId="Footer">
    <w:name w:val="footer"/>
    <w:basedOn w:val="Normal"/>
    <w:link w:val="FooterChar"/>
    <w:uiPriority w:val="99"/>
    <w:unhideWhenUsed/>
    <w:rsid w:val="00AB3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2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Gemma B2 (DES Comrcl-Ops-CCDT1 AsstHd)</dc:creator>
  <cp:keywords/>
  <dc:description/>
  <cp:lastModifiedBy>Hawkins, Elizabeth Mrs</cp:lastModifiedBy>
  <cp:revision>2</cp:revision>
  <cp:lastPrinted>2018-10-08T08:07:00Z</cp:lastPrinted>
  <dcterms:created xsi:type="dcterms:W3CDTF">2019-01-21T15:50:00Z</dcterms:created>
  <dcterms:modified xsi:type="dcterms:W3CDTF">2019-01-21T15:50:00Z</dcterms:modified>
</cp:coreProperties>
</file>