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5D9D490" w:rsidR="00B327EC" w:rsidRPr="002C519F" w:rsidRDefault="00F5241E" w:rsidP="00B327EC">
      <w:pPr>
        <w:widowControl w:val="0"/>
        <w:tabs>
          <w:tab w:val="center" w:pos="4513"/>
        </w:tabs>
        <w:spacing w:before="120" w:after="120"/>
        <w:jc w:val="center"/>
        <w:rPr>
          <w:b/>
          <w:bCs/>
          <w:sz w:val="36"/>
          <w:szCs w:val="36"/>
        </w:rPr>
      </w:pPr>
      <w:r w:rsidRPr="00F5241E">
        <w:rPr>
          <w:b/>
          <w:bCs/>
          <w:sz w:val="36"/>
          <w:szCs w:val="36"/>
        </w:rPr>
        <w:t>THE COLLEGE OF POLICING</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213EECA9" w:rsidR="00B327EC" w:rsidRPr="002C519F" w:rsidRDefault="002D4509" w:rsidP="002D4509">
      <w:pPr>
        <w:widowControl w:val="0"/>
        <w:tabs>
          <w:tab w:val="center" w:pos="4513"/>
        </w:tabs>
        <w:spacing w:before="120" w:after="120"/>
        <w:jc w:val="center"/>
        <w:rPr>
          <w:bCs/>
          <w:sz w:val="36"/>
          <w:szCs w:val="36"/>
        </w:rPr>
      </w:pPr>
      <w:r>
        <w:rPr>
          <w:b/>
          <w:bCs/>
          <w:sz w:val="36"/>
          <w:szCs w:val="36"/>
        </w:rPr>
        <w:t>Deloitte LLP</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888ADC6" w:rsidR="00B327EC" w:rsidRDefault="00F5241E" w:rsidP="00B327EC">
      <w:pPr>
        <w:widowControl w:val="0"/>
        <w:tabs>
          <w:tab w:val="left" w:pos="-720"/>
        </w:tabs>
        <w:spacing w:before="120" w:after="120"/>
        <w:jc w:val="center"/>
        <w:rPr>
          <w:b/>
          <w:bCs/>
          <w:sz w:val="36"/>
          <w:szCs w:val="36"/>
        </w:rPr>
      </w:pPr>
      <w:r w:rsidRPr="002C519F">
        <w:rPr>
          <w:b/>
          <w:bCs/>
          <w:sz w:val="36"/>
          <w:szCs w:val="36"/>
        </w:rPr>
        <w:t>Relating</w:t>
      </w:r>
      <w:r w:rsidR="00B327EC"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2FDF274E" w14:textId="601AD2A6" w:rsidR="00F5241E" w:rsidRPr="00F5241E" w:rsidRDefault="00F5241E" w:rsidP="00F5241E">
      <w:pPr>
        <w:widowControl w:val="0"/>
        <w:tabs>
          <w:tab w:val="center" w:pos="4513"/>
        </w:tabs>
        <w:spacing w:before="120" w:after="120"/>
        <w:jc w:val="center"/>
        <w:rPr>
          <w:b/>
          <w:bCs/>
          <w:sz w:val="36"/>
          <w:szCs w:val="36"/>
        </w:rPr>
      </w:pPr>
      <w:r w:rsidRPr="00F5241E">
        <w:rPr>
          <w:b/>
          <w:bCs/>
          <w:sz w:val="36"/>
          <w:szCs w:val="36"/>
        </w:rPr>
        <w:t>PROVISION OF THE BUSINESS SKILLS MODULE OF</w:t>
      </w:r>
    </w:p>
    <w:p w14:paraId="73DF4AFC" w14:textId="01D20D3D" w:rsidR="00B327EC" w:rsidRPr="002C519F" w:rsidRDefault="00F5241E" w:rsidP="00F5241E">
      <w:pPr>
        <w:widowControl w:val="0"/>
        <w:tabs>
          <w:tab w:val="center" w:pos="4513"/>
        </w:tabs>
        <w:spacing w:before="120" w:after="120"/>
        <w:jc w:val="center"/>
        <w:rPr>
          <w:b/>
          <w:bCs/>
          <w:sz w:val="36"/>
          <w:szCs w:val="36"/>
          <w:highlight w:val="yellow"/>
        </w:rPr>
      </w:pPr>
      <w:r w:rsidRPr="00F5241E">
        <w:rPr>
          <w:b/>
          <w:bCs/>
          <w:sz w:val="36"/>
          <w:szCs w:val="36"/>
        </w:rPr>
        <w:t>THE STRATEGIC COMMAND COURSE (SCC) AND A PROGRAMME OF CHIEF OFFICER LEADERSHIP DEVELOPMENT</w:t>
      </w:r>
    </w:p>
    <w:p w14:paraId="584C9CC2" w14:textId="230A2D45" w:rsidR="00F42D71" w:rsidRPr="002C519F" w:rsidRDefault="002C519F" w:rsidP="00B327EC">
      <w:pPr>
        <w:widowControl w:val="0"/>
        <w:tabs>
          <w:tab w:val="center" w:pos="4513"/>
        </w:tabs>
        <w:spacing w:before="120" w:after="120"/>
        <w:jc w:val="center"/>
        <w:rPr>
          <w:b/>
          <w:bCs/>
          <w:sz w:val="36"/>
          <w:szCs w:val="36"/>
        </w:rPr>
      </w:pPr>
      <w:r w:rsidRPr="00F5241E">
        <w:rPr>
          <w:b/>
          <w:bCs/>
          <w:sz w:val="36"/>
          <w:szCs w:val="36"/>
        </w:rPr>
        <w:t xml:space="preserve">CONTRACT </w:t>
      </w:r>
      <w:r w:rsidR="00F5241E" w:rsidRPr="00F5241E">
        <w:rPr>
          <w:b/>
          <w:bCs/>
          <w:sz w:val="36"/>
          <w:szCs w:val="36"/>
        </w:rPr>
        <w:t>REFERENCE: CCHR18A50</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0B45ECF3"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0D74FB">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0D74FB">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0D74FB">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0D74FB">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0D74FB">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0D74FB">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0D74FB">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0D74FB">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0D74FB">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0D74FB">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0D74FB">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0D74FB">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0D74FB">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0D74FB">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0D74FB">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0D74FB">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0D74FB">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0D74FB">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0D74FB">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0D74FB">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0D74FB">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0D74FB">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0D74FB">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0D74FB">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0D74FB">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0D74FB">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0D74FB">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0D74FB">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3DB7C835" w14:textId="5FCFFEAA" w:rsidR="00EB3DF3" w:rsidRPr="003537BB" w:rsidRDefault="001167A3" w:rsidP="007F6E50">
      <w:pPr>
        <w:pStyle w:val="Background1"/>
        <w:numPr>
          <w:ilvl w:val="0"/>
          <w:numId w:val="0"/>
        </w:numPr>
        <w:spacing w:after="120" w:line="240" w:lineRule="auto"/>
        <w:jc w:val="both"/>
        <w:rPr>
          <w:b/>
          <w:szCs w:val="22"/>
        </w:rPr>
      </w:pPr>
      <w:r w:rsidRPr="00424EDF">
        <w:rPr>
          <w:rFonts w:cs="Arial"/>
          <w:caps/>
          <w:szCs w:val="22"/>
        </w:rPr>
        <w:fldChar w:fldCharType="end"/>
      </w:r>
      <w:bookmarkStart w:id="2" w:name="_Toc444688599"/>
      <w:r w:rsidR="00940825" w:rsidRPr="00940825">
        <w:rPr>
          <w:rFonts w:cs="Arial"/>
          <w:b/>
          <w:caps/>
          <w:szCs w:val="22"/>
        </w:rPr>
        <w:t>A</w:t>
      </w:r>
      <w:r w:rsidR="00EB3DF3" w:rsidRPr="003537BB">
        <w:rPr>
          <w:b/>
          <w:szCs w:val="22"/>
        </w:rPr>
        <w:t>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lastRenderedPageBreak/>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 xml:space="preserve">The offer comprised in the Award Letter shall be deemed to be accepted by the Supplier on receipt by the Customer, within </w:t>
      </w:r>
      <w:r w:rsidR="00E33C8F" w:rsidRPr="007F6E50">
        <w:rPr>
          <w:b w:val="0"/>
          <w:u w:val="none"/>
        </w:rPr>
        <w:t>7</w:t>
      </w:r>
      <w:r w:rsidRPr="007F6E50">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56DA80B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7F6E50">
        <w:rPr>
          <w:rFonts w:cs="Arial"/>
          <w:b w:val="0"/>
          <w:u w:val="none"/>
        </w:rPr>
        <w:t>2 years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 xml:space="preserve">If necessary, the Customer shall provide the Supplier with reasonable access at reasonable times to its premises for the purpose of supplying the Services.  All </w:t>
      </w:r>
      <w:r w:rsidRPr="006E4A65">
        <w:rPr>
          <w:rFonts w:cs="Arial"/>
          <w:b w:val="0"/>
          <w:u w:val="none"/>
        </w:rPr>
        <w:lastRenderedPageBreak/>
        <w:t>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lastRenderedPageBreak/>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lastRenderedPageBreak/>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lastRenderedPageBreak/>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lastRenderedPageBreak/>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lastRenderedPageBreak/>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w:t>
      </w:r>
      <w:r w:rsidRPr="006E4A65">
        <w:rPr>
          <w:rFonts w:cs="Arial"/>
          <w:sz w:val="22"/>
          <w:szCs w:val="22"/>
        </w:rPr>
        <w:lastRenderedPageBreak/>
        <w:t xml:space="preserve">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lastRenderedPageBreak/>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w:t>
      </w:r>
      <w:r w:rsidRPr="006E4A65">
        <w:rPr>
          <w:rFonts w:cs="Arial"/>
          <w:b w:val="0"/>
          <w:u w:val="none"/>
        </w:rPr>
        <w:lastRenderedPageBreak/>
        <w:t xml:space="preserve">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lastRenderedPageBreak/>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lastRenderedPageBreak/>
        <w:t>ANNEX 2 – PRICE SCHEDULE</w:t>
      </w:r>
      <w:bookmarkEnd w:id="107"/>
    </w:p>
    <w:p w14:paraId="33684E12" w14:textId="77777777" w:rsidR="004F6066" w:rsidRDefault="004F6066" w:rsidP="004F6066">
      <w:pPr>
        <w:pStyle w:val="ListParagraph"/>
        <w:spacing w:before="240" w:line="240" w:lineRule="atLeast"/>
        <w:ind w:left="792" w:right="3"/>
        <w:contextualSpacing/>
        <w:jc w:val="both"/>
        <w:rPr>
          <w:rFonts w:eastAsiaTheme="minorEastAsia" w:cs="Arial"/>
        </w:rPr>
      </w:pPr>
      <w:r w:rsidRPr="004616BB">
        <w:rPr>
          <w:rFonts w:eastAsiaTheme="minorEastAsia" w:cs="Arial"/>
        </w:rPr>
        <w:t>The total contract value shall be £249,682.00 (excluding VAT) and including all extension options.</w:t>
      </w:r>
    </w:p>
    <w:p w14:paraId="39DD0762" w14:textId="77777777" w:rsidR="004F6066" w:rsidRDefault="004F6066" w:rsidP="004F6066">
      <w:pPr>
        <w:pStyle w:val="ListParagraph"/>
        <w:spacing w:before="240" w:line="240" w:lineRule="atLeast"/>
        <w:ind w:left="792" w:right="3"/>
        <w:contextualSpacing/>
        <w:jc w:val="both"/>
        <w:rPr>
          <w:rFonts w:eastAsiaTheme="minorEastAsia" w:cs="Arial"/>
        </w:rPr>
      </w:pPr>
    </w:p>
    <w:p w14:paraId="6F7113EA" w14:textId="019D5C77" w:rsidR="004F6066" w:rsidRPr="004616BB" w:rsidRDefault="001C3752" w:rsidP="004F6066">
      <w:pPr>
        <w:pStyle w:val="ListParagraph"/>
        <w:spacing w:before="240" w:line="240" w:lineRule="atLeast"/>
        <w:ind w:left="426" w:right="3"/>
        <w:contextualSpacing/>
        <w:jc w:val="center"/>
        <w:rPr>
          <w:rFonts w:eastAsia="Times New Roman" w:cs="Arial"/>
          <w:lang w:eastAsia="en-GB"/>
        </w:rPr>
      </w:pPr>
      <w:r>
        <w:rPr>
          <w:noProof/>
          <w:lang w:eastAsia="en-GB"/>
        </w:rPr>
        <w:t>REDACTED TEXT</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5AAED2FE" w14:textId="17398C16" w:rsidR="00A649DF" w:rsidRPr="00AC0314" w:rsidRDefault="00AC0314" w:rsidP="00174DC0">
      <w:pPr>
        <w:pStyle w:val="ScheduleLevel1"/>
        <w:numPr>
          <w:ilvl w:val="0"/>
          <w:numId w:val="0"/>
        </w:numPr>
        <w:spacing w:after="120"/>
        <w:jc w:val="center"/>
        <w:rPr>
          <w:rFonts w:cs="Arial"/>
          <w:szCs w:val="22"/>
        </w:rPr>
      </w:pPr>
      <w:r w:rsidRPr="00AC0314">
        <w:rPr>
          <w:rFonts w:cs="Arial"/>
          <w:b/>
          <w:szCs w:val="22"/>
        </w:rPr>
        <w:object w:dxaOrig="1544" w:dyaOrig="998" w14:anchorId="1A199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Word.Document.12" ShapeID="_x0000_i1025" DrawAspect="Icon" ObjectID="_1618916125" r:id="rId18">
            <o:FieldCodes>\s</o:FieldCodes>
          </o:OLEObject>
        </w:object>
      </w:r>
    </w:p>
    <w:p w14:paraId="7FE12DAB" w14:textId="53CCC3B6" w:rsidR="0008051A" w:rsidRDefault="0008051A">
      <w:pPr>
        <w:rPr>
          <w:rFonts w:cs="Arial"/>
          <w:b/>
          <w:szCs w:val="22"/>
        </w:rPr>
      </w:pPr>
    </w:p>
    <w:p w14:paraId="49153E3B" w14:textId="13853752" w:rsidR="00A649DF" w:rsidRDefault="0008051A" w:rsidP="0008051A">
      <w:pPr>
        <w:tabs>
          <w:tab w:val="left" w:pos="3370"/>
        </w:tabs>
        <w:rPr>
          <w:rFonts w:eastAsia="Times New Roman" w:cs="Arial"/>
          <w:b/>
          <w:szCs w:val="22"/>
          <w:lang w:eastAsia="en-US"/>
        </w:rPr>
      </w:pPr>
      <w:r>
        <w:rPr>
          <w:rFonts w:cs="Arial"/>
          <w:szCs w:val="22"/>
        </w:rPr>
        <w:tab/>
      </w:r>
      <w:r w:rsidR="00A649DF" w:rsidRPr="0008051A">
        <w:rPr>
          <w:rFonts w:cs="Arial"/>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4D5AF130" w14:textId="31B387CD" w:rsidR="005F10EE" w:rsidRDefault="00D25599" w:rsidP="005F10EE">
      <w:pPr>
        <w:widowControl w:val="0"/>
        <w:tabs>
          <w:tab w:val="num" w:pos="540"/>
        </w:tabs>
        <w:spacing w:after="100" w:afterAutospacing="1"/>
        <w:ind w:left="851" w:hanging="851"/>
        <w:jc w:val="center"/>
        <w:outlineLvl w:val="0"/>
        <w:rPr>
          <w:rFonts w:eastAsia="Times New Roman"/>
          <w:szCs w:val="22"/>
          <w:lang w:eastAsia="en-US"/>
        </w:rPr>
      </w:pPr>
      <w:r w:rsidRPr="00336839">
        <w:rPr>
          <w:rFonts w:eastAsia="Times New Roman"/>
          <w:szCs w:val="22"/>
          <w:lang w:eastAsia="en-US"/>
        </w:rPr>
        <w:t xml:space="preserve">(From the Supplier’s Bid of </w:t>
      </w:r>
      <w:r w:rsidR="004F6066">
        <w:rPr>
          <w:rFonts w:eastAsia="Times New Roman"/>
          <w:szCs w:val="22"/>
          <w:lang w:eastAsia="en-US"/>
        </w:rPr>
        <w:t>14</w:t>
      </w:r>
      <w:r w:rsidR="004F6066" w:rsidRPr="004F6066">
        <w:rPr>
          <w:rFonts w:eastAsia="Times New Roman"/>
          <w:szCs w:val="22"/>
          <w:vertAlign w:val="superscript"/>
          <w:lang w:eastAsia="en-US"/>
        </w:rPr>
        <w:t>th</w:t>
      </w:r>
      <w:r w:rsidR="004F6066">
        <w:rPr>
          <w:rFonts w:eastAsia="Times New Roman"/>
          <w:szCs w:val="22"/>
          <w:lang w:eastAsia="en-US"/>
        </w:rPr>
        <w:t xml:space="preserve"> December 2018</w:t>
      </w:r>
      <w:r w:rsidR="005F10EE" w:rsidRPr="00336839">
        <w:rPr>
          <w:rFonts w:eastAsia="Times New Roman"/>
          <w:szCs w:val="22"/>
          <w:lang w:eastAsia="en-US"/>
        </w:rPr>
        <w:t>)</w:t>
      </w:r>
    </w:p>
    <w:p w14:paraId="37D02DAD" w14:textId="0CF0EF2A" w:rsidR="004F6066" w:rsidRDefault="004F6066" w:rsidP="00135975">
      <w:pPr>
        <w:widowControl w:val="0"/>
        <w:tabs>
          <w:tab w:val="num" w:pos="540"/>
        </w:tabs>
        <w:spacing w:after="100" w:afterAutospacing="1"/>
        <w:ind w:left="851" w:hanging="851"/>
        <w:jc w:val="center"/>
        <w:outlineLvl w:val="0"/>
        <w:rPr>
          <w:rFonts w:eastAsia="Times New Roman"/>
          <w:szCs w:val="22"/>
          <w:lang w:eastAsia="en-US"/>
        </w:rPr>
      </w:pPr>
    </w:p>
    <w:p w14:paraId="31CAE74C" w14:textId="1213DF00" w:rsidR="004F6066" w:rsidRDefault="004F6066" w:rsidP="00135975">
      <w:pPr>
        <w:widowControl w:val="0"/>
        <w:tabs>
          <w:tab w:val="num" w:pos="540"/>
        </w:tabs>
        <w:spacing w:after="100" w:afterAutospacing="1"/>
        <w:ind w:left="851" w:hanging="851"/>
        <w:jc w:val="center"/>
        <w:outlineLvl w:val="0"/>
        <w:rPr>
          <w:rFonts w:eastAsia="Times New Roman"/>
          <w:szCs w:val="22"/>
          <w:lang w:eastAsia="en-US"/>
        </w:rPr>
      </w:pPr>
    </w:p>
    <w:p w14:paraId="3901D31C" w14:textId="60DC2C9E" w:rsidR="00174DC0" w:rsidRDefault="001C3752" w:rsidP="00135975">
      <w:pPr>
        <w:jc w:val="center"/>
        <w:rPr>
          <w:rFonts w:eastAsia="Times New Roman"/>
          <w:b/>
          <w:szCs w:val="22"/>
          <w:lang w:eastAsia="en-US"/>
        </w:rPr>
      </w:pPr>
      <w:bookmarkStart w:id="110" w:name="_Toc437243999"/>
      <w:r>
        <w:rPr>
          <w:rFonts w:eastAsia="Times New Roman"/>
          <w:b/>
          <w:szCs w:val="22"/>
          <w:lang w:eastAsia="en-US"/>
        </w:rPr>
        <w:t>REDACTED TEXT</w:t>
      </w:r>
    </w:p>
    <w:p w14:paraId="3CC7B143" w14:textId="77777777" w:rsidR="00135975" w:rsidRDefault="00135975" w:rsidP="00135975">
      <w:pPr>
        <w:jc w:val="center"/>
        <w:rPr>
          <w:rFonts w:eastAsia="Times New Roman"/>
          <w:b/>
          <w:szCs w:val="22"/>
          <w:lang w:eastAsia="en-US"/>
        </w:rPr>
      </w:pPr>
    </w:p>
    <w:p w14:paraId="53E83DFE" w14:textId="10E87848" w:rsidR="00135975" w:rsidRDefault="00135975" w:rsidP="00135975">
      <w:pPr>
        <w:jc w:val="center"/>
        <w:rPr>
          <w:rFonts w:eastAsia="Times New Roman"/>
          <w:b/>
          <w:szCs w:val="22"/>
          <w:lang w:eastAsia="en-US"/>
        </w:rPr>
      </w:pPr>
    </w:p>
    <w:p w14:paraId="0F9F0D45" w14:textId="77777777" w:rsidR="00135975" w:rsidRDefault="00135975" w:rsidP="00135975">
      <w:pPr>
        <w:jc w:val="center"/>
        <w:rPr>
          <w:rFonts w:eastAsia="Times New Roman"/>
          <w:b/>
          <w:szCs w:val="22"/>
          <w:lang w:eastAsia="en-US"/>
        </w:rPr>
      </w:pPr>
    </w:p>
    <w:p w14:paraId="63CCDB4B" w14:textId="77777777" w:rsidR="00135975" w:rsidRDefault="00135975" w:rsidP="00135975">
      <w:pPr>
        <w:jc w:val="center"/>
        <w:rPr>
          <w:rFonts w:eastAsia="Times New Roman"/>
          <w:b/>
          <w:szCs w:val="22"/>
          <w:lang w:eastAsia="en-US"/>
        </w:rPr>
      </w:pPr>
    </w:p>
    <w:p w14:paraId="4505B42C" w14:textId="77777777" w:rsidR="00135975" w:rsidRDefault="00135975" w:rsidP="00135975">
      <w:pPr>
        <w:jc w:val="center"/>
        <w:rPr>
          <w:rFonts w:eastAsia="Times New Roman"/>
          <w:b/>
          <w:szCs w:val="22"/>
          <w:lang w:eastAsia="en-US"/>
        </w:rPr>
      </w:pPr>
    </w:p>
    <w:p w14:paraId="160CA3BA" w14:textId="415B2661" w:rsidR="00174DC0" w:rsidRDefault="00174DC0" w:rsidP="00135975">
      <w:pPr>
        <w:widowControl w:val="0"/>
        <w:tabs>
          <w:tab w:val="num" w:pos="540"/>
        </w:tabs>
        <w:spacing w:after="100" w:afterAutospacing="1"/>
        <w:ind w:left="851" w:hanging="851"/>
        <w:jc w:val="center"/>
        <w:outlineLvl w:val="0"/>
        <w:rPr>
          <w:rFonts w:eastAsia="Times New Roman"/>
          <w:b/>
          <w:szCs w:val="22"/>
          <w:lang w:eastAsia="en-US"/>
        </w:rPr>
      </w:pPr>
    </w:p>
    <w:p w14:paraId="59A5BD35" w14:textId="77777777" w:rsidR="00135975" w:rsidRDefault="00135975" w:rsidP="00174DC0">
      <w:pPr>
        <w:widowControl w:val="0"/>
        <w:tabs>
          <w:tab w:val="num" w:pos="540"/>
        </w:tabs>
        <w:spacing w:after="100" w:afterAutospacing="1"/>
        <w:ind w:left="851" w:hanging="851"/>
        <w:jc w:val="center"/>
        <w:outlineLvl w:val="0"/>
        <w:rPr>
          <w:rFonts w:eastAsia="Times New Roman"/>
          <w:b/>
          <w:szCs w:val="22"/>
          <w:lang w:eastAsia="en-US"/>
        </w:rPr>
      </w:pPr>
    </w:p>
    <w:p w14:paraId="46588AA5" w14:textId="77777777" w:rsidR="00135975" w:rsidRDefault="00135975" w:rsidP="00174DC0">
      <w:pPr>
        <w:widowControl w:val="0"/>
        <w:tabs>
          <w:tab w:val="num" w:pos="540"/>
        </w:tabs>
        <w:spacing w:after="100" w:afterAutospacing="1"/>
        <w:ind w:left="851" w:hanging="851"/>
        <w:jc w:val="center"/>
        <w:outlineLvl w:val="0"/>
        <w:rPr>
          <w:rFonts w:eastAsia="Times New Roman"/>
          <w:b/>
          <w:szCs w:val="22"/>
          <w:lang w:eastAsia="en-US"/>
        </w:rPr>
      </w:pPr>
    </w:p>
    <w:p w14:paraId="4DCBC777" w14:textId="77777777" w:rsidR="00135975" w:rsidRDefault="00135975" w:rsidP="00174DC0">
      <w:pPr>
        <w:widowControl w:val="0"/>
        <w:tabs>
          <w:tab w:val="num" w:pos="540"/>
        </w:tabs>
        <w:spacing w:after="100" w:afterAutospacing="1"/>
        <w:ind w:left="851" w:hanging="851"/>
        <w:jc w:val="center"/>
        <w:outlineLvl w:val="0"/>
        <w:rPr>
          <w:rFonts w:eastAsia="Times New Roman"/>
          <w:b/>
          <w:szCs w:val="22"/>
          <w:lang w:eastAsia="en-US"/>
        </w:rPr>
      </w:pPr>
    </w:p>
    <w:p w14:paraId="79A89597" w14:textId="77777777" w:rsidR="001C3752" w:rsidRDefault="001C3752" w:rsidP="00174DC0">
      <w:pPr>
        <w:widowControl w:val="0"/>
        <w:tabs>
          <w:tab w:val="num" w:pos="540"/>
        </w:tabs>
        <w:spacing w:after="100" w:afterAutospacing="1"/>
        <w:ind w:left="851" w:hanging="851"/>
        <w:jc w:val="center"/>
        <w:outlineLvl w:val="0"/>
        <w:rPr>
          <w:rFonts w:eastAsia="Times New Roman"/>
          <w:b/>
          <w:szCs w:val="22"/>
          <w:lang w:eastAsia="en-US"/>
        </w:rPr>
      </w:pPr>
    </w:p>
    <w:p w14:paraId="0C521558" w14:textId="77777777" w:rsidR="001C3752" w:rsidRDefault="001C3752" w:rsidP="00174DC0">
      <w:pPr>
        <w:widowControl w:val="0"/>
        <w:tabs>
          <w:tab w:val="num" w:pos="540"/>
        </w:tabs>
        <w:spacing w:after="100" w:afterAutospacing="1"/>
        <w:ind w:left="851" w:hanging="851"/>
        <w:jc w:val="center"/>
        <w:outlineLvl w:val="0"/>
        <w:rPr>
          <w:rFonts w:eastAsia="Times New Roman"/>
          <w:b/>
          <w:szCs w:val="22"/>
          <w:lang w:eastAsia="en-US"/>
        </w:rPr>
      </w:pPr>
    </w:p>
    <w:p w14:paraId="440985CB" w14:textId="77777777" w:rsidR="001C3752" w:rsidRDefault="001C3752" w:rsidP="00174DC0">
      <w:pPr>
        <w:widowControl w:val="0"/>
        <w:tabs>
          <w:tab w:val="num" w:pos="540"/>
        </w:tabs>
        <w:spacing w:after="100" w:afterAutospacing="1"/>
        <w:ind w:left="851" w:hanging="851"/>
        <w:jc w:val="center"/>
        <w:outlineLvl w:val="0"/>
        <w:rPr>
          <w:rFonts w:eastAsia="Times New Roman"/>
          <w:b/>
          <w:szCs w:val="22"/>
          <w:lang w:eastAsia="en-US"/>
        </w:rPr>
      </w:pPr>
    </w:p>
    <w:p w14:paraId="3C5E98C2" w14:textId="77777777" w:rsidR="001C3752" w:rsidRDefault="001C3752" w:rsidP="00174DC0">
      <w:pPr>
        <w:widowControl w:val="0"/>
        <w:tabs>
          <w:tab w:val="num" w:pos="540"/>
        </w:tabs>
        <w:spacing w:after="100" w:afterAutospacing="1"/>
        <w:ind w:left="851" w:hanging="851"/>
        <w:jc w:val="center"/>
        <w:outlineLvl w:val="0"/>
        <w:rPr>
          <w:rFonts w:eastAsia="Times New Roman"/>
          <w:b/>
          <w:szCs w:val="22"/>
          <w:lang w:eastAsia="en-US"/>
        </w:rPr>
      </w:pPr>
    </w:p>
    <w:p w14:paraId="1417266B" w14:textId="77777777" w:rsidR="001C3752" w:rsidRDefault="001C3752" w:rsidP="00174DC0">
      <w:pPr>
        <w:widowControl w:val="0"/>
        <w:tabs>
          <w:tab w:val="num" w:pos="540"/>
        </w:tabs>
        <w:spacing w:after="100" w:afterAutospacing="1"/>
        <w:ind w:left="851" w:hanging="851"/>
        <w:jc w:val="center"/>
        <w:outlineLvl w:val="0"/>
        <w:rPr>
          <w:rFonts w:eastAsia="Times New Roman"/>
          <w:b/>
          <w:szCs w:val="22"/>
          <w:lang w:eastAsia="en-US"/>
        </w:rPr>
      </w:pPr>
    </w:p>
    <w:p w14:paraId="5729857A" w14:textId="77777777" w:rsidR="001C3752" w:rsidRDefault="001C3752" w:rsidP="00174DC0">
      <w:pPr>
        <w:widowControl w:val="0"/>
        <w:tabs>
          <w:tab w:val="num" w:pos="540"/>
        </w:tabs>
        <w:spacing w:after="100" w:afterAutospacing="1"/>
        <w:ind w:left="851" w:hanging="851"/>
        <w:jc w:val="center"/>
        <w:outlineLvl w:val="0"/>
        <w:rPr>
          <w:rFonts w:eastAsia="Times New Roman"/>
          <w:b/>
          <w:szCs w:val="22"/>
          <w:lang w:eastAsia="en-US"/>
        </w:rPr>
      </w:pPr>
    </w:p>
    <w:p w14:paraId="6EF27268" w14:textId="77777777" w:rsidR="001C3752" w:rsidRDefault="001C3752" w:rsidP="00174DC0">
      <w:pPr>
        <w:widowControl w:val="0"/>
        <w:tabs>
          <w:tab w:val="num" w:pos="540"/>
        </w:tabs>
        <w:spacing w:after="100" w:afterAutospacing="1"/>
        <w:ind w:left="851" w:hanging="851"/>
        <w:jc w:val="center"/>
        <w:outlineLvl w:val="0"/>
        <w:rPr>
          <w:rFonts w:eastAsia="Times New Roman"/>
          <w:b/>
          <w:szCs w:val="22"/>
          <w:lang w:eastAsia="en-US"/>
        </w:rPr>
      </w:pPr>
    </w:p>
    <w:p w14:paraId="1DAFECCF" w14:textId="77777777" w:rsidR="00135975" w:rsidRDefault="00135975" w:rsidP="00174DC0">
      <w:pPr>
        <w:widowControl w:val="0"/>
        <w:tabs>
          <w:tab w:val="num" w:pos="540"/>
        </w:tabs>
        <w:spacing w:after="100" w:afterAutospacing="1"/>
        <w:ind w:left="851" w:hanging="851"/>
        <w:jc w:val="center"/>
        <w:outlineLvl w:val="0"/>
        <w:rPr>
          <w:rFonts w:eastAsia="Times New Roman"/>
          <w:b/>
          <w:szCs w:val="22"/>
          <w:lang w:eastAsia="en-US"/>
        </w:rPr>
      </w:pPr>
    </w:p>
    <w:p w14:paraId="011C8D1B" w14:textId="77777777" w:rsidR="00135975" w:rsidRDefault="00135975" w:rsidP="00174DC0">
      <w:pPr>
        <w:widowControl w:val="0"/>
        <w:tabs>
          <w:tab w:val="num" w:pos="540"/>
        </w:tabs>
        <w:spacing w:after="100" w:afterAutospacing="1"/>
        <w:ind w:left="851" w:hanging="851"/>
        <w:jc w:val="center"/>
        <w:outlineLvl w:val="0"/>
        <w:rPr>
          <w:rFonts w:eastAsia="Times New Roman"/>
          <w:b/>
          <w:szCs w:val="22"/>
          <w:lang w:eastAsia="en-US"/>
        </w:rPr>
      </w:pPr>
    </w:p>
    <w:p w14:paraId="3F5DF85C" w14:textId="77777777" w:rsidR="00135975" w:rsidRDefault="00135975" w:rsidP="00174DC0">
      <w:pPr>
        <w:widowControl w:val="0"/>
        <w:tabs>
          <w:tab w:val="num" w:pos="540"/>
        </w:tabs>
        <w:spacing w:after="100" w:afterAutospacing="1"/>
        <w:ind w:left="851" w:hanging="851"/>
        <w:jc w:val="center"/>
        <w:outlineLvl w:val="0"/>
        <w:rPr>
          <w:rFonts w:eastAsia="Times New Roman"/>
          <w:b/>
          <w:szCs w:val="22"/>
          <w:lang w:eastAsia="en-US"/>
        </w:rPr>
      </w:pPr>
    </w:p>
    <w:p w14:paraId="130DBA11" w14:textId="77777777" w:rsidR="00135975" w:rsidRDefault="00135975" w:rsidP="00174DC0">
      <w:pPr>
        <w:widowControl w:val="0"/>
        <w:tabs>
          <w:tab w:val="num" w:pos="540"/>
        </w:tabs>
        <w:spacing w:after="100" w:afterAutospacing="1"/>
        <w:ind w:left="851" w:hanging="851"/>
        <w:jc w:val="center"/>
        <w:outlineLvl w:val="0"/>
        <w:rPr>
          <w:rFonts w:eastAsia="Times New Roman"/>
          <w:b/>
          <w:szCs w:val="22"/>
          <w:lang w:eastAsia="en-US"/>
        </w:rPr>
      </w:pPr>
    </w:p>
    <w:p w14:paraId="10A7D88C" w14:textId="77777777" w:rsidR="00135975" w:rsidRDefault="00135975"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11" w:name="_Toc444688625"/>
      <w:r w:rsidRPr="00506046">
        <w:rPr>
          <w:rFonts w:eastAsia="Times New Roman"/>
          <w:b/>
          <w:szCs w:val="22"/>
          <w:lang w:eastAsia="en-US"/>
        </w:rPr>
        <w:t>ANNEX 5 – CLARIFICATIONS</w:t>
      </w:r>
      <w:bookmarkEnd w:id="110"/>
      <w:bookmarkEnd w:id="111"/>
    </w:p>
    <w:p w14:paraId="4416EF89" w14:textId="21D2DCDA" w:rsidR="00174DC0" w:rsidRPr="00913679" w:rsidRDefault="000049C2" w:rsidP="00174DC0">
      <w:pPr>
        <w:pStyle w:val="ScheduleLevel1"/>
        <w:numPr>
          <w:ilvl w:val="0"/>
          <w:numId w:val="0"/>
        </w:numPr>
        <w:spacing w:after="120"/>
        <w:jc w:val="center"/>
        <w:rPr>
          <w:rFonts w:cs="Arial"/>
          <w:b/>
          <w:szCs w:val="22"/>
        </w:rPr>
      </w:pPr>
      <w:r w:rsidRPr="00AC0314">
        <w:rPr>
          <w:rFonts w:cs="Arial"/>
          <w:b/>
          <w:szCs w:val="22"/>
        </w:rPr>
        <w:t>Not A</w:t>
      </w:r>
      <w:r w:rsidR="00174DC0" w:rsidRPr="00AC0314">
        <w:rPr>
          <w:rFonts w:cs="Arial"/>
          <w:b/>
          <w:szCs w:val="22"/>
        </w:rPr>
        <w:t>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4" w:name="2et92p0" w:colFirst="0" w:colLast="0"/>
      <w:bookmarkEnd w:id="11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5" w:name="tyjcwt" w:colFirst="0" w:colLast="0"/>
      <w:bookmarkEnd w:id="115"/>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3dy6vkm" w:colFirst="0" w:colLast="0"/>
      <w:bookmarkEnd w:id="11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7" w:name="1t3h5sf" w:colFirst="0" w:colLast="0"/>
      <w:bookmarkEnd w:id="11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4d34og8" w:colFirst="0" w:colLast="0"/>
      <w:bookmarkEnd w:id="118"/>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2s8eyo1" w:colFirst="0" w:colLast="0"/>
      <w:bookmarkEnd w:id="11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17dp8vu" w:colFirst="0" w:colLast="0"/>
      <w:bookmarkEnd w:id="12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3rdcrjn" w:colFirst="0" w:colLast="0"/>
      <w:bookmarkEnd w:id="12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26in1rg" w:colFirst="0" w:colLast="0"/>
      <w:bookmarkEnd w:id="12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lnxbz9" w:colFirst="0" w:colLast="0"/>
      <w:bookmarkEnd w:id="12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4" w:name="35nkun2" w:colFirst="0" w:colLast="0"/>
      <w:bookmarkEnd w:id="124"/>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5" w:name="1ksv4uv" w:colFirst="0" w:colLast="0"/>
      <w:bookmarkEnd w:id="12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6" w:name="44sinio" w:colFirst="0" w:colLast="0"/>
      <w:bookmarkEnd w:id="12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lastRenderedPageBreak/>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7" w:name="2jxsxqh" w:colFirst="0" w:colLast="0"/>
      <w:bookmarkEnd w:id="127"/>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w:t>
      </w:r>
      <w:r w:rsidRPr="005631E9">
        <w:rPr>
          <w:rFonts w:cs="Arial"/>
        </w:rPr>
        <w:lastRenderedPageBreak/>
        <w:t xml:space="preserve">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bookmarkStart w:id="128" w:name="_GoBack"/>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bookmarkEnd w:id="128"/>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lastRenderedPageBreak/>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lastRenderedPageBreak/>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614C2D89" w14:textId="5B0D1A28" w:rsidR="00166E6D" w:rsidRPr="00166E6D" w:rsidRDefault="001C3752" w:rsidP="00166E6D">
      <w:pPr>
        <w:keepNext/>
        <w:pBdr>
          <w:top w:val="nil"/>
          <w:left w:val="nil"/>
          <w:bottom w:val="nil"/>
          <w:right w:val="nil"/>
          <w:between w:val="nil"/>
        </w:pBdr>
        <w:spacing w:before="240" w:after="240" w:line="240" w:lineRule="exact"/>
        <w:ind w:firstLine="568"/>
        <w:rPr>
          <w:rFonts w:eastAsia="Calibri"/>
          <w:lang w:val="en-US" w:eastAsia="en-US"/>
        </w:rPr>
      </w:pPr>
      <w:r>
        <w:rPr>
          <w:rFonts w:eastAsia="Calibri"/>
          <w:lang w:val="en-US" w:eastAsia="en-US"/>
        </w:rPr>
        <w:t>REDACTED TEXT</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4FF1687B" w:rsidR="00865B8F" w:rsidRPr="00D25599" w:rsidRDefault="001C3752" w:rsidP="00865B8F">
      <w:pPr>
        <w:keepNext/>
        <w:spacing w:before="240" w:after="240" w:line="240" w:lineRule="exact"/>
        <w:ind w:left="1440" w:hanging="731"/>
        <w:rPr>
          <w:rFonts w:eastAsia="Calibri"/>
          <w:b/>
          <w:lang w:val="en-US" w:eastAsia="en-US"/>
        </w:rPr>
      </w:pPr>
      <w:r>
        <w:rPr>
          <w:rFonts w:eastAsia="Calibri"/>
          <w:b/>
          <w:lang w:val="en-US" w:eastAsia="en-US"/>
        </w:rPr>
        <w:t>REDACTED TEXT</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865B8F" w:rsidRPr="007A4AB1" w14:paraId="077AA5BA" w14:textId="77777777" w:rsidTr="00166E6D">
        <w:trPr>
          <w:trHeight w:val="716"/>
        </w:trPr>
        <w:tc>
          <w:tcPr>
            <w:tcW w:w="3051"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5968" w:type="dxa"/>
            <w:shd w:val="clear" w:color="auto" w:fill="BFBFBF"/>
            <w:vAlign w:val="center"/>
          </w:tcPr>
          <w:p w14:paraId="4E7C0939" w14:textId="0EA5A3AF" w:rsidR="00865B8F" w:rsidRPr="007A4AB1" w:rsidRDefault="00166E6D" w:rsidP="00031F13">
            <w:pPr>
              <w:spacing w:line="240" w:lineRule="exact"/>
              <w:jc w:val="center"/>
              <w:rPr>
                <w:rFonts w:eastAsia="Calibri" w:cs="Arial"/>
                <w:lang w:val="en-US" w:eastAsia="en-US"/>
              </w:rPr>
            </w:pPr>
            <w:r>
              <w:rPr>
                <w:rFonts w:eastAsia="Calibri" w:cs="Arial"/>
                <w:lang w:val="en-US" w:eastAsia="en-US"/>
              </w:rPr>
              <w:t>CCHR18A50</w:t>
            </w:r>
          </w:p>
        </w:tc>
      </w:tr>
      <w:tr w:rsidR="00865B8F" w:rsidRPr="007A4AB1" w14:paraId="7637F0FE" w14:textId="77777777" w:rsidTr="00166E6D">
        <w:trPr>
          <w:trHeight w:val="716"/>
        </w:trPr>
        <w:tc>
          <w:tcPr>
            <w:tcW w:w="3051"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5968" w:type="dxa"/>
            <w:shd w:val="clear" w:color="auto" w:fill="BFBFBF"/>
            <w:vAlign w:val="center"/>
          </w:tcPr>
          <w:p w14:paraId="07BCEF60" w14:textId="19D39797" w:rsidR="00865B8F" w:rsidRPr="00166E6D" w:rsidRDefault="00166E6D" w:rsidP="00166E6D">
            <w:pPr>
              <w:spacing w:line="240" w:lineRule="exact"/>
              <w:jc w:val="center"/>
              <w:rPr>
                <w:rFonts w:eastAsia="Calibri" w:cs="Arial"/>
                <w:highlight w:val="yellow"/>
                <w:lang w:val="en-US" w:eastAsia="en-US"/>
              </w:rPr>
            </w:pPr>
            <w:r w:rsidRPr="00166E6D">
              <w:rPr>
                <w:rFonts w:eastAsia="Calibri" w:cs="Arial"/>
                <w:lang w:val="en-US" w:eastAsia="en-US"/>
              </w:rPr>
              <w:t>8</w:t>
            </w:r>
            <w:r w:rsidRPr="00166E6D">
              <w:rPr>
                <w:rFonts w:eastAsia="Calibri" w:cs="Arial"/>
                <w:vertAlign w:val="superscript"/>
                <w:lang w:val="en-US" w:eastAsia="en-US"/>
              </w:rPr>
              <w:t>th</w:t>
            </w:r>
            <w:r w:rsidRPr="00166E6D">
              <w:rPr>
                <w:rFonts w:eastAsia="Calibri" w:cs="Arial"/>
                <w:lang w:val="en-US" w:eastAsia="en-US"/>
              </w:rPr>
              <w:t xml:space="preserve"> January 2019</w:t>
            </w:r>
          </w:p>
        </w:tc>
      </w:tr>
      <w:tr w:rsidR="00865B8F" w:rsidRPr="007A4AB1" w14:paraId="31290F0B" w14:textId="77777777" w:rsidTr="00166E6D">
        <w:trPr>
          <w:trHeight w:val="716"/>
        </w:trPr>
        <w:tc>
          <w:tcPr>
            <w:tcW w:w="3051"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5968"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166E6D" w:rsidRPr="007A4AB1" w14:paraId="7E1A641B" w14:textId="77777777" w:rsidTr="00166E6D">
        <w:trPr>
          <w:trHeight w:val="1630"/>
        </w:trPr>
        <w:tc>
          <w:tcPr>
            <w:tcW w:w="3051" w:type="dxa"/>
            <w:shd w:val="clear" w:color="auto" w:fill="auto"/>
          </w:tcPr>
          <w:p w14:paraId="0F32D6D1" w14:textId="77777777" w:rsidR="00166E6D" w:rsidRPr="007A4AB1" w:rsidRDefault="00166E6D" w:rsidP="00166E6D">
            <w:pPr>
              <w:spacing w:line="240" w:lineRule="exact"/>
              <w:rPr>
                <w:rFonts w:eastAsia="Calibri" w:cs="Arial"/>
                <w:lang w:val="en-US" w:eastAsia="en-US"/>
              </w:rPr>
            </w:pPr>
            <w:r w:rsidRPr="007A4AB1">
              <w:rPr>
                <w:rFonts w:eastAsia="Calibri"/>
                <w:lang w:val="en-US" w:eastAsia="en-US"/>
              </w:rPr>
              <w:t>Identity of the Controller and Processor</w:t>
            </w:r>
          </w:p>
        </w:tc>
        <w:tc>
          <w:tcPr>
            <w:tcW w:w="5968" w:type="dxa"/>
            <w:shd w:val="clear" w:color="auto" w:fill="auto"/>
          </w:tcPr>
          <w:p w14:paraId="04FD0699" w14:textId="77777777" w:rsidR="00166E6D" w:rsidRPr="000C2B2C" w:rsidRDefault="00166E6D" w:rsidP="00166E6D">
            <w:pPr>
              <w:spacing w:before="280" w:after="120" w:line="240" w:lineRule="exact"/>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Pr>
                <w:rFonts w:eastAsia="Calibri" w:cs="Arial"/>
                <w:lang w:val="en-US" w:eastAsia="en-US"/>
              </w:rPr>
              <w:t>Customer</w:t>
            </w:r>
            <w:r w:rsidRPr="007A4AB1">
              <w:rPr>
                <w:rFonts w:eastAsia="Calibri" w:cs="Arial"/>
                <w:lang w:val="en-US" w:eastAsia="en-US"/>
              </w:rPr>
              <w:t xml:space="preserve"> is the Controller and the </w:t>
            </w:r>
            <w:r>
              <w:rPr>
                <w:rFonts w:eastAsia="Calibri" w:cs="Arial"/>
                <w:lang w:val="en-US" w:eastAsia="en-US"/>
              </w:rPr>
              <w:t xml:space="preserve">Supplier </w:t>
            </w:r>
            <w:r w:rsidRPr="007A4AB1">
              <w:rPr>
                <w:rFonts w:eastAsia="Calibri" w:cs="Arial"/>
                <w:lang w:val="en-US" w:eastAsia="en-US"/>
              </w:rPr>
              <w:t>is the Processor</w:t>
            </w:r>
            <w:r>
              <w:rPr>
                <w:rFonts w:eastAsia="Calibri" w:cs="Arial"/>
                <w:lang w:val="en-US" w:eastAsia="en-US"/>
              </w:rPr>
              <w:t xml:space="preserve"> in accordance with Clause 1.1.</w:t>
            </w:r>
          </w:p>
          <w:p w14:paraId="79F2CA2F" w14:textId="77777777" w:rsidR="00166E6D" w:rsidRPr="007A4AB1" w:rsidRDefault="00166E6D" w:rsidP="00166E6D">
            <w:pPr>
              <w:spacing w:after="120" w:line="240" w:lineRule="exact"/>
              <w:ind w:left="994"/>
              <w:rPr>
                <w:rFonts w:eastAsia="Calibri" w:cs="Arial"/>
                <w:lang w:val="en-US" w:eastAsia="en-US"/>
              </w:rPr>
            </w:pPr>
          </w:p>
          <w:p w14:paraId="7F586B54" w14:textId="77777777" w:rsidR="00166E6D" w:rsidRPr="007A4AB1" w:rsidRDefault="00166E6D" w:rsidP="00166E6D">
            <w:pPr>
              <w:spacing w:line="240" w:lineRule="exact"/>
              <w:rPr>
                <w:rFonts w:eastAsia="Calibri" w:cs="Arial"/>
                <w:lang w:val="en-US" w:eastAsia="en-US"/>
              </w:rPr>
            </w:pPr>
          </w:p>
        </w:tc>
      </w:tr>
      <w:tr w:rsidR="00166E6D" w:rsidRPr="007A4AB1" w14:paraId="1846886B" w14:textId="77777777" w:rsidTr="00166E6D">
        <w:trPr>
          <w:trHeight w:val="1630"/>
        </w:trPr>
        <w:tc>
          <w:tcPr>
            <w:tcW w:w="3051" w:type="dxa"/>
            <w:shd w:val="clear" w:color="auto" w:fill="auto"/>
          </w:tcPr>
          <w:p w14:paraId="557F63E8" w14:textId="77777777" w:rsidR="00166E6D" w:rsidRPr="007A4AB1" w:rsidRDefault="00166E6D" w:rsidP="00166E6D">
            <w:pPr>
              <w:spacing w:line="240" w:lineRule="exact"/>
              <w:rPr>
                <w:rFonts w:eastAsia="Calibri" w:cs="Arial"/>
                <w:lang w:val="en-US" w:eastAsia="en-US"/>
              </w:rPr>
            </w:pPr>
            <w:r w:rsidRPr="007A4AB1">
              <w:rPr>
                <w:rFonts w:eastAsia="Calibri" w:cs="Arial"/>
                <w:lang w:val="en-US" w:eastAsia="en-US"/>
              </w:rPr>
              <w:t>Subject matter of the processing</w:t>
            </w:r>
          </w:p>
        </w:tc>
        <w:tc>
          <w:tcPr>
            <w:tcW w:w="5968" w:type="dxa"/>
            <w:shd w:val="clear" w:color="auto" w:fill="auto"/>
          </w:tcPr>
          <w:p w14:paraId="1FA74FD6" w14:textId="77777777" w:rsidR="00166E6D" w:rsidRDefault="00166E6D" w:rsidP="00166E6D">
            <w:pPr>
              <w:spacing w:line="240" w:lineRule="exact"/>
              <w:rPr>
                <w:rFonts w:eastAsia="Calibri"/>
                <w:lang w:val="en-US" w:eastAsia="en-US"/>
              </w:rPr>
            </w:pPr>
            <w:r>
              <w:rPr>
                <w:rFonts w:eastAsia="Calibri"/>
                <w:lang w:val="en-US" w:eastAsia="en-US"/>
              </w:rPr>
              <w:t>College SCC general email address (and Authority SCC management work contact details (names/work phone numbers/work e-mail addresses).</w:t>
            </w:r>
          </w:p>
          <w:p w14:paraId="13289E1D" w14:textId="70AE81A8" w:rsidR="00166E6D" w:rsidRPr="007A4AB1" w:rsidRDefault="00166E6D" w:rsidP="00166E6D">
            <w:pPr>
              <w:spacing w:line="240" w:lineRule="exact"/>
              <w:rPr>
                <w:rFonts w:eastAsia="Calibri" w:cs="Arial"/>
                <w:lang w:val="en-US" w:eastAsia="en-US"/>
              </w:rPr>
            </w:pPr>
            <w:r>
              <w:rPr>
                <w:rFonts w:eastAsia="Calibri"/>
                <w:lang w:val="en-US" w:eastAsia="en-US"/>
              </w:rPr>
              <w:t>Names are also held of the candidates who are participating in the SCC to enable the supplier to process and work with the Customer to design/deliver the SCC and undertake candidate assignment assessments.</w:t>
            </w:r>
          </w:p>
        </w:tc>
      </w:tr>
      <w:tr w:rsidR="00166E6D" w:rsidRPr="007A4AB1" w14:paraId="4F3A7A49" w14:textId="77777777" w:rsidTr="00166E6D">
        <w:trPr>
          <w:trHeight w:val="1462"/>
        </w:trPr>
        <w:tc>
          <w:tcPr>
            <w:tcW w:w="3051" w:type="dxa"/>
            <w:shd w:val="clear" w:color="auto" w:fill="auto"/>
          </w:tcPr>
          <w:p w14:paraId="64EC2817" w14:textId="77777777" w:rsidR="00166E6D" w:rsidRPr="007A4AB1" w:rsidRDefault="00166E6D" w:rsidP="00166E6D">
            <w:pPr>
              <w:spacing w:line="240" w:lineRule="exact"/>
              <w:rPr>
                <w:rFonts w:eastAsia="Calibri" w:cs="Arial"/>
                <w:lang w:val="en-US" w:eastAsia="en-US"/>
              </w:rPr>
            </w:pPr>
            <w:r w:rsidRPr="007A4AB1">
              <w:rPr>
                <w:rFonts w:eastAsia="Calibri" w:cs="Arial"/>
                <w:lang w:val="en-US" w:eastAsia="en-US"/>
              </w:rPr>
              <w:t>Duration of the processing</w:t>
            </w:r>
          </w:p>
        </w:tc>
        <w:tc>
          <w:tcPr>
            <w:tcW w:w="5968" w:type="dxa"/>
            <w:shd w:val="clear" w:color="auto" w:fill="auto"/>
          </w:tcPr>
          <w:p w14:paraId="52CAF589" w14:textId="2E026711" w:rsidR="00166E6D" w:rsidRPr="007A4AB1" w:rsidRDefault="00166E6D" w:rsidP="00166E6D">
            <w:pPr>
              <w:spacing w:line="240" w:lineRule="exact"/>
              <w:rPr>
                <w:rFonts w:eastAsia="Calibri" w:cs="Arial"/>
                <w:lang w:val="en-US" w:eastAsia="en-US"/>
              </w:rPr>
            </w:pPr>
            <w:r>
              <w:rPr>
                <w:rFonts w:eastAsia="Calibri"/>
                <w:lang w:val="en-US" w:eastAsia="en-US"/>
              </w:rPr>
              <w:t>Data to be held for the duration of the SCC training (mid-March) and subsequent assignment scoring/assessment of the candidates.</w:t>
            </w:r>
          </w:p>
        </w:tc>
      </w:tr>
      <w:tr w:rsidR="00166E6D" w:rsidRPr="007A4AB1" w14:paraId="171665DD" w14:textId="77777777" w:rsidTr="00166E6D">
        <w:trPr>
          <w:trHeight w:val="1536"/>
        </w:trPr>
        <w:tc>
          <w:tcPr>
            <w:tcW w:w="3051" w:type="dxa"/>
            <w:shd w:val="clear" w:color="auto" w:fill="auto"/>
          </w:tcPr>
          <w:p w14:paraId="1172237B" w14:textId="77777777" w:rsidR="00166E6D" w:rsidRPr="007A4AB1" w:rsidRDefault="00166E6D" w:rsidP="00166E6D">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5968" w:type="dxa"/>
            <w:shd w:val="clear" w:color="auto" w:fill="auto"/>
          </w:tcPr>
          <w:p w14:paraId="774FDCC7" w14:textId="77777777" w:rsidR="00166E6D" w:rsidRPr="00E85FAA" w:rsidRDefault="00166E6D" w:rsidP="00166E6D">
            <w:pPr>
              <w:spacing w:line="240" w:lineRule="exact"/>
              <w:rPr>
                <w:rFonts w:eastAsia="Calibri"/>
                <w:lang w:val="en-US" w:eastAsia="en-US"/>
              </w:rPr>
            </w:pPr>
            <w:r w:rsidRPr="00E85FAA">
              <w:rPr>
                <w:rFonts w:eastAsia="Calibri"/>
                <w:lang w:val="en-US" w:eastAsia="en-US"/>
              </w:rPr>
              <w:t>Basic data is provided to the Supplier and held to enable the Supplier to identify the candidate to enable them to deliver the SCC course and to subsequently assess/score each candidates assignment work to enable them to submit scores to the Authority (via the SCC email address).</w:t>
            </w:r>
          </w:p>
          <w:p w14:paraId="4DD5B8F3" w14:textId="77777777" w:rsidR="00166E6D" w:rsidRPr="00E85FAA" w:rsidRDefault="00166E6D" w:rsidP="00166E6D">
            <w:pPr>
              <w:spacing w:line="240" w:lineRule="exact"/>
              <w:rPr>
                <w:rFonts w:eastAsia="Calibri"/>
                <w:lang w:val="en-US" w:eastAsia="en-US"/>
              </w:rPr>
            </w:pPr>
          </w:p>
          <w:p w14:paraId="1B252975" w14:textId="77777777" w:rsidR="00166E6D" w:rsidRPr="00E85FAA" w:rsidRDefault="00166E6D" w:rsidP="00166E6D">
            <w:pPr>
              <w:spacing w:line="240" w:lineRule="exact"/>
              <w:rPr>
                <w:rFonts w:eastAsia="Calibri"/>
                <w:lang w:val="en-US" w:eastAsia="en-US"/>
              </w:rPr>
            </w:pPr>
            <w:r w:rsidRPr="00E85FAA">
              <w:rPr>
                <w:rFonts w:eastAsia="Calibri"/>
                <w:lang w:val="en-US" w:eastAsia="en-US"/>
              </w:rPr>
              <w:t>The Supplier will be provided with the candidates basic details by the Authority and will only use them for the purposes of identification and assignment scoring in relation to the SCC course.</w:t>
            </w:r>
          </w:p>
          <w:p w14:paraId="7BB4258C" w14:textId="77777777" w:rsidR="00166E6D" w:rsidRPr="00E85FAA" w:rsidRDefault="00166E6D" w:rsidP="00166E6D">
            <w:pPr>
              <w:spacing w:line="240" w:lineRule="exact"/>
              <w:rPr>
                <w:rFonts w:eastAsia="Calibri"/>
                <w:lang w:val="en-US" w:eastAsia="en-US"/>
              </w:rPr>
            </w:pPr>
          </w:p>
          <w:p w14:paraId="491166F7" w14:textId="77777777" w:rsidR="00166E6D" w:rsidRPr="00E85FAA" w:rsidRDefault="00166E6D" w:rsidP="00166E6D">
            <w:pPr>
              <w:spacing w:line="240" w:lineRule="exact"/>
              <w:rPr>
                <w:rFonts w:eastAsia="Calibri"/>
                <w:lang w:val="en-US" w:eastAsia="en-US"/>
              </w:rPr>
            </w:pPr>
            <w:r w:rsidRPr="00E85FAA">
              <w:rPr>
                <w:rFonts w:eastAsia="Calibri"/>
                <w:lang w:val="en-US" w:eastAsia="en-US"/>
              </w:rPr>
              <w:t>No disclosure will be undertaken of the data or the assignment scores to any other party.</w:t>
            </w:r>
          </w:p>
          <w:p w14:paraId="3BA7FC5B" w14:textId="77777777" w:rsidR="00166E6D" w:rsidRPr="00E85FAA" w:rsidRDefault="00166E6D" w:rsidP="00166E6D">
            <w:pPr>
              <w:spacing w:line="240" w:lineRule="exact"/>
              <w:rPr>
                <w:rFonts w:eastAsia="Calibri"/>
                <w:lang w:val="en-US" w:eastAsia="en-US"/>
              </w:rPr>
            </w:pPr>
          </w:p>
          <w:p w14:paraId="3688F4BE" w14:textId="77777777" w:rsidR="00166E6D" w:rsidRPr="00E85FAA" w:rsidRDefault="00166E6D" w:rsidP="00166E6D">
            <w:pPr>
              <w:spacing w:line="240" w:lineRule="exact"/>
              <w:rPr>
                <w:rFonts w:eastAsia="Calibri"/>
                <w:lang w:val="en-US" w:eastAsia="en-US"/>
              </w:rPr>
            </w:pPr>
            <w:r w:rsidRPr="00E85FAA">
              <w:rPr>
                <w:rFonts w:eastAsia="Calibri"/>
                <w:lang w:val="en-US" w:eastAsia="en-US"/>
              </w:rPr>
              <w:t xml:space="preserve">Once assignments are assessed and Authority has confirmed that the process is complete and they have been provided with the assignment scores for the candidates, the Supplier will erase/destroy all records.  </w:t>
            </w:r>
          </w:p>
          <w:p w14:paraId="3F21F404" w14:textId="77777777" w:rsidR="00166E6D" w:rsidRDefault="00166E6D" w:rsidP="00166E6D">
            <w:pPr>
              <w:spacing w:line="240" w:lineRule="exact"/>
              <w:rPr>
                <w:rFonts w:eastAsia="Calibri"/>
                <w:highlight w:val="yellow"/>
                <w:lang w:val="en-US" w:eastAsia="en-US"/>
              </w:rPr>
            </w:pPr>
          </w:p>
          <w:p w14:paraId="3CB56CA9" w14:textId="2D38CE52" w:rsidR="00166E6D" w:rsidRPr="007A4AB1" w:rsidRDefault="00166E6D" w:rsidP="00166E6D">
            <w:pPr>
              <w:spacing w:line="240" w:lineRule="exact"/>
              <w:rPr>
                <w:rFonts w:eastAsia="Calibri" w:cs="Arial"/>
                <w:lang w:val="en-US" w:eastAsia="en-US"/>
              </w:rPr>
            </w:pPr>
          </w:p>
        </w:tc>
      </w:tr>
      <w:tr w:rsidR="00166E6D" w:rsidRPr="007A4AB1" w14:paraId="43DE10A6" w14:textId="77777777" w:rsidTr="00166E6D">
        <w:trPr>
          <w:trHeight w:val="1412"/>
        </w:trPr>
        <w:tc>
          <w:tcPr>
            <w:tcW w:w="3051" w:type="dxa"/>
            <w:shd w:val="clear" w:color="auto" w:fill="auto"/>
          </w:tcPr>
          <w:p w14:paraId="514E9A4A" w14:textId="77777777" w:rsidR="00166E6D" w:rsidRPr="007A4AB1" w:rsidRDefault="00166E6D" w:rsidP="00166E6D">
            <w:pPr>
              <w:spacing w:line="240" w:lineRule="exact"/>
              <w:rPr>
                <w:rFonts w:eastAsia="Calibri" w:cs="Arial"/>
                <w:lang w:val="en-US" w:eastAsia="en-US"/>
              </w:rPr>
            </w:pPr>
            <w:r w:rsidRPr="007A4AB1">
              <w:rPr>
                <w:rFonts w:eastAsia="Calibri" w:cs="Arial"/>
                <w:lang w:val="en-US" w:eastAsia="en-US"/>
              </w:rPr>
              <w:t>Type of Personal Data</w:t>
            </w:r>
          </w:p>
        </w:tc>
        <w:tc>
          <w:tcPr>
            <w:tcW w:w="5968" w:type="dxa"/>
            <w:shd w:val="clear" w:color="auto" w:fill="auto"/>
          </w:tcPr>
          <w:p w14:paraId="1C2FD18D" w14:textId="77777777" w:rsidR="00166E6D" w:rsidRDefault="00166E6D" w:rsidP="00166E6D">
            <w:pPr>
              <w:spacing w:line="240" w:lineRule="exact"/>
              <w:rPr>
                <w:rFonts w:eastAsia="Calibri"/>
                <w:lang w:val="en-US" w:eastAsia="en-US"/>
              </w:rPr>
            </w:pPr>
            <w:r>
              <w:rPr>
                <w:rFonts w:eastAsia="Calibri"/>
                <w:lang w:val="en-US" w:eastAsia="en-US"/>
              </w:rPr>
              <w:t>SCC management names/work email addresses and work contact telephone details</w:t>
            </w:r>
          </w:p>
          <w:p w14:paraId="4F81DBE7" w14:textId="7186CE35" w:rsidR="00166E6D" w:rsidRPr="007A4AB1" w:rsidRDefault="00166E6D" w:rsidP="00166E6D">
            <w:pPr>
              <w:spacing w:line="240" w:lineRule="exact"/>
              <w:rPr>
                <w:rFonts w:eastAsia="Calibri" w:cs="Arial"/>
                <w:lang w:val="en-US" w:eastAsia="en-US"/>
              </w:rPr>
            </w:pPr>
            <w:r>
              <w:rPr>
                <w:rFonts w:eastAsia="Calibri"/>
                <w:lang w:val="en-US" w:eastAsia="en-US"/>
              </w:rPr>
              <w:t>Candidate names, unique reference.</w:t>
            </w:r>
          </w:p>
        </w:tc>
      </w:tr>
      <w:tr w:rsidR="00166E6D" w:rsidRPr="007A4AB1" w14:paraId="7C0A4827" w14:textId="77777777" w:rsidTr="00166E6D">
        <w:trPr>
          <w:trHeight w:val="1560"/>
        </w:trPr>
        <w:tc>
          <w:tcPr>
            <w:tcW w:w="3051" w:type="dxa"/>
            <w:shd w:val="clear" w:color="auto" w:fill="auto"/>
          </w:tcPr>
          <w:p w14:paraId="39318114" w14:textId="77777777" w:rsidR="00166E6D" w:rsidRPr="007A4AB1" w:rsidRDefault="00166E6D" w:rsidP="00166E6D">
            <w:pPr>
              <w:spacing w:line="240" w:lineRule="exact"/>
              <w:rPr>
                <w:rFonts w:eastAsia="Calibri" w:cs="Arial"/>
                <w:lang w:val="en-US" w:eastAsia="en-US"/>
              </w:rPr>
            </w:pPr>
            <w:r w:rsidRPr="007A4AB1">
              <w:rPr>
                <w:rFonts w:eastAsia="Calibri" w:cs="Arial"/>
                <w:lang w:val="en-US" w:eastAsia="en-US"/>
              </w:rPr>
              <w:t>Categories of Data Subject</w:t>
            </w:r>
          </w:p>
        </w:tc>
        <w:tc>
          <w:tcPr>
            <w:tcW w:w="5968" w:type="dxa"/>
            <w:shd w:val="clear" w:color="auto" w:fill="auto"/>
          </w:tcPr>
          <w:p w14:paraId="3B31AEC3" w14:textId="691FDD3B" w:rsidR="00166E6D" w:rsidRPr="007A4AB1" w:rsidRDefault="00166E6D" w:rsidP="00166E6D">
            <w:pPr>
              <w:spacing w:line="240" w:lineRule="exact"/>
              <w:rPr>
                <w:rFonts w:eastAsia="Calibri" w:cs="Arial"/>
                <w:lang w:val="en-US" w:eastAsia="en-US"/>
              </w:rPr>
            </w:pPr>
            <w:r>
              <w:rPr>
                <w:rFonts w:eastAsia="Calibri"/>
                <w:lang w:val="en-US" w:eastAsia="en-US"/>
              </w:rPr>
              <w:t>SCC management team and SCC candidates (senior police and non-police).</w:t>
            </w:r>
          </w:p>
        </w:tc>
      </w:tr>
      <w:tr w:rsidR="00166E6D" w:rsidRPr="007A4AB1" w14:paraId="437F4573" w14:textId="77777777" w:rsidTr="00166E6D">
        <w:trPr>
          <w:trHeight w:val="1560"/>
        </w:trPr>
        <w:tc>
          <w:tcPr>
            <w:tcW w:w="3051" w:type="dxa"/>
            <w:shd w:val="clear" w:color="auto" w:fill="auto"/>
          </w:tcPr>
          <w:p w14:paraId="317EEDCA" w14:textId="77777777" w:rsidR="00166E6D" w:rsidRPr="007A4AB1" w:rsidRDefault="00166E6D" w:rsidP="00166E6D">
            <w:pPr>
              <w:spacing w:line="240" w:lineRule="exact"/>
              <w:rPr>
                <w:rFonts w:eastAsia="Calibri" w:cs="Arial"/>
                <w:lang w:val="en-US" w:eastAsia="en-US"/>
              </w:rPr>
            </w:pPr>
          </w:p>
        </w:tc>
        <w:tc>
          <w:tcPr>
            <w:tcW w:w="5968" w:type="dxa"/>
            <w:shd w:val="clear" w:color="auto" w:fill="auto"/>
          </w:tcPr>
          <w:p w14:paraId="6D752E54" w14:textId="205A5F5A" w:rsidR="00166E6D" w:rsidRPr="007A4AB1" w:rsidRDefault="00166E6D" w:rsidP="00166E6D">
            <w:pPr>
              <w:spacing w:line="240" w:lineRule="exact"/>
              <w:rPr>
                <w:rFonts w:eastAsia="Calibri"/>
                <w:lang w:val="en-US" w:eastAsia="en-US"/>
              </w:rPr>
            </w:pPr>
            <w:r>
              <w:rPr>
                <w:rFonts w:eastAsia="Calibri"/>
                <w:lang w:val="en-US" w:eastAsia="en-US"/>
              </w:rPr>
              <w:t xml:space="preserve">Once the data and assignment scores have been sent to the SCC Management and confirmation has </w:t>
            </w:r>
            <w:proofErr w:type="spellStart"/>
            <w:r>
              <w:rPr>
                <w:rFonts w:eastAsia="Calibri"/>
                <w:lang w:val="en-US" w:eastAsia="en-US"/>
              </w:rPr>
              <w:t>benn</w:t>
            </w:r>
            <w:proofErr w:type="spellEnd"/>
            <w:r>
              <w:rPr>
                <w:rFonts w:eastAsia="Calibri"/>
                <w:lang w:val="en-US" w:eastAsia="en-US"/>
              </w:rPr>
              <w:t xml:space="preserve"> received that all data has been received, the Supplier shall delete all data.</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lastRenderedPageBreak/>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2D4509" w:rsidRDefault="002D450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2D4509" w:rsidRDefault="002D4509"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2D4509" w:rsidRDefault="002D4509"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2D4509" w:rsidRDefault="002D450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2D4509" w:rsidRDefault="002D450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2D4509" w:rsidRDefault="002D4509"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2D4509" w:rsidRDefault="002D4509"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2D4509" w:rsidRDefault="002D450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2D4509" w:rsidRDefault="002D450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2D4509" w:rsidRDefault="002D4509"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DE77E" w14:textId="77777777" w:rsidR="000D74FB" w:rsidRDefault="000D74FB">
      <w:pPr>
        <w:spacing w:line="20" w:lineRule="exact"/>
      </w:pPr>
    </w:p>
  </w:endnote>
  <w:endnote w:type="continuationSeparator" w:id="0">
    <w:p w14:paraId="709B14CE" w14:textId="77777777" w:rsidR="000D74FB" w:rsidRDefault="000D74FB">
      <w:pPr>
        <w:spacing w:line="20" w:lineRule="exact"/>
      </w:pPr>
      <w:r>
        <w:t xml:space="preserve"> </w:t>
      </w:r>
    </w:p>
  </w:endnote>
  <w:endnote w:type="continuationNotice" w:id="1">
    <w:p w14:paraId="4F5A3711" w14:textId="77777777" w:rsidR="000D74FB" w:rsidRDefault="000D74F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2D4509" w:rsidRDefault="002D450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D4509" w:rsidRDefault="002D450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D4509" w:rsidRDefault="002D4509"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2D4509" w:rsidRPr="00C34E12" w:rsidRDefault="002D450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D4509" w:rsidRDefault="002D4509"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2D4509" w:rsidRPr="00A65391" w:rsidRDefault="002D4509"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2D4509" w:rsidRPr="00CE50FE" w:rsidRDefault="002D4509" w:rsidP="00F70073">
        <w:pPr>
          <w:pStyle w:val="Footer"/>
          <w:pBdr>
            <w:top w:val="single" w:sz="4" w:space="1" w:color="auto"/>
          </w:pBdr>
          <w:jc w:val="center"/>
          <w:rPr>
            <w:sz w:val="20"/>
            <w:szCs w:val="20"/>
          </w:rPr>
        </w:pPr>
        <w:r w:rsidRPr="00CE50FE">
          <w:rPr>
            <w:sz w:val="20"/>
            <w:szCs w:val="20"/>
          </w:rPr>
          <w:t>OFFICIAL</w:t>
        </w:r>
      </w:p>
      <w:p w14:paraId="6369C02F" w14:textId="5E45AC65" w:rsidR="002D4509" w:rsidRPr="007F6E50" w:rsidRDefault="00482487" w:rsidP="00F70073">
        <w:pPr>
          <w:pStyle w:val="Footer"/>
          <w:pBdr>
            <w:top w:val="single" w:sz="4" w:space="1" w:color="auto"/>
          </w:pBdr>
          <w:rPr>
            <w:szCs w:val="22"/>
          </w:rPr>
        </w:pPr>
        <w:r>
          <w:rPr>
            <w:szCs w:val="22"/>
          </w:rPr>
          <w:t xml:space="preserve">Contract </w:t>
        </w:r>
        <w:r w:rsidR="002D4509" w:rsidRPr="007F6E50">
          <w:rPr>
            <w:szCs w:val="22"/>
          </w:rPr>
          <w:t>Agreement Annexes - Services</w:t>
        </w:r>
      </w:p>
      <w:p w14:paraId="59D982FD" w14:textId="66B56BBB" w:rsidR="002D4509" w:rsidRPr="007F6E50" w:rsidRDefault="002D4509" w:rsidP="00F70073">
        <w:pPr>
          <w:pStyle w:val="Footer"/>
          <w:pBdr>
            <w:top w:val="single" w:sz="4" w:space="1" w:color="auto"/>
          </w:pBdr>
          <w:rPr>
            <w:szCs w:val="22"/>
          </w:rPr>
        </w:pPr>
        <w:r w:rsidRPr="007F6E50">
          <w:rPr>
            <w:rFonts w:cs="Arial"/>
            <w:color w:val="222222"/>
            <w:szCs w:val="22"/>
            <w:shd w:val="clear" w:color="auto" w:fill="FFFFFF"/>
          </w:rPr>
          <w:t>© Crown copyright 2018</w:t>
        </w:r>
      </w:p>
      <w:p w14:paraId="49CF4B3A" w14:textId="36483796" w:rsidR="002D4509" w:rsidRPr="007F6E50" w:rsidRDefault="002D4509" w:rsidP="00F70073">
        <w:pPr>
          <w:pStyle w:val="Footer"/>
          <w:pBdr>
            <w:top w:val="single" w:sz="4" w:space="1" w:color="auto"/>
          </w:pBdr>
          <w:jc w:val="right"/>
          <w:rPr>
            <w:szCs w:val="22"/>
          </w:rPr>
        </w:pPr>
        <w:r>
          <w:rPr>
            <w:szCs w:val="22"/>
          </w:rPr>
          <w:t>V1.0 7</w:t>
        </w:r>
        <w:r w:rsidRPr="002D4509">
          <w:rPr>
            <w:szCs w:val="22"/>
            <w:vertAlign w:val="superscript"/>
          </w:rPr>
          <w:t>th</w:t>
        </w:r>
        <w:r>
          <w:rPr>
            <w:szCs w:val="22"/>
          </w:rPr>
          <w:t xml:space="preserve"> January 2019</w:t>
        </w:r>
      </w:p>
      <w:p w14:paraId="3085C604" w14:textId="77777777" w:rsidR="002D4509" w:rsidRDefault="002D450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482487">
          <w:rPr>
            <w:noProof/>
            <w:sz w:val="20"/>
            <w:szCs w:val="20"/>
          </w:rPr>
          <w:t>30</w:t>
        </w:r>
        <w:r w:rsidRPr="00CE50FE">
          <w:rPr>
            <w:noProof/>
            <w:sz w:val="20"/>
            <w:szCs w:val="20"/>
          </w:rPr>
          <w:fldChar w:fldCharType="end"/>
        </w:r>
      </w:p>
    </w:sdtContent>
  </w:sdt>
  <w:p w14:paraId="170A480B" w14:textId="77777777" w:rsidR="002D4509" w:rsidRPr="00360755" w:rsidRDefault="002D4509"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70596" w14:textId="77777777" w:rsidR="000D74FB" w:rsidRDefault="000D74FB">
      <w:r>
        <w:separator/>
      </w:r>
    </w:p>
  </w:footnote>
  <w:footnote w:type="continuationSeparator" w:id="0">
    <w:p w14:paraId="7D973DA0" w14:textId="77777777" w:rsidR="000D74FB" w:rsidRDefault="000D74FB">
      <w:r>
        <w:continuationSeparator/>
      </w:r>
    </w:p>
  </w:footnote>
  <w:footnote w:type="continuationNotice" w:id="1">
    <w:p w14:paraId="38D6FD02" w14:textId="77777777" w:rsidR="000D74FB" w:rsidRDefault="000D74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2D4509" w:rsidRDefault="002D450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2D4509" w:rsidRDefault="002D4509" w:rsidP="00F3190B">
    <w:pPr>
      <w:pStyle w:val="Header"/>
      <w:jc w:val="center"/>
      <w:rPr>
        <w:b/>
      </w:rPr>
    </w:pPr>
  </w:p>
  <w:p w14:paraId="64559850" w14:textId="77777777" w:rsidR="002D4509" w:rsidRDefault="002D4509"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57BFA1EA" w:rsidR="002D4509" w:rsidRDefault="002D450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7216"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2D4509" w:rsidRPr="007F6E50" w:rsidRDefault="002D4509" w:rsidP="00E33C8F">
    <w:pPr>
      <w:pStyle w:val="Header"/>
      <w:pBdr>
        <w:bottom w:val="single" w:sz="4" w:space="1" w:color="auto"/>
      </w:pBdr>
      <w:tabs>
        <w:tab w:val="left" w:pos="1800"/>
        <w:tab w:val="center" w:pos="4514"/>
      </w:tabs>
      <w:jc w:val="center"/>
      <w:rPr>
        <w:rFonts w:cs="Arial"/>
        <w:b/>
        <w:szCs w:val="22"/>
      </w:rPr>
    </w:pPr>
    <w:r w:rsidRPr="007F6E50">
      <w:rPr>
        <w:rFonts w:cs="Arial"/>
        <w:b/>
        <w:szCs w:val="22"/>
      </w:rPr>
      <w:t>Contract Annexes - Services</w:t>
    </w:r>
  </w:p>
  <w:p w14:paraId="738CF364" w14:textId="77777777" w:rsidR="002D4509" w:rsidRPr="007F6E50" w:rsidRDefault="002D4509" w:rsidP="007F6E50">
    <w:pPr>
      <w:pStyle w:val="Header"/>
      <w:pBdr>
        <w:bottom w:val="single" w:sz="4" w:space="1" w:color="auto"/>
      </w:pBdr>
      <w:jc w:val="center"/>
      <w:rPr>
        <w:rFonts w:cs="Arial"/>
        <w:b/>
        <w:szCs w:val="22"/>
      </w:rPr>
    </w:pPr>
    <w:r w:rsidRPr="007F6E50">
      <w:rPr>
        <w:rFonts w:cs="Arial"/>
        <w:b/>
        <w:szCs w:val="22"/>
      </w:rPr>
      <w:t>Provision of the Business Skills Module of</w:t>
    </w:r>
  </w:p>
  <w:p w14:paraId="19941EB3" w14:textId="77777777" w:rsidR="002D4509" w:rsidRPr="007F6E50" w:rsidRDefault="002D4509" w:rsidP="007F6E50">
    <w:pPr>
      <w:pStyle w:val="Header"/>
      <w:pBdr>
        <w:bottom w:val="single" w:sz="4" w:space="1" w:color="auto"/>
      </w:pBdr>
      <w:jc w:val="center"/>
      <w:rPr>
        <w:rFonts w:cs="Arial"/>
        <w:b/>
        <w:szCs w:val="22"/>
      </w:rPr>
    </w:pPr>
    <w:r w:rsidRPr="007F6E50">
      <w:rPr>
        <w:rFonts w:cs="Arial"/>
        <w:b/>
        <w:szCs w:val="22"/>
      </w:rPr>
      <w:t xml:space="preserve">The Strategic Command Course (SCC) and a Programme of Chief Officer </w:t>
    </w:r>
  </w:p>
  <w:p w14:paraId="01622CAE" w14:textId="626A6DBD" w:rsidR="002D4509" w:rsidRPr="007F6E50" w:rsidRDefault="002D4509" w:rsidP="007F6E50">
    <w:pPr>
      <w:pStyle w:val="Header"/>
      <w:pBdr>
        <w:bottom w:val="single" w:sz="4" w:space="1" w:color="auto"/>
      </w:pBdr>
      <w:jc w:val="center"/>
      <w:rPr>
        <w:rFonts w:cs="Arial"/>
        <w:b/>
        <w:szCs w:val="22"/>
      </w:rPr>
    </w:pPr>
    <w:r w:rsidRPr="007F6E50">
      <w:rPr>
        <w:rFonts w:cs="Arial"/>
        <w:b/>
        <w:szCs w:val="22"/>
      </w:rPr>
      <w:t xml:space="preserve">Leadership Development </w:t>
    </w:r>
  </w:p>
  <w:p w14:paraId="2E58D1AC" w14:textId="4B50CE4E" w:rsidR="002D4509" w:rsidRPr="007F6E50" w:rsidRDefault="002D4509" w:rsidP="007F6E50">
    <w:pPr>
      <w:pStyle w:val="Header"/>
      <w:pBdr>
        <w:bottom w:val="single" w:sz="4" w:space="1" w:color="auto"/>
      </w:pBdr>
      <w:jc w:val="center"/>
      <w:rPr>
        <w:rFonts w:cs="Arial"/>
        <w:b/>
        <w:szCs w:val="22"/>
      </w:rPr>
    </w:pPr>
    <w:r w:rsidRPr="007F6E50">
      <w:rPr>
        <w:rFonts w:cs="Arial"/>
        <w:b/>
        <w:szCs w:val="22"/>
      </w:rPr>
      <w:t>For the College of Policing</w:t>
    </w:r>
  </w:p>
  <w:p w14:paraId="207091BF" w14:textId="6E56B650" w:rsidR="002D4509" w:rsidRPr="007F6E50" w:rsidRDefault="002D4509" w:rsidP="007F6E50">
    <w:pPr>
      <w:pStyle w:val="Header"/>
      <w:pBdr>
        <w:bottom w:val="single" w:sz="4" w:space="1" w:color="auto"/>
      </w:pBdr>
      <w:jc w:val="center"/>
      <w:rPr>
        <w:rFonts w:cs="Arial"/>
        <w:b/>
        <w:szCs w:val="22"/>
      </w:rPr>
    </w:pPr>
    <w:r>
      <w:rPr>
        <w:rFonts w:cs="Arial"/>
        <w:b/>
        <w:szCs w:val="22"/>
      </w:rPr>
      <w:t>Contract</w:t>
    </w:r>
    <w:r w:rsidRPr="007F6E50">
      <w:rPr>
        <w:rFonts w:cs="Arial"/>
        <w:b/>
        <w:szCs w:val="22"/>
      </w:rPr>
      <w:t xml:space="preserve"> Reference: CCHR18A50</w:t>
    </w:r>
  </w:p>
  <w:p w14:paraId="41FED4DA" w14:textId="77777777" w:rsidR="002D4509" w:rsidRDefault="002D4509" w:rsidP="00F70073">
    <w:pPr>
      <w:pStyle w:val="Header"/>
      <w:pBdr>
        <w:bottom w:val="single" w:sz="4" w:space="1" w:color="auto"/>
      </w:pBdr>
      <w:jc w:val="center"/>
    </w:pPr>
  </w:p>
  <w:p w14:paraId="68388EBA" w14:textId="77777777" w:rsidR="002D4509" w:rsidRDefault="002D4509"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928"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1"/>
  </w:num>
  <w:num w:numId="3">
    <w:abstractNumId w:val="17"/>
  </w:num>
  <w:num w:numId="4">
    <w:abstractNumId w:val="18"/>
  </w:num>
  <w:num w:numId="5">
    <w:abstractNumId w:val="5"/>
  </w:num>
  <w:num w:numId="6">
    <w:abstractNumId w:val="29"/>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3"/>
  </w:num>
  <w:num w:numId="15">
    <w:abstractNumId w:val="10"/>
  </w:num>
  <w:num w:numId="16">
    <w:abstractNumId w:val="38"/>
  </w:num>
  <w:num w:numId="17">
    <w:abstractNumId w:val="9"/>
  </w:num>
  <w:num w:numId="18">
    <w:abstractNumId w:val="23"/>
  </w:num>
  <w:num w:numId="19">
    <w:abstractNumId w:val="20"/>
  </w:num>
  <w:num w:numId="20">
    <w:abstractNumId w:val="34"/>
  </w:num>
  <w:num w:numId="21">
    <w:abstractNumId w:val="13"/>
  </w:num>
  <w:num w:numId="22">
    <w:abstractNumId w:val="41"/>
  </w:num>
  <w:num w:numId="23">
    <w:abstractNumId w:val="15"/>
  </w:num>
  <w:num w:numId="24">
    <w:abstractNumId w:val="33"/>
  </w:num>
  <w:num w:numId="25">
    <w:abstractNumId w:val="22"/>
  </w:num>
  <w:num w:numId="26">
    <w:abstractNumId w:val="26"/>
  </w:num>
  <w:num w:numId="27">
    <w:abstractNumId w:val="40"/>
  </w:num>
  <w:num w:numId="28">
    <w:abstractNumId w:val="45"/>
  </w:num>
  <w:num w:numId="29">
    <w:abstractNumId w:val="19"/>
  </w:num>
  <w:num w:numId="30">
    <w:abstractNumId w:val="27"/>
  </w:num>
  <w:num w:numId="31">
    <w:abstractNumId w:val="36"/>
  </w:num>
  <w:num w:numId="32">
    <w:abstractNumId w:val="35"/>
  </w:num>
  <w:num w:numId="33">
    <w:abstractNumId w:val="44"/>
  </w:num>
  <w:num w:numId="34">
    <w:abstractNumId w:val="16"/>
  </w:num>
  <w:num w:numId="35">
    <w:abstractNumId w:val="32"/>
  </w:num>
  <w:num w:numId="36">
    <w:abstractNumId w:val="25"/>
  </w:num>
  <w:num w:numId="37">
    <w:abstractNumId w:val="8"/>
  </w:num>
  <w:num w:numId="38">
    <w:abstractNumId w:val="28"/>
  </w:num>
  <w:num w:numId="39">
    <w:abstractNumId w:val="37"/>
  </w:num>
  <w:num w:numId="40">
    <w:abstractNumId w:val="12"/>
  </w:num>
  <w:num w:numId="41">
    <w:abstractNumId w:val="39"/>
  </w:num>
  <w:num w:numId="42">
    <w:abstractNumId w:val="42"/>
  </w:num>
  <w:num w:numId="43">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051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0B3"/>
    <w:rsid w:val="000C212E"/>
    <w:rsid w:val="000C2484"/>
    <w:rsid w:val="000C2E05"/>
    <w:rsid w:val="000C5EC7"/>
    <w:rsid w:val="000C68BF"/>
    <w:rsid w:val="000C7C2B"/>
    <w:rsid w:val="000D569C"/>
    <w:rsid w:val="000D74FB"/>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2C0C"/>
    <w:rsid w:val="00133ADF"/>
    <w:rsid w:val="001345B2"/>
    <w:rsid w:val="00134C60"/>
    <w:rsid w:val="00135690"/>
    <w:rsid w:val="00135975"/>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238F"/>
    <w:rsid w:val="0016383C"/>
    <w:rsid w:val="00163E79"/>
    <w:rsid w:val="00166299"/>
    <w:rsid w:val="00166E6D"/>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3752"/>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D4509"/>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2487"/>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066"/>
    <w:rsid w:val="004F6B43"/>
    <w:rsid w:val="004F6EE0"/>
    <w:rsid w:val="004F78E8"/>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A3C"/>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93B01"/>
    <w:rsid w:val="006A385C"/>
    <w:rsid w:val="006B0C79"/>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4700"/>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6E50"/>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85DEE"/>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0825"/>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187"/>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0314"/>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1157"/>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241E"/>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BA191"/>
  <w15:docId w15:val="{3682A9AB-1D63-4B0A-A256-0820A38E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5759DA4-AC80-47F7-B219-B35D52F1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TotalTime>
  <Pages>31</Pages>
  <Words>9100</Words>
  <Characters>51872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60851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Robert Card</cp:lastModifiedBy>
  <cp:revision>3</cp:revision>
  <cp:lastPrinted>2012-12-10T12:26:00Z</cp:lastPrinted>
  <dcterms:created xsi:type="dcterms:W3CDTF">2019-03-06T16:19:00Z</dcterms:created>
  <dcterms:modified xsi:type="dcterms:W3CDTF">2019-05-09T13:09:00Z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