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23E67" w:rsidRDefault="00F23E67" w:rsidP="00EA41F5">
      <w:pPr>
        <w:ind w:left="0"/>
        <w:jc w:val="both"/>
      </w:pPr>
      <w:bookmarkStart w:id="0" w:name="_GoBack"/>
      <w:bookmarkEnd w:id="0"/>
    </w:p>
    <w:p w:rsidR="00F23E67" w:rsidRDefault="001C5429">
      <w:pPr>
        <w:jc w:val="both"/>
      </w:pPr>
      <w:r>
        <w:rPr>
          <w:noProof/>
        </w:rPr>
        <w:drawing>
          <wp:inline distT="0" distB="0" distL="114300" distR="114300" wp14:anchorId="383985FF" wp14:editId="11D664A0">
            <wp:extent cx="1350010" cy="82613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8"/>
                    <a:srcRect/>
                    <a:stretch>
                      <a:fillRect/>
                    </a:stretch>
                  </pic:blipFill>
                  <pic:spPr>
                    <a:xfrm>
                      <a:off x="0" y="0"/>
                      <a:ext cx="1350010" cy="826135"/>
                    </a:xfrm>
                    <a:prstGeom prst="rect">
                      <a:avLst/>
                    </a:prstGeom>
                    <a:ln/>
                  </pic:spPr>
                </pic:pic>
              </a:graphicData>
            </a:graphic>
          </wp:inline>
        </w:drawing>
      </w:r>
    </w:p>
    <w:p w:rsidR="00F23E67" w:rsidRDefault="00F23E67">
      <w:pPr>
        <w:jc w:val="both"/>
      </w:pPr>
    </w:p>
    <w:p w:rsidR="00F23E67" w:rsidRDefault="00F23E67">
      <w:pPr>
        <w:jc w:val="both"/>
      </w:pPr>
    </w:p>
    <w:p w:rsidR="00F23E67" w:rsidRDefault="00F23E67">
      <w:pPr>
        <w:jc w:val="both"/>
      </w:pPr>
    </w:p>
    <w:p w:rsidR="00F23E67" w:rsidRDefault="00F23E67">
      <w:pPr>
        <w:jc w:val="both"/>
      </w:pPr>
    </w:p>
    <w:p w:rsidR="00F23E67" w:rsidRDefault="001C5429">
      <w:pPr>
        <w:pStyle w:val="Heading2"/>
        <w:jc w:val="both"/>
      </w:pPr>
      <w:r>
        <w:rPr>
          <w:b/>
          <w:color w:val="F3CB84"/>
          <w:sz w:val="40"/>
          <w:szCs w:val="40"/>
        </w:rPr>
        <w:t>Understanding the Customer</w:t>
      </w:r>
    </w:p>
    <w:p w:rsidR="00F23E67" w:rsidRDefault="001C5429">
      <w:pPr>
        <w:pStyle w:val="Heading2"/>
        <w:jc w:val="both"/>
      </w:pPr>
      <w:r>
        <w:rPr>
          <w:b/>
          <w:color w:val="7A0043"/>
          <w:sz w:val="84"/>
          <w:szCs w:val="84"/>
        </w:rPr>
        <w:t>Research brief</w:t>
      </w:r>
    </w:p>
    <w:p w:rsidR="00F23E67" w:rsidRDefault="001C5429">
      <w:pPr>
        <w:tabs>
          <w:tab w:val="center" w:pos="4320"/>
          <w:tab w:val="right" w:pos="8640"/>
        </w:tabs>
        <w:jc w:val="both"/>
      </w:pPr>
      <w:r>
        <w:tab/>
      </w:r>
      <w:r>
        <w:tab/>
      </w:r>
      <w:r>
        <w:tab/>
      </w:r>
    </w:p>
    <w:p w:rsidR="00F23E67" w:rsidRDefault="00F23E67">
      <w:pPr>
        <w:jc w:val="both"/>
      </w:pPr>
    </w:p>
    <w:p w:rsidR="00F23E67" w:rsidRDefault="00F23E67">
      <w:pPr>
        <w:tabs>
          <w:tab w:val="center" w:pos="4320"/>
          <w:tab w:val="right" w:pos="8640"/>
        </w:tabs>
        <w:ind w:left="0"/>
        <w:jc w:val="both"/>
      </w:pPr>
    </w:p>
    <w:p w:rsidR="00F23E67" w:rsidRDefault="001C5429" w:rsidP="00EA41F5">
      <w:pPr>
        <w:pStyle w:val="Heading4"/>
      </w:pPr>
      <w:r>
        <w:rPr>
          <w:b/>
          <w:i/>
          <w:sz w:val="40"/>
          <w:szCs w:val="40"/>
        </w:rPr>
        <w:t xml:space="preserve">Exploring Business reporting errors to support MTD upstream compliance: Cross tax and Corporation Tax errors </w:t>
      </w:r>
    </w:p>
    <w:p w:rsidR="00F23E67" w:rsidRDefault="00F23E67">
      <w:pPr>
        <w:jc w:val="both"/>
      </w:pPr>
    </w:p>
    <w:p w:rsidR="00F23E67" w:rsidRDefault="00F23E67">
      <w:pPr>
        <w:jc w:val="both"/>
      </w:pPr>
    </w:p>
    <w:p w:rsidR="00EA41F5" w:rsidRDefault="00EA41F5">
      <w:pPr>
        <w:jc w:val="both"/>
      </w:pPr>
    </w:p>
    <w:p w:rsidR="00EA41F5" w:rsidRDefault="00EA41F5">
      <w:pPr>
        <w:jc w:val="both"/>
      </w:pPr>
    </w:p>
    <w:p w:rsidR="00F23E67" w:rsidRDefault="00F23E67">
      <w:pPr>
        <w:jc w:val="both"/>
      </w:pPr>
    </w:p>
    <w:p w:rsidR="00F23E67" w:rsidRDefault="00F23E67">
      <w:pPr>
        <w:jc w:val="both"/>
      </w:pPr>
    </w:p>
    <w:p w:rsidR="00F23E67" w:rsidRDefault="00F23E67" w:rsidP="00EA41F5">
      <w:pPr>
        <w:ind w:left="0"/>
        <w:jc w:val="both"/>
      </w:pPr>
    </w:p>
    <w:p w:rsidR="001C7540" w:rsidRDefault="001C7540">
      <w:pPr>
        <w:jc w:val="both"/>
        <w:rPr>
          <w:rFonts w:ascii="Calibri" w:eastAsia="Calibri" w:hAnsi="Calibri" w:cs="Calibri"/>
          <w:b/>
          <w:sz w:val="28"/>
          <w:szCs w:val="28"/>
        </w:rPr>
      </w:pPr>
    </w:p>
    <w:p w:rsidR="00F23E67" w:rsidRDefault="0052332E">
      <w:pPr>
        <w:jc w:val="both"/>
      </w:pPr>
      <w:r>
        <w:rPr>
          <w:b/>
          <w:sz w:val="32"/>
          <w:szCs w:val="32"/>
        </w:rPr>
        <w:t>24</w:t>
      </w:r>
      <w:r>
        <w:rPr>
          <w:b/>
          <w:sz w:val="32"/>
          <w:szCs w:val="32"/>
          <w:vertAlign w:val="superscript"/>
        </w:rPr>
        <w:t>th</w:t>
      </w:r>
      <w:r w:rsidR="001C5429">
        <w:rPr>
          <w:b/>
          <w:sz w:val="32"/>
          <w:szCs w:val="32"/>
        </w:rPr>
        <w:t xml:space="preserve"> November 2016</w:t>
      </w:r>
    </w:p>
    <w:p w:rsidR="00F23E67" w:rsidRDefault="001C5429">
      <w:r>
        <w:br w:type="page"/>
      </w:r>
    </w:p>
    <w:p w:rsidR="00F23E67" w:rsidRDefault="00F23E67">
      <w:pPr>
        <w:widowControl w:val="0"/>
        <w:spacing w:line="276" w:lineRule="auto"/>
        <w:ind w:left="0"/>
        <w:sectPr w:rsidR="00F23E67">
          <w:headerReference w:type="default" r:id="rId9"/>
          <w:footerReference w:type="default" r:id="rId10"/>
          <w:footerReference w:type="first" r:id="rId11"/>
          <w:pgSz w:w="12240" w:h="15840"/>
          <w:pgMar w:top="907" w:right="1134" w:bottom="1276" w:left="1134" w:header="720" w:footer="720" w:gutter="0"/>
          <w:pgNumType w:start="1"/>
          <w:cols w:space="720"/>
          <w:titlePg/>
        </w:sectPr>
      </w:pPr>
    </w:p>
    <w:p w:rsidR="00F23E67" w:rsidRDefault="00F23E67">
      <w:pPr>
        <w:ind w:left="0"/>
        <w:jc w:val="both"/>
      </w:pPr>
    </w:p>
    <w:p w:rsidR="00F23E67" w:rsidRDefault="001C5429" w:rsidP="00EF6D20">
      <w:pPr>
        <w:spacing w:after="120"/>
        <w:ind w:left="0"/>
        <w:jc w:val="both"/>
      </w:pPr>
      <w:r>
        <w:rPr>
          <w:rFonts w:ascii="Times New Roman" w:eastAsia="Times New Roman" w:hAnsi="Times New Roman" w:cs="Times New Roman"/>
          <w:b/>
          <w:i/>
          <w:color w:val="7A0043"/>
          <w:sz w:val="32"/>
          <w:szCs w:val="32"/>
        </w:rPr>
        <w:t>Background, previous research, additional reading</w:t>
      </w:r>
    </w:p>
    <w:p w:rsidR="00F23E67" w:rsidRDefault="001C5429">
      <w:pPr>
        <w:ind w:left="0"/>
        <w:jc w:val="both"/>
      </w:pPr>
      <w:r>
        <w:t xml:space="preserve">Making Tax Digital (MTD) was announced at Budget 2015, with more detailed business specific commitments (MTDfB) announced at Autumn Statement 2015 and in the Roadmap </w:t>
      </w:r>
      <w:hyperlink r:id="rId12">
        <w:r>
          <w:rPr>
            <w:color w:val="0000FF"/>
            <w:u w:val="single"/>
          </w:rPr>
          <w:t>https://www.gov.uk/government/publications/making-tax-digital</w:t>
        </w:r>
      </w:hyperlink>
      <w:r>
        <w:t xml:space="preserve">, published in December 2015.  It is a core element of HMRC’s transformation which seeks to </w:t>
      </w:r>
      <w:r w:rsidR="00A6473F">
        <w:t xml:space="preserve">modernise tax administration, </w:t>
      </w:r>
      <w:r>
        <w:t>deliver</w:t>
      </w:r>
      <w:r w:rsidR="00A6473F">
        <w:t xml:space="preserve"> </w:t>
      </w:r>
      <w:r>
        <w:t xml:space="preserve">greater voluntary compliance and </w:t>
      </w:r>
      <w:r w:rsidR="00A6473F">
        <w:t xml:space="preserve">an </w:t>
      </w:r>
      <w:r>
        <w:t xml:space="preserve">enhanced customer experience, by integrating tax into day to day business processes, removing the need for an annual return for many business customers.  </w:t>
      </w:r>
    </w:p>
    <w:p w:rsidR="00F23E67" w:rsidRDefault="00F23E67">
      <w:pPr>
        <w:ind w:left="0"/>
        <w:jc w:val="both"/>
      </w:pPr>
    </w:p>
    <w:p w:rsidR="00F23E67" w:rsidRDefault="001C5429">
      <w:pPr>
        <w:ind w:left="0"/>
        <w:jc w:val="both"/>
      </w:pPr>
      <w:r>
        <w:t xml:space="preserve">MTDfB will change the way businesses interact with HMRC; moving customers away from a paper based/telephone first approach to increasingly digital services. Through the use of third-party developed software/apps, businesses will be able to automate and integrate their record keeping into the day-to-day running of their business.  In doing so, businesses will be able to update HMRC </w:t>
      </w:r>
      <w:r w:rsidR="00A6473F">
        <w:t>quarterly</w:t>
      </w:r>
      <w:r>
        <w:t>, getting a more up to date view of the tax they owe, increasing certainty, providing the foundations</w:t>
      </w:r>
      <w:r w:rsidR="00A6473F">
        <w:t xml:space="preserve"> to flourish and </w:t>
      </w:r>
      <w:r>
        <w:t>grow</w:t>
      </w:r>
      <w:r w:rsidR="00A6473F">
        <w:t>.</w:t>
      </w:r>
    </w:p>
    <w:p w:rsidR="00F23E67" w:rsidRDefault="00F23E67">
      <w:pPr>
        <w:ind w:left="0"/>
        <w:jc w:val="both"/>
      </w:pPr>
    </w:p>
    <w:p w:rsidR="00F23E67" w:rsidRDefault="001C5429">
      <w:pPr>
        <w:ind w:left="0"/>
        <w:jc w:val="both"/>
      </w:pPr>
      <w:r>
        <w:t xml:space="preserve">MTD will require businesses to keep their records digitally and to update HMRC on a quarterly basis. Qualitative research and co-design with small businesses is needed to develop HMRC’s understanding of the reasons for common, simple and </w:t>
      </w:r>
      <w:r w:rsidR="00A6473F">
        <w:t>tax</w:t>
      </w:r>
      <w:r>
        <w:t xml:space="preserve"> errors, and how they might be most effectively addressed within MTD design. </w:t>
      </w:r>
    </w:p>
    <w:p w:rsidR="00F23E67" w:rsidRDefault="00F23E67">
      <w:pPr>
        <w:ind w:left="0"/>
        <w:jc w:val="both"/>
      </w:pPr>
    </w:p>
    <w:p w:rsidR="00F23E67" w:rsidRDefault="001C5429">
      <w:pPr>
        <w:ind w:left="0"/>
      </w:pPr>
      <w:r>
        <w:rPr>
          <w:b/>
        </w:rPr>
        <w:t>Making Tax Digital Public Consultations</w:t>
      </w:r>
    </w:p>
    <w:p w:rsidR="00F23E67" w:rsidRDefault="001C5429">
      <w:pPr>
        <w:ind w:left="0"/>
        <w:jc w:val="both"/>
      </w:pPr>
      <w:r>
        <w:t>A collection of Making Tax Digital public consultations around specific elements of the Making Tax Digital reforms were published on Gov.uk on 15 August 2016 (including more details on how the requirements for digital record keeping an</w:t>
      </w:r>
      <w:r w:rsidR="00526424">
        <w:t>d quarterly updates will work).</w:t>
      </w:r>
      <w:r>
        <w:t xml:space="preserve"> The consultation period ended on 7</w:t>
      </w:r>
      <w:r>
        <w:rPr>
          <w:vertAlign w:val="superscript"/>
        </w:rPr>
        <w:t>th</w:t>
      </w:r>
      <w:r>
        <w:t xml:space="preserve"> November 2016</w:t>
      </w:r>
      <w:r w:rsidR="001D0974">
        <w:t>.  A government response to the consultation will be published in January 2017</w:t>
      </w:r>
      <w:r w:rsidR="00526424">
        <w:t>.</w:t>
      </w:r>
    </w:p>
    <w:p w:rsidR="00F23E67" w:rsidRDefault="00981236">
      <w:pPr>
        <w:ind w:left="0"/>
        <w:jc w:val="both"/>
      </w:pPr>
      <w:hyperlink r:id="rId13">
        <w:r w:rsidR="001C5429">
          <w:rPr>
            <w:color w:val="0000FF"/>
            <w:u w:val="single"/>
          </w:rPr>
          <w:t>https://www.gov.uk/government/collections/making-tax-digital-consultations</w:t>
        </w:r>
      </w:hyperlink>
      <w:hyperlink r:id="rId14"/>
    </w:p>
    <w:p w:rsidR="00F23E67" w:rsidRDefault="001C5429">
      <w:pPr>
        <w:ind w:left="0"/>
        <w:jc w:val="both"/>
      </w:pPr>
      <w:r>
        <w:t>The consultation covered the following areas relevant to this study;</w:t>
      </w:r>
    </w:p>
    <w:p w:rsidR="00F23E67" w:rsidRDefault="001C5429">
      <w:pPr>
        <w:numPr>
          <w:ilvl w:val="0"/>
          <w:numId w:val="8"/>
        </w:numPr>
        <w:ind w:hanging="360"/>
        <w:jc w:val="both"/>
      </w:pPr>
      <w:r>
        <w:t xml:space="preserve">What functionality would be necessary in a free software product and what types of business should a free software produce /package cater for? </w:t>
      </w:r>
    </w:p>
    <w:p w:rsidR="00F23E67" w:rsidRDefault="001C5429">
      <w:pPr>
        <w:numPr>
          <w:ilvl w:val="0"/>
          <w:numId w:val="8"/>
        </w:numPr>
        <w:ind w:hanging="360"/>
        <w:jc w:val="both"/>
      </w:pPr>
      <w:r>
        <w:t xml:space="preserve">What guidance or links to external guidance would businesses find most useful within their software? </w:t>
      </w:r>
    </w:p>
    <w:p w:rsidR="00F23E67" w:rsidRDefault="001C5429">
      <w:pPr>
        <w:numPr>
          <w:ilvl w:val="0"/>
          <w:numId w:val="8"/>
        </w:numPr>
        <w:ind w:hanging="360"/>
        <w:jc w:val="both"/>
      </w:pPr>
      <w:r>
        <w:t xml:space="preserve">What prompts and nudges would be most useful to businesses? </w:t>
      </w:r>
    </w:p>
    <w:p w:rsidR="001D0974" w:rsidRDefault="001D0974">
      <w:pPr>
        <w:ind w:left="0"/>
      </w:pPr>
    </w:p>
    <w:p w:rsidR="001D0974" w:rsidRDefault="001D0974">
      <w:pPr>
        <w:ind w:left="0"/>
      </w:pPr>
    </w:p>
    <w:p w:rsidR="001D0974" w:rsidRDefault="001D0974">
      <w:pPr>
        <w:ind w:left="0"/>
      </w:pPr>
    </w:p>
    <w:p w:rsidR="00F23E67" w:rsidRDefault="001C5429">
      <w:pPr>
        <w:ind w:left="0"/>
      </w:pPr>
      <w:r>
        <w:rPr>
          <w:b/>
        </w:rPr>
        <w:t>Background: Making Tax Digital for Business (MTDfB)</w:t>
      </w:r>
    </w:p>
    <w:p w:rsidR="00F23E67" w:rsidRDefault="00F23E67">
      <w:pPr>
        <w:ind w:left="0"/>
      </w:pPr>
    </w:p>
    <w:p w:rsidR="00F23E67" w:rsidRDefault="001C5429">
      <w:pPr>
        <w:ind w:left="0"/>
        <w:jc w:val="both"/>
      </w:pPr>
      <w:r>
        <w:t>HMRC's vision is for a personalised service designed around our customers’ specific needs, built on digital tax accounts and making better use of data (including the data HMRC holds). MTDfB will transform HMRC's interaction with customers growing voluntary compliance through the use of digital tools; updating HMRC quarterly rather than completing an annual return, and offering the opportunity to move payment onto a ‘pay as you go’ basis, providing customers with certainty and convenience.</w:t>
      </w:r>
    </w:p>
    <w:p w:rsidR="00F23E67" w:rsidRDefault="00F23E67">
      <w:pPr>
        <w:ind w:left="0"/>
        <w:jc w:val="both"/>
      </w:pPr>
    </w:p>
    <w:p w:rsidR="00F23E67" w:rsidRDefault="001C5429">
      <w:pPr>
        <w:ind w:left="0"/>
        <w:jc w:val="both"/>
      </w:pPr>
      <w:r>
        <w:t>MTDfB will require most business customers (including, self-employed, partnerships, companies and some landlords) to keep their business records digitally and to update HMRC quarterly (or more frequently if they choose) for the following taxes: Business Income Tax, VAT and Corporation Tax.  Through MTDfB, HMRC aims to make tax administration more straightforward and less burdensome for UK businesses by integrating tax into day to day business processes; harnessing the digital tools of today to deliver the tax services of tomorrow.</w:t>
      </w:r>
    </w:p>
    <w:p w:rsidR="00F23E67" w:rsidRDefault="00F23E67">
      <w:pPr>
        <w:ind w:left="0"/>
        <w:jc w:val="both"/>
      </w:pPr>
    </w:p>
    <w:p w:rsidR="00F23E67" w:rsidRDefault="001C5429">
      <w:pPr>
        <w:ind w:left="0"/>
        <w:jc w:val="both"/>
      </w:pPr>
      <w:r>
        <w:t>MTDfB will mean businesses being able to send tax data to us digitally, using the sorts of devices (pc’s, smartphones, tablets) many already use.  Third party software or Apps will link securely into HMRC’s systems, allowing taxpayers to submit data to HMRC more easily and information we already hold will no longer need to be re-supplied. In order to achieve this our policy, products and processes will be simplified and aligned across different taxes.</w:t>
      </w:r>
    </w:p>
    <w:p w:rsidR="00F23E67" w:rsidRDefault="00F23E67">
      <w:pPr>
        <w:ind w:left="0"/>
        <w:jc w:val="both"/>
      </w:pPr>
    </w:p>
    <w:p w:rsidR="00F23E67" w:rsidRDefault="001C5429">
      <w:pPr>
        <w:ind w:left="0"/>
        <w:jc w:val="both"/>
      </w:pPr>
      <w:r>
        <w:t xml:space="preserve">MTDfB will engender voluntary compliance for businesses.  It will deliver significant tax and customer benefits firstly by a move to digital record keeping; and then secondly through the incorporation of prompts and nudges within the third party software that directly addresses the reporting errors/ carelessness at source (e.g. at point of data entry/update). The digital tools will highlight errors made by customers and prompt for information which otherwise might have been overlooked, providing more certainty for businesses that they are reporting what is required of them and have got their tax right.  </w:t>
      </w:r>
    </w:p>
    <w:p w:rsidR="00F23E67" w:rsidRDefault="00F23E67">
      <w:pPr>
        <w:ind w:left="0"/>
        <w:jc w:val="both"/>
      </w:pPr>
    </w:p>
    <w:p w:rsidR="00F23E67" w:rsidRDefault="001C5429">
      <w:pPr>
        <w:ind w:left="0"/>
      </w:pPr>
      <w:r>
        <w:t xml:space="preserve">There are two broad categories of error that third party software has potential to address, to include, but not restricted to the incorporation of nudges and prompts.  These are: </w:t>
      </w:r>
    </w:p>
    <w:p w:rsidR="00F23E67" w:rsidRDefault="00F23E67">
      <w:pPr>
        <w:ind w:left="0"/>
      </w:pPr>
    </w:p>
    <w:p w:rsidR="00F23E67" w:rsidRDefault="001C5429">
      <w:pPr>
        <w:numPr>
          <w:ilvl w:val="0"/>
          <w:numId w:val="12"/>
        </w:numPr>
        <w:ind w:hanging="720"/>
      </w:pPr>
      <w:r>
        <w:t>Simple errors such as transposition</w:t>
      </w:r>
      <w:r w:rsidR="00E71D7E">
        <w:t xml:space="preserve"> and</w:t>
      </w:r>
      <w:r>
        <w:t xml:space="preserve"> arithmetic </w:t>
      </w:r>
      <w:r w:rsidR="00A6473F">
        <w:t xml:space="preserve">which </w:t>
      </w:r>
      <w:r>
        <w:t>will be addressed by the keeping records digitally; and</w:t>
      </w:r>
    </w:p>
    <w:p w:rsidR="00F23E67" w:rsidRDefault="00A6473F" w:rsidP="001D0974">
      <w:pPr>
        <w:numPr>
          <w:ilvl w:val="0"/>
          <w:numId w:val="12"/>
        </w:numPr>
        <w:ind w:hanging="720"/>
      </w:pPr>
      <w:r>
        <w:t>More t</w:t>
      </w:r>
      <w:r w:rsidR="001C5429">
        <w:t xml:space="preserve">echnical </w:t>
      </w:r>
      <w:r>
        <w:t xml:space="preserve">tax </w:t>
      </w:r>
      <w:r w:rsidR="001C5429">
        <w:t>errors where customers’ misunderstanding/lack of knowledge/confidence with the tax rules (eg treatment of cars for VAT and/or direct tax purposes) which will be addressed within the software via ‘nudges and prompts’ in the form of targeted guidance.</w:t>
      </w:r>
    </w:p>
    <w:p w:rsidR="00F23E67" w:rsidRDefault="001D0974">
      <w:pPr>
        <w:ind w:left="0"/>
        <w:jc w:val="both"/>
      </w:pPr>
      <w:r>
        <w:rPr>
          <w:b/>
        </w:rPr>
        <w:t>This research</w:t>
      </w:r>
      <w:r>
        <w:t xml:space="preserve"> will expand on ongoing research to better understand the underlying reasons for errors to focus on businesses that interact with more than one tax type (VAT and/or Corporation Tax/Income Tax Self-Assessment) to understand customer behaviours and address cross-tax errors, and errors that are particular to more complex businesses such as companies.  </w:t>
      </w:r>
    </w:p>
    <w:p w:rsidR="00C23492" w:rsidRDefault="00C23492">
      <w:pPr>
        <w:ind w:left="0"/>
        <w:jc w:val="both"/>
      </w:pPr>
    </w:p>
    <w:p w:rsidR="00F23E67" w:rsidRDefault="001D0974">
      <w:pPr>
        <w:ind w:left="0"/>
        <w:jc w:val="both"/>
      </w:pPr>
      <w:r>
        <w:t>I</w:t>
      </w:r>
      <w:r w:rsidR="001C5429">
        <w:t>nsight gained from the co-design research will support:</w:t>
      </w:r>
    </w:p>
    <w:p w:rsidR="00F23E67" w:rsidRDefault="00F23E67">
      <w:pPr>
        <w:ind w:left="0"/>
      </w:pPr>
    </w:p>
    <w:p w:rsidR="00F23E67" w:rsidRDefault="00517797">
      <w:pPr>
        <w:numPr>
          <w:ilvl w:val="0"/>
          <w:numId w:val="3"/>
        </w:numPr>
        <w:spacing w:before="120" w:after="120"/>
        <w:ind w:hanging="360"/>
      </w:pPr>
      <w:r>
        <w:t xml:space="preserve">Further improve voluntary compliance at source, </w:t>
      </w:r>
      <w:r w:rsidR="001C5429">
        <w:t>reduc</w:t>
      </w:r>
      <w:r>
        <w:t xml:space="preserve">ing </w:t>
      </w:r>
      <w:r w:rsidR="001C5429">
        <w:t xml:space="preserve">errors </w:t>
      </w:r>
      <w:r>
        <w:t xml:space="preserve">through </w:t>
      </w:r>
      <w:r w:rsidR="001C5429">
        <w:t>the provision of effective nudges and prompts to address the underlying behaviours in real, or close to real time</w:t>
      </w:r>
    </w:p>
    <w:p w:rsidR="00F23E67" w:rsidRDefault="001C5429">
      <w:pPr>
        <w:numPr>
          <w:ilvl w:val="0"/>
          <w:numId w:val="3"/>
        </w:numPr>
        <w:spacing w:before="120" w:after="120"/>
        <w:ind w:hanging="360"/>
      </w:pPr>
      <w:r>
        <w:t>An improvement in business customer experience in managing their tax affairs, through the provision of timely, targeted and supportive messages to address  error behaviours and provide customers with, for example, greater clarity on what is required of them through prompts containing targeted guidance and greater reassurance that they are performing the appropriate actions</w:t>
      </w:r>
    </w:p>
    <w:p w:rsidR="00F23E67" w:rsidRDefault="001C5429">
      <w:pPr>
        <w:numPr>
          <w:ilvl w:val="0"/>
          <w:numId w:val="3"/>
        </w:numPr>
        <w:ind w:hanging="360"/>
      </w:pPr>
      <w:r>
        <w:t>Potentially enhance the role of agents by leveraging their engagement to address potential risks before submission; freeing up their time to focus on business advice.</w:t>
      </w:r>
    </w:p>
    <w:p w:rsidR="00F23E67" w:rsidRDefault="00F23E67">
      <w:pPr>
        <w:ind w:left="720"/>
      </w:pPr>
    </w:p>
    <w:p w:rsidR="00F23E67" w:rsidRDefault="00F23E67">
      <w:pPr>
        <w:ind w:left="0"/>
        <w:jc w:val="both"/>
      </w:pPr>
    </w:p>
    <w:p w:rsidR="00F23E67" w:rsidRDefault="001C5429">
      <w:pPr>
        <w:ind w:left="0"/>
        <w:jc w:val="both"/>
      </w:pPr>
      <w:r>
        <w:rPr>
          <w:b/>
        </w:rPr>
        <w:t>The focus of this Research Brief</w:t>
      </w:r>
    </w:p>
    <w:p w:rsidR="00F23E67" w:rsidRDefault="00F23E67">
      <w:pPr>
        <w:ind w:left="0"/>
        <w:jc w:val="both"/>
      </w:pPr>
    </w:p>
    <w:p w:rsidR="00F23E67" w:rsidRDefault="001C5429">
      <w:pPr>
        <w:ind w:left="0"/>
        <w:jc w:val="both"/>
      </w:pPr>
      <w:r>
        <w:rPr>
          <w:b/>
        </w:rPr>
        <w:t>This research</w:t>
      </w:r>
      <w:r>
        <w:t xml:space="preserve"> will expand on the ongoing error research and focus on businesses that interact with more than one tax type (VAT and/or Corporation Tax/Income Tax Self-Assessment) to understand customer behaviours and address cross-tax errors, and errors that are particular to more complex businesses such as companies.  In particular, the output from this research will be used to understand cross-tax and Corporation Tax (CT) technical issues that occur, informing the design of the software, and co-create prompts and nudges that will effectively address the underlying causes.</w:t>
      </w:r>
    </w:p>
    <w:p w:rsidR="00F23E67" w:rsidRDefault="00F23E67">
      <w:pPr>
        <w:ind w:left="0"/>
      </w:pPr>
    </w:p>
    <w:p w:rsidR="008970F8" w:rsidRDefault="008970F8" w:rsidP="008970F8">
      <w:pPr>
        <w:spacing w:before="120" w:after="120"/>
        <w:ind w:left="0"/>
        <w:jc w:val="both"/>
      </w:pPr>
      <w:r>
        <w:t xml:space="preserve">Specifically, this research will explore business customers reporting and record keeping behaviours to identify those issues and practices that result in common groupings of errors being made in relation to cross tax and more complex errors.  The research will also explore with those customers how software messages (e.g. targeted guidance) would best be developed and presented to flag, challenge and address in real time those errors without negatively affecting customer experience.  </w:t>
      </w:r>
    </w:p>
    <w:p w:rsidR="008970F8" w:rsidRDefault="008970F8">
      <w:pPr>
        <w:ind w:left="0"/>
        <w:jc w:val="both"/>
      </w:pPr>
    </w:p>
    <w:p w:rsidR="00F23E67" w:rsidRDefault="001C5429">
      <w:pPr>
        <w:ind w:left="0"/>
        <w:jc w:val="both"/>
      </w:pPr>
      <w:r>
        <w:t xml:space="preserve">This qualitative research will </w:t>
      </w:r>
      <w:r w:rsidR="008970F8">
        <w:t xml:space="preserve">be required to also </w:t>
      </w:r>
      <w:r>
        <w:t>explore in-depth the underlying causes of an initial, prioritised selection of c.5 error types including both simple and technical</w:t>
      </w:r>
      <w:r w:rsidR="008970F8">
        <w:t xml:space="preserve"> errors (see i and ii above).  The</w:t>
      </w:r>
      <w:r>
        <w:t xml:space="preserve"> co-design element (or alternative approach) of the planned study will</w:t>
      </w:r>
      <w:r w:rsidR="008970F8">
        <w:t xml:space="preserve"> therefore need to</w:t>
      </w:r>
      <w:r>
        <w:t xml:space="preserve"> explore the businesses how best to design the prompts and nudges to more effectively address the identified underlying causes.</w:t>
      </w:r>
    </w:p>
    <w:p w:rsidR="00F23E67" w:rsidRDefault="00F23E67">
      <w:pPr>
        <w:ind w:left="0"/>
        <w:jc w:val="both"/>
      </w:pPr>
    </w:p>
    <w:p w:rsidR="00F23E67" w:rsidRDefault="001C5429">
      <w:pPr>
        <w:ind w:left="0"/>
        <w:jc w:val="both"/>
      </w:pPr>
      <w:r>
        <w:t>This brief sets out our requirements for two phases of research:</w:t>
      </w:r>
    </w:p>
    <w:p w:rsidR="00F23E67" w:rsidRDefault="00F23E67">
      <w:pPr>
        <w:ind w:left="0"/>
      </w:pPr>
    </w:p>
    <w:p w:rsidR="00F23E67" w:rsidRDefault="001C5429">
      <w:pPr>
        <w:numPr>
          <w:ilvl w:val="0"/>
          <w:numId w:val="9"/>
        </w:numPr>
        <w:ind w:hanging="360"/>
        <w:jc w:val="both"/>
      </w:pPr>
      <w:r>
        <w:rPr>
          <w:b/>
        </w:rPr>
        <w:t>Phase 1:</w:t>
      </w:r>
      <w:r>
        <w:t xml:space="preserve"> to explore in detail business customers’ reporting and record keeping behaviours to identify those issues and practices that result in common groupings of errors being made in relation to cross tax errors and more complex errors. </w:t>
      </w:r>
    </w:p>
    <w:p w:rsidR="00F23E67" w:rsidRDefault="001C5429">
      <w:pPr>
        <w:numPr>
          <w:ilvl w:val="0"/>
          <w:numId w:val="9"/>
        </w:numPr>
        <w:ind w:hanging="360"/>
        <w:jc w:val="both"/>
      </w:pPr>
      <w:r>
        <w:rPr>
          <w:b/>
        </w:rPr>
        <w:t>Phase 2:</w:t>
      </w:r>
      <w:r>
        <w:t xml:space="preserve"> To explore with those business customers how software messages (eg targeted guidance) would best be developed and presented to flag, challenge and address in real time those errors identified in phase 1 without negatively affecting customer experience.</w:t>
      </w:r>
    </w:p>
    <w:p w:rsidR="00F23E67" w:rsidRDefault="00F23E67">
      <w:pPr>
        <w:ind w:left="0"/>
        <w:jc w:val="both"/>
      </w:pPr>
    </w:p>
    <w:p w:rsidR="00F23E67" w:rsidRDefault="001C5429">
      <w:pPr>
        <w:jc w:val="both"/>
      </w:pPr>
      <w:r>
        <w:rPr>
          <w:b/>
          <w:shd w:val="clear" w:color="auto" w:fill="E7E6E6"/>
        </w:rPr>
        <w:t>We require tenderers to submit bids for both phases of work according to the requirements set out in this Brief.  Please ensure your proposals maintain separation of activities and costs across the two phases.  Both phases must be fully proposed with detailed schedules of activities and costings.</w:t>
      </w:r>
    </w:p>
    <w:p w:rsidR="00F23E67" w:rsidRDefault="00F23E67">
      <w:pPr>
        <w:jc w:val="both"/>
      </w:pPr>
    </w:p>
    <w:p w:rsidR="00F23E67" w:rsidRDefault="001C5429">
      <w:pPr>
        <w:jc w:val="both"/>
      </w:pPr>
      <w:r>
        <w:rPr>
          <w:shd w:val="clear" w:color="auto" w:fill="E7E6E6"/>
        </w:rPr>
        <w:t xml:space="preserve">We envisage that the successful tenderer from this commissioning exercise will be awarded a contract for Phases 1 and 2.  </w:t>
      </w:r>
      <w:r>
        <w:rPr>
          <w:b/>
          <w:i/>
          <w:shd w:val="clear" w:color="auto" w:fill="E7E6E6"/>
        </w:rPr>
        <w:t>However, HMRC may, for any reason, decline to go ahead with Phase 2 and reserves the right to re-tender this phase for whatever reason.  The contractor is to undertake no work on Phase 2 without the prior written permission of the HMRC project manager.</w:t>
      </w:r>
      <w:r>
        <w:rPr>
          <w:shd w:val="clear" w:color="auto" w:fill="E7E6E6"/>
        </w:rPr>
        <w:t xml:space="preserve">  It may become necessary to re-visit certain aspects of Phase 2 following the findings from Phase 1 and changing project contexts.  </w:t>
      </w:r>
    </w:p>
    <w:p w:rsidR="00F23E67" w:rsidRDefault="00F23E67">
      <w:pPr>
        <w:jc w:val="both"/>
      </w:pPr>
    </w:p>
    <w:p w:rsidR="00F23E67" w:rsidRDefault="001C5429" w:rsidP="00EF6D20">
      <w:pPr>
        <w:spacing w:after="120"/>
        <w:ind w:left="0"/>
        <w:jc w:val="both"/>
      </w:pPr>
      <w:r>
        <w:rPr>
          <w:rFonts w:ascii="Times New Roman" w:eastAsia="Times New Roman" w:hAnsi="Times New Roman" w:cs="Times New Roman"/>
          <w:b/>
          <w:i/>
          <w:color w:val="7A0043"/>
          <w:sz w:val="32"/>
          <w:szCs w:val="32"/>
        </w:rPr>
        <w:t>Research Objectives</w:t>
      </w:r>
    </w:p>
    <w:p w:rsidR="00F23E67" w:rsidRDefault="001C5429" w:rsidP="00EF6D20">
      <w:pPr>
        <w:spacing w:before="120" w:after="120"/>
        <w:ind w:left="0"/>
        <w:jc w:val="both"/>
      </w:pPr>
      <w:r>
        <w:t>The aim of this research is to continue to inform HMRC’s understanding of the reasons common (simple and technical) errors are made by business customers and inform the design of nudges and prompts embedded in third party software to address effectively the underlying error causing behaviours. Ultimately, this research will expand the current evidence base and explore a second tranche of identified errors (to include cross-tax) and ensure MTDfB is</w:t>
      </w:r>
      <w:r w:rsidR="00AA2C90">
        <w:t xml:space="preserve"> </w:t>
      </w:r>
      <w:r>
        <w:t xml:space="preserve">able to </w:t>
      </w:r>
      <w:r w:rsidR="00AA2C90">
        <w:t>promote voluntary compliance closer to real time.</w:t>
      </w:r>
    </w:p>
    <w:p w:rsidR="00F23E67" w:rsidRDefault="001C5429" w:rsidP="00EF6D20">
      <w:pPr>
        <w:spacing w:before="120" w:after="120"/>
        <w:ind w:left="0"/>
      </w:pPr>
      <w:r>
        <w:t>More specifically, the objectives for this research, to be conducted over two separate phases, are to:</w:t>
      </w:r>
    </w:p>
    <w:p w:rsidR="00F23E67" w:rsidRDefault="001C5429">
      <w:pPr>
        <w:spacing w:before="120" w:after="120"/>
      </w:pPr>
      <w:r>
        <w:rPr>
          <w:b/>
        </w:rPr>
        <w:t>Phase 1</w:t>
      </w:r>
    </w:p>
    <w:p w:rsidR="00F23E67" w:rsidRDefault="001C5429">
      <w:pPr>
        <w:numPr>
          <w:ilvl w:val="0"/>
          <w:numId w:val="13"/>
        </w:numPr>
        <w:ind w:hanging="360"/>
        <w:contextualSpacing/>
      </w:pPr>
      <w:r>
        <w:rPr>
          <w:i/>
        </w:rPr>
        <w:t xml:space="preserve">Explore current business reporting behaviours relevant to identified simple and technical </w:t>
      </w:r>
      <w:r w:rsidR="00AA2C90">
        <w:rPr>
          <w:i/>
        </w:rPr>
        <w:t xml:space="preserve">tax </w:t>
      </w:r>
      <w:r>
        <w:rPr>
          <w:i/>
        </w:rPr>
        <w:t>errors, to include cross-tax</w:t>
      </w:r>
      <w:r>
        <w:t xml:space="preserve"> e.g. record keeping practices, use of accounting software, level of expertise in accounting and tax, how they currently go about reporting to HMRC, use of agent to finalise the return and check data (where appropriate) </w:t>
      </w:r>
    </w:p>
    <w:p w:rsidR="00F23E67" w:rsidRDefault="00F23E67">
      <w:pPr>
        <w:ind w:left="720"/>
      </w:pPr>
    </w:p>
    <w:p w:rsidR="00F23E67" w:rsidRDefault="001C5429" w:rsidP="008970F8">
      <w:pPr>
        <w:numPr>
          <w:ilvl w:val="0"/>
          <w:numId w:val="13"/>
        </w:numPr>
        <w:spacing w:before="120" w:after="120"/>
        <w:ind w:hanging="360"/>
        <w:contextualSpacing/>
      </w:pPr>
      <w:r w:rsidRPr="00AA2C90">
        <w:rPr>
          <w:i/>
        </w:rPr>
        <w:t xml:space="preserve">Explore and identify customer behaviours and decisions underlying and resulting in the errors.  </w:t>
      </w:r>
      <w:r>
        <w:t>This will be considered</w:t>
      </w:r>
      <w:r w:rsidRPr="00AA2C90">
        <w:rPr>
          <w:i/>
        </w:rPr>
        <w:t xml:space="preserve"> </w:t>
      </w:r>
      <w:r>
        <w:t xml:space="preserve">across a range of business types and sectors, where they are most common and costly in tax </w:t>
      </w:r>
      <w:r w:rsidR="00AA2C90">
        <w:t>terms</w:t>
      </w:r>
      <w:r>
        <w:t xml:space="preserve"> e.g. inadvertent error arising from slip in data entry or memory lapse, rule or knowledge based mistake arising from lack of knowledge or confidence, poor record keeping practices, through to deliberate non-compliance (routine, situational or exceptional)</w:t>
      </w:r>
    </w:p>
    <w:p w:rsidR="001C7540" w:rsidRDefault="001C5429" w:rsidP="00EA41F5">
      <w:pPr>
        <w:numPr>
          <w:ilvl w:val="0"/>
          <w:numId w:val="13"/>
        </w:numPr>
        <w:ind w:hanging="360"/>
        <w:contextualSpacing/>
      </w:pPr>
      <w:r>
        <w:rPr>
          <w:i/>
        </w:rPr>
        <w:t>Identify where intervention is needed at point of data entry</w:t>
      </w:r>
      <w:r>
        <w:t xml:space="preserve"> (and potentially on updating HMRC), and how software nudges and prompts might address underlying behaviours and decisions (including, where relevant, how it affects their use of agents in checking data)</w:t>
      </w:r>
    </w:p>
    <w:p w:rsidR="00F23E67" w:rsidRDefault="00F23E67"/>
    <w:p w:rsidR="00F23E67" w:rsidRDefault="001C5429">
      <w:r>
        <w:rPr>
          <w:b/>
        </w:rPr>
        <w:t>Phase 2</w:t>
      </w:r>
    </w:p>
    <w:p w:rsidR="00F23E67" w:rsidRDefault="00F23E67">
      <w:pPr>
        <w:ind w:left="720"/>
      </w:pPr>
    </w:p>
    <w:p w:rsidR="00F23E67" w:rsidRDefault="001C5429">
      <w:pPr>
        <w:numPr>
          <w:ilvl w:val="0"/>
          <w:numId w:val="13"/>
        </w:numPr>
        <w:ind w:hanging="360"/>
        <w:contextualSpacing/>
      </w:pPr>
      <w:r>
        <w:rPr>
          <w:i/>
        </w:rPr>
        <w:t>Co-design (or alternative approach) with customers how software prompts and nudges would be best developed and presented</w:t>
      </w:r>
      <w:r>
        <w:t xml:space="preserve"> (e.g. wording, timing, approach to delivery) to:</w:t>
      </w:r>
    </w:p>
    <w:p w:rsidR="00F23E67" w:rsidRDefault="001C5429">
      <w:pPr>
        <w:numPr>
          <w:ilvl w:val="0"/>
          <w:numId w:val="14"/>
        </w:numPr>
        <w:spacing w:before="120" w:after="120"/>
        <w:ind w:hanging="360"/>
      </w:pPr>
      <w:r>
        <w:t>most effectively engage customers to address the causes of errors to reduce the likelihood of those errors being made at the point of reporting and</w:t>
      </w:r>
    </w:p>
    <w:p w:rsidR="00F23E67" w:rsidRDefault="001C5429">
      <w:pPr>
        <w:numPr>
          <w:ilvl w:val="0"/>
          <w:numId w:val="1"/>
        </w:numPr>
        <w:spacing w:before="120" w:after="120"/>
        <w:ind w:hanging="360"/>
      </w:pPr>
      <w:r>
        <w:t>enable a positive overall customer experience in using MTD software and minimise any potential negative customer experience impacts (e.g. resulting in disengagement or unintended impacts on contact, trust in the software/HMRC and/or compliance)</w:t>
      </w:r>
    </w:p>
    <w:p w:rsidR="00F23E67" w:rsidRDefault="001C5429" w:rsidP="00EA41F5">
      <w:pPr>
        <w:numPr>
          <w:ilvl w:val="0"/>
          <w:numId w:val="13"/>
        </w:numPr>
        <w:ind w:hanging="360"/>
        <w:contextualSpacing/>
      </w:pPr>
      <w:r>
        <w:rPr>
          <w:i/>
        </w:rPr>
        <w:t>Identify areas where any signposted HMRC guidance would need to be amended</w:t>
      </w:r>
      <w:r>
        <w:t xml:space="preserve"> in order to maximise the effectiveness of presented nudges and prompts</w:t>
      </w:r>
    </w:p>
    <w:p w:rsidR="00F23E67" w:rsidRDefault="00F23E67">
      <w:pPr>
        <w:ind w:left="0"/>
        <w:jc w:val="both"/>
      </w:pPr>
    </w:p>
    <w:p w:rsidR="00F23E67" w:rsidRDefault="001C5429">
      <w:pPr>
        <w:spacing w:after="120"/>
        <w:jc w:val="both"/>
      </w:pPr>
      <w:r>
        <w:rPr>
          <w:rFonts w:ascii="Times New Roman" w:eastAsia="Times New Roman" w:hAnsi="Times New Roman" w:cs="Times New Roman"/>
          <w:b/>
          <w:i/>
          <w:color w:val="7A0043"/>
          <w:sz w:val="32"/>
          <w:szCs w:val="32"/>
        </w:rPr>
        <w:t>Proposed Methodology</w:t>
      </w:r>
    </w:p>
    <w:p w:rsidR="00F23E67" w:rsidRDefault="001C5429">
      <w:pPr>
        <w:spacing w:before="120" w:after="120" w:line="276" w:lineRule="auto"/>
        <w:jc w:val="both"/>
      </w:pPr>
      <w:r>
        <w:t>To address these objectives, this research will be qualitative in nature incorporating a co-design element. It will include two stages reconvened over a short time frame.</w:t>
      </w:r>
    </w:p>
    <w:p w:rsidR="00F23E67" w:rsidRDefault="001C5429" w:rsidP="001C7540">
      <w:pPr>
        <w:spacing w:before="240" w:after="240" w:line="276" w:lineRule="auto"/>
        <w:jc w:val="both"/>
      </w:pPr>
      <w:r>
        <w:t xml:space="preserve">Your </w:t>
      </w:r>
      <w:r>
        <w:rPr>
          <w:u w:val="single"/>
        </w:rPr>
        <w:t xml:space="preserve">expertise </w:t>
      </w:r>
      <w:r>
        <w:t>will be essential here, and we do not wish to be overly prescriptive in defining the methodology.  We expect to work collaboratively with you following the appointment to further develop and agree the best approach to the work.  However, we envisage the following stages and methods.</w:t>
      </w:r>
    </w:p>
    <w:p w:rsidR="00F23E67" w:rsidRDefault="001C5429" w:rsidP="001C7540">
      <w:pPr>
        <w:spacing w:before="120" w:after="240" w:line="276" w:lineRule="auto"/>
        <w:jc w:val="both"/>
      </w:pPr>
      <w:r>
        <w:rPr>
          <w:b/>
          <w:i/>
        </w:rPr>
        <w:t>Stage 1: in-depth interviews</w:t>
      </w:r>
      <w:r>
        <w:t xml:space="preserve">. The research will comprise a series of in-depth interviews with an observational element that explores with businesses their current reporting behaviours where cross-tax and more complex errors occur. Based on the limited data available supplemented through external and internal engagement we will aim to identify trade sector specific issues or common groupings of complex cross tax errors that occur. </w:t>
      </w:r>
    </w:p>
    <w:p w:rsidR="00F23E67" w:rsidRDefault="001C5429">
      <w:pPr>
        <w:spacing w:before="120" w:after="120" w:line="276" w:lineRule="auto"/>
        <w:jc w:val="both"/>
      </w:pPr>
      <w:r>
        <w:t xml:space="preserve">It may be challenging to observe actual reporting behaviour within a real life situation, where possible the research design should therefore enable observation as close as possible to small businesses actual record keeping and reporting behaviour to be able to explore unconscious as well as conscious or claimed behaviour that businesses may perceived as desirable.  Your </w:t>
      </w:r>
      <w:r>
        <w:rPr>
          <w:u w:val="single"/>
        </w:rPr>
        <w:t>expertise</w:t>
      </w:r>
      <w:r>
        <w:t xml:space="preserve"> is essential here in how this may be achieved and dealing with any practical and/or privacy issues that may arise.</w:t>
      </w:r>
    </w:p>
    <w:p w:rsidR="00F23E67" w:rsidRDefault="001C5429">
      <w:pPr>
        <w:spacing w:before="120" w:after="120" w:line="276" w:lineRule="auto"/>
        <w:jc w:val="both"/>
      </w:pPr>
      <w:r>
        <w:rPr>
          <w:b/>
          <w:i/>
        </w:rPr>
        <w:t>Stage 2: Co-design mini group discussions</w:t>
      </w:r>
      <w:r>
        <w:t xml:space="preserve">. </w:t>
      </w:r>
    </w:p>
    <w:p w:rsidR="00F23E67" w:rsidRDefault="001C5429">
      <w:r>
        <w:rPr>
          <w:i/>
          <w:highlight w:val="white"/>
        </w:rPr>
        <w:t>Co-design is an approach to design attempting to actively involve all stakeholders (e.g. employees, partners, customers, citizens, end users) in the design process to help ensure the result meets their needs and is </w:t>
      </w:r>
      <w:hyperlink r:id="rId15">
        <w:r>
          <w:rPr>
            <w:i/>
            <w:highlight w:val="white"/>
          </w:rPr>
          <w:t>usable</w:t>
        </w:r>
      </w:hyperlink>
      <w:r>
        <w:rPr>
          <w:highlight w:val="white"/>
        </w:rPr>
        <w:t>.</w:t>
      </w:r>
      <w:r>
        <w:t xml:space="preserve">  </w:t>
      </w:r>
    </w:p>
    <w:p w:rsidR="00F23E67" w:rsidRDefault="001C5429">
      <w:r>
        <w:t>With this in mind, HMRC would like to actively involve business customers and HMRC staff in the design process for software prompts and nudges.</w:t>
      </w:r>
    </w:p>
    <w:p w:rsidR="00F23E67" w:rsidRDefault="00F23E67"/>
    <w:p w:rsidR="00F23E67" w:rsidRDefault="001C5429">
      <w:pPr>
        <w:spacing w:before="120" w:after="120" w:line="276" w:lineRule="auto"/>
        <w:jc w:val="both"/>
      </w:pPr>
      <w:r>
        <w:t>After initial exploration with businesses around their current reporting behaviours and the reasons underlying their decisions and behaviours leading to, or increasing likelihood of making those errors, participants will be reconvened for a second phase of the research undertaken in mini-group discussions.  The mini-discussions will comprise a co-design element, whereby participants will explore approaches to addressing the factors underlying the errors within software design.  This will include the use of stimuli, including prototypes where available and will explore design principles that customers feel will most effectively help them to avoid making errors within their reporting, whilst not negatively impacting on their experience of using the software.</w:t>
      </w:r>
    </w:p>
    <w:p w:rsidR="00F23E67" w:rsidRDefault="00F23E67">
      <w:pPr>
        <w:jc w:val="both"/>
      </w:pPr>
    </w:p>
    <w:p w:rsidR="00F23E67" w:rsidRDefault="001C5429">
      <w:pPr>
        <w:spacing w:line="276" w:lineRule="auto"/>
        <w:jc w:val="both"/>
      </w:pPr>
      <w:r>
        <w:t xml:space="preserve">The research will focus on a number of agreed key error types (4 to 6) not addressed in Phase 1 and include customer groups from a small number of sectors (4 to 5) where such errors are identified as problematic.  </w:t>
      </w:r>
      <w:r w:rsidR="00D40001">
        <w:t>The exact errors will be agreed with the successful bidder at the inception phase</w:t>
      </w:r>
      <w:r w:rsidR="003B6431">
        <w:t xml:space="preserve">.  The proposed research approach and costs should therefore focus on exploring business views in relation to the stated number of errors.  </w:t>
      </w:r>
    </w:p>
    <w:p w:rsidR="00F23E67" w:rsidRDefault="00F23E67">
      <w:pPr>
        <w:spacing w:line="276" w:lineRule="auto"/>
        <w:jc w:val="both"/>
      </w:pPr>
    </w:p>
    <w:p w:rsidR="00F23E67" w:rsidRDefault="001C5429">
      <w:pPr>
        <w:spacing w:line="276" w:lineRule="auto"/>
        <w:jc w:val="both"/>
      </w:pPr>
      <w:r>
        <w:rPr>
          <w:b/>
          <w:i/>
        </w:rPr>
        <w:t>Stimulus</w:t>
      </w:r>
    </w:p>
    <w:p w:rsidR="00F23E67" w:rsidRDefault="001C5429">
      <w:pPr>
        <w:tabs>
          <w:tab w:val="left" w:pos="3687"/>
        </w:tabs>
      </w:pPr>
      <w:r>
        <w:t xml:space="preserve">This stage will include the use of stimuli, including early prototypes and possible customer journeys within the software design, where available, and will explore design principles that customers feel will most effectively help them to avoid making errors within their reporting, whilst not negatively impacting on their experience of using the software.  </w:t>
      </w:r>
    </w:p>
    <w:p w:rsidR="00F23E67" w:rsidRDefault="00F23E67">
      <w:pPr>
        <w:tabs>
          <w:tab w:val="left" w:pos="3687"/>
        </w:tabs>
      </w:pPr>
    </w:p>
    <w:p w:rsidR="00F23E67" w:rsidRDefault="001C5429">
      <w:r>
        <w:t xml:space="preserve">We expect to work closely and collaboratively with you to develop stimuli that will help prompt discussion and co-design of solutions in a constructive way. </w:t>
      </w:r>
    </w:p>
    <w:p w:rsidR="00F23E67" w:rsidRDefault="00F23E67">
      <w:pPr>
        <w:jc w:val="both"/>
      </w:pPr>
    </w:p>
    <w:p w:rsidR="00F23E67" w:rsidRDefault="001C5429">
      <w:pPr>
        <w:jc w:val="both"/>
      </w:pPr>
      <w:r>
        <w:t>We will be looking for your recommendations on stimulus considerations in your proposal</w:t>
      </w:r>
    </w:p>
    <w:p w:rsidR="00F23E67" w:rsidRDefault="00F23E67">
      <w:pPr>
        <w:ind w:left="0"/>
        <w:jc w:val="both"/>
      </w:pPr>
    </w:p>
    <w:p w:rsidR="00F23E67" w:rsidRDefault="001C5429">
      <w:pPr>
        <w:jc w:val="both"/>
      </w:pPr>
      <w:r>
        <w:rPr>
          <w:b/>
        </w:rPr>
        <w:t>Sampling and target Audiences</w:t>
      </w:r>
    </w:p>
    <w:p w:rsidR="00F23E67" w:rsidRDefault="00F23E67">
      <w:pPr>
        <w:jc w:val="both"/>
      </w:pPr>
    </w:p>
    <w:p w:rsidR="00F23E67" w:rsidRDefault="001C5429">
      <w:pPr>
        <w:jc w:val="both"/>
      </w:pPr>
      <w:r>
        <w:t xml:space="preserve">We expect the winning agency to </w:t>
      </w:r>
      <w:r>
        <w:rPr>
          <w:u w:val="single"/>
        </w:rPr>
        <w:t>free-find</w:t>
      </w:r>
      <w:r>
        <w:t xml:space="preserve"> the sample for this work – please advise on any particular challenges associated with this.</w:t>
      </w:r>
    </w:p>
    <w:p w:rsidR="00F23E67" w:rsidRDefault="00F23E67">
      <w:pPr>
        <w:jc w:val="both"/>
      </w:pPr>
    </w:p>
    <w:p w:rsidR="00F23E67" w:rsidRDefault="001C5429">
      <w:pPr>
        <w:jc w:val="both"/>
      </w:pPr>
      <w:r>
        <w:t>The primary target audience is incorporated and more complex businesses. The research will focus on a small number of agreed error types (up to 5) prioritised following HMRC analysis to include both simple and technical errors.  The research will include customer groups from a small number of sectors (c.4) where such errors are identified from HMRC analysis as problematic.</w:t>
      </w:r>
    </w:p>
    <w:p w:rsidR="00F23E67" w:rsidRDefault="00F23E67">
      <w:pPr>
        <w:jc w:val="both"/>
      </w:pPr>
    </w:p>
    <w:p w:rsidR="00F23E67" w:rsidRDefault="001C5429">
      <w:pPr>
        <w:jc w:val="both"/>
      </w:pPr>
      <w:r>
        <w:t>Within this we would want a good cross-section, where feasible, across the sectors identified of</w:t>
      </w:r>
    </w:p>
    <w:p w:rsidR="00F23E67" w:rsidRDefault="00F23E67">
      <w:pPr>
        <w:ind w:left="0"/>
        <w:jc w:val="both"/>
      </w:pPr>
    </w:p>
    <w:p w:rsidR="00426242" w:rsidRPr="00426242" w:rsidRDefault="001C5429" w:rsidP="00426242">
      <w:pPr>
        <w:numPr>
          <w:ilvl w:val="0"/>
          <w:numId w:val="15"/>
        </w:numPr>
        <w:ind w:hanging="360"/>
        <w:jc w:val="both"/>
        <w:rPr>
          <w:color w:val="002060"/>
        </w:rPr>
      </w:pPr>
      <w:r>
        <w:rPr>
          <w:b/>
        </w:rPr>
        <w:t>Business sector</w:t>
      </w:r>
      <w:r>
        <w:t xml:space="preserve">:  include a mix </w:t>
      </w:r>
      <w:r w:rsidR="0049348E">
        <w:t>of</w:t>
      </w:r>
      <w:r>
        <w:t xml:space="preserve"> business sectors, to ensure we have a better understanding of the different needs and factors that my increase the potential for error-making.  </w:t>
      </w:r>
      <w:r w:rsidR="00C760CE" w:rsidRPr="001C7540">
        <w:rPr>
          <w:color w:val="000000" w:themeColor="text1"/>
        </w:rPr>
        <w:t>We would like to ensure that the majority sample are more complex (larger</w:t>
      </w:r>
      <w:r w:rsidR="008970F8" w:rsidRPr="001C7540">
        <w:rPr>
          <w:color w:val="000000" w:themeColor="text1"/>
        </w:rPr>
        <w:t xml:space="preserve"> – but turnover under £10m and fewer than 20 employees</w:t>
      </w:r>
      <w:r w:rsidR="00C760CE" w:rsidRPr="001C7540">
        <w:rPr>
          <w:color w:val="000000" w:themeColor="text1"/>
        </w:rPr>
        <w:t>) businesses that interact with more than one tax type.</w:t>
      </w:r>
    </w:p>
    <w:p w:rsidR="00F23E67" w:rsidRDefault="001C5429">
      <w:pPr>
        <w:numPr>
          <w:ilvl w:val="0"/>
          <w:numId w:val="15"/>
        </w:numPr>
        <w:ind w:hanging="360"/>
        <w:jc w:val="both"/>
      </w:pPr>
      <w:r>
        <w:rPr>
          <w:b/>
        </w:rPr>
        <w:t>Taxes engaged with</w:t>
      </w:r>
      <w:r>
        <w:t xml:space="preserve"> </w:t>
      </w:r>
      <w:r w:rsidR="009408AA">
        <w:t xml:space="preserve">– </w:t>
      </w:r>
      <w:r w:rsidR="009408AA" w:rsidRPr="001C7540">
        <w:rPr>
          <w:color w:val="000000" w:themeColor="text1"/>
        </w:rPr>
        <w:t>those</w:t>
      </w:r>
      <w:r w:rsidR="00DE6E45" w:rsidRPr="001C7540">
        <w:rPr>
          <w:color w:val="000000" w:themeColor="text1"/>
        </w:rPr>
        <w:t xml:space="preserve"> </w:t>
      </w:r>
      <w:r w:rsidR="00DE6E45">
        <w:t xml:space="preserve">in </w:t>
      </w:r>
      <w:r>
        <w:t>C</w:t>
      </w:r>
      <w:r w:rsidR="00C760CE">
        <w:t xml:space="preserve">orporation </w:t>
      </w:r>
      <w:r>
        <w:t>T</w:t>
      </w:r>
      <w:r w:rsidR="00C760CE">
        <w:t>ax</w:t>
      </w:r>
      <w:r>
        <w:t>/I</w:t>
      </w:r>
      <w:r w:rsidR="00C760CE">
        <w:t xml:space="preserve">ncome </w:t>
      </w:r>
      <w:r>
        <w:t>T</w:t>
      </w:r>
      <w:r w:rsidR="00C760CE">
        <w:t xml:space="preserve">ax </w:t>
      </w:r>
      <w:r>
        <w:t>S</w:t>
      </w:r>
      <w:r w:rsidR="00C760CE">
        <w:t xml:space="preserve">elf </w:t>
      </w:r>
      <w:r>
        <w:t>A</w:t>
      </w:r>
      <w:r w:rsidR="00C760CE">
        <w:t>ssessment</w:t>
      </w:r>
      <w:r>
        <w:t>, as well as those who are also VAT registered.</w:t>
      </w:r>
    </w:p>
    <w:p w:rsidR="00F23E67" w:rsidRDefault="001C5429">
      <w:pPr>
        <w:numPr>
          <w:ilvl w:val="0"/>
          <w:numId w:val="15"/>
        </w:numPr>
        <w:ind w:hanging="360"/>
        <w:jc w:val="both"/>
      </w:pPr>
      <w:r>
        <w:rPr>
          <w:b/>
        </w:rPr>
        <w:t>Digitally capability</w:t>
      </w:r>
      <w:r>
        <w:t xml:space="preserve"> – including some who are less digitally confident.</w:t>
      </w:r>
    </w:p>
    <w:p w:rsidR="00F23E67" w:rsidRDefault="001C5429">
      <w:pPr>
        <w:numPr>
          <w:ilvl w:val="0"/>
          <w:numId w:val="15"/>
        </w:numPr>
        <w:ind w:hanging="360"/>
        <w:jc w:val="both"/>
      </w:pPr>
      <w:r>
        <w:rPr>
          <w:b/>
        </w:rPr>
        <w:t>Use of Agents</w:t>
      </w:r>
      <w:r>
        <w:t>:  we would like to ensure there is a balance within the sample of those that do and do not use an agent.</w:t>
      </w:r>
    </w:p>
    <w:p w:rsidR="00F23E67" w:rsidRDefault="00F23E67" w:rsidP="009408AA">
      <w:pPr>
        <w:ind w:left="0"/>
        <w:jc w:val="both"/>
      </w:pPr>
    </w:p>
    <w:p w:rsidR="00F23E67" w:rsidRDefault="001C5429">
      <w:pPr>
        <w:jc w:val="both"/>
      </w:pPr>
      <w:r>
        <w:t xml:space="preserve">While we would like to include some mix of digital confidence and record-keeping practices within the sample, we believe the co-design stage would be more constructive with businesses who do not have substantial barriers to using digital record-keeping tools per se.  We think it is likely that we should separate those customers using Agents for finalising their return from unrepresented customers in any co-design session. </w:t>
      </w:r>
    </w:p>
    <w:p w:rsidR="00F23E67" w:rsidRDefault="00F23E67">
      <w:pPr>
        <w:jc w:val="both"/>
      </w:pPr>
    </w:p>
    <w:p w:rsidR="00F23E67" w:rsidRDefault="001C5429">
      <w:pPr>
        <w:jc w:val="both"/>
      </w:pPr>
      <w:r>
        <w:t>Geographical location should fall out naturally, due to the spread of business sectors covered. However, the design should ensure a good geographical spread across the country and where feasible a reasonable mix of demographics as relevant to the business sectors sampled</w:t>
      </w:r>
    </w:p>
    <w:p w:rsidR="00F23E67" w:rsidRDefault="00F23E67">
      <w:pPr>
        <w:jc w:val="both"/>
      </w:pPr>
    </w:p>
    <w:p w:rsidR="00F23E67" w:rsidRDefault="001C5429">
      <w:pPr>
        <w:spacing w:after="120"/>
        <w:jc w:val="both"/>
      </w:pPr>
      <w:r>
        <w:rPr>
          <w:rFonts w:ascii="Times New Roman" w:eastAsia="Times New Roman" w:hAnsi="Times New Roman" w:cs="Times New Roman"/>
          <w:b/>
          <w:i/>
          <w:color w:val="7A0043"/>
          <w:sz w:val="32"/>
          <w:szCs w:val="32"/>
        </w:rPr>
        <w:t>What we need from you – the deliverables</w:t>
      </w:r>
    </w:p>
    <w:p w:rsidR="00F23E67" w:rsidRDefault="00F23E67">
      <w:pPr>
        <w:jc w:val="both"/>
      </w:pPr>
    </w:p>
    <w:p w:rsidR="00F23E67" w:rsidRDefault="001C5429">
      <w:pPr>
        <w:jc w:val="both"/>
      </w:pPr>
      <w:r>
        <w:rPr>
          <w:b/>
          <w:u w:val="single"/>
        </w:rPr>
        <w:t>The Proposal</w:t>
      </w:r>
    </w:p>
    <w:p w:rsidR="00F23E67" w:rsidRDefault="001C5429" w:rsidP="001C7540">
      <w:pPr>
        <w:spacing w:before="120" w:after="120"/>
        <w:jc w:val="both"/>
      </w:pPr>
      <w:r>
        <w:t xml:space="preserve">The </w:t>
      </w:r>
      <w:r>
        <w:rPr>
          <w:b/>
        </w:rPr>
        <w:t>proposal</w:t>
      </w:r>
      <w:r>
        <w:t xml:space="preserve"> submitted should include:</w:t>
      </w:r>
    </w:p>
    <w:p w:rsidR="00F23E67" w:rsidRDefault="001C5429" w:rsidP="001C7540">
      <w:pPr>
        <w:numPr>
          <w:ilvl w:val="0"/>
          <w:numId w:val="4"/>
        </w:numPr>
        <w:ind w:left="714" w:hanging="357"/>
        <w:jc w:val="both"/>
      </w:pPr>
      <w:r>
        <w:t>Understanding of the research brief</w:t>
      </w:r>
    </w:p>
    <w:p w:rsidR="00F23E67" w:rsidRDefault="001C5429" w:rsidP="001C7540">
      <w:pPr>
        <w:numPr>
          <w:ilvl w:val="0"/>
          <w:numId w:val="4"/>
        </w:numPr>
        <w:ind w:left="714" w:hanging="357"/>
        <w:jc w:val="both"/>
      </w:pPr>
      <w:r>
        <w:t>A detailed breakdown of your research design including sampling proposals and clear rationale for the methods you propose</w:t>
      </w:r>
    </w:p>
    <w:p w:rsidR="00F23E67" w:rsidRDefault="001C5429" w:rsidP="001C7540">
      <w:pPr>
        <w:numPr>
          <w:ilvl w:val="0"/>
          <w:numId w:val="4"/>
        </w:numPr>
        <w:ind w:left="714" w:hanging="357"/>
        <w:jc w:val="both"/>
      </w:pPr>
      <w:r>
        <w:t>Timetable</w:t>
      </w:r>
    </w:p>
    <w:p w:rsidR="00F23E67" w:rsidRDefault="001C5429" w:rsidP="001C7540">
      <w:pPr>
        <w:numPr>
          <w:ilvl w:val="0"/>
          <w:numId w:val="4"/>
        </w:numPr>
        <w:ind w:left="714" w:hanging="357"/>
        <w:jc w:val="both"/>
      </w:pPr>
      <w:r>
        <w:t>Personnel, including background and experience</w:t>
      </w:r>
    </w:p>
    <w:p w:rsidR="00F23E67" w:rsidRDefault="001C5429" w:rsidP="001C7540">
      <w:pPr>
        <w:numPr>
          <w:ilvl w:val="0"/>
          <w:numId w:val="4"/>
        </w:numPr>
        <w:ind w:left="714" w:hanging="357"/>
        <w:jc w:val="both"/>
      </w:pPr>
      <w:r>
        <w:t>Whether any part of the project will be subcontracted, and if so to whom</w:t>
      </w:r>
    </w:p>
    <w:p w:rsidR="00F23E67" w:rsidRDefault="00F23E67">
      <w:pPr>
        <w:ind w:left="714"/>
        <w:jc w:val="both"/>
      </w:pPr>
    </w:p>
    <w:p w:rsidR="00F23E67" w:rsidRDefault="001C5429" w:rsidP="001C7540">
      <w:pPr>
        <w:pStyle w:val="Heading1"/>
        <w:spacing w:before="280" w:after="280"/>
        <w:jc w:val="both"/>
      </w:pPr>
      <w:r>
        <w:rPr>
          <w:b w:val="0"/>
        </w:rPr>
        <w:t>The proposal should specify who will be responsible for delivering this project and should provide detail of the input into the project that will be provided by each named person.</w:t>
      </w:r>
    </w:p>
    <w:p w:rsidR="00F23E67" w:rsidRDefault="001C5429">
      <w:r>
        <w:t>We expect to discuss the requirements and the approach in more detail at set up with project team and key stakeholders.</w:t>
      </w:r>
    </w:p>
    <w:p w:rsidR="00F23E67" w:rsidRDefault="00F23E67">
      <w:pPr>
        <w:ind w:left="0"/>
        <w:jc w:val="both"/>
      </w:pPr>
    </w:p>
    <w:p w:rsidR="00F23E67" w:rsidRDefault="001C5429" w:rsidP="001C7540">
      <w:pPr>
        <w:jc w:val="both"/>
      </w:pPr>
      <w:r>
        <w:t>Please let us know on receipt of this brief whether you think there will be any conflict of interest in your submitting a proposal.</w:t>
      </w:r>
    </w:p>
    <w:p w:rsidR="00F23E67" w:rsidRDefault="00F23E67">
      <w:pPr>
        <w:ind w:left="0"/>
        <w:jc w:val="both"/>
      </w:pPr>
    </w:p>
    <w:p w:rsidR="009408AA" w:rsidRDefault="009408AA">
      <w:pPr>
        <w:ind w:left="0"/>
        <w:jc w:val="both"/>
      </w:pPr>
    </w:p>
    <w:p w:rsidR="00F23E67" w:rsidRDefault="001C5429">
      <w:pPr>
        <w:ind w:left="360"/>
        <w:jc w:val="both"/>
      </w:pPr>
      <w:r>
        <w:rPr>
          <w:b/>
          <w:u w:val="single"/>
        </w:rPr>
        <w:t>Project Deliverables</w:t>
      </w:r>
    </w:p>
    <w:p w:rsidR="00F23E67" w:rsidRDefault="00F23E67">
      <w:pPr>
        <w:ind w:left="0"/>
        <w:jc w:val="both"/>
      </w:pPr>
    </w:p>
    <w:p w:rsidR="00F23E67" w:rsidRDefault="001C5429">
      <w:pPr>
        <w:ind w:left="360"/>
        <w:jc w:val="both"/>
      </w:pPr>
      <w:r>
        <w:rPr>
          <w:b/>
        </w:rPr>
        <w:t>Interim Deliverables/Requirements</w:t>
      </w:r>
    </w:p>
    <w:p w:rsidR="00F23E67" w:rsidRDefault="001C5429">
      <w:pPr>
        <w:numPr>
          <w:ilvl w:val="0"/>
          <w:numId w:val="16"/>
        </w:numPr>
        <w:ind w:hanging="360"/>
        <w:jc w:val="both"/>
      </w:pPr>
      <w:r>
        <w:t>A set up meeting with the project team and key stakeholders</w:t>
      </w:r>
    </w:p>
    <w:p w:rsidR="00F23E67" w:rsidRDefault="001C5429">
      <w:pPr>
        <w:numPr>
          <w:ilvl w:val="0"/>
          <w:numId w:val="16"/>
        </w:numPr>
        <w:ind w:hanging="360"/>
        <w:jc w:val="both"/>
      </w:pPr>
      <w:r>
        <w:t>Detailed implementation plan and timetable for each phase of the research</w:t>
      </w:r>
    </w:p>
    <w:p w:rsidR="001B6EE7" w:rsidRPr="008970F8" w:rsidRDefault="001B6EE7" w:rsidP="001B6EE7">
      <w:pPr>
        <w:numPr>
          <w:ilvl w:val="0"/>
          <w:numId w:val="16"/>
        </w:numPr>
        <w:ind w:hanging="360"/>
        <w:jc w:val="both"/>
        <w:rPr>
          <w:color w:val="auto"/>
        </w:rPr>
      </w:pPr>
      <w:r w:rsidRPr="008970F8">
        <w:rPr>
          <w:color w:val="auto"/>
        </w:rPr>
        <w:t>Face to face stimulus development meeting (1 hour)</w:t>
      </w:r>
    </w:p>
    <w:p w:rsidR="00F23E67" w:rsidRPr="008970F8" w:rsidRDefault="001C5429">
      <w:pPr>
        <w:numPr>
          <w:ilvl w:val="0"/>
          <w:numId w:val="16"/>
        </w:numPr>
        <w:ind w:hanging="360"/>
        <w:jc w:val="both"/>
        <w:rPr>
          <w:color w:val="auto"/>
        </w:rPr>
      </w:pPr>
      <w:r w:rsidRPr="008970F8">
        <w:rPr>
          <w:color w:val="auto"/>
        </w:rPr>
        <w:t xml:space="preserve">Progress reports to designated HMRC team (weekly) </w:t>
      </w:r>
    </w:p>
    <w:p w:rsidR="00F23E67" w:rsidRPr="008970F8" w:rsidRDefault="001C5429">
      <w:pPr>
        <w:numPr>
          <w:ilvl w:val="0"/>
          <w:numId w:val="16"/>
        </w:numPr>
        <w:ind w:hanging="360"/>
        <w:jc w:val="both"/>
        <w:rPr>
          <w:color w:val="auto"/>
        </w:rPr>
      </w:pPr>
      <w:r w:rsidRPr="008970F8">
        <w:rPr>
          <w:color w:val="auto"/>
        </w:rPr>
        <w:t>An opportunity for wider stakeholders to view the co-design groups, where facilities allow</w:t>
      </w:r>
    </w:p>
    <w:p w:rsidR="00F23E67" w:rsidRPr="008970F8" w:rsidRDefault="001C5429">
      <w:pPr>
        <w:numPr>
          <w:ilvl w:val="0"/>
          <w:numId w:val="16"/>
        </w:numPr>
        <w:ind w:hanging="360"/>
        <w:jc w:val="both"/>
        <w:rPr>
          <w:color w:val="auto"/>
        </w:rPr>
      </w:pPr>
      <w:r w:rsidRPr="008970F8">
        <w:rPr>
          <w:color w:val="auto"/>
        </w:rPr>
        <w:t>Interim findings (in PowerPoint), focussing on the key areas of evidence from Phase 1, with a summary of key findings</w:t>
      </w:r>
    </w:p>
    <w:p w:rsidR="003F31B8" w:rsidRPr="008970F8" w:rsidRDefault="003F31B8">
      <w:pPr>
        <w:numPr>
          <w:ilvl w:val="0"/>
          <w:numId w:val="16"/>
        </w:numPr>
        <w:ind w:hanging="360"/>
        <w:jc w:val="both"/>
        <w:rPr>
          <w:color w:val="auto"/>
        </w:rPr>
      </w:pPr>
      <w:r w:rsidRPr="008970F8">
        <w:rPr>
          <w:color w:val="auto"/>
        </w:rPr>
        <w:t>Face to face presentation of phase 1 findings</w:t>
      </w:r>
      <w:r w:rsidR="001B6EE7" w:rsidRPr="008970F8">
        <w:rPr>
          <w:color w:val="auto"/>
        </w:rPr>
        <w:t xml:space="preserve"> with HMRC project team</w:t>
      </w:r>
    </w:p>
    <w:p w:rsidR="00F23E67" w:rsidRPr="008970F8" w:rsidRDefault="003F31B8">
      <w:pPr>
        <w:numPr>
          <w:ilvl w:val="0"/>
          <w:numId w:val="16"/>
        </w:numPr>
        <w:ind w:hanging="360"/>
        <w:jc w:val="both"/>
        <w:rPr>
          <w:color w:val="auto"/>
        </w:rPr>
      </w:pPr>
      <w:r w:rsidRPr="008970F8">
        <w:rPr>
          <w:color w:val="auto"/>
        </w:rPr>
        <w:t>Action planning workshop to</w:t>
      </w:r>
      <w:r w:rsidR="001C5429" w:rsidRPr="008970F8">
        <w:rPr>
          <w:color w:val="auto"/>
        </w:rPr>
        <w:t xml:space="preserve"> inform design of material for Phase 2</w:t>
      </w:r>
    </w:p>
    <w:p w:rsidR="001C005C" w:rsidRPr="008970F8" w:rsidRDefault="001C005C">
      <w:pPr>
        <w:numPr>
          <w:ilvl w:val="0"/>
          <w:numId w:val="16"/>
        </w:numPr>
        <w:ind w:hanging="360"/>
        <w:jc w:val="both"/>
        <w:rPr>
          <w:color w:val="auto"/>
        </w:rPr>
      </w:pPr>
      <w:r w:rsidRPr="008970F8">
        <w:rPr>
          <w:color w:val="auto"/>
        </w:rPr>
        <w:t>Face to face set up meeting for phase 2</w:t>
      </w:r>
    </w:p>
    <w:p w:rsidR="003F31B8" w:rsidRDefault="003F31B8">
      <w:pPr>
        <w:ind w:left="0" w:firstLine="360"/>
        <w:rPr>
          <w:b/>
        </w:rPr>
      </w:pPr>
    </w:p>
    <w:p w:rsidR="00F23E67" w:rsidRDefault="001C5429">
      <w:pPr>
        <w:ind w:left="0" w:firstLine="360"/>
      </w:pPr>
      <w:r>
        <w:rPr>
          <w:b/>
        </w:rPr>
        <w:t xml:space="preserve">Final Deliverables </w:t>
      </w:r>
    </w:p>
    <w:p w:rsidR="00F23E67" w:rsidRDefault="00F23E67">
      <w:pPr>
        <w:ind w:left="360"/>
        <w:jc w:val="both"/>
      </w:pPr>
    </w:p>
    <w:p w:rsidR="00F23E67" w:rsidRDefault="001C5429">
      <w:pPr>
        <w:numPr>
          <w:ilvl w:val="0"/>
          <w:numId w:val="5"/>
        </w:numPr>
        <w:ind w:hanging="360"/>
        <w:jc w:val="both"/>
      </w:pPr>
      <w:r>
        <w:t>Face to face presentation of the findings at HMRC’s London Office (100 Parliament Street) in PowerPoint), plus Q&amp;A session</w:t>
      </w:r>
    </w:p>
    <w:p w:rsidR="00F23E67" w:rsidRDefault="001C5429">
      <w:pPr>
        <w:numPr>
          <w:ilvl w:val="0"/>
          <w:numId w:val="5"/>
        </w:numPr>
        <w:ind w:hanging="360"/>
        <w:jc w:val="both"/>
      </w:pPr>
      <w:r>
        <w:t>Full report (slide pack) for internal use with a summary of key findings up front.  This should document analysis, findings and insights in an engaging manner with supporting quotes, providing clear recommendations for future action and implementation (approx. 40-50 slides)</w:t>
      </w:r>
    </w:p>
    <w:p w:rsidR="00F23E67" w:rsidRDefault="001C5429">
      <w:pPr>
        <w:numPr>
          <w:ilvl w:val="0"/>
          <w:numId w:val="5"/>
        </w:numPr>
        <w:ind w:hanging="360"/>
        <w:jc w:val="both"/>
      </w:pPr>
      <w:r>
        <w:t>Publication report suitable for publishing on gov.uk (c10 pages in MS Word format) to a set publication template to be provided</w:t>
      </w:r>
    </w:p>
    <w:p w:rsidR="00F23E67" w:rsidRDefault="001C5429">
      <w:pPr>
        <w:numPr>
          <w:ilvl w:val="0"/>
          <w:numId w:val="5"/>
        </w:numPr>
        <w:ind w:hanging="360"/>
        <w:jc w:val="both"/>
      </w:pPr>
      <w:r>
        <w:t>A one page, engaging, standalone summary of the research including key findings and insights which can be circulated to stakeholders and published on our internal Customer Zone.</w:t>
      </w:r>
    </w:p>
    <w:p w:rsidR="00F23E67" w:rsidRDefault="00F23E67">
      <w:pPr>
        <w:jc w:val="both"/>
      </w:pPr>
    </w:p>
    <w:p w:rsidR="00F23E67" w:rsidRDefault="001C5429">
      <w:pPr>
        <w:spacing w:after="120"/>
        <w:jc w:val="both"/>
      </w:pPr>
      <w:r>
        <w:rPr>
          <w:rFonts w:ascii="Times New Roman" w:eastAsia="Times New Roman" w:hAnsi="Times New Roman" w:cs="Times New Roman"/>
          <w:b/>
          <w:i/>
          <w:color w:val="7A0043"/>
          <w:sz w:val="32"/>
          <w:szCs w:val="32"/>
        </w:rPr>
        <w:t xml:space="preserve">Our project timeline </w:t>
      </w:r>
    </w:p>
    <w:p w:rsidR="00F23E67" w:rsidRDefault="001C5429">
      <w:pPr>
        <w:spacing w:before="280" w:after="280"/>
        <w:ind w:left="0"/>
        <w:jc w:val="both"/>
      </w:pPr>
      <w:r>
        <w:rPr>
          <w:sz w:val="22"/>
          <w:szCs w:val="22"/>
        </w:rPr>
        <w:t>The timings below are an estimate and will be reviewed and agreed with the successful bidder at the Set-Up Meeting.</w:t>
      </w:r>
    </w:p>
    <w:tbl>
      <w:tblPr>
        <w:tblStyle w:val="a0"/>
        <w:tblW w:w="8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4327"/>
      </w:tblGrid>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 xml:space="preserve">Brief Sent out </w:t>
            </w:r>
          </w:p>
        </w:tc>
        <w:tc>
          <w:tcPr>
            <w:tcW w:w="4327" w:type="dxa"/>
            <w:tcBorders>
              <w:top w:val="single" w:sz="4" w:space="0" w:color="000000"/>
              <w:left w:val="single" w:sz="4" w:space="0" w:color="000000"/>
              <w:bottom w:val="single" w:sz="4" w:space="0" w:color="000000"/>
              <w:right w:val="single" w:sz="4" w:space="0" w:color="000000"/>
            </w:tcBorders>
          </w:tcPr>
          <w:p w:rsidR="00F23E67" w:rsidRPr="001C7540" w:rsidRDefault="00D47EE0">
            <w:pPr>
              <w:spacing w:before="60" w:after="60" w:line="264" w:lineRule="auto"/>
              <w:jc w:val="both"/>
              <w:rPr>
                <w:color w:val="000000" w:themeColor="text1"/>
              </w:rPr>
            </w:pPr>
            <w:r w:rsidRPr="001C7540">
              <w:rPr>
                <w:color w:val="000000" w:themeColor="text1"/>
                <w:sz w:val="22"/>
                <w:szCs w:val="22"/>
              </w:rPr>
              <w:t>Thursday</w:t>
            </w:r>
            <w:r w:rsidR="001C5429" w:rsidRPr="001C7540">
              <w:rPr>
                <w:color w:val="000000" w:themeColor="text1"/>
                <w:sz w:val="22"/>
                <w:szCs w:val="22"/>
              </w:rPr>
              <w:t xml:space="preserve"> 2</w:t>
            </w:r>
            <w:r w:rsidRPr="001C7540">
              <w:rPr>
                <w:color w:val="000000" w:themeColor="text1"/>
                <w:sz w:val="22"/>
                <w:szCs w:val="22"/>
              </w:rPr>
              <w:t>4th</w:t>
            </w:r>
            <w:r w:rsidR="001C5429" w:rsidRPr="001C7540">
              <w:rPr>
                <w:color w:val="000000" w:themeColor="text1"/>
                <w:sz w:val="22"/>
                <w:szCs w:val="22"/>
              </w:rPr>
              <w:t xml:space="preserve"> Nov 2016</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Proposal returned to HMRC</w:t>
            </w:r>
          </w:p>
        </w:tc>
        <w:tc>
          <w:tcPr>
            <w:tcW w:w="4327" w:type="dxa"/>
            <w:tcBorders>
              <w:top w:val="single" w:sz="4" w:space="0" w:color="000000"/>
              <w:left w:val="single" w:sz="4" w:space="0" w:color="000000"/>
              <w:bottom w:val="single" w:sz="4" w:space="0" w:color="000000"/>
              <w:right w:val="single" w:sz="4" w:space="0" w:color="000000"/>
            </w:tcBorders>
          </w:tcPr>
          <w:p w:rsidR="00F23E67" w:rsidRPr="001C7540" w:rsidRDefault="00EA6F49">
            <w:pPr>
              <w:spacing w:before="60" w:after="60" w:line="264" w:lineRule="auto"/>
              <w:jc w:val="both"/>
              <w:rPr>
                <w:color w:val="000000" w:themeColor="text1"/>
              </w:rPr>
            </w:pPr>
            <w:r w:rsidRPr="001C7540">
              <w:rPr>
                <w:color w:val="000000" w:themeColor="text1"/>
                <w:sz w:val="22"/>
                <w:szCs w:val="22"/>
              </w:rPr>
              <w:t>5</w:t>
            </w:r>
            <w:r w:rsidR="001C5429" w:rsidRPr="001C7540">
              <w:rPr>
                <w:color w:val="000000" w:themeColor="text1"/>
                <w:sz w:val="22"/>
                <w:szCs w:val="22"/>
              </w:rPr>
              <w:t xml:space="preserve">pm </w:t>
            </w:r>
            <w:r w:rsidRPr="001C7540">
              <w:rPr>
                <w:color w:val="000000" w:themeColor="text1"/>
                <w:sz w:val="22"/>
                <w:szCs w:val="22"/>
              </w:rPr>
              <w:t>Monday</w:t>
            </w:r>
            <w:r w:rsidR="001C5429" w:rsidRPr="001C7540">
              <w:rPr>
                <w:color w:val="000000" w:themeColor="text1"/>
                <w:sz w:val="22"/>
                <w:szCs w:val="22"/>
              </w:rPr>
              <w:t xml:space="preserve"> </w:t>
            </w:r>
            <w:r w:rsidRPr="001C7540">
              <w:rPr>
                <w:color w:val="000000" w:themeColor="text1"/>
                <w:sz w:val="22"/>
                <w:szCs w:val="22"/>
              </w:rPr>
              <w:t>12</w:t>
            </w:r>
            <w:r w:rsidR="001C5429" w:rsidRPr="001C7540">
              <w:rPr>
                <w:color w:val="000000" w:themeColor="text1"/>
                <w:sz w:val="22"/>
                <w:szCs w:val="22"/>
              </w:rPr>
              <w:t>th Dec 2016</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HMRC assess proposals</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w/c 12th Dec 2016</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Contract awarded to successful bidder</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 xml:space="preserve">By </w:t>
            </w:r>
            <w:r w:rsidR="004F050D">
              <w:rPr>
                <w:sz w:val="22"/>
                <w:szCs w:val="22"/>
              </w:rPr>
              <w:t>10</w:t>
            </w:r>
            <w:r>
              <w:rPr>
                <w:sz w:val="22"/>
                <w:szCs w:val="22"/>
              </w:rPr>
              <w:t>th</w:t>
            </w:r>
            <w:r w:rsidR="004F050D">
              <w:rPr>
                <w:sz w:val="22"/>
                <w:szCs w:val="22"/>
              </w:rPr>
              <w:t>Jan</w:t>
            </w:r>
            <w:r>
              <w:rPr>
                <w:sz w:val="22"/>
                <w:szCs w:val="22"/>
              </w:rPr>
              <w:t xml:space="preserve"> 201</w:t>
            </w:r>
            <w:r w:rsidR="004F050D">
              <w:rPr>
                <w:sz w:val="22"/>
                <w:szCs w:val="22"/>
              </w:rPr>
              <w:t>7</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Project set up meeting</w:t>
            </w:r>
          </w:p>
        </w:tc>
        <w:tc>
          <w:tcPr>
            <w:tcW w:w="4327" w:type="dxa"/>
            <w:tcBorders>
              <w:top w:val="single" w:sz="4" w:space="0" w:color="000000"/>
              <w:left w:val="single" w:sz="4" w:space="0" w:color="000000"/>
              <w:bottom w:val="single" w:sz="4" w:space="0" w:color="000000"/>
              <w:right w:val="single" w:sz="4" w:space="0" w:color="000000"/>
            </w:tcBorders>
          </w:tcPr>
          <w:p w:rsidR="00F23E67" w:rsidRDefault="004F050D">
            <w:pPr>
              <w:spacing w:before="60" w:after="60" w:line="264" w:lineRule="auto"/>
              <w:jc w:val="both"/>
            </w:pPr>
            <w:r>
              <w:rPr>
                <w:sz w:val="22"/>
                <w:szCs w:val="22"/>
              </w:rPr>
              <w:t>12</w:t>
            </w:r>
            <w:r w:rsidRPr="004F050D">
              <w:rPr>
                <w:sz w:val="22"/>
                <w:szCs w:val="22"/>
                <w:vertAlign w:val="superscript"/>
              </w:rPr>
              <w:t>th</w:t>
            </w:r>
            <w:r>
              <w:rPr>
                <w:sz w:val="22"/>
                <w:szCs w:val="22"/>
              </w:rPr>
              <w:t xml:space="preserve"> </w:t>
            </w:r>
            <w:r w:rsidR="001C5429">
              <w:rPr>
                <w:sz w:val="22"/>
                <w:szCs w:val="22"/>
              </w:rPr>
              <w:t xml:space="preserve"> Jan 2017</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Design of Phase 1 fieldwork materials &amp; Approval</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 xml:space="preserve">Monday </w:t>
            </w:r>
            <w:r w:rsidR="00195F0A">
              <w:rPr>
                <w:sz w:val="22"/>
                <w:szCs w:val="22"/>
              </w:rPr>
              <w:t>16</w:t>
            </w:r>
            <w:r>
              <w:rPr>
                <w:sz w:val="22"/>
                <w:szCs w:val="22"/>
              </w:rPr>
              <w:t xml:space="preserve">th Jan to </w:t>
            </w:r>
            <w:r w:rsidR="00195F0A">
              <w:rPr>
                <w:sz w:val="22"/>
                <w:szCs w:val="22"/>
              </w:rPr>
              <w:t>Thursday</w:t>
            </w:r>
            <w:r>
              <w:rPr>
                <w:sz w:val="22"/>
                <w:szCs w:val="22"/>
              </w:rPr>
              <w:t xml:space="preserve"> </w:t>
            </w:r>
            <w:r w:rsidR="00195F0A">
              <w:rPr>
                <w:sz w:val="22"/>
                <w:szCs w:val="22"/>
              </w:rPr>
              <w:t>26</w:t>
            </w:r>
            <w:r>
              <w:rPr>
                <w:sz w:val="22"/>
                <w:szCs w:val="22"/>
              </w:rPr>
              <w:t>th Jan 2017</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Phase 1 qualitative fieldwork</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 xml:space="preserve">30th Jan to 17th Feb 2017 </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Phase 1 analysis</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w/c 20th Feb 2017</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Interim Phase 1 findings</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sidRPr="00EF6D20">
              <w:rPr>
                <w:color w:val="auto"/>
                <w:sz w:val="22"/>
                <w:szCs w:val="22"/>
              </w:rPr>
              <w:t>w/c 27th Feb 2017</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Design of Phase 2 co-design fieldwork material</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w/c 6th Mar 2017 to Monday 20th Mar 2017</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Phase 2 Fieldwork</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w/c 20th Mar 2017 – w/c 3rd Apr 2017</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Phase 2 analysis and prep for debrief presentation</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w/c 10th Apr 2017</w:t>
            </w:r>
          </w:p>
          <w:p w:rsidR="00F23E67" w:rsidRDefault="00F23E67">
            <w:pPr>
              <w:spacing w:before="60" w:after="60" w:line="264" w:lineRule="auto"/>
              <w:jc w:val="both"/>
            </w:pP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Topline Phase 2 findings issued to HMRC</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w/c 17th Apr 2017</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Draft Debrief Presentation slides to HMRC</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w/c 24</w:t>
            </w:r>
            <w:r>
              <w:rPr>
                <w:sz w:val="22"/>
                <w:szCs w:val="22"/>
                <w:vertAlign w:val="superscript"/>
              </w:rPr>
              <w:t>th</w:t>
            </w:r>
            <w:r>
              <w:rPr>
                <w:sz w:val="22"/>
                <w:szCs w:val="22"/>
              </w:rPr>
              <w:t xml:space="preserve"> Apr 2017</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Debrief Presentation (face-to-face) to HMRC</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w/c 24</w:t>
            </w:r>
            <w:r>
              <w:rPr>
                <w:sz w:val="22"/>
                <w:szCs w:val="22"/>
                <w:vertAlign w:val="superscript"/>
              </w:rPr>
              <w:t>th</w:t>
            </w:r>
            <w:r>
              <w:rPr>
                <w:sz w:val="22"/>
                <w:szCs w:val="22"/>
              </w:rPr>
              <w:t xml:space="preserve"> Apr 2017</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Final presentation slides delivered</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tabs>
                <w:tab w:val="left" w:pos="792"/>
              </w:tabs>
              <w:spacing w:before="60" w:after="60" w:line="264" w:lineRule="auto"/>
            </w:pPr>
            <w:r>
              <w:rPr>
                <w:sz w:val="22"/>
                <w:szCs w:val="22"/>
              </w:rPr>
              <w:t>w/c 1</w:t>
            </w:r>
            <w:r>
              <w:rPr>
                <w:sz w:val="22"/>
                <w:szCs w:val="22"/>
                <w:vertAlign w:val="superscript"/>
              </w:rPr>
              <w:t>st</w:t>
            </w:r>
            <w:r>
              <w:rPr>
                <w:sz w:val="22"/>
                <w:szCs w:val="22"/>
              </w:rPr>
              <w:t xml:space="preserve"> May 2017</w:t>
            </w:r>
          </w:p>
        </w:tc>
      </w:tr>
      <w:tr w:rsidR="00F23E67">
        <w:tc>
          <w:tcPr>
            <w:tcW w:w="4320" w:type="dxa"/>
            <w:tcBorders>
              <w:top w:val="single" w:sz="4" w:space="0" w:color="000000"/>
              <w:left w:val="single" w:sz="4" w:space="0" w:color="000000"/>
              <w:bottom w:val="single" w:sz="4" w:space="0" w:color="000000"/>
              <w:right w:val="single" w:sz="4" w:space="0" w:color="000000"/>
            </w:tcBorders>
          </w:tcPr>
          <w:p w:rsidR="00F23E67" w:rsidRDefault="001C5429">
            <w:pPr>
              <w:spacing w:before="60" w:after="60" w:line="264" w:lineRule="auto"/>
              <w:jc w:val="both"/>
            </w:pPr>
            <w:r>
              <w:rPr>
                <w:sz w:val="22"/>
                <w:szCs w:val="22"/>
              </w:rPr>
              <w:t>Publication report (initial draft delivered to HMRC)</w:t>
            </w:r>
          </w:p>
        </w:tc>
        <w:tc>
          <w:tcPr>
            <w:tcW w:w="4327" w:type="dxa"/>
            <w:tcBorders>
              <w:top w:val="single" w:sz="4" w:space="0" w:color="000000"/>
              <w:left w:val="single" w:sz="4" w:space="0" w:color="000000"/>
              <w:bottom w:val="single" w:sz="4" w:space="0" w:color="000000"/>
              <w:right w:val="single" w:sz="4" w:space="0" w:color="000000"/>
            </w:tcBorders>
          </w:tcPr>
          <w:p w:rsidR="00F23E67" w:rsidRDefault="001C5429">
            <w:pPr>
              <w:tabs>
                <w:tab w:val="left" w:pos="792"/>
              </w:tabs>
              <w:spacing w:before="60" w:after="60" w:line="264" w:lineRule="auto"/>
            </w:pPr>
            <w:r>
              <w:rPr>
                <w:sz w:val="22"/>
                <w:szCs w:val="22"/>
              </w:rPr>
              <w:t>w/c 8</w:t>
            </w:r>
            <w:r>
              <w:rPr>
                <w:sz w:val="22"/>
                <w:szCs w:val="22"/>
                <w:vertAlign w:val="superscript"/>
              </w:rPr>
              <w:t>th</w:t>
            </w:r>
            <w:r>
              <w:rPr>
                <w:sz w:val="22"/>
                <w:szCs w:val="22"/>
              </w:rPr>
              <w:t xml:space="preserve"> May 2017</w:t>
            </w:r>
          </w:p>
        </w:tc>
      </w:tr>
    </w:tbl>
    <w:p w:rsidR="00F23E67" w:rsidRDefault="00F23E67">
      <w:pPr>
        <w:spacing w:before="100" w:after="280"/>
        <w:ind w:left="0"/>
        <w:jc w:val="both"/>
      </w:pPr>
    </w:p>
    <w:p w:rsidR="00F23E67" w:rsidRDefault="001C5429">
      <w:pPr>
        <w:spacing w:after="280"/>
        <w:ind w:left="0"/>
        <w:jc w:val="both"/>
      </w:pPr>
      <w:r>
        <w:rPr>
          <w:rFonts w:ascii="Times New Roman" w:eastAsia="Times New Roman" w:hAnsi="Times New Roman" w:cs="Times New Roman"/>
          <w:b/>
          <w:i/>
          <w:color w:val="993366"/>
          <w:sz w:val="32"/>
          <w:szCs w:val="32"/>
        </w:rPr>
        <w:t>Budget</w:t>
      </w:r>
    </w:p>
    <w:p w:rsidR="00F23E67" w:rsidRDefault="001C5429">
      <w:pPr>
        <w:jc w:val="both"/>
      </w:pPr>
      <w:r>
        <w:t xml:space="preserve">We are not able to disclose exact budget information.  Please provide a cost for the project design set out above and set out alternatives if you feel these would better meet the research objectives. </w:t>
      </w:r>
    </w:p>
    <w:p w:rsidR="00F23E67" w:rsidRDefault="00F23E67">
      <w:pPr>
        <w:spacing w:before="100" w:after="280"/>
        <w:jc w:val="both"/>
      </w:pPr>
      <w:bookmarkStart w:id="1" w:name="gjdgxs" w:colFirst="0" w:colLast="0"/>
      <w:bookmarkEnd w:id="1"/>
    </w:p>
    <w:p w:rsidR="00F23E67" w:rsidRDefault="001C5429">
      <w:pPr>
        <w:spacing w:after="280"/>
        <w:ind w:left="0"/>
        <w:jc w:val="both"/>
      </w:pPr>
      <w:r>
        <w:t>Costs must include travel and other expenses, broken down separately. Costs should include all fees and expenses but exclude VAT.</w:t>
      </w:r>
    </w:p>
    <w:p w:rsidR="00F23E67" w:rsidRDefault="001C5429">
      <w:pPr>
        <w:spacing w:after="120"/>
        <w:ind w:left="0"/>
        <w:jc w:val="both"/>
      </w:pPr>
      <w:r>
        <w:rPr>
          <w:rFonts w:ascii="Times New Roman" w:eastAsia="Times New Roman" w:hAnsi="Times New Roman" w:cs="Times New Roman"/>
          <w:b/>
          <w:i/>
          <w:color w:val="7A0043"/>
          <w:sz w:val="28"/>
          <w:szCs w:val="28"/>
        </w:rPr>
        <w:t>General Terms and conditions</w:t>
      </w:r>
    </w:p>
    <w:p w:rsidR="00F23E67" w:rsidRDefault="001C5429">
      <w:pPr>
        <w:spacing w:after="120"/>
        <w:jc w:val="both"/>
      </w:pPr>
      <w:r>
        <w:rPr>
          <w:sz w:val="18"/>
          <w:szCs w:val="18"/>
        </w:rPr>
        <w:t xml:space="preserve">On receipt of a satisfactory proposal, the successful research agency will be awarded a fixed price contract for the project. The Standard Conditions of Contract governing research commissions are laid down by the MR130001 framework agreement and are not negotiable.  HMRC observes the general practice of paying only for work satisfactorily completed. All work should comply with the Code of Conduct of the Market Research Society. The Standard Conditions of Contract are available on request.  </w:t>
      </w:r>
    </w:p>
    <w:p w:rsidR="00F23E67" w:rsidRDefault="001C5429">
      <w:pPr>
        <w:spacing w:after="120"/>
        <w:jc w:val="both"/>
      </w:pPr>
      <w:r>
        <w:rPr>
          <w:sz w:val="18"/>
          <w:szCs w:val="18"/>
        </w:rPr>
        <w:t>Payment terms have been negotiated to split as follows on most projects (however there will always be exceptions – which we will do our best to cater for)</w:t>
      </w:r>
    </w:p>
    <w:p w:rsidR="00F23E67" w:rsidRDefault="001C5429">
      <w:pPr>
        <w:ind w:left="1440"/>
        <w:jc w:val="both"/>
      </w:pPr>
      <w:r>
        <w:rPr>
          <w:sz w:val="18"/>
          <w:szCs w:val="18"/>
        </w:rPr>
        <w:t>30% on commission</w:t>
      </w:r>
    </w:p>
    <w:p w:rsidR="00F23E67" w:rsidRDefault="001C5429">
      <w:pPr>
        <w:ind w:left="1440"/>
        <w:jc w:val="both"/>
      </w:pPr>
      <w:r>
        <w:rPr>
          <w:sz w:val="18"/>
          <w:szCs w:val="18"/>
        </w:rPr>
        <w:t>30% on Fieldwork commencement</w:t>
      </w:r>
    </w:p>
    <w:p w:rsidR="00F23E67" w:rsidRDefault="001C5429">
      <w:pPr>
        <w:spacing w:after="120"/>
        <w:ind w:left="1440"/>
        <w:jc w:val="both"/>
      </w:pPr>
      <w:r>
        <w:rPr>
          <w:sz w:val="18"/>
          <w:szCs w:val="18"/>
        </w:rPr>
        <w:t>40% on completion</w:t>
      </w:r>
    </w:p>
    <w:p w:rsidR="00F23E67" w:rsidRDefault="001C5429">
      <w:pPr>
        <w:spacing w:after="120"/>
        <w:jc w:val="both"/>
      </w:pPr>
      <w:r>
        <w:rPr>
          <w:sz w:val="18"/>
          <w:szCs w:val="18"/>
        </w:rPr>
        <w:t xml:space="preserve">When costing proposals it would be helpful to ensure we can see these key stages clearly.  </w:t>
      </w:r>
    </w:p>
    <w:p w:rsidR="00F23E67" w:rsidRDefault="001C5429">
      <w:pPr>
        <w:spacing w:after="120"/>
        <w:jc w:val="both"/>
      </w:pPr>
      <w:r>
        <w:rPr>
          <w:sz w:val="18"/>
          <w:szCs w:val="18"/>
        </w:rPr>
        <w:t>Some key elements of our standard terms are below:</w:t>
      </w:r>
    </w:p>
    <w:p w:rsidR="00F23E67" w:rsidRDefault="00F23E67">
      <w:pPr>
        <w:jc w:val="both"/>
      </w:pPr>
    </w:p>
    <w:p w:rsidR="00F23E67" w:rsidRDefault="001C5429">
      <w:pPr>
        <w:spacing w:after="120"/>
        <w:jc w:val="both"/>
      </w:pPr>
      <w:r>
        <w:rPr>
          <w:rFonts w:ascii="Times New Roman" w:eastAsia="Times New Roman" w:hAnsi="Times New Roman" w:cs="Times New Roman"/>
          <w:b/>
          <w:i/>
          <w:color w:val="7A0043"/>
          <w:sz w:val="28"/>
          <w:szCs w:val="28"/>
        </w:rPr>
        <w:t xml:space="preserve">Contractual obligations </w:t>
      </w:r>
    </w:p>
    <w:p w:rsidR="00F23E67" w:rsidRDefault="001C5429">
      <w:pPr>
        <w:spacing w:after="120"/>
        <w:jc w:val="both"/>
      </w:pPr>
      <w:r>
        <w:rPr>
          <w:sz w:val="18"/>
          <w:szCs w:val="18"/>
        </w:rPr>
        <w:t>As a result of government policy to achieve greater transparency in public procurement and help deliver improved value for money, HMRC is obliged to publish tender documents for all contracts with a whole life value of over £10,000.  There is a further obligation to publish all contracts with a whole life value of over £10,000 with effect from January 2011.  It is a condition of bidding for this work that applicants accept these obligations and agree to the subsequent publication of the contract once awarded.</w:t>
      </w:r>
    </w:p>
    <w:p w:rsidR="00F23E67" w:rsidRDefault="001C5429">
      <w:pPr>
        <w:spacing w:before="120" w:after="120"/>
        <w:ind w:left="0"/>
        <w:jc w:val="both"/>
      </w:pPr>
      <w:r>
        <w:rPr>
          <w:rFonts w:ascii="Times New Roman" w:eastAsia="Times New Roman" w:hAnsi="Times New Roman" w:cs="Times New Roman"/>
          <w:b/>
          <w:i/>
          <w:color w:val="7A0043"/>
          <w:sz w:val="28"/>
          <w:szCs w:val="28"/>
        </w:rPr>
        <w:t>Data handling</w:t>
      </w:r>
    </w:p>
    <w:p w:rsidR="00F23E67" w:rsidRDefault="001C5429">
      <w:pPr>
        <w:spacing w:after="120"/>
        <w:jc w:val="both"/>
      </w:pPr>
      <w:r>
        <w:rPr>
          <w:sz w:val="18"/>
          <w:szCs w:val="18"/>
        </w:rPr>
        <w:t>In most cases, any data we supply will be encrypted, probably using the highest encryption used by Winzip v9 or above. It is your responsibility to ensure appropriate steps are taken to ensure you are able to receive and decrypt our data.</w:t>
      </w:r>
    </w:p>
    <w:p w:rsidR="00F23E67" w:rsidRDefault="001C5429">
      <w:pPr>
        <w:spacing w:after="120"/>
        <w:jc w:val="both"/>
      </w:pPr>
      <w:r>
        <w:rPr>
          <w:sz w:val="18"/>
          <w:szCs w:val="18"/>
        </w:rPr>
        <w:t>We also require confirmation at appropriate times of the deletion of customer records from both removable and fixed media within your organisation.</w:t>
      </w:r>
    </w:p>
    <w:p w:rsidR="00F23E67" w:rsidRDefault="001C5429">
      <w:pPr>
        <w:spacing w:after="120"/>
        <w:jc w:val="both"/>
      </w:pPr>
      <w:r>
        <w:rPr>
          <w:sz w:val="18"/>
          <w:szCs w:val="18"/>
        </w:rPr>
        <w:t>Please note that HMRC does not permit the use of USB sticks and so all electronic versions should be provided on CD.</w:t>
      </w:r>
    </w:p>
    <w:p w:rsidR="00F23E67" w:rsidRDefault="001C5429">
      <w:pPr>
        <w:spacing w:after="120"/>
        <w:jc w:val="both"/>
      </w:pPr>
      <w:r>
        <w:rPr>
          <w:sz w:val="18"/>
          <w:szCs w:val="18"/>
        </w:rPr>
        <w:t>Once appointed, you should agree with your HMRC contact what security rating any data or documentation you produce should have and how it subsequently should be handled.</w:t>
      </w:r>
    </w:p>
    <w:p w:rsidR="00F23E67" w:rsidRDefault="001C5429">
      <w:pPr>
        <w:spacing w:after="120"/>
        <w:jc w:val="both"/>
      </w:pPr>
      <w:r>
        <w:rPr>
          <w:sz w:val="18"/>
          <w:szCs w:val="18"/>
        </w:rPr>
        <w:t>As part of our standard data handling requirements, as part of your proposal we will require details of your plan to receive, store and use any data that we may supply to you. In most cases the data we supply to you will contain customers’ personal details and we need to be sure that you will treat this data appropriately.</w:t>
      </w:r>
    </w:p>
    <w:p w:rsidR="00F23E67" w:rsidRDefault="001C5429">
      <w:pPr>
        <w:spacing w:after="120"/>
        <w:jc w:val="both"/>
      </w:pPr>
      <w:r>
        <w:rPr>
          <w:sz w:val="18"/>
          <w:szCs w:val="18"/>
        </w:rPr>
        <w:t>This should include precise details of the data handling and security procedures you have in place. In particular, please detail how, once we have delivered the data to you, how you will transfer and store it and who in your organisation will be able to access it. You should also detail your processes for archival of and/or destroying the data that has been finished with. As an example this should include, what systems you have that are accessible from the internet, how access to the information is managed, and details of how your data servers are backed-up and maintained.</w:t>
      </w:r>
    </w:p>
    <w:p w:rsidR="00F23E67" w:rsidRDefault="001C5429">
      <w:pPr>
        <w:spacing w:after="120"/>
        <w:jc w:val="both"/>
      </w:pPr>
      <w:r>
        <w:rPr>
          <w:sz w:val="18"/>
          <w:szCs w:val="18"/>
        </w:rPr>
        <w:t>If you have supplied current information, this does not need to be provided again.</w:t>
      </w:r>
    </w:p>
    <w:p w:rsidR="00F23E67" w:rsidRDefault="001C5429">
      <w:pPr>
        <w:spacing w:before="120" w:after="120"/>
        <w:ind w:left="0"/>
        <w:jc w:val="both"/>
      </w:pPr>
      <w:r>
        <w:rPr>
          <w:rFonts w:ascii="Times New Roman" w:eastAsia="Times New Roman" w:hAnsi="Times New Roman" w:cs="Times New Roman"/>
          <w:b/>
          <w:i/>
          <w:color w:val="7A0043"/>
          <w:sz w:val="28"/>
          <w:szCs w:val="28"/>
        </w:rPr>
        <w:t>Documentation</w:t>
      </w:r>
    </w:p>
    <w:p w:rsidR="00F23E67" w:rsidRDefault="001C5429">
      <w:pPr>
        <w:spacing w:after="120"/>
        <w:jc w:val="both"/>
      </w:pPr>
      <w:r>
        <w:rPr>
          <w:sz w:val="18"/>
          <w:szCs w:val="18"/>
        </w:rPr>
        <w:t>HMRC will require the publishable report delivered in both pdf and word formats. The pdf document should include the file size as part of the filename.</w:t>
      </w:r>
    </w:p>
    <w:p w:rsidR="00F23E67" w:rsidRDefault="001C5429">
      <w:pPr>
        <w:spacing w:after="120"/>
        <w:jc w:val="both"/>
        <w:rPr>
          <w:sz w:val="18"/>
          <w:szCs w:val="18"/>
        </w:rPr>
      </w:pPr>
      <w:r>
        <w:rPr>
          <w:sz w:val="18"/>
          <w:szCs w:val="18"/>
        </w:rPr>
        <w:t>In addition, HMRC will require draft copies of all key documents, such as recruitment questionnaires, presentation charts, top line and final report. These are to be submitted in sufficient time for comments to be incorporated into the final version and for our approval to be given for production of the final version to take place.</w:t>
      </w:r>
    </w:p>
    <w:p w:rsidR="00DA0022" w:rsidRDefault="00DA0022">
      <w:pPr>
        <w:spacing w:after="120"/>
        <w:jc w:val="both"/>
        <w:rPr>
          <w:sz w:val="18"/>
          <w:szCs w:val="18"/>
        </w:rPr>
      </w:pPr>
    </w:p>
    <w:p w:rsidR="00DA0022" w:rsidRDefault="00DA0022" w:rsidP="00DA0022">
      <w:pPr>
        <w:rPr>
          <w:i/>
          <w:iCs/>
        </w:rPr>
      </w:pPr>
      <w:r>
        <w:rPr>
          <w:i/>
          <w:iCs/>
        </w:rPr>
        <w:t xml:space="preserve">NB ‘Personal’, ‘Confidential’ </w:t>
      </w:r>
      <w:smartTag w:uri="urn:schemas-microsoft-com:office:smarttags" w:element="PersonName">
        <w:r>
          <w:rPr>
            <w:i/>
            <w:iCs/>
          </w:rPr>
          <w:t>and</w:t>
        </w:r>
      </w:smartTag>
      <w:r>
        <w:rPr>
          <w:i/>
          <w:iCs/>
        </w:rPr>
        <w:t xml:space="preserve"> ‘Commercial’ sensitive information has been redacted according to the provisions in the FOI Act (sections 40, 41 &amp; 42) </w:t>
      </w:r>
    </w:p>
    <w:p w:rsidR="00DA0022" w:rsidRDefault="00DA0022">
      <w:pPr>
        <w:spacing w:after="120"/>
        <w:jc w:val="both"/>
      </w:pPr>
    </w:p>
    <w:sectPr w:rsidR="00DA0022">
      <w:type w:val="continuous"/>
      <w:pgSz w:w="12240" w:h="15840"/>
      <w:pgMar w:top="907" w:right="1134" w:bottom="1276"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236" w:rsidRDefault="00981236">
      <w:r>
        <w:separator/>
      </w:r>
    </w:p>
  </w:endnote>
  <w:endnote w:type="continuationSeparator" w:id="0">
    <w:p w:rsidR="00981236" w:rsidRDefault="00981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E45" w:rsidRDefault="00DE6E45">
    <w:pPr>
      <w:tabs>
        <w:tab w:val="center" w:pos="4678"/>
        <w:tab w:val="right" w:pos="9781"/>
      </w:tabs>
      <w:jc w:val="both"/>
    </w:pPr>
    <w:r>
      <w:rPr>
        <w:sz w:val="18"/>
        <w:szCs w:val="18"/>
      </w:rPr>
      <w:tab/>
    </w:r>
    <w:r>
      <w:rPr>
        <w:i/>
        <w:sz w:val="18"/>
        <w:szCs w:val="18"/>
      </w:rPr>
      <w:tab/>
    </w:r>
    <w:r w:rsidR="0052332E">
      <w:rPr>
        <w:sz w:val="18"/>
        <w:szCs w:val="18"/>
      </w:rPr>
      <w:t>24</w:t>
    </w:r>
    <w:r>
      <w:rPr>
        <w:sz w:val="18"/>
        <w:szCs w:val="18"/>
      </w:rPr>
      <w:t>/11/16</w:t>
    </w:r>
  </w:p>
  <w:p w:rsidR="00DE6E45" w:rsidRDefault="00DE6E45">
    <w:pPr>
      <w:tabs>
        <w:tab w:val="center" w:pos="4678"/>
        <w:tab w:val="right" w:pos="9781"/>
      </w:tabs>
    </w:pPr>
    <w:r>
      <w:rPr>
        <w:sz w:val="18"/>
        <w:szCs w:val="18"/>
      </w:rPr>
      <w:tab/>
    </w:r>
    <w:r>
      <w:fldChar w:fldCharType="begin"/>
    </w:r>
    <w:r>
      <w:instrText>PAGE</w:instrText>
    </w:r>
    <w:r>
      <w:fldChar w:fldCharType="separate"/>
    </w:r>
    <w:r w:rsidR="001A05FA">
      <w:rPr>
        <w:noProof/>
      </w:rPr>
      <w:t>2</w:t>
    </w:r>
    <w:r>
      <w:fldChar w:fldCharType="end"/>
    </w:r>
  </w:p>
  <w:p w:rsidR="00DE6E45" w:rsidRDefault="00DE6E45">
    <w:pPr>
      <w:tabs>
        <w:tab w:val="center" w:pos="4678"/>
        <w:tab w:val="right" w:pos="9781"/>
      </w:tabs>
      <w:spacing w:after="65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E45" w:rsidRDefault="00DE6E45">
    <w:pPr>
      <w:tabs>
        <w:tab w:val="right" w:pos="9781"/>
      </w:tabs>
      <w:ind w:left="0"/>
    </w:pPr>
    <w:r>
      <w:rPr>
        <w:i/>
        <w:sz w:val="22"/>
        <w:szCs w:val="22"/>
      </w:rPr>
      <w:tab/>
    </w:r>
    <w:r>
      <w:fldChar w:fldCharType="begin"/>
    </w:r>
    <w:r>
      <w:instrText>PAGE</w:instrText>
    </w:r>
    <w:r>
      <w:fldChar w:fldCharType="separate"/>
    </w:r>
    <w:r w:rsidR="00981236">
      <w:rPr>
        <w:noProof/>
      </w:rPr>
      <w:t>1</w:t>
    </w:r>
    <w:r>
      <w:fldChar w:fldCharType="end"/>
    </w:r>
    <w:r>
      <w:t xml:space="preserve"> of </w:t>
    </w:r>
    <w:r>
      <w:fldChar w:fldCharType="begin"/>
    </w:r>
    <w:r>
      <w:instrText>NUMPAGES</w:instrText>
    </w:r>
    <w:r>
      <w:fldChar w:fldCharType="separate"/>
    </w:r>
    <w:r w:rsidR="00981236">
      <w:rPr>
        <w:noProof/>
      </w:rPr>
      <w:t>1</w:t>
    </w:r>
    <w:r>
      <w:fldChar w:fldCharType="end"/>
    </w:r>
    <w:r>
      <w:rPr>
        <w:i/>
        <w:sz w:val="22"/>
        <w:szCs w:val="22"/>
      </w:rPr>
      <w:tab/>
      <w:t>Behavioural &amp; Customer Insight Team</w:t>
    </w:r>
  </w:p>
  <w:p w:rsidR="00DE6E45" w:rsidRDefault="00DE6E45">
    <w:pPr>
      <w:tabs>
        <w:tab w:val="right" w:pos="9781"/>
      </w:tabs>
    </w:pPr>
    <w:r>
      <w:rPr>
        <w:i/>
        <w:sz w:val="18"/>
        <w:szCs w:val="18"/>
      </w:rPr>
      <w:tab/>
    </w:r>
    <w:r>
      <w:rPr>
        <w:i/>
        <w:sz w:val="18"/>
        <w:szCs w:val="18"/>
      </w:rPr>
      <w:tab/>
    </w:r>
  </w:p>
  <w:p w:rsidR="00DE6E45" w:rsidRDefault="00DE6E45">
    <w:pPr>
      <w:tabs>
        <w:tab w:val="right" w:pos="9781"/>
      </w:tabs>
    </w:pPr>
  </w:p>
  <w:p w:rsidR="00DE6E45" w:rsidRDefault="00DE6E45">
    <w:pPr>
      <w:tabs>
        <w:tab w:val="right" w:pos="9781"/>
      </w:tabs>
      <w:ind w:left="0"/>
      <w:jc w:val="center"/>
    </w:pPr>
  </w:p>
  <w:p w:rsidR="00DE6E45" w:rsidRDefault="00DE6E45">
    <w:pPr>
      <w:tabs>
        <w:tab w:val="right" w:pos="9781"/>
      </w:tabs>
      <w:spacing w:after="655"/>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236" w:rsidRDefault="00981236">
      <w:r>
        <w:separator/>
      </w:r>
    </w:p>
  </w:footnote>
  <w:footnote w:type="continuationSeparator" w:id="0">
    <w:p w:rsidR="00981236" w:rsidRDefault="00981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E45" w:rsidRDefault="00DE6E45">
    <w:pPr>
      <w:tabs>
        <w:tab w:val="center" w:pos="4678"/>
        <w:tab w:val="right" w:pos="9781"/>
      </w:tabs>
      <w:spacing w:before="567"/>
      <w:ind w:left="0"/>
    </w:pPr>
    <w:r>
      <w:rPr>
        <w:sz w:val="20"/>
        <w:szCs w:val="20"/>
      </w:rPr>
      <w:t>HM Revenue and Customs</w:t>
    </w:r>
    <w:r>
      <w:rPr>
        <w:sz w:val="20"/>
        <w:szCs w:val="20"/>
      </w:rPr>
      <w:tab/>
    </w:r>
    <w:r>
      <w:rPr>
        <w:sz w:val="20"/>
        <w:szCs w:val="20"/>
      </w:rPr>
      <w:tab/>
      <w:t>Behavioural &amp; Customer Insight Team</w:t>
    </w:r>
  </w:p>
  <w:p w:rsidR="00DE6E45" w:rsidRDefault="00DE6E45">
    <w:pPr>
      <w:tabs>
        <w:tab w:val="center" w:pos="4678"/>
        <w:tab w:val="right" w:pos="9781"/>
      </w:tabs>
      <w:ind w:left="0"/>
    </w:pPr>
    <w:r>
      <w:rPr>
        <w:sz w:val="20"/>
        <w:szCs w:val="20"/>
      </w:rPr>
      <w:tab/>
    </w:r>
    <w:r>
      <w:rPr>
        <w:sz w:val="20"/>
        <w:szCs w:val="20"/>
      </w:rPr>
      <w:tab/>
    </w:r>
    <w:r>
      <w:rPr>
        <w:sz w:val="16"/>
        <w:szCs w:val="16"/>
      </w:rPr>
      <w:t>in Central Customer Directorate</w:t>
    </w:r>
    <w:r>
      <w:rPr>
        <w:sz w:val="16"/>
        <w:szCs w:val="16"/>
      </w:rPr>
      <w:tab/>
    </w:r>
  </w:p>
  <w:p w:rsidR="00DE6E45" w:rsidRDefault="00DE6E45">
    <w:pPr>
      <w:tabs>
        <w:tab w:val="center" w:pos="4678"/>
        <w:tab w:val="right" w:pos="9781"/>
      </w:tabs>
    </w:pPr>
    <w:r>
      <w:rPr>
        <w:sz w:val="4"/>
        <w:szCs w:val="4"/>
      </w:rPr>
      <w:tab/>
    </w:r>
    <w:r>
      <w:rPr>
        <w:sz w:val="4"/>
        <w:szCs w:val="4"/>
      </w:rPr>
      <w:tab/>
    </w:r>
  </w:p>
  <w:p w:rsidR="00DE6E45" w:rsidRDefault="00DE6E45">
    <w:pPr>
      <w:tabs>
        <w:tab w:val="center" w:pos="4678"/>
        <w:tab w:val="right" w:pos="9781"/>
      </w:tabs>
      <w:ind w:left="0"/>
      <w:jc w:val="center"/>
    </w:pPr>
    <w:r>
      <w:rPr>
        <w:b/>
        <w:color w:val="808080"/>
      </w:rPr>
      <w:t>Research Brief</w:t>
    </w:r>
  </w:p>
  <w:p w:rsidR="00DE6E45" w:rsidRDefault="00DE6E45">
    <w:pPr>
      <w:tabs>
        <w:tab w:val="center" w:pos="4678"/>
        <w:tab w:val="right" w:pos="9781"/>
      </w:tabs>
      <w:ind w:left="0"/>
    </w:pPr>
    <w:r>
      <w:rPr>
        <w:sz w:val="20"/>
        <w:szCs w:val="20"/>
      </w:rPr>
      <w:tab/>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0FC"/>
    <w:multiLevelType w:val="multilevel"/>
    <w:tmpl w:val="93C69D00"/>
    <w:lvl w:ilvl="0">
      <w:start w:val="1"/>
      <w:numFmt w:val="decimal"/>
      <w:lvlText w:val="%1)"/>
      <w:lvlJc w:val="left"/>
      <w:pPr>
        <w:ind w:left="720" w:firstLine="1080"/>
      </w:pPr>
      <w:rPr>
        <w:vertAlign w:val="baseline"/>
      </w:rPr>
    </w:lvl>
    <w:lvl w:ilvl="1">
      <w:start w:val="1"/>
      <w:numFmt w:val="lowerLetter"/>
      <w:lvlText w:val="%2."/>
      <w:lvlJc w:val="left"/>
      <w:pPr>
        <w:ind w:left="1440" w:firstLine="2520"/>
      </w:pPr>
      <w:rPr>
        <w:vertAlign w:val="baseline"/>
      </w:rPr>
    </w:lvl>
    <w:lvl w:ilvl="2">
      <w:start w:val="1"/>
      <w:numFmt w:val="lowerRoman"/>
      <w:lvlText w:val="%3."/>
      <w:lvlJc w:val="right"/>
      <w:pPr>
        <w:ind w:left="2160" w:firstLine="4140"/>
      </w:pPr>
      <w:rPr>
        <w:vertAlign w:val="baseline"/>
      </w:rPr>
    </w:lvl>
    <w:lvl w:ilvl="3">
      <w:start w:val="1"/>
      <w:numFmt w:val="decimal"/>
      <w:lvlText w:val="%4."/>
      <w:lvlJc w:val="left"/>
      <w:pPr>
        <w:ind w:left="2880" w:firstLine="5400"/>
      </w:pPr>
      <w:rPr>
        <w:vertAlign w:val="baseline"/>
      </w:rPr>
    </w:lvl>
    <w:lvl w:ilvl="4">
      <w:start w:val="1"/>
      <w:numFmt w:val="lowerLetter"/>
      <w:lvlText w:val="%5."/>
      <w:lvlJc w:val="left"/>
      <w:pPr>
        <w:ind w:left="3600" w:firstLine="6840"/>
      </w:pPr>
      <w:rPr>
        <w:vertAlign w:val="baseline"/>
      </w:rPr>
    </w:lvl>
    <w:lvl w:ilvl="5">
      <w:start w:val="1"/>
      <w:numFmt w:val="lowerRoman"/>
      <w:lvlText w:val="%6."/>
      <w:lvlJc w:val="right"/>
      <w:pPr>
        <w:ind w:left="4320" w:firstLine="8460"/>
      </w:pPr>
      <w:rPr>
        <w:vertAlign w:val="baseline"/>
      </w:rPr>
    </w:lvl>
    <w:lvl w:ilvl="6">
      <w:start w:val="1"/>
      <w:numFmt w:val="decimal"/>
      <w:lvlText w:val="%7."/>
      <w:lvlJc w:val="left"/>
      <w:pPr>
        <w:ind w:left="5040" w:firstLine="9720"/>
      </w:pPr>
      <w:rPr>
        <w:vertAlign w:val="baseline"/>
      </w:rPr>
    </w:lvl>
    <w:lvl w:ilvl="7">
      <w:start w:val="1"/>
      <w:numFmt w:val="lowerLetter"/>
      <w:lvlText w:val="%8."/>
      <w:lvlJc w:val="left"/>
      <w:pPr>
        <w:ind w:left="5760" w:firstLine="11160"/>
      </w:pPr>
      <w:rPr>
        <w:vertAlign w:val="baseline"/>
      </w:rPr>
    </w:lvl>
    <w:lvl w:ilvl="8">
      <w:start w:val="1"/>
      <w:numFmt w:val="lowerRoman"/>
      <w:lvlText w:val="%9."/>
      <w:lvlJc w:val="right"/>
      <w:pPr>
        <w:ind w:left="6480" w:firstLine="12780"/>
      </w:pPr>
      <w:rPr>
        <w:vertAlign w:val="baseline"/>
      </w:rPr>
    </w:lvl>
  </w:abstractNum>
  <w:abstractNum w:abstractNumId="1" w15:restartNumberingAfterBreak="0">
    <w:nsid w:val="110A5ACB"/>
    <w:multiLevelType w:val="multilevel"/>
    <w:tmpl w:val="ED06A012"/>
    <w:lvl w:ilvl="0">
      <w:start w:val="1"/>
      <w:numFmt w:val="bullet"/>
      <w:lvlText w:val="o"/>
      <w:lvlJc w:val="left"/>
      <w:pPr>
        <w:ind w:left="1440" w:firstLine="1080"/>
      </w:pPr>
      <w:rPr>
        <w:rFonts w:ascii="Arial" w:eastAsia="Arial" w:hAnsi="Arial" w:cs="Arial"/>
        <w:vertAlign w:val="baseline"/>
      </w:rPr>
    </w:lvl>
    <w:lvl w:ilvl="1">
      <w:numFmt w:val="bullet"/>
      <w:lvlText w:val="●"/>
      <w:lvlJc w:val="left"/>
      <w:pPr>
        <w:ind w:left="220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2" w15:restartNumberingAfterBreak="0">
    <w:nsid w:val="1767783D"/>
    <w:multiLevelType w:val="multilevel"/>
    <w:tmpl w:val="333AA53C"/>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1976737B"/>
    <w:multiLevelType w:val="multilevel"/>
    <w:tmpl w:val="ED0EF034"/>
    <w:lvl w:ilvl="0">
      <w:start w:val="1"/>
      <w:numFmt w:val="bullet"/>
      <w:lvlText w:val="●"/>
      <w:lvlJc w:val="left"/>
      <w:pPr>
        <w:ind w:left="720" w:firstLine="360"/>
      </w:pPr>
      <w:rPr>
        <w:rFonts w:ascii="Arial" w:eastAsia="Arial" w:hAnsi="Arial" w:cs="Arial"/>
        <w:b w:val="0"/>
        <w:i w:val="0"/>
        <w:sz w:val="20"/>
        <w:szCs w:val="20"/>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21C540D6"/>
    <w:multiLevelType w:val="multilevel"/>
    <w:tmpl w:val="17CAE13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DC46E9D"/>
    <w:multiLevelType w:val="multilevel"/>
    <w:tmpl w:val="95CC58DE"/>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2EA36F2D"/>
    <w:multiLevelType w:val="multilevel"/>
    <w:tmpl w:val="DDA24764"/>
    <w:lvl w:ilvl="0">
      <w:start w:val="1"/>
      <w:numFmt w:val="bullet"/>
      <w:lvlText w:val="●"/>
      <w:lvlJc w:val="left"/>
      <w:pPr>
        <w:ind w:left="720" w:firstLine="1080"/>
      </w:pPr>
      <w:rPr>
        <w:rFonts w:ascii="Arial" w:eastAsia="Arial" w:hAnsi="Arial" w:cs="Arial"/>
        <w:u w:val="none"/>
        <w:vertAlign w:val="baseline"/>
      </w:rPr>
    </w:lvl>
    <w:lvl w:ilvl="1">
      <w:start w:val="1"/>
      <w:numFmt w:val="bullet"/>
      <w:lvlText w:val="○"/>
      <w:lvlJc w:val="left"/>
      <w:pPr>
        <w:ind w:left="1440" w:firstLine="2520"/>
      </w:pPr>
      <w:rPr>
        <w:rFonts w:ascii="Arial" w:eastAsia="Arial" w:hAnsi="Arial" w:cs="Arial"/>
        <w:u w:val="none"/>
        <w:vertAlign w:val="baseline"/>
      </w:rPr>
    </w:lvl>
    <w:lvl w:ilvl="2">
      <w:start w:val="1"/>
      <w:numFmt w:val="bullet"/>
      <w:lvlText w:val="■"/>
      <w:lvlJc w:val="left"/>
      <w:pPr>
        <w:ind w:left="2160" w:firstLine="3960"/>
      </w:pPr>
      <w:rPr>
        <w:rFonts w:ascii="Arial" w:eastAsia="Arial" w:hAnsi="Arial" w:cs="Arial"/>
        <w:u w:val="none"/>
        <w:vertAlign w:val="baseline"/>
      </w:rPr>
    </w:lvl>
    <w:lvl w:ilvl="3">
      <w:start w:val="1"/>
      <w:numFmt w:val="bullet"/>
      <w:lvlText w:val="●"/>
      <w:lvlJc w:val="left"/>
      <w:pPr>
        <w:ind w:left="2880" w:firstLine="5400"/>
      </w:pPr>
      <w:rPr>
        <w:rFonts w:ascii="Arial" w:eastAsia="Arial" w:hAnsi="Arial" w:cs="Arial"/>
        <w:u w:val="none"/>
        <w:vertAlign w:val="baseline"/>
      </w:rPr>
    </w:lvl>
    <w:lvl w:ilvl="4">
      <w:start w:val="1"/>
      <w:numFmt w:val="bullet"/>
      <w:lvlText w:val="○"/>
      <w:lvlJc w:val="left"/>
      <w:pPr>
        <w:ind w:left="3600" w:firstLine="6840"/>
      </w:pPr>
      <w:rPr>
        <w:rFonts w:ascii="Arial" w:eastAsia="Arial" w:hAnsi="Arial" w:cs="Arial"/>
        <w:u w:val="none"/>
        <w:vertAlign w:val="baseline"/>
      </w:rPr>
    </w:lvl>
    <w:lvl w:ilvl="5">
      <w:start w:val="1"/>
      <w:numFmt w:val="bullet"/>
      <w:lvlText w:val="■"/>
      <w:lvlJc w:val="left"/>
      <w:pPr>
        <w:ind w:left="4320" w:firstLine="8280"/>
      </w:pPr>
      <w:rPr>
        <w:rFonts w:ascii="Arial" w:eastAsia="Arial" w:hAnsi="Arial" w:cs="Arial"/>
        <w:u w:val="none"/>
        <w:vertAlign w:val="baseline"/>
      </w:rPr>
    </w:lvl>
    <w:lvl w:ilvl="6">
      <w:start w:val="1"/>
      <w:numFmt w:val="bullet"/>
      <w:lvlText w:val="●"/>
      <w:lvlJc w:val="left"/>
      <w:pPr>
        <w:ind w:left="5040" w:firstLine="9720"/>
      </w:pPr>
      <w:rPr>
        <w:rFonts w:ascii="Arial" w:eastAsia="Arial" w:hAnsi="Arial" w:cs="Arial"/>
        <w:u w:val="none"/>
        <w:vertAlign w:val="baseline"/>
      </w:rPr>
    </w:lvl>
    <w:lvl w:ilvl="7">
      <w:start w:val="1"/>
      <w:numFmt w:val="bullet"/>
      <w:lvlText w:val="○"/>
      <w:lvlJc w:val="left"/>
      <w:pPr>
        <w:ind w:left="5760" w:firstLine="11160"/>
      </w:pPr>
      <w:rPr>
        <w:rFonts w:ascii="Arial" w:eastAsia="Arial" w:hAnsi="Arial" w:cs="Arial"/>
        <w:u w:val="none"/>
        <w:vertAlign w:val="baseline"/>
      </w:rPr>
    </w:lvl>
    <w:lvl w:ilvl="8">
      <w:start w:val="1"/>
      <w:numFmt w:val="bullet"/>
      <w:lvlText w:val="■"/>
      <w:lvlJc w:val="left"/>
      <w:pPr>
        <w:ind w:left="6480" w:firstLine="12600"/>
      </w:pPr>
      <w:rPr>
        <w:rFonts w:ascii="Arial" w:eastAsia="Arial" w:hAnsi="Arial" w:cs="Arial"/>
        <w:u w:val="none"/>
        <w:vertAlign w:val="baseline"/>
      </w:rPr>
    </w:lvl>
  </w:abstractNum>
  <w:abstractNum w:abstractNumId="7" w15:restartNumberingAfterBreak="0">
    <w:nsid w:val="30143B1D"/>
    <w:multiLevelType w:val="multilevel"/>
    <w:tmpl w:val="F4F4CCE4"/>
    <w:lvl w:ilvl="0">
      <w:start w:val="1"/>
      <w:numFmt w:val="decimal"/>
      <w:lvlText w:val="%1."/>
      <w:lvlJc w:val="left"/>
      <w:pPr>
        <w:ind w:left="720" w:firstLine="360"/>
      </w:pPr>
      <w:rPr>
        <w:color w:val="00000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339B73A3"/>
    <w:multiLevelType w:val="multilevel"/>
    <w:tmpl w:val="0590D22E"/>
    <w:lvl w:ilvl="0">
      <w:start w:val="1"/>
      <w:numFmt w:val="bullet"/>
      <w:lvlText w:val="o"/>
      <w:lvlJc w:val="left"/>
      <w:pPr>
        <w:ind w:left="1440" w:firstLine="1080"/>
      </w:pPr>
      <w:rPr>
        <w:rFonts w:ascii="Arial" w:eastAsia="Arial" w:hAnsi="Arial" w:cs="Arial"/>
        <w:vertAlign w:val="baseline"/>
      </w:rPr>
    </w:lvl>
    <w:lvl w:ilvl="1">
      <w:start w:val="1"/>
      <w:numFmt w:val="bullet"/>
      <w:lvlText w:val="o"/>
      <w:lvlJc w:val="left"/>
      <w:pPr>
        <w:ind w:left="2160" w:firstLine="1800"/>
      </w:pPr>
      <w:rPr>
        <w:rFonts w:ascii="Arial" w:eastAsia="Arial" w:hAnsi="Arial" w:cs="Arial"/>
        <w:vertAlign w:val="baseline"/>
      </w:rPr>
    </w:lvl>
    <w:lvl w:ilvl="2">
      <w:start w:val="1"/>
      <w:numFmt w:val="bullet"/>
      <w:lvlText w:val="▪"/>
      <w:lvlJc w:val="left"/>
      <w:pPr>
        <w:ind w:left="2880" w:firstLine="2520"/>
      </w:pPr>
      <w:rPr>
        <w:rFonts w:ascii="Arial" w:eastAsia="Arial" w:hAnsi="Arial" w:cs="Arial"/>
        <w:vertAlign w:val="baseline"/>
      </w:rPr>
    </w:lvl>
    <w:lvl w:ilvl="3">
      <w:start w:val="1"/>
      <w:numFmt w:val="bullet"/>
      <w:lvlText w:val="●"/>
      <w:lvlJc w:val="left"/>
      <w:pPr>
        <w:ind w:left="3600" w:firstLine="3240"/>
      </w:pPr>
      <w:rPr>
        <w:rFonts w:ascii="Arial" w:eastAsia="Arial" w:hAnsi="Arial" w:cs="Arial"/>
        <w:vertAlign w:val="baseline"/>
      </w:rPr>
    </w:lvl>
    <w:lvl w:ilvl="4">
      <w:start w:val="1"/>
      <w:numFmt w:val="bullet"/>
      <w:lvlText w:val="o"/>
      <w:lvlJc w:val="left"/>
      <w:pPr>
        <w:ind w:left="4320" w:firstLine="3960"/>
      </w:pPr>
      <w:rPr>
        <w:rFonts w:ascii="Arial" w:eastAsia="Arial" w:hAnsi="Arial" w:cs="Arial"/>
        <w:vertAlign w:val="baseline"/>
      </w:rPr>
    </w:lvl>
    <w:lvl w:ilvl="5">
      <w:start w:val="1"/>
      <w:numFmt w:val="bullet"/>
      <w:lvlText w:val="▪"/>
      <w:lvlJc w:val="left"/>
      <w:pPr>
        <w:ind w:left="5040" w:firstLine="4680"/>
      </w:pPr>
      <w:rPr>
        <w:rFonts w:ascii="Arial" w:eastAsia="Arial" w:hAnsi="Arial" w:cs="Arial"/>
        <w:vertAlign w:val="baseline"/>
      </w:rPr>
    </w:lvl>
    <w:lvl w:ilvl="6">
      <w:start w:val="1"/>
      <w:numFmt w:val="bullet"/>
      <w:lvlText w:val="●"/>
      <w:lvlJc w:val="left"/>
      <w:pPr>
        <w:ind w:left="5760" w:firstLine="5400"/>
      </w:pPr>
      <w:rPr>
        <w:rFonts w:ascii="Arial" w:eastAsia="Arial" w:hAnsi="Arial" w:cs="Arial"/>
        <w:vertAlign w:val="baseline"/>
      </w:rPr>
    </w:lvl>
    <w:lvl w:ilvl="7">
      <w:start w:val="1"/>
      <w:numFmt w:val="bullet"/>
      <w:lvlText w:val="o"/>
      <w:lvlJc w:val="left"/>
      <w:pPr>
        <w:ind w:left="6480" w:firstLine="6120"/>
      </w:pPr>
      <w:rPr>
        <w:rFonts w:ascii="Arial" w:eastAsia="Arial" w:hAnsi="Arial" w:cs="Arial"/>
        <w:vertAlign w:val="baseline"/>
      </w:rPr>
    </w:lvl>
    <w:lvl w:ilvl="8">
      <w:start w:val="1"/>
      <w:numFmt w:val="bullet"/>
      <w:lvlText w:val="▪"/>
      <w:lvlJc w:val="left"/>
      <w:pPr>
        <w:ind w:left="7200" w:firstLine="6840"/>
      </w:pPr>
      <w:rPr>
        <w:rFonts w:ascii="Arial" w:eastAsia="Arial" w:hAnsi="Arial" w:cs="Arial"/>
        <w:vertAlign w:val="baseline"/>
      </w:rPr>
    </w:lvl>
  </w:abstractNum>
  <w:abstractNum w:abstractNumId="9" w15:restartNumberingAfterBreak="0">
    <w:nsid w:val="3C5723F5"/>
    <w:multiLevelType w:val="multilevel"/>
    <w:tmpl w:val="4FF0FB2C"/>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0" w15:restartNumberingAfterBreak="0">
    <w:nsid w:val="44855246"/>
    <w:multiLevelType w:val="multilevel"/>
    <w:tmpl w:val="37365D1C"/>
    <w:lvl w:ilvl="0">
      <w:start w:val="1"/>
      <w:numFmt w:val="lowerRoman"/>
      <w:lvlText w:val="%1)"/>
      <w:lvlJc w:val="left"/>
      <w:pPr>
        <w:ind w:left="72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1" w15:restartNumberingAfterBreak="0">
    <w:nsid w:val="58B43865"/>
    <w:multiLevelType w:val="multilevel"/>
    <w:tmpl w:val="74684234"/>
    <w:lvl w:ilvl="0">
      <w:start w:val="1"/>
      <w:numFmt w:val="bullet"/>
      <w:lvlText w:val="●"/>
      <w:lvlJc w:val="left"/>
      <w:pPr>
        <w:ind w:left="1080" w:firstLine="720"/>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12" w15:restartNumberingAfterBreak="0">
    <w:nsid w:val="5AD5798F"/>
    <w:multiLevelType w:val="multilevel"/>
    <w:tmpl w:val="63C4ECDA"/>
    <w:lvl w:ilvl="0">
      <w:start w:val="1"/>
      <w:numFmt w:val="bullet"/>
      <w:lvlText w:val="●"/>
      <w:lvlJc w:val="left"/>
      <w:pPr>
        <w:ind w:left="1004" w:firstLine="644"/>
      </w:pPr>
      <w:rPr>
        <w:rFonts w:ascii="Arial" w:eastAsia="Arial" w:hAnsi="Arial" w:cs="Arial"/>
        <w:vertAlign w:val="baseline"/>
      </w:rPr>
    </w:lvl>
    <w:lvl w:ilvl="1">
      <w:start w:val="1"/>
      <w:numFmt w:val="bullet"/>
      <w:lvlText w:val="o"/>
      <w:lvlJc w:val="left"/>
      <w:pPr>
        <w:ind w:left="1724" w:firstLine="1364"/>
      </w:pPr>
      <w:rPr>
        <w:rFonts w:ascii="Arial" w:eastAsia="Arial" w:hAnsi="Arial" w:cs="Arial"/>
        <w:vertAlign w:val="baseline"/>
      </w:rPr>
    </w:lvl>
    <w:lvl w:ilvl="2">
      <w:start w:val="1"/>
      <w:numFmt w:val="bullet"/>
      <w:lvlText w:val="▪"/>
      <w:lvlJc w:val="left"/>
      <w:pPr>
        <w:ind w:left="2444" w:firstLine="2084"/>
      </w:pPr>
      <w:rPr>
        <w:rFonts w:ascii="Arial" w:eastAsia="Arial" w:hAnsi="Arial" w:cs="Arial"/>
        <w:vertAlign w:val="baseline"/>
      </w:rPr>
    </w:lvl>
    <w:lvl w:ilvl="3">
      <w:start w:val="1"/>
      <w:numFmt w:val="bullet"/>
      <w:lvlText w:val="●"/>
      <w:lvlJc w:val="left"/>
      <w:pPr>
        <w:ind w:left="3164" w:firstLine="2804"/>
      </w:pPr>
      <w:rPr>
        <w:rFonts w:ascii="Arial" w:eastAsia="Arial" w:hAnsi="Arial" w:cs="Arial"/>
        <w:vertAlign w:val="baseline"/>
      </w:rPr>
    </w:lvl>
    <w:lvl w:ilvl="4">
      <w:start w:val="1"/>
      <w:numFmt w:val="bullet"/>
      <w:lvlText w:val="o"/>
      <w:lvlJc w:val="left"/>
      <w:pPr>
        <w:ind w:left="3884" w:firstLine="3524"/>
      </w:pPr>
      <w:rPr>
        <w:rFonts w:ascii="Arial" w:eastAsia="Arial" w:hAnsi="Arial" w:cs="Arial"/>
        <w:vertAlign w:val="baseline"/>
      </w:rPr>
    </w:lvl>
    <w:lvl w:ilvl="5">
      <w:start w:val="1"/>
      <w:numFmt w:val="bullet"/>
      <w:lvlText w:val="▪"/>
      <w:lvlJc w:val="left"/>
      <w:pPr>
        <w:ind w:left="4604" w:firstLine="4244"/>
      </w:pPr>
      <w:rPr>
        <w:rFonts w:ascii="Arial" w:eastAsia="Arial" w:hAnsi="Arial" w:cs="Arial"/>
        <w:vertAlign w:val="baseline"/>
      </w:rPr>
    </w:lvl>
    <w:lvl w:ilvl="6">
      <w:start w:val="1"/>
      <w:numFmt w:val="bullet"/>
      <w:lvlText w:val="●"/>
      <w:lvlJc w:val="left"/>
      <w:pPr>
        <w:ind w:left="5324" w:firstLine="4964"/>
      </w:pPr>
      <w:rPr>
        <w:rFonts w:ascii="Arial" w:eastAsia="Arial" w:hAnsi="Arial" w:cs="Arial"/>
        <w:vertAlign w:val="baseline"/>
      </w:rPr>
    </w:lvl>
    <w:lvl w:ilvl="7">
      <w:start w:val="1"/>
      <w:numFmt w:val="bullet"/>
      <w:lvlText w:val="o"/>
      <w:lvlJc w:val="left"/>
      <w:pPr>
        <w:ind w:left="6044" w:firstLine="5684"/>
      </w:pPr>
      <w:rPr>
        <w:rFonts w:ascii="Arial" w:eastAsia="Arial" w:hAnsi="Arial" w:cs="Arial"/>
        <w:vertAlign w:val="baseline"/>
      </w:rPr>
    </w:lvl>
    <w:lvl w:ilvl="8">
      <w:start w:val="1"/>
      <w:numFmt w:val="bullet"/>
      <w:lvlText w:val="▪"/>
      <w:lvlJc w:val="left"/>
      <w:pPr>
        <w:ind w:left="6764" w:firstLine="6404"/>
      </w:pPr>
      <w:rPr>
        <w:rFonts w:ascii="Arial" w:eastAsia="Arial" w:hAnsi="Arial" w:cs="Arial"/>
        <w:vertAlign w:val="baseline"/>
      </w:rPr>
    </w:lvl>
  </w:abstractNum>
  <w:abstractNum w:abstractNumId="13" w15:restartNumberingAfterBreak="0">
    <w:nsid w:val="5DAD75E6"/>
    <w:multiLevelType w:val="multilevel"/>
    <w:tmpl w:val="8C10B876"/>
    <w:lvl w:ilvl="0">
      <w:start w:val="1"/>
      <w:numFmt w:val="decimal"/>
      <w:lvlText w:val="%1."/>
      <w:lvlJc w:val="left"/>
      <w:pPr>
        <w:ind w:left="720" w:firstLine="360"/>
      </w:pPr>
      <w:rPr>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4" w15:restartNumberingAfterBreak="0">
    <w:nsid w:val="6D2A373D"/>
    <w:multiLevelType w:val="multilevel"/>
    <w:tmpl w:val="D9DECEBC"/>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1440" w:firstLine="1080"/>
      </w:pPr>
      <w:rPr>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5" w15:restartNumberingAfterBreak="0">
    <w:nsid w:val="73CC3520"/>
    <w:multiLevelType w:val="multilevel"/>
    <w:tmpl w:val="753050CE"/>
    <w:lvl w:ilvl="0">
      <w:start w:val="1"/>
      <w:numFmt w:val="decimal"/>
      <w:lvlText w:val="%1.0"/>
      <w:lvlJc w:val="left"/>
      <w:pPr>
        <w:ind w:left="720" w:firstLine="0"/>
      </w:pPr>
      <w:rPr>
        <w:vertAlign w:val="baseline"/>
      </w:rPr>
    </w:lvl>
    <w:lvl w:ilvl="1">
      <w:start w:val="1"/>
      <w:numFmt w:val="decimal"/>
      <w:lvlText w:val="%1.%2."/>
      <w:lvlJc w:val="left"/>
      <w:pPr>
        <w:ind w:left="720" w:firstLine="0"/>
      </w:pPr>
      <w:rPr>
        <w:vertAlign w:val="baseline"/>
      </w:rPr>
    </w:lvl>
    <w:lvl w:ilvl="2">
      <w:start w:val="1"/>
      <w:numFmt w:val="decimal"/>
      <w:lvlText w:val="%1.%2.%3."/>
      <w:lvlJc w:val="left"/>
      <w:pPr>
        <w:ind w:left="1224" w:firstLine="720"/>
      </w:pPr>
      <w:rPr>
        <w:vertAlign w:val="baseline"/>
      </w:rPr>
    </w:lvl>
    <w:lvl w:ilvl="3">
      <w:start w:val="1"/>
      <w:numFmt w:val="decimal"/>
      <w:lvlText w:val="%1.%2.%3.%4."/>
      <w:lvlJc w:val="left"/>
      <w:pPr>
        <w:ind w:left="1728" w:firstLine="1080"/>
      </w:pPr>
      <w:rPr>
        <w:vertAlign w:val="baseline"/>
      </w:rPr>
    </w:lvl>
    <w:lvl w:ilvl="4">
      <w:start w:val="1"/>
      <w:numFmt w:val="decimal"/>
      <w:lvlText w:val="%1.%2.%3.%4.%5."/>
      <w:lvlJc w:val="left"/>
      <w:pPr>
        <w:ind w:left="2232" w:firstLine="1440"/>
      </w:pPr>
      <w:rPr>
        <w:vertAlign w:val="baseline"/>
      </w:rPr>
    </w:lvl>
    <w:lvl w:ilvl="5">
      <w:start w:val="1"/>
      <w:numFmt w:val="decimal"/>
      <w:lvlText w:val="%1.%2.%3.%4.%5.%6."/>
      <w:lvlJc w:val="left"/>
      <w:pPr>
        <w:ind w:left="2736" w:firstLine="1800"/>
      </w:pPr>
      <w:rPr>
        <w:vertAlign w:val="baseline"/>
      </w:rPr>
    </w:lvl>
    <w:lvl w:ilvl="6">
      <w:start w:val="1"/>
      <w:numFmt w:val="decimal"/>
      <w:lvlText w:val="%1.%2.%3.%4.%5.%6.%7."/>
      <w:lvlJc w:val="left"/>
      <w:pPr>
        <w:ind w:left="3240" w:firstLine="2160"/>
      </w:pPr>
      <w:rPr>
        <w:vertAlign w:val="baseline"/>
      </w:rPr>
    </w:lvl>
    <w:lvl w:ilvl="7">
      <w:start w:val="1"/>
      <w:numFmt w:val="decimal"/>
      <w:lvlText w:val="%1.%2.%3.%4.%5.%6.%7.%8."/>
      <w:lvlJc w:val="left"/>
      <w:pPr>
        <w:ind w:left="3744" w:firstLine="2519"/>
      </w:pPr>
      <w:rPr>
        <w:vertAlign w:val="baseline"/>
      </w:rPr>
    </w:lvl>
    <w:lvl w:ilvl="8">
      <w:start w:val="1"/>
      <w:numFmt w:val="decimal"/>
      <w:lvlText w:val="%1.%2.%3.%4.%5.%6.%7.%8.%9."/>
      <w:lvlJc w:val="left"/>
      <w:pPr>
        <w:ind w:left="4320" w:firstLine="2880"/>
      </w:pPr>
      <w:rPr>
        <w:vertAlign w:val="baseline"/>
      </w:rPr>
    </w:lvl>
  </w:abstractNum>
  <w:num w:numId="1">
    <w:abstractNumId w:val="8"/>
  </w:num>
  <w:num w:numId="2">
    <w:abstractNumId w:val="15"/>
  </w:num>
  <w:num w:numId="3">
    <w:abstractNumId w:val="7"/>
  </w:num>
  <w:num w:numId="4">
    <w:abstractNumId w:val="14"/>
  </w:num>
  <w:num w:numId="5">
    <w:abstractNumId w:val="13"/>
  </w:num>
  <w:num w:numId="6">
    <w:abstractNumId w:val="3"/>
  </w:num>
  <w:num w:numId="7">
    <w:abstractNumId w:val="11"/>
  </w:num>
  <w:num w:numId="8">
    <w:abstractNumId w:val="4"/>
  </w:num>
  <w:num w:numId="9">
    <w:abstractNumId w:val="0"/>
  </w:num>
  <w:num w:numId="10">
    <w:abstractNumId w:val="12"/>
  </w:num>
  <w:num w:numId="11">
    <w:abstractNumId w:val="2"/>
  </w:num>
  <w:num w:numId="12">
    <w:abstractNumId w:val="10"/>
  </w:num>
  <w:num w:numId="13">
    <w:abstractNumId w:val="6"/>
  </w:num>
  <w:num w:numId="14">
    <w:abstractNumId w:val="1"/>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67"/>
    <w:rsid w:val="00005E04"/>
    <w:rsid w:val="0002362A"/>
    <w:rsid w:val="00195F0A"/>
    <w:rsid w:val="001A05FA"/>
    <w:rsid w:val="001A5DA7"/>
    <w:rsid w:val="001B6EE7"/>
    <w:rsid w:val="001C005C"/>
    <w:rsid w:val="001C5429"/>
    <w:rsid w:val="001C7540"/>
    <w:rsid w:val="001D0974"/>
    <w:rsid w:val="0028300F"/>
    <w:rsid w:val="00307A65"/>
    <w:rsid w:val="00314339"/>
    <w:rsid w:val="003276E2"/>
    <w:rsid w:val="003B6431"/>
    <w:rsid w:val="003E5996"/>
    <w:rsid w:val="003F31B8"/>
    <w:rsid w:val="00423B1D"/>
    <w:rsid w:val="00426242"/>
    <w:rsid w:val="0049348E"/>
    <w:rsid w:val="00493D87"/>
    <w:rsid w:val="004F050D"/>
    <w:rsid w:val="005103D1"/>
    <w:rsid w:val="00517797"/>
    <w:rsid w:val="0052332E"/>
    <w:rsid w:val="00526424"/>
    <w:rsid w:val="00585296"/>
    <w:rsid w:val="006C642A"/>
    <w:rsid w:val="006D3970"/>
    <w:rsid w:val="00877898"/>
    <w:rsid w:val="008970F8"/>
    <w:rsid w:val="008A08CF"/>
    <w:rsid w:val="009408AA"/>
    <w:rsid w:val="00956C2C"/>
    <w:rsid w:val="00981236"/>
    <w:rsid w:val="009E0C5F"/>
    <w:rsid w:val="00A42C92"/>
    <w:rsid w:val="00A6473F"/>
    <w:rsid w:val="00AA2C90"/>
    <w:rsid w:val="00B45B61"/>
    <w:rsid w:val="00B4680E"/>
    <w:rsid w:val="00B93423"/>
    <w:rsid w:val="00C23492"/>
    <w:rsid w:val="00C7399C"/>
    <w:rsid w:val="00C760CE"/>
    <w:rsid w:val="00D40001"/>
    <w:rsid w:val="00D47EE0"/>
    <w:rsid w:val="00DA0022"/>
    <w:rsid w:val="00DE6E45"/>
    <w:rsid w:val="00E71D7E"/>
    <w:rsid w:val="00EA41F5"/>
    <w:rsid w:val="00EA6F49"/>
    <w:rsid w:val="00EF6D20"/>
    <w:rsid w:val="00F23E67"/>
    <w:rsid w:val="00F769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62FBD717-47AC-46E0-B4F0-623DF241E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GB" w:eastAsia="en-GB" w:bidi="ar-SA"/>
      </w:rPr>
    </w:rPrDefault>
    <w:pPrDefault>
      <w:pPr>
        <w:ind w:lef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outlineLvl w:val="1"/>
    </w:pPr>
    <w:rPr>
      <w:sz w:val="72"/>
      <w:szCs w:val="72"/>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outlineLvl w:val="3"/>
    </w:pPr>
    <w:rPr>
      <w:sz w:val="48"/>
      <w:szCs w:val="48"/>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143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339"/>
    <w:rPr>
      <w:rFonts w:ascii="Segoe UI" w:hAnsi="Segoe UI" w:cs="Segoe UI"/>
      <w:sz w:val="18"/>
      <w:szCs w:val="18"/>
    </w:rPr>
  </w:style>
  <w:style w:type="paragraph" w:styleId="Revision">
    <w:name w:val="Revision"/>
    <w:hidden/>
    <w:uiPriority w:val="99"/>
    <w:semiHidden/>
    <w:rsid w:val="00314339"/>
    <w:pPr>
      <w:ind w:left="0"/>
    </w:pPr>
  </w:style>
  <w:style w:type="paragraph" w:styleId="CommentSubject">
    <w:name w:val="annotation subject"/>
    <w:basedOn w:val="CommentText"/>
    <w:next w:val="CommentText"/>
    <w:link w:val="CommentSubjectChar"/>
    <w:uiPriority w:val="99"/>
    <w:semiHidden/>
    <w:unhideWhenUsed/>
    <w:rsid w:val="0028300F"/>
    <w:rPr>
      <w:b/>
      <w:bCs/>
    </w:rPr>
  </w:style>
  <w:style w:type="character" w:customStyle="1" w:styleId="CommentSubjectChar">
    <w:name w:val="Comment Subject Char"/>
    <w:basedOn w:val="CommentTextChar"/>
    <w:link w:val="CommentSubject"/>
    <w:uiPriority w:val="99"/>
    <w:semiHidden/>
    <w:rsid w:val="0028300F"/>
    <w:rPr>
      <w:b/>
      <w:bCs/>
      <w:sz w:val="20"/>
      <w:szCs w:val="20"/>
    </w:rPr>
  </w:style>
  <w:style w:type="paragraph" w:styleId="ListParagraph">
    <w:name w:val="List Paragraph"/>
    <w:basedOn w:val="Normal"/>
    <w:uiPriority w:val="34"/>
    <w:qFormat/>
    <w:rsid w:val="00423B1D"/>
    <w:pPr>
      <w:ind w:left="720"/>
      <w:contextualSpacing/>
    </w:pPr>
  </w:style>
  <w:style w:type="character" w:styleId="Hyperlink">
    <w:name w:val="Hyperlink"/>
    <w:basedOn w:val="DefaultParagraphFont"/>
    <w:uiPriority w:val="99"/>
    <w:unhideWhenUsed/>
    <w:rsid w:val="00423B1D"/>
    <w:rPr>
      <w:color w:val="0563C1" w:themeColor="hyperlink"/>
      <w:u w:val="single"/>
    </w:rPr>
  </w:style>
  <w:style w:type="paragraph" w:styleId="Header">
    <w:name w:val="header"/>
    <w:basedOn w:val="Normal"/>
    <w:link w:val="HeaderChar"/>
    <w:uiPriority w:val="99"/>
    <w:unhideWhenUsed/>
    <w:rsid w:val="0052332E"/>
    <w:pPr>
      <w:tabs>
        <w:tab w:val="center" w:pos="4513"/>
        <w:tab w:val="right" w:pos="9026"/>
      </w:tabs>
    </w:pPr>
  </w:style>
  <w:style w:type="character" w:customStyle="1" w:styleId="HeaderChar">
    <w:name w:val="Header Char"/>
    <w:basedOn w:val="DefaultParagraphFont"/>
    <w:link w:val="Header"/>
    <w:uiPriority w:val="99"/>
    <w:rsid w:val="0052332E"/>
  </w:style>
  <w:style w:type="paragraph" w:styleId="Footer">
    <w:name w:val="footer"/>
    <w:basedOn w:val="Normal"/>
    <w:link w:val="FooterChar"/>
    <w:uiPriority w:val="99"/>
    <w:unhideWhenUsed/>
    <w:rsid w:val="0052332E"/>
    <w:pPr>
      <w:tabs>
        <w:tab w:val="center" w:pos="4513"/>
        <w:tab w:val="right" w:pos="9026"/>
      </w:tabs>
    </w:pPr>
  </w:style>
  <w:style w:type="character" w:customStyle="1" w:styleId="FooterChar">
    <w:name w:val="Footer Char"/>
    <w:basedOn w:val="DefaultParagraphFont"/>
    <w:link w:val="Footer"/>
    <w:uiPriority w:val="99"/>
    <w:rsid w:val="00523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gov.uk/government/collections/making-tax-digital-consult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making-tax-digita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h"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collections/making-tax-digital-consult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AF48C-AE55-43D2-852C-A5A793239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3756</Words>
  <Characters>21415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HM Revenue and Customs</Company>
  <LinksUpToDate>false</LinksUpToDate>
  <CharactersWithSpaces>25121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Harlow, Paula (Central Customer)</dc:creator>
  <cp:lastModifiedBy>7237052</cp:lastModifiedBy>
  <cp:revision>2</cp:revision>
  <cp:lastPrinted>2016-11-24T15:42:00Z</cp:lastPrinted>
  <dcterms:created xsi:type="dcterms:W3CDTF">2017-02-10T15:17:00Z</dcterms:created>
  <dcterms:modified xsi:type="dcterms:W3CDTF">2017-02-10T15:17:00Z</dcterms:modified>
</cp:coreProperties>
</file>