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207B7C55" w:rsidR="00CC6C24" w:rsidRPr="00CB4E81" w:rsidRDefault="00C56C1C" w:rsidP="00B23ABE">
            <w:pPr>
              <w:spacing w:before="120" w:line="240" w:lineRule="auto"/>
              <w:jc w:val="both"/>
              <w:rPr>
                <w:rFonts w:cs="Arial"/>
                <w:b/>
                <w:sz w:val="24"/>
                <w:szCs w:val="24"/>
              </w:rPr>
            </w:pPr>
            <w:r w:rsidRPr="00C56C1C">
              <w:rPr>
                <w:rFonts w:cs="Arial"/>
                <w:b/>
                <w:sz w:val="24"/>
                <w:szCs w:val="24"/>
              </w:rPr>
              <w:t>Effective once all parties have signed.</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6AEAD145" w:rsidR="002D7417" w:rsidRPr="00962602" w:rsidRDefault="00C56C1C" w:rsidP="00CC6C24">
            <w:pPr>
              <w:spacing w:before="120" w:line="240" w:lineRule="auto"/>
              <w:jc w:val="both"/>
              <w:rPr>
                <w:rFonts w:cs="Arial"/>
                <w:b/>
                <w:sz w:val="24"/>
                <w:szCs w:val="24"/>
              </w:rPr>
            </w:pPr>
            <w:r w:rsidRPr="00C56C1C">
              <w:rPr>
                <w:rFonts w:cs="Arial"/>
                <w:b/>
                <w:sz w:val="24"/>
                <w:szCs w:val="24"/>
              </w:rPr>
              <w:t>30</w:t>
            </w:r>
            <w:r>
              <w:rPr>
                <w:rFonts w:cs="Arial"/>
                <w:b/>
                <w:sz w:val="24"/>
                <w:szCs w:val="24"/>
              </w:rPr>
              <w:t xml:space="preserve"> September </w:t>
            </w:r>
            <w:r w:rsidRPr="00C56C1C">
              <w:rPr>
                <w:rFonts w:cs="Arial"/>
                <w:b/>
                <w:sz w:val="24"/>
                <w:szCs w:val="24"/>
              </w:rPr>
              <w:t>202</w:t>
            </w:r>
            <w:r>
              <w:rPr>
                <w:rFonts w:cs="Arial"/>
                <w:b/>
                <w:sz w:val="24"/>
                <w:szCs w:val="24"/>
              </w:rPr>
              <w:t xml:space="preserve">7 </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2D4278C9" w:rsidR="002D7417" w:rsidRPr="00B23ABE" w:rsidRDefault="002D7417" w:rsidP="00CC6C24">
            <w:pPr>
              <w:spacing w:before="120" w:line="240" w:lineRule="auto"/>
              <w:jc w:val="both"/>
              <w:rPr>
                <w:rFonts w:cs="Arial"/>
                <w:b/>
                <w:iCs/>
                <w:sz w:val="24"/>
                <w:szCs w:val="24"/>
              </w:rPr>
            </w:pPr>
            <w:r w:rsidRPr="00B23ABE">
              <w:rPr>
                <w:rFonts w:cs="Arial"/>
                <w:b/>
                <w:iCs/>
                <w:sz w:val="24"/>
                <w:szCs w:val="24"/>
              </w:rPr>
              <w:t>Period(s) of up to a total of 24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3BFAFA78" w:rsidR="00CC6C24" w:rsidRPr="00CB4E81" w:rsidRDefault="0031763A" w:rsidP="00CC6C24">
            <w:pPr>
              <w:spacing w:before="120" w:line="240" w:lineRule="auto"/>
              <w:rPr>
                <w:rFonts w:cs="Arial"/>
                <w:sz w:val="24"/>
                <w:szCs w:val="24"/>
                <w:highlight w:val="yellow"/>
              </w:rPr>
            </w:pPr>
            <w:r w:rsidRPr="0031763A">
              <w:rPr>
                <w:rFonts w:cs="Arial"/>
                <w:b/>
                <w:sz w:val="24"/>
                <w:szCs w:val="24"/>
              </w:rPr>
              <w:t>NHS National Framework for Transition products</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0F2442D1" w:rsidR="00CC6C24" w:rsidRPr="00CB4E81" w:rsidRDefault="008239E1" w:rsidP="00CC6C24">
            <w:pPr>
              <w:spacing w:before="120" w:line="240" w:lineRule="auto"/>
              <w:rPr>
                <w:rFonts w:cs="Arial"/>
                <w:b/>
                <w:sz w:val="24"/>
                <w:szCs w:val="24"/>
                <w:highlight w:val="cyan"/>
              </w:rPr>
            </w:pPr>
            <w:r w:rsidRPr="008239E1">
              <w:rPr>
                <w:rFonts w:cs="Arial"/>
                <w:b/>
                <w:sz w:val="24"/>
                <w:szCs w:val="24"/>
              </w:rPr>
              <w:t>CM/TNS/05/2024</w:t>
            </w:r>
          </w:p>
        </w:tc>
      </w:tr>
    </w:tbl>
    <w:p w14:paraId="54CDDFCA" w14:textId="77777777" w:rsidR="00CC6C24" w:rsidRPr="00CD0E75" w:rsidRDefault="00CC6C24" w:rsidP="00CC6C24">
      <w:pPr>
        <w:spacing w:before="120" w:line="240" w:lineRule="auto"/>
        <w:rPr>
          <w:sz w:val="24"/>
        </w:rPr>
      </w:pPr>
    </w:p>
    <w:p w14:paraId="790F3C12" w14:textId="6CE81928" w:rsidR="00CC6C24" w:rsidRPr="00C56C1C" w:rsidRDefault="00CC6C24" w:rsidP="00CC6C24">
      <w:pPr>
        <w:spacing w:before="240" w:line="240" w:lineRule="auto"/>
        <w:jc w:val="both"/>
        <w:rPr>
          <w:rFonts w:cs="Arial"/>
          <w:sz w:val="24"/>
          <w:szCs w:val="24"/>
        </w:rPr>
      </w:pPr>
      <w:r w:rsidRPr="00CB4E81">
        <w:rPr>
          <w:rFonts w:cs="Arial"/>
          <w:sz w:val="24"/>
          <w:szCs w:val="24"/>
        </w:rPr>
        <w:t xml:space="preserve">The Authority placed a contract </w:t>
      </w:r>
      <w:r w:rsidRPr="00C56C1C">
        <w:rPr>
          <w:rFonts w:cs="Arial"/>
          <w:sz w:val="24"/>
          <w:szCs w:val="24"/>
        </w:rPr>
        <w:t xml:space="preserve">notice </w:t>
      </w:r>
      <w:r w:rsidR="00C56C1C" w:rsidRPr="00C56C1C">
        <w:rPr>
          <w:rFonts w:cs="Arial"/>
          <w:b/>
          <w:bCs/>
          <w:iCs/>
          <w:sz w:val="24"/>
          <w:szCs w:val="24"/>
        </w:rPr>
        <w:t>2024/S 000-005193</w:t>
      </w:r>
      <w:r w:rsidRPr="00C56C1C">
        <w:rPr>
          <w:rFonts w:cs="Arial"/>
          <w:sz w:val="24"/>
          <w:szCs w:val="24"/>
        </w:rPr>
        <w:t xml:space="preserve"> on </w:t>
      </w:r>
      <w:r w:rsidR="00C56C1C" w:rsidRPr="00C56C1C">
        <w:rPr>
          <w:rFonts w:cs="Arial"/>
          <w:b/>
          <w:bCs/>
          <w:sz w:val="24"/>
          <w:szCs w:val="24"/>
        </w:rPr>
        <w:t>16 February 2024</w:t>
      </w:r>
      <w:r w:rsidR="00C56C1C" w:rsidRPr="00C56C1C">
        <w:rPr>
          <w:rFonts w:cs="Arial"/>
          <w:sz w:val="24"/>
          <w:szCs w:val="24"/>
        </w:rPr>
        <w:t xml:space="preserve"> </w:t>
      </w:r>
      <w:r w:rsidRPr="00C56C1C">
        <w:rPr>
          <w:rFonts w:cs="Arial"/>
          <w:sz w:val="24"/>
          <w:szCs w:val="24"/>
        </w:rPr>
        <w:t xml:space="preserve">in the </w:t>
      </w:r>
      <w:r w:rsidR="003D62B4" w:rsidRPr="00C56C1C">
        <w:rPr>
          <w:rFonts w:cs="Arial"/>
          <w:sz w:val="24"/>
          <w:szCs w:val="24"/>
        </w:rPr>
        <w:t xml:space="preserve">Find a Tender (FTS) Portal </w:t>
      </w:r>
      <w:r w:rsidRPr="00C56C1C">
        <w:rPr>
          <w:rFonts w:cs="Arial"/>
          <w:sz w:val="24"/>
          <w:szCs w:val="24"/>
        </w:rPr>
        <w:t xml:space="preserve">inviting potential service providers (including the Supplier) to tender for the provision of </w:t>
      </w:r>
      <w:r w:rsidR="0031763A" w:rsidRPr="00C56C1C">
        <w:rPr>
          <w:rFonts w:cs="Arial"/>
          <w:sz w:val="24"/>
          <w:szCs w:val="24"/>
        </w:rPr>
        <w:t xml:space="preserve">NHS National Framework for Transition products </w:t>
      </w:r>
      <w:r w:rsidRPr="00C56C1C">
        <w:rPr>
          <w:rFonts w:cs="Arial"/>
          <w:sz w:val="24"/>
          <w:szCs w:val="24"/>
        </w:rPr>
        <w:t>(divided into Lots)</w:t>
      </w:r>
      <w:r w:rsidR="009708CE" w:rsidRPr="00C56C1C">
        <w:rPr>
          <w:rFonts w:cs="Arial"/>
          <w:sz w:val="24"/>
          <w:szCs w:val="24"/>
        </w:rPr>
        <w:t xml:space="preserve"> </w:t>
      </w:r>
      <w:r w:rsidRPr="00C56C1C">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r w:rsidRPr="00C56C1C">
        <w:rPr>
          <w:rFonts w:cs="Arial"/>
          <w:sz w:val="24"/>
          <w:szCs w:val="24"/>
        </w:rPr>
        <w:t>On the basis of the Supplier's Offer, the Authority selected the</w:t>
      </w:r>
      <w:r w:rsidRPr="0031763A">
        <w:rPr>
          <w:rFonts w:cs="Arial"/>
          <w:sz w:val="24"/>
          <w:szCs w:val="24"/>
        </w:rPr>
        <w:t xml:space="preserv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062FC9">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41F1E">
        <w:rPr>
          <w:rFonts w:cs="Arial"/>
          <w:b/>
          <w:iCs/>
          <w:sz w:val="24"/>
          <w:lang w:val="en-US"/>
        </w:rPr>
        <w:t xml:space="preserve">Barbara Sly </w:t>
      </w:r>
    </w:p>
    <w:p w14:paraId="52FCE381" w14:textId="4FBC5AAE" w:rsidR="00CC6C24" w:rsidRPr="00041F1E" w:rsidRDefault="00041F1E" w:rsidP="00E2626B">
      <w:pPr>
        <w:pStyle w:val="MRNumberedHeading2"/>
        <w:numPr>
          <w:ilvl w:val="0"/>
          <w:numId w:val="0"/>
        </w:numPr>
        <w:spacing w:line="240" w:lineRule="auto"/>
        <w:ind w:left="984" w:firstLine="810"/>
        <w:jc w:val="both"/>
        <w:rPr>
          <w:rFonts w:cs="Arial"/>
          <w:iCs/>
          <w:sz w:val="24"/>
          <w:lang w:val="en-US"/>
        </w:rPr>
      </w:pPr>
      <w:r w:rsidRPr="00041F1E">
        <w:rPr>
          <w:rFonts w:cs="Arial"/>
          <w:b/>
          <w:iCs/>
          <w:sz w:val="24"/>
          <w:lang w:val="en-US"/>
        </w:rPr>
        <w:t>Senior Medicines Operations Lead</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 xml:space="preserve">Names and addresses for </w:t>
      </w:r>
      <w:proofErr w:type="gramStart"/>
      <w:r w:rsidRPr="00CD0E75">
        <w:rPr>
          <w:rFonts w:ascii="Arial" w:hAnsi="Arial"/>
          <w:b/>
          <w:color w:val="auto"/>
          <w:sz w:val="24"/>
          <w:lang w:val="en-US"/>
        </w:rPr>
        <w:t>notices</w:t>
      </w:r>
      <w:proofErr w:type="gramEnd"/>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41F1E" w:rsidRDefault="00041F1E" w:rsidP="00041F1E">
      <w:pPr>
        <w:pStyle w:val="MRNumberedHeading2"/>
        <w:numPr>
          <w:ilvl w:val="0"/>
          <w:numId w:val="0"/>
        </w:numPr>
        <w:spacing w:line="240" w:lineRule="auto"/>
        <w:ind w:left="1794"/>
        <w:jc w:val="both"/>
        <w:rPr>
          <w:rFonts w:cs="Arial"/>
          <w:b/>
          <w:sz w:val="24"/>
          <w:lang w:val="en-US"/>
        </w:rPr>
      </w:pPr>
      <w:r w:rsidRPr="00041F1E">
        <w:rPr>
          <w:rFonts w:cs="Arial"/>
          <w:b/>
          <w:sz w:val="24"/>
          <w:lang w:val="en-US"/>
        </w:rPr>
        <w:t xml:space="preserve">Barbara Sly </w:t>
      </w:r>
    </w:p>
    <w:p w14:paraId="46080BA6" w14:textId="77777777" w:rsidR="00041F1E" w:rsidRDefault="00041F1E" w:rsidP="00041F1E">
      <w:pPr>
        <w:pStyle w:val="MRNumberedHeading2"/>
        <w:numPr>
          <w:ilvl w:val="0"/>
          <w:numId w:val="0"/>
        </w:numPr>
        <w:spacing w:line="240" w:lineRule="auto"/>
        <w:ind w:left="984" w:firstLine="810"/>
        <w:jc w:val="both"/>
        <w:rPr>
          <w:rFonts w:cs="Arial"/>
          <w:b/>
          <w:sz w:val="24"/>
          <w:lang w:val="en-US"/>
        </w:rPr>
      </w:pPr>
      <w:r w:rsidRPr="00041F1E">
        <w:rPr>
          <w:rFonts w:cs="Arial"/>
          <w:b/>
          <w:sz w:val="24"/>
          <w:lang w:val="en-US"/>
        </w:rPr>
        <w:t>Senior Medicines Operations Lead</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A72945" w:rsidRDefault="002919C7" w:rsidP="00025B10">
      <w:pPr>
        <w:pStyle w:val="MRNumberedHeading2"/>
        <w:numPr>
          <w:ilvl w:val="0"/>
          <w:numId w:val="0"/>
        </w:numPr>
        <w:ind w:left="720"/>
        <w:jc w:val="both"/>
        <w:rPr>
          <w:rFonts w:cs="Arial"/>
          <w:b/>
          <w:sz w:val="24"/>
        </w:rPr>
      </w:pPr>
      <w:bookmarkStart w:id="30" w:name="_Ref92991291"/>
      <w:r w:rsidRPr="00A72945">
        <w:rPr>
          <w:rFonts w:cs="Arial"/>
          <w:b/>
          <w:bCs/>
          <w:sz w:val="24"/>
          <w:u w:val="single"/>
        </w:rPr>
        <w:t>Net zero and social value in the delivery of the contract</w:t>
      </w:r>
      <w:r w:rsidR="00305983" w:rsidRPr="00A72945">
        <w:rPr>
          <w:rFonts w:cs="Arial"/>
          <w:b/>
          <w:bCs/>
          <w:sz w:val="24"/>
          <w:u w:val="single"/>
        </w:rPr>
        <w:t xml:space="preserve"> </w:t>
      </w:r>
      <w:r w:rsidR="0056354A" w:rsidRPr="00A72945">
        <w:rPr>
          <w:rFonts w:cs="Arial"/>
          <w:b/>
          <w:bCs/>
          <w:sz w:val="24"/>
          <w:u w:val="single"/>
        </w:rPr>
        <w:t xml:space="preserve"> </w:t>
      </w:r>
      <w:r w:rsidR="0056354A" w:rsidRPr="00A72945">
        <w:rPr>
          <w:rFonts w:cs="Arial"/>
          <w:b/>
          <w:sz w:val="24"/>
          <w:lang w:val="en-US"/>
        </w:rPr>
        <w:fldChar w:fldCharType="begin">
          <w:ffData>
            <w:name w:val="Check1"/>
            <w:enabled/>
            <w:calcOnExit w:val="0"/>
            <w:checkBox>
              <w:sizeAuto/>
              <w:default w:val="0"/>
            </w:checkBox>
          </w:ffData>
        </w:fldChar>
      </w:r>
      <w:r w:rsidR="0056354A" w:rsidRPr="00A7294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A72945">
        <w:rPr>
          <w:rFonts w:cs="Arial"/>
          <w:b/>
          <w:sz w:val="24"/>
          <w:lang w:val="en-US"/>
        </w:rPr>
        <w:fldChar w:fldCharType="end"/>
      </w:r>
      <w:r w:rsidR="0056354A" w:rsidRPr="00A72945">
        <w:rPr>
          <w:rFonts w:cs="Arial"/>
          <w:b/>
          <w:sz w:val="24"/>
          <w:lang w:val="en-US"/>
        </w:rPr>
        <w:t xml:space="preserve"> </w:t>
      </w:r>
      <w:r w:rsidR="00305983" w:rsidRPr="00A72945">
        <w:rPr>
          <w:rFonts w:cs="Arial"/>
          <w:b/>
          <w:sz w:val="24"/>
          <w:lang w:val="en-US"/>
        </w:rPr>
        <w:t>(clause 8.</w:t>
      </w:r>
      <w:r w:rsidR="00EE1783" w:rsidRPr="00A72945">
        <w:rPr>
          <w:rFonts w:cs="Arial"/>
          <w:b/>
          <w:sz w:val="24"/>
          <w:lang w:val="en-US"/>
        </w:rPr>
        <w:t>7</w:t>
      </w:r>
      <w:r w:rsidR="00305983" w:rsidRPr="00A72945">
        <w:rPr>
          <w:rFonts w:cs="Arial"/>
          <w:b/>
          <w:sz w:val="24"/>
          <w:lang w:val="en-US"/>
        </w:rPr>
        <w:t xml:space="preserve"> to 8.</w:t>
      </w:r>
      <w:r w:rsidR="00EE1783" w:rsidRPr="00A72945">
        <w:rPr>
          <w:rFonts w:cs="Arial"/>
          <w:b/>
          <w:sz w:val="24"/>
          <w:lang w:val="en-US"/>
        </w:rPr>
        <w:t>9</w:t>
      </w:r>
      <w:r w:rsidR="00305983" w:rsidRPr="00A72945">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A72945">
        <w:rPr>
          <w:rFonts w:cs="Arial"/>
          <w:sz w:val="24"/>
        </w:rPr>
        <w:t xml:space="preserve">The Supplier shall deliver its net </w:t>
      </w:r>
      <w:r w:rsidRPr="00025B10">
        <w:rPr>
          <w:rFonts w:cs="Arial"/>
          <w:sz w:val="24"/>
        </w:rPr>
        <w:t>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1E90E119"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 xml:space="preserve">ty as required by the procurement process followed by the Authority. </w:t>
      </w:r>
      <w:r w:rsidRPr="00E2626B">
        <w:rPr>
          <w:rFonts w:cs="Arial"/>
          <w:sz w:val="24"/>
          <w:lang w:val="en-US"/>
        </w:rPr>
        <w:lastRenderedPageBreak/>
        <w:t>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650B27DF"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w:t>
      </w:r>
      <w:r w:rsidRPr="00F128E0">
        <w:rPr>
          <w:rFonts w:cs="Arial"/>
          <w:sz w:val="24"/>
          <w:lang w:val="en-US"/>
        </w:rPr>
        <w:t xml:space="preserve">part (in relation to any particular Good(s) by giving to the Supplier not less than </w:t>
      </w:r>
      <w:r w:rsidR="002C2656">
        <w:rPr>
          <w:rFonts w:cs="Arial"/>
          <w:sz w:val="24"/>
          <w:lang w:val="en-US"/>
        </w:rPr>
        <w:t xml:space="preserve">four </w:t>
      </w:r>
      <w:r w:rsidRPr="00F128E0">
        <w:rPr>
          <w:rFonts w:cs="Arial"/>
          <w:sz w:val="24"/>
          <w:lang w:val="en-US"/>
        </w:rPr>
        <w:t>(</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F128E0">
        <w:rPr>
          <w:rFonts w:ascii="Arial" w:hAnsi="Arial" w:cs="Arial"/>
          <w:b/>
          <w:color w:val="auto"/>
          <w:sz w:val="24"/>
          <w:szCs w:val="24"/>
          <w:lang w:val="en-US"/>
        </w:rPr>
        <w:t>Mobilisation</w:t>
      </w:r>
      <w:proofErr w:type="spellEnd"/>
      <w:r w:rsidRPr="00F128E0">
        <w:rPr>
          <w:rFonts w:ascii="Arial" w:hAnsi="Arial" w:cs="Arial"/>
          <w:b/>
          <w:color w:val="auto"/>
          <w:sz w:val="24"/>
          <w:szCs w:val="24"/>
          <w:lang w:val="en-US"/>
        </w:rPr>
        <w:t xml:space="preserve">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w:t>
      </w:r>
      <w:proofErr w:type="spellStart"/>
      <w:r w:rsidRPr="00F128E0">
        <w:rPr>
          <w:sz w:val="24"/>
          <w:szCs w:val="24"/>
          <w:lang w:val="en-US"/>
        </w:rPr>
        <w:t>Mobilisation</w:t>
      </w:r>
      <w:proofErr w:type="spellEnd"/>
      <w:r w:rsidRPr="00F128E0">
        <w:rPr>
          <w:sz w:val="24"/>
          <w:szCs w:val="24"/>
          <w:lang w:val="en-US"/>
        </w:rPr>
        <w:t xml:space="preserve"> Plan no later than [20] </w:t>
      </w:r>
      <w:r w:rsidR="00514563" w:rsidRPr="00F128E0">
        <w:rPr>
          <w:sz w:val="24"/>
          <w:szCs w:val="24"/>
          <w:lang w:val="en-US"/>
        </w:rPr>
        <w:t>Business</w:t>
      </w:r>
      <w:r w:rsidRPr="00F128E0">
        <w:rPr>
          <w:sz w:val="24"/>
          <w:szCs w:val="24"/>
          <w:lang w:val="en-US"/>
        </w:rPr>
        <w:t xml:space="preserve"> Days after the date on which the draft </w:t>
      </w:r>
      <w:proofErr w:type="spellStart"/>
      <w:r w:rsidRPr="00F128E0">
        <w:rPr>
          <w:sz w:val="24"/>
          <w:szCs w:val="24"/>
          <w:lang w:val="en-US"/>
        </w:rPr>
        <w:t>Mobilisation</w:t>
      </w:r>
      <w:proofErr w:type="spellEnd"/>
      <w:r w:rsidRPr="00F128E0">
        <w:rPr>
          <w:sz w:val="24"/>
          <w:szCs w:val="24"/>
          <w:lang w:val="en-US"/>
        </w:rPr>
        <w:t xml:space="preserve"> Plan is first delivered to the </w:t>
      </w:r>
      <w:proofErr w:type="gramStart"/>
      <w:r w:rsidRPr="00F128E0">
        <w:rPr>
          <w:sz w:val="24"/>
          <w:szCs w:val="24"/>
          <w:lang w:val="en-US"/>
        </w:rPr>
        <w:t>Authority</w:t>
      </w:r>
      <w:r w:rsidR="00514563" w:rsidRPr="00F128E0">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lastRenderedPageBreak/>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3DFBA9BD"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8331E9">
        <w:rPr>
          <w:rFonts w:cs="Arial"/>
          <w:b/>
          <w:sz w:val="24"/>
          <w:lang w:val="en-US"/>
        </w:rPr>
        <w:fldChar w:fldCharType="begin">
          <w:ffData>
            <w:name w:val=""/>
            <w:enabled/>
            <w:calcOnExit w:val="0"/>
            <w:checkBox>
              <w:sizeAuto/>
              <w:default w:val="1"/>
            </w:checkBox>
          </w:ffData>
        </w:fldChar>
      </w:r>
      <w:r w:rsidR="008331E9">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331E9">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w:t>
      </w:r>
      <w:proofErr w:type="spellStart"/>
      <w:r w:rsidRPr="008331E9">
        <w:rPr>
          <w:rFonts w:cs="Arial"/>
          <w:sz w:val="24"/>
          <w:lang w:val="en-US"/>
        </w:rPr>
        <w:t>authorisation</w:t>
      </w:r>
      <w:proofErr w:type="spellEnd"/>
      <w:r w:rsidRPr="008331E9">
        <w:rPr>
          <w:rFonts w:cs="Arial"/>
          <w:sz w:val="24"/>
          <w:lang w:val="en-US"/>
        </w:rPr>
        <w:t>(s)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F9A4A5C"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8331E9">
        <w:rPr>
          <w:rFonts w:cs="Arial"/>
          <w:b/>
          <w:sz w:val="24"/>
          <w:lang w:val="en-US"/>
        </w:rPr>
        <w:fldChar w:fldCharType="begin">
          <w:ffData>
            <w:name w:val=""/>
            <w:enabled/>
            <w:calcOnExit w:val="0"/>
            <w:checkBox>
              <w:sizeAuto/>
              <w:default w:val="1"/>
            </w:checkBox>
          </w:ffData>
        </w:fldChar>
      </w:r>
      <w:r w:rsidR="008331E9">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331E9">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182F46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 xml:space="preserve">Document No. 4a Contract Technical Specification for Licensed Medicines and Document No. 7b “Guidance for performing a pharmaceutical quality assessment of licensed medicines for </w:t>
      </w:r>
      <w:r w:rsidR="003B059C" w:rsidRPr="003B059C">
        <w:rPr>
          <w:rFonts w:cs="Arial"/>
          <w:sz w:val="24"/>
          <w:szCs w:val="24"/>
          <w:lang w:val="en-US"/>
        </w:rPr>
        <w:lastRenderedPageBreak/>
        <w:t xml:space="preserve">the NHS" document published with the </w:t>
      </w:r>
      <w:r w:rsidRPr="00025B10">
        <w:rPr>
          <w:rFonts w:cs="Arial"/>
          <w:sz w:val="24"/>
          <w:szCs w:val="24"/>
          <w:lang w:val="en-US"/>
        </w:rPr>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lastRenderedPageBreak/>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lastRenderedPageBreak/>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77777777"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147738"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147738"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147738" w:rsidRPr="00025B10">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w:t>
            </w:r>
            <w:r w:rsidR="00D733C1" w:rsidRPr="00A760E2">
              <w:rPr>
                <w:rFonts w:cs="Arial"/>
                <w:sz w:val="24"/>
              </w:rPr>
              <w:lastRenderedPageBreak/>
              <w:t xml:space="preserve">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lastRenderedPageBreak/>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 xml:space="preserve">An equivalent of 3 weeks' anticipated stock for that Good for that Supplier Lot based on average sales under this Framework Agreement for the period of 4 weeks </w:t>
            </w:r>
            <w:r w:rsidRPr="001B024C">
              <w:rPr>
                <w:rFonts w:cs="Arial"/>
                <w:sz w:val="24"/>
              </w:rPr>
              <w:lastRenderedPageBreak/>
              <w:t>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lastRenderedPageBreak/>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w:t>
      </w:r>
      <w:proofErr w:type="gramStart"/>
      <w:r w:rsidR="00792022" w:rsidRPr="00EC4678">
        <w:rPr>
          <w:rFonts w:cs="Arial"/>
          <w:sz w:val="24"/>
          <w:lang w:val="en-US"/>
        </w:rPr>
        <w:t>Authority</w:t>
      </w:r>
      <w:r w:rsidR="00B02B34" w:rsidRPr="00EC4678">
        <w:rPr>
          <w:rFonts w:cs="Arial"/>
          <w:sz w:val="24"/>
          <w:lang w:val="en-US"/>
        </w:rPr>
        <w:t>;</w:t>
      </w:r>
      <w:proofErr w:type="gramEnd"/>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proofErr w:type="gramStart"/>
      <w:r w:rsidRPr="00EC4678">
        <w:rPr>
          <w:rFonts w:cs="Arial"/>
          <w:sz w:val="24"/>
          <w:lang w:val="en-US"/>
        </w:rPr>
        <w:t>]</w:t>
      </w:r>
      <w:r w:rsidR="00B02B34" w:rsidRPr="00EC4678">
        <w:rPr>
          <w:rFonts w:cs="Arial"/>
          <w:sz w:val="24"/>
          <w:lang w:val="en-US"/>
        </w:rPr>
        <w:t>;</w:t>
      </w:r>
      <w:proofErr w:type="gramEnd"/>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proofErr w:type="gramStart"/>
      <w:r w:rsidRPr="00EC4678">
        <w:rPr>
          <w:rFonts w:cs="Arial"/>
          <w:sz w:val="24"/>
          <w:lang w:val="en-US"/>
        </w:rPr>
        <w:t>]</w:t>
      </w:r>
      <w:r w:rsidR="00B02B34" w:rsidRPr="00EC4678">
        <w:rPr>
          <w:rFonts w:cs="Arial"/>
          <w:sz w:val="24"/>
          <w:lang w:val="en-US"/>
        </w:rPr>
        <w:t>;</w:t>
      </w:r>
      <w:proofErr w:type="gramEnd"/>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 xml:space="preserve">the Contract Price of the Good in </w:t>
      </w:r>
      <w:proofErr w:type="gramStart"/>
      <w:r w:rsidRPr="00EC4678">
        <w:rPr>
          <w:rFonts w:cs="Arial"/>
          <w:sz w:val="24"/>
          <w:lang w:val="en-US"/>
        </w:rPr>
        <w:t>question</w:t>
      </w:r>
      <w:r w:rsidR="00B02B34" w:rsidRPr="00EC4678">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w:t>
      </w:r>
      <w:r w:rsidRPr="00CD0E75">
        <w:rPr>
          <w:sz w:val="24"/>
          <w:lang w:val="en-US"/>
        </w:rPr>
        <w:lastRenderedPageBreak/>
        <w:t>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lastRenderedPageBreak/>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 xml:space="preserve">means the Consumer Prices Index as published by the Office for </w:t>
      </w:r>
      <w:r w:rsidRPr="00D4756A">
        <w:rPr>
          <w:rFonts w:cs="Arial"/>
          <w:sz w:val="24"/>
          <w:lang w:val="x-none"/>
        </w:rPr>
        <w:lastRenderedPageBreak/>
        <w:t>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lastRenderedPageBreak/>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ACBF86A" w14:textId="79D4E6B0" w:rsidR="00E8097C" w:rsidRDefault="00E8097C"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1A7C3A0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 xml:space="preserve">If there are any quality, performance and/or safety related reports, notices, </w:t>
      </w:r>
      <w:proofErr w:type="gramStart"/>
      <w:r w:rsidRPr="00025B10">
        <w:rPr>
          <w:rFonts w:cs="Arial"/>
          <w:sz w:val="24"/>
          <w:szCs w:val="24"/>
        </w:rPr>
        <w:t>alerts</w:t>
      </w:r>
      <w:proofErr w:type="gramEnd"/>
      <w:r w:rsidRPr="00025B10">
        <w:rPr>
          <w:rFonts w:cs="Arial"/>
          <w:sz w:val="24"/>
          <w:szCs w:val="24"/>
        </w:rPr>
        <w:t xml:space="preserve">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 xml:space="preserve">no undertaking or any form of statement, promise, </w:t>
      </w:r>
      <w:proofErr w:type="gramStart"/>
      <w:r w:rsidRPr="00025B10">
        <w:rPr>
          <w:rFonts w:cs="Arial"/>
          <w:sz w:val="24"/>
        </w:rPr>
        <w:t>representation</w:t>
      </w:r>
      <w:proofErr w:type="gramEnd"/>
      <w:r w:rsidRPr="00025B10">
        <w:rPr>
          <w:rFonts w:cs="Arial"/>
          <w:sz w:val="24"/>
        </w:rPr>
        <w:t xml:space="preserve">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w:t>
      </w:r>
      <w:proofErr w:type="gramStart"/>
      <w:r w:rsidRPr="00025B10">
        <w:rPr>
          <w:rFonts w:cs="Arial"/>
          <w:sz w:val="24"/>
        </w:rPr>
        <w:t>equivalent</w:t>
      </w:r>
      <w:proofErr w:type="gramEnd"/>
      <w:r w:rsidRPr="00025B10">
        <w:rPr>
          <w:rFonts w:cs="Arial"/>
          <w:sz w:val="24"/>
        </w:rPr>
        <w:t xml:space="preserve">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 xml:space="preserve">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 xml:space="preserve">the Goods, any </w:t>
      </w:r>
      <w:proofErr w:type="gramStart"/>
      <w:r w:rsidR="00464DC4" w:rsidRPr="00025B10">
        <w:rPr>
          <w:rFonts w:cs="Arial"/>
          <w:sz w:val="24"/>
          <w:szCs w:val="24"/>
        </w:rPr>
        <w:t>complaints</w:t>
      </w:r>
      <w:proofErr w:type="gramEnd"/>
      <w:r w:rsidR="00464DC4" w:rsidRPr="00025B10">
        <w:rPr>
          <w:rFonts w:cs="Arial"/>
          <w:sz w:val="24"/>
          <w:szCs w:val="24"/>
        </w:rPr>
        <w:t xml:space="preserve">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w:t>
      </w:r>
      <w:proofErr w:type="gramStart"/>
      <w:r w:rsidRPr="00025B10">
        <w:rPr>
          <w:rFonts w:cs="Arial"/>
          <w:w w:val="0"/>
          <w:sz w:val="24"/>
          <w:szCs w:val="24"/>
        </w:rPr>
        <w:t>funding</w:t>
      </w:r>
      <w:proofErr w:type="gramEnd"/>
      <w:r w:rsidRPr="00025B10">
        <w:rPr>
          <w:rFonts w:cs="Arial"/>
          <w:w w:val="0"/>
          <w:sz w:val="24"/>
          <w:szCs w:val="24"/>
        </w:rPr>
        <w:t xml:space="preserve">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w:t>
      </w:r>
      <w:proofErr w:type="gramStart"/>
      <w:r w:rsidRPr="00E2626B">
        <w:rPr>
          <w:rFonts w:cs="Arial"/>
          <w:sz w:val="24"/>
          <w:szCs w:val="24"/>
        </w:rPr>
        <w:t>consents</w:t>
      </w:r>
      <w:proofErr w:type="gramEnd"/>
      <w:r w:rsidRPr="00E2626B">
        <w:rPr>
          <w:rFonts w:cs="Arial"/>
          <w:sz w:val="24"/>
          <w:szCs w:val="24"/>
        </w:rPr>
        <w:t xml:space="preserve">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basis;</w:t>
      </w:r>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w:t>
      </w:r>
      <w:proofErr w:type="gramStart"/>
      <w:r w:rsidRPr="00025B10">
        <w:rPr>
          <w:rFonts w:cs="Arial"/>
          <w:sz w:val="24"/>
          <w:szCs w:val="24"/>
        </w:rPr>
        <w:t>social</w:t>
      </w:r>
      <w:proofErr w:type="gramEnd"/>
      <w:r w:rsidRPr="00025B10">
        <w:rPr>
          <w:rFonts w:cs="Arial"/>
          <w:sz w:val="24"/>
          <w:szCs w:val="24"/>
        </w:rPr>
        <w:t xml:space="preserve">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062FC9">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xml:space="preserve">, updated, </w:t>
            </w:r>
            <w:proofErr w:type="gramStart"/>
            <w:r w:rsidR="00CC5AA3" w:rsidRPr="00025B10">
              <w:rPr>
                <w:rFonts w:cs="Arial"/>
                <w:sz w:val="24"/>
                <w:szCs w:val="24"/>
              </w:rPr>
              <w:t>replaced</w:t>
            </w:r>
            <w:proofErr w:type="gramEnd"/>
            <w:r w:rsidR="00CC5AA3" w:rsidRPr="00025B10">
              <w:rPr>
                <w:rFonts w:cs="Arial"/>
                <w:sz w:val="24"/>
                <w:szCs w:val="24"/>
              </w:rPr>
              <w:t xml:space="preserve">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w:t>
            </w:r>
            <w:proofErr w:type="gramStart"/>
            <w:r w:rsidRPr="00025B10">
              <w:rPr>
                <w:rFonts w:ascii="Arial" w:hAnsi="Arial"/>
                <w:sz w:val="24"/>
                <w:szCs w:val="24"/>
              </w:rPr>
              <w:t>storm</w:t>
            </w:r>
            <w:proofErr w:type="gramEnd"/>
            <w:r w:rsidRPr="00025B10">
              <w:rPr>
                <w:rFonts w:ascii="Arial" w:hAnsi="Arial"/>
                <w:sz w:val="24"/>
                <w:szCs w:val="24"/>
              </w:rPr>
              <w:t xml:space="preserve">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w:t>
            </w:r>
            <w:proofErr w:type="gramStart"/>
            <w:r w:rsidRPr="00025B10">
              <w:rPr>
                <w:rFonts w:ascii="Arial" w:hAnsi="Arial"/>
                <w:sz w:val="24"/>
                <w:szCs w:val="24"/>
              </w:rPr>
              <w:t>laws</w:t>
            </w:r>
            <w:proofErr w:type="gramEnd"/>
            <w:r w:rsidRPr="00025B10">
              <w:rPr>
                <w:rFonts w:ascii="Arial" w:hAnsi="Arial"/>
                <w:sz w:val="24"/>
                <w:szCs w:val="24"/>
              </w:rPr>
              <w:t xml:space="preserve">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(g)  compliance with any local law or governmental order, rule, </w:t>
            </w:r>
            <w:proofErr w:type="gramStart"/>
            <w:r w:rsidRPr="00025B10">
              <w:rPr>
                <w:rFonts w:cs="Arial"/>
                <w:sz w:val="24"/>
                <w:szCs w:val="24"/>
              </w:rPr>
              <w:t>regulation</w:t>
            </w:r>
            <w:proofErr w:type="gramEnd"/>
            <w:r w:rsidRPr="00025B10">
              <w:rPr>
                <w:rFonts w:cs="Arial"/>
                <w:sz w:val="24"/>
                <w:szCs w:val="24"/>
              </w:rPr>
              <w:t xml:space="preserve">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75CE2BEB" w14:textId="75EC9384" w:rsidR="00F17169" w:rsidRPr="003F4978" w:rsidRDefault="00F17169" w:rsidP="00F17169">
            <w:pPr>
              <w:spacing w:line="240" w:lineRule="auto"/>
              <w:ind w:left="360"/>
              <w:jc w:val="both"/>
              <w:rPr>
                <w:rFonts w:cs="Arial"/>
                <w:sz w:val="24"/>
              </w:rPr>
            </w:pPr>
            <w:bookmarkStart w:id="891" w:name="_Hlk160627511"/>
            <w:r w:rsidRPr="003F4978">
              <w:rPr>
                <w:rFonts w:cs="Arial"/>
                <w:sz w:val="24"/>
              </w:rPr>
              <w:t>Document No. 01 Invitation to Offer Letter</w:t>
            </w:r>
          </w:p>
          <w:p w14:paraId="0177BCCD" w14:textId="77777777" w:rsidR="00F17169" w:rsidRPr="003F4978" w:rsidRDefault="00F17169" w:rsidP="00F17169">
            <w:pPr>
              <w:spacing w:line="240" w:lineRule="auto"/>
              <w:ind w:left="360"/>
              <w:jc w:val="both"/>
              <w:rPr>
                <w:rFonts w:cs="Arial"/>
                <w:sz w:val="24"/>
              </w:rPr>
            </w:pPr>
            <w:r w:rsidRPr="003F4978">
              <w:rPr>
                <w:rFonts w:cs="Arial"/>
                <w:sz w:val="24"/>
              </w:rPr>
              <w:t>Document No. 02 Terms of offer</w:t>
            </w:r>
          </w:p>
          <w:p w14:paraId="6992C3A3" w14:textId="77777777" w:rsidR="00F17169" w:rsidRPr="003F4978" w:rsidRDefault="00F17169" w:rsidP="00F17169">
            <w:pPr>
              <w:spacing w:line="240" w:lineRule="auto"/>
              <w:ind w:left="360"/>
              <w:jc w:val="both"/>
              <w:rPr>
                <w:rFonts w:cs="Arial"/>
                <w:sz w:val="24"/>
              </w:rPr>
            </w:pPr>
            <w:r w:rsidRPr="003F4978">
              <w:rPr>
                <w:rFonts w:cs="Arial"/>
                <w:sz w:val="24"/>
              </w:rPr>
              <w:t>Document No. 03 Framework Agreement and Terms and Conditions</w:t>
            </w:r>
          </w:p>
          <w:p w14:paraId="3E6822C7" w14:textId="77777777" w:rsidR="00F17169" w:rsidRPr="003F4978" w:rsidRDefault="00F17169" w:rsidP="00F17169">
            <w:pPr>
              <w:spacing w:line="240" w:lineRule="auto"/>
              <w:ind w:left="360"/>
              <w:jc w:val="both"/>
              <w:rPr>
                <w:rFonts w:cs="Arial"/>
                <w:sz w:val="24"/>
              </w:rPr>
            </w:pPr>
            <w:r w:rsidRPr="003F4978">
              <w:rPr>
                <w:rFonts w:cs="Arial"/>
                <w:sz w:val="24"/>
              </w:rPr>
              <w:t>Document No. 04a Quality Assurance Process</w:t>
            </w:r>
          </w:p>
          <w:p w14:paraId="3C0AF413" w14:textId="77777777" w:rsidR="00F17169" w:rsidRPr="003F4978" w:rsidRDefault="00F17169" w:rsidP="00F17169">
            <w:pPr>
              <w:spacing w:line="240" w:lineRule="auto"/>
              <w:ind w:left="360"/>
              <w:jc w:val="both"/>
              <w:rPr>
                <w:rFonts w:cs="Arial"/>
                <w:sz w:val="24"/>
              </w:rPr>
            </w:pPr>
            <w:r w:rsidRPr="003F4978">
              <w:rPr>
                <w:rFonts w:cs="Arial"/>
                <w:sz w:val="24"/>
              </w:rPr>
              <w:t>Document No. 04b Assessment Criteria, Stability Protocol and Additional Specification Requirements</w:t>
            </w:r>
          </w:p>
          <w:p w14:paraId="0B425732" w14:textId="77777777" w:rsidR="00F17169" w:rsidRPr="003F4978" w:rsidRDefault="00F17169" w:rsidP="00F17169">
            <w:pPr>
              <w:spacing w:line="240" w:lineRule="auto"/>
              <w:ind w:left="360"/>
              <w:jc w:val="both"/>
              <w:rPr>
                <w:rFonts w:cs="Arial"/>
                <w:sz w:val="24"/>
              </w:rPr>
            </w:pPr>
            <w:r w:rsidRPr="003F4978">
              <w:rPr>
                <w:rFonts w:cs="Arial"/>
                <w:sz w:val="24"/>
              </w:rPr>
              <w:t xml:space="preserve">Document No. 05 </w:t>
            </w:r>
            <w:proofErr w:type="spellStart"/>
            <w:r w:rsidRPr="003F4978">
              <w:rPr>
                <w:rFonts w:cs="Arial"/>
                <w:sz w:val="24"/>
              </w:rPr>
              <w:t>Selectt</w:t>
            </w:r>
            <w:proofErr w:type="spellEnd"/>
            <w:r w:rsidRPr="003F4978">
              <w:rPr>
                <w:rFonts w:cs="Arial"/>
                <w:sz w:val="24"/>
              </w:rPr>
              <w:t xml:space="preserve"> offer schedule instructions</w:t>
            </w:r>
          </w:p>
          <w:p w14:paraId="0B17C7EC" w14:textId="77777777" w:rsidR="00F17169" w:rsidRPr="003F4978" w:rsidRDefault="00F17169" w:rsidP="00F17169">
            <w:pPr>
              <w:spacing w:line="240" w:lineRule="auto"/>
              <w:ind w:left="360"/>
              <w:jc w:val="both"/>
              <w:rPr>
                <w:rFonts w:cs="Arial"/>
                <w:sz w:val="24"/>
              </w:rPr>
            </w:pPr>
            <w:r w:rsidRPr="003F4978">
              <w:rPr>
                <w:rFonts w:cs="Arial"/>
                <w:sz w:val="24"/>
              </w:rPr>
              <w:t>Document No. 05a(</w:t>
            </w:r>
            <w:proofErr w:type="spellStart"/>
            <w:r w:rsidRPr="003F4978">
              <w:rPr>
                <w:rFonts w:cs="Arial"/>
                <w:sz w:val="24"/>
              </w:rPr>
              <w:t>i</w:t>
            </w:r>
            <w:proofErr w:type="spellEnd"/>
            <w:r w:rsidRPr="003F4978">
              <w:rPr>
                <w:rFonts w:cs="Arial"/>
                <w:sz w:val="24"/>
              </w:rPr>
              <w:t xml:space="preserve">) </w:t>
            </w:r>
            <w:proofErr w:type="spellStart"/>
            <w:r w:rsidRPr="003F4978">
              <w:rPr>
                <w:rFonts w:cs="Arial"/>
                <w:sz w:val="24"/>
              </w:rPr>
              <w:t>Selectt</w:t>
            </w:r>
            <w:proofErr w:type="spellEnd"/>
            <w:r w:rsidRPr="003F4978">
              <w:rPr>
                <w:rFonts w:cs="Arial"/>
                <w:sz w:val="24"/>
              </w:rPr>
              <w:t xml:space="preserve"> offer schedule – </w:t>
            </w:r>
            <w:r w:rsidRPr="00667502">
              <w:rPr>
                <w:rFonts w:cs="Arial"/>
                <w:sz w:val="24"/>
              </w:rPr>
              <w:t>CM/TNS/05/2024</w:t>
            </w:r>
            <w:r w:rsidRPr="003F4978">
              <w:rPr>
                <w:rFonts w:cs="Arial"/>
                <w:sz w:val="24"/>
              </w:rPr>
              <w:t>/01: NWLN, CESW &amp; LSNE</w:t>
            </w:r>
          </w:p>
          <w:p w14:paraId="2A5D6966" w14:textId="77777777" w:rsidR="00F17169" w:rsidRPr="003F4978" w:rsidRDefault="00F17169" w:rsidP="00F17169">
            <w:pPr>
              <w:spacing w:line="240" w:lineRule="auto"/>
              <w:ind w:left="360"/>
              <w:jc w:val="both"/>
              <w:rPr>
                <w:rFonts w:cs="Arial"/>
                <w:sz w:val="24"/>
              </w:rPr>
            </w:pPr>
            <w:r w:rsidRPr="003F4978">
              <w:rPr>
                <w:rFonts w:cs="Arial"/>
                <w:sz w:val="24"/>
              </w:rPr>
              <w:t xml:space="preserve">Document No. 05a(ii) </w:t>
            </w:r>
            <w:proofErr w:type="spellStart"/>
            <w:r w:rsidRPr="003F4978">
              <w:rPr>
                <w:rFonts w:cs="Arial"/>
                <w:sz w:val="24"/>
              </w:rPr>
              <w:t>Selectt</w:t>
            </w:r>
            <w:proofErr w:type="spellEnd"/>
            <w:r w:rsidRPr="003F4978">
              <w:rPr>
                <w:rFonts w:cs="Arial"/>
                <w:sz w:val="24"/>
              </w:rPr>
              <w:t xml:space="preserve"> offer schedule – </w:t>
            </w:r>
            <w:r w:rsidRPr="00667502">
              <w:rPr>
                <w:rFonts w:cs="Arial"/>
                <w:sz w:val="24"/>
              </w:rPr>
              <w:t>CM/TNS/05/2024</w:t>
            </w:r>
            <w:r w:rsidRPr="003F4978">
              <w:rPr>
                <w:rFonts w:cs="Arial"/>
                <w:sz w:val="24"/>
              </w:rPr>
              <w:t xml:space="preserve">/02: DNW+DNE+DCE &amp; DLS+DLN+DSW </w:t>
            </w:r>
          </w:p>
          <w:p w14:paraId="5CA13E87" w14:textId="77777777" w:rsidR="00F17169" w:rsidRPr="003F4978" w:rsidRDefault="00F17169" w:rsidP="00F17169">
            <w:pPr>
              <w:spacing w:line="240" w:lineRule="auto"/>
              <w:ind w:left="360"/>
              <w:jc w:val="both"/>
              <w:rPr>
                <w:rFonts w:cs="Arial"/>
                <w:sz w:val="24"/>
              </w:rPr>
            </w:pPr>
            <w:r w:rsidRPr="003F4978">
              <w:rPr>
                <w:rFonts w:cs="Arial"/>
                <w:sz w:val="24"/>
              </w:rPr>
              <w:t>Document No. 05b(</w:t>
            </w:r>
            <w:proofErr w:type="spellStart"/>
            <w:r w:rsidRPr="003F4978">
              <w:rPr>
                <w:rFonts w:cs="Arial"/>
                <w:sz w:val="24"/>
              </w:rPr>
              <w:t>i</w:t>
            </w:r>
            <w:proofErr w:type="spellEnd"/>
            <w:r w:rsidRPr="003F4978">
              <w:rPr>
                <w:rFonts w:cs="Arial"/>
                <w:sz w:val="24"/>
              </w:rPr>
              <w:t xml:space="preserve">) Tender Product Listing &amp; Usage – </w:t>
            </w:r>
            <w:r w:rsidRPr="00667502">
              <w:rPr>
                <w:rFonts w:cs="Arial"/>
                <w:sz w:val="24"/>
              </w:rPr>
              <w:t>CM/TNS/05/2024</w:t>
            </w:r>
            <w:r w:rsidRPr="003F4978">
              <w:rPr>
                <w:rFonts w:cs="Arial"/>
                <w:sz w:val="24"/>
              </w:rPr>
              <w:t>/01: NWLN, CESW &amp; LSNE</w:t>
            </w:r>
          </w:p>
          <w:p w14:paraId="30E89E08" w14:textId="77777777" w:rsidR="00F17169" w:rsidRDefault="00F17169" w:rsidP="00F17169">
            <w:pPr>
              <w:spacing w:line="240" w:lineRule="auto"/>
              <w:ind w:left="360"/>
              <w:jc w:val="both"/>
              <w:rPr>
                <w:rFonts w:cs="Arial"/>
                <w:sz w:val="24"/>
              </w:rPr>
            </w:pPr>
            <w:r w:rsidRPr="003F4978">
              <w:rPr>
                <w:rFonts w:cs="Arial"/>
                <w:sz w:val="24"/>
              </w:rPr>
              <w:t xml:space="preserve">Document No. 05b(ii) Tender Product Listing &amp; Usage – </w:t>
            </w:r>
            <w:r w:rsidRPr="00667502">
              <w:rPr>
                <w:rFonts w:cs="Arial"/>
                <w:sz w:val="24"/>
              </w:rPr>
              <w:t>CM/TNS/05/2024</w:t>
            </w:r>
            <w:r w:rsidRPr="003F4978">
              <w:rPr>
                <w:rFonts w:cs="Arial"/>
                <w:sz w:val="24"/>
              </w:rPr>
              <w:t xml:space="preserve">/02: DNW+DNE+DCE &amp;  DLS+DLN+DSW </w:t>
            </w:r>
          </w:p>
          <w:p w14:paraId="06FA61BB" w14:textId="77777777" w:rsidR="00F17169" w:rsidRPr="003F4978" w:rsidRDefault="00F17169" w:rsidP="00F17169">
            <w:pPr>
              <w:spacing w:line="240" w:lineRule="auto"/>
              <w:ind w:left="360"/>
              <w:jc w:val="both"/>
              <w:rPr>
                <w:rFonts w:cs="Arial"/>
                <w:sz w:val="24"/>
              </w:rPr>
            </w:pPr>
            <w:r w:rsidRPr="003F4978">
              <w:rPr>
                <w:rFonts w:cs="Arial"/>
                <w:sz w:val="24"/>
              </w:rPr>
              <w:t>Document No. 06 Form of offer</w:t>
            </w:r>
          </w:p>
          <w:p w14:paraId="4E83FA88" w14:textId="77777777" w:rsidR="00F17169" w:rsidRPr="003F4978" w:rsidRDefault="00F17169" w:rsidP="00F17169">
            <w:pPr>
              <w:spacing w:line="240" w:lineRule="auto"/>
              <w:ind w:left="360"/>
              <w:jc w:val="both"/>
              <w:rPr>
                <w:rFonts w:cs="Arial"/>
                <w:sz w:val="24"/>
              </w:rPr>
            </w:pPr>
            <w:r w:rsidRPr="003F4978">
              <w:rPr>
                <w:rFonts w:cs="Arial"/>
                <w:sz w:val="24"/>
              </w:rPr>
              <w:t xml:space="preserve">Document No. 07a Quality control technical sheet </w:t>
            </w:r>
          </w:p>
          <w:p w14:paraId="0AA2F939" w14:textId="77777777" w:rsidR="001C329E" w:rsidRDefault="001C329E" w:rsidP="00F17169">
            <w:pPr>
              <w:spacing w:line="240" w:lineRule="auto"/>
              <w:ind w:left="360"/>
              <w:jc w:val="both"/>
              <w:rPr>
                <w:rFonts w:cs="Arial"/>
                <w:sz w:val="24"/>
              </w:rPr>
            </w:pPr>
            <w:r w:rsidRPr="001C329E">
              <w:rPr>
                <w:rFonts w:cs="Arial"/>
                <w:sz w:val="24"/>
              </w:rPr>
              <w:t>Document No. 07b</w:t>
            </w:r>
            <w:r>
              <w:rPr>
                <w:rFonts w:cs="Arial"/>
                <w:sz w:val="24"/>
              </w:rPr>
              <w:t xml:space="preserve"> </w:t>
            </w:r>
            <w:r w:rsidRPr="001C329E">
              <w:rPr>
                <w:rFonts w:cs="Arial"/>
                <w:sz w:val="24"/>
              </w:rPr>
              <w:t>Quality Assurance Policy to support the National Contract Procurement of Licensed Medicines v6.1 (Issued March 2024)</w:t>
            </w:r>
          </w:p>
          <w:p w14:paraId="7ED44A4C" w14:textId="4523D4AE" w:rsidR="00F17169" w:rsidRPr="003F4978" w:rsidRDefault="00F17169" w:rsidP="00F17169">
            <w:pPr>
              <w:spacing w:line="240" w:lineRule="auto"/>
              <w:ind w:left="360"/>
              <w:jc w:val="both"/>
              <w:rPr>
                <w:rFonts w:cs="Arial"/>
                <w:sz w:val="24"/>
              </w:rPr>
            </w:pPr>
            <w:r w:rsidRPr="003F4978">
              <w:rPr>
                <w:rFonts w:cs="Arial"/>
                <w:sz w:val="24"/>
              </w:rPr>
              <w:t>Document No. 08 Confidential information schedule</w:t>
            </w:r>
          </w:p>
          <w:p w14:paraId="31334ECE" w14:textId="77777777" w:rsidR="00F17169" w:rsidRDefault="00F17169" w:rsidP="00F17169">
            <w:pPr>
              <w:pStyle w:val="NoSpacing"/>
              <w:ind w:left="360"/>
              <w:rPr>
                <w:rFonts w:cs="Arial"/>
                <w:sz w:val="24"/>
              </w:rPr>
            </w:pPr>
            <w:r w:rsidRPr="003F4978">
              <w:rPr>
                <w:rFonts w:cs="Arial"/>
                <w:sz w:val="24"/>
              </w:rPr>
              <w:t xml:space="preserve">Document No. </w:t>
            </w:r>
            <w:r>
              <w:rPr>
                <w:rFonts w:cs="Arial"/>
                <w:sz w:val="24"/>
              </w:rPr>
              <w:t>09</w:t>
            </w:r>
            <w:r w:rsidRPr="003F4978">
              <w:rPr>
                <w:rFonts w:cs="Arial"/>
                <w:sz w:val="24"/>
              </w:rPr>
              <w:t xml:space="preserve"> Participating Authorities</w:t>
            </w:r>
          </w:p>
          <w:bookmarkEnd w:id="891"/>
          <w:p w14:paraId="37474A8A" w14:textId="1862FECB" w:rsidR="00B1420F" w:rsidRPr="004D2812" w:rsidRDefault="00B1420F" w:rsidP="004D2812">
            <w:pPr>
              <w:spacing w:line="240" w:lineRule="auto"/>
              <w:ind w:left="72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2" w:name="_Toc303948992"/>
            <w:bookmarkStart w:id="893" w:name="_Toc303949752"/>
            <w:bookmarkStart w:id="894" w:name="_Toc303950519"/>
            <w:bookmarkStart w:id="895" w:name="_Toc303951299"/>
            <w:bookmarkStart w:id="896" w:name="_Toc304135382"/>
            <w:r w:rsidRPr="00025B10">
              <w:rPr>
                <w:rFonts w:cs="Arial"/>
                <w:sz w:val="24"/>
                <w:szCs w:val="24"/>
              </w:rPr>
              <w:t>means the key performance indicators as set out in Schedule 5;</w:t>
            </w:r>
            <w:bookmarkEnd w:id="892"/>
            <w:bookmarkEnd w:id="893"/>
            <w:bookmarkEnd w:id="894"/>
            <w:bookmarkEnd w:id="895"/>
            <w:bookmarkEnd w:id="896"/>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w:t>
            </w:r>
            <w:r w:rsidR="00EA3084" w:rsidRPr="00045009">
              <w:rPr>
                <w:rFonts w:cs="Arial"/>
                <w:sz w:val="24"/>
                <w:szCs w:val="24"/>
              </w:rPr>
              <w:lastRenderedPageBreak/>
              <w:t xml:space="preserve">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w:t>
            </w:r>
            <w:proofErr w:type="gramStart"/>
            <w:r w:rsidRPr="004D2812">
              <w:rPr>
                <w:rFonts w:cs="Arial"/>
                <w:sz w:val="24"/>
                <w:szCs w:val="24"/>
              </w:rPr>
              <w:t>half way</w:t>
            </w:r>
            <w:proofErr w:type="gramEnd"/>
            <w:r w:rsidRPr="004D2812">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lastRenderedPageBreak/>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7" w:name="_Toc303948999"/>
            <w:bookmarkStart w:id="898" w:name="_Toc303949759"/>
            <w:bookmarkStart w:id="899" w:name="_Toc303950526"/>
            <w:bookmarkStart w:id="900" w:name="_Toc303951306"/>
            <w:bookmarkStart w:id="901" w:name="_Toc304135389"/>
            <w:r w:rsidRPr="00025B10">
              <w:rPr>
                <w:rFonts w:cs="Arial"/>
                <w:sz w:val="24"/>
                <w:szCs w:val="24"/>
              </w:rPr>
              <w:t>means the Authority or the Supplier as appropriate and Parties means both the Authority and the Supplier;</w:t>
            </w:r>
            <w:bookmarkEnd w:id="897"/>
            <w:bookmarkEnd w:id="898"/>
            <w:bookmarkEnd w:id="899"/>
            <w:bookmarkEnd w:id="900"/>
            <w:bookmarkEnd w:id="901"/>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w:t>
            </w:r>
            <w:proofErr w:type="gramStart"/>
            <w:r w:rsidRPr="00E2626B">
              <w:rPr>
                <w:rFonts w:cs="Arial"/>
                <w:sz w:val="24"/>
                <w:szCs w:val="24"/>
              </w:rPr>
              <w:t>issued</w:t>
            </w:r>
            <w:proofErr w:type="gramEnd"/>
            <w:r w:rsidRPr="00E2626B">
              <w:rPr>
                <w:rFonts w:cs="Arial"/>
                <w:sz w:val="24"/>
                <w:szCs w:val="24"/>
              </w:rPr>
              <w:t xml:space="preserve">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2" w:name="_Toc303949002"/>
      <w:bookmarkStart w:id="903" w:name="_Toc303949762"/>
      <w:bookmarkStart w:id="904" w:name="_Toc303950529"/>
      <w:bookmarkStart w:id="905" w:name="_Toc303951309"/>
      <w:bookmarkStart w:id="906"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902"/>
      <w:bookmarkEnd w:id="903"/>
      <w:bookmarkEnd w:id="904"/>
      <w:bookmarkEnd w:id="905"/>
      <w:bookmarkEnd w:id="906"/>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7" w:name="_Toc303949003"/>
      <w:bookmarkStart w:id="908" w:name="_Toc303949763"/>
      <w:bookmarkStart w:id="909" w:name="_Toc303950530"/>
      <w:bookmarkStart w:id="910" w:name="_Toc303951310"/>
      <w:bookmarkStart w:id="911"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7"/>
      <w:bookmarkEnd w:id="908"/>
      <w:bookmarkEnd w:id="909"/>
      <w:bookmarkEnd w:id="910"/>
      <w:bookmarkEnd w:id="911"/>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2" w:name="_Toc303949004"/>
      <w:bookmarkStart w:id="913" w:name="_Toc303949764"/>
      <w:bookmarkStart w:id="914" w:name="_Toc303950531"/>
      <w:bookmarkStart w:id="915" w:name="_Toc303951311"/>
      <w:bookmarkStart w:id="916"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912"/>
      <w:bookmarkEnd w:id="913"/>
      <w:bookmarkEnd w:id="914"/>
      <w:bookmarkEnd w:id="915"/>
      <w:bookmarkEnd w:id="916"/>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7" w:name="_Toc303949007"/>
      <w:bookmarkStart w:id="918" w:name="_Toc303949767"/>
      <w:bookmarkStart w:id="919" w:name="_Toc303950534"/>
      <w:bookmarkStart w:id="920" w:name="_Toc303951314"/>
      <w:bookmarkStart w:id="921"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7"/>
      <w:bookmarkEnd w:id="918"/>
      <w:bookmarkEnd w:id="919"/>
      <w:bookmarkEnd w:id="920"/>
      <w:bookmarkEnd w:id="921"/>
      <w:r w:rsidRPr="00025B10">
        <w:rPr>
          <w:rFonts w:cs="Arial"/>
          <w:sz w:val="24"/>
        </w:rPr>
        <w:t xml:space="preserve"> </w:t>
      </w:r>
      <w:bookmarkStart w:id="922" w:name="_Toc303949001"/>
      <w:bookmarkStart w:id="923" w:name="_Toc303949761"/>
      <w:bookmarkStart w:id="924" w:name="_Toc303950528"/>
      <w:bookmarkStart w:id="925" w:name="_Toc303951308"/>
      <w:bookmarkStart w:id="926"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2"/>
      <w:bookmarkEnd w:id="923"/>
      <w:bookmarkEnd w:id="924"/>
      <w:bookmarkEnd w:id="925"/>
      <w:bookmarkEnd w:id="926"/>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8"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7"/>
      <w:bookmarkEnd w:id="928"/>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9" w:name="_Ref94251710"/>
      <w:r w:rsidRPr="00025B10">
        <w:rPr>
          <w:rFonts w:cs="Arial"/>
          <w:sz w:val="24"/>
        </w:rPr>
        <w:t>Any reference in this Framework Agreement which immediately before Exit Day was a reference to (as it has effect from time to time):</w:t>
      </w:r>
      <w:bookmarkEnd w:id="929"/>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062FC9">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30"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w:t>
      </w:r>
      <w:proofErr w:type="gramStart"/>
      <w:r w:rsidRPr="00962602">
        <w:rPr>
          <w:rFonts w:cs="Arial"/>
          <w:sz w:val="24"/>
          <w:szCs w:val="24"/>
          <w:lang w:val="en-US"/>
        </w:rPr>
        <w:t>period;</w:t>
      </w:r>
      <w:proofErr w:type="gramEnd"/>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w:t>
      </w:r>
      <w:proofErr w:type="gramStart"/>
      <w:r w:rsidRPr="00962602">
        <w:rPr>
          <w:rFonts w:cs="Arial"/>
          <w:sz w:val="24"/>
          <w:szCs w:val="24"/>
          <w:lang w:val="en-US"/>
        </w:rPr>
        <w:t>Agreement;</w:t>
      </w:r>
      <w:proofErr w:type="gramEnd"/>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t>
      </w: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i/>
          <w:sz w:val="24"/>
          <w:szCs w:val="24"/>
          <w:lang w:val="en-US"/>
        </w:rPr>
        <w:t xml:space="preserve">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w:t>
      </w:r>
      <w:proofErr w:type="gramStart"/>
      <w:r w:rsidRPr="00962602">
        <w:rPr>
          <w:rFonts w:cs="Arial"/>
          <w:sz w:val="24"/>
          <w:szCs w:val="24"/>
          <w:lang w:val="en-US"/>
        </w:rPr>
        <w:t>Good</w:t>
      </w:r>
      <w:proofErr w:type="gramEnd"/>
      <w:r w:rsidRPr="00962602">
        <w:rPr>
          <w:rFonts w:cs="Arial"/>
          <w:sz w:val="24"/>
          <w:szCs w:val="24"/>
          <w:lang w:val="en-US"/>
        </w:rPr>
        <w:t xml:space="preserve">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roofErr w:type="gramStart"/>
      <w:r w:rsidRPr="00962602">
        <w:rPr>
          <w:rFonts w:cs="Arial"/>
          <w:sz w:val="24"/>
          <w:szCs w:val="24"/>
          <w:lang w:val="en-US"/>
        </w:rPr>
        <w:t>);</w:t>
      </w:r>
      <w:proofErr w:type="gramEnd"/>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w:t>
      </w:r>
      <w:proofErr w:type="gramStart"/>
      <w:r w:rsidRPr="00962602">
        <w:rPr>
          <w:rFonts w:cs="Arial"/>
          <w:sz w:val="24"/>
          <w:szCs w:val="24"/>
          <w:lang w:val="en-US"/>
        </w:rPr>
        <w:t>Conditions;</w:t>
      </w:r>
      <w:proofErr w:type="gramEnd"/>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w:t>
      </w:r>
      <w:proofErr w:type="gramStart"/>
      <w:r w:rsidRPr="00962602">
        <w:rPr>
          <w:rFonts w:cs="Arial"/>
          <w:sz w:val="24"/>
          <w:szCs w:val="24"/>
          <w:lang w:val="en-US"/>
        </w:rPr>
        <w:t>KPI;</w:t>
      </w:r>
      <w:proofErr w:type="gramEnd"/>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w:t>
      </w:r>
      <w:proofErr w:type="gramStart"/>
      <w:r w:rsidRPr="00962602">
        <w:rPr>
          <w:rFonts w:cs="Arial"/>
          <w:sz w:val="24"/>
          <w:szCs w:val="24"/>
          <w:lang w:val="en-US"/>
        </w:rPr>
        <w:t>Spreadsheet;</w:t>
      </w:r>
      <w:proofErr w:type="gramEnd"/>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w:t>
      </w:r>
      <w:proofErr w:type="spellStart"/>
      <w:r w:rsidRPr="00962602">
        <w:rPr>
          <w:rFonts w:cs="Arial"/>
          <w:sz w:val="24"/>
          <w:szCs w:val="24"/>
          <w:lang w:val="en-US"/>
        </w:rPr>
        <w:t>Organisations</w:t>
      </w:r>
      <w:proofErr w:type="spellEnd"/>
      <w:r w:rsidRPr="00962602">
        <w:rPr>
          <w:rFonts w:cs="Arial"/>
          <w:sz w:val="24"/>
          <w:szCs w:val="24"/>
          <w:lang w:val="en-US"/>
        </w:rPr>
        <w:t xml:space="preserve"> with the </w:t>
      </w:r>
      <w:proofErr w:type="gramStart"/>
      <w:r w:rsidRPr="00962602">
        <w:rPr>
          <w:rFonts w:cs="Arial"/>
          <w:sz w:val="24"/>
          <w:szCs w:val="24"/>
          <w:lang w:val="en-US"/>
        </w:rPr>
        <w:t>Supplier;</w:t>
      </w:r>
      <w:proofErr w:type="gramEnd"/>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w:t>
      </w:r>
      <w:proofErr w:type="gramStart"/>
      <w:r w:rsidRPr="00962602">
        <w:rPr>
          <w:rFonts w:cs="Arial"/>
          <w:sz w:val="24"/>
          <w:szCs w:val="24"/>
          <w:lang w:val="en-US"/>
        </w:rPr>
        <w:t>Code;</w:t>
      </w:r>
      <w:proofErr w:type="gramEnd"/>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w:t>
      </w:r>
      <w:proofErr w:type="gramStart"/>
      <w:r w:rsidRPr="00962602">
        <w:rPr>
          <w:rFonts w:cs="Arial"/>
          <w:sz w:val="24"/>
          <w:szCs w:val="24"/>
          <w:lang w:val="en-US"/>
        </w:rPr>
        <w:t>Spreadsheet;</w:t>
      </w:r>
      <w:proofErr w:type="gramEnd"/>
      <w:r w:rsidRPr="00962602">
        <w:rPr>
          <w:rFonts w:cs="Arial"/>
          <w:sz w:val="24"/>
          <w:szCs w:val="24"/>
          <w:lang w:val="en-US"/>
        </w:rPr>
        <w:t xml:space="preserve">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w:t>
      </w:r>
      <w:proofErr w:type="gramStart"/>
      <w:r w:rsidRPr="00962602">
        <w:rPr>
          <w:rFonts w:cs="Arial"/>
          <w:sz w:val="24"/>
          <w:szCs w:val="24"/>
          <w:lang w:val="en-US"/>
        </w:rPr>
        <w:t>Agreement;</w:t>
      </w:r>
      <w:proofErr w:type="gramEnd"/>
      <w:r w:rsidRPr="00962602">
        <w:rPr>
          <w:rFonts w:cs="Arial"/>
          <w:sz w:val="24"/>
          <w:szCs w:val="24"/>
          <w:lang w:val="en-US"/>
        </w:rPr>
        <w:t xml:space="preserve">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w:t>
      </w:r>
      <w:proofErr w:type="gramStart"/>
      <w:r>
        <w:rPr>
          <w:rFonts w:cs="Arial"/>
          <w:sz w:val="24"/>
          <w:szCs w:val="24"/>
          <w:lang w:val="en-US"/>
        </w:rPr>
        <w:t>period of time</w:t>
      </w:r>
      <w:proofErr w:type="gramEnd"/>
      <w:r>
        <w:rPr>
          <w:rFonts w:cs="Arial"/>
          <w:sz w:val="24"/>
          <w:szCs w:val="24"/>
          <w:lang w:val="en-US"/>
        </w:rPr>
        <w:t xml:space="preserv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1" w:name="_Ref124761766"/>
      <w:r w:rsidRPr="00962602">
        <w:rPr>
          <w:rFonts w:cs="Arial"/>
          <w:b/>
          <w:sz w:val="24"/>
          <w:szCs w:val="24"/>
          <w:lang w:val="en-US"/>
        </w:rPr>
        <w:t>Supply Status KPI</w:t>
      </w:r>
      <w:bookmarkEnd w:id="931"/>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2" w:name="_Ref124761772"/>
      <w:r w:rsidRPr="00962602">
        <w:rPr>
          <w:rFonts w:cs="Arial"/>
          <w:b/>
          <w:sz w:val="24"/>
          <w:szCs w:val="24"/>
          <w:lang w:val="en-US"/>
        </w:rPr>
        <w:t>Data Provision KPI</w:t>
      </w:r>
      <w:bookmarkEnd w:id="932"/>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w:t>
      </w:r>
      <w:proofErr w:type="gramStart"/>
      <w:r w:rsidR="0001569A" w:rsidRPr="00962602">
        <w:rPr>
          <w:rFonts w:cs="Arial"/>
          <w:sz w:val="24"/>
          <w:szCs w:val="24"/>
          <w:lang w:val="en-US"/>
        </w:rPr>
        <w:t>during the course of</w:t>
      </w:r>
      <w:proofErr w:type="gramEnd"/>
      <w:r w:rsidR="0001569A" w:rsidRPr="00962602">
        <w:rPr>
          <w:rFonts w:cs="Arial"/>
          <w:sz w:val="24"/>
          <w:szCs w:val="24"/>
          <w:lang w:val="en-US"/>
        </w:rPr>
        <w:t xml:space="preserve">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3" w:name="_Ref124761785"/>
      <w:r w:rsidRPr="00962602">
        <w:rPr>
          <w:rFonts w:cs="Arial"/>
          <w:b/>
          <w:sz w:val="24"/>
          <w:szCs w:val="24"/>
        </w:rPr>
        <w:t>Delivery Failure KPI</w:t>
      </w:r>
      <w:bookmarkEnd w:id="933"/>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4" w:name="_Ref124761796"/>
      <w:r w:rsidRPr="00962602">
        <w:rPr>
          <w:rFonts w:cs="Arial"/>
          <w:b/>
          <w:sz w:val="24"/>
          <w:szCs w:val="24"/>
        </w:rPr>
        <w:t>Other KPIs</w:t>
      </w:r>
      <w:bookmarkEnd w:id="934"/>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 xml:space="preserve">KPI Breach </w:t>
      </w:r>
      <w:proofErr w:type="gramStart"/>
      <w:r w:rsidR="00AC1A54" w:rsidRPr="00025B10">
        <w:rPr>
          <w:rFonts w:cs="Arial"/>
          <w:sz w:val="24"/>
          <w:szCs w:val="24"/>
          <w:lang w:val="en-US"/>
        </w:rPr>
        <w:t>Notice</w:t>
      </w:r>
      <w:proofErr w:type="gramEnd"/>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w:t>
            </w:r>
            <w:proofErr w:type="gramStart"/>
            <w:r w:rsidRPr="00962602">
              <w:rPr>
                <w:rFonts w:cs="Arial"/>
                <w:sz w:val="24"/>
                <w:szCs w:val="24"/>
                <w:lang w:val="en-US"/>
              </w:rPr>
              <w:t>all of</w:t>
            </w:r>
            <w:proofErr w:type="gramEnd"/>
            <w:r w:rsidRPr="00962602">
              <w:rPr>
                <w:rFonts w:cs="Arial"/>
                <w:sz w:val="24"/>
                <w:szCs w:val="24"/>
                <w:lang w:val="en-US"/>
              </w:rPr>
              <w:t xml:space="preserve">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 xml:space="preserve">and/or different types of </w:t>
            </w:r>
            <w:proofErr w:type="gramStart"/>
            <w:r w:rsidRPr="00962602">
              <w:rPr>
                <w:rFonts w:cs="Arial"/>
                <w:sz w:val="24"/>
                <w:szCs w:val="24"/>
                <w:lang w:val="en-US"/>
              </w:rPr>
              <w:t>information;</w:t>
            </w:r>
            <w:proofErr w:type="gramEnd"/>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 xml:space="preserve">of Schedule 2 to this Framework </w:t>
            </w:r>
            <w:proofErr w:type="gramStart"/>
            <w:r w:rsidRPr="00962602">
              <w:rPr>
                <w:rFonts w:cs="Arial"/>
                <w:sz w:val="24"/>
                <w:szCs w:val="24"/>
                <w:lang w:val="en-US"/>
              </w:rPr>
              <w:t>Agreement;</w:t>
            </w:r>
            <w:proofErr w:type="gramEnd"/>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 xml:space="preserve">performance of a substantive requirement under a prior public contract for the purposes of Regulation 57(8)(g) of the Public Contracts Regulations 2015, as further provided for in paragraph 5.3 </w:t>
            </w:r>
            <w:proofErr w:type="gramStart"/>
            <w:r w:rsidRPr="00962602">
              <w:rPr>
                <w:rFonts w:cs="Arial"/>
                <w:sz w:val="24"/>
                <w:szCs w:val="24"/>
              </w:rPr>
              <w:t>below;</w:t>
            </w:r>
            <w:proofErr w:type="gramEnd"/>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w:t>
      </w:r>
      <w:proofErr w:type="spellStart"/>
      <w:r w:rsidRPr="00CD0E75">
        <w:rPr>
          <w:sz w:val="24"/>
          <w:lang w:val="en-US"/>
        </w:rPr>
        <w:t>self cleaning</w:t>
      </w:r>
      <w:proofErr w:type="spellEnd"/>
      <w:r w:rsidRPr="00CD0E75">
        <w:rPr>
          <w:sz w:val="24"/>
          <w:lang w:val="en-US"/>
        </w:rPr>
        <w:t>"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w:t>
      </w:r>
      <w:proofErr w:type="spellStart"/>
      <w:r w:rsidRPr="00CD0E75">
        <w:rPr>
          <w:sz w:val="24"/>
          <w:lang w:val="en-US"/>
        </w:rPr>
        <w:t>self cleaning</w:t>
      </w:r>
      <w:proofErr w:type="spellEnd"/>
      <w:r w:rsidRPr="00CD0E75">
        <w:rPr>
          <w:sz w:val="24"/>
          <w:lang w:val="en-US"/>
        </w:rPr>
        <w:t>"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w:t>
      </w:r>
      <w:proofErr w:type="spellStart"/>
      <w:r w:rsidRPr="00CD0E75">
        <w:rPr>
          <w:sz w:val="24"/>
          <w:lang w:val="en-US"/>
        </w:rPr>
        <w:t>organisational</w:t>
      </w:r>
      <w:proofErr w:type="spellEnd"/>
      <w:r w:rsidRPr="00CD0E75">
        <w:rPr>
          <w:sz w:val="24"/>
          <w:lang w:val="en-US"/>
        </w:rPr>
        <w:t xml:space="preserve">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proofErr w:type="gramStart"/>
      <w:r w:rsidRPr="00CD0E75">
        <w:rPr>
          <w:sz w:val="24"/>
          <w:lang w:val="en-US"/>
        </w:rPr>
        <w:t>For the purpose of</w:t>
      </w:r>
      <w:proofErr w:type="gramEnd"/>
      <w:r w:rsidRPr="00CD0E75">
        <w:rPr>
          <w:sz w:val="24"/>
          <w:lang w:val="en-US"/>
        </w:rPr>
        <w:t xml:space="preserve">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w:t>
      </w:r>
      <w:proofErr w:type="gramStart"/>
      <w:r w:rsidRPr="00025B10">
        <w:rPr>
          <w:rFonts w:cs="Arial"/>
          <w:sz w:val="24"/>
          <w:szCs w:val="24"/>
          <w:lang w:val="en-US"/>
        </w:rPr>
        <w:t>Good</w:t>
      </w:r>
      <w:proofErr w:type="gramEnd"/>
      <w:r w:rsidRPr="00025B10">
        <w:rPr>
          <w:rFonts w:cs="Arial"/>
          <w:sz w:val="24"/>
          <w:szCs w:val="24"/>
          <w:lang w:val="en-US"/>
        </w:rPr>
        <w:t xml:space="preserve">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bookmarkEnd w:id="930"/>
    <w:p w14:paraId="08BA04FF" w14:textId="77777777" w:rsidR="00CC6C24" w:rsidRPr="00025B10" w:rsidRDefault="00CC6C24" w:rsidP="00CC6C24">
      <w:pPr>
        <w:rPr>
          <w:rFonts w:cs="Arial"/>
          <w:sz w:val="24"/>
          <w:szCs w:val="24"/>
        </w:rPr>
        <w:sectPr w:rsidR="00CC6C24" w:rsidRPr="00025B10" w:rsidSect="00062FC9">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5" w:name="_Toc312422935"/>
      <w:bookmarkStart w:id="936" w:name="_Ref378840835"/>
      <w:bookmarkEnd w:id="935"/>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6"/>
    <w:p w14:paraId="4D4F750B" w14:textId="77777777" w:rsidR="00CC6C24" w:rsidRPr="00025B10" w:rsidRDefault="00CC6C24" w:rsidP="00CC6C24">
      <w:pPr>
        <w:rPr>
          <w:rFonts w:cs="Arial"/>
          <w:sz w:val="24"/>
          <w:szCs w:val="24"/>
          <w:lang w:val="en-US"/>
        </w:rPr>
        <w:sectPr w:rsidR="00CC6C24" w:rsidRPr="00025B10" w:rsidSect="00062FC9">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7"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8" w:name="_Toc312422936"/>
      <w:bookmarkEnd w:id="937"/>
      <w:bookmarkEnd w:id="938"/>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9"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40" w:name="a694179"/>
      <w:bookmarkStart w:id="941"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40"/>
      <w:r w:rsidRPr="00025B10">
        <w:rPr>
          <w:rFonts w:cs="Arial"/>
          <w:color w:val="000000"/>
          <w:sz w:val="24"/>
          <w:szCs w:val="24"/>
        </w:rPr>
        <w:t>satisfy its requirements for the Goods by awarding a Contract in accordance with the terms laid down in this Framework Agreement without re-opening competition.</w:t>
      </w:r>
      <w:bookmarkEnd w:id="941"/>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2"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2"/>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062FC9">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3" w:name="_Toc312422937"/>
      <w:bookmarkStart w:id="944" w:name="_Toc312422938"/>
      <w:bookmarkStart w:id="945" w:name="_Ref347319759"/>
      <w:bookmarkEnd w:id="939"/>
      <w:bookmarkEnd w:id="943"/>
      <w:bookmarkEnd w:id="944"/>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6" w:name="_Ref367701383"/>
      <w:bookmarkEnd w:id="945"/>
      <w:r w:rsidR="00CC6C24" w:rsidRPr="00CB4E81">
        <w:rPr>
          <w:rFonts w:cs="Arial"/>
          <w:b/>
          <w:sz w:val="24"/>
          <w:szCs w:val="24"/>
          <w:u w:val="single"/>
          <w:lang w:val="en-US"/>
        </w:rPr>
        <w:lastRenderedPageBreak/>
        <w:t>Appendix A</w:t>
      </w:r>
    </w:p>
    <w:bookmarkEnd w:id="946"/>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7"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7"/>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062FC9">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8" w:name="_Ref377720021"/>
      <w:r w:rsidRPr="00025B10">
        <w:rPr>
          <w:rFonts w:cs="Arial"/>
          <w:sz w:val="24"/>
          <w:szCs w:val="24"/>
        </w:rPr>
        <w:t>of these Call-off Terms and Conditions</w:t>
      </w:r>
      <w:bookmarkEnd w:id="948"/>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9" w:name="_Ref443643469"/>
      <w:bookmarkStart w:id="950"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9"/>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50"/>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1" w:name="_DV_C72"/>
      <w:r w:rsidRPr="00025B10">
        <w:rPr>
          <w:rFonts w:cs="Arial"/>
          <w:sz w:val="24"/>
          <w:lang w:val="en-US"/>
        </w:rPr>
        <w:t xml:space="preserve">o </w:t>
      </w:r>
      <w:r w:rsidRPr="00025B10">
        <w:rPr>
          <w:rFonts w:cs="Arial"/>
          <w:sz w:val="24"/>
        </w:rPr>
        <w:t xml:space="preserve">such persons at such addresses as referred to in the Order Form.  </w:t>
      </w:r>
      <w:bookmarkEnd w:id="951"/>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378939523"/>
      <w:r w:rsidRPr="00025B10">
        <w:rPr>
          <w:rFonts w:ascii="Arial" w:hAnsi="Arial" w:cs="Arial"/>
          <w:b/>
          <w:color w:val="auto"/>
          <w:sz w:val="24"/>
          <w:szCs w:val="24"/>
        </w:rPr>
        <w:t>Management levels for escalation and dispute resolution</w:t>
      </w:r>
      <w:bookmarkEnd w:id="952"/>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3" w:name="_Ref124762942"/>
      <w:r w:rsidRPr="00025B10">
        <w:rPr>
          <w:rFonts w:ascii="Arial" w:hAnsi="Arial" w:cs="Arial"/>
          <w:b/>
          <w:color w:val="auto"/>
          <w:sz w:val="24"/>
          <w:szCs w:val="24"/>
        </w:rPr>
        <w:t>Failure to Supply</w:t>
      </w:r>
      <w:bookmarkEnd w:id="953"/>
    </w:p>
    <w:p w14:paraId="6FC6EBF6" w14:textId="77777777" w:rsidR="00CC6C24" w:rsidRPr="00E2626B" w:rsidRDefault="00CC6C24" w:rsidP="007A00AF">
      <w:pPr>
        <w:pStyle w:val="MRNumberedHeading2"/>
        <w:spacing w:line="240" w:lineRule="auto"/>
        <w:jc w:val="both"/>
        <w:rPr>
          <w:rFonts w:cs="Arial"/>
          <w:sz w:val="24"/>
          <w:lang w:val="en-US"/>
        </w:rPr>
      </w:pPr>
      <w:bookmarkStart w:id="954"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4"/>
    </w:p>
    <w:p w14:paraId="3D57378D" w14:textId="77777777" w:rsidR="00CC6C24" w:rsidRPr="00025B10" w:rsidRDefault="00CC6C24" w:rsidP="007A00AF">
      <w:pPr>
        <w:pStyle w:val="MRNumberedHeading2"/>
        <w:spacing w:line="240" w:lineRule="auto"/>
        <w:jc w:val="both"/>
        <w:rPr>
          <w:rFonts w:cs="Arial"/>
          <w:sz w:val="24"/>
          <w:lang w:val="en-US"/>
        </w:rPr>
      </w:pPr>
      <w:bookmarkStart w:id="955"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5"/>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6"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6"/>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w:t>
      </w:r>
      <w:proofErr w:type="gramStart"/>
      <w:r w:rsidRPr="00025B10">
        <w:rPr>
          <w:rFonts w:cs="Arial"/>
          <w:sz w:val="24"/>
          <w:lang w:val="en-US"/>
        </w:rPr>
        <w:t>pharmacist</w:t>
      </w:r>
      <w:proofErr w:type="gramEnd"/>
      <w:r w:rsidRPr="00025B10">
        <w:rPr>
          <w:rFonts w:cs="Arial"/>
          <w:sz w:val="24"/>
          <w:lang w:val="en-US"/>
        </w:rPr>
        <w:t xml:space="preserve">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7" w:name="_Ref402866232"/>
      <w:r w:rsidRPr="00025B10">
        <w:rPr>
          <w:rFonts w:cs="Arial"/>
          <w:sz w:val="24"/>
          <w:lang w:val="en-US"/>
        </w:rPr>
        <w:t>the essentially similar goods are approved in writing by the regional quality control pharmacist or the Authority; and</w:t>
      </w:r>
      <w:bookmarkEnd w:id="957"/>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8"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8"/>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9" w:name="_Ref380436577"/>
      <w:r w:rsidRPr="00025B10">
        <w:rPr>
          <w:rFonts w:cs="Arial"/>
          <w:sz w:val="24"/>
          <w:lang w:val="en-US"/>
        </w:rPr>
        <w:t>Where any Goods are supplied under this Contract, the Post Delivery Shelf Life</w:t>
      </w:r>
      <w:bookmarkEnd w:id="959"/>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60" w:name="_Ref380436765"/>
      <w:r w:rsidRPr="00025B10">
        <w:rPr>
          <w:rFonts w:cs="Arial"/>
          <w:sz w:val="24"/>
          <w:lang w:val="en-US"/>
        </w:rPr>
        <w:t>in respect of certain Goods may be less than twelve (12) months if stated as such by the Supplier in the Offer.</w:t>
      </w:r>
      <w:bookmarkEnd w:id="960"/>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1" w:name="_Ref102565104"/>
      <w:r w:rsidRPr="00025B10">
        <w:rPr>
          <w:rFonts w:ascii="Arial" w:hAnsi="Arial" w:cs="Arial"/>
          <w:b/>
          <w:color w:val="auto"/>
          <w:sz w:val="24"/>
          <w:szCs w:val="24"/>
        </w:rPr>
        <w:t>Net Zero and Social Value Commitments</w:t>
      </w:r>
      <w:bookmarkEnd w:id="961"/>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2"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2"/>
    </w:p>
    <w:p w14:paraId="755DB6C4" w14:textId="77777777" w:rsidR="00215B92" w:rsidRPr="00025B10" w:rsidRDefault="00215B92" w:rsidP="00025B10">
      <w:pPr>
        <w:pStyle w:val="MRNumberedHeading2"/>
        <w:jc w:val="both"/>
        <w:rPr>
          <w:rFonts w:cs="Arial"/>
          <w:sz w:val="24"/>
        </w:rPr>
      </w:pPr>
      <w:bookmarkStart w:id="963"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3"/>
    </w:p>
    <w:p w14:paraId="273976BD" w14:textId="77777777" w:rsidR="00215B92" w:rsidRDefault="00215B92" w:rsidP="00025B10">
      <w:pPr>
        <w:pStyle w:val="MRNumberedHeading2"/>
        <w:jc w:val="both"/>
        <w:rPr>
          <w:rFonts w:cs="Arial"/>
          <w:sz w:val="24"/>
        </w:rPr>
      </w:pPr>
      <w:bookmarkStart w:id="964"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4"/>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5"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5"/>
    </w:p>
    <w:p w14:paraId="7802E05D" w14:textId="77777777" w:rsidR="00370B82" w:rsidRDefault="00215B92" w:rsidP="00370B82">
      <w:pPr>
        <w:pStyle w:val="MRNumberedHeading2"/>
        <w:jc w:val="both"/>
        <w:rPr>
          <w:rFonts w:cs="Arial"/>
          <w:sz w:val="24"/>
        </w:rPr>
      </w:pPr>
      <w:bookmarkStart w:id="966"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6"/>
      <w:r w:rsidRPr="00025B10">
        <w:rPr>
          <w:rFonts w:cs="Arial"/>
          <w:sz w:val="24"/>
        </w:rPr>
        <w:t xml:space="preserve">  </w:t>
      </w:r>
      <w:bookmarkStart w:id="967"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7"/>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8" w:name="_Ref377720243"/>
      <w:r w:rsidRPr="00CD0E75">
        <w:rPr>
          <w:sz w:val="24"/>
          <w:lang w:val="en-US"/>
        </w:rPr>
        <w:t>of these Call-off Terms and Conditions</w:t>
      </w:r>
      <w:bookmarkEnd w:id="968"/>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t>
      </w:r>
      <w:proofErr w:type="gramStart"/>
      <w:r w:rsidRPr="00025B10">
        <w:rPr>
          <w:rFonts w:cs="Arial"/>
          <w:sz w:val="24"/>
        </w:rPr>
        <w:t>works</w:t>
      </w:r>
      <w:proofErr w:type="gramEnd"/>
      <w:r w:rsidRPr="00025B10">
        <w:rPr>
          <w:rFonts w:cs="Arial"/>
          <w:sz w:val="24"/>
        </w:rPr>
        <w:t xml:space="preserve">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9" w:name="_Ref285629707"/>
      <w:bookmarkStart w:id="970" w:name="_Ref289670162"/>
      <w:bookmarkStart w:id="971" w:name="_Toc303949048"/>
      <w:bookmarkStart w:id="972" w:name="_Toc303949810"/>
      <w:bookmarkStart w:id="973" w:name="_Toc303950577"/>
      <w:bookmarkStart w:id="974" w:name="_Toc303951357"/>
      <w:bookmarkStart w:id="975"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6" w:name="_Ref443644492"/>
      <w:r w:rsidRPr="00025B10">
        <w:rPr>
          <w:rFonts w:cs="Arial"/>
          <w:sz w:val="24"/>
          <w:szCs w:val="24"/>
        </w:rPr>
        <w:t>the Authority shall be entitled to terminate this Contract with immediate effect on giving written notice to the Supplier.</w:t>
      </w:r>
      <w:bookmarkEnd w:id="976"/>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9"/>
      <w:bookmarkEnd w:id="970"/>
      <w:bookmarkEnd w:id="971"/>
      <w:bookmarkEnd w:id="972"/>
      <w:bookmarkEnd w:id="973"/>
      <w:bookmarkEnd w:id="974"/>
      <w:bookmarkEnd w:id="975"/>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7" w:name="_Ref350761859"/>
      <w:r w:rsidRPr="00CD0E75">
        <w:rPr>
          <w:rFonts w:ascii="Arial" w:hAnsi="Arial"/>
          <w:b/>
          <w:color w:val="auto"/>
          <w:sz w:val="24"/>
        </w:rPr>
        <w:t>Delivery</w:t>
      </w:r>
      <w:bookmarkEnd w:id="977"/>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w:t>
      </w:r>
      <w:proofErr w:type="gramStart"/>
      <w:r w:rsidRPr="00025B10">
        <w:rPr>
          <w:rFonts w:cs="Arial"/>
          <w:sz w:val="24"/>
          <w:lang w:val="en-US"/>
        </w:rPr>
        <w:t>employee</w:t>
      </w:r>
      <w:proofErr w:type="gramEnd"/>
      <w:r w:rsidRPr="00025B10">
        <w:rPr>
          <w:rFonts w:cs="Arial"/>
          <w:sz w:val="24"/>
          <w:lang w:val="en-US"/>
        </w:rPr>
        <w:t xml:space="preserv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8"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8"/>
    </w:p>
    <w:p w14:paraId="5C35CDEC" w14:textId="77777777" w:rsidR="00CC6C24" w:rsidRPr="00E2626B" w:rsidRDefault="00CC6C24" w:rsidP="007A00AF">
      <w:pPr>
        <w:pStyle w:val="MRNumberedHeading2"/>
        <w:spacing w:line="240" w:lineRule="auto"/>
        <w:jc w:val="both"/>
        <w:rPr>
          <w:rFonts w:cs="Arial"/>
          <w:sz w:val="24"/>
          <w:lang w:val="en-US"/>
        </w:rPr>
      </w:pPr>
      <w:bookmarkStart w:id="979"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9"/>
    </w:p>
    <w:p w14:paraId="1729C029" w14:textId="77777777" w:rsidR="00215B92" w:rsidRPr="00025B10" w:rsidRDefault="00196395" w:rsidP="00025B10">
      <w:pPr>
        <w:pStyle w:val="MRNumberedHeading2"/>
        <w:spacing w:line="240" w:lineRule="auto"/>
        <w:jc w:val="both"/>
        <w:rPr>
          <w:rFonts w:cs="Arial"/>
          <w:sz w:val="24"/>
        </w:rPr>
      </w:pPr>
      <w:bookmarkStart w:id="980" w:name="_Ref124763027"/>
      <w:bookmarkStart w:id="981"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80"/>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2"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3" w:name="_Hlk124696030"/>
      <w:r w:rsidR="00215B92" w:rsidRPr="00025B10">
        <w:rPr>
          <w:rFonts w:cs="Arial"/>
          <w:sz w:val="24"/>
        </w:rPr>
        <w:t>In the case of any Goods supplied from outside the United Kingdom,</w:t>
      </w:r>
      <w:bookmarkEnd w:id="983"/>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2"/>
      <w:r w:rsidR="001A48D4" w:rsidRPr="00025B10">
        <w:rPr>
          <w:rFonts w:cs="Arial"/>
          <w:sz w:val="24"/>
        </w:rPr>
        <w:t xml:space="preserve"> </w:t>
      </w:r>
    </w:p>
    <w:bookmarkEnd w:id="981"/>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4" w:name="_Ref350761870"/>
      <w:r w:rsidRPr="00CD0E75">
        <w:rPr>
          <w:rFonts w:ascii="Arial" w:hAnsi="Arial"/>
          <w:b/>
          <w:color w:val="auto"/>
          <w:sz w:val="24"/>
        </w:rPr>
        <w:t>Passing of risk and ownership</w:t>
      </w:r>
      <w:bookmarkEnd w:id="984"/>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5" w:name="_Ref350347037"/>
      <w:r w:rsidRPr="00025B10">
        <w:rPr>
          <w:rFonts w:cs="Arial"/>
          <w:sz w:val="24"/>
          <w:lang w:val="en-US"/>
        </w:rPr>
        <w:t>where the goods are consumables or are non-recoverable (e.g. used in clinical procedures), at the point such Goods are taken into use</w:t>
      </w:r>
      <w:bookmarkEnd w:id="985"/>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6" w:name="_Ref350761889"/>
      <w:r w:rsidRPr="00CD0E75">
        <w:rPr>
          <w:rFonts w:ascii="Arial" w:hAnsi="Arial"/>
          <w:b/>
          <w:color w:val="auto"/>
          <w:sz w:val="24"/>
        </w:rPr>
        <w:t>Inspection, rejection, return and recall</w:t>
      </w:r>
      <w:bookmarkEnd w:id="986"/>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7" w:name="_Ref322528467"/>
      <w:bookmarkStart w:id="988" w:name="_Ref322513368"/>
      <w:bookmarkStart w:id="989" w:name="_Ref322515064"/>
      <w:bookmarkStart w:id="990"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7"/>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1" w:name="_Ref322515338"/>
      <w:bookmarkStart w:id="992" w:name="_Ref323549358"/>
      <w:bookmarkStart w:id="993"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4" w:name="_Ref402868015"/>
      <w:r w:rsidRPr="00A62770">
        <w:rPr>
          <w:rFonts w:cs="Arial"/>
          <w:sz w:val="24"/>
          <w:lang w:val="en-US"/>
        </w:rPr>
        <w:t>collect the Rejected Goods at the Supplier’s risk and expense within ten (10) Business Days of issue of written notice from the Authority rejecting the Goods; and</w:t>
      </w:r>
      <w:bookmarkEnd w:id="994"/>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8"/>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1"/>
      <w:r w:rsidRPr="00A62770">
        <w:rPr>
          <w:rFonts w:cs="Arial"/>
          <w:sz w:val="24"/>
        </w:rPr>
        <w:t xml:space="preserve"> </w:t>
      </w:r>
      <w:bookmarkStart w:id="995" w:name="_Ref322515002"/>
      <w:bookmarkEnd w:id="989"/>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6"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2"/>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3"/>
      <w:bookmarkEnd w:id="996"/>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7"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7"/>
    </w:p>
    <w:p w14:paraId="04CB1E46" w14:textId="77777777" w:rsidR="00CC6C24" w:rsidRPr="00025B10" w:rsidRDefault="00CC6C24" w:rsidP="007A00AF">
      <w:pPr>
        <w:pStyle w:val="MRNumberedHeading2"/>
        <w:spacing w:line="240" w:lineRule="auto"/>
        <w:jc w:val="both"/>
        <w:rPr>
          <w:rFonts w:cs="Arial"/>
          <w:sz w:val="24"/>
        </w:rPr>
      </w:pPr>
      <w:bookmarkStart w:id="998" w:name="_Ref350335756"/>
      <w:bookmarkStart w:id="999" w:name="_Ref322424122"/>
      <w:bookmarkStart w:id="1000" w:name="_Ref348516660"/>
      <w:bookmarkStart w:id="1001" w:name="_Ref350331789"/>
      <w:bookmarkEnd w:id="990"/>
      <w:bookmarkEnd w:id="995"/>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8"/>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9"/>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2" w:name="_Ref322528228"/>
      <w:bookmarkEnd w:id="1000"/>
      <w:bookmarkEnd w:id="1001"/>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2"/>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3"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3"/>
    </w:p>
    <w:p w14:paraId="7E509F1C" w14:textId="77777777" w:rsidR="00CC6C24" w:rsidRPr="00025B10" w:rsidRDefault="00CC6C24" w:rsidP="00CD0E75">
      <w:pPr>
        <w:pStyle w:val="MRNumberedHeading3"/>
        <w:spacing w:line="240" w:lineRule="auto"/>
        <w:jc w:val="both"/>
        <w:rPr>
          <w:rFonts w:cs="Arial"/>
          <w:sz w:val="24"/>
          <w:lang w:val="en-US"/>
        </w:rPr>
      </w:pPr>
      <w:bookmarkStart w:id="1004"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4"/>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5"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5"/>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6" w:name="_Ref350761903"/>
      <w:r w:rsidRPr="00CD0E75">
        <w:rPr>
          <w:rFonts w:ascii="Arial" w:hAnsi="Arial"/>
          <w:b/>
          <w:color w:val="auto"/>
          <w:sz w:val="24"/>
        </w:rPr>
        <w:t>Staff</w:t>
      </w:r>
      <w:bookmarkEnd w:id="1006"/>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7" w:name="_Toc303949076"/>
      <w:bookmarkStart w:id="1008" w:name="_Toc303949839"/>
      <w:bookmarkStart w:id="1009" w:name="_Toc303950606"/>
      <w:bookmarkStart w:id="1010" w:name="_Toc303951386"/>
      <w:bookmarkStart w:id="1011" w:name="_Toc304135469"/>
      <w:r w:rsidRPr="00025B10">
        <w:rPr>
          <w:rFonts w:cs="Arial"/>
          <w:sz w:val="24"/>
        </w:rPr>
        <w:t>The Supplier shall ensure that all Staff are aware of, and at all times comply with, the Policies.</w:t>
      </w:r>
      <w:bookmarkEnd w:id="1007"/>
      <w:bookmarkEnd w:id="1008"/>
      <w:bookmarkEnd w:id="1009"/>
      <w:bookmarkEnd w:id="1010"/>
      <w:bookmarkEnd w:id="1011"/>
    </w:p>
    <w:p w14:paraId="02C4B529" w14:textId="77777777" w:rsidR="00CC6C24" w:rsidRPr="00025B10" w:rsidRDefault="00CC6C24" w:rsidP="00CD0E75">
      <w:pPr>
        <w:pStyle w:val="MRNumberedHeading2"/>
        <w:spacing w:line="240" w:lineRule="auto"/>
        <w:jc w:val="both"/>
        <w:rPr>
          <w:rFonts w:cs="Arial"/>
          <w:sz w:val="24"/>
        </w:rPr>
      </w:pPr>
      <w:bookmarkStart w:id="1012" w:name="_Toc303949079"/>
      <w:bookmarkStart w:id="1013" w:name="_Toc303949842"/>
      <w:bookmarkStart w:id="1014" w:name="_Toc303950609"/>
      <w:bookmarkStart w:id="1015" w:name="_Toc303951389"/>
      <w:bookmarkStart w:id="1016" w:name="_Toc304135472"/>
      <w:r w:rsidRPr="00025B10">
        <w:rPr>
          <w:rFonts w:cs="Arial"/>
          <w:sz w:val="24"/>
        </w:rPr>
        <w:t xml:space="preserve">The Supplier shall employ only such persons as are careful, </w:t>
      </w:r>
      <w:proofErr w:type="gramStart"/>
      <w:r w:rsidRPr="00025B10">
        <w:rPr>
          <w:rFonts w:cs="Arial"/>
          <w:sz w:val="24"/>
        </w:rPr>
        <w:t>skilled</w:t>
      </w:r>
      <w:proofErr w:type="gramEnd"/>
      <w:r w:rsidRPr="00025B10">
        <w:rPr>
          <w:rFonts w:cs="Arial"/>
          <w:sz w:val="24"/>
        </w:rPr>
        <w:t xml:space="preserve">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2"/>
      <w:bookmarkEnd w:id="1013"/>
      <w:bookmarkEnd w:id="1014"/>
      <w:bookmarkEnd w:id="1015"/>
      <w:bookmarkEnd w:id="1016"/>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7" w:name="_Ref287960781"/>
      <w:bookmarkStart w:id="1018" w:name="_Toc303949080"/>
      <w:bookmarkStart w:id="1019" w:name="_Toc303949843"/>
      <w:bookmarkStart w:id="1020" w:name="_Toc303950610"/>
      <w:bookmarkStart w:id="1021" w:name="_Toc303951390"/>
      <w:bookmarkStart w:id="1022" w:name="_Toc304135473"/>
      <w:r w:rsidRPr="00025B10">
        <w:rPr>
          <w:rFonts w:cs="Arial"/>
          <w:sz w:val="24"/>
        </w:rPr>
        <w:t xml:space="preserve">The Supplier shall comply with the Authority’s staff vetting procedures and other staff protocols, </w:t>
      </w:r>
      <w:bookmarkEnd w:id="1017"/>
      <w:bookmarkEnd w:id="1018"/>
      <w:bookmarkEnd w:id="1019"/>
      <w:bookmarkEnd w:id="1020"/>
      <w:bookmarkEnd w:id="1021"/>
      <w:bookmarkEnd w:id="1022"/>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3" w:name="_Ref378939788"/>
      <w:r w:rsidRPr="00CD0E75">
        <w:rPr>
          <w:rFonts w:ascii="Arial" w:hAnsi="Arial"/>
          <w:b/>
          <w:color w:val="auto"/>
          <w:sz w:val="24"/>
        </w:rPr>
        <w:t>Business continuity</w:t>
      </w:r>
      <w:bookmarkEnd w:id="1023"/>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4" w:name="_Toc303949092"/>
      <w:bookmarkStart w:id="1025" w:name="_Toc303949857"/>
      <w:bookmarkStart w:id="1026" w:name="_Toc303950624"/>
      <w:bookmarkStart w:id="1027" w:name="_Toc303951404"/>
      <w:bookmarkStart w:id="1028"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4"/>
      <w:bookmarkEnd w:id="1025"/>
      <w:bookmarkEnd w:id="1026"/>
      <w:bookmarkEnd w:id="1027"/>
      <w:bookmarkEnd w:id="1028"/>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9"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9"/>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30"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30"/>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1"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1"/>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2" w:name="_Ref378940660"/>
      <w:r w:rsidRPr="00CD0E75">
        <w:rPr>
          <w:rFonts w:ascii="Arial" w:hAnsi="Arial"/>
          <w:b/>
          <w:color w:val="auto"/>
          <w:sz w:val="24"/>
          <w:lang w:val="en-US"/>
        </w:rPr>
        <w:t>Price and payment</w:t>
      </w:r>
      <w:bookmarkEnd w:id="1032"/>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3" w:name="_Ref351026548"/>
      <w:r w:rsidRPr="00025B10">
        <w:rPr>
          <w:rFonts w:cs="Arial"/>
          <w:w w:val="0"/>
          <w:sz w:val="24"/>
        </w:rPr>
        <w:t>Unless stated otherwise in the Framework Agreement and/or the Order Form:</w:t>
      </w:r>
      <w:bookmarkEnd w:id="1033"/>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4"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4"/>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5" w:name="_Ref442347191"/>
      <w:bookmarkStart w:id="1036" w:name="_Ref442347142"/>
      <w:bookmarkStart w:id="1037"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5"/>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8" w:name="_Ref442347296"/>
      <w:bookmarkStart w:id="1039" w:name="_Ref124763124"/>
      <w:bookmarkEnd w:id="1036"/>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8"/>
      <w:bookmarkEnd w:id="1039"/>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40" w:name="_Ref124763172"/>
      <w:bookmarkStart w:id="1041"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40"/>
    </w:p>
    <w:p w14:paraId="73B62CE9" w14:textId="77777777" w:rsidR="00CC6C24" w:rsidRPr="00025B10" w:rsidRDefault="00CC6C24" w:rsidP="00CD0E75">
      <w:pPr>
        <w:pStyle w:val="MRNumberedHeading2"/>
        <w:spacing w:line="240" w:lineRule="auto"/>
        <w:jc w:val="both"/>
        <w:rPr>
          <w:rFonts w:cs="Arial"/>
          <w:w w:val="0"/>
          <w:sz w:val="24"/>
        </w:rPr>
      </w:pPr>
      <w:bookmarkStart w:id="1042" w:name="_Ref124763221"/>
      <w:r w:rsidRPr="00025B10">
        <w:rPr>
          <w:rFonts w:cs="Arial"/>
          <w:w w:val="0"/>
          <w:sz w:val="24"/>
        </w:rPr>
        <w:t>Where the Supplier enters into a Sub-contract, the Supplier shall include in that Sub-contract:</w:t>
      </w:r>
      <w:bookmarkEnd w:id="1041"/>
      <w:bookmarkEnd w:id="1042"/>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3" w:name="_Ref124768251"/>
      <w:bookmarkStart w:id="1044" w:name="_Ref289955369"/>
      <w:bookmarkStart w:id="1045" w:name="_Toc303949929"/>
      <w:bookmarkStart w:id="1046" w:name="_Toc303950696"/>
      <w:bookmarkStart w:id="1047" w:name="_Toc303951476"/>
      <w:bookmarkStart w:id="1048" w:name="_Toc304135559"/>
      <w:bookmarkEnd w:id="1037"/>
      <w:r w:rsidRPr="00025B10">
        <w:rPr>
          <w:rFonts w:cs="Arial"/>
          <w:sz w:val="24"/>
        </w:rPr>
        <w:t>The Authority reserves the right to set-off:</w:t>
      </w:r>
      <w:bookmarkEnd w:id="1043"/>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4"/>
      <w:bookmarkEnd w:id="1045"/>
      <w:bookmarkEnd w:id="1046"/>
      <w:bookmarkEnd w:id="1047"/>
      <w:bookmarkEnd w:id="1048"/>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9" w:name="_Ref378861034"/>
      <w:r w:rsidRPr="00CD0E75">
        <w:rPr>
          <w:rFonts w:ascii="Arial" w:hAnsi="Arial"/>
          <w:b/>
          <w:color w:val="auto"/>
          <w:w w:val="0"/>
          <w:sz w:val="24"/>
        </w:rPr>
        <w:t>Warranties</w:t>
      </w:r>
      <w:bookmarkEnd w:id="1049"/>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50" w:name="_Toc303949932"/>
      <w:bookmarkStart w:id="1051" w:name="_Toc303950699"/>
      <w:bookmarkStart w:id="1052" w:name="_Toc303951479"/>
      <w:bookmarkStart w:id="1053"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4" w:name="_Toc303949935"/>
      <w:bookmarkStart w:id="1055" w:name="_Toc303950702"/>
      <w:bookmarkStart w:id="1056" w:name="_Toc303951482"/>
      <w:bookmarkStart w:id="1057" w:name="_Toc304135565"/>
      <w:bookmarkStart w:id="1058" w:name="_Ref350938757"/>
      <w:bookmarkEnd w:id="1050"/>
      <w:bookmarkEnd w:id="1051"/>
      <w:bookmarkEnd w:id="1052"/>
      <w:bookmarkEnd w:id="1053"/>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4"/>
      <w:bookmarkEnd w:id="1055"/>
      <w:bookmarkEnd w:id="1056"/>
      <w:bookmarkEnd w:id="1057"/>
      <w:bookmarkEnd w:id="1058"/>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9" w:name="_Toc303949934"/>
      <w:bookmarkStart w:id="1060" w:name="_Toc303950701"/>
      <w:bookmarkStart w:id="1061" w:name="_Toc303951481"/>
      <w:bookmarkStart w:id="1062"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w:t>
      </w:r>
      <w:proofErr w:type="gramStart"/>
      <w:r w:rsidRPr="00025B10">
        <w:rPr>
          <w:rFonts w:cs="Arial"/>
          <w:w w:val="0"/>
          <w:sz w:val="24"/>
        </w:rPr>
        <w:t>purpose</w:t>
      </w:r>
      <w:proofErr w:type="gramEnd"/>
      <w:r w:rsidRPr="00025B10">
        <w:rPr>
          <w:rFonts w:cs="Arial"/>
          <w:w w:val="0"/>
          <w:sz w:val="24"/>
        </w:rPr>
        <w:t xml:space="preserv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3"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4"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3"/>
      <w:bookmarkEnd w:id="1064"/>
    </w:p>
    <w:p w14:paraId="40FEB6B8" w14:textId="77777777" w:rsidR="00CC6C24" w:rsidRPr="00045009" w:rsidRDefault="00CC6C24" w:rsidP="00CD0E75">
      <w:pPr>
        <w:pStyle w:val="MRNumberedHeading3"/>
        <w:spacing w:line="240" w:lineRule="auto"/>
        <w:jc w:val="both"/>
        <w:rPr>
          <w:rFonts w:cs="Arial"/>
          <w:w w:val="0"/>
          <w:sz w:val="24"/>
        </w:rPr>
      </w:pPr>
      <w:bookmarkStart w:id="1065"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9"/>
      <w:bookmarkEnd w:id="1060"/>
      <w:bookmarkEnd w:id="1061"/>
      <w:bookmarkEnd w:id="1062"/>
      <w:bookmarkEnd w:id="1065"/>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6"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6"/>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7"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7"/>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w:t>
      </w:r>
      <w:proofErr w:type="gramStart"/>
      <w:r w:rsidR="007A3A15" w:rsidRPr="00025B10">
        <w:rPr>
          <w:rFonts w:cs="Arial"/>
          <w:w w:val="0"/>
          <w:sz w:val="24"/>
        </w:rPr>
        <w:t>complaints</w:t>
      </w:r>
      <w:proofErr w:type="gramEnd"/>
      <w:r w:rsidR="007A3A15" w:rsidRPr="00025B10">
        <w:rPr>
          <w:rFonts w:cs="Arial"/>
          <w:w w:val="0"/>
          <w:sz w:val="24"/>
        </w:rPr>
        <w:t xml:space="preserve">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w:t>
      </w:r>
      <w:proofErr w:type="gramStart"/>
      <w:r w:rsidRPr="00025B10">
        <w:rPr>
          <w:rFonts w:cs="Arial"/>
          <w:w w:val="0"/>
          <w:sz w:val="24"/>
        </w:rPr>
        <w:t>funding</w:t>
      </w:r>
      <w:proofErr w:type="gramEnd"/>
      <w:r w:rsidRPr="00025B10">
        <w:rPr>
          <w:rFonts w:cs="Arial"/>
          <w:w w:val="0"/>
          <w:sz w:val="24"/>
        </w:rPr>
        <w:t xml:space="preserve">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8" w:name="_Ref322942527"/>
      <w:r w:rsidRPr="00025B10">
        <w:rPr>
          <w:rFonts w:cs="Arial"/>
          <w:sz w:val="24"/>
        </w:rPr>
        <w:lastRenderedPageBreak/>
        <w:t xml:space="preserve">Where </w:t>
      </w:r>
      <w:bookmarkStart w:id="1069"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9"/>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70"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8"/>
      <w:bookmarkEnd w:id="1070"/>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1"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1"/>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22532387"/>
      <w:r w:rsidRPr="00CD0E75">
        <w:rPr>
          <w:rFonts w:ascii="Arial" w:hAnsi="Arial"/>
          <w:b/>
          <w:color w:val="auto"/>
          <w:w w:val="0"/>
          <w:sz w:val="24"/>
        </w:rPr>
        <w:lastRenderedPageBreak/>
        <w:t>Intellectual property</w:t>
      </w:r>
      <w:bookmarkEnd w:id="1072"/>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3" w:name="_Ref318706818"/>
      <w:r w:rsidRPr="00CD0E75">
        <w:rPr>
          <w:rFonts w:ascii="Arial" w:hAnsi="Arial"/>
          <w:b/>
          <w:color w:val="auto"/>
          <w:w w:val="0"/>
          <w:sz w:val="24"/>
        </w:rPr>
        <w:t>Indemnity</w:t>
      </w:r>
      <w:bookmarkEnd w:id="1073"/>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4" w:name="_Toc303949946"/>
      <w:bookmarkStart w:id="1075" w:name="_Toc303950713"/>
      <w:bookmarkStart w:id="1076" w:name="_Toc303951493"/>
      <w:bookmarkStart w:id="1077" w:name="_Toc304135576"/>
      <w:bookmarkStart w:id="1078" w:name="_Ref327971982"/>
      <w:bookmarkStart w:id="1079" w:name="_Toc303949945"/>
      <w:bookmarkStart w:id="1080" w:name="_Toc303950712"/>
      <w:bookmarkStart w:id="1081" w:name="_Toc303951492"/>
      <w:bookmarkStart w:id="1082" w:name="_Toc304135575"/>
      <w:r w:rsidRPr="00025B10">
        <w:rPr>
          <w:rFonts w:cs="Arial"/>
          <w:sz w:val="24"/>
        </w:rPr>
        <w:t>any injury or allegation of injury to any person, including injury resulting in death;</w:t>
      </w:r>
      <w:bookmarkEnd w:id="1074"/>
      <w:bookmarkEnd w:id="1075"/>
      <w:bookmarkEnd w:id="1076"/>
      <w:bookmarkEnd w:id="1077"/>
      <w:bookmarkEnd w:id="1078"/>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3" w:name="_Ref327971999"/>
      <w:r w:rsidRPr="00025B10">
        <w:rPr>
          <w:rFonts w:cs="Arial"/>
          <w:sz w:val="24"/>
        </w:rPr>
        <w:t>any loss of or damage to property (whether real or personal);</w:t>
      </w:r>
      <w:bookmarkEnd w:id="1083"/>
      <w:r w:rsidRPr="00025B10">
        <w:rPr>
          <w:rFonts w:cs="Arial"/>
          <w:sz w:val="24"/>
        </w:rPr>
        <w:t xml:space="preserve"> </w:t>
      </w:r>
      <w:bookmarkEnd w:id="1079"/>
      <w:bookmarkEnd w:id="1080"/>
      <w:bookmarkEnd w:id="1081"/>
      <w:bookmarkEnd w:id="1082"/>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4" w:name="_Ref348696333"/>
      <w:bookmarkStart w:id="1085"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4"/>
      <w:r w:rsidRPr="00045009">
        <w:rPr>
          <w:rFonts w:cs="Arial"/>
          <w:sz w:val="24"/>
        </w:rPr>
        <w:t xml:space="preserve"> </w:t>
      </w:r>
      <w:bookmarkEnd w:id="1085"/>
    </w:p>
    <w:p w14:paraId="6073491D" w14:textId="77777777" w:rsidR="00CC6C24" w:rsidRPr="00025B10" w:rsidRDefault="00CC6C24" w:rsidP="00CD0E75">
      <w:pPr>
        <w:pStyle w:val="MRNumberedHeading3"/>
        <w:spacing w:line="240" w:lineRule="auto"/>
        <w:jc w:val="both"/>
        <w:rPr>
          <w:rFonts w:cs="Arial"/>
          <w:sz w:val="24"/>
        </w:rPr>
      </w:pPr>
      <w:bookmarkStart w:id="1086" w:name="_Toc303949952"/>
      <w:bookmarkStart w:id="1087" w:name="_Toc303950719"/>
      <w:bookmarkStart w:id="1088" w:name="_Toc303951499"/>
      <w:bookmarkStart w:id="1089"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90"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6"/>
      <w:bookmarkEnd w:id="1087"/>
      <w:bookmarkEnd w:id="1088"/>
      <w:bookmarkEnd w:id="1089"/>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90"/>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1" w:name="_Ref378861741"/>
      <w:r w:rsidRPr="00CD0E75">
        <w:rPr>
          <w:rFonts w:ascii="Arial" w:hAnsi="Arial"/>
          <w:b/>
          <w:color w:val="auto"/>
          <w:w w:val="0"/>
          <w:sz w:val="24"/>
        </w:rPr>
        <w:t>Limitation of liability</w:t>
      </w:r>
      <w:bookmarkEnd w:id="1091"/>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2"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2"/>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3"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3"/>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4"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4"/>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w:t>
      </w:r>
      <w:proofErr w:type="gramStart"/>
      <w:r w:rsidRPr="00025B10">
        <w:rPr>
          <w:rFonts w:cs="Arial"/>
          <w:sz w:val="24"/>
        </w:rPr>
        <w:t>retreating</w:t>
      </w:r>
      <w:proofErr w:type="gramEnd"/>
      <w:r w:rsidRPr="00025B10">
        <w:rPr>
          <w:rFonts w:cs="Arial"/>
          <w:sz w:val="24"/>
        </w:rPr>
        <w:t xml:space="preserve">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5" w:name="_Ref378861556"/>
      <w:r w:rsidRPr="00025B10">
        <w:rPr>
          <w:rFonts w:cs="Arial"/>
          <w:sz w:val="24"/>
        </w:rPr>
        <w:t>If the total Contract Price paid or payable by the Authority to the Supplier over the Term:</w:t>
      </w:r>
      <w:bookmarkEnd w:id="1095"/>
    </w:p>
    <w:p w14:paraId="4B471EA1" w14:textId="77777777" w:rsidR="00CC6C24" w:rsidRPr="00045009" w:rsidRDefault="00CC6C24" w:rsidP="007A00AF">
      <w:pPr>
        <w:pStyle w:val="MRNumberedHeading3"/>
        <w:spacing w:line="240" w:lineRule="auto"/>
        <w:jc w:val="both"/>
        <w:rPr>
          <w:rFonts w:cs="Arial"/>
          <w:sz w:val="24"/>
        </w:rPr>
      </w:pPr>
      <w:bookmarkStart w:id="1096"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6"/>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7" w:name="_Toc303949960"/>
      <w:bookmarkStart w:id="1098" w:name="_Toc303950727"/>
      <w:bookmarkStart w:id="1099" w:name="_Toc303951507"/>
      <w:bookmarkStart w:id="1100"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7"/>
      <w:bookmarkEnd w:id="1098"/>
      <w:bookmarkEnd w:id="1099"/>
      <w:bookmarkEnd w:id="1100"/>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1" w:name="_Ref378861944"/>
      <w:r w:rsidRPr="00CD0E75">
        <w:rPr>
          <w:rFonts w:ascii="Arial" w:hAnsi="Arial"/>
          <w:b/>
          <w:color w:val="auto"/>
          <w:w w:val="0"/>
          <w:sz w:val="24"/>
        </w:rPr>
        <w:lastRenderedPageBreak/>
        <w:t>Insurance</w:t>
      </w:r>
      <w:bookmarkEnd w:id="1101"/>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2"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2"/>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3"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3"/>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4"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4"/>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5"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5"/>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6"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6"/>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7" w:name="_Ref378862640"/>
      <w:r w:rsidRPr="00025B10">
        <w:rPr>
          <w:rFonts w:cs="Arial"/>
          <w:w w:val="0"/>
          <w:sz w:val="24"/>
        </w:rPr>
        <w:t>commits a material breach of any of the terms of this Contract which is:</w:t>
      </w:r>
      <w:bookmarkEnd w:id="1107"/>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8" w:name="_Ref378862590"/>
      <w:r w:rsidRPr="00025B10">
        <w:rPr>
          <w:rFonts w:cs="Arial"/>
          <w:w w:val="0"/>
          <w:sz w:val="24"/>
        </w:rPr>
        <w:t>not capable of remedy; or</w:t>
      </w:r>
      <w:bookmarkEnd w:id="1108"/>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9" w:name="_Ref124768268"/>
      <w:r w:rsidRPr="00025B10">
        <w:rPr>
          <w:rFonts w:cs="Arial"/>
          <w:w w:val="0"/>
          <w:sz w:val="24"/>
        </w:rPr>
        <w:t>in the case of a breach capable of remedy, which is not remedied in accordance with a Remedial Proposal.</w:t>
      </w:r>
      <w:bookmarkEnd w:id="1109"/>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10"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10"/>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1"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1"/>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2"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2"/>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3" w:name="_Ref124768505"/>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3"/>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4" w:name="_Ref323651260"/>
      <w:bookmarkStart w:id="1115"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6"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6"/>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7" w:name="_Ref124768364"/>
      <w:r w:rsidRPr="00CD0E75">
        <w:rPr>
          <w:rFonts w:ascii="Arial" w:hAnsi="Arial"/>
          <w:b/>
          <w:color w:val="auto"/>
          <w:w w:val="0"/>
          <w:sz w:val="24"/>
        </w:rPr>
        <w:lastRenderedPageBreak/>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14"/>
      <w:r w:rsidRPr="00CD0E75">
        <w:rPr>
          <w:rFonts w:ascii="Arial" w:hAnsi="Arial"/>
          <w:b/>
          <w:color w:val="auto"/>
          <w:w w:val="0"/>
          <w:sz w:val="24"/>
        </w:rPr>
        <w:t>and end of use</w:t>
      </w:r>
      <w:bookmarkEnd w:id="1115"/>
      <w:bookmarkEnd w:id="1117"/>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8"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9" w:name="_Ref282592582"/>
      <w:bookmarkEnd w:id="1118"/>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0" w:name="_Ref350762064"/>
      <w:bookmarkEnd w:id="1119"/>
      <w:r w:rsidRPr="00CD0E75">
        <w:rPr>
          <w:rFonts w:ascii="Arial" w:hAnsi="Arial"/>
          <w:b/>
          <w:color w:val="auto"/>
          <w:w w:val="0"/>
          <w:sz w:val="24"/>
        </w:rPr>
        <w:lastRenderedPageBreak/>
        <w:t>Coding requirements</w:t>
      </w:r>
      <w:bookmarkEnd w:id="1120"/>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1"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2" w:name="_Ref351445970"/>
      <w:bookmarkEnd w:id="1121"/>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2"/>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3"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23"/>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w:t>
      </w:r>
      <w:proofErr w:type="gramStart"/>
      <w:r w:rsidRPr="00025B10">
        <w:rPr>
          <w:rFonts w:cs="Arial"/>
          <w:sz w:val="24"/>
        </w:rPr>
        <w:t>social</w:t>
      </w:r>
      <w:proofErr w:type="gramEnd"/>
      <w:r w:rsidRPr="00025B10">
        <w:rPr>
          <w:rFonts w:cs="Arial"/>
          <w:sz w:val="24"/>
        </w:rPr>
        <w:t xml:space="preserve">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4"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4"/>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5" w:name="_Ref94252440"/>
      <w:r w:rsidRPr="00045009">
        <w:rPr>
          <w:rFonts w:cs="Arial"/>
          <w:sz w:val="24"/>
        </w:rPr>
        <w:t>The Supplier shall:</w:t>
      </w:r>
      <w:bookmarkEnd w:id="1125"/>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6" w:name="_Hlk92995572"/>
      <w:bookmarkStart w:id="1127" w:name="_Hlk93091502"/>
      <w:r w:rsidRPr="00025B10">
        <w:rPr>
          <w:rFonts w:cs="Arial"/>
          <w:sz w:val="24"/>
        </w:rPr>
        <w:t>in accordance with Good Industry Practice with the aim of avoiding</w:t>
      </w:r>
      <w:bookmarkEnd w:id="1126"/>
      <w:r w:rsidRPr="00025B10">
        <w:rPr>
          <w:rFonts w:cs="Arial"/>
          <w:sz w:val="24"/>
        </w:rPr>
        <w:t xml:space="preserve"> </w:t>
      </w:r>
      <w:bookmarkEnd w:id="1127"/>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8"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8"/>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9" w:name="_Ref94252424"/>
      <w:r w:rsidRPr="00025B10">
        <w:rPr>
          <w:rFonts w:cs="Arial"/>
          <w:sz w:val="24"/>
        </w:rPr>
        <w:t>The Supplier shall notify the Authority as soon as it becomes aware of:</w:t>
      </w:r>
      <w:bookmarkEnd w:id="1129"/>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30"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30"/>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1" w:name="_Ref102565962"/>
      <w:r w:rsidRPr="00025B10">
        <w:rPr>
          <w:rFonts w:cs="Arial"/>
          <w:sz w:val="24"/>
        </w:rPr>
        <w:t>terminate this Contract by issuing a Termination Notice to the Supplier.</w:t>
      </w:r>
      <w:bookmarkEnd w:id="1131"/>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2" w:name="_Ref378863017"/>
      <w:r w:rsidRPr="00CD0E75">
        <w:rPr>
          <w:rFonts w:ascii="Arial" w:hAnsi="Arial"/>
          <w:b/>
          <w:color w:val="auto"/>
          <w:w w:val="0"/>
          <w:sz w:val="24"/>
        </w:rPr>
        <w:t>Electronic product information</w:t>
      </w:r>
      <w:bookmarkEnd w:id="1132"/>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3"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3"/>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4"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4"/>
    </w:p>
    <w:p w14:paraId="3093E157" w14:textId="77777777" w:rsidR="00CC6C24" w:rsidRPr="00045009" w:rsidRDefault="00CC6C24" w:rsidP="007A00AF">
      <w:pPr>
        <w:pStyle w:val="MRNumberedHeading2"/>
        <w:spacing w:line="240" w:lineRule="auto"/>
        <w:jc w:val="both"/>
        <w:rPr>
          <w:rFonts w:cs="Arial"/>
          <w:sz w:val="24"/>
        </w:rPr>
      </w:pPr>
      <w:bookmarkStart w:id="1135"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5"/>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 xml:space="preserve">The Supplier shall indemnify the Authority from against all costs, claims, charges, demands, liabilities, damages, </w:t>
      </w:r>
      <w:proofErr w:type="gramStart"/>
      <w:r w:rsidRPr="00E2626B">
        <w:rPr>
          <w:rFonts w:cs="Arial"/>
          <w:sz w:val="24"/>
        </w:rPr>
        <w:t>losses</w:t>
      </w:r>
      <w:proofErr w:type="gramEnd"/>
      <w:r w:rsidRPr="00E2626B">
        <w:rPr>
          <w:rFonts w:cs="Arial"/>
          <w:sz w:val="24"/>
        </w:rPr>
        <w:t xml:space="preserve">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6"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6"/>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7" w:name="_Ref502928192"/>
      <w:r w:rsidRPr="00025B10">
        <w:rPr>
          <w:rFonts w:cs="Arial"/>
          <w:sz w:val="24"/>
          <w:szCs w:val="24"/>
          <w:lang w:val="en-US"/>
        </w:rPr>
        <w:t>Any change to the Data Protection Protocol shall be made in accordance with the relevant provisions of that protocol.</w:t>
      </w:r>
      <w:bookmarkEnd w:id="1137"/>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8" w:name="_Ref378939659"/>
      <w:r w:rsidRPr="00CD0E75">
        <w:rPr>
          <w:rFonts w:ascii="Arial" w:hAnsi="Arial"/>
          <w:b/>
          <w:color w:val="auto"/>
          <w:w w:val="0"/>
          <w:sz w:val="24"/>
        </w:rPr>
        <w:t>Dispute resolution</w:t>
      </w:r>
      <w:bookmarkEnd w:id="1138"/>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9"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9"/>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40"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40"/>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1" w:name="_Ref378939742"/>
      <w:r w:rsidRPr="00CD0E75">
        <w:rPr>
          <w:rFonts w:ascii="Arial" w:hAnsi="Arial"/>
          <w:b/>
          <w:color w:val="auto"/>
          <w:sz w:val="24"/>
          <w:lang w:val="en-US"/>
        </w:rPr>
        <w:lastRenderedPageBreak/>
        <w:t>Force majeure</w:t>
      </w:r>
      <w:bookmarkEnd w:id="1141"/>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2"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2"/>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3"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43"/>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4"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4"/>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5"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5"/>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6" w:name="_Ref378940253"/>
      <w:r w:rsidRPr="00CD0E75">
        <w:rPr>
          <w:rFonts w:ascii="Arial" w:hAnsi="Arial"/>
          <w:b/>
          <w:color w:val="auto"/>
          <w:sz w:val="24"/>
          <w:lang w:val="en-US"/>
        </w:rPr>
        <w:t>Records retention and right of audit</w:t>
      </w:r>
      <w:bookmarkEnd w:id="1146"/>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7"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7"/>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8"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8"/>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9"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9"/>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0" w:name="_Ref378940376"/>
      <w:r w:rsidRPr="00CD0E75">
        <w:rPr>
          <w:rFonts w:ascii="Arial" w:hAnsi="Arial"/>
          <w:b/>
          <w:color w:val="auto"/>
          <w:sz w:val="24"/>
          <w:lang w:val="en-US"/>
        </w:rPr>
        <w:lastRenderedPageBreak/>
        <w:t>Equality and human rights</w:t>
      </w:r>
      <w:bookmarkEnd w:id="1150"/>
    </w:p>
    <w:p w14:paraId="5990A7D2" w14:textId="77777777" w:rsidR="00CC6C24" w:rsidRPr="00045009" w:rsidRDefault="00CC6C24" w:rsidP="00CD0E75">
      <w:pPr>
        <w:pStyle w:val="MRNumberedHeading2"/>
        <w:spacing w:line="240" w:lineRule="auto"/>
        <w:jc w:val="both"/>
        <w:rPr>
          <w:rFonts w:cs="Arial"/>
          <w:w w:val="0"/>
          <w:sz w:val="24"/>
        </w:rPr>
      </w:pPr>
      <w:bookmarkStart w:id="1151" w:name="_Ref124768432"/>
      <w:r w:rsidRPr="00045009">
        <w:rPr>
          <w:rFonts w:cs="Arial"/>
          <w:w w:val="0"/>
          <w:sz w:val="24"/>
        </w:rPr>
        <w:t>The Supplier shall:</w:t>
      </w:r>
      <w:bookmarkEnd w:id="1151"/>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2"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2"/>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3"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153"/>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4"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4"/>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5" w:name="_Ref286069838"/>
      <w:bookmarkStart w:id="1156" w:name="_Toc303950136"/>
      <w:bookmarkStart w:id="1157" w:name="_Toc303950903"/>
      <w:bookmarkStart w:id="1158" w:name="_Toc303951683"/>
      <w:bookmarkStart w:id="1159"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5"/>
      <w:bookmarkEnd w:id="1156"/>
      <w:bookmarkEnd w:id="1157"/>
      <w:bookmarkEnd w:id="1158"/>
      <w:bookmarkEnd w:id="1159"/>
    </w:p>
    <w:p w14:paraId="79FF9B22" w14:textId="77777777" w:rsidR="00CC6C24" w:rsidRPr="00045009" w:rsidRDefault="00CC6C24" w:rsidP="007A00AF">
      <w:pPr>
        <w:pStyle w:val="MRNumberedHeading3"/>
        <w:spacing w:line="240" w:lineRule="auto"/>
        <w:jc w:val="both"/>
        <w:rPr>
          <w:rFonts w:cs="Arial"/>
          <w:sz w:val="24"/>
        </w:rPr>
      </w:pPr>
      <w:bookmarkStart w:id="1160" w:name="_Toc303950137"/>
      <w:bookmarkStart w:id="1161" w:name="_Toc303950904"/>
      <w:bookmarkStart w:id="1162" w:name="_Toc303951684"/>
      <w:bookmarkStart w:id="1163"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60"/>
      <w:bookmarkEnd w:id="1161"/>
      <w:bookmarkEnd w:id="1162"/>
      <w:bookmarkEnd w:id="1163"/>
    </w:p>
    <w:p w14:paraId="5DEF5858" w14:textId="77777777" w:rsidR="00CC6C24" w:rsidRPr="00E2626B" w:rsidRDefault="00CC6C24" w:rsidP="00CD0E75">
      <w:pPr>
        <w:pStyle w:val="MRNumberedHeading3"/>
        <w:spacing w:line="240" w:lineRule="auto"/>
        <w:jc w:val="both"/>
        <w:rPr>
          <w:rFonts w:cs="Arial"/>
          <w:sz w:val="24"/>
        </w:rPr>
      </w:pPr>
      <w:bookmarkStart w:id="1164" w:name="_Toc303950138"/>
      <w:bookmarkStart w:id="1165" w:name="_Toc303950905"/>
      <w:bookmarkStart w:id="1166" w:name="_Toc303951685"/>
      <w:bookmarkStart w:id="1167" w:name="_Toc304135768"/>
      <w:r w:rsidRPr="00E2626B">
        <w:rPr>
          <w:rFonts w:cs="Arial"/>
          <w:sz w:val="24"/>
        </w:rPr>
        <w:t>all related rights of the Authority in relation to the recovery of sums due but unpaid;</w:t>
      </w:r>
      <w:bookmarkEnd w:id="1164"/>
      <w:bookmarkEnd w:id="1165"/>
      <w:bookmarkEnd w:id="1166"/>
      <w:bookmarkEnd w:id="1167"/>
    </w:p>
    <w:p w14:paraId="421CFE83" w14:textId="77777777" w:rsidR="00CC6C24" w:rsidRPr="00025B10" w:rsidRDefault="00CC6C24" w:rsidP="00CD0E75">
      <w:pPr>
        <w:pStyle w:val="MRNumberedHeading3"/>
        <w:spacing w:line="240" w:lineRule="auto"/>
        <w:jc w:val="both"/>
        <w:rPr>
          <w:rFonts w:cs="Arial"/>
          <w:sz w:val="24"/>
        </w:rPr>
      </w:pPr>
      <w:bookmarkStart w:id="1168" w:name="_Toc303950139"/>
      <w:bookmarkStart w:id="1169" w:name="_Toc303950906"/>
      <w:bookmarkStart w:id="1170" w:name="_Toc303951686"/>
      <w:bookmarkStart w:id="1171"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8"/>
      <w:bookmarkEnd w:id="1169"/>
      <w:bookmarkEnd w:id="1170"/>
      <w:bookmarkEnd w:id="1171"/>
    </w:p>
    <w:p w14:paraId="6D5CB98F" w14:textId="77777777" w:rsidR="00CC6C24" w:rsidRPr="00025B10" w:rsidRDefault="00CC6C24" w:rsidP="007A00AF">
      <w:pPr>
        <w:pStyle w:val="MRNumberedHeading3"/>
        <w:spacing w:line="240" w:lineRule="auto"/>
        <w:jc w:val="both"/>
        <w:rPr>
          <w:rFonts w:cs="Arial"/>
          <w:sz w:val="24"/>
        </w:rPr>
      </w:pPr>
      <w:bookmarkStart w:id="1172" w:name="_Toc303950140"/>
      <w:bookmarkStart w:id="1173" w:name="_Toc303950907"/>
      <w:bookmarkStart w:id="1174" w:name="_Toc303951687"/>
      <w:bookmarkStart w:id="1175"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2"/>
      <w:bookmarkEnd w:id="1173"/>
      <w:bookmarkEnd w:id="1174"/>
      <w:bookmarkEnd w:id="1175"/>
    </w:p>
    <w:p w14:paraId="19479837" w14:textId="77777777" w:rsidR="00CC6C24" w:rsidRPr="00025B10" w:rsidRDefault="00CC6C24" w:rsidP="00CD0E75">
      <w:pPr>
        <w:pStyle w:val="MRNumberedHeading3"/>
        <w:spacing w:line="240" w:lineRule="auto"/>
        <w:jc w:val="both"/>
        <w:rPr>
          <w:rFonts w:cs="Arial"/>
          <w:sz w:val="24"/>
        </w:rPr>
      </w:pPr>
      <w:bookmarkStart w:id="1176" w:name="_Toc303950141"/>
      <w:bookmarkStart w:id="1177" w:name="_Toc303950908"/>
      <w:bookmarkStart w:id="1178" w:name="_Toc303951688"/>
      <w:bookmarkStart w:id="1179"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6"/>
      <w:bookmarkEnd w:id="1177"/>
      <w:bookmarkEnd w:id="1178"/>
      <w:bookmarkEnd w:id="1179"/>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80" w:name="_Ref124768549"/>
      <w:bookmarkStart w:id="1181" w:name="_Toc303950143"/>
      <w:bookmarkStart w:id="1182" w:name="_Toc303950910"/>
      <w:bookmarkStart w:id="1183" w:name="_Toc303951690"/>
      <w:bookmarkStart w:id="1184" w:name="_Toc304135773"/>
      <w:r w:rsidRPr="00025B10">
        <w:rPr>
          <w:rFonts w:cs="Arial"/>
          <w:w w:val="0"/>
          <w:sz w:val="24"/>
        </w:rPr>
        <w:t xml:space="preserve">Where the Supplier enters into a Sub-contract in respect of any of its obligations under this Contract relating to the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the Supplier shall include provisions in each such Sub-contract, unless otherwise agreed with the Authority in writing, which:</w:t>
      </w:r>
      <w:bookmarkEnd w:id="1180"/>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relation to such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prohibition on the Sub-contractor sub-contracting, </w:t>
      </w:r>
      <w:proofErr w:type="gramStart"/>
      <w:r w:rsidRPr="00025B10">
        <w:rPr>
          <w:rFonts w:cs="Arial"/>
          <w:w w:val="0"/>
          <w:sz w:val="24"/>
        </w:rPr>
        <w:t>assigning</w:t>
      </w:r>
      <w:proofErr w:type="gramEnd"/>
      <w:r w:rsidRPr="00025B10">
        <w:rPr>
          <w:rFonts w:cs="Arial"/>
          <w:w w:val="0"/>
          <w:sz w:val="24"/>
        </w:rPr>
        <w:t xml:space="preserve">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5" w:name="_Ref124768481"/>
      <w:r w:rsidRPr="00025B10">
        <w:rPr>
          <w:rFonts w:cs="Arial"/>
          <w:w w:val="0"/>
          <w:sz w:val="24"/>
        </w:rPr>
        <w:t>requires the Supplier or other party receiving goods under the contract to consider and verify invoices under that contract in a timely fashion;</w:t>
      </w:r>
      <w:bookmarkEnd w:id="1185"/>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6"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6"/>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7" w:name="_Ref124768541"/>
      <w:bookmarkEnd w:id="1181"/>
      <w:bookmarkEnd w:id="1182"/>
      <w:bookmarkEnd w:id="1183"/>
      <w:bookmarkEnd w:id="1184"/>
      <w:r w:rsidRPr="00025B10">
        <w:rPr>
          <w:rFonts w:cs="Arial"/>
          <w:w w:val="0"/>
          <w:sz w:val="24"/>
        </w:rPr>
        <w:t>Where the Authority considers the grounds for exclusion under Regulation 57 of the Regulations apply to any Sub-contractor then:</w:t>
      </w:r>
      <w:bookmarkEnd w:id="1187"/>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8" w:name="_Ref441588811"/>
      <w:r w:rsidRPr="00025B10">
        <w:rPr>
          <w:rFonts w:cs="Arial"/>
          <w:w w:val="0"/>
          <w:sz w:val="24"/>
        </w:rPr>
        <w:t xml:space="preserve">a right for the Supplier to terminate that Sub-contract if the relevant Sub-contractor fails to comply in the performance of its contract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188"/>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9" w:name="_Ref378940977"/>
      <w:r w:rsidRPr="00CD0E75">
        <w:rPr>
          <w:rFonts w:ascii="Arial" w:hAnsi="Arial"/>
          <w:b/>
          <w:color w:val="auto"/>
          <w:sz w:val="24"/>
          <w:lang w:val="en-US"/>
        </w:rPr>
        <w:lastRenderedPageBreak/>
        <w:t>Prohibited Acts</w:t>
      </w:r>
      <w:bookmarkEnd w:id="1189"/>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90"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90"/>
    </w:p>
    <w:p w14:paraId="5E67515C" w14:textId="77777777" w:rsidR="00CC6C24" w:rsidRPr="00025B10" w:rsidRDefault="00CC6C24" w:rsidP="00CD0E75">
      <w:pPr>
        <w:pStyle w:val="MRNumberedHeading3"/>
        <w:spacing w:line="240" w:lineRule="auto"/>
        <w:jc w:val="both"/>
        <w:rPr>
          <w:rFonts w:cs="Arial"/>
          <w:sz w:val="24"/>
        </w:rPr>
      </w:pPr>
      <w:bookmarkStart w:id="1191" w:name="_Ref378940827"/>
      <w:r w:rsidRPr="00025B10">
        <w:rPr>
          <w:rFonts w:cs="Arial"/>
          <w:sz w:val="24"/>
        </w:rPr>
        <w:t>the Authority shall be entitled:</w:t>
      </w:r>
      <w:bookmarkEnd w:id="1191"/>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2" w:name="_Ref378943901"/>
      <w:r w:rsidRPr="00025B10">
        <w:rPr>
          <w:rFonts w:cs="Arial"/>
          <w:w w:val="0"/>
          <w:sz w:val="24"/>
        </w:rPr>
        <w:t>Each Party shall bear its own expenses in relation to the preparation and execution of this Contract including all costs, legal fees and other expenses so incurred.</w:t>
      </w:r>
      <w:bookmarkEnd w:id="1192"/>
    </w:p>
    <w:p w14:paraId="47A52CEC" w14:textId="77777777" w:rsidR="00CC6C24" w:rsidRPr="00025B10" w:rsidRDefault="00CC6C24" w:rsidP="007A00AF">
      <w:pPr>
        <w:pStyle w:val="MRNumberedHeading2"/>
        <w:spacing w:line="240" w:lineRule="auto"/>
        <w:jc w:val="both"/>
        <w:rPr>
          <w:rFonts w:cs="Arial"/>
          <w:w w:val="0"/>
          <w:sz w:val="24"/>
        </w:rPr>
      </w:pPr>
      <w:bookmarkStart w:id="1193"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3"/>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4"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4"/>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5"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5"/>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6" w:name="_Ref377720330"/>
      <w:bookmarkStart w:id="1197" w:name="_Hlt378858965"/>
      <w:bookmarkStart w:id="1198" w:name="_Hlt378859022"/>
      <w:bookmarkStart w:id="1199" w:name="_Hlt378859064"/>
      <w:bookmarkStart w:id="1200" w:name="_Hlt378859094"/>
      <w:bookmarkStart w:id="1201" w:name="_Hlt378859123"/>
      <w:bookmarkStart w:id="1202" w:name="_Hlt378859222"/>
      <w:bookmarkStart w:id="1203" w:name="_Hlt378859237"/>
      <w:bookmarkStart w:id="1204" w:name="_Hlt378860033"/>
      <w:bookmarkStart w:id="1205" w:name="_Ref377721143"/>
      <w:bookmarkStart w:id="1206" w:name="_Ref369695851"/>
      <w:bookmarkEnd w:id="1196"/>
      <w:bookmarkEnd w:id="1197"/>
      <w:bookmarkEnd w:id="1198"/>
      <w:bookmarkEnd w:id="1199"/>
      <w:bookmarkEnd w:id="1200"/>
      <w:bookmarkEnd w:id="1201"/>
      <w:bookmarkEnd w:id="1202"/>
      <w:bookmarkEnd w:id="1203"/>
      <w:bookmarkEnd w:id="1204"/>
      <w:r w:rsidRPr="00025B10">
        <w:rPr>
          <w:rFonts w:cs="Arial"/>
          <w:sz w:val="24"/>
          <w:szCs w:val="24"/>
        </w:rPr>
        <w:lastRenderedPageBreak/>
        <w:t xml:space="preserve"> of these Call-off Terms and Conditions</w:t>
      </w:r>
      <w:bookmarkEnd w:id="1205"/>
    </w:p>
    <w:bookmarkEnd w:id="1206"/>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7" w:name="_Ref378941624"/>
      <w:r w:rsidRPr="00025B10">
        <w:rPr>
          <w:rFonts w:ascii="Arial" w:hAnsi="Arial" w:cs="Arial"/>
          <w:b/>
          <w:color w:val="auto"/>
          <w:w w:val="0"/>
          <w:sz w:val="24"/>
          <w:szCs w:val="24"/>
          <w:u w:val="single"/>
        </w:rPr>
        <w:t>Confidentiality</w:t>
      </w:r>
      <w:bookmarkEnd w:id="1207"/>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8"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9"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9"/>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10"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10"/>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8"/>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1" w:name="_Ref369695966"/>
      <w:r w:rsidRPr="00025B10">
        <w:rPr>
          <w:rFonts w:ascii="Arial" w:hAnsi="Arial" w:cs="Arial"/>
          <w:b/>
          <w:color w:val="auto"/>
          <w:w w:val="0"/>
          <w:sz w:val="24"/>
          <w:szCs w:val="24"/>
          <w:u w:val="single"/>
        </w:rPr>
        <w:t>Data protection</w:t>
      </w:r>
      <w:bookmarkEnd w:id="1211"/>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2"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2"/>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3" w:name="_Ref369696070"/>
      <w:r w:rsidRPr="00025B10">
        <w:rPr>
          <w:rFonts w:ascii="Arial" w:hAnsi="Arial" w:cs="Arial"/>
          <w:b/>
          <w:color w:val="auto"/>
          <w:w w:val="0"/>
          <w:sz w:val="24"/>
          <w:szCs w:val="24"/>
          <w:u w:val="single"/>
        </w:rPr>
        <w:t>Freedom of Information and Transparency</w:t>
      </w:r>
      <w:bookmarkEnd w:id="1213"/>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4"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4"/>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5"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5"/>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proofErr w:type="gramStart"/>
            <w:r w:rsidR="002667F7" w:rsidRPr="00C04522">
              <w:rPr>
                <w:rFonts w:cs="Arial"/>
                <w:sz w:val="24"/>
                <w:szCs w:val="24"/>
              </w:rPr>
              <w:t>Offer</w:t>
            </w:r>
            <w:proofErr w:type="gramEnd"/>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xml:space="preserve">, updated, </w:t>
            </w:r>
            <w:proofErr w:type="gramStart"/>
            <w:r w:rsidR="00650CEB" w:rsidRPr="00025B10">
              <w:rPr>
                <w:rFonts w:cs="Arial"/>
                <w:sz w:val="24"/>
                <w:szCs w:val="24"/>
              </w:rPr>
              <w:t>replaced</w:t>
            </w:r>
            <w:proofErr w:type="gramEnd"/>
            <w:r w:rsidR="00650CEB" w:rsidRPr="00025B10">
              <w:rPr>
                <w:rFonts w:cs="Arial"/>
                <w:sz w:val="24"/>
                <w:szCs w:val="24"/>
              </w:rPr>
              <w:t xml:space="preserve">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w:t>
            </w:r>
            <w:proofErr w:type="gramStart"/>
            <w:r w:rsidRPr="00025B10">
              <w:rPr>
                <w:rFonts w:cs="Arial"/>
                <w:sz w:val="24"/>
                <w:szCs w:val="24"/>
              </w:rPr>
              <w:t>storm</w:t>
            </w:r>
            <w:proofErr w:type="gramEnd"/>
            <w:r w:rsidRPr="00025B10">
              <w:rPr>
                <w:rFonts w:cs="Arial"/>
                <w:sz w:val="24"/>
                <w:szCs w:val="24"/>
              </w:rPr>
              <w:t xml:space="preserve">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w:t>
            </w:r>
            <w:proofErr w:type="gramStart"/>
            <w:r w:rsidRPr="00025B10">
              <w:rPr>
                <w:rFonts w:cs="Arial"/>
                <w:sz w:val="24"/>
                <w:szCs w:val="24"/>
              </w:rPr>
              <w:t>laws</w:t>
            </w:r>
            <w:proofErr w:type="gramEnd"/>
            <w:r w:rsidRPr="00025B10">
              <w:rPr>
                <w:rFonts w:cs="Arial"/>
                <w:sz w:val="24"/>
                <w:szCs w:val="24"/>
              </w:rPr>
              <w:t xml:space="preserve">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w:t>
            </w:r>
            <w:proofErr w:type="gramStart"/>
            <w:r w:rsidRPr="00025B10">
              <w:rPr>
                <w:rFonts w:cs="Arial"/>
                <w:sz w:val="24"/>
                <w:szCs w:val="24"/>
              </w:rPr>
              <w:t>regulation</w:t>
            </w:r>
            <w:proofErr w:type="gramEnd"/>
            <w:r w:rsidRPr="00025B10">
              <w:rPr>
                <w:rFonts w:cs="Arial"/>
                <w:sz w:val="24"/>
                <w:szCs w:val="24"/>
              </w:rPr>
              <w:t xml:space="preserve">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offence under any law in respect of fraud in relation to this Contract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w:t>
            </w:r>
            <w:proofErr w:type="gramStart"/>
            <w:r w:rsidRPr="00025B10">
              <w:rPr>
                <w:rFonts w:cs="Arial"/>
                <w:sz w:val="24"/>
                <w:szCs w:val="24"/>
              </w:rPr>
              <w:t>decision</w:t>
            </w:r>
            <w:proofErr w:type="gramEnd"/>
            <w:r w:rsidRPr="00025B10">
              <w:rPr>
                <w:rFonts w:cs="Arial"/>
                <w:sz w:val="24"/>
                <w:szCs w:val="24"/>
              </w:rPr>
              <w:t xml:space="preserve">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 xml:space="preserve">means any additional KPIs set out in the Specification, tender </w:t>
            </w:r>
            <w:proofErr w:type="gramStart"/>
            <w:r w:rsidRPr="00025B10">
              <w:rPr>
                <w:rFonts w:eastAsia="MS Mincho" w:cs="Arial"/>
                <w:sz w:val="24"/>
                <w:szCs w:val="24"/>
              </w:rPr>
              <w:t>documentation</w:t>
            </w:r>
            <w:proofErr w:type="gramEnd"/>
            <w:r w:rsidRPr="00025B10">
              <w:rPr>
                <w:rFonts w:eastAsia="MS Mincho" w:cs="Arial"/>
                <w:sz w:val="24"/>
                <w:szCs w:val="24"/>
              </w:rPr>
              <w:t xml:space="preserve">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w:t>
            </w:r>
            <w:proofErr w:type="gramStart"/>
            <w:r w:rsidRPr="00025B10">
              <w:rPr>
                <w:rFonts w:cs="Arial"/>
                <w:sz w:val="24"/>
                <w:szCs w:val="24"/>
              </w:rPr>
              <w:t>issued</w:t>
            </w:r>
            <w:proofErr w:type="gramEnd"/>
            <w:r w:rsidRPr="00025B10">
              <w:rPr>
                <w:rFonts w:cs="Arial"/>
                <w:sz w:val="24"/>
                <w:szCs w:val="24"/>
              </w:rPr>
              <w:t xml:space="preserve">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6"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6"/>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7"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632DB8B6" w14:textId="77777777" w:rsidR="00F33F9C" w:rsidRPr="00025B10" w:rsidRDefault="00F33F9C" w:rsidP="00025B10">
      <w:pPr>
        <w:pStyle w:val="MRNumberedHeading2"/>
        <w:jc w:val="both"/>
        <w:rPr>
          <w:rFonts w:cs="Arial"/>
          <w:sz w:val="24"/>
        </w:rPr>
      </w:pPr>
      <w:bookmarkStart w:id="1218" w:name="_Ref94713471"/>
      <w:r w:rsidRPr="00025B10">
        <w:rPr>
          <w:rFonts w:cs="Arial"/>
          <w:sz w:val="24"/>
        </w:rPr>
        <w:t>Any reference in this Contract which immediately before Exit Day was a reference to (as it has effect from time to time):</w:t>
      </w:r>
      <w:bookmarkStart w:id="1219" w:name="_Ref57832996"/>
      <w:bookmarkEnd w:id="1218"/>
      <w:bookmarkEnd w:id="1219"/>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17"/>
      <w:r w:rsidRPr="00025B10">
        <w:rPr>
          <w:rFonts w:cs="Arial"/>
          <w:sz w:val="24"/>
        </w:rPr>
        <w:t>.</w:t>
      </w:r>
    </w:p>
    <w:sectPr w:rsidR="00F33F9C" w:rsidRPr="00025B10" w:rsidSect="00062FC9">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64C3" w14:textId="77777777" w:rsidR="00062FC9" w:rsidRDefault="00062FC9" w:rsidP="00CC6C24">
      <w:pPr>
        <w:pStyle w:val="Outline4"/>
      </w:pPr>
      <w:r>
        <w:separator/>
      </w:r>
    </w:p>
    <w:p w14:paraId="6CF763E7" w14:textId="77777777" w:rsidR="00062FC9" w:rsidRDefault="00062FC9"/>
    <w:p w14:paraId="69C097AA" w14:textId="77777777" w:rsidR="00062FC9" w:rsidRDefault="00062FC9"/>
  </w:endnote>
  <w:endnote w:type="continuationSeparator" w:id="0">
    <w:p w14:paraId="0E9F755F" w14:textId="77777777" w:rsidR="00062FC9" w:rsidRDefault="00062FC9" w:rsidP="00CC6C24">
      <w:pPr>
        <w:pStyle w:val="Outline4"/>
      </w:pPr>
      <w:r>
        <w:continuationSeparator/>
      </w:r>
    </w:p>
    <w:p w14:paraId="16666DFE" w14:textId="77777777" w:rsidR="00062FC9" w:rsidRDefault="00062FC9"/>
    <w:p w14:paraId="729670C1" w14:textId="77777777" w:rsidR="00062FC9" w:rsidRDefault="00062FC9"/>
  </w:endnote>
  <w:endnote w:type="continuationNotice" w:id="1">
    <w:p w14:paraId="470D9081" w14:textId="77777777" w:rsidR="00062FC9" w:rsidRDefault="00062FC9">
      <w:pPr>
        <w:spacing w:line="240" w:lineRule="auto"/>
      </w:pPr>
    </w:p>
    <w:p w14:paraId="6E6D915B" w14:textId="77777777" w:rsidR="00062FC9" w:rsidRDefault="00062FC9"/>
    <w:p w14:paraId="7C6E50DB" w14:textId="77777777" w:rsidR="00062FC9" w:rsidRDefault="00062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3B6" w14:textId="77777777" w:rsidR="00062FC9" w:rsidRDefault="00062FC9" w:rsidP="00CC6C24">
      <w:pPr>
        <w:pStyle w:val="Outline4"/>
      </w:pPr>
      <w:r>
        <w:separator/>
      </w:r>
    </w:p>
    <w:p w14:paraId="534B8795" w14:textId="77777777" w:rsidR="00062FC9" w:rsidRDefault="00062FC9"/>
    <w:p w14:paraId="139D52BF" w14:textId="77777777" w:rsidR="00062FC9" w:rsidRDefault="00062FC9"/>
  </w:footnote>
  <w:footnote w:type="continuationSeparator" w:id="0">
    <w:p w14:paraId="56FBA9FB" w14:textId="77777777" w:rsidR="00062FC9" w:rsidRDefault="00062FC9" w:rsidP="00CC6C24">
      <w:pPr>
        <w:pStyle w:val="Outline4"/>
      </w:pPr>
      <w:r>
        <w:continuationSeparator/>
      </w:r>
    </w:p>
    <w:p w14:paraId="0FB4DE33" w14:textId="77777777" w:rsidR="00062FC9" w:rsidRDefault="00062FC9"/>
    <w:p w14:paraId="28BD001A" w14:textId="77777777" w:rsidR="00062FC9" w:rsidRDefault="00062FC9"/>
  </w:footnote>
  <w:footnote w:type="continuationNotice" w:id="1">
    <w:p w14:paraId="71314D98" w14:textId="77777777" w:rsidR="00062FC9" w:rsidRDefault="00062FC9">
      <w:pPr>
        <w:spacing w:line="240" w:lineRule="auto"/>
      </w:pPr>
    </w:p>
    <w:p w14:paraId="0B7ABF60" w14:textId="77777777" w:rsidR="00062FC9" w:rsidRDefault="00062FC9"/>
    <w:p w14:paraId="7F0C82CA" w14:textId="77777777" w:rsidR="00062FC9" w:rsidRDefault="00062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07B98"/>
    <w:rsid w:val="0001493E"/>
    <w:rsid w:val="0001569A"/>
    <w:rsid w:val="00017B9A"/>
    <w:rsid w:val="00023914"/>
    <w:rsid w:val="0002503A"/>
    <w:rsid w:val="00025B10"/>
    <w:rsid w:val="00032280"/>
    <w:rsid w:val="00035F85"/>
    <w:rsid w:val="0003619E"/>
    <w:rsid w:val="00036758"/>
    <w:rsid w:val="00036FFE"/>
    <w:rsid w:val="00037A8F"/>
    <w:rsid w:val="00041F1E"/>
    <w:rsid w:val="00045009"/>
    <w:rsid w:val="000557BF"/>
    <w:rsid w:val="00060AE3"/>
    <w:rsid w:val="00062FC9"/>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D3D94"/>
    <w:rsid w:val="000D451F"/>
    <w:rsid w:val="000D7F3D"/>
    <w:rsid w:val="000E098A"/>
    <w:rsid w:val="000E7872"/>
    <w:rsid w:val="000F2B01"/>
    <w:rsid w:val="000F3461"/>
    <w:rsid w:val="000F4AF2"/>
    <w:rsid w:val="001066A5"/>
    <w:rsid w:val="001127E6"/>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329E"/>
    <w:rsid w:val="001C70E3"/>
    <w:rsid w:val="001E0C03"/>
    <w:rsid w:val="001E405D"/>
    <w:rsid w:val="001F2EC7"/>
    <w:rsid w:val="001F6B80"/>
    <w:rsid w:val="00200A12"/>
    <w:rsid w:val="00212324"/>
    <w:rsid w:val="00215B92"/>
    <w:rsid w:val="00220E6B"/>
    <w:rsid w:val="0022661A"/>
    <w:rsid w:val="00233F04"/>
    <w:rsid w:val="00236256"/>
    <w:rsid w:val="00245B12"/>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B085B"/>
    <w:rsid w:val="002C2656"/>
    <w:rsid w:val="002D101F"/>
    <w:rsid w:val="002D3789"/>
    <w:rsid w:val="002D7417"/>
    <w:rsid w:val="002E48ED"/>
    <w:rsid w:val="002E5364"/>
    <w:rsid w:val="002E6B98"/>
    <w:rsid w:val="002F32C1"/>
    <w:rsid w:val="002F7385"/>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A32C7"/>
    <w:rsid w:val="003A334A"/>
    <w:rsid w:val="003A434B"/>
    <w:rsid w:val="003A45CB"/>
    <w:rsid w:val="003A5D21"/>
    <w:rsid w:val="003A6E14"/>
    <w:rsid w:val="003B059C"/>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BE9"/>
    <w:rsid w:val="00425D3A"/>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D1453"/>
    <w:rsid w:val="004D2812"/>
    <w:rsid w:val="004E03EB"/>
    <w:rsid w:val="004E54D5"/>
    <w:rsid w:val="004E6468"/>
    <w:rsid w:val="004E6CC9"/>
    <w:rsid w:val="004F7AB8"/>
    <w:rsid w:val="005008DD"/>
    <w:rsid w:val="00501316"/>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B27F0"/>
    <w:rsid w:val="005B2A05"/>
    <w:rsid w:val="005C6984"/>
    <w:rsid w:val="005C783C"/>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906CE"/>
    <w:rsid w:val="006907EF"/>
    <w:rsid w:val="00695C2F"/>
    <w:rsid w:val="006A1432"/>
    <w:rsid w:val="006A1B1D"/>
    <w:rsid w:val="006A3322"/>
    <w:rsid w:val="006A41D6"/>
    <w:rsid w:val="006B4A78"/>
    <w:rsid w:val="006B588F"/>
    <w:rsid w:val="006C0A97"/>
    <w:rsid w:val="006C61C6"/>
    <w:rsid w:val="006D28FC"/>
    <w:rsid w:val="006D3BB8"/>
    <w:rsid w:val="006D3EEE"/>
    <w:rsid w:val="006E51C0"/>
    <w:rsid w:val="006E5430"/>
    <w:rsid w:val="006F0D72"/>
    <w:rsid w:val="006F6FCE"/>
    <w:rsid w:val="00707A90"/>
    <w:rsid w:val="0071026A"/>
    <w:rsid w:val="00712CA5"/>
    <w:rsid w:val="00713BEE"/>
    <w:rsid w:val="007165FF"/>
    <w:rsid w:val="007178BF"/>
    <w:rsid w:val="00725432"/>
    <w:rsid w:val="00726807"/>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12198"/>
    <w:rsid w:val="00913F8F"/>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A44E5"/>
    <w:rsid w:val="009A6485"/>
    <w:rsid w:val="009A6828"/>
    <w:rsid w:val="009D4431"/>
    <w:rsid w:val="009E7D37"/>
    <w:rsid w:val="009F3549"/>
    <w:rsid w:val="009F53DF"/>
    <w:rsid w:val="009F5D8C"/>
    <w:rsid w:val="00A007C0"/>
    <w:rsid w:val="00A04903"/>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60E2"/>
    <w:rsid w:val="00A77A3E"/>
    <w:rsid w:val="00A827F6"/>
    <w:rsid w:val="00A834BC"/>
    <w:rsid w:val="00A90749"/>
    <w:rsid w:val="00A9278F"/>
    <w:rsid w:val="00A9519C"/>
    <w:rsid w:val="00A96421"/>
    <w:rsid w:val="00A97081"/>
    <w:rsid w:val="00AB3039"/>
    <w:rsid w:val="00AC1A54"/>
    <w:rsid w:val="00AD150B"/>
    <w:rsid w:val="00AD4C84"/>
    <w:rsid w:val="00AE10B9"/>
    <w:rsid w:val="00AF3D95"/>
    <w:rsid w:val="00B01C49"/>
    <w:rsid w:val="00B02B34"/>
    <w:rsid w:val="00B03938"/>
    <w:rsid w:val="00B12B00"/>
    <w:rsid w:val="00B12DF0"/>
    <w:rsid w:val="00B1420F"/>
    <w:rsid w:val="00B20FAC"/>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E16"/>
    <w:rsid w:val="00BA3027"/>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DF3"/>
    <w:rsid w:val="00C40F09"/>
    <w:rsid w:val="00C473B1"/>
    <w:rsid w:val="00C47869"/>
    <w:rsid w:val="00C52BC6"/>
    <w:rsid w:val="00C56C1C"/>
    <w:rsid w:val="00C6410C"/>
    <w:rsid w:val="00C66266"/>
    <w:rsid w:val="00C80F33"/>
    <w:rsid w:val="00C8263B"/>
    <w:rsid w:val="00C90B70"/>
    <w:rsid w:val="00C90C76"/>
    <w:rsid w:val="00C95517"/>
    <w:rsid w:val="00CA0A32"/>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271B2"/>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38FC"/>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552E"/>
    <w:rsid w:val="00E574B1"/>
    <w:rsid w:val="00E57F71"/>
    <w:rsid w:val="00E57FFA"/>
    <w:rsid w:val="00E63545"/>
    <w:rsid w:val="00E63E54"/>
    <w:rsid w:val="00E6407A"/>
    <w:rsid w:val="00E65853"/>
    <w:rsid w:val="00E74263"/>
    <w:rsid w:val="00E752EF"/>
    <w:rsid w:val="00E8097C"/>
    <w:rsid w:val="00E827D1"/>
    <w:rsid w:val="00E900EC"/>
    <w:rsid w:val="00E90777"/>
    <w:rsid w:val="00E92125"/>
    <w:rsid w:val="00E95D23"/>
    <w:rsid w:val="00E974C8"/>
    <w:rsid w:val="00EA3084"/>
    <w:rsid w:val="00EA54C5"/>
    <w:rsid w:val="00EA6B35"/>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4.xml" Id="Rc62a3190c7dc4410"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A2789913</value>
    </field>
    <field name="Objective-Title">
      <value order="0">03 SUPPLIER NAME - Framework Agreement and Terms and Conditions CM-TNS-05-2024</value>
    </field>
    <field name="Objective-Description">
      <value order="0"/>
    </field>
    <field name="Objective-CreationStamp">
      <value order="0">2024-03-25T10:02:59Z</value>
    </field>
    <field name="Objective-IsApproved">
      <value order="0">false</value>
    </field>
    <field name="Objective-IsPublished">
      <value order="0">true</value>
    </field>
    <field name="Objective-DatePublished">
      <value order="0">2024-03-25T13:45:30Z</value>
    </field>
    <field name="Objective-ModificationStamp">
      <value order="0">2024-03-28T09:40:44Z</value>
    </field>
    <field name="Objective-Owner">
      <value order="0">Noonan, Katie</value>
    </field>
    <field name="Objective-Path">
      <value order="0">Global Folder:07 New Market Opportunities Tenders:2024:CM/TNS/05/2024/00 - NHS National Transition 2024_05:03 Tender:10 Awards:02 Award Templates</value>
    </field>
    <field name="Objective-Parent">
      <value order="0">02 Award Templates</value>
    </field>
    <field name="Objective-State">
      <value order="0">Published</value>
    </field>
    <field name="Objective-VersionId">
      <value order="0">vA4289341</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170</Pages>
  <Words>59308</Words>
  <Characters>338062</Characters>
  <Application>Microsoft Office Word</Application>
  <DocSecurity>0</DocSecurity>
  <Lines>2817</Lines>
  <Paragraphs>793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396577</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Katie Noonan</cp:lastModifiedBy>
  <cp:revision>5</cp:revision>
  <dcterms:created xsi:type="dcterms:W3CDTF">2024-02-20T10:47:00Z</dcterms:created>
  <dcterms:modified xsi:type="dcterms:W3CDTF">2024-03-25T14:45:00Z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A2789913</vt:lpwstr>
  </property>
  <property fmtid="{D5CDD505-2E9C-101B-9397-08002B2CF9AE}" pid="3" name="Objective-Title">
    <vt:lpwstr>03 SUPPLIER NAME - Framework Agreement and Terms and Conditions CM-TNS-05-2024</vt:lpwstr>
  </property>
  <property fmtid="{D5CDD505-2E9C-101B-9397-08002B2CF9AE}" pid="4" name="Objective-Comment">
    <vt:lpwstr/>
  </property>
  <property fmtid="{D5CDD505-2E9C-101B-9397-08002B2CF9AE}" pid="5" name="Objective-CreationStamp">
    <vt:filetime>2024-03-25T10:02:59Z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2024-03-25T13:45:30Z</vt:filetime>
  </property>
  <property fmtid="{D5CDD505-2E9C-101B-9397-08002B2CF9AE}" pid="9" name="Objective-ModificationStamp">
    <vt:filetime>2024-03-28T09:40:44Z</vt:filetime>
  </property>
  <property fmtid="{D5CDD505-2E9C-101B-9397-08002B2CF9AE}" pid="10" name="Objective-Owner">
    <vt:lpwstr>Noonan, Katie</vt:lpwstr>
  </property>
  <property fmtid="{D5CDD505-2E9C-101B-9397-08002B2CF9AE}" pid="11" name="Objective-Path">
    <vt:lpwstr>Global Folder:07 New Market Opportunities Tenders:2024:CM/TNS/05/2024/00 - NHS National Transition 2024_05:03 Tender:10 Awards:02 Award Templates</vt:lpwstr>
  </property>
  <property fmtid="{D5CDD505-2E9C-101B-9397-08002B2CF9AE}" pid="12" name="Objective-Parent">
    <vt:lpwstr>02 Award Templates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vA4289341</vt:lpwstr>
  </property>
  <property fmtid="{D5CDD505-2E9C-101B-9397-08002B2CF9AE}" pid="22" name="DocumentType">
    <vt:lpwstr>Document</vt:lpwstr>
  </property>
  <property fmtid="{D5CDD505-2E9C-101B-9397-08002B2CF9AE}" pid="23" name="WSFooter">
    <vt:lpwstr>Legal\69244106\1</vt:lpwstr>
  </property>
</Properties>
</file>