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51BD715D"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Lot 1 </w:t>
      </w:r>
      <w:r w:rsidR="00016042">
        <w:rPr>
          <w:rFonts w:ascii="Calibri" w:hAnsi="Calibri" w:cs="Calibri"/>
          <w:sz w:val="22"/>
          <w:szCs w:val="22"/>
        </w:rPr>
        <w:t>–</w:t>
      </w:r>
      <w:r w:rsidR="000A72A7" w:rsidRPr="00016042">
        <w:rPr>
          <w:rFonts w:ascii="Calibri" w:hAnsi="Calibri" w:cs="Calibri"/>
          <w:sz w:val="22"/>
          <w:szCs w:val="22"/>
        </w:rPr>
        <w:t xml:space="preserve"> </w:t>
      </w:r>
      <w:r w:rsidR="00FA5A89">
        <w:rPr>
          <w:rFonts w:ascii="Calibri" w:hAnsi="Calibri" w:cs="Calibri"/>
          <w:sz w:val="22"/>
          <w:szCs w:val="22"/>
        </w:rPr>
        <w:t>Various clinical areas</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7E22B6E9" w:rsidR="00AF719F" w:rsidRDefault="00E41E82" w:rsidP="002314A7">
      <w:pPr>
        <w:rPr>
          <w:rFonts w:ascii="Calibri" w:hAnsi="Calibri" w:cs="Calibri"/>
          <w:b/>
          <w:bCs/>
          <w:sz w:val="22"/>
          <w:szCs w:val="22"/>
        </w:rPr>
      </w:pPr>
      <w:r w:rsidRPr="00016042">
        <w:rPr>
          <w:rFonts w:ascii="Calibri" w:hAnsi="Calibri" w:cs="Calibri"/>
          <w:b/>
          <w:bCs/>
          <w:sz w:val="22"/>
          <w:szCs w:val="22"/>
        </w:rPr>
        <w:t xml:space="preserve">Lot 1 </w:t>
      </w:r>
    </w:p>
    <w:p w14:paraId="1CAC6FD1"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Dermatolog</w:t>
      </w:r>
      <w:r>
        <w:rPr>
          <w:rFonts w:ascii="Calibri" w:hAnsi="Calibri" w:cs="Calibri"/>
          <w:sz w:val="22"/>
          <w:szCs w:val="22"/>
        </w:rPr>
        <w:t>y</w:t>
      </w:r>
    </w:p>
    <w:p w14:paraId="1E4A6870"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Plastic</w:t>
      </w:r>
      <w:r>
        <w:rPr>
          <w:rFonts w:ascii="Calibri" w:hAnsi="Calibri" w:cs="Calibri"/>
          <w:sz w:val="22"/>
          <w:szCs w:val="22"/>
        </w:rPr>
        <w:t>s</w:t>
      </w:r>
    </w:p>
    <w:p w14:paraId="27955D6A"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General Surgery</w:t>
      </w:r>
    </w:p>
    <w:p w14:paraId="282D8559"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Urology</w:t>
      </w:r>
    </w:p>
    <w:p w14:paraId="75617900"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 xml:space="preserve">Ear Nose &amp; Throat (ENT) including Audiology provision </w:t>
      </w:r>
    </w:p>
    <w:p w14:paraId="376BF4C1"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Oral Maxillofacial Surgery/Oral Surgery (OMFS)</w:t>
      </w:r>
    </w:p>
    <w:p w14:paraId="43995E6A" w14:textId="77777777" w:rsidR="00F23AE1" w:rsidRPr="00C107BA" w:rsidRDefault="00F23AE1" w:rsidP="00F23AE1">
      <w:pPr>
        <w:pStyle w:val="ListParagraph"/>
        <w:numPr>
          <w:ilvl w:val="0"/>
          <w:numId w:val="33"/>
        </w:numPr>
        <w:rPr>
          <w:rFonts w:ascii="Calibri" w:hAnsi="Calibri" w:cs="Calibri"/>
          <w:sz w:val="22"/>
          <w:szCs w:val="22"/>
        </w:rPr>
      </w:pPr>
      <w:r>
        <w:rPr>
          <w:rFonts w:ascii="Calibri" w:hAnsi="Calibri" w:cs="Calibri"/>
          <w:sz w:val="22"/>
          <w:szCs w:val="22"/>
        </w:rPr>
        <w:t>Benign Gynaecology</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lastRenderedPageBreak/>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7BF5FC5A" w14:textId="77777777" w:rsidR="002314A7" w:rsidRDefault="002314A7" w:rsidP="002314A7">
            <w:pPr>
              <w:rPr>
                <w:rFonts w:ascii="Calibri" w:hAnsi="Calibri" w:cs="Calibri"/>
                <w:b/>
                <w:bCs/>
                <w:color w:val="000000" w:themeColor="text1"/>
                <w:sz w:val="22"/>
                <w:szCs w:val="22"/>
              </w:rPr>
            </w:pPr>
          </w:p>
          <w:p w14:paraId="5705FE79" w14:textId="77777777" w:rsidR="00A715C4" w:rsidRDefault="00A715C4" w:rsidP="002314A7">
            <w:pPr>
              <w:rPr>
                <w:rFonts w:ascii="Calibri" w:hAnsi="Calibri" w:cs="Calibri"/>
                <w:b/>
                <w:bCs/>
                <w:color w:val="000000" w:themeColor="text1"/>
                <w:sz w:val="22"/>
                <w:szCs w:val="22"/>
              </w:rPr>
            </w:pPr>
          </w:p>
          <w:p w14:paraId="4D23BF0B" w14:textId="527C531C" w:rsidR="00A715C4" w:rsidRPr="00016042" w:rsidRDefault="00A715C4"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lastRenderedPageBreak/>
              <w:t>Pre Op</w:t>
            </w:r>
            <w:r w:rsidR="00C25CF0">
              <w:rPr>
                <w:rFonts w:ascii="Calibri" w:hAnsi="Calibri" w:cs="Calibri"/>
                <w:b/>
                <w:bCs/>
                <w:color w:val="000000" w:themeColor="text1"/>
                <w:sz w:val="22"/>
                <w:szCs w:val="22"/>
              </w:rPr>
              <w:t>erative Assessment</w:t>
            </w:r>
          </w:p>
          <w:p w14:paraId="1884B6AE" w14:textId="0E35E3B3" w:rsidR="002314A7"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pre-operative services as part the resulting agreement?</w:t>
            </w:r>
          </w:p>
          <w:p w14:paraId="3660F1A6" w14:textId="77777777" w:rsidR="002314A7" w:rsidRPr="00016042" w:rsidRDefault="002314A7" w:rsidP="002314A7">
            <w:pPr>
              <w:rPr>
                <w:rFonts w:ascii="Calibri" w:hAnsi="Calibri" w:cs="Calibri"/>
                <w:sz w:val="22"/>
                <w:szCs w:val="22"/>
                <w:lang w:eastAsia="en-GB"/>
              </w:rPr>
            </w:pPr>
          </w:p>
          <w:p w14:paraId="40234F3C" w14:textId="23D314B6"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25A39A26" w14:textId="77777777" w:rsidR="002314A7" w:rsidRPr="00016042"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5EE223BE"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Lot 1</w:t>
      </w:r>
    </w:p>
    <w:p w14:paraId="58A4639E" w14:textId="4D15F844"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Dermatolog</w:t>
      </w:r>
      <w:r>
        <w:rPr>
          <w:rFonts w:ascii="Calibri" w:hAnsi="Calibri" w:cs="Calibri"/>
          <w:sz w:val="22"/>
          <w:szCs w:val="22"/>
        </w:rPr>
        <w:t>y</w:t>
      </w:r>
    </w:p>
    <w:p w14:paraId="358E8C66"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Plastic</w:t>
      </w:r>
      <w:r>
        <w:rPr>
          <w:rFonts w:ascii="Calibri" w:hAnsi="Calibri" w:cs="Calibri"/>
          <w:sz w:val="22"/>
          <w:szCs w:val="22"/>
        </w:rPr>
        <w:t>s</w:t>
      </w:r>
    </w:p>
    <w:p w14:paraId="38AD0364"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General Surgery</w:t>
      </w:r>
    </w:p>
    <w:p w14:paraId="6067E11A"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Urology</w:t>
      </w:r>
    </w:p>
    <w:p w14:paraId="0C33911E"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 xml:space="preserve">Ear Nose &amp; Throat (ENT) including Audiology provision </w:t>
      </w:r>
    </w:p>
    <w:p w14:paraId="3152EA3D" w14:textId="77777777" w:rsidR="00F23AE1" w:rsidRPr="00C107BA" w:rsidRDefault="00F23AE1" w:rsidP="00F23AE1">
      <w:pPr>
        <w:pStyle w:val="ListParagraph"/>
        <w:numPr>
          <w:ilvl w:val="0"/>
          <w:numId w:val="33"/>
        </w:numPr>
        <w:rPr>
          <w:rFonts w:ascii="Calibri" w:hAnsi="Calibri" w:cs="Calibri"/>
          <w:sz w:val="22"/>
          <w:szCs w:val="22"/>
        </w:rPr>
      </w:pPr>
      <w:r w:rsidRPr="00C107BA">
        <w:rPr>
          <w:rFonts w:ascii="Calibri" w:hAnsi="Calibri" w:cs="Calibri"/>
          <w:sz w:val="22"/>
          <w:szCs w:val="22"/>
        </w:rPr>
        <w:t>Oral Maxillofacial Surgery/Oral Surgery (OMFS)</w:t>
      </w:r>
    </w:p>
    <w:p w14:paraId="54F104CB" w14:textId="77777777" w:rsidR="00F23AE1" w:rsidRPr="00C107BA" w:rsidRDefault="00F23AE1" w:rsidP="00F23AE1">
      <w:pPr>
        <w:pStyle w:val="ListParagraph"/>
        <w:numPr>
          <w:ilvl w:val="0"/>
          <w:numId w:val="33"/>
        </w:numPr>
        <w:rPr>
          <w:rFonts w:ascii="Calibri" w:hAnsi="Calibri" w:cs="Calibri"/>
          <w:sz w:val="22"/>
          <w:szCs w:val="22"/>
        </w:rPr>
      </w:pPr>
      <w:r>
        <w:rPr>
          <w:rFonts w:ascii="Calibri" w:hAnsi="Calibri" w:cs="Calibri"/>
          <w:sz w:val="22"/>
          <w:szCs w:val="22"/>
        </w:rPr>
        <w:t>Benign Gynaecology</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08D3FAAF"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Please describe below the service you propose to provide to MFT to meet the service requirements detailed in lot 1</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r w:rsidR="00F23AE1">
              <w:rPr>
                <w:rFonts w:ascii="Calibri" w:hAnsi="Calibri" w:cs="Calibri"/>
                <w:sz w:val="22"/>
                <w:szCs w:val="22"/>
                <w:lang w:eastAsia="en-GB"/>
              </w:rPr>
              <w:t xml:space="preserve"> for all clinical areas within the lot</w:t>
            </w:r>
            <w:r w:rsidR="00310324" w:rsidRPr="00016042">
              <w:rPr>
                <w:rFonts w:ascii="Calibri" w:hAnsi="Calibri" w:cs="Calibri"/>
                <w:sz w:val="22"/>
                <w:szCs w:val="22"/>
                <w:lang w:eastAsia="en-GB"/>
              </w:rPr>
              <w:t>.</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185E5ED4"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BE2B8F">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DD066D1"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0F052B02" w14:textId="77777777" w:rsidR="00265B8D" w:rsidRPr="00016042" w:rsidRDefault="00265B8D" w:rsidP="002314A7">
            <w:pPr>
              <w:jc w:val="left"/>
              <w:rPr>
                <w:rFonts w:ascii="Calibri" w:hAnsi="Calibri" w:cs="Calibri"/>
                <w:sz w:val="22"/>
                <w:szCs w:val="22"/>
              </w:rPr>
            </w:pP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5D0C01F9"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approach for providing lot 1</w:t>
            </w:r>
            <w:r w:rsidR="00310324">
              <w:rPr>
                <w:rFonts w:ascii="Calibri" w:eastAsia="Times New Roman" w:hAnsi="Calibri" w:cs="Calibri"/>
                <w:sz w:val="22"/>
                <w:szCs w:val="22"/>
                <w:lang w:eastAsia="en-GB"/>
              </w:rPr>
              <w:t xml:space="preserve"> </w:t>
            </w:r>
            <w:r w:rsidR="00FA5A89">
              <w:rPr>
                <w:rFonts w:ascii="Calibri" w:eastAsia="Times New Roman" w:hAnsi="Calibri" w:cs="Calibri"/>
                <w:sz w:val="22"/>
                <w:szCs w:val="22"/>
                <w:lang w:eastAsia="en-GB"/>
              </w:rPr>
              <w:t>across all clinical areas</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454D120A"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Recent experience of mobilising and delivering services for lot 1</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B3C427B"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contributes to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175D1135"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lot </w:t>
            </w:r>
            <w:r w:rsidR="00310324" w:rsidRPr="00016042">
              <w:rPr>
                <w:rFonts w:ascii="Calibri" w:eastAsia="Times New Roman" w:hAnsi="Calibri" w:cs="Calibri"/>
                <w:sz w:val="22"/>
                <w:szCs w:val="22"/>
                <w:lang w:eastAsia="en-GB"/>
              </w:rPr>
              <w:t>1</w:t>
            </w:r>
            <w:r w:rsidR="00310324">
              <w:rPr>
                <w:rFonts w:ascii="Calibri" w:eastAsia="Times New Roman" w:hAnsi="Calibri" w:cs="Calibri"/>
                <w:sz w:val="22"/>
                <w:szCs w:val="22"/>
                <w:lang w:eastAsia="en-GB"/>
              </w:rPr>
              <w:t xml:space="preserve"> </w:t>
            </w:r>
            <w:r w:rsidR="00FA5A89">
              <w:rPr>
                <w:rFonts w:ascii="Calibri" w:eastAsia="Times New Roman" w:hAnsi="Calibri" w:cs="Calibri"/>
                <w:sz w:val="22"/>
                <w:szCs w:val="22"/>
                <w:lang w:eastAsia="en-GB"/>
              </w:rPr>
              <w:t>across all clinical areas</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5347857E" w14:textId="7CA65D59" w:rsidR="00A715C4" w:rsidRPr="00016042" w:rsidRDefault="00A715C4" w:rsidP="002314A7">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611C30DD"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3FF8B516"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79F3C661" w14:textId="2C27040F"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 xml:space="preserve">Mechanisms to </w:t>
            </w:r>
            <w:r w:rsidR="001949DD" w:rsidRPr="00016042">
              <w:rPr>
                <w:rFonts w:ascii="Calibri" w:eastAsia="Times New Roman" w:hAnsi="Calibri" w:cs="Calibri"/>
                <w:sz w:val="22"/>
                <w:szCs w:val="22"/>
              </w:rPr>
              <w:t xml:space="preserve">ensure that employment with the insource provider does not have a </w:t>
            </w:r>
            <w:r w:rsidR="00265B8D" w:rsidRPr="00016042">
              <w:rPr>
                <w:rFonts w:ascii="Calibri" w:eastAsia="Times New Roman" w:hAnsi="Calibri" w:cs="Calibri"/>
                <w:sz w:val="22"/>
                <w:szCs w:val="22"/>
              </w:rPr>
              <w:t>detrimental</w:t>
            </w:r>
            <w:r w:rsidR="001949DD" w:rsidRPr="00016042">
              <w:rPr>
                <w:rFonts w:ascii="Calibri" w:eastAsia="Times New Roman" w:hAnsi="Calibri" w:cs="Calibri"/>
                <w:sz w:val="22"/>
                <w:szCs w:val="22"/>
              </w:rPr>
              <w:t xml:space="preserve"> </w:t>
            </w:r>
            <w:r w:rsidR="00310324" w:rsidRPr="00016042">
              <w:rPr>
                <w:rFonts w:ascii="Calibri" w:eastAsia="Times New Roman" w:hAnsi="Calibri" w:cs="Calibri"/>
                <w:sz w:val="22"/>
                <w:szCs w:val="22"/>
              </w:rPr>
              <w:t>effect</w:t>
            </w:r>
            <w:r w:rsidR="001949DD" w:rsidRPr="00016042">
              <w:rPr>
                <w:rFonts w:ascii="Calibri" w:eastAsia="Times New Roman" w:hAnsi="Calibri" w:cs="Calibri"/>
                <w:sz w:val="22"/>
                <w:szCs w:val="22"/>
              </w:rPr>
              <w:t xml:space="preserve"> on a members of staff’s substantive role within the </w:t>
            </w:r>
            <w:r w:rsidR="00310324" w:rsidRPr="00016042">
              <w:rPr>
                <w:rFonts w:ascii="Calibri" w:eastAsia="Times New Roman" w:hAnsi="Calibri" w:cs="Calibri"/>
                <w:sz w:val="22"/>
                <w:szCs w:val="22"/>
              </w:rPr>
              <w:t>NHS</w:t>
            </w:r>
            <w:r w:rsidR="00A715C4">
              <w:rPr>
                <w:rFonts w:ascii="Calibri" w:eastAsia="Times New Roman" w:hAnsi="Calibri" w:cs="Calibri"/>
                <w:sz w:val="22"/>
                <w:szCs w:val="22"/>
              </w:rPr>
              <w:t xml:space="preserve"> at MFT or another NHS organisation</w:t>
            </w:r>
            <w:r w:rsidR="00310324"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1D64898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06FE496C"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 Scheduling and Pre-Operative Services</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Default="005766CB"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CB1DAA5" w14:textId="2B38D689"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014A15" w:rsidRPr="00016042" w14:paraId="4C971178"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74B17" w14:textId="29DC7E8A" w:rsidR="00014A15" w:rsidRPr="00016042" w:rsidRDefault="00014A15"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 xml:space="preserve">Question </w:t>
            </w:r>
            <w:r w:rsidR="007C396A" w:rsidRPr="00016042">
              <w:rPr>
                <w:rFonts w:ascii="Calibri" w:eastAsia="Times New Roman" w:hAnsi="Calibri" w:cs="Calibri"/>
                <w:b/>
                <w:bCs/>
                <w:color w:val="000000"/>
                <w:sz w:val="22"/>
                <w:szCs w:val="22"/>
                <w:lang w:eastAsia="en-GB"/>
              </w:rPr>
              <w:t>4</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3440B03" w14:textId="2792D3E7" w:rsidR="00014A15" w:rsidRPr="00016042" w:rsidRDefault="00014A15" w:rsidP="002314A7">
            <w:pPr>
              <w:jc w:val="left"/>
              <w:rPr>
                <w:rFonts w:ascii="Calibri" w:hAnsi="Calibri" w:cs="Calibri"/>
                <w:color w:val="000000"/>
                <w:sz w:val="22"/>
                <w:szCs w:val="22"/>
              </w:rPr>
            </w:pPr>
            <w:r w:rsidRPr="00016042">
              <w:rPr>
                <w:rFonts w:ascii="Calibri" w:hAnsi="Calibri" w:cs="Calibri"/>
                <w:color w:val="000000"/>
                <w:sz w:val="22"/>
                <w:szCs w:val="22"/>
              </w:rPr>
              <w:t xml:space="preserve">Provide details as to how your organisation will provide the pre-operative </w:t>
            </w:r>
            <w:r w:rsidR="00310324" w:rsidRPr="00016042">
              <w:rPr>
                <w:rFonts w:ascii="Calibri" w:hAnsi="Calibri" w:cs="Calibri"/>
                <w:color w:val="000000"/>
                <w:sz w:val="22"/>
                <w:szCs w:val="22"/>
              </w:rPr>
              <w:t>services.</w:t>
            </w:r>
          </w:p>
          <w:p w14:paraId="746761F4" w14:textId="77777777" w:rsidR="00014A15" w:rsidRPr="00016042" w:rsidRDefault="00014A15" w:rsidP="002314A7">
            <w:pPr>
              <w:jc w:val="left"/>
              <w:rPr>
                <w:rFonts w:ascii="Calibri" w:hAnsi="Calibri" w:cs="Calibri"/>
                <w:color w:val="000000"/>
                <w:sz w:val="22"/>
                <w:szCs w:val="22"/>
              </w:rPr>
            </w:pPr>
          </w:p>
          <w:p w14:paraId="3D25D51D" w14:textId="68F62E9E" w:rsidR="00014A15" w:rsidRPr="00016042" w:rsidRDefault="00014A15"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Responses should include but not limited </w:t>
            </w:r>
            <w:r w:rsidR="00310324" w:rsidRPr="00016042">
              <w:rPr>
                <w:rFonts w:ascii="Calibri" w:eastAsia="Times New Roman" w:hAnsi="Calibri" w:cs="Calibri"/>
                <w:sz w:val="22"/>
                <w:szCs w:val="22"/>
                <w:lang w:eastAsia="en-GB"/>
              </w:rPr>
              <w:t>to.</w:t>
            </w:r>
          </w:p>
          <w:p w14:paraId="512B456D" w14:textId="0B669DC4"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Outline of the pre-operative service to be provided to include all stages linked to the requirements in lot </w:t>
            </w:r>
            <w:r w:rsidR="00310324" w:rsidRPr="00016042">
              <w:rPr>
                <w:rFonts w:ascii="Calibri" w:eastAsia="Times New Roman" w:hAnsi="Calibri" w:cs="Calibri"/>
                <w:sz w:val="22"/>
                <w:szCs w:val="22"/>
                <w:lang w:eastAsia="en-GB"/>
              </w:rPr>
              <w:t>1.</w:t>
            </w:r>
          </w:p>
          <w:p w14:paraId="6F6D7C98" w14:textId="1EE41502"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Experience and track record of providing this type of service within other insourcing </w:t>
            </w:r>
            <w:r w:rsidR="00310324" w:rsidRPr="00016042">
              <w:rPr>
                <w:rFonts w:ascii="Calibri" w:eastAsia="Times New Roman" w:hAnsi="Calibri" w:cs="Calibri"/>
                <w:sz w:val="22"/>
                <w:szCs w:val="22"/>
                <w:lang w:eastAsia="en-GB"/>
              </w:rPr>
              <w:t>arrangements.</w:t>
            </w:r>
          </w:p>
          <w:p w14:paraId="48A253AE" w14:textId="262A21D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Actions taken to reduce do not </w:t>
            </w:r>
            <w:r w:rsidR="00310324" w:rsidRPr="00016042">
              <w:rPr>
                <w:rFonts w:ascii="Calibri" w:eastAsia="Times New Roman" w:hAnsi="Calibri" w:cs="Calibri"/>
                <w:sz w:val="22"/>
                <w:szCs w:val="22"/>
                <w:lang w:eastAsia="en-GB"/>
              </w:rPr>
              <w:t>attends.</w:t>
            </w:r>
          </w:p>
          <w:p w14:paraId="167111BB" w14:textId="77777777" w:rsidR="00014A15" w:rsidRPr="00016042" w:rsidRDefault="00014A15"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6999FC2" w14:textId="77777777" w:rsidR="00014A15" w:rsidRDefault="00014A15"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AC1EC68" w14:textId="32AA58E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014A15" w:rsidRPr="00016042" w14:paraId="0C5884DF"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A861191" w14:textId="77777777" w:rsidR="00014A15" w:rsidRPr="00016042" w:rsidRDefault="00014A15"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45CD3DF" w14:textId="77777777" w:rsidR="00014A15" w:rsidRPr="00016042" w:rsidRDefault="00014A15" w:rsidP="002314A7">
            <w:pPr>
              <w:jc w:val="left"/>
              <w:rPr>
                <w:rFonts w:ascii="Calibri" w:eastAsia="Times New Roman" w:hAnsi="Calibri" w:cs="Calibri"/>
                <w:i/>
                <w:iCs/>
                <w:sz w:val="22"/>
                <w:szCs w:val="22"/>
                <w:lang w:eastAsia="en-GB"/>
              </w:rPr>
            </w:pPr>
          </w:p>
          <w:p w14:paraId="5838F6F0" w14:textId="77777777" w:rsidR="00014A15" w:rsidRPr="00016042" w:rsidRDefault="00014A15" w:rsidP="002314A7">
            <w:pPr>
              <w:jc w:val="left"/>
              <w:rPr>
                <w:rFonts w:ascii="Calibri" w:eastAsia="Times New Roman" w:hAnsi="Calibri" w:cs="Calibri"/>
                <w:i/>
                <w:iCs/>
                <w:sz w:val="22"/>
                <w:szCs w:val="22"/>
                <w:lang w:eastAsia="en-GB"/>
              </w:rPr>
            </w:pPr>
          </w:p>
          <w:p w14:paraId="1C6648BB" w14:textId="77777777" w:rsidR="00014A15" w:rsidRDefault="00014A15" w:rsidP="002314A7">
            <w:pPr>
              <w:jc w:val="left"/>
              <w:rPr>
                <w:rFonts w:ascii="Calibri" w:eastAsia="Times New Roman" w:hAnsi="Calibri" w:cs="Calibri"/>
                <w:i/>
                <w:iCs/>
                <w:sz w:val="22"/>
                <w:szCs w:val="22"/>
                <w:lang w:eastAsia="en-GB"/>
              </w:rPr>
            </w:pPr>
          </w:p>
          <w:p w14:paraId="10D2112C" w14:textId="77777777" w:rsidR="00FA5A89" w:rsidRDefault="00FA5A89" w:rsidP="002314A7">
            <w:pPr>
              <w:jc w:val="left"/>
              <w:rPr>
                <w:rFonts w:ascii="Calibri" w:eastAsia="Times New Roman" w:hAnsi="Calibri" w:cs="Calibri"/>
                <w:i/>
                <w:iCs/>
                <w:sz w:val="22"/>
                <w:szCs w:val="22"/>
                <w:lang w:eastAsia="en-GB"/>
              </w:rPr>
            </w:pPr>
          </w:p>
          <w:p w14:paraId="47382A21" w14:textId="77777777" w:rsidR="00FA5A89" w:rsidRDefault="00FA5A89" w:rsidP="002314A7">
            <w:pPr>
              <w:jc w:val="left"/>
              <w:rPr>
                <w:rFonts w:ascii="Calibri" w:eastAsia="Times New Roman" w:hAnsi="Calibri" w:cs="Calibri"/>
                <w:i/>
                <w:iCs/>
                <w:sz w:val="22"/>
                <w:szCs w:val="22"/>
                <w:lang w:eastAsia="en-GB"/>
              </w:rPr>
            </w:pPr>
          </w:p>
          <w:p w14:paraId="4A902A54" w14:textId="77777777" w:rsidR="00FA5A89" w:rsidRDefault="00FA5A89" w:rsidP="002314A7">
            <w:pPr>
              <w:jc w:val="left"/>
              <w:rPr>
                <w:rFonts w:ascii="Calibri" w:eastAsia="Times New Roman" w:hAnsi="Calibri" w:cs="Calibri"/>
                <w:i/>
                <w:iCs/>
                <w:sz w:val="22"/>
                <w:szCs w:val="22"/>
                <w:lang w:eastAsia="en-GB"/>
              </w:rPr>
            </w:pPr>
          </w:p>
          <w:p w14:paraId="0AD796F9" w14:textId="77777777" w:rsidR="00FA5A89" w:rsidRDefault="00FA5A89" w:rsidP="002314A7">
            <w:pPr>
              <w:jc w:val="left"/>
              <w:rPr>
                <w:rFonts w:ascii="Calibri" w:eastAsia="Times New Roman" w:hAnsi="Calibri" w:cs="Calibri"/>
                <w:i/>
                <w:iCs/>
                <w:sz w:val="22"/>
                <w:szCs w:val="22"/>
                <w:lang w:eastAsia="en-GB"/>
              </w:rPr>
            </w:pPr>
          </w:p>
          <w:p w14:paraId="02EF9B8C" w14:textId="77777777" w:rsidR="00FA5A89" w:rsidRDefault="00FA5A89" w:rsidP="002314A7">
            <w:pPr>
              <w:jc w:val="left"/>
              <w:rPr>
                <w:rFonts w:ascii="Calibri" w:eastAsia="Times New Roman" w:hAnsi="Calibri" w:cs="Calibri"/>
                <w:i/>
                <w:iCs/>
                <w:sz w:val="22"/>
                <w:szCs w:val="22"/>
                <w:lang w:eastAsia="en-GB"/>
              </w:rPr>
            </w:pPr>
          </w:p>
          <w:p w14:paraId="4F7195A4" w14:textId="77777777" w:rsidR="00FA5A89" w:rsidRDefault="00FA5A89" w:rsidP="002314A7">
            <w:pPr>
              <w:jc w:val="left"/>
              <w:rPr>
                <w:rFonts w:ascii="Calibri" w:eastAsia="Times New Roman" w:hAnsi="Calibri" w:cs="Calibri"/>
                <w:i/>
                <w:iCs/>
                <w:sz w:val="22"/>
                <w:szCs w:val="22"/>
                <w:lang w:eastAsia="en-GB"/>
              </w:rPr>
            </w:pPr>
          </w:p>
          <w:p w14:paraId="6A6BE38D" w14:textId="77777777" w:rsidR="00FA5A89" w:rsidRDefault="00FA5A89" w:rsidP="002314A7">
            <w:pPr>
              <w:jc w:val="left"/>
              <w:rPr>
                <w:rFonts w:ascii="Calibri" w:eastAsia="Times New Roman" w:hAnsi="Calibri" w:cs="Calibri"/>
                <w:i/>
                <w:iCs/>
                <w:sz w:val="22"/>
                <w:szCs w:val="22"/>
                <w:lang w:eastAsia="en-GB"/>
              </w:rPr>
            </w:pPr>
          </w:p>
          <w:p w14:paraId="18708DE3" w14:textId="77777777" w:rsidR="00FA5A89" w:rsidRDefault="00FA5A89" w:rsidP="002314A7">
            <w:pPr>
              <w:jc w:val="left"/>
              <w:rPr>
                <w:rFonts w:ascii="Calibri" w:eastAsia="Times New Roman" w:hAnsi="Calibri" w:cs="Calibri"/>
                <w:i/>
                <w:iCs/>
                <w:sz w:val="22"/>
                <w:szCs w:val="22"/>
                <w:lang w:eastAsia="en-GB"/>
              </w:rPr>
            </w:pPr>
          </w:p>
          <w:p w14:paraId="6685F6D0" w14:textId="77777777" w:rsidR="00FA5A89" w:rsidRDefault="00FA5A89" w:rsidP="002314A7">
            <w:pPr>
              <w:jc w:val="left"/>
              <w:rPr>
                <w:rFonts w:ascii="Calibri" w:eastAsia="Times New Roman" w:hAnsi="Calibri" w:cs="Calibri"/>
                <w:i/>
                <w:iCs/>
                <w:sz w:val="22"/>
                <w:szCs w:val="22"/>
                <w:lang w:eastAsia="en-GB"/>
              </w:rPr>
            </w:pPr>
          </w:p>
          <w:p w14:paraId="786C957C" w14:textId="77777777" w:rsidR="00FA5A89" w:rsidRDefault="00FA5A89" w:rsidP="002314A7">
            <w:pPr>
              <w:jc w:val="left"/>
              <w:rPr>
                <w:rFonts w:ascii="Calibri" w:eastAsia="Times New Roman" w:hAnsi="Calibri" w:cs="Calibri"/>
                <w:i/>
                <w:iCs/>
                <w:sz w:val="22"/>
                <w:szCs w:val="22"/>
                <w:lang w:eastAsia="en-GB"/>
              </w:rPr>
            </w:pPr>
          </w:p>
          <w:p w14:paraId="0603FD0A" w14:textId="77777777" w:rsidR="00FA5A89" w:rsidRDefault="00FA5A89" w:rsidP="002314A7">
            <w:pPr>
              <w:jc w:val="left"/>
              <w:rPr>
                <w:rFonts w:ascii="Calibri" w:eastAsia="Times New Roman" w:hAnsi="Calibri" w:cs="Calibri"/>
                <w:i/>
                <w:iCs/>
                <w:sz w:val="22"/>
                <w:szCs w:val="22"/>
                <w:lang w:eastAsia="en-GB"/>
              </w:rPr>
            </w:pPr>
          </w:p>
          <w:p w14:paraId="7AC7180B" w14:textId="77777777" w:rsidR="00FA5A89" w:rsidRDefault="00FA5A89" w:rsidP="002314A7">
            <w:pPr>
              <w:jc w:val="left"/>
              <w:rPr>
                <w:rFonts w:ascii="Calibri" w:eastAsia="Times New Roman" w:hAnsi="Calibri" w:cs="Calibri"/>
                <w:i/>
                <w:iCs/>
                <w:sz w:val="22"/>
                <w:szCs w:val="22"/>
                <w:lang w:eastAsia="en-GB"/>
              </w:rPr>
            </w:pPr>
          </w:p>
          <w:p w14:paraId="685C4D87" w14:textId="77777777" w:rsidR="00FA5A89" w:rsidRDefault="00FA5A89" w:rsidP="002314A7">
            <w:pPr>
              <w:jc w:val="left"/>
              <w:rPr>
                <w:rFonts w:ascii="Calibri" w:eastAsia="Times New Roman" w:hAnsi="Calibri" w:cs="Calibri"/>
                <w:i/>
                <w:iCs/>
                <w:sz w:val="22"/>
                <w:szCs w:val="22"/>
                <w:lang w:eastAsia="en-GB"/>
              </w:rPr>
            </w:pPr>
          </w:p>
          <w:p w14:paraId="6CCC0B9A" w14:textId="77777777" w:rsidR="00FA5A89" w:rsidRDefault="00FA5A89" w:rsidP="002314A7">
            <w:pPr>
              <w:jc w:val="left"/>
              <w:rPr>
                <w:rFonts w:ascii="Calibri" w:eastAsia="Times New Roman" w:hAnsi="Calibri" w:cs="Calibri"/>
                <w:i/>
                <w:iCs/>
                <w:sz w:val="22"/>
                <w:szCs w:val="22"/>
                <w:lang w:eastAsia="en-GB"/>
              </w:rPr>
            </w:pPr>
          </w:p>
          <w:p w14:paraId="12BF4113" w14:textId="77777777" w:rsidR="00FA5A89" w:rsidRDefault="00FA5A89" w:rsidP="002314A7">
            <w:pPr>
              <w:jc w:val="left"/>
              <w:rPr>
                <w:rFonts w:ascii="Calibri" w:eastAsia="Times New Roman" w:hAnsi="Calibri" w:cs="Calibri"/>
                <w:i/>
                <w:iCs/>
                <w:sz w:val="22"/>
                <w:szCs w:val="22"/>
                <w:lang w:eastAsia="en-GB"/>
              </w:rPr>
            </w:pPr>
          </w:p>
          <w:p w14:paraId="2C0319A2" w14:textId="77777777" w:rsidR="00FA5A89" w:rsidRDefault="00FA5A89" w:rsidP="002314A7">
            <w:pPr>
              <w:jc w:val="left"/>
              <w:rPr>
                <w:rFonts w:ascii="Calibri" w:eastAsia="Times New Roman" w:hAnsi="Calibri" w:cs="Calibri"/>
                <w:i/>
                <w:iCs/>
                <w:sz w:val="22"/>
                <w:szCs w:val="22"/>
                <w:lang w:eastAsia="en-GB"/>
              </w:rPr>
            </w:pPr>
          </w:p>
          <w:p w14:paraId="1580DC31" w14:textId="77777777" w:rsidR="00FA5A89" w:rsidRDefault="00FA5A89" w:rsidP="002314A7">
            <w:pPr>
              <w:jc w:val="left"/>
              <w:rPr>
                <w:rFonts w:ascii="Calibri" w:eastAsia="Times New Roman" w:hAnsi="Calibri" w:cs="Calibri"/>
                <w:i/>
                <w:iCs/>
                <w:sz w:val="22"/>
                <w:szCs w:val="22"/>
                <w:lang w:eastAsia="en-GB"/>
              </w:rPr>
            </w:pPr>
          </w:p>
          <w:p w14:paraId="1291BC5E" w14:textId="77777777" w:rsidR="00FA5A89" w:rsidRPr="00016042" w:rsidRDefault="00FA5A89" w:rsidP="002314A7">
            <w:pPr>
              <w:jc w:val="left"/>
              <w:rPr>
                <w:rFonts w:ascii="Calibri" w:eastAsia="Times New Roman" w:hAnsi="Calibri" w:cs="Calibri"/>
                <w:i/>
                <w:iCs/>
                <w:sz w:val="22"/>
                <w:szCs w:val="22"/>
                <w:lang w:eastAsia="en-GB"/>
              </w:rPr>
            </w:pPr>
          </w:p>
          <w:p w14:paraId="1B00E4DC" w14:textId="77777777" w:rsidR="00014A15" w:rsidRPr="00016042" w:rsidRDefault="00014A15"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p w14:paraId="6D21A1FA" w14:textId="77777777" w:rsidR="005753D4" w:rsidRPr="00016042" w:rsidRDefault="005753D4" w:rsidP="002314A7">
      <w:pPr>
        <w:pStyle w:val="Heading2"/>
        <w:numPr>
          <w:ilvl w:val="0"/>
          <w:numId w:val="0"/>
        </w:numPr>
        <w:spacing w:before="0" w:after="0"/>
        <w:rPr>
          <w:rFonts w:ascii="Calibri" w:hAnsi="Calibri" w:cs="Calibri"/>
          <w:b/>
          <w:sz w:val="22"/>
          <w:szCs w:val="22"/>
        </w:rPr>
      </w:pPr>
    </w:p>
    <w:bookmarkEnd w:id="18"/>
    <w:bookmarkEnd w:id="19"/>
    <w:bookmarkEnd w:id="20"/>
    <w:bookmarkEnd w:id="21"/>
    <w:bookmarkEnd w:id="22"/>
    <w:bookmarkEnd w:id="23"/>
    <w:p w14:paraId="2ABAF275" w14:textId="3CDFF5A1" w:rsidR="005766CB" w:rsidRPr="00016042" w:rsidRDefault="005766CB" w:rsidP="002314A7">
      <w:pPr>
        <w:jc w:val="left"/>
        <w:rPr>
          <w:rFonts w:ascii="Calibri" w:eastAsia="Times New Roman" w:hAnsi="Calibri" w:cs="Calibri"/>
          <w:b/>
          <w:caps/>
          <w:color w:val="000000" w:themeColor="text1"/>
          <w:sz w:val="22"/>
          <w:szCs w:val="22"/>
          <w:lang w:eastAsia="en-GB"/>
        </w:rPr>
      </w:pPr>
      <w:r w:rsidRPr="00016042">
        <w:rPr>
          <w:rFonts w:ascii="Calibri" w:eastAsia="Times New Roman" w:hAnsi="Calibri" w:cs="Calibri"/>
          <w:b/>
          <w:caps/>
          <w:color w:val="000000" w:themeColor="text1"/>
          <w:sz w:val="22"/>
          <w:szCs w:val="22"/>
          <w:lang w:eastAsia="en-GB"/>
        </w:rPr>
        <w:br w:type="page"/>
      </w:r>
    </w:p>
    <w:p w14:paraId="49BAF87E" w14:textId="63B5E526" w:rsidR="00DE4CAF"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57487F5E"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949DD" w:rsidRPr="00016042" w14:paraId="5C43F57F"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48BA" w14:textId="30A2C1B2"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r w:rsidR="007C396A"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E2AB5EA" w14:textId="5A8471B2" w:rsidR="001949DD" w:rsidRPr="00016042" w:rsidRDefault="001949DD" w:rsidP="002314A7">
            <w:pPr>
              <w:rPr>
                <w:rFonts w:ascii="Calibri" w:hAnsi="Calibri" w:cs="Calibri"/>
                <w:sz w:val="22"/>
                <w:szCs w:val="22"/>
              </w:rPr>
            </w:pPr>
            <w:r w:rsidRPr="00016042">
              <w:rPr>
                <w:rFonts w:ascii="Calibri" w:hAnsi="Calibri" w:cs="Calibri"/>
                <w:sz w:val="22"/>
                <w:szCs w:val="22"/>
              </w:rPr>
              <w:t>How will you ensure comprehensive assessment of patients and minimise follow ups?</w:t>
            </w:r>
          </w:p>
          <w:p w14:paraId="00113ECC" w14:textId="77777777" w:rsidR="007C396A" w:rsidRPr="00016042" w:rsidRDefault="007C396A" w:rsidP="002314A7">
            <w:pPr>
              <w:rPr>
                <w:rFonts w:ascii="Calibri" w:hAnsi="Calibri" w:cs="Calibri"/>
                <w:sz w:val="22"/>
                <w:szCs w:val="22"/>
              </w:rPr>
            </w:pPr>
          </w:p>
          <w:p w14:paraId="07919EE3" w14:textId="77777777" w:rsidR="001949DD" w:rsidRPr="00016042" w:rsidRDefault="001949DD" w:rsidP="002314A7">
            <w:pPr>
              <w:rPr>
                <w:rFonts w:ascii="Calibri" w:hAnsi="Calibri" w:cs="Calibri"/>
                <w:sz w:val="22"/>
                <w:szCs w:val="22"/>
              </w:rPr>
            </w:pPr>
            <w:r w:rsidRPr="00016042">
              <w:rPr>
                <w:rFonts w:ascii="Calibri" w:hAnsi="Calibri" w:cs="Calibri"/>
                <w:sz w:val="22"/>
                <w:szCs w:val="22"/>
              </w:rPr>
              <w:t>Responses to include:</w:t>
            </w:r>
          </w:p>
          <w:p w14:paraId="01CFD691" w14:textId="169C33D6" w:rsidR="007C396A" w:rsidRPr="00016042" w:rsidRDefault="001949DD" w:rsidP="002314A7">
            <w:pPr>
              <w:pStyle w:val="ListParagraph"/>
              <w:numPr>
                <w:ilvl w:val="0"/>
                <w:numId w:val="32"/>
              </w:numPr>
              <w:jc w:val="left"/>
              <w:rPr>
                <w:rFonts w:ascii="Calibri" w:hAnsi="Calibri" w:cs="Calibri"/>
                <w:sz w:val="22"/>
                <w:szCs w:val="22"/>
              </w:rPr>
            </w:pPr>
            <w:r w:rsidRPr="00016042">
              <w:rPr>
                <w:rFonts w:ascii="Calibri" w:eastAsia="Times New Roman" w:hAnsi="Calibri" w:cs="Calibri"/>
                <w:color w:val="000000"/>
                <w:sz w:val="22"/>
                <w:szCs w:val="22"/>
                <w:lang w:eastAsia="en-GB"/>
              </w:rPr>
              <w:t xml:space="preserve">Details of new to follow up existing </w:t>
            </w:r>
            <w:r w:rsidR="00310324" w:rsidRPr="00016042">
              <w:rPr>
                <w:rFonts w:ascii="Calibri" w:eastAsia="Times New Roman" w:hAnsi="Calibri" w:cs="Calibri"/>
                <w:color w:val="000000"/>
                <w:sz w:val="22"/>
                <w:szCs w:val="22"/>
                <w:lang w:eastAsia="en-GB"/>
              </w:rPr>
              <w:t>ratios</w:t>
            </w:r>
            <w:r w:rsidRPr="00016042">
              <w:rPr>
                <w:rFonts w:ascii="Calibri" w:eastAsia="Times New Roman" w:hAnsi="Calibri" w:cs="Calibri"/>
                <w:color w:val="000000"/>
                <w:sz w:val="22"/>
                <w:szCs w:val="22"/>
                <w:lang w:eastAsia="en-GB"/>
              </w:rPr>
              <w:t xml:space="preserve"> for </w:t>
            </w:r>
            <w:r w:rsidR="00FA5A89">
              <w:rPr>
                <w:rFonts w:ascii="Calibri" w:eastAsia="Times New Roman" w:hAnsi="Calibri" w:cs="Calibri"/>
                <w:color w:val="000000"/>
                <w:sz w:val="22"/>
                <w:szCs w:val="22"/>
                <w:lang w:eastAsia="en-GB"/>
              </w:rPr>
              <w:t>all clinical areas in lot 1</w:t>
            </w:r>
            <w:r w:rsidRPr="00016042">
              <w:rPr>
                <w:rFonts w:ascii="Calibri" w:eastAsia="Times New Roman" w:hAnsi="Calibri" w:cs="Calibri"/>
                <w:color w:val="000000"/>
                <w:sz w:val="22"/>
                <w:szCs w:val="22"/>
                <w:lang w:eastAsia="en-GB"/>
              </w:rPr>
              <w:t xml:space="preserve"> based on experience within other insourcing </w:t>
            </w:r>
            <w:r w:rsidR="00310324" w:rsidRPr="00016042">
              <w:rPr>
                <w:rFonts w:ascii="Calibri" w:eastAsia="Times New Roman" w:hAnsi="Calibri" w:cs="Calibri"/>
                <w:color w:val="000000"/>
                <w:sz w:val="22"/>
                <w:szCs w:val="22"/>
                <w:lang w:eastAsia="en-GB"/>
              </w:rPr>
              <w:t>contracts.</w:t>
            </w:r>
            <w:r w:rsidRPr="00016042">
              <w:rPr>
                <w:rFonts w:ascii="Calibri" w:hAnsi="Calibri" w:cs="Calibri"/>
                <w:sz w:val="22"/>
                <w:szCs w:val="22"/>
              </w:rPr>
              <w:t xml:space="preserve"> </w:t>
            </w:r>
          </w:p>
          <w:p w14:paraId="4165202B" w14:textId="7C7D579D" w:rsidR="001949DD" w:rsidRPr="00016042" w:rsidRDefault="001949DD"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Ensure that patients get a prompt diagnosis and move through the pathway as quick as possible. </w:t>
            </w:r>
          </w:p>
          <w:p w14:paraId="2BB1CD43" w14:textId="25FF7C27" w:rsidR="001949DD" w:rsidRPr="00016042" w:rsidRDefault="002314A7"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Application of one stop clinics</w:t>
            </w:r>
            <w:r w:rsidR="00FA5A89">
              <w:rPr>
                <w:rFonts w:ascii="Calibri" w:hAnsi="Calibri" w:cs="Calibri"/>
                <w:sz w:val="22"/>
                <w:szCs w:val="22"/>
              </w:rPr>
              <w:t xml:space="preserve"> if appropriate.</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11F28200"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F1C505D" w14:textId="680B18C6"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r w:rsidR="00F23AE1">
              <w:rPr>
                <w:rFonts w:ascii="Calibri" w:eastAsia="Times New Roman" w:hAnsi="Calibri" w:cs="Calibri"/>
                <w:b/>
                <w:bCs/>
                <w:sz w:val="22"/>
                <w:szCs w:val="22"/>
                <w:lang w:eastAsia="en-GB"/>
              </w:rPr>
              <w:t>%</w:t>
            </w:r>
          </w:p>
        </w:tc>
      </w:tr>
      <w:tr w:rsidR="001949DD" w:rsidRPr="00016042" w14:paraId="398C8254"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62DF0B0"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B776AD4" w14:textId="77777777" w:rsidR="001949DD" w:rsidRPr="00016042" w:rsidRDefault="001949DD" w:rsidP="002314A7">
            <w:pPr>
              <w:jc w:val="left"/>
              <w:rPr>
                <w:rFonts w:ascii="Calibri" w:eastAsia="Times New Roman" w:hAnsi="Calibri" w:cs="Calibri"/>
                <w:i/>
                <w:iCs/>
                <w:sz w:val="22"/>
                <w:szCs w:val="22"/>
                <w:lang w:eastAsia="en-GB"/>
              </w:rPr>
            </w:pPr>
          </w:p>
          <w:p w14:paraId="4F4A0727" w14:textId="77777777" w:rsidR="001949DD" w:rsidRPr="00016042" w:rsidRDefault="001949DD" w:rsidP="002314A7">
            <w:pPr>
              <w:jc w:val="left"/>
              <w:rPr>
                <w:rFonts w:ascii="Calibri" w:eastAsia="Times New Roman" w:hAnsi="Calibri" w:cs="Calibri"/>
                <w:i/>
                <w:iCs/>
                <w:sz w:val="22"/>
                <w:szCs w:val="22"/>
                <w:lang w:eastAsia="en-GB"/>
              </w:rPr>
            </w:pPr>
          </w:p>
          <w:p w14:paraId="66014F96" w14:textId="77777777" w:rsidR="001949DD" w:rsidRDefault="001949DD" w:rsidP="002314A7">
            <w:pPr>
              <w:jc w:val="left"/>
              <w:rPr>
                <w:rFonts w:ascii="Calibri" w:eastAsia="Times New Roman" w:hAnsi="Calibri" w:cs="Calibri"/>
                <w:i/>
                <w:iCs/>
                <w:sz w:val="22"/>
                <w:szCs w:val="22"/>
                <w:lang w:eastAsia="en-GB"/>
              </w:rPr>
            </w:pPr>
          </w:p>
          <w:p w14:paraId="2B7A11AA" w14:textId="77777777" w:rsidR="00FA5A89" w:rsidRDefault="00FA5A89" w:rsidP="002314A7">
            <w:pPr>
              <w:jc w:val="left"/>
              <w:rPr>
                <w:rFonts w:ascii="Calibri" w:eastAsia="Times New Roman" w:hAnsi="Calibri" w:cs="Calibri"/>
                <w:i/>
                <w:iCs/>
                <w:sz w:val="22"/>
                <w:szCs w:val="22"/>
                <w:lang w:eastAsia="en-GB"/>
              </w:rPr>
            </w:pPr>
          </w:p>
          <w:p w14:paraId="1664DAAC" w14:textId="77777777" w:rsidR="00FA5A89" w:rsidRDefault="00FA5A89" w:rsidP="002314A7">
            <w:pPr>
              <w:jc w:val="left"/>
              <w:rPr>
                <w:rFonts w:ascii="Calibri" w:eastAsia="Times New Roman" w:hAnsi="Calibri" w:cs="Calibri"/>
                <w:i/>
                <w:iCs/>
                <w:sz w:val="22"/>
                <w:szCs w:val="22"/>
                <w:lang w:eastAsia="en-GB"/>
              </w:rPr>
            </w:pPr>
          </w:p>
          <w:p w14:paraId="62A3DB9A" w14:textId="77777777" w:rsidR="00FA5A89" w:rsidRDefault="00FA5A89" w:rsidP="002314A7">
            <w:pPr>
              <w:jc w:val="left"/>
              <w:rPr>
                <w:rFonts w:ascii="Calibri" w:eastAsia="Times New Roman" w:hAnsi="Calibri" w:cs="Calibri"/>
                <w:i/>
                <w:iCs/>
                <w:sz w:val="22"/>
                <w:szCs w:val="22"/>
                <w:lang w:eastAsia="en-GB"/>
              </w:rPr>
            </w:pPr>
          </w:p>
          <w:p w14:paraId="1D45F67C" w14:textId="77777777" w:rsidR="00FA5A89" w:rsidRDefault="00FA5A89" w:rsidP="002314A7">
            <w:pPr>
              <w:jc w:val="left"/>
              <w:rPr>
                <w:rFonts w:ascii="Calibri" w:eastAsia="Times New Roman" w:hAnsi="Calibri" w:cs="Calibri"/>
                <w:i/>
                <w:iCs/>
                <w:sz w:val="22"/>
                <w:szCs w:val="22"/>
                <w:lang w:eastAsia="en-GB"/>
              </w:rPr>
            </w:pPr>
          </w:p>
          <w:p w14:paraId="4B82BD42" w14:textId="77777777" w:rsidR="00FA5A89" w:rsidRDefault="00FA5A89" w:rsidP="002314A7">
            <w:pPr>
              <w:jc w:val="left"/>
              <w:rPr>
                <w:rFonts w:ascii="Calibri" w:eastAsia="Times New Roman" w:hAnsi="Calibri" w:cs="Calibri"/>
                <w:i/>
                <w:iCs/>
                <w:sz w:val="22"/>
                <w:szCs w:val="22"/>
                <w:lang w:eastAsia="en-GB"/>
              </w:rPr>
            </w:pPr>
          </w:p>
          <w:p w14:paraId="25F9A299" w14:textId="77777777" w:rsidR="00FA5A89" w:rsidRDefault="00FA5A89" w:rsidP="002314A7">
            <w:pPr>
              <w:jc w:val="left"/>
              <w:rPr>
                <w:rFonts w:ascii="Calibri" w:eastAsia="Times New Roman" w:hAnsi="Calibri" w:cs="Calibri"/>
                <w:i/>
                <w:iCs/>
                <w:sz w:val="22"/>
                <w:szCs w:val="22"/>
                <w:lang w:eastAsia="en-GB"/>
              </w:rPr>
            </w:pPr>
          </w:p>
          <w:p w14:paraId="3F8E9CF2" w14:textId="77777777" w:rsidR="00FA5A89" w:rsidRDefault="00FA5A89" w:rsidP="002314A7">
            <w:pPr>
              <w:jc w:val="left"/>
              <w:rPr>
                <w:rFonts w:ascii="Calibri" w:eastAsia="Times New Roman" w:hAnsi="Calibri" w:cs="Calibri"/>
                <w:i/>
                <w:iCs/>
                <w:sz w:val="22"/>
                <w:szCs w:val="22"/>
                <w:lang w:eastAsia="en-GB"/>
              </w:rPr>
            </w:pPr>
          </w:p>
          <w:p w14:paraId="592651C9" w14:textId="77777777" w:rsidR="00FA5A89" w:rsidRDefault="00FA5A89" w:rsidP="002314A7">
            <w:pPr>
              <w:jc w:val="left"/>
              <w:rPr>
                <w:rFonts w:ascii="Calibri" w:eastAsia="Times New Roman" w:hAnsi="Calibri" w:cs="Calibri"/>
                <w:i/>
                <w:iCs/>
                <w:sz w:val="22"/>
                <w:szCs w:val="22"/>
                <w:lang w:eastAsia="en-GB"/>
              </w:rPr>
            </w:pPr>
          </w:p>
          <w:p w14:paraId="15119CDA" w14:textId="77777777" w:rsidR="00FA5A89" w:rsidRDefault="00FA5A89" w:rsidP="002314A7">
            <w:pPr>
              <w:jc w:val="left"/>
              <w:rPr>
                <w:rFonts w:ascii="Calibri" w:eastAsia="Times New Roman" w:hAnsi="Calibri" w:cs="Calibri"/>
                <w:i/>
                <w:iCs/>
                <w:sz w:val="22"/>
                <w:szCs w:val="22"/>
                <w:lang w:eastAsia="en-GB"/>
              </w:rPr>
            </w:pPr>
          </w:p>
          <w:p w14:paraId="27332789" w14:textId="77777777" w:rsidR="00FA5A89" w:rsidRDefault="00FA5A89" w:rsidP="002314A7">
            <w:pPr>
              <w:jc w:val="left"/>
              <w:rPr>
                <w:rFonts w:ascii="Calibri" w:eastAsia="Times New Roman" w:hAnsi="Calibri" w:cs="Calibri"/>
                <w:i/>
                <w:iCs/>
                <w:sz w:val="22"/>
                <w:szCs w:val="22"/>
                <w:lang w:eastAsia="en-GB"/>
              </w:rPr>
            </w:pPr>
          </w:p>
          <w:p w14:paraId="0BDBEE29" w14:textId="77777777" w:rsidR="00FA5A89" w:rsidRDefault="00FA5A89" w:rsidP="002314A7">
            <w:pPr>
              <w:jc w:val="left"/>
              <w:rPr>
                <w:rFonts w:ascii="Calibri" w:eastAsia="Times New Roman" w:hAnsi="Calibri" w:cs="Calibri"/>
                <w:i/>
                <w:iCs/>
                <w:sz w:val="22"/>
                <w:szCs w:val="22"/>
                <w:lang w:eastAsia="en-GB"/>
              </w:rPr>
            </w:pPr>
          </w:p>
          <w:p w14:paraId="7FC8C8C3" w14:textId="77777777" w:rsidR="00FA5A89" w:rsidRDefault="00FA5A89" w:rsidP="002314A7">
            <w:pPr>
              <w:jc w:val="left"/>
              <w:rPr>
                <w:rFonts w:ascii="Calibri" w:eastAsia="Times New Roman" w:hAnsi="Calibri" w:cs="Calibri"/>
                <w:i/>
                <w:iCs/>
                <w:sz w:val="22"/>
                <w:szCs w:val="22"/>
                <w:lang w:eastAsia="en-GB"/>
              </w:rPr>
            </w:pPr>
          </w:p>
          <w:p w14:paraId="07646685" w14:textId="77777777" w:rsidR="00FA5A89" w:rsidRDefault="00FA5A89" w:rsidP="002314A7">
            <w:pPr>
              <w:jc w:val="left"/>
              <w:rPr>
                <w:rFonts w:ascii="Calibri" w:eastAsia="Times New Roman" w:hAnsi="Calibri" w:cs="Calibri"/>
                <w:i/>
                <w:iCs/>
                <w:sz w:val="22"/>
                <w:szCs w:val="22"/>
                <w:lang w:eastAsia="en-GB"/>
              </w:rPr>
            </w:pPr>
          </w:p>
          <w:p w14:paraId="57161902" w14:textId="77777777" w:rsidR="00FA5A89" w:rsidRDefault="00FA5A89" w:rsidP="002314A7">
            <w:pPr>
              <w:jc w:val="left"/>
              <w:rPr>
                <w:rFonts w:ascii="Calibri" w:eastAsia="Times New Roman" w:hAnsi="Calibri" w:cs="Calibri"/>
                <w:i/>
                <w:iCs/>
                <w:sz w:val="22"/>
                <w:szCs w:val="22"/>
                <w:lang w:eastAsia="en-GB"/>
              </w:rPr>
            </w:pPr>
          </w:p>
          <w:p w14:paraId="3D7DF744" w14:textId="77777777" w:rsidR="00FA5A89" w:rsidRDefault="00FA5A89" w:rsidP="002314A7">
            <w:pPr>
              <w:jc w:val="left"/>
              <w:rPr>
                <w:rFonts w:ascii="Calibri" w:eastAsia="Times New Roman" w:hAnsi="Calibri" w:cs="Calibri"/>
                <w:i/>
                <w:iCs/>
                <w:sz w:val="22"/>
                <w:szCs w:val="22"/>
                <w:lang w:eastAsia="en-GB"/>
              </w:rPr>
            </w:pPr>
          </w:p>
          <w:p w14:paraId="6E581600" w14:textId="77777777" w:rsidR="00FA5A89" w:rsidRDefault="00FA5A89" w:rsidP="002314A7">
            <w:pPr>
              <w:jc w:val="left"/>
              <w:rPr>
                <w:rFonts w:ascii="Calibri" w:eastAsia="Times New Roman" w:hAnsi="Calibri" w:cs="Calibri"/>
                <w:i/>
                <w:iCs/>
                <w:sz w:val="22"/>
                <w:szCs w:val="22"/>
                <w:lang w:eastAsia="en-GB"/>
              </w:rPr>
            </w:pPr>
          </w:p>
          <w:p w14:paraId="72548149" w14:textId="77777777" w:rsidR="00FA5A89" w:rsidRPr="00016042" w:rsidRDefault="00FA5A89" w:rsidP="002314A7">
            <w:pPr>
              <w:jc w:val="left"/>
              <w:rPr>
                <w:rFonts w:ascii="Calibri" w:eastAsia="Times New Roman" w:hAnsi="Calibri" w:cs="Calibri"/>
                <w:i/>
                <w:iCs/>
                <w:sz w:val="22"/>
                <w:szCs w:val="22"/>
                <w:lang w:eastAsia="en-GB"/>
              </w:rPr>
            </w:pPr>
          </w:p>
          <w:p w14:paraId="5B572753"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299FFB19"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5b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1890DDA3"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2233"/>
    <w:rsid w:val="001949DD"/>
    <w:rsid w:val="001A7236"/>
    <w:rsid w:val="001C185D"/>
    <w:rsid w:val="001D414D"/>
    <w:rsid w:val="001E0BFA"/>
    <w:rsid w:val="00210FE7"/>
    <w:rsid w:val="002314A7"/>
    <w:rsid w:val="00240C2C"/>
    <w:rsid w:val="00251485"/>
    <w:rsid w:val="00262041"/>
    <w:rsid w:val="00264C43"/>
    <w:rsid w:val="00265B8D"/>
    <w:rsid w:val="00266FA8"/>
    <w:rsid w:val="00282AF4"/>
    <w:rsid w:val="00287140"/>
    <w:rsid w:val="002C6D4D"/>
    <w:rsid w:val="002F037E"/>
    <w:rsid w:val="00310324"/>
    <w:rsid w:val="00312158"/>
    <w:rsid w:val="0032180F"/>
    <w:rsid w:val="00345056"/>
    <w:rsid w:val="00367FBF"/>
    <w:rsid w:val="00440523"/>
    <w:rsid w:val="00451397"/>
    <w:rsid w:val="0045219E"/>
    <w:rsid w:val="00452F80"/>
    <w:rsid w:val="00460ADF"/>
    <w:rsid w:val="004675AD"/>
    <w:rsid w:val="00494106"/>
    <w:rsid w:val="004C2D5D"/>
    <w:rsid w:val="004D1A1E"/>
    <w:rsid w:val="004D28A2"/>
    <w:rsid w:val="00532B3D"/>
    <w:rsid w:val="00537675"/>
    <w:rsid w:val="00540AB6"/>
    <w:rsid w:val="00565E8E"/>
    <w:rsid w:val="005708CC"/>
    <w:rsid w:val="005753D4"/>
    <w:rsid w:val="00575C9C"/>
    <w:rsid w:val="005766CB"/>
    <w:rsid w:val="005A259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E3D64"/>
    <w:rsid w:val="00905715"/>
    <w:rsid w:val="00915549"/>
    <w:rsid w:val="0092276B"/>
    <w:rsid w:val="0093544E"/>
    <w:rsid w:val="00944C23"/>
    <w:rsid w:val="009C323E"/>
    <w:rsid w:val="009D4494"/>
    <w:rsid w:val="009E1C83"/>
    <w:rsid w:val="009E2F53"/>
    <w:rsid w:val="009E7644"/>
    <w:rsid w:val="00A10B2F"/>
    <w:rsid w:val="00A25666"/>
    <w:rsid w:val="00A377E0"/>
    <w:rsid w:val="00A46037"/>
    <w:rsid w:val="00A715C4"/>
    <w:rsid w:val="00A86E0D"/>
    <w:rsid w:val="00AF682B"/>
    <w:rsid w:val="00AF719F"/>
    <w:rsid w:val="00B1722D"/>
    <w:rsid w:val="00B2375F"/>
    <w:rsid w:val="00B547A1"/>
    <w:rsid w:val="00B64A6F"/>
    <w:rsid w:val="00B72B6B"/>
    <w:rsid w:val="00B76F08"/>
    <w:rsid w:val="00B77811"/>
    <w:rsid w:val="00B8001D"/>
    <w:rsid w:val="00B8224F"/>
    <w:rsid w:val="00BA3E83"/>
    <w:rsid w:val="00BA551A"/>
    <w:rsid w:val="00BC4BEE"/>
    <w:rsid w:val="00BC5AD3"/>
    <w:rsid w:val="00BC7CFC"/>
    <w:rsid w:val="00BE2B8F"/>
    <w:rsid w:val="00BE2D1F"/>
    <w:rsid w:val="00C12528"/>
    <w:rsid w:val="00C254CC"/>
    <w:rsid w:val="00C25CF0"/>
    <w:rsid w:val="00C61803"/>
    <w:rsid w:val="00C833EB"/>
    <w:rsid w:val="00CB016F"/>
    <w:rsid w:val="00CF3C6F"/>
    <w:rsid w:val="00D423CA"/>
    <w:rsid w:val="00D760DA"/>
    <w:rsid w:val="00D80D9F"/>
    <w:rsid w:val="00DD1EFC"/>
    <w:rsid w:val="00DE4CAF"/>
    <w:rsid w:val="00DE72F8"/>
    <w:rsid w:val="00E01794"/>
    <w:rsid w:val="00E041D7"/>
    <w:rsid w:val="00E34CC7"/>
    <w:rsid w:val="00E35460"/>
    <w:rsid w:val="00E41A51"/>
    <w:rsid w:val="00E41E82"/>
    <w:rsid w:val="00EA6771"/>
    <w:rsid w:val="00EB1367"/>
    <w:rsid w:val="00EB1DBE"/>
    <w:rsid w:val="00EF15C8"/>
    <w:rsid w:val="00EF5321"/>
    <w:rsid w:val="00F23AE1"/>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2</cp:revision>
  <cp:lastPrinted>2024-07-29T11:33:00Z</cp:lastPrinted>
  <dcterms:created xsi:type="dcterms:W3CDTF">2025-06-12T15:58:00Z</dcterms:created>
  <dcterms:modified xsi:type="dcterms:W3CDTF">2025-06-12T15:58:00Z</dcterms:modified>
</cp:coreProperties>
</file>