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>DocuSign Envelope ID: ED430AF3-5FDA-4232-A5E8-981E9181ED08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6" w:line="240" w:lineRule="auto"/>
        <w:ind w:right="3545"/>
        <w:jc w:val="right"/>
        <w:rPr>
          <w:b/>
          <w:color w:val="000000"/>
        </w:rPr>
      </w:pPr>
      <w:r>
        <w:rPr>
          <w:b/>
          <w:color w:val="000000"/>
        </w:rPr>
        <w:t xml:space="preserve">VARIATION FORM 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28" w:lineRule="auto"/>
        <w:ind w:left="1095" w:right="401" w:firstLine="13"/>
        <w:rPr>
          <w:color w:val="000000"/>
        </w:rPr>
      </w:pPr>
      <w:r>
        <w:rPr>
          <w:color w:val="000000"/>
        </w:rPr>
        <w:t xml:space="preserve">Call Off Order Form being varied: CCSO20A80 Provision of a Foundry Data Connector </w:t>
      </w:r>
      <w:proofErr w:type="gramStart"/>
      <w:r>
        <w:rPr>
          <w:color w:val="000000"/>
        </w:rPr>
        <w:t>–  Technical</w:t>
      </w:r>
      <w:proofErr w:type="gramEnd"/>
      <w:r>
        <w:rPr>
          <w:color w:val="000000"/>
        </w:rPr>
        <w:t xml:space="preserve"> Feasibility Evaluation (TFE) dated 31</w:t>
      </w:r>
      <w:r>
        <w:rPr>
          <w:color w:val="000000"/>
          <w:sz w:val="25"/>
          <w:szCs w:val="25"/>
          <w:vertAlign w:val="superscript"/>
        </w:rPr>
        <w:t xml:space="preserve">st </w:t>
      </w:r>
      <w:r>
        <w:rPr>
          <w:color w:val="000000"/>
        </w:rPr>
        <w:t xml:space="preserve">August 2020 (the </w:t>
      </w:r>
      <w:r>
        <w:rPr>
          <w:b/>
          <w:color w:val="000000"/>
        </w:rPr>
        <w:t>“Agreement”</w:t>
      </w:r>
      <w:r>
        <w:rPr>
          <w:color w:val="000000"/>
        </w:rPr>
        <w:t xml:space="preserve">) 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ind w:left="1090"/>
        <w:rPr>
          <w:b/>
          <w:color w:val="000000"/>
        </w:rPr>
      </w:pPr>
      <w:r>
        <w:rPr>
          <w:color w:val="000000"/>
        </w:rPr>
        <w:t xml:space="preserve">Variation Form No: </w:t>
      </w:r>
      <w:r>
        <w:rPr>
          <w:b/>
          <w:color w:val="000000"/>
        </w:rPr>
        <w:t xml:space="preserve">005 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1118"/>
        <w:rPr>
          <w:color w:val="000000"/>
        </w:rPr>
      </w:pPr>
      <w:r>
        <w:rPr>
          <w:color w:val="000000"/>
        </w:rPr>
        <w:t xml:space="preserve">BETWEEN: 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240" w:lineRule="auto"/>
        <w:ind w:left="1107"/>
        <w:rPr>
          <w:color w:val="000000"/>
        </w:rPr>
      </w:pPr>
      <w:r>
        <w:rPr>
          <w:b/>
          <w:color w:val="000000"/>
        </w:rPr>
        <w:t xml:space="preserve">Cabinet Office </w:t>
      </w:r>
      <w:r>
        <w:rPr>
          <w:color w:val="000000"/>
        </w:rPr>
        <w:t xml:space="preserve">("the Buyer") 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1102"/>
        <w:rPr>
          <w:color w:val="000000"/>
        </w:rPr>
      </w:pPr>
      <w:r>
        <w:rPr>
          <w:color w:val="000000"/>
        </w:rPr>
        <w:t xml:space="preserve">and 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ind w:left="1118"/>
        <w:rPr>
          <w:color w:val="000000"/>
        </w:rPr>
      </w:pPr>
      <w:r>
        <w:rPr>
          <w:b/>
          <w:color w:val="000000"/>
        </w:rPr>
        <w:t xml:space="preserve">Palantir Technologies UK, Ltd. </w:t>
      </w:r>
      <w:r>
        <w:rPr>
          <w:color w:val="000000"/>
        </w:rPr>
        <w:t xml:space="preserve">("the Supplier") 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9" w:line="240" w:lineRule="auto"/>
        <w:ind w:left="1094"/>
        <w:rPr>
          <w:b/>
          <w:color w:val="000000"/>
        </w:rPr>
      </w:pPr>
      <w:r>
        <w:rPr>
          <w:b/>
          <w:color w:val="000000"/>
          <w:u w:val="single"/>
        </w:rPr>
        <w:t>Term</w:t>
      </w:r>
      <w:r>
        <w:rPr>
          <w:b/>
          <w:color w:val="000000"/>
        </w:rPr>
        <w:t xml:space="preserve">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28" w:lineRule="auto"/>
        <w:ind w:left="1840" w:right="30" w:hanging="352"/>
        <w:rPr>
          <w:color w:val="000000"/>
        </w:rPr>
      </w:pPr>
      <w:r>
        <w:rPr>
          <w:color w:val="000000"/>
        </w:rPr>
        <w:t xml:space="preserve">1. Ahead of the expiry date of the Agreement, the Buyer wishes to extend the term for </w:t>
      </w:r>
      <w:proofErr w:type="gramStart"/>
      <w:r>
        <w:rPr>
          <w:color w:val="000000"/>
        </w:rPr>
        <w:t>a  further</w:t>
      </w:r>
      <w:proofErr w:type="gramEnd"/>
      <w:r>
        <w:rPr>
          <w:color w:val="000000"/>
        </w:rPr>
        <w:t xml:space="preserve"> period of 12 months ending 31</w:t>
      </w:r>
      <w:r>
        <w:rPr>
          <w:color w:val="000000"/>
          <w:sz w:val="23"/>
          <w:szCs w:val="23"/>
          <w:vertAlign w:val="superscript"/>
        </w:rPr>
        <w:t xml:space="preserve">st </w:t>
      </w:r>
      <w:r>
        <w:rPr>
          <w:color w:val="000000"/>
        </w:rPr>
        <w:t>March 2024 (“</w:t>
      </w:r>
      <w:r>
        <w:rPr>
          <w:b/>
          <w:color w:val="000000"/>
        </w:rPr>
        <w:t>Extension Term</w:t>
      </w:r>
      <w:r>
        <w:rPr>
          <w:color w:val="000000"/>
        </w:rPr>
        <w:t>”) with a break  point (“</w:t>
      </w:r>
      <w:r>
        <w:rPr>
          <w:b/>
          <w:color w:val="000000"/>
        </w:rPr>
        <w:t>Extension Break Point</w:t>
      </w:r>
      <w:r>
        <w:rPr>
          <w:color w:val="000000"/>
        </w:rPr>
        <w:t>”) at the end of the 3</w:t>
      </w:r>
      <w:r>
        <w:rPr>
          <w:color w:val="000000"/>
          <w:sz w:val="23"/>
          <w:szCs w:val="23"/>
          <w:vertAlign w:val="superscript"/>
        </w:rPr>
        <w:t xml:space="preserve">rd </w:t>
      </w:r>
      <w:r>
        <w:rPr>
          <w:color w:val="000000"/>
        </w:rPr>
        <w:t>month of this extension (30</w:t>
      </w:r>
      <w:r>
        <w:rPr>
          <w:color w:val="000000"/>
          <w:sz w:val="23"/>
          <w:szCs w:val="23"/>
          <w:vertAlign w:val="superscript"/>
        </w:rPr>
        <w:t>th</w:t>
      </w:r>
      <w:r>
        <w:rPr>
          <w:color w:val="000000"/>
          <w:sz w:val="13"/>
          <w:szCs w:val="13"/>
        </w:rPr>
        <w:t xml:space="preserve"> </w:t>
      </w:r>
      <w:r>
        <w:rPr>
          <w:color w:val="000000"/>
        </w:rPr>
        <w:t xml:space="preserve">June 2023). In order to exercise the Extension Break Point, the Buyer shall serve </w:t>
      </w:r>
      <w:proofErr w:type="gramStart"/>
      <w:r>
        <w:rPr>
          <w:color w:val="000000"/>
        </w:rPr>
        <w:t>the  Supplier</w:t>
      </w:r>
      <w:proofErr w:type="gramEnd"/>
      <w:r>
        <w:rPr>
          <w:color w:val="000000"/>
        </w:rPr>
        <w:t xml:space="preserve"> with a termination notice no later than 30 days (calendar days) prior to the  Extension Break Point. The Buyer shall not be liable for any damages to the </w:t>
      </w:r>
      <w:proofErr w:type="gramStart"/>
      <w:r>
        <w:rPr>
          <w:color w:val="000000"/>
        </w:rPr>
        <w:t>Supplier  associated</w:t>
      </w:r>
      <w:proofErr w:type="gramEnd"/>
      <w:r>
        <w:rPr>
          <w:color w:val="000000"/>
        </w:rPr>
        <w:t xml:space="preserve"> with terminating the contract at the Extension Break Point.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470"/>
        <w:rPr>
          <w:color w:val="000000"/>
        </w:rPr>
      </w:pPr>
      <w:r>
        <w:rPr>
          <w:color w:val="000000"/>
        </w:rPr>
        <w:t>2. The Expiry Date shall therefore be amended to 31</w:t>
      </w:r>
      <w:r>
        <w:rPr>
          <w:color w:val="000000"/>
          <w:sz w:val="23"/>
          <w:szCs w:val="23"/>
          <w:vertAlign w:val="superscript"/>
        </w:rPr>
        <w:t xml:space="preserve">st </w:t>
      </w:r>
      <w:r>
        <w:rPr>
          <w:color w:val="000000"/>
        </w:rPr>
        <w:t xml:space="preserve">March 2024.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1098"/>
        <w:rPr>
          <w:b/>
          <w:color w:val="000000"/>
        </w:rPr>
      </w:pPr>
      <w:r>
        <w:rPr>
          <w:b/>
          <w:color w:val="000000"/>
          <w:u w:val="single"/>
        </w:rPr>
        <w:t>Services</w:t>
      </w:r>
      <w:r>
        <w:rPr>
          <w:b/>
          <w:color w:val="000000"/>
        </w:rPr>
        <w:t xml:space="preserve">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17" w:lineRule="auto"/>
        <w:ind w:left="1856" w:right="471" w:hanging="382"/>
        <w:rPr>
          <w:color w:val="000000"/>
        </w:rPr>
      </w:pPr>
      <w:r>
        <w:rPr>
          <w:color w:val="000000"/>
        </w:rPr>
        <w:t xml:space="preserve">3. The Supplier shall deliver the following G-Cloud Services to the Buyer during </w:t>
      </w:r>
      <w:proofErr w:type="gramStart"/>
      <w:r>
        <w:rPr>
          <w:color w:val="000000"/>
        </w:rPr>
        <w:t>the  Extension</w:t>
      </w:r>
      <w:proofErr w:type="gramEnd"/>
      <w:r>
        <w:rPr>
          <w:color w:val="000000"/>
        </w:rPr>
        <w:t xml:space="preserve"> Term: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2197"/>
        <w:rPr>
          <w:color w:val="000000"/>
        </w:rPr>
      </w:pPr>
      <w:r>
        <w:rPr>
          <w:color w:val="000000"/>
        </w:rPr>
        <w:t xml:space="preserve">a. 1 x UBP Single Foundry Environment Licence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jc w:val="center"/>
        <w:rPr>
          <w:color w:val="000000"/>
        </w:rPr>
      </w:pPr>
      <w:r>
        <w:rPr>
          <w:color w:val="000000"/>
        </w:rPr>
        <w:t xml:space="preserve">b. 1 x £2m Usage Bundle with 10% pre-approved discount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right="1908"/>
        <w:jc w:val="right"/>
        <w:rPr>
          <w:color w:val="000000"/>
        </w:rPr>
      </w:pPr>
      <w:r>
        <w:rPr>
          <w:color w:val="000000"/>
        </w:rPr>
        <w:t xml:space="preserve">c. 12 x implementation quarters (3 IMPL services per quarter)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1100"/>
        <w:rPr>
          <w:b/>
          <w:color w:val="000000"/>
        </w:rPr>
      </w:pPr>
      <w:r>
        <w:rPr>
          <w:b/>
          <w:color w:val="000000"/>
          <w:u w:val="single"/>
        </w:rPr>
        <w:t>Charges</w:t>
      </w:r>
      <w:r>
        <w:rPr>
          <w:b/>
          <w:color w:val="000000"/>
        </w:rPr>
        <w:t xml:space="preserve">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1472"/>
        <w:rPr>
          <w:color w:val="000000"/>
        </w:rPr>
      </w:pPr>
      <w:r>
        <w:rPr>
          <w:color w:val="000000"/>
        </w:rPr>
        <w:t xml:space="preserve">4. The Supplier shall invoice for the Services as follows: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2197"/>
        <w:rPr>
          <w:color w:val="000000"/>
        </w:rPr>
      </w:pPr>
      <w:r>
        <w:rPr>
          <w:color w:val="000000"/>
        </w:rPr>
        <w:t xml:space="preserve">a. Payable immediately: </w:t>
      </w:r>
    </w:p>
    <w:tbl>
      <w:tblPr>
        <w:tblStyle w:val="a"/>
        <w:tblW w:w="7471" w:type="dxa"/>
        <w:tblInd w:w="2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1"/>
        <w:gridCol w:w="2880"/>
        <w:gridCol w:w="1440"/>
      </w:tblGrid>
      <w:tr w:rsidR="00957657">
        <w:trPr>
          <w:trHeight w:val="240"/>
        </w:trPr>
        <w:tc>
          <w:tcPr>
            <w:tcW w:w="3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Service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Period of coverage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Charge</w:t>
            </w:r>
          </w:p>
        </w:tc>
      </w:tr>
      <w:tr w:rsidR="00957657">
        <w:trPr>
          <w:trHeight w:val="440"/>
        </w:trPr>
        <w:tc>
          <w:tcPr>
            <w:tcW w:w="3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Foundry Environment Licence </w:t>
            </w:r>
          </w:p>
        </w:tc>
        <w:tc>
          <w:tcPr>
            <w:tcW w:w="432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</w:p>
          <w:p w:rsidR="00957657" w:rsidRDefault="00E14B1F">
            <w:pPr>
              <w:widowControl w:val="0"/>
              <w:spacing w:line="240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REDACTED TEXT under FOIA Section 43, Commercial Interest</w:t>
            </w:r>
          </w:p>
        </w:tc>
      </w:tr>
      <w:tr w:rsidR="00957657">
        <w:trPr>
          <w:trHeight w:val="399"/>
        </w:trPr>
        <w:tc>
          <w:tcPr>
            <w:tcW w:w="3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Usage Bundle </w:t>
            </w:r>
          </w:p>
        </w:tc>
        <w:tc>
          <w:tcPr>
            <w:tcW w:w="432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9"/>
                <w:szCs w:val="19"/>
              </w:rPr>
            </w:pPr>
          </w:p>
        </w:tc>
      </w:tr>
      <w:tr w:rsidR="00957657">
        <w:trPr>
          <w:trHeight w:val="399"/>
        </w:trPr>
        <w:tc>
          <w:tcPr>
            <w:tcW w:w="3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9"/>
                <w:szCs w:val="19"/>
              </w:rPr>
            </w:pPr>
          </w:p>
        </w:tc>
      </w:tr>
      <w:tr w:rsidR="00957657">
        <w:trPr>
          <w:trHeight w:val="399"/>
        </w:trPr>
        <w:tc>
          <w:tcPr>
            <w:tcW w:w="3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432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9"/>
                <w:szCs w:val="19"/>
              </w:rPr>
            </w:pPr>
          </w:p>
        </w:tc>
      </w:tr>
      <w:tr w:rsidR="00957657">
        <w:trPr>
          <w:trHeight w:val="239"/>
        </w:trPr>
        <w:tc>
          <w:tcPr>
            <w:tcW w:w="3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Total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£1,425,000</w:t>
            </w:r>
          </w:p>
        </w:tc>
      </w:tr>
    </w:tbl>
    <w:p w:rsidR="00957657" w:rsidRDefault="009576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57657" w:rsidRDefault="009576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DocuSign Envelope ID: ED430AF3-5FDA-4232-A5E8-981E9181ED08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6" w:line="240" w:lineRule="auto"/>
        <w:ind w:left="2203"/>
        <w:rPr>
          <w:color w:val="000000"/>
        </w:rPr>
      </w:pPr>
      <w:r>
        <w:rPr>
          <w:color w:val="000000"/>
        </w:rPr>
        <w:t>b. Payable by 1</w:t>
      </w:r>
      <w:r>
        <w:rPr>
          <w:color w:val="000000"/>
          <w:sz w:val="23"/>
          <w:szCs w:val="23"/>
          <w:vertAlign w:val="superscript"/>
        </w:rPr>
        <w:t xml:space="preserve">st </w:t>
      </w:r>
      <w:r>
        <w:rPr>
          <w:color w:val="000000"/>
        </w:rPr>
        <w:t xml:space="preserve">July 2023 </w:t>
      </w:r>
    </w:p>
    <w:tbl>
      <w:tblPr>
        <w:tblStyle w:val="a0"/>
        <w:tblW w:w="7471" w:type="dxa"/>
        <w:tblInd w:w="2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1"/>
        <w:gridCol w:w="2880"/>
        <w:gridCol w:w="1440"/>
      </w:tblGrid>
      <w:tr w:rsidR="00957657">
        <w:trPr>
          <w:trHeight w:val="240"/>
        </w:trPr>
        <w:tc>
          <w:tcPr>
            <w:tcW w:w="3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Service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Period of coverage 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Charge</w:t>
            </w:r>
          </w:p>
        </w:tc>
      </w:tr>
      <w:tr w:rsidR="00957657">
        <w:trPr>
          <w:trHeight w:val="399"/>
        </w:trPr>
        <w:tc>
          <w:tcPr>
            <w:tcW w:w="3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Foundry Environment Licence </w:t>
            </w:r>
          </w:p>
        </w:tc>
        <w:tc>
          <w:tcPr>
            <w:tcW w:w="432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spacing w:line="240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REDACTED TEXT under FOIA Section 43, Commercial Interest</w:t>
            </w:r>
          </w:p>
        </w:tc>
      </w:tr>
      <w:tr w:rsidR="00957657">
        <w:trPr>
          <w:trHeight w:val="399"/>
        </w:trPr>
        <w:tc>
          <w:tcPr>
            <w:tcW w:w="3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Usage Bundle </w:t>
            </w:r>
          </w:p>
        </w:tc>
        <w:tc>
          <w:tcPr>
            <w:tcW w:w="432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957657">
        <w:trPr>
          <w:trHeight w:val="240"/>
        </w:trPr>
        <w:tc>
          <w:tcPr>
            <w:tcW w:w="3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Total 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£3,575,000</w:t>
            </w:r>
          </w:p>
        </w:tc>
      </w:tr>
    </w:tbl>
    <w:p w:rsidR="00957657" w:rsidRDefault="009576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57657" w:rsidRDefault="009576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57657" w:rsidRDefault="00E14B1F">
      <w:pPr>
        <w:widowControl w:val="0"/>
        <w:spacing w:line="240" w:lineRule="auto"/>
        <w:ind w:left="1555" w:firstLine="604"/>
        <w:rPr>
          <w:color w:val="000000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REDACTED TEXT under FOIA Section 43, Commercial Interest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1098"/>
        <w:rPr>
          <w:b/>
          <w:color w:val="000000"/>
        </w:rPr>
      </w:pPr>
      <w:r>
        <w:rPr>
          <w:b/>
          <w:color w:val="000000"/>
          <w:u w:val="single"/>
        </w:rPr>
        <w:t>Special Option</w:t>
      </w:r>
      <w:r>
        <w:rPr>
          <w:b/>
          <w:color w:val="000000"/>
        </w:rPr>
        <w:t xml:space="preserve">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29" w:lineRule="auto"/>
        <w:ind w:left="1846" w:right="55" w:hanging="368"/>
        <w:rPr>
          <w:color w:val="000000"/>
        </w:rPr>
      </w:pPr>
      <w:r>
        <w:rPr>
          <w:color w:val="000000"/>
        </w:rPr>
        <w:t xml:space="preserve">5. The Buyer may, by providing the Supplier with a Variation no later than 30 </w:t>
      </w:r>
      <w:proofErr w:type="gramStart"/>
      <w:r>
        <w:rPr>
          <w:color w:val="000000"/>
        </w:rPr>
        <w:t>days  (</w:t>
      </w:r>
      <w:proofErr w:type="gramEnd"/>
      <w:r>
        <w:rPr>
          <w:color w:val="000000"/>
        </w:rPr>
        <w:t>calendar days) prior to the Extension Break Point, choose to opt to receive (and be  charged for) services on a quarterly basis (</w:t>
      </w:r>
      <w:r>
        <w:rPr>
          <w:b/>
          <w:color w:val="000000"/>
        </w:rPr>
        <w:t>“Special Option”</w:t>
      </w:r>
      <w:r>
        <w:rPr>
          <w:color w:val="000000"/>
        </w:rPr>
        <w:t xml:space="preserve">). Should the </w:t>
      </w:r>
      <w:proofErr w:type="gramStart"/>
      <w:r>
        <w:rPr>
          <w:color w:val="000000"/>
        </w:rPr>
        <w:t>Buyer  choose</w:t>
      </w:r>
      <w:proofErr w:type="gramEnd"/>
      <w:r>
        <w:rPr>
          <w:color w:val="000000"/>
        </w:rPr>
        <w:t xml:space="preserve"> to exercise this Special Option, the Supplier and the Buyer shall agree a new  quarterly rate not higher than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REDACTED TEXT under FOIA Section 43, Commercial Interest</w:t>
      </w:r>
      <w:r>
        <w:rPr>
          <w:color w:val="000000"/>
        </w:rPr>
        <w:t xml:space="preserve"> in the event the Special Option is 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847"/>
        <w:rPr>
          <w:color w:val="000000"/>
        </w:rPr>
      </w:pPr>
      <w:r>
        <w:rPr>
          <w:color w:val="000000"/>
        </w:rPr>
        <w:t xml:space="preserve">exercised: </w:t>
      </w:r>
    </w:p>
    <w:tbl>
      <w:tblPr>
        <w:tblStyle w:val="a1"/>
        <w:tblW w:w="5610" w:type="dxa"/>
        <w:tblInd w:w="2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2460"/>
      </w:tblGrid>
      <w:tr w:rsidR="00957657">
        <w:trPr>
          <w:trHeight w:val="239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Service 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Charge</w:t>
            </w:r>
          </w:p>
        </w:tc>
      </w:tr>
      <w:tr w:rsidR="00957657">
        <w:trPr>
          <w:trHeight w:val="399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Foundry Environment Licence </w:t>
            </w:r>
          </w:p>
        </w:tc>
        <w:tc>
          <w:tcPr>
            <w:tcW w:w="24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spacing w:line="240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REDACTED TEXT under FOIA Section 43, Commercial Interest</w:t>
            </w:r>
          </w:p>
        </w:tc>
      </w:tr>
      <w:tr w:rsidR="00957657">
        <w:trPr>
          <w:trHeight w:val="399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Usage Bundle </w:t>
            </w:r>
          </w:p>
        </w:tc>
        <w:tc>
          <w:tcPr>
            <w:tcW w:w="24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9"/>
                <w:szCs w:val="19"/>
              </w:rPr>
            </w:pPr>
          </w:p>
        </w:tc>
      </w:tr>
      <w:tr w:rsidR="00957657">
        <w:trPr>
          <w:trHeight w:val="399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4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9"/>
                <w:szCs w:val="19"/>
              </w:rPr>
            </w:pPr>
          </w:p>
        </w:tc>
      </w:tr>
      <w:tr w:rsidR="00957657">
        <w:trPr>
          <w:trHeight w:val="399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24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957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9"/>
                <w:szCs w:val="19"/>
              </w:rPr>
            </w:pPr>
          </w:p>
        </w:tc>
      </w:tr>
      <w:tr w:rsidR="00957657">
        <w:trPr>
          <w:trHeight w:val="240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Total 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657" w:rsidRDefault="00E14B1F">
            <w:pPr>
              <w:widowControl w:val="0"/>
              <w:spacing w:line="240" w:lineRule="auto"/>
              <w:ind w:left="115"/>
              <w:rPr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REDACTED TEXT under FOIA Section 43, Commercial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Interest</w:t>
            </w:r>
          </w:p>
        </w:tc>
      </w:tr>
    </w:tbl>
    <w:p w:rsidR="00957657" w:rsidRDefault="009576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57657" w:rsidRDefault="009576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57657" w:rsidRDefault="00E14B1F">
      <w:pPr>
        <w:widowControl w:val="0"/>
        <w:spacing w:line="240" w:lineRule="auto"/>
        <w:ind w:left="1555" w:firstLine="604"/>
        <w:rPr>
          <w:color w:val="000000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REDACTED TEXT under FOIA Section 43, Commercial Interest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1105"/>
        <w:rPr>
          <w:b/>
          <w:color w:val="000000"/>
        </w:rPr>
      </w:pPr>
      <w:r>
        <w:rPr>
          <w:b/>
          <w:color w:val="000000"/>
          <w:u w:val="single"/>
        </w:rPr>
        <w:t>Miscellaneous</w:t>
      </w:r>
      <w:r>
        <w:rPr>
          <w:b/>
          <w:color w:val="000000"/>
        </w:rPr>
        <w:t xml:space="preserve">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17" w:lineRule="auto"/>
        <w:ind w:left="1477" w:right="827"/>
        <w:jc w:val="center"/>
        <w:rPr>
          <w:color w:val="000000"/>
        </w:rPr>
      </w:pPr>
      <w:r>
        <w:rPr>
          <w:color w:val="000000"/>
        </w:rPr>
        <w:t xml:space="preserve">6. The total contract value shall be increased to £26,492,921 and the </w:t>
      </w:r>
      <w:proofErr w:type="gramStart"/>
      <w:r>
        <w:rPr>
          <w:color w:val="000000"/>
        </w:rPr>
        <w:t>Extension  Services</w:t>
      </w:r>
      <w:proofErr w:type="gramEnd"/>
      <w:r>
        <w:rPr>
          <w:color w:val="000000"/>
        </w:rPr>
        <w:t xml:space="preserve"> shall be delivered in line with the rates in this Variation 005.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19" w:lineRule="auto"/>
        <w:ind w:left="1849" w:right="-19" w:hanging="370"/>
        <w:rPr>
          <w:color w:val="000000"/>
        </w:rPr>
      </w:pPr>
      <w:r>
        <w:rPr>
          <w:color w:val="000000"/>
        </w:rPr>
        <w:t xml:space="preserve">7. Words and expressions in this Variation shall have the meanings given to them in </w:t>
      </w:r>
      <w:proofErr w:type="gramStart"/>
      <w:r>
        <w:rPr>
          <w:color w:val="000000"/>
        </w:rPr>
        <w:t>this  Call</w:t>
      </w:r>
      <w:proofErr w:type="gramEnd"/>
      <w:r>
        <w:rPr>
          <w:color w:val="000000"/>
        </w:rPr>
        <w:t xml:space="preserve"> Off Contract.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9" w:lineRule="auto"/>
        <w:ind w:left="1839" w:right="134" w:hanging="361"/>
        <w:rPr>
          <w:color w:val="000000"/>
        </w:rPr>
      </w:pPr>
      <w:r>
        <w:rPr>
          <w:color w:val="000000"/>
        </w:rPr>
        <w:t xml:space="preserve">8. The terms and conditions under the Call Off Contract, including any </w:t>
      </w:r>
      <w:proofErr w:type="gramStart"/>
      <w:r>
        <w:rPr>
          <w:color w:val="000000"/>
        </w:rPr>
        <w:t>previous  Variations</w:t>
      </w:r>
      <w:proofErr w:type="gramEnd"/>
      <w:r>
        <w:rPr>
          <w:color w:val="000000"/>
        </w:rPr>
        <w:t xml:space="preserve">, shall remain effective and unaltered except as amended by this Variation.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8" w:line="240" w:lineRule="auto"/>
        <w:ind w:right="635"/>
        <w:jc w:val="right"/>
        <w:rPr>
          <w:color w:val="000000"/>
        </w:rPr>
      </w:pPr>
      <w:r>
        <w:rPr>
          <w:color w:val="000000"/>
        </w:rPr>
        <w:t xml:space="preserve">Signed by an authorised signatory to sign for and on behalf of the Buyer 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DocuSign Envelope ID: ED430AF3-5FDA-4232-A5E8-981E9181ED08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6" w:line="240" w:lineRule="auto"/>
        <w:ind w:left="1133"/>
        <w:rPr>
          <w:color w:val="FFFFFF"/>
        </w:rPr>
      </w:pPr>
      <w:r>
        <w:rPr>
          <w:color w:val="FFFFFF"/>
        </w:rPr>
        <w:t xml:space="preserve">12/08/2013  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58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957657">
          <w:pgSz w:w="11880" w:h="16800"/>
          <w:pgMar w:top="188" w:right="1329" w:bottom="3223" w:left="352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Signature  </w:t>
      </w:r>
    </w:p>
    <w:p w:rsidR="00957657" w:rsidRDefault="00E14B1F" w:rsidP="00B94C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right="-328"/>
        <w:rPr>
          <w:rFonts w:ascii="Times" w:eastAsia="Times" w:hAnsi="Times" w:cs="Times"/>
          <w:color w:val="000000"/>
          <w:sz w:val="18"/>
          <w:szCs w:val="18"/>
        </w:rPr>
        <w:sectPr w:rsidR="00957657" w:rsidSect="00B94C52">
          <w:type w:val="continuous"/>
          <w:pgSz w:w="11880" w:h="16800"/>
          <w:pgMar w:top="188" w:right="4934" w:bottom="3223" w:left="4399" w:header="0" w:footer="720" w:gutter="0"/>
          <w:cols w:space="16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Date </w:t>
      </w:r>
      <w:r w:rsidR="00B94C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March 31, </w:t>
      </w:r>
      <w:r w:rsidR="00B94C52">
        <w:rPr>
          <w:rFonts w:ascii="Times" w:eastAsia="Times" w:hAnsi="Times" w:cs="Times"/>
          <w:color w:val="000000"/>
          <w:sz w:val="18"/>
          <w:szCs w:val="18"/>
        </w:rPr>
        <w:t>2</w:t>
      </w:r>
      <w:r>
        <w:rPr>
          <w:rFonts w:ascii="Times" w:eastAsia="Times" w:hAnsi="Times" w:cs="Times"/>
          <w:color w:val="000000"/>
          <w:sz w:val="18"/>
          <w:szCs w:val="18"/>
        </w:rPr>
        <w:t>023</w:t>
      </w:r>
    </w:p>
    <w:p w:rsidR="00B94C52" w:rsidRDefault="00B94C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B94C52">
          <w:type w:val="continuous"/>
          <w:pgSz w:w="11880" w:h="16800"/>
          <w:pgMar w:top="188" w:right="4302" w:bottom="3223" w:left="4391" w:header="0" w:footer="720" w:gutter="0"/>
          <w:cols w:num="2" w:space="720" w:equalWidth="0">
            <w:col w:w="1600" w:space="0"/>
            <w:col w:w="1600" w:space="0"/>
          </w:cols>
        </w:sectPr>
      </w:pP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Name (in Capitals)  </w:t>
      </w:r>
    </w:p>
    <w:p w:rsidR="00B94C52" w:rsidRDefault="00E14B1F">
      <w:pPr>
        <w:widowControl w:val="0"/>
        <w:spacing w:line="240" w:lineRule="auto"/>
        <w:ind w:left="115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REDACTED TEXT under </w:t>
      </w:r>
    </w:p>
    <w:p w:rsidR="00957657" w:rsidRDefault="00E14B1F">
      <w:pPr>
        <w:widowControl w:val="0"/>
        <w:spacing w:line="240" w:lineRule="auto"/>
        <w:ind w:left="115"/>
        <w:rPr>
          <w:color w:val="000000"/>
          <w:sz w:val="16"/>
          <w:szCs w:val="16"/>
        </w:rPr>
        <w:sectPr w:rsidR="00957657">
          <w:type w:val="continuous"/>
          <w:pgSz w:w="11880" w:h="16800"/>
          <w:pgMar w:top="188" w:right="4302" w:bottom="3223" w:left="4391" w:header="0" w:footer="720" w:gutter="0"/>
          <w:cols w:num="2" w:space="720" w:equalWidth="0">
            <w:col w:w="1600" w:space="0"/>
            <w:col w:w="1600" w:space="0"/>
          </w:cols>
        </w:sect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FOIA Section 4</w:t>
      </w:r>
      <w:r w:rsidR="00B94C52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="00B94C52">
        <w:rPr>
          <w:rFonts w:ascii="Times New Roman" w:eastAsia="Times New Roman" w:hAnsi="Times New Roman" w:cs="Times New Roman"/>
          <w:color w:val="FF0000"/>
          <w:sz w:val="24"/>
          <w:szCs w:val="24"/>
        </w:rPr>
        <w:t>Personal Information</w:t>
      </w: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4320" w:right="2496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Address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REDACTED TEXT under FOIA Section 4</w:t>
      </w:r>
      <w:r w:rsidR="00B94C52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="00B94C52">
        <w:rPr>
          <w:rFonts w:ascii="Times New Roman" w:eastAsia="Times New Roman" w:hAnsi="Times New Roman" w:cs="Times New Roman"/>
          <w:color w:val="FF0000"/>
          <w:sz w:val="24"/>
          <w:szCs w:val="24"/>
        </w:rPr>
        <w:t>Personal Information</w:t>
      </w:r>
    </w:p>
    <w:p w:rsidR="00957657" w:rsidRDefault="00957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right="2496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430" w:lineRule="auto"/>
        <w:ind w:left="2547" w:right="113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957657">
          <w:type w:val="continuous"/>
          <w:pgSz w:w="11880" w:h="16800"/>
          <w:pgMar w:top="188" w:right="1329" w:bottom="3223" w:left="352" w:header="0" w:footer="720" w:gutter="0"/>
          <w:cols w:space="720" w:equalWidth="0">
            <w:col w:w="10197" w:space="0"/>
          </w:cols>
        </w:sectPr>
      </w:pPr>
      <w:r>
        <w:rPr>
          <w:color w:val="000000"/>
        </w:rPr>
        <w:t xml:space="preserve">Signed by an authorised signatory for and on behalf of the Supplier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Signature  </w:t>
      </w:r>
    </w:p>
    <w:p w:rsidR="00957657" w:rsidRDefault="00E14B1F" w:rsidP="00B94C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rPr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Date  </w:t>
      </w:r>
      <w:r w:rsidR="00B94C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</w:t>
      </w:r>
      <w:r>
        <w:rPr>
          <w:color w:val="000000"/>
          <w:sz w:val="16"/>
          <w:szCs w:val="16"/>
        </w:rPr>
        <w:t xml:space="preserve">March 31, 2023 </w:t>
      </w:r>
    </w:p>
    <w:p w:rsidR="00B94C52" w:rsidRDefault="00B94C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B94C52" w:rsidSect="00B94C52">
          <w:type w:val="continuous"/>
          <w:pgSz w:w="11880" w:h="16800"/>
          <w:pgMar w:top="188" w:right="4934" w:bottom="3223" w:left="4399" w:header="0" w:footer="720" w:gutter="0"/>
          <w:cols w:space="0"/>
        </w:sectPr>
      </w:pP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Name (in Capitals) </w:t>
      </w:r>
    </w:p>
    <w:p w:rsidR="00957657" w:rsidRDefault="00E14B1F" w:rsidP="00B94C52">
      <w:pPr>
        <w:widowControl w:val="0"/>
        <w:spacing w:line="240" w:lineRule="auto"/>
        <w:ind w:left="115" w:right="-2381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REDACTED TEXT under FOIA Section 43, </w:t>
      </w:r>
      <w:r w:rsidR="00B94C52">
        <w:rPr>
          <w:rFonts w:ascii="Times New Roman" w:eastAsia="Times New Roman" w:hAnsi="Times New Roman" w:cs="Times New Roman"/>
          <w:color w:val="FF0000"/>
          <w:sz w:val="24"/>
          <w:szCs w:val="24"/>
        </w:rPr>
        <w:t>Personal Information</w:t>
      </w:r>
    </w:p>
    <w:p w:rsidR="00957657" w:rsidRDefault="00957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sz w:val="16"/>
          <w:szCs w:val="16"/>
        </w:rPr>
        <w:sectPr w:rsidR="00957657">
          <w:type w:val="continuous"/>
          <w:pgSz w:w="11880" w:h="16800"/>
          <w:pgMar w:top="188" w:right="5742" w:bottom="3223" w:left="4399" w:header="0" w:footer="720" w:gutter="0"/>
          <w:cols w:num="2" w:space="720" w:equalWidth="0">
            <w:col w:w="880" w:space="0"/>
            <w:col w:w="880" w:space="0"/>
          </w:cols>
        </w:sectPr>
      </w:pPr>
    </w:p>
    <w:p w:rsidR="00957657" w:rsidRDefault="00E14B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22" w:lineRule="auto"/>
        <w:ind w:left="4062" w:right="1629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Address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REDACTED TEXT under FOIA Section 4</w:t>
      </w:r>
      <w:r w:rsidR="00B94C52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="00B94C52">
        <w:rPr>
          <w:rFonts w:ascii="Times New Roman" w:eastAsia="Times New Roman" w:hAnsi="Times New Roman" w:cs="Times New Roman"/>
          <w:color w:val="FF0000"/>
          <w:sz w:val="24"/>
          <w:szCs w:val="24"/>
        </w:rPr>
        <w:t>Personal Information</w:t>
      </w:r>
    </w:p>
    <w:p w:rsidR="00957657" w:rsidRDefault="009576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22" w:lineRule="auto"/>
        <w:ind w:left="4062" w:right="162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57657">
      <w:type w:val="continuous"/>
      <w:pgSz w:w="11880" w:h="16800"/>
      <w:pgMar w:top="188" w:right="1329" w:bottom="3223" w:left="352" w:header="0" w:footer="720" w:gutter="0"/>
      <w:cols w:space="720" w:equalWidth="0">
        <w:col w:w="1019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57"/>
    <w:rsid w:val="008B1DF4"/>
    <w:rsid w:val="00957657"/>
    <w:rsid w:val="00A40A9F"/>
    <w:rsid w:val="00B94C52"/>
    <w:rsid w:val="00E1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F8E81C-3AC8-4AD8-B4CE-470EECAD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D622-C424-4E07-8979-C2221416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Oboh</dc:creator>
  <cp:lastModifiedBy>Paul Caddick</cp:lastModifiedBy>
  <cp:revision>2</cp:revision>
  <dcterms:created xsi:type="dcterms:W3CDTF">2023-04-24T15:46:00Z</dcterms:created>
  <dcterms:modified xsi:type="dcterms:W3CDTF">2023-04-24T15:46:00Z</dcterms:modified>
</cp:coreProperties>
</file>