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9252" w14:textId="6540839A" w:rsidR="000A51CC" w:rsidRDefault="000A51CC">
      <w:pPr>
        <w:rPr>
          <w:b/>
          <w:bCs/>
          <w:u w:val="single"/>
        </w:rPr>
      </w:pPr>
      <w:r w:rsidRPr="000A51CC">
        <w:rPr>
          <w:b/>
          <w:bCs/>
          <w:u w:val="single"/>
        </w:rPr>
        <w:t>Clarification Questions for HBYW Learning Partner</w:t>
      </w:r>
    </w:p>
    <w:p w14:paraId="7705AA78" w14:textId="77777777" w:rsidR="000A51CC" w:rsidRPr="000A51CC" w:rsidRDefault="000A51CC">
      <w:pPr>
        <w:rPr>
          <w:b/>
          <w:bCs/>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40"/>
        <w:gridCol w:w="4386"/>
      </w:tblGrid>
      <w:tr w:rsidR="000A51CC" w:rsidRPr="000A51CC" w14:paraId="28B50E82" w14:textId="77777777" w:rsidTr="000A51CC">
        <w:trPr>
          <w:tblCellSpacing w:w="15" w:type="dxa"/>
        </w:trPr>
        <w:tc>
          <w:tcPr>
            <w:tcW w:w="0" w:type="auto"/>
            <w:vAlign w:val="center"/>
            <w:hideMark/>
          </w:tcPr>
          <w:p w14:paraId="1568BBA4" w14:textId="53539FB9" w:rsidR="000A51CC" w:rsidRPr="000A51CC" w:rsidRDefault="000A51CC" w:rsidP="000A51CC">
            <w:pPr>
              <w:rPr>
                <w:rFonts w:ascii="Arial" w:hAnsi="Arial" w:cs="Arial"/>
                <w:b/>
                <w:bCs/>
                <w:sz w:val="22"/>
                <w:szCs w:val="22"/>
                <w:lang w:eastAsia="en-GB"/>
              </w:rPr>
            </w:pPr>
            <w:bookmarkStart w:id="0" w:name="_GoBack"/>
            <w:bookmarkEnd w:id="0"/>
            <w:proofErr w:type="gramStart"/>
            <w:r>
              <w:rPr>
                <w:rFonts w:ascii="Arial" w:hAnsi="Arial" w:cs="Arial"/>
                <w:b/>
                <w:bCs/>
                <w:sz w:val="22"/>
                <w:szCs w:val="22"/>
                <w:lang w:eastAsia="en-GB"/>
              </w:rPr>
              <w:t>1,</w:t>
            </w:r>
            <w:r w:rsidRPr="000A51CC">
              <w:rPr>
                <w:rFonts w:ascii="Arial" w:hAnsi="Arial" w:cs="Arial"/>
                <w:b/>
                <w:bCs/>
                <w:sz w:val="22"/>
                <w:szCs w:val="22"/>
                <w:lang w:eastAsia="en-GB"/>
              </w:rPr>
              <w:t>Response</w:t>
            </w:r>
            <w:proofErr w:type="gramEnd"/>
            <w:r w:rsidRPr="000A51CC">
              <w:rPr>
                <w:rFonts w:ascii="Arial" w:hAnsi="Arial" w:cs="Arial"/>
                <w:b/>
                <w:bCs/>
                <w:sz w:val="22"/>
                <w:szCs w:val="22"/>
                <w:lang w:eastAsia="en-GB"/>
              </w:rPr>
              <w:t xml:space="preserve"> Template – are we expected to use the response template and fit our response inside the table, starting each section on a new page? The table format reduces the space available for each question.</w:t>
            </w:r>
          </w:p>
        </w:tc>
        <w:tc>
          <w:tcPr>
            <w:tcW w:w="0" w:type="auto"/>
            <w:vAlign w:val="center"/>
            <w:hideMark/>
          </w:tcPr>
          <w:p w14:paraId="6DF34543" w14:textId="77777777" w:rsidR="000A51CC" w:rsidRPr="000A51CC" w:rsidRDefault="000A51CC" w:rsidP="000A51CC">
            <w:pPr>
              <w:rPr>
                <w:rFonts w:ascii="Arial" w:hAnsi="Arial" w:cs="Arial"/>
                <w:sz w:val="22"/>
                <w:szCs w:val="22"/>
                <w:lang w:eastAsia="en-GB"/>
              </w:rPr>
            </w:pPr>
            <w:r w:rsidRPr="000A51CC">
              <w:rPr>
                <w:rFonts w:ascii="Arial" w:hAnsi="Arial" w:cs="Arial"/>
                <w:sz w:val="22"/>
                <w:szCs w:val="22"/>
                <w:lang w:eastAsia="en-GB"/>
              </w:rPr>
              <w:t xml:space="preserve">Bidders are free to use separate sheets, the response document states number of A4 sides with Arial font size 12. </w:t>
            </w:r>
          </w:p>
        </w:tc>
      </w:tr>
      <w:tr w:rsidR="000A51CC" w:rsidRPr="000A51CC" w14:paraId="073443EE" w14:textId="77777777" w:rsidTr="000A51CC">
        <w:trPr>
          <w:tblCellSpacing w:w="15" w:type="dxa"/>
        </w:trPr>
        <w:tc>
          <w:tcPr>
            <w:tcW w:w="0" w:type="auto"/>
            <w:vAlign w:val="center"/>
            <w:hideMark/>
          </w:tcPr>
          <w:p w14:paraId="44FA4BBF" w14:textId="497AB297" w:rsidR="000A51CC" w:rsidRPr="000A51CC" w:rsidRDefault="000A51CC" w:rsidP="000A51CC">
            <w:pPr>
              <w:rPr>
                <w:rFonts w:ascii="Arial" w:hAnsi="Arial" w:cs="Arial"/>
                <w:b/>
                <w:bCs/>
                <w:sz w:val="22"/>
                <w:szCs w:val="22"/>
                <w:lang w:eastAsia="en-GB"/>
              </w:rPr>
            </w:pPr>
            <w:proofErr w:type="gramStart"/>
            <w:r>
              <w:rPr>
                <w:rFonts w:ascii="Arial" w:hAnsi="Arial" w:cs="Arial"/>
                <w:b/>
                <w:bCs/>
                <w:sz w:val="22"/>
                <w:szCs w:val="22"/>
                <w:lang w:eastAsia="en-GB"/>
              </w:rPr>
              <w:t>2,</w:t>
            </w:r>
            <w:r w:rsidRPr="000A51CC">
              <w:rPr>
                <w:rFonts w:ascii="Arial" w:hAnsi="Arial" w:cs="Arial"/>
                <w:b/>
                <w:bCs/>
                <w:sz w:val="22"/>
                <w:szCs w:val="22"/>
                <w:lang w:eastAsia="en-GB"/>
              </w:rPr>
              <w:t>On</w:t>
            </w:r>
            <w:proofErr w:type="gramEnd"/>
            <w:r w:rsidRPr="000A51CC">
              <w:rPr>
                <w:rFonts w:ascii="Arial" w:hAnsi="Arial" w:cs="Arial"/>
                <w:b/>
                <w:bCs/>
                <w:sz w:val="22"/>
                <w:szCs w:val="22"/>
                <w:lang w:eastAsia="en-GB"/>
              </w:rPr>
              <w:t xml:space="preserve"> site observations – is the Learning Partner expected to conduct shadowing/ on-site observations? Will this be possible under the existing agreements with the NHS Trusts?</w:t>
            </w:r>
          </w:p>
        </w:tc>
        <w:tc>
          <w:tcPr>
            <w:tcW w:w="0" w:type="auto"/>
            <w:vAlign w:val="center"/>
            <w:hideMark/>
          </w:tcPr>
          <w:p w14:paraId="4B597763" w14:textId="77777777" w:rsidR="000A51CC" w:rsidRPr="000A51CC" w:rsidRDefault="000A51CC" w:rsidP="000A51CC">
            <w:pPr>
              <w:rPr>
                <w:rFonts w:ascii="Arial" w:hAnsi="Arial" w:cs="Arial"/>
                <w:sz w:val="22"/>
                <w:szCs w:val="22"/>
                <w:lang w:eastAsia="en-GB"/>
              </w:rPr>
            </w:pPr>
          </w:p>
          <w:p w14:paraId="109B2382" w14:textId="77777777" w:rsidR="000A51CC" w:rsidRPr="000A51CC" w:rsidRDefault="000A51CC" w:rsidP="000A51CC">
            <w:pPr>
              <w:rPr>
                <w:rFonts w:ascii="Arial" w:hAnsi="Arial" w:cs="Arial"/>
                <w:sz w:val="22"/>
                <w:szCs w:val="22"/>
                <w:lang w:eastAsia="en-GB"/>
              </w:rPr>
            </w:pPr>
          </w:p>
          <w:p w14:paraId="6F5A1924" w14:textId="77777777" w:rsidR="000A51CC" w:rsidRPr="000A51CC" w:rsidRDefault="000A51CC" w:rsidP="000A51CC">
            <w:pPr>
              <w:rPr>
                <w:rFonts w:ascii="Arial" w:hAnsi="Arial" w:cs="Arial"/>
                <w:sz w:val="22"/>
                <w:szCs w:val="22"/>
                <w:lang w:eastAsia="en-GB"/>
              </w:rPr>
            </w:pPr>
          </w:p>
          <w:p w14:paraId="44DFEEF0" w14:textId="77777777" w:rsidR="000A51CC" w:rsidRPr="000A51CC" w:rsidRDefault="000A51CC" w:rsidP="000A51CC">
            <w:pPr>
              <w:rPr>
                <w:rFonts w:ascii="Arial" w:hAnsi="Arial" w:cs="Arial"/>
                <w:sz w:val="22"/>
                <w:szCs w:val="22"/>
                <w:lang w:eastAsia="en-GB"/>
              </w:rPr>
            </w:pPr>
            <w:r w:rsidRPr="000A51CC">
              <w:rPr>
                <w:rFonts w:ascii="Arial" w:hAnsi="Arial" w:cs="Arial"/>
                <w:sz w:val="22"/>
                <w:szCs w:val="22"/>
                <w:lang w:eastAsia="en-GB"/>
              </w:rPr>
              <w:t>The Learning Partner will be expected to develop strong relationships with providers and take necessary and reasonable steps to understand the programme. We expect that this will include face to face meetings and visits to hospital sites, but there is no explicit requirement to conduct shadowing/on-site observations.</w:t>
            </w:r>
          </w:p>
          <w:p w14:paraId="3385A726" w14:textId="77777777" w:rsidR="000A51CC" w:rsidRPr="000A51CC" w:rsidRDefault="000A51CC" w:rsidP="000A51CC">
            <w:pPr>
              <w:rPr>
                <w:rFonts w:ascii="Arial" w:hAnsi="Arial" w:cs="Arial"/>
                <w:sz w:val="22"/>
                <w:szCs w:val="22"/>
                <w:lang w:eastAsia="en-GB"/>
              </w:rPr>
            </w:pPr>
          </w:p>
          <w:p w14:paraId="668C19FB" w14:textId="77777777" w:rsidR="000A51CC" w:rsidRPr="000A51CC" w:rsidRDefault="000A51CC" w:rsidP="000A51CC">
            <w:pPr>
              <w:rPr>
                <w:rFonts w:ascii="Arial" w:hAnsi="Arial" w:cs="Arial"/>
                <w:sz w:val="22"/>
                <w:szCs w:val="22"/>
                <w:lang w:eastAsia="en-GB"/>
              </w:rPr>
            </w:pPr>
          </w:p>
          <w:p w14:paraId="5138B2E8" w14:textId="296A1A9F" w:rsidR="000A51CC" w:rsidRPr="000A51CC" w:rsidRDefault="000A51CC" w:rsidP="000A51CC">
            <w:pPr>
              <w:rPr>
                <w:rFonts w:ascii="Arial" w:hAnsi="Arial" w:cs="Arial"/>
                <w:sz w:val="22"/>
                <w:szCs w:val="22"/>
                <w:lang w:eastAsia="en-GB"/>
              </w:rPr>
            </w:pPr>
          </w:p>
        </w:tc>
      </w:tr>
      <w:tr w:rsidR="000A51CC" w:rsidRPr="000A51CC" w14:paraId="7F6650EC" w14:textId="77777777" w:rsidTr="000A51CC">
        <w:trPr>
          <w:tblCellSpacing w:w="15" w:type="dxa"/>
        </w:trPr>
        <w:tc>
          <w:tcPr>
            <w:tcW w:w="0" w:type="auto"/>
            <w:vAlign w:val="center"/>
            <w:hideMark/>
          </w:tcPr>
          <w:p w14:paraId="7B1EA62C" w14:textId="50BE28A3" w:rsidR="000A51CC" w:rsidRPr="000A51CC" w:rsidRDefault="000A51CC" w:rsidP="000A51CC">
            <w:pPr>
              <w:rPr>
                <w:rFonts w:ascii="Arial" w:hAnsi="Arial" w:cs="Arial"/>
                <w:b/>
                <w:bCs/>
                <w:sz w:val="22"/>
                <w:szCs w:val="22"/>
                <w:lang w:eastAsia="en-GB"/>
              </w:rPr>
            </w:pPr>
            <w:proofErr w:type="gramStart"/>
            <w:r>
              <w:rPr>
                <w:rFonts w:ascii="Arial" w:hAnsi="Arial" w:cs="Arial"/>
                <w:b/>
                <w:bCs/>
                <w:sz w:val="22"/>
                <w:szCs w:val="22"/>
                <w:lang w:eastAsia="en-GB"/>
              </w:rPr>
              <w:t>3,</w:t>
            </w:r>
            <w:r w:rsidRPr="000A51CC">
              <w:rPr>
                <w:rFonts w:ascii="Arial" w:hAnsi="Arial" w:cs="Arial"/>
                <w:b/>
                <w:bCs/>
                <w:sz w:val="22"/>
                <w:szCs w:val="22"/>
                <w:lang w:eastAsia="en-GB"/>
              </w:rPr>
              <w:t>Meeting</w:t>
            </w:r>
            <w:proofErr w:type="gramEnd"/>
            <w:r w:rsidRPr="000A51CC">
              <w:rPr>
                <w:rFonts w:ascii="Arial" w:hAnsi="Arial" w:cs="Arial"/>
                <w:b/>
                <w:bCs/>
                <w:sz w:val="22"/>
                <w:szCs w:val="22"/>
                <w:lang w:eastAsia="en-GB"/>
              </w:rPr>
              <w:t xml:space="preserve"> Location – will the service providers/ NHS trusts/ VRU be able to provide meeting room facilities for in-person meetings? What are the expectations in terms of in-person time?</w:t>
            </w:r>
          </w:p>
        </w:tc>
        <w:tc>
          <w:tcPr>
            <w:tcW w:w="0" w:type="auto"/>
            <w:vAlign w:val="center"/>
            <w:hideMark/>
          </w:tcPr>
          <w:p w14:paraId="7435A273" w14:textId="77777777" w:rsidR="000A51CC" w:rsidRDefault="000A51CC" w:rsidP="000A51CC">
            <w:pPr>
              <w:rPr>
                <w:rFonts w:ascii="Arial" w:hAnsi="Arial" w:cs="Arial"/>
                <w:sz w:val="22"/>
                <w:szCs w:val="22"/>
                <w:lang w:eastAsia="en-GB"/>
              </w:rPr>
            </w:pPr>
          </w:p>
          <w:p w14:paraId="2638EBC6" w14:textId="77777777" w:rsidR="000A51CC" w:rsidRDefault="000A51CC" w:rsidP="000A51CC">
            <w:pPr>
              <w:rPr>
                <w:rFonts w:ascii="Arial" w:hAnsi="Arial" w:cs="Arial"/>
                <w:sz w:val="22"/>
                <w:szCs w:val="22"/>
                <w:lang w:eastAsia="en-GB"/>
              </w:rPr>
            </w:pPr>
            <w:r w:rsidRPr="000A51CC">
              <w:rPr>
                <w:rFonts w:ascii="Arial" w:hAnsi="Arial" w:cs="Arial"/>
                <w:sz w:val="22"/>
                <w:szCs w:val="22"/>
                <w:lang w:eastAsia="en-GB"/>
              </w:rPr>
              <w:t>The VRU will host the Quarterly Performance Meetings face to face with each provider and the Learning Partner. The Learning Partner will need use their own judgement with regards to the necessity / benefit of convening further face to face meetings with providers.</w:t>
            </w:r>
          </w:p>
          <w:p w14:paraId="61D9E656" w14:textId="48A61322" w:rsidR="000A51CC" w:rsidRPr="000A51CC" w:rsidRDefault="000A51CC" w:rsidP="000A51CC">
            <w:pPr>
              <w:rPr>
                <w:rFonts w:ascii="Arial" w:hAnsi="Arial" w:cs="Arial"/>
                <w:sz w:val="22"/>
                <w:szCs w:val="22"/>
                <w:lang w:eastAsia="en-GB"/>
              </w:rPr>
            </w:pPr>
          </w:p>
        </w:tc>
      </w:tr>
      <w:tr w:rsidR="000A51CC" w:rsidRPr="000A51CC" w14:paraId="1D648AD4" w14:textId="77777777" w:rsidTr="000A51CC">
        <w:trPr>
          <w:tblCellSpacing w:w="15" w:type="dxa"/>
        </w:trPr>
        <w:tc>
          <w:tcPr>
            <w:tcW w:w="0" w:type="auto"/>
            <w:vAlign w:val="center"/>
            <w:hideMark/>
          </w:tcPr>
          <w:p w14:paraId="2595D63C" w14:textId="77777777" w:rsidR="000A51CC" w:rsidRDefault="000A51CC" w:rsidP="000A51CC">
            <w:pPr>
              <w:rPr>
                <w:rFonts w:ascii="Arial" w:hAnsi="Arial" w:cs="Arial"/>
                <w:sz w:val="22"/>
                <w:szCs w:val="22"/>
                <w:lang w:eastAsia="en-GB"/>
              </w:rPr>
            </w:pPr>
          </w:p>
          <w:p w14:paraId="7693DA15" w14:textId="77777777" w:rsidR="000A51CC" w:rsidRDefault="000A51CC" w:rsidP="000A51CC">
            <w:pPr>
              <w:rPr>
                <w:rFonts w:ascii="Arial" w:hAnsi="Arial" w:cs="Arial"/>
                <w:sz w:val="22"/>
                <w:szCs w:val="22"/>
                <w:lang w:eastAsia="en-GB"/>
              </w:rPr>
            </w:pPr>
          </w:p>
          <w:p w14:paraId="39B39300" w14:textId="2094994A" w:rsidR="000A51CC" w:rsidRDefault="000A51CC" w:rsidP="000A51CC">
            <w:pPr>
              <w:rPr>
                <w:rFonts w:ascii="Arial" w:hAnsi="Arial" w:cs="Arial"/>
                <w:b/>
                <w:bCs/>
                <w:sz w:val="22"/>
                <w:szCs w:val="22"/>
                <w:lang w:eastAsia="en-GB"/>
              </w:rPr>
            </w:pPr>
            <w:proofErr w:type="gramStart"/>
            <w:r>
              <w:rPr>
                <w:rFonts w:ascii="Arial" w:hAnsi="Arial" w:cs="Arial"/>
                <w:b/>
                <w:bCs/>
                <w:sz w:val="22"/>
                <w:szCs w:val="22"/>
                <w:lang w:eastAsia="en-GB"/>
              </w:rPr>
              <w:t>4,</w:t>
            </w:r>
            <w:r w:rsidRPr="000A51CC">
              <w:rPr>
                <w:rFonts w:ascii="Arial" w:hAnsi="Arial" w:cs="Arial"/>
                <w:b/>
                <w:bCs/>
                <w:sz w:val="22"/>
                <w:szCs w:val="22"/>
                <w:lang w:eastAsia="en-GB"/>
              </w:rPr>
              <w:t>NHS</w:t>
            </w:r>
            <w:proofErr w:type="gramEnd"/>
            <w:r w:rsidRPr="000A51CC">
              <w:rPr>
                <w:rFonts w:ascii="Arial" w:hAnsi="Arial" w:cs="Arial"/>
                <w:b/>
                <w:bCs/>
                <w:sz w:val="22"/>
                <w:szCs w:val="22"/>
                <w:lang w:eastAsia="en-GB"/>
              </w:rPr>
              <w:t xml:space="preserve"> Data Systems – is any of the data that’s in scope for this learning partnership held on NHS servers? Will the Learning Partner need to access NHS data systems or are all providers working off their own independent case management systems?</w:t>
            </w:r>
          </w:p>
          <w:p w14:paraId="659069E8" w14:textId="77777777" w:rsidR="000A51CC" w:rsidRDefault="000A51CC" w:rsidP="000A51CC">
            <w:pPr>
              <w:rPr>
                <w:rFonts w:ascii="Arial" w:hAnsi="Arial" w:cs="Arial"/>
                <w:b/>
                <w:bCs/>
                <w:sz w:val="22"/>
                <w:szCs w:val="22"/>
                <w:lang w:eastAsia="en-GB"/>
              </w:rPr>
            </w:pPr>
          </w:p>
          <w:p w14:paraId="133B6C37" w14:textId="391B40C4" w:rsidR="000A51CC" w:rsidRPr="000A51CC" w:rsidRDefault="000A51CC" w:rsidP="000A51CC">
            <w:pPr>
              <w:rPr>
                <w:rFonts w:ascii="Arial" w:hAnsi="Arial" w:cs="Arial"/>
                <w:b/>
                <w:bCs/>
                <w:sz w:val="22"/>
                <w:szCs w:val="22"/>
                <w:lang w:eastAsia="en-GB"/>
              </w:rPr>
            </w:pPr>
          </w:p>
        </w:tc>
        <w:tc>
          <w:tcPr>
            <w:tcW w:w="0" w:type="auto"/>
            <w:vAlign w:val="center"/>
            <w:hideMark/>
          </w:tcPr>
          <w:p w14:paraId="69B344D5" w14:textId="77777777" w:rsidR="000A51CC" w:rsidRPr="000A51CC" w:rsidRDefault="000A51CC" w:rsidP="000A51CC">
            <w:pPr>
              <w:rPr>
                <w:rFonts w:ascii="Arial" w:hAnsi="Arial" w:cs="Arial"/>
                <w:sz w:val="22"/>
                <w:szCs w:val="22"/>
                <w:lang w:eastAsia="en-GB"/>
              </w:rPr>
            </w:pPr>
            <w:r w:rsidRPr="000A51CC">
              <w:rPr>
                <w:rFonts w:ascii="Arial" w:hAnsi="Arial" w:cs="Arial"/>
                <w:sz w:val="22"/>
                <w:szCs w:val="22"/>
                <w:lang w:eastAsia="en-GB"/>
              </w:rPr>
              <w:t>All providers use their own independent case management systems.</w:t>
            </w:r>
          </w:p>
        </w:tc>
      </w:tr>
      <w:tr w:rsidR="000A51CC" w:rsidRPr="000A51CC" w14:paraId="780CF957" w14:textId="77777777" w:rsidTr="000A51CC">
        <w:trPr>
          <w:tblCellSpacing w:w="15" w:type="dxa"/>
        </w:trPr>
        <w:tc>
          <w:tcPr>
            <w:tcW w:w="0" w:type="auto"/>
            <w:vAlign w:val="center"/>
            <w:hideMark/>
          </w:tcPr>
          <w:p w14:paraId="352EACA0" w14:textId="6E4D3C35" w:rsidR="000A51CC" w:rsidRPr="000A51CC" w:rsidRDefault="000A51CC" w:rsidP="000A51CC">
            <w:pPr>
              <w:rPr>
                <w:rFonts w:ascii="Arial" w:hAnsi="Arial" w:cs="Arial"/>
                <w:b/>
                <w:bCs/>
                <w:sz w:val="22"/>
                <w:szCs w:val="22"/>
                <w:lang w:eastAsia="en-GB"/>
              </w:rPr>
            </w:pPr>
            <w:proofErr w:type="gramStart"/>
            <w:r>
              <w:rPr>
                <w:rFonts w:ascii="Arial" w:hAnsi="Arial" w:cs="Arial"/>
                <w:b/>
                <w:bCs/>
                <w:sz w:val="22"/>
                <w:szCs w:val="22"/>
                <w:lang w:eastAsia="en-GB"/>
              </w:rPr>
              <w:t>5,</w:t>
            </w:r>
            <w:r w:rsidRPr="000A51CC">
              <w:rPr>
                <w:rFonts w:ascii="Arial" w:hAnsi="Arial" w:cs="Arial"/>
                <w:b/>
                <w:bCs/>
                <w:sz w:val="22"/>
                <w:szCs w:val="22"/>
                <w:lang w:eastAsia="en-GB"/>
              </w:rPr>
              <w:t>Staffing</w:t>
            </w:r>
            <w:proofErr w:type="gramEnd"/>
            <w:r w:rsidRPr="000A51CC">
              <w:rPr>
                <w:rFonts w:ascii="Arial" w:hAnsi="Arial" w:cs="Arial"/>
                <w:b/>
                <w:bCs/>
                <w:sz w:val="22"/>
                <w:szCs w:val="22"/>
                <w:lang w:eastAsia="en-GB"/>
              </w:rPr>
              <w:t xml:space="preserve"> – Question 6 mentions summary CVs for key staff – are these to be included in the 2-page limit for Q6 or do they count as a separate annex? If it is a separate annex, what page limits apply?</w:t>
            </w:r>
          </w:p>
        </w:tc>
        <w:tc>
          <w:tcPr>
            <w:tcW w:w="0" w:type="auto"/>
            <w:vAlign w:val="center"/>
            <w:hideMark/>
          </w:tcPr>
          <w:p w14:paraId="40462799" w14:textId="77777777" w:rsidR="000A51CC" w:rsidRDefault="000A51CC" w:rsidP="000A51CC">
            <w:pPr>
              <w:rPr>
                <w:rFonts w:ascii="Arial" w:hAnsi="Arial" w:cs="Arial"/>
                <w:sz w:val="22"/>
                <w:szCs w:val="22"/>
                <w:lang w:eastAsia="en-GB"/>
              </w:rPr>
            </w:pPr>
            <w:r w:rsidRPr="000A51CC">
              <w:rPr>
                <w:rFonts w:ascii="Arial" w:hAnsi="Arial" w:cs="Arial"/>
                <w:sz w:val="22"/>
                <w:szCs w:val="22"/>
                <w:lang w:eastAsia="en-GB"/>
              </w:rPr>
              <w:t xml:space="preserve">No limits have been applied to the number of CVs you can include. </w:t>
            </w:r>
          </w:p>
          <w:p w14:paraId="1FF37D04" w14:textId="77777777" w:rsidR="000A51CC" w:rsidRDefault="000A51CC" w:rsidP="000A51CC">
            <w:pPr>
              <w:rPr>
                <w:rFonts w:ascii="Arial" w:hAnsi="Arial" w:cs="Arial"/>
                <w:sz w:val="22"/>
                <w:szCs w:val="22"/>
                <w:lang w:eastAsia="en-GB"/>
              </w:rPr>
            </w:pPr>
          </w:p>
          <w:p w14:paraId="04EB7B53" w14:textId="77777777" w:rsidR="000A51CC" w:rsidRDefault="000A51CC" w:rsidP="000A51CC">
            <w:pPr>
              <w:rPr>
                <w:rFonts w:ascii="Arial" w:hAnsi="Arial" w:cs="Arial"/>
                <w:sz w:val="22"/>
                <w:szCs w:val="22"/>
                <w:lang w:eastAsia="en-GB"/>
              </w:rPr>
            </w:pPr>
          </w:p>
          <w:p w14:paraId="2CF41C17" w14:textId="77777777" w:rsidR="000A51CC" w:rsidRDefault="000A51CC" w:rsidP="000A51CC">
            <w:pPr>
              <w:rPr>
                <w:rFonts w:ascii="Arial" w:hAnsi="Arial" w:cs="Arial"/>
                <w:sz w:val="22"/>
                <w:szCs w:val="22"/>
                <w:lang w:eastAsia="en-GB"/>
              </w:rPr>
            </w:pPr>
          </w:p>
          <w:p w14:paraId="5AA14626" w14:textId="58E6E536" w:rsidR="000A51CC" w:rsidRPr="000A51CC" w:rsidRDefault="000A51CC" w:rsidP="000A51CC">
            <w:pPr>
              <w:rPr>
                <w:rFonts w:ascii="Arial" w:hAnsi="Arial" w:cs="Arial"/>
                <w:sz w:val="22"/>
                <w:szCs w:val="22"/>
                <w:lang w:eastAsia="en-GB"/>
              </w:rPr>
            </w:pPr>
          </w:p>
        </w:tc>
      </w:tr>
      <w:tr w:rsidR="000A51CC" w:rsidRPr="000A51CC" w14:paraId="434A82C1" w14:textId="77777777" w:rsidTr="000A51CC">
        <w:trPr>
          <w:tblCellSpacing w:w="15" w:type="dxa"/>
        </w:trPr>
        <w:tc>
          <w:tcPr>
            <w:tcW w:w="0" w:type="auto"/>
            <w:vAlign w:val="center"/>
            <w:hideMark/>
          </w:tcPr>
          <w:p w14:paraId="24C68122" w14:textId="708A0D98" w:rsidR="000A51CC" w:rsidRPr="000A51CC" w:rsidRDefault="000A51CC" w:rsidP="000A51CC">
            <w:pPr>
              <w:rPr>
                <w:rFonts w:ascii="Arial" w:hAnsi="Arial" w:cs="Arial"/>
                <w:b/>
                <w:bCs/>
                <w:sz w:val="22"/>
                <w:szCs w:val="22"/>
                <w:lang w:eastAsia="en-GB"/>
              </w:rPr>
            </w:pPr>
            <w:proofErr w:type="gramStart"/>
            <w:r>
              <w:rPr>
                <w:rFonts w:ascii="Arial" w:hAnsi="Arial" w:cs="Arial"/>
                <w:b/>
                <w:bCs/>
                <w:sz w:val="22"/>
                <w:szCs w:val="22"/>
                <w:lang w:eastAsia="en-GB"/>
              </w:rPr>
              <w:t>6,</w:t>
            </w:r>
            <w:r w:rsidRPr="000A51CC">
              <w:rPr>
                <w:rFonts w:ascii="Arial" w:hAnsi="Arial" w:cs="Arial"/>
                <w:b/>
                <w:bCs/>
                <w:sz w:val="22"/>
                <w:szCs w:val="22"/>
                <w:lang w:eastAsia="en-GB"/>
              </w:rPr>
              <w:t>Potential</w:t>
            </w:r>
            <w:proofErr w:type="gramEnd"/>
            <w:r w:rsidRPr="000A51CC">
              <w:rPr>
                <w:rFonts w:ascii="Arial" w:hAnsi="Arial" w:cs="Arial"/>
                <w:b/>
                <w:bCs/>
                <w:sz w:val="22"/>
                <w:szCs w:val="22"/>
                <w:lang w:eastAsia="en-GB"/>
              </w:rPr>
              <w:t xml:space="preserve"> Extension – on what basis will a potential extension be decided and when will that decision be made? What factors will it depend on?</w:t>
            </w:r>
          </w:p>
        </w:tc>
        <w:tc>
          <w:tcPr>
            <w:tcW w:w="0" w:type="auto"/>
            <w:vAlign w:val="center"/>
            <w:hideMark/>
          </w:tcPr>
          <w:p w14:paraId="5E16140F" w14:textId="77777777" w:rsidR="000A51CC" w:rsidRDefault="000A51CC" w:rsidP="000A51CC">
            <w:pPr>
              <w:rPr>
                <w:rFonts w:ascii="Arial" w:hAnsi="Arial" w:cs="Arial"/>
                <w:sz w:val="22"/>
                <w:szCs w:val="22"/>
                <w:lang w:eastAsia="en-GB"/>
              </w:rPr>
            </w:pPr>
          </w:p>
          <w:p w14:paraId="4823F1DF" w14:textId="77777777" w:rsidR="000A51CC" w:rsidRDefault="000A51CC" w:rsidP="000A51CC">
            <w:pPr>
              <w:rPr>
                <w:rFonts w:ascii="Arial" w:hAnsi="Arial" w:cs="Arial"/>
                <w:sz w:val="22"/>
                <w:szCs w:val="22"/>
                <w:lang w:eastAsia="en-GB"/>
              </w:rPr>
            </w:pPr>
          </w:p>
          <w:p w14:paraId="3FDDD308" w14:textId="100C6FA6" w:rsidR="000A51CC" w:rsidRDefault="000A51CC" w:rsidP="000A51CC">
            <w:pPr>
              <w:rPr>
                <w:rFonts w:ascii="Arial" w:hAnsi="Arial" w:cs="Arial"/>
                <w:sz w:val="22"/>
                <w:szCs w:val="22"/>
                <w:lang w:eastAsia="en-GB"/>
              </w:rPr>
            </w:pPr>
            <w:r w:rsidRPr="000A51CC">
              <w:rPr>
                <w:rFonts w:ascii="Arial" w:hAnsi="Arial" w:cs="Arial"/>
                <w:sz w:val="22"/>
                <w:szCs w:val="22"/>
                <w:lang w:eastAsia="en-GB"/>
              </w:rPr>
              <w:t xml:space="preserve">"We are requesting pricing for an extension period, but this in an optional extension and is not guaranteed. Any decisions on extensions will depend on a range of factors and will be the at the discretion of the VRU. Factors will include funding available and performance of delivery partners. The VRU will decide whether to exercise the extension </w:t>
            </w:r>
            <w:r w:rsidRPr="000A51CC">
              <w:rPr>
                <w:rFonts w:ascii="Arial" w:hAnsi="Arial" w:cs="Arial"/>
                <w:sz w:val="22"/>
                <w:szCs w:val="22"/>
                <w:lang w:eastAsia="en-GB"/>
              </w:rPr>
              <w:lastRenderedPageBreak/>
              <w:t xml:space="preserve">option as the initial contract comes to an end, with appropriate </w:t>
            </w:r>
            <w:r w:rsidRPr="000A51CC">
              <w:rPr>
                <w:rFonts w:ascii="Arial" w:hAnsi="Arial" w:cs="Arial"/>
                <w:sz w:val="22"/>
                <w:szCs w:val="22"/>
                <w:lang w:eastAsia="en-GB"/>
              </w:rPr>
              <w:t>governance</w:t>
            </w:r>
            <w:r w:rsidRPr="000A51CC">
              <w:rPr>
                <w:rFonts w:ascii="Arial" w:hAnsi="Arial" w:cs="Arial"/>
                <w:sz w:val="22"/>
                <w:szCs w:val="22"/>
                <w:lang w:eastAsia="en-GB"/>
              </w:rPr>
              <w:t xml:space="preserve"> approval, and </w:t>
            </w:r>
          </w:p>
          <w:p w14:paraId="6BE4B18A" w14:textId="77777777" w:rsidR="000A51CC" w:rsidRDefault="000A51CC" w:rsidP="000A51CC">
            <w:pPr>
              <w:rPr>
                <w:rFonts w:ascii="Arial" w:hAnsi="Arial" w:cs="Arial"/>
                <w:sz w:val="22"/>
                <w:szCs w:val="22"/>
                <w:lang w:eastAsia="en-GB"/>
              </w:rPr>
            </w:pPr>
            <w:r w:rsidRPr="000A51CC">
              <w:rPr>
                <w:rFonts w:ascii="Arial" w:hAnsi="Arial" w:cs="Arial"/>
                <w:sz w:val="22"/>
                <w:szCs w:val="22"/>
                <w:lang w:eastAsia="en-GB"/>
              </w:rPr>
              <w:t>with the agreement of the provider. "</w:t>
            </w:r>
          </w:p>
          <w:p w14:paraId="0D94BB8C" w14:textId="77777777" w:rsidR="000A51CC" w:rsidRDefault="000A51CC" w:rsidP="000A51CC">
            <w:pPr>
              <w:rPr>
                <w:rFonts w:ascii="Arial" w:hAnsi="Arial" w:cs="Arial"/>
                <w:sz w:val="22"/>
                <w:szCs w:val="22"/>
                <w:lang w:eastAsia="en-GB"/>
              </w:rPr>
            </w:pPr>
          </w:p>
          <w:p w14:paraId="6E54B902" w14:textId="3F7BDB31" w:rsidR="000A51CC" w:rsidRPr="000A51CC" w:rsidRDefault="000A51CC" w:rsidP="000A51CC">
            <w:pPr>
              <w:rPr>
                <w:rFonts w:ascii="Arial" w:hAnsi="Arial" w:cs="Arial"/>
                <w:sz w:val="22"/>
                <w:szCs w:val="22"/>
                <w:lang w:eastAsia="en-GB"/>
              </w:rPr>
            </w:pPr>
          </w:p>
        </w:tc>
      </w:tr>
      <w:tr w:rsidR="000A51CC" w:rsidRPr="000A51CC" w14:paraId="1C21FB43" w14:textId="77777777" w:rsidTr="000A51CC">
        <w:trPr>
          <w:tblCellSpacing w:w="15" w:type="dxa"/>
        </w:trPr>
        <w:tc>
          <w:tcPr>
            <w:tcW w:w="0" w:type="auto"/>
            <w:vAlign w:val="center"/>
            <w:hideMark/>
          </w:tcPr>
          <w:p w14:paraId="1C86F7DD" w14:textId="4047B0B4" w:rsidR="000A51CC" w:rsidRPr="000A51CC" w:rsidRDefault="000A51CC" w:rsidP="000A51CC">
            <w:pPr>
              <w:rPr>
                <w:rFonts w:ascii="Arial" w:hAnsi="Arial" w:cs="Arial"/>
                <w:b/>
                <w:bCs/>
                <w:sz w:val="22"/>
                <w:szCs w:val="22"/>
                <w:lang w:eastAsia="en-GB"/>
              </w:rPr>
            </w:pPr>
            <w:proofErr w:type="gramStart"/>
            <w:r>
              <w:rPr>
                <w:rFonts w:ascii="Arial" w:hAnsi="Arial" w:cs="Arial"/>
                <w:b/>
                <w:bCs/>
                <w:sz w:val="22"/>
                <w:szCs w:val="22"/>
                <w:lang w:eastAsia="en-GB"/>
              </w:rPr>
              <w:lastRenderedPageBreak/>
              <w:t>7,</w:t>
            </w:r>
            <w:r w:rsidRPr="000A51CC">
              <w:rPr>
                <w:rFonts w:ascii="Arial" w:hAnsi="Arial" w:cs="Arial"/>
                <w:b/>
                <w:bCs/>
                <w:sz w:val="22"/>
                <w:szCs w:val="22"/>
                <w:lang w:eastAsia="en-GB"/>
              </w:rPr>
              <w:t>Provider</w:t>
            </w:r>
            <w:proofErr w:type="gramEnd"/>
            <w:r w:rsidRPr="000A51CC">
              <w:rPr>
                <w:rFonts w:ascii="Arial" w:hAnsi="Arial" w:cs="Arial"/>
                <w:b/>
                <w:bCs/>
                <w:sz w:val="22"/>
                <w:szCs w:val="22"/>
                <w:lang w:eastAsia="en-GB"/>
              </w:rPr>
              <w:t xml:space="preserve"> Mobilisation – the spec for the Evaluation Partner mentions the Learning Partner is also responsible for provider mobilisation, however, this is not mentioned in the Learning Partner spec. Can you confirm that provider mobilisation is out of scope for the learning partner?</w:t>
            </w:r>
          </w:p>
        </w:tc>
        <w:tc>
          <w:tcPr>
            <w:tcW w:w="0" w:type="auto"/>
            <w:vAlign w:val="center"/>
            <w:hideMark/>
          </w:tcPr>
          <w:p w14:paraId="7580C112" w14:textId="77777777" w:rsidR="000A51CC" w:rsidRDefault="000A51CC" w:rsidP="000A51CC">
            <w:pPr>
              <w:rPr>
                <w:rFonts w:ascii="Arial" w:hAnsi="Arial" w:cs="Arial"/>
                <w:sz w:val="22"/>
                <w:szCs w:val="22"/>
                <w:lang w:eastAsia="en-GB"/>
              </w:rPr>
            </w:pPr>
            <w:r w:rsidRPr="000A51CC">
              <w:rPr>
                <w:rFonts w:ascii="Arial" w:hAnsi="Arial" w:cs="Arial"/>
                <w:sz w:val="22"/>
                <w:szCs w:val="22"/>
                <w:lang w:eastAsia="en-GB"/>
              </w:rPr>
              <w:t>Provider mobilisation is not within the scope of the Learning Partner’s work. This is an error on page 25 of the In-Hospital Youth Work A&amp;E Specification.</w:t>
            </w:r>
          </w:p>
          <w:p w14:paraId="140E5B80" w14:textId="77777777" w:rsidR="000A51CC" w:rsidRDefault="000A51CC" w:rsidP="000A51CC">
            <w:pPr>
              <w:rPr>
                <w:rFonts w:ascii="Arial" w:hAnsi="Arial" w:cs="Arial"/>
                <w:sz w:val="22"/>
                <w:szCs w:val="22"/>
                <w:lang w:eastAsia="en-GB"/>
              </w:rPr>
            </w:pPr>
          </w:p>
          <w:p w14:paraId="00DF9349" w14:textId="677BD103" w:rsidR="000A51CC" w:rsidRPr="000A51CC" w:rsidRDefault="000A51CC" w:rsidP="000A51CC">
            <w:pPr>
              <w:rPr>
                <w:rFonts w:ascii="Arial" w:hAnsi="Arial" w:cs="Arial"/>
                <w:sz w:val="22"/>
                <w:szCs w:val="22"/>
                <w:lang w:eastAsia="en-GB"/>
              </w:rPr>
            </w:pPr>
          </w:p>
        </w:tc>
      </w:tr>
      <w:tr w:rsidR="000A51CC" w:rsidRPr="000A51CC" w14:paraId="4CBB1C2F" w14:textId="77777777" w:rsidTr="000A51CC">
        <w:trPr>
          <w:tblCellSpacing w:w="15" w:type="dxa"/>
        </w:trPr>
        <w:tc>
          <w:tcPr>
            <w:tcW w:w="0" w:type="auto"/>
            <w:vAlign w:val="center"/>
            <w:hideMark/>
          </w:tcPr>
          <w:p w14:paraId="5EB10577" w14:textId="191DE8D4" w:rsidR="000A51CC" w:rsidRPr="000A51CC" w:rsidRDefault="000A51CC" w:rsidP="000A51CC">
            <w:pPr>
              <w:rPr>
                <w:rFonts w:ascii="Arial" w:hAnsi="Arial" w:cs="Arial"/>
                <w:b/>
                <w:bCs/>
                <w:sz w:val="22"/>
                <w:szCs w:val="22"/>
                <w:lang w:eastAsia="en-GB"/>
              </w:rPr>
            </w:pPr>
            <w:proofErr w:type="gramStart"/>
            <w:r>
              <w:rPr>
                <w:rFonts w:ascii="Arial" w:hAnsi="Arial" w:cs="Arial"/>
                <w:b/>
                <w:bCs/>
                <w:sz w:val="22"/>
                <w:szCs w:val="22"/>
                <w:lang w:eastAsia="en-GB"/>
              </w:rPr>
              <w:t>8,</w:t>
            </w:r>
            <w:r w:rsidRPr="000A51CC">
              <w:rPr>
                <w:rFonts w:ascii="Arial" w:hAnsi="Arial" w:cs="Arial"/>
                <w:b/>
                <w:bCs/>
                <w:sz w:val="22"/>
                <w:szCs w:val="22"/>
                <w:lang w:eastAsia="en-GB"/>
              </w:rPr>
              <w:t>Timelines</w:t>
            </w:r>
            <w:proofErr w:type="gramEnd"/>
            <w:r w:rsidRPr="000A51CC">
              <w:rPr>
                <w:rFonts w:ascii="Arial" w:hAnsi="Arial" w:cs="Arial"/>
                <w:b/>
                <w:bCs/>
                <w:sz w:val="22"/>
                <w:szCs w:val="22"/>
                <w:lang w:eastAsia="en-GB"/>
              </w:rPr>
              <w:t xml:space="preserve"> – when are final deliverables expected and when is the service due to end? The spec mentions the full report on learnings is to be produced in March </w:t>
            </w:r>
            <w:proofErr w:type="gramStart"/>
            <w:r w:rsidRPr="000A51CC">
              <w:rPr>
                <w:rFonts w:ascii="Arial" w:hAnsi="Arial" w:cs="Arial"/>
                <w:b/>
                <w:bCs/>
                <w:sz w:val="22"/>
                <w:szCs w:val="22"/>
                <w:lang w:eastAsia="en-GB"/>
              </w:rPr>
              <w:t>2025</w:t>
            </w:r>
            <w:proofErr w:type="gramEnd"/>
            <w:r w:rsidRPr="000A51CC">
              <w:rPr>
                <w:rFonts w:ascii="Arial" w:hAnsi="Arial" w:cs="Arial"/>
                <w:b/>
                <w:bCs/>
                <w:sz w:val="22"/>
                <w:szCs w:val="22"/>
                <w:lang w:eastAsia="en-GB"/>
              </w:rPr>
              <w:t xml:space="preserve"> but the key milestone table lists those deliverables in June 2025.</w:t>
            </w:r>
          </w:p>
        </w:tc>
        <w:tc>
          <w:tcPr>
            <w:tcW w:w="0" w:type="auto"/>
            <w:vAlign w:val="center"/>
            <w:hideMark/>
          </w:tcPr>
          <w:p w14:paraId="553E55AF" w14:textId="77777777" w:rsidR="000A51CC" w:rsidRDefault="000A51CC" w:rsidP="000A51CC">
            <w:pPr>
              <w:rPr>
                <w:rFonts w:ascii="Arial" w:hAnsi="Arial" w:cs="Arial"/>
                <w:sz w:val="22"/>
                <w:szCs w:val="22"/>
                <w:lang w:eastAsia="en-GB"/>
              </w:rPr>
            </w:pPr>
          </w:p>
          <w:p w14:paraId="242E2889" w14:textId="77777777" w:rsidR="000A51CC" w:rsidRDefault="000A51CC" w:rsidP="000A51CC">
            <w:pPr>
              <w:rPr>
                <w:rFonts w:ascii="Arial" w:hAnsi="Arial" w:cs="Arial"/>
                <w:sz w:val="22"/>
                <w:szCs w:val="22"/>
                <w:lang w:eastAsia="en-GB"/>
              </w:rPr>
            </w:pPr>
          </w:p>
          <w:p w14:paraId="482BA08D" w14:textId="5369FD7B" w:rsidR="000A51CC" w:rsidRPr="000A51CC" w:rsidRDefault="000A51CC" w:rsidP="000A51CC">
            <w:pPr>
              <w:rPr>
                <w:rFonts w:ascii="Arial" w:hAnsi="Arial" w:cs="Arial"/>
                <w:sz w:val="22"/>
                <w:szCs w:val="22"/>
                <w:lang w:eastAsia="en-GB"/>
              </w:rPr>
            </w:pPr>
            <w:r w:rsidRPr="000A51CC">
              <w:rPr>
                <w:rFonts w:ascii="Arial" w:hAnsi="Arial" w:cs="Arial"/>
                <w:sz w:val="22"/>
                <w:szCs w:val="22"/>
                <w:lang w:eastAsia="en-GB"/>
              </w:rPr>
              <w:t>The In-Hospital Youth Work service is due to end in March 2025, and the Learning Partner’s ongoing work supporting the providers will finish then as well. Final payments will be made at the same time, but we expect the Hospital-Based Youth Work Programme Learnings Report &amp; Resource Toolkit and Systems Change Paper by the end of June 2025.</w:t>
            </w:r>
          </w:p>
        </w:tc>
      </w:tr>
      <w:tr w:rsidR="000A51CC" w:rsidRPr="000A51CC" w14:paraId="42A1F5F4" w14:textId="77777777" w:rsidTr="000A51CC">
        <w:trPr>
          <w:tblCellSpacing w:w="15" w:type="dxa"/>
        </w:trPr>
        <w:tc>
          <w:tcPr>
            <w:tcW w:w="0" w:type="auto"/>
            <w:vAlign w:val="center"/>
            <w:hideMark/>
          </w:tcPr>
          <w:p w14:paraId="2852B2D2" w14:textId="77777777" w:rsidR="000A51CC" w:rsidRDefault="000A51CC" w:rsidP="000A51CC">
            <w:pPr>
              <w:rPr>
                <w:rFonts w:ascii="Arial" w:hAnsi="Arial" w:cs="Arial"/>
                <w:b/>
                <w:bCs/>
                <w:sz w:val="22"/>
                <w:szCs w:val="22"/>
                <w:lang w:eastAsia="en-GB"/>
              </w:rPr>
            </w:pPr>
          </w:p>
          <w:p w14:paraId="0D76ABCD" w14:textId="77777777" w:rsidR="000A51CC" w:rsidRDefault="000A51CC" w:rsidP="000A51CC">
            <w:pPr>
              <w:rPr>
                <w:rFonts w:ascii="Arial" w:hAnsi="Arial" w:cs="Arial"/>
                <w:b/>
                <w:bCs/>
                <w:sz w:val="22"/>
                <w:szCs w:val="22"/>
                <w:lang w:eastAsia="en-GB"/>
              </w:rPr>
            </w:pPr>
          </w:p>
          <w:p w14:paraId="6F900DC1" w14:textId="7C9A883F" w:rsidR="000A51CC" w:rsidRDefault="000A51CC" w:rsidP="000A51CC">
            <w:pPr>
              <w:rPr>
                <w:rFonts w:ascii="Arial" w:hAnsi="Arial" w:cs="Arial"/>
                <w:b/>
                <w:bCs/>
                <w:sz w:val="22"/>
                <w:szCs w:val="22"/>
                <w:lang w:eastAsia="en-GB"/>
              </w:rPr>
            </w:pPr>
            <w:proofErr w:type="gramStart"/>
            <w:r>
              <w:rPr>
                <w:rFonts w:ascii="Arial" w:hAnsi="Arial" w:cs="Arial"/>
                <w:b/>
                <w:bCs/>
                <w:sz w:val="22"/>
                <w:szCs w:val="22"/>
                <w:lang w:eastAsia="en-GB"/>
              </w:rPr>
              <w:t>9,</w:t>
            </w:r>
            <w:r w:rsidRPr="000A51CC">
              <w:rPr>
                <w:rFonts w:ascii="Arial" w:hAnsi="Arial" w:cs="Arial"/>
                <w:b/>
                <w:bCs/>
                <w:sz w:val="22"/>
                <w:szCs w:val="22"/>
                <w:lang w:eastAsia="en-GB"/>
              </w:rPr>
              <w:t>Delivery</w:t>
            </w:r>
            <w:proofErr w:type="gramEnd"/>
            <w:r w:rsidRPr="000A51CC">
              <w:rPr>
                <w:rFonts w:ascii="Arial" w:hAnsi="Arial" w:cs="Arial"/>
                <w:b/>
                <w:bCs/>
                <w:sz w:val="22"/>
                <w:szCs w:val="22"/>
                <w:lang w:eastAsia="en-GB"/>
              </w:rPr>
              <w:t xml:space="preserve"> providers – the spec mentions the Learning Partner needs to work with at least 3 providers. Is this a subset of all </w:t>
            </w:r>
            <w:proofErr w:type="gramStart"/>
            <w:r w:rsidRPr="000A51CC">
              <w:rPr>
                <w:rFonts w:ascii="Arial" w:hAnsi="Arial" w:cs="Arial"/>
                <w:b/>
                <w:bCs/>
                <w:sz w:val="22"/>
                <w:szCs w:val="22"/>
                <w:lang w:eastAsia="en-GB"/>
              </w:rPr>
              <w:t>provider</w:t>
            </w:r>
            <w:proofErr w:type="gramEnd"/>
            <w:r w:rsidRPr="000A51CC">
              <w:rPr>
                <w:rFonts w:ascii="Arial" w:hAnsi="Arial" w:cs="Arial"/>
                <w:b/>
                <w:bCs/>
                <w:sz w:val="22"/>
                <w:szCs w:val="22"/>
                <w:lang w:eastAsia="en-GB"/>
              </w:rPr>
              <w:t xml:space="preserve"> or does this mean at least 3 providers will be providing services across the selected hospital sites? Have the providers already been commissioned and confirmed? How many providers are there in total? Is it possible to share who the providers will be?</w:t>
            </w:r>
          </w:p>
          <w:p w14:paraId="57794150" w14:textId="77777777" w:rsidR="000A51CC" w:rsidRDefault="000A51CC" w:rsidP="000A51CC">
            <w:pPr>
              <w:rPr>
                <w:rFonts w:ascii="Arial" w:hAnsi="Arial" w:cs="Arial"/>
                <w:b/>
                <w:bCs/>
                <w:sz w:val="22"/>
                <w:szCs w:val="22"/>
                <w:lang w:eastAsia="en-GB"/>
              </w:rPr>
            </w:pPr>
          </w:p>
          <w:p w14:paraId="4135248B" w14:textId="046CA818" w:rsidR="000A51CC" w:rsidRPr="000A51CC" w:rsidRDefault="000A51CC" w:rsidP="000A51CC">
            <w:pPr>
              <w:rPr>
                <w:rFonts w:ascii="Arial" w:hAnsi="Arial" w:cs="Arial"/>
                <w:b/>
                <w:bCs/>
                <w:sz w:val="22"/>
                <w:szCs w:val="22"/>
                <w:lang w:eastAsia="en-GB"/>
              </w:rPr>
            </w:pPr>
          </w:p>
        </w:tc>
        <w:tc>
          <w:tcPr>
            <w:tcW w:w="0" w:type="auto"/>
            <w:vAlign w:val="center"/>
            <w:hideMark/>
          </w:tcPr>
          <w:p w14:paraId="38A1BA35" w14:textId="77777777" w:rsidR="000A51CC" w:rsidRDefault="000A51CC" w:rsidP="000A51CC">
            <w:pPr>
              <w:rPr>
                <w:rFonts w:ascii="Arial" w:hAnsi="Arial" w:cs="Arial"/>
                <w:sz w:val="22"/>
                <w:szCs w:val="22"/>
                <w:lang w:eastAsia="en-GB"/>
              </w:rPr>
            </w:pPr>
          </w:p>
          <w:p w14:paraId="2EC7D0CC" w14:textId="19D5C2E0" w:rsidR="000A51CC" w:rsidRPr="000A51CC" w:rsidRDefault="000A51CC" w:rsidP="000A51CC">
            <w:pPr>
              <w:rPr>
                <w:rFonts w:ascii="Arial" w:hAnsi="Arial" w:cs="Arial"/>
                <w:sz w:val="22"/>
                <w:szCs w:val="22"/>
                <w:lang w:eastAsia="en-GB"/>
              </w:rPr>
            </w:pPr>
            <w:r w:rsidRPr="000A51CC">
              <w:rPr>
                <w:rFonts w:ascii="Arial" w:hAnsi="Arial" w:cs="Arial"/>
                <w:sz w:val="22"/>
                <w:szCs w:val="22"/>
                <w:lang w:eastAsia="en-GB"/>
              </w:rPr>
              <w:t>There will be three providers delivering In-Hospital Youth Work services for the VRU in this period. The In-Hospital Youth Work providers are in the process of signing contracts and the provider information will be made available to the Learning Partner delivery partner.</w:t>
            </w:r>
          </w:p>
        </w:tc>
      </w:tr>
      <w:tr w:rsidR="000A51CC" w:rsidRPr="000A51CC" w14:paraId="359CEF20" w14:textId="77777777" w:rsidTr="000A51CC">
        <w:trPr>
          <w:tblCellSpacing w:w="15" w:type="dxa"/>
        </w:trPr>
        <w:tc>
          <w:tcPr>
            <w:tcW w:w="0" w:type="auto"/>
            <w:vAlign w:val="center"/>
            <w:hideMark/>
          </w:tcPr>
          <w:p w14:paraId="2EEB41F6" w14:textId="77777777" w:rsidR="000A51CC" w:rsidRDefault="000A51CC" w:rsidP="000A51CC">
            <w:pPr>
              <w:rPr>
                <w:rFonts w:ascii="Arial" w:hAnsi="Arial" w:cs="Arial"/>
                <w:b/>
                <w:bCs/>
                <w:sz w:val="22"/>
                <w:szCs w:val="22"/>
                <w:lang w:eastAsia="en-GB"/>
              </w:rPr>
            </w:pPr>
          </w:p>
          <w:p w14:paraId="5A65754B" w14:textId="5FC904AE" w:rsidR="000A51CC" w:rsidRPr="000A51CC" w:rsidRDefault="000A51CC" w:rsidP="000A51CC">
            <w:pPr>
              <w:rPr>
                <w:rFonts w:ascii="Arial" w:hAnsi="Arial" w:cs="Arial"/>
                <w:b/>
                <w:bCs/>
                <w:sz w:val="22"/>
                <w:szCs w:val="22"/>
                <w:lang w:eastAsia="en-GB"/>
              </w:rPr>
            </w:pPr>
            <w:r>
              <w:rPr>
                <w:rFonts w:ascii="Arial" w:hAnsi="Arial" w:cs="Arial"/>
                <w:b/>
                <w:bCs/>
                <w:sz w:val="22"/>
                <w:szCs w:val="22"/>
                <w:lang w:eastAsia="en-GB"/>
              </w:rPr>
              <w:t>10,</w:t>
            </w:r>
            <w:r w:rsidRPr="000A51CC">
              <w:rPr>
                <w:rFonts w:ascii="Arial" w:hAnsi="Arial" w:cs="Arial"/>
                <w:b/>
                <w:bCs/>
                <w:sz w:val="22"/>
                <w:szCs w:val="22"/>
                <w:lang w:eastAsia="en-GB"/>
              </w:rPr>
              <w:t xml:space="preserve">Collaboration with evaluation partner – how do you envision the Evaluation and Learning Partner working together? The joint working is mentioned in the learning partner spec but not in the evaluation partner spec (esp. around some of the things that the evaluation partner is supposed to be leading on, </w:t>
            </w:r>
            <w:proofErr w:type="gramStart"/>
            <w:r w:rsidRPr="000A51CC">
              <w:rPr>
                <w:rFonts w:ascii="Arial" w:hAnsi="Arial" w:cs="Arial"/>
                <w:b/>
                <w:bCs/>
                <w:sz w:val="22"/>
                <w:szCs w:val="22"/>
                <w:lang w:eastAsia="en-GB"/>
              </w:rPr>
              <w:t>e.g.</w:t>
            </w:r>
            <w:proofErr w:type="gramEnd"/>
            <w:r w:rsidRPr="000A51CC">
              <w:rPr>
                <w:rFonts w:ascii="Arial" w:hAnsi="Arial" w:cs="Arial"/>
                <w:b/>
                <w:bCs/>
                <w:sz w:val="22"/>
                <w:szCs w:val="22"/>
                <w:lang w:eastAsia="en-GB"/>
              </w:rPr>
              <w:t xml:space="preserve"> the data framework/ definitions).</w:t>
            </w:r>
          </w:p>
        </w:tc>
        <w:tc>
          <w:tcPr>
            <w:tcW w:w="0" w:type="auto"/>
            <w:vAlign w:val="center"/>
            <w:hideMark/>
          </w:tcPr>
          <w:p w14:paraId="0151AE6B" w14:textId="77777777" w:rsidR="000A51CC" w:rsidRPr="000A51CC" w:rsidRDefault="000A51CC" w:rsidP="000A51CC">
            <w:pPr>
              <w:rPr>
                <w:rFonts w:ascii="Arial" w:hAnsi="Arial" w:cs="Arial"/>
                <w:sz w:val="22"/>
                <w:szCs w:val="22"/>
                <w:lang w:eastAsia="en-GB"/>
              </w:rPr>
            </w:pPr>
            <w:r w:rsidRPr="000A51CC">
              <w:rPr>
                <w:rFonts w:ascii="Arial" w:hAnsi="Arial" w:cs="Arial"/>
                <w:sz w:val="22"/>
                <w:szCs w:val="22"/>
                <w:lang w:eastAsia="en-GB"/>
              </w:rPr>
              <w:t>The VRU will ensure that the Learning Partner and Evaluation Partner are able to work together to achieve the deliverables outlined and uphold the responsibilities indicated in the Learning Partner specification.</w:t>
            </w:r>
          </w:p>
        </w:tc>
      </w:tr>
    </w:tbl>
    <w:p w14:paraId="4C6A7FFA" w14:textId="77777777" w:rsidR="00AF22A0" w:rsidRPr="000A51CC" w:rsidRDefault="00AF22A0" w:rsidP="00AF22A0">
      <w:pPr>
        <w:rPr>
          <w:rFonts w:ascii="Arial" w:hAnsi="Arial" w:cs="Arial"/>
          <w:sz w:val="22"/>
          <w:szCs w:val="22"/>
        </w:rPr>
      </w:pPr>
    </w:p>
    <w:sectPr w:rsidR="00AF22A0" w:rsidRPr="000A51CC" w:rsidSect="00AF2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CC"/>
    <w:rsid w:val="000136B9"/>
    <w:rsid w:val="000A51CC"/>
    <w:rsid w:val="002E66FC"/>
    <w:rsid w:val="0035694F"/>
    <w:rsid w:val="00AF22A0"/>
    <w:rsid w:val="00D43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69614"/>
  <w15:chartTrackingRefBased/>
  <w15:docId w15:val="{48732485-642A-497F-9361-96204808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9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43A4-58E2-4429-A276-21C35740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Evans</dc:creator>
  <cp:keywords/>
  <dc:description/>
  <cp:lastModifiedBy>Samantha Evans</cp:lastModifiedBy>
  <cp:revision>1</cp:revision>
  <dcterms:created xsi:type="dcterms:W3CDTF">2023-07-05T11:39:00Z</dcterms:created>
  <dcterms:modified xsi:type="dcterms:W3CDTF">2023-07-05T11:45:00Z</dcterms:modified>
</cp:coreProperties>
</file>