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DDB3E" w14:textId="4B1983A9" w:rsidR="69D10C47" w:rsidRDefault="69D10C47" w:rsidP="36D47C3A">
      <w:pPr>
        <w:rPr>
          <w:b/>
          <w:bCs/>
        </w:rPr>
      </w:pPr>
      <w:r w:rsidRPr="36D47C3A">
        <w:rPr>
          <w:b/>
          <w:bCs/>
        </w:rPr>
        <w:t>Lifelong learning entitlement (LLE)</w:t>
      </w:r>
      <w:r w:rsidR="001D444A">
        <w:rPr>
          <w:b/>
          <w:bCs/>
        </w:rPr>
        <w:t xml:space="preserve"> Market Engagement</w:t>
      </w:r>
    </w:p>
    <w:p w14:paraId="61232342" w14:textId="02154732" w:rsidR="006D51B3" w:rsidRPr="006D51B3" w:rsidRDefault="006D51B3" w:rsidP="006D51B3">
      <w:r>
        <w:t>T</w:t>
      </w:r>
      <w:r w:rsidRPr="006D51B3">
        <w:t>he LLE will launch in 26/27 where it will replace higher education (HE) student finance loans and advanced learner loans (ALLs) for levels 4 – 6, creating a single funding system.  </w:t>
      </w:r>
    </w:p>
    <w:p w14:paraId="1C0C7B69" w14:textId="77777777" w:rsidR="006D51B3" w:rsidRPr="006D51B3" w:rsidRDefault="006D51B3" w:rsidP="006D51B3">
      <w:r w:rsidRPr="006D51B3">
        <w:rPr>
          <w:rFonts w:ascii="Arial" w:hAnsi="Arial" w:cs="Arial"/>
        </w:rPr>
        <w:t>​</w:t>
      </w:r>
      <w:r w:rsidRPr="006D51B3">
        <w:t>From September 2026, learners will be able to apply for</w:t>
      </w:r>
      <w:r w:rsidRPr="006D51B3">
        <w:rPr>
          <w:rFonts w:ascii="Arial" w:hAnsi="Arial" w:cs="Arial"/>
        </w:rPr>
        <w:t> </w:t>
      </w:r>
      <w:r w:rsidRPr="006D51B3">
        <w:t>LLE</w:t>
      </w:r>
      <w:r w:rsidRPr="006D51B3">
        <w:rPr>
          <w:rFonts w:ascii="Arial" w:hAnsi="Arial" w:cs="Arial"/>
        </w:rPr>
        <w:t> </w:t>
      </w:r>
      <w:r w:rsidRPr="006D51B3">
        <w:t>funding for the first time for courses and modules starting from January 2027 onwards.  </w:t>
      </w:r>
    </w:p>
    <w:p w14:paraId="25E73C38" w14:textId="77777777" w:rsidR="006D51B3" w:rsidRPr="006D51B3" w:rsidRDefault="006D51B3" w:rsidP="006D51B3">
      <w:r w:rsidRPr="006D51B3">
        <w:rPr>
          <w:rFonts w:ascii="Arial" w:hAnsi="Arial" w:cs="Arial"/>
        </w:rPr>
        <w:t>​</w:t>
      </w:r>
      <w:r w:rsidRPr="006D51B3">
        <w:t>From its launch, the</w:t>
      </w:r>
      <w:r w:rsidRPr="006D51B3">
        <w:rPr>
          <w:rFonts w:ascii="Arial" w:hAnsi="Arial" w:cs="Arial"/>
        </w:rPr>
        <w:t> </w:t>
      </w:r>
      <w:r w:rsidRPr="006D51B3">
        <w:t>LLE</w:t>
      </w:r>
      <w:r w:rsidRPr="006D51B3">
        <w:rPr>
          <w:rFonts w:ascii="Arial" w:hAnsi="Arial" w:cs="Arial"/>
        </w:rPr>
        <w:t> </w:t>
      </w:r>
      <w:r w:rsidRPr="006D51B3">
        <w:t>loan will be available for: </w:t>
      </w:r>
    </w:p>
    <w:p w14:paraId="32FDF85A" w14:textId="77777777" w:rsidR="006D51B3" w:rsidRPr="006D51B3" w:rsidRDefault="006D51B3" w:rsidP="006D51B3">
      <w:pPr>
        <w:numPr>
          <w:ilvl w:val="0"/>
          <w:numId w:val="4"/>
        </w:numPr>
      </w:pPr>
      <w:r w:rsidRPr="006D51B3">
        <w:rPr>
          <w:rFonts w:ascii="Arial" w:hAnsi="Arial" w:cs="Arial"/>
        </w:rPr>
        <w:t>​</w:t>
      </w:r>
      <w:r w:rsidRPr="006D51B3">
        <w:t>full courses at</w:t>
      </w:r>
      <w:r w:rsidRPr="006D51B3">
        <w:rPr>
          <w:rFonts w:ascii="Arial" w:hAnsi="Arial" w:cs="Arial"/>
        </w:rPr>
        <w:t> </w:t>
      </w:r>
      <w:hyperlink r:id="rId8" w:tgtFrame="_blank" w:history="1">
        <w:r w:rsidRPr="006D51B3">
          <w:rPr>
            <w:rStyle w:val="Hyperlink"/>
          </w:rPr>
          <w:t>level 4 to 6</w:t>
        </w:r>
      </w:hyperlink>
      <w:r w:rsidRPr="006D51B3">
        <w:t>, such as degrees, technical qualifications, and designated distance-learning and online courses </w:t>
      </w:r>
    </w:p>
    <w:p w14:paraId="542D5D86" w14:textId="77777777" w:rsidR="006D51B3" w:rsidRPr="006D51B3" w:rsidRDefault="006D51B3" w:rsidP="006D51B3">
      <w:pPr>
        <w:numPr>
          <w:ilvl w:val="0"/>
          <w:numId w:val="9"/>
        </w:numPr>
      </w:pPr>
      <w:r w:rsidRPr="006D51B3">
        <w:rPr>
          <w:rFonts w:ascii="Arial" w:hAnsi="Arial" w:cs="Arial"/>
        </w:rPr>
        <w:t>​</w:t>
      </w:r>
      <w:r w:rsidRPr="006D51B3">
        <w:t>modules of high-value technical courses (HTQs) at level 4 to 5 </w:t>
      </w:r>
    </w:p>
    <w:p w14:paraId="6B69CCCC" w14:textId="77777777" w:rsidR="006D51B3" w:rsidRPr="006D51B3" w:rsidRDefault="006D51B3" w:rsidP="006D51B3">
      <w:pPr>
        <w:numPr>
          <w:ilvl w:val="0"/>
          <w:numId w:val="7"/>
        </w:numPr>
      </w:pPr>
      <w:r w:rsidRPr="006D51B3">
        <w:rPr>
          <w:rFonts w:ascii="Arial" w:hAnsi="Arial" w:cs="Arial"/>
        </w:rPr>
        <w:t>​</w:t>
      </w:r>
      <w:r w:rsidRPr="006D51B3">
        <w:t>modules from full level 6 qualifications – for example, degrees – that align to: </w:t>
      </w:r>
    </w:p>
    <w:p w14:paraId="54E29642" w14:textId="77777777" w:rsidR="006D51B3" w:rsidRPr="006D51B3" w:rsidRDefault="006D51B3" w:rsidP="006D51B3">
      <w:pPr>
        <w:numPr>
          <w:ilvl w:val="0"/>
          <w:numId w:val="8"/>
        </w:numPr>
      </w:pPr>
      <w:r w:rsidRPr="006D51B3">
        <w:rPr>
          <w:rFonts w:ascii="Arial" w:hAnsi="Arial" w:cs="Arial"/>
        </w:rPr>
        <w:t>​</w:t>
      </w:r>
      <w:r w:rsidRPr="006D51B3">
        <w:t>priority skills needs </w:t>
      </w:r>
    </w:p>
    <w:p w14:paraId="13AB4E67" w14:textId="77777777" w:rsidR="006D51B3" w:rsidRPr="006D51B3" w:rsidRDefault="006D51B3" w:rsidP="006D51B3">
      <w:pPr>
        <w:numPr>
          <w:ilvl w:val="0"/>
          <w:numId w:val="5"/>
        </w:numPr>
      </w:pPr>
      <w:r w:rsidRPr="006D51B3">
        <w:rPr>
          <w:rFonts w:ascii="Arial" w:hAnsi="Arial" w:cs="Arial"/>
        </w:rPr>
        <w:t>​</w:t>
      </w:r>
      <w:r w:rsidRPr="006D51B3">
        <w:t>the government’s industrial strategy </w:t>
      </w:r>
    </w:p>
    <w:p w14:paraId="2DEB7287" w14:textId="77777777" w:rsidR="006D51B3" w:rsidRPr="006D51B3" w:rsidRDefault="006D51B3" w:rsidP="006D51B3">
      <w:r w:rsidRPr="006D51B3">
        <w:rPr>
          <w:rFonts w:ascii="Arial" w:hAnsi="Arial" w:cs="Arial"/>
        </w:rPr>
        <w:t>​</w:t>
      </w:r>
      <w:r w:rsidRPr="006D51B3">
        <w:t>Under the</w:t>
      </w:r>
      <w:r w:rsidRPr="006D51B3">
        <w:rPr>
          <w:rFonts w:ascii="Arial" w:hAnsi="Arial" w:cs="Arial"/>
        </w:rPr>
        <w:t> </w:t>
      </w:r>
      <w:r w:rsidRPr="006D51B3">
        <w:t>LLE, eligible learners will be able to access: </w:t>
      </w:r>
    </w:p>
    <w:p w14:paraId="3C9565DB" w14:textId="77777777" w:rsidR="006D51B3" w:rsidRPr="006D51B3" w:rsidRDefault="006D51B3" w:rsidP="006D51B3">
      <w:pPr>
        <w:numPr>
          <w:ilvl w:val="0"/>
          <w:numId w:val="3"/>
        </w:numPr>
      </w:pPr>
      <w:r w:rsidRPr="006D51B3">
        <w:rPr>
          <w:rFonts w:ascii="Arial" w:hAnsi="Arial" w:cs="Arial"/>
        </w:rPr>
        <w:t>​</w:t>
      </w:r>
      <w:r w:rsidRPr="006D51B3">
        <w:t>a tuition fee loan, with new learners able to access up to the full entitlement of £38,140 – equal to 4 years of study based on academic year 2025 to 2026 fee rates </w:t>
      </w:r>
    </w:p>
    <w:p w14:paraId="4A7160F8" w14:textId="77777777" w:rsidR="006D51B3" w:rsidRPr="006D51B3" w:rsidRDefault="006D51B3" w:rsidP="006D51B3">
      <w:pPr>
        <w:numPr>
          <w:ilvl w:val="0"/>
          <w:numId w:val="2"/>
        </w:numPr>
      </w:pPr>
      <w:r w:rsidRPr="006D51B3">
        <w:rPr>
          <w:rFonts w:ascii="Arial" w:hAnsi="Arial" w:cs="Arial"/>
        </w:rPr>
        <w:t>​</w:t>
      </w:r>
      <w:r w:rsidRPr="006D51B3">
        <w:t>a maintenance loan to cover living costs, for courses with in-person attendance </w:t>
      </w:r>
    </w:p>
    <w:p w14:paraId="7AA1DED6" w14:textId="77777777" w:rsidR="006D51B3" w:rsidRPr="006D51B3" w:rsidRDefault="006D51B3" w:rsidP="006D51B3">
      <w:r w:rsidRPr="006D51B3">
        <w:rPr>
          <w:rFonts w:ascii="Arial" w:hAnsi="Arial" w:cs="Arial"/>
        </w:rPr>
        <w:t>​</w:t>
      </w:r>
      <w:r w:rsidRPr="006D51B3">
        <w:t>Financial help will also be available for: </w:t>
      </w:r>
    </w:p>
    <w:p w14:paraId="2EEEA24B" w14:textId="77777777" w:rsidR="006D51B3" w:rsidRPr="006D51B3" w:rsidRDefault="006D51B3" w:rsidP="006D51B3">
      <w:pPr>
        <w:numPr>
          <w:ilvl w:val="0"/>
          <w:numId w:val="1"/>
        </w:numPr>
      </w:pPr>
      <w:r w:rsidRPr="006D51B3">
        <w:rPr>
          <w:rFonts w:ascii="Arial" w:hAnsi="Arial" w:cs="Arial"/>
        </w:rPr>
        <w:t>​</w:t>
      </w:r>
      <w:r w:rsidRPr="006D51B3">
        <w:t>learners with disabilities </w:t>
      </w:r>
    </w:p>
    <w:p w14:paraId="13D4D61D" w14:textId="77777777" w:rsidR="006D51B3" w:rsidRPr="006D51B3" w:rsidRDefault="006D51B3" w:rsidP="006D51B3">
      <w:pPr>
        <w:numPr>
          <w:ilvl w:val="0"/>
          <w:numId w:val="6"/>
        </w:numPr>
      </w:pPr>
      <w:r w:rsidRPr="006D51B3">
        <w:rPr>
          <w:rFonts w:ascii="Arial" w:hAnsi="Arial" w:cs="Arial"/>
        </w:rPr>
        <w:t>​</w:t>
      </w:r>
      <w:r w:rsidRPr="006D51B3">
        <w:t>support with childcare </w:t>
      </w:r>
    </w:p>
    <w:p w14:paraId="6726D938" w14:textId="77777777" w:rsidR="006D51B3" w:rsidRPr="006D51B3" w:rsidRDefault="006D51B3" w:rsidP="006D51B3">
      <w:r w:rsidRPr="006D51B3">
        <w:rPr>
          <w:rFonts w:ascii="Arial" w:hAnsi="Arial" w:cs="Arial"/>
        </w:rPr>
        <w:t>​</w:t>
      </w:r>
      <w:r w:rsidRPr="006D51B3">
        <w:t>An additional entitlement will be available for priority subjects or longer courses, such as medicine degrees. </w:t>
      </w:r>
    </w:p>
    <w:p w14:paraId="58682C82" w14:textId="683152CF" w:rsidR="006D51B3" w:rsidRPr="006D51B3" w:rsidRDefault="006D51B3" w:rsidP="006D51B3">
      <w:r w:rsidRPr="006D51B3">
        <w:rPr>
          <w:rFonts w:ascii="Arial" w:hAnsi="Arial" w:cs="Arial"/>
        </w:rPr>
        <w:t>​</w:t>
      </w:r>
      <w:r w:rsidRPr="006D51B3">
        <w:t xml:space="preserve">Learners will be able to see their loan balance through their </w:t>
      </w:r>
      <w:r>
        <w:t>own</w:t>
      </w:r>
      <w:r w:rsidRPr="7C6859AA">
        <w:rPr>
          <w:rFonts w:ascii="Arial" w:hAnsi="Arial" w:cs="Arial"/>
        </w:rPr>
        <w:t> </w:t>
      </w:r>
      <w:r>
        <w:t>LLE</w:t>
      </w:r>
      <w:r w:rsidRPr="7C6859AA">
        <w:rPr>
          <w:rFonts w:ascii="Arial" w:hAnsi="Arial" w:cs="Arial"/>
        </w:rPr>
        <w:t> </w:t>
      </w:r>
      <w:r>
        <w:t>personal</w:t>
      </w:r>
      <w:r w:rsidRPr="006D51B3">
        <w:t xml:space="preserve"> account hosted by the Student Loans Company (SLC).</w:t>
      </w:r>
      <w:r w:rsidRPr="006D51B3">
        <w:rPr>
          <w:rFonts w:ascii="Arial" w:hAnsi="Arial" w:cs="Arial"/>
        </w:rPr>
        <w:t>​</w:t>
      </w:r>
      <w:r w:rsidRPr="006D51B3">
        <w:t> </w:t>
      </w:r>
    </w:p>
    <w:p w14:paraId="0FC119F5" w14:textId="667EEF1A" w:rsidR="22079991" w:rsidRDefault="22079991">
      <w:pPr>
        <w:rPr>
          <w:b/>
          <w:bCs/>
        </w:rPr>
      </w:pPr>
      <w:r w:rsidRPr="4B35FE7A">
        <w:rPr>
          <w:b/>
          <w:bCs/>
        </w:rPr>
        <w:t>LLE evaluation</w:t>
      </w:r>
    </w:p>
    <w:p w14:paraId="030557CF" w14:textId="0FFF0231" w:rsidR="0034726F" w:rsidRPr="0034726F" w:rsidRDefault="0034726F" w:rsidP="0034726F">
      <w:r>
        <w:t>The aim of the Lifelong Learning Entitlement (LLE) evaluation is</w:t>
      </w:r>
      <w:r w:rsidRPr="0034726F">
        <w:t xml:space="preserve"> to assess how well LLE has met its objectives; it will provide analysis and commentary on the success and effectiveness of the LLE and determine whether the intervention was well-targeted, cost-effective, whether desired outcomes have been achieved, and examine any unintended consequences. </w:t>
      </w:r>
      <w:r>
        <w:t xml:space="preserve">Data and evidence will also inform the benefits management case and the post-implementation review in academic year </w:t>
      </w:r>
      <w:r w:rsidR="3C073CC2">
        <w:t>(AY)</w:t>
      </w:r>
      <w:r>
        <w:t xml:space="preserve"> 31/32.</w:t>
      </w:r>
    </w:p>
    <w:p w14:paraId="7F06583E" w14:textId="1C9ABFC8" w:rsidR="0034726F" w:rsidRDefault="0034726F" w:rsidP="0034726F">
      <w:r w:rsidRPr="0034726F">
        <w:lastRenderedPageBreak/>
        <w:t>The evaluation will feature impact, process, and value for money (VfM) approaches. For the first 6 years (academic year (AY) 26/27- 31/32) the evaluation will conduct a process and theory-based impact evaluation, before carrying out VfM analysis in AY 36/37. In AY 31/32 a</w:t>
      </w:r>
      <w:r w:rsidR="00E66055">
        <w:t xml:space="preserve"> </w:t>
      </w:r>
      <w:r w:rsidR="00AE03F6">
        <w:t>separate</w:t>
      </w:r>
      <w:r w:rsidRPr="0034726F">
        <w:t xml:space="preserve"> feasibility study will be </w:t>
      </w:r>
      <w:r>
        <w:t>commissioned</w:t>
      </w:r>
      <w:r w:rsidRPr="0034726F">
        <w:t xml:space="preserve"> to assess the possibility of quasi-experimental (QE) methods to measure the impact of LLE on learners, which, if possible, would be conducted in AY 36/37.  </w:t>
      </w:r>
    </w:p>
    <w:p w14:paraId="47E31FC0" w14:textId="77777777" w:rsidR="00DB6045" w:rsidRDefault="0034726F" w:rsidP="0034726F">
      <w:r w:rsidRPr="0034726F">
        <w:rPr>
          <w:b/>
          <w:bCs/>
        </w:rPr>
        <w:t xml:space="preserve">Initially, the DfE would like to let a contract for </w:t>
      </w:r>
      <w:r>
        <w:rPr>
          <w:b/>
          <w:bCs/>
        </w:rPr>
        <w:t>a</w:t>
      </w:r>
      <w:r w:rsidRPr="0034726F">
        <w:rPr>
          <w:b/>
          <w:bCs/>
        </w:rPr>
        <w:t xml:space="preserve"> theory-based impact evaluation </w:t>
      </w:r>
      <w:r w:rsidR="00F817F0">
        <w:rPr>
          <w:b/>
          <w:bCs/>
        </w:rPr>
        <w:t xml:space="preserve">(TBIE) </w:t>
      </w:r>
      <w:r w:rsidRPr="0034726F">
        <w:rPr>
          <w:b/>
          <w:bCs/>
        </w:rPr>
        <w:t>and process evaluation</w:t>
      </w:r>
      <w:r>
        <w:rPr>
          <w:b/>
          <w:bCs/>
        </w:rPr>
        <w:t xml:space="preserve"> of the LLE</w:t>
      </w:r>
      <w:r w:rsidRPr="0034726F">
        <w:rPr>
          <w:b/>
          <w:bCs/>
        </w:rPr>
        <w:t xml:space="preserve">.  </w:t>
      </w:r>
      <w:r w:rsidRPr="0034726F">
        <w:t xml:space="preserve">The process evaluation will give insight on the implementation of LLE, the successes and challenges of delivery and lessons learnt from the perspective of </w:t>
      </w:r>
      <w:r>
        <w:t xml:space="preserve">learners, </w:t>
      </w:r>
      <w:r w:rsidRPr="0034726F">
        <w:t xml:space="preserve">providers, the Student Loans Company (SLC), the Office for Students (OfS) and DfE colleagues. A mixed methods approach drawing on </w:t>
      </w:r>
      <w:r>
        <w:t xml:space="preserve">DfE administrative datasets and primary research </w:t>
      </w:r>
      <w:r w:rsidRPr="0034726F">
        <w:t>will enable</w:t>
      </w:r>
      <w:r w:rsidR="00F817F0">
        <w:t xml:space="preserve"> this</w:t>
      </w:r>
      <w:r w:rsidRPr="0034726F">
        <w:t>. </w:t>
      </w:r>
    </w:p>
    <w:p w14:paraId="2BD62855" w14:textId="73938921" w:rsidR="0034726F" w:rsidRDefault="003E030D" w:rsidP="0034726F">
      <w:r>
        <w:t>Similarly</w:t>
      </w:r>
      <w:r w:rsidR="006D51B3">
        <w:t xml:space="preserve">, </w:t>
      </w:r>
      <w:r w:rsidR="00F817F0">
        <w:t xml:space="preserve">the </w:t>
      </w:r>
      <w:r w:rsidR="0034726F">
        <w:t>TB</w:t>
      </w:r>
      <w:r w:rsidR="00F817F0">
        <w:t>I</w:t>
      </w:r>
      <w:r w:rsidR="0034726F">
        <w:t xml:space="preserve">E </w:t>
      </w:r>
      <w:r>
        <w:t xml:space="preserve">will </w:t>
      </w:r>
      <w:r w:rsidR="00DB6045">
        <w:t>use</w:t>
      </w:r>
      <w:r>
        <w:t xml:space="preserve"> mixed methods and DfE administrative datasets and primary research to </w:t>
      </w:r>
      <w:r w:rsidR="00DB6045">
        <w:t xml:space="preserve">test both causal claims within the theory of change (ToC) and the alternative theories generated. </w:t>
      </w:r>
      <w:r w:rsidR="006D51B3">
        <w:t>This will enable an assessment of the contribution that LLE has made to measured outcomes</w:t>
      </w:r>
      <w:r w:rsidR="0030121C">
        <w:t xml:space="preserve">. </w:t>
      </w:r>
    </w:p>
    <w:p w14:paraId="7631125A" w14:textId="61C25E03" w:rsidR="00340BD1" w:rsidRPr="001D444A" w:rsidRDefault="00417973" w:rsidP="001D444A">
      <w:pPr>
        <w:rPr>
          <w:b/>
          <w:bCs/>
        </w:rPr>
      </w:pPr>
      <w:r w:rsidRPr="00417973">
        <w:rPr>
          <w:b/>
          <w:bCs/>
        </w:rPr>
        <w:t>Market Engagement Event</w:t>
      </w:r>
    </w:p>
    <w:p w14:paraId="4F74D522" w14:textId="04874833" w:rsidR="00417973" w:rsidRPr="00417973" w:rsidRDefault="00EF0865" w:rsidP="0034726F">
      <w:r w:rsidRPr="00EF0865">
        <w:t>We will be holding a virtual market engagement event on Monday 2</w:t>
      </w:r>
      <w:r>
        <w:t>4</w:t>
      </w:r>
      <w:r w:rsidRPr="00EF0865">
        <w:t xml:space="preserve">th </w:t>
      </w:r>
      <w:r>
        <w:t>Nov</w:t>
      </w:r>
      <w:r w:rsidR="00F97D4F">
        <w:t>em</w:t>
      </w:r>
      <w:r w:rsidRPr="00EF0865">
        <w:t>ber 2025 (</w:t>
      </w:r>
      <w:r w:rsidR="00F97D4F">
        <w:t>11am</w:t>
      </w:r>
      <w:r w:rsidRPr="00EF0865">
        <w:t>-</w:t>
      </w:r>
      <w:r w:rsidR="00F97D4F">
        <w:t>12 noon</w:t>
      </w:r>
      <w:r w:rsidRPr="00EF0865">
        <w:t>) to provide more information about the contract and answer questions about the survey.</w:t>
      </w:r>
      <w:r w:rsidRPr="00EF0865">
        <w:br/>
      </w:r>
      <w:r w:rsidRPr="00EF0865">
        <w:br/>
        <w:t>If you would like to attend please forward your email address to </w:t>
      </w:r>
      <w:hyperlink r:id="rId9" w:history="1">
        <w:r w:rsidR="00CF0C61" w:rsidRPr="00213B40">
          <w:rPr>
            <w:rStyle w:val="Hyperlink"/>
            <w:rFonts w:eastAsia="Times New Roman"/>
          </w:rPr>
          <w:t>Sarah.HORSELL@education.gov.uk</w:t>
        </w:r>
      </w:hyperlink>
      <w:r w:rsidR="00CF0C61">
        <w:t xml:space="preserve"> </w:t>
      </w:r>
      <w:r w:rsidRPr="00EF0865">
        <w:t> and you will be sent a meeting invitation.</w:t>
      </w:r>
    </w:p>
    <w:p w14:paraId="7A5E5C38" w14:textId="77777777" w:rsidR="00096055" w:rsidRPr="0034726F" w:rsidRDefault="00096055">
      <w:pPr>
        <w:rPr>
          <w:b/>
          <w:bCs/>
        </w:rPr>
      </w:pPr>
    </w:p>
    <w:sectPr w:rsidR="00096055" w:rsidRPr="003472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A05"/>
    <w:multiLevelType w:val="multilevel"/>
    <w:tmpl w:val="2380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2319B9"/>
    <w:multiLevelType w:val="multilevel"/>
    <w:tmpl w:val="1706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E96721"/>
    <w:multiLevelType w:val="multilevel"/>
    <w:tmpl w:val="503A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6901A5"/>
    <w:multiLevelType w:val="multilevel"/>
    <w:tmpl w:val="A2D8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CB2D52"/>
    <w:multiLevelType w:val="hybridMultilevel"/>
    <w:tmpl w:val="E5A44E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07733"/>
    <w:multiLevelType w:val="multilevel"/>
    <w:tmpl w:val="8350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CE60E1"/>
    <w:multiLevelType w:val="multilevel"/>
    <w:tmpl w:val="A964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8719CF"/>
    <w:multiLevelType w:val="multilevel"/>
    <w:tmpl w:val="8CF0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662B3B"/>
    <w:multiLevelType w:val="multilevel"/>
    <w:tmpl w:val="842E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9842B0B"/>
    <w:multiLevelType w:val="multilevel"/>
    <w:tmpl w:val="EADA5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5861139">
    <w:abstractNumId w:val="7"/>
  </w:num>
  <w:num w:numId="2" w16cid:durableId="179706716">
    <w:abstractNumId w:val="9"/>
  </w:num>
  <w:num w:numId="3" w16cid:durableId="1905722520">
    <w:abstractNumId w:val="2"/>
  </w:num>
  <w:num w:numId="4" w16cid:durableId="1907907959">
    <w:abstractNumId w:val="1"/>
  </w:num>
  <w:num w:numId="5" w16cid:durableId="2135437201">
    <w:abstractNumId w:val="3"/>
  </w:num>
  <w:num w:numId="6" w16cid:durableId="220483581">
    <w:abstractNumId w:val="6"/>
  </w:num>
  <w:num w:numId="7" w16cid:durableId="430324887">
    <w:abstractNumId w:val="0"/>
  </w:num>
  <w:num w:numId="8" w16cid:durableId="515341257">
    <w:abstractNumId w:val="5"/>
  </w:num>
  <w:num w:numId="9" w16cid:durableId="831992251">
    <w:abstractNumId w:val="8"/>
  </w:num>
  <w:num w:numId="10" w16cid:durableId="12909399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6F"/>
    <w:rsid w:val="00096055"/>
    <w:rsid w:val="001B61CC"/>
    <w:rsid w:val="001D444A"/>
    <w:rsid w:val="00216EF7"/>
    <w:rsid w:val="002A674F"/>
    <w:rsid w:val="0030121C"/>
    <w:rsid w:val="00332B2E"/>
    <w:rsid w:val="00340BD1"/>
    <w:rsid w:val="0034726F"/>
    <w:rsid w:val="003E030D"/>
    <w:rsid w:val="003E5823"/>
    <w:rsid w:val="00417973"/>
    <w:rsid w:val="00470575"/>
    <w:rsid w:val="004F5FA0"/>
    <w:rsid w:val="00554BFA"/>
    <w:rsid w:val="005D6B00"/>
    <w:rsid w:val="00682FD7"/>
    <w:rsid w:val="006D3C18"/>
    <w:rsid w:val="006D51B3"/>
    <w:rsid w:val="006E3014"/>
    <w:rsid w:val="007663F0"/>
    <w:rsid w:val="008F7BBA"/>
    <w:rsid w:val="00902A95"/>
    <w:rsid w:val="00911338"/>
    <w:rsid w:val="00A13741"/>
    <w:rsid w:val="00AE03F6"/>
    <w:rsid w:val="00B125DB"/>
    <w:rsid w:val="00BA3441"/>
    <w:rsid w:val="00C14A04"/>
    <w:rsid w:val="00C17CEE"/>
    <w:rsid w:val="00CE6CAB"/>
    <w:rsid w:val="00CF0C61"/>
    <w:rsid w:val="00DB6045"/>
    <w:rsid w:val="00E66055"/>
    <w:rsid w:val="00EC4D5F"/>
    <w:rsid w:val="00EC67D3"/>
    <w:rsid w:val="00EF0865"/>
    <w:rsid w:val="00EF521C"/>
    <w:rsid w:val="00F817F0"/>
    <w:rsid w:val="00F97D4F"/>
    <w:rsid w:val="1BB7515A"/>
    <w:rsid w:val="22079991"/>
    <w:rsid w:val="258531B2"/>
    <w:rsid w:val="2BB0EE09"/>
    <w:rsid w:val="36D47C3A"/>
    <w:rsid w:val="3C073CC2"/>
    <w:rsid w:val="40ABF2F9"/>
    <w:rsid w:val="43E99F65"/>
    <w:rsid w:val="4B35FE7A"/>
    <w:rsid w:val="52BDF1BE"/>
    <w:rsid w:val="689FE75F"/>
    <w:rsid w:val="69D10C47"/>
    <w:rsid w:val="7C6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A5F69"/>
  <w15:chartTrackingRefBased/>
  <w15:docId w15:val="{7DBB223A-A2E6-4DFF-98E6-89235511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2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2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2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2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2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2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2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2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2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2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2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72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26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F52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what-different-qualification-levels-mean/list-of-qualification-level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arah.HORSELL@educatio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6321-f672-4e06-a901-b5e72b4c4357" xsi:nil="true"/>
    <lcf76f155ced4ddcb4097134ff3c332f xmlns="56b56f8f-9100-44a4-bb0e-0a2511398cb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560DA4F5E6A42A72AB615E7C144D7" ma:contentTypeVersion="17" ma:contentTypeDescription="Create a new document." ma:contentTypeScope="" ma:versionID="4f1104aeb1ccfe8d3e1126b8d711f787">
  <xsd:schema xmlns:xsd="http://www.w3.org/2001/XMLSchema" xmlns:xs="http://www.w3.org/2001/XMLSchema" xmlns:p="http://schemas.microsoft.com/office/2006/metadata/properties" xmlns:ns2="56b56f8f-9100-44a4-bb0e-0a2511398cbf" xmlns:ns3="8072b1b5-328d-4c76-bf09-285ae7ee85bc" xmlns:ns4="8c566321-f672-4e06-a901-b5e72b4c4357" targetNamespace="http://schemas.microsoft.com/office/2006/metadata/properties" ma:root="true" ma:fieldsID="b0c211eef9caad793a7b50e2b1e11273" ns2:_="" ns3:_="" ns4:_="">
    <xsd:import namespace="56b56f8f-9100-44a4-bb0e-0a2511398cbf"/>
    <xsd:import namespace="8072b1b5-328d-4c76-bf09-285ae7ee85bc"/>
    <xsd:import namespace="8c566321-f672-4e06-a901-b5e72b4c43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56f8f-9100-44a4-bb0e-0a2511398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2b1b5-328d-4c76-bf09-285ae7ee8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b1d503a-5b28-43cf-bfd3-ba7edb9f707f}" ma:internalName="TaxCatchAll" ma:showField="CatchAllData" ma:web="8072b1b5-328d-4c76-bf09-285ae7ee8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DC5672-9158-47C5-BA97-64E810CE7300}">
  <ds:schemaRefs>
    <ds:schemaRef ds:uri="http://schemas.microsoft.com/office/2006/metadata/properties"/>
    <ds:schemaRef ds:uri="http://schemas.microsoft.com/office/infopath/2007/PartnerControls"/>
    <ds:schemaRef ds:uri="8c566321-f672-4e06-a901-b5e72b4c4357"/>
    <ds:schemaRef ds:uri="56b56f8f-9100-44a4-bb0e-0a2511398cbf"/>
  </ds:schemaRefs>
</ds:datastoreItem>
</file>

<file path=customXml/itemProps2.xml><?xml version="1.0" encoding="utf-8"?>
<ds:datastoreItem xmlns:ds="http://schemas.openxmlformats.org/officeDocument/2006/customXml" ds:itemID="{FB7FE3F9-A002-450D-A792-3228B4684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56f8f-9100-44a4-bb0e-0a2511398cbf"/>
    <ds:schemaRef ds:uri="8072b1b5-328d-4c76-bf09-285ae7ee85bc"/>
    <ds:schemaRef ds:uri="8c566321-f672-4e06-a901-b5e72b4c4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160371-C2CE-4285-A1E7-ADF6A8EACA7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ad277c9-c60a-4da1-b5f3-b3b8b34a82f9}" enabled="0" method="" siteId="{fad277c9-c60a-4da1-b5f3-b3b8b34a82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HORSELL, Sarah</dc:creator>
  <cp:keywords/>
  <dc:description/>
  <cp:lastModifiedBy>HARRISON, Alan</cp:lastModifiedBy>
  <cp:revision>11</cp:revision>
  <dcterms:created xsi:type="dcterms:W3CDTF">2025-10-23T07:23:00Z</dcterms:created>
  <dcterms:modified xsi:type="dcterms:W3CDTF">2025-10-23T07:39:00Z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0x010100639560DA4F5E6A42A72AB615E7C144D7</vt:lpwstr>
  </property>
  <property fmtid="{D5CDD505-2E9C-101B-9397-08002B2CF9AE}" pid="3" name="MediaServiceImageTags">
    <vt:lpwstr/>
  </property>
</Properties>
</file>