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1ADF" w:rsidR="00350FA0" w:rsidP="00CF015B" w:rsidRDefault="007D1ADF" w14:paraId="434DD204" w14:textId="3DEA6921">
      <w:pPr>
        <w:pStyle w:val="Heading1"/>
        <w:spacing w:before="60" w:after="60"/>
        <w:rPr>
          <w:b/>
          <w:bCs/>
        </w:rPr>
      </w:pPr>
      <w:r w:rsidRPr="007D1ADF">
        <w:rPr>
          <w:b/>
          <w:bCs/>
        </w:rPr>
        <w:t>Personal authorisations and your powers of entry</w:t>
      </w:r>
    </w:p>
    <w:p w:rsidRPr="007D1ADF" w:rsidR="007D1ADF" w:rsidP="00CF015B" w:rsidRDefault="007D1ADF" w14:paraId="64CFDC38" w14:textId="053DB11B">
      <w:pPr>
        <w:pStyle w:val="Heading2"/>
        <w:spacing w:before="60" w:after="60"/>
        <w:rPr>
          <w:rStyle w:val="IntenseReference"/>
        </w:rPr>
      </w:pPr>
      <w:r w:rsidRPr="007D1ADF">
        <w:rPr>
          <w:rStyle w:val="IntenseReference"/>
        </w:rPr>
        <w:t>Storyboard</w:t>
      </w:r>
    </w:p>
    <w:p w:rsidR="007D1ADF" w:rsidP="00CF015B" w:rsidRDefault="007D1ADF" w14:paraId="0F5BF722" w14:textId="33288300">
      <w:pPr>
        <w:spacing w:before="60" w:after="60"/>
      </w:pPr>
    </w:p>
    <w:p w:rsidR="33D0003C" w:rsidP="3B19250A" w:rsidRDefault="33D0003C" w14:paraId="4501DADF" w14:textId="41B79702">
      <w:pPr>
        <w:pStyle w:val="Normal"/>
        <w:spacing w:before="60" w:after="60"/>
        <w:rPr>
          <w:b w:val="1"/>
          <w:bCs w:val="1"/>
        </w:rPr>
      </w:pPr>
      <w:r w:rsidRPr="3B19250A" w:rsidR="33D0003C">
        <w:rPr>
          <w:b w:val="1"/>
          <w:bCs w:val="1"/>
        </w:rPr>
        <w:t>Note</w:t>
      </w:r>
      <w:r w:rsidRPr="3B19250A" w:rsidR="0D99D104">
        <w:rPr>
          <w:b w:val="1"/>
          <w:bCs w:val="1"/>
        </w:rPr>
        <w:t>s</w:t>
      </w:r>
      <w:r w:rsidRPr="3B19250A" w:rsidR="33D0003C">
        <w:rPr>
          <w:b w:val="1"/>
          <w:bCs w:val="1"/>
        </w:rPr>
        <w:t xml:space="preserve"> on </w:t>
      </w:r>
      <w:r w:rsidRPr="3B19250A" w:rsidR="2EF4FD79">
        <w:rPr>
          <w:b w:val="1"/>
          <w:bCs w:val="1"/>
        </w:rPr>
        <w:t>branching and assessments</w:t>
      </w:r>
    </w:p>
    <w:p w:rsidR="33D0003C" w:rsidP="3B19250A" w:rsidRDefault="33D0003C" w14:paraId="630C3D95" w14:textId="1B1729FF">
      <w:pPr>
        <w:pStyle w:val="Normal"/>
        <w:spacing w:before="60" w:after="60"/>
      </w:pPr>
      <w:r w:rsidR="33D0003C">
        <w:rPr/>
        <w:t xml:space="preserve">Within the various branches many of the slides will be </w:t>
      </w:r>
      <w:r w:rsidR="33D0003C">
        <w:rPr/>
        <w:t>very similar</w:t>
      </w:r>
      <w:r w:rsidR="33D0003C">
        <w:rPr/>
        <w:t>, with just minor changes to text to reflect different legislation and powers</w:t>
      </w:r>
      <w:r w:rsidR="60B84F2F">
        <w:rPr/>
        <w:t>.</w:t>
      </w:r>
    </w:p>
    <w:p w:rsidR="60B84F2F" w:rsidP="3B19250A" w:rsidRDefault="60B84F2F" w14:paraId="2A274470" w14:textId="26F1F472">
      <w:pPr>
        <w:pStyle w:val="Normal"/>
        <w:spacing w:before="60" w:after="60"/>
      </w:pPr>
      <w:r w:rsidR="60B84F2F">
        <w:rPr/>
        <w:t xml:space="preserve">There will be branching questions to: </w:t>
      </w:r>
    </w:p>
    <w:p w:rsidR="60B84F2F" w:rsidP="3B19250A" w:rsidRDefault="60B84F2F" w14:paraId="552BB303" w14:textId="0B2B0AF4">
      <w:pPr>
        <w:pStyle w:val="ListParagraph"/>
        <w:numPr>
          <w:ilvl w:val="0"/>
          <w:numId w:val="4"/>
        </w:numPr>
        <w:spacing w:before="60" w:after="60"/>
        <w:rPr/>
      </w:pPr>
      <w:r w:rsidR="60B84F2F">
        <w:rPr/>
        <w:t>Allow learners to select the specific powers they will use</w:t>
      </w:r>
      <w:r w:rsidR="64ECE218">
        <w:rPr/>
        <w:t xml:space="preserve"> (including a separate branch for fisheries enforcement officers)</w:t>
      </w:r>
    </w:p>
    <w:p w:rsidR="60B84F2F" w:rsidP="3B19250A" w:rsidRDefault="60B84F2F" w14:paraId="19F2C45C" w14:textId="7697A854">
      <w:pPr>
        <w:pStyle w:val="ListParagraph"/>
        <w:numPr>
          <w:ilvl w:val="0"/>
          <w:numId w:val="4"/>
        </w:numPr>
        <w:spacing w:before="60" w:after="60"/>
        <w:rPr/>
      </w:pPr>
      <w:r w:rsidR="60B84F2F">
        <w:rPr/>
        <w:t xml:space="preserve">allow knowledgeable learners to skip to the assessments </w:t>
      </w:r>
    </w:p>
    <w:p w:rsidR="60B84F2F" w:rsidP="3B19250A" w:rsidRDefault="60B84F2F" w14:paraId="09384051" w14:textId="6558E1DF">
      <w:pPr>
        <w:pStyle w:val="ListParagraph"/>
        <w:numPr>
          <w:ilvl w:val="0"/>
          <w:numId w:val="4"/>
        </w:numPr>
        <w:spacing w:before="60" w:after="60"/>
        <w:rPr/>
      </w:pPr>
      <w:r w:rsidR="60B84F2F">
        <w:rPr/>
        <w:t xml:space="preserve">Allow learners </w:t>
      </w:r>
      <w:r w:rsidR="074F7137">
        <w:rPr/>
        <w:t xml:space="preserve">who have taken on new responsibilities </w:t>
      </w:r>
      <w:r w:rsidR="60B84F2F">
        <w:rPr/>
        <w:t>to skip straight past assessment 1 if they have completed it within the past 12 months and select one or more new powers of entry</w:t>
      </w:r>
      <w:r w:rsidR="72EADE75">
        <w:rPr/>
        <w:t>.</w:t>
      </w:r>
    </w:p>
    <w:p w:rsidR="33D0003C" w:rsidP="3B19250A" w:rsidRDefault="33D0003C" w14:paraId="0AB76119" w14:textId="57FF0648">
      <w:pPr>
        <w:pStyle w:val="Normal"/>
        <w:spacing w:before="60" w:after="60"/>
      </w:pPr>
      <w:r w:rsidR="33D0003C">
        <w:rPr/>
        <w:t>Assessment 1:</w:t>
      </w:r>
      <w:r w:rsidR="7E680547">
        <w:rPr/>
        <w:t xml:space="preserve"> </w:t>
      </w:r>
      <w:r w:rsidR="33D0003C">
        <w:rPr/>
        <w:t xml:space="preserve">Will </w:t>
      </w:r>
      <w:r w:rsidR="3050338F">
        <w:rPr/>
        <w:t>includ</w:t>
      </w:r>
      <w:r w:rsidR="33D0003C">
        <w:rPr/>
        <w:t xml:space="preserve">e randomised questions, for example, a </w:t>
      </w:r>
      <w:r w:rsidR="33D0003C">
        <w:rPr/>
        <w:t>selection</w:t>
      </w:r>
      <w:r w:rsidR="33D0003C">
        <w:rPr/>
        <w:t xml:space="preserve"> of 10 questions from a bank of 15, so that learners will </w:t>
      </w:r>
      <w:r w:rsidR="21C3485E">
        <w:rPr/>
        <w:t>b</w:t>
      </w:r>
      <w:r w:rsidR="33D0003C">
        <w:rPr/>
        <w:t>e asked</w:t>
      </w:r>
      <w:r w:rsidR="0C12D7D0">
        <w:rPr/>
        <w:t xml:space="preserve"> different </w:t>
      </w:r>
      <w:r w:rsidR="0C12D7D0">
        <w:rPr/>
        <w:t>qu</w:t>
      </w:r>
      <w:r w:rsidR="523D510E">
        <w:rPr/>
        <w:t>e</w:t>
      </w:r>
      <w:r w:rsidR="0C12D7D0">
        <w:rPr/>
        <w:t>stions</w:t>
      </w:r>
      <w:r w:rsidR="0C12D7D0">
        <w:rPr/>
        <w:t xml:space="preserve"> each time they repeat the assessment.</w:t>
      </w:r>
    </w:p>
    <w:p w:rsidR="01042B1A" w:rsidP="3B19250A" w:rsidRDefault="01042B1A" w14:paraId="3E5CCD17" w14:textId="1EC3AFC1">
      <w:pPr>
        <w:pStyle w:val="Normal"/>
        <w:spacing w:before="60" w:after="60"/>
      </w:pPr>
      <w:r w:rsidR="01042B1A">
        <w:rPr/>
        <w:t xml:space="preserve">Assessment 2: </w:t>
      </w:r>
      <w:r w:rsidR="00E884CA">
        <w:rPr/>
        <w:t xml:space="preserve">Will </w:t>
      </w:r>
      <w:r w:rsidR="063986E7">
        <w:rPr/>
        <w:t>be powers of entry specific, testing learners on each power they have selected in turn.</w:t>
      </w:r>
    </w:p>
    <w:p w:rsidR="417C5AF2" w:rsidP="3B19250A" w:rsidRDefault="417C5AF2" w14:paraId="3BD46148" w14:textId="0196FC63">
      <w:pPr>
        <w:pStyle w:val="Normal"/>
        <w:spacing w:before="60" w:after="60"/>
      </w:pPr>
      <w:r w:rsidR="417C5AF2">
        <w:rPr/>
        <w:t>Assessment 3:</w:t>
      </w:r>
      <w:r w:rsidR="01BB9FE3">
        <w:rPr/>
        <w:t xml:space="preserve"> Will include a mixture of Assessment 1 questions (apart from the legislation) and fisheries enforcement officer-specific powers questions.</w:t>
      </w:r>
    </w:p>
    <w:p w:rsidR="3B19250A" w:rsidP="3B19250A" w:rsidRDefault="3B19250A" w14:paraId="1D8EEF99" w14:textId="0617A58E">
      <w:pPr>
        <w:pStyle w:val="Normal"/>
        <w:spacing w:before="60" w:after="60"/>
      </w:pPr>
    </w:p>
    <w:p w:rsidRPr="00A81CAE" w:rsidR="00A81CAE" w:rsidP="00CF015B" w:rsidRDefault="00A81CAE" w14:paraId="3436660D" w14:textId="06C7E3D9">
      <w:pPr>
        <w:spacing w:before="60" w:after="60"/>
        <w:rPr>
          <w:b/>
          <w:bCs/>
        </w:rPr>
      </w:pPr>
      <w:r w:rsidRPr="00A81CAE">
        <w:rPr>
          <w:b/>
          <w:bCs/>
        </w:rPr>
        <w:t>Guidance on programming notes:</w:t>
      </w:r>
    </w:p>
    <w:p w:rsidR="00A81CAE" w:rsidP="00A81CAE" w:rsidRDefault="00A81CAE" w14:paraId="617320CF" w14:textId="6DECD63B">
      <w:pPr>
        <w:spacing w:before="60" w:after="60"/>
        <w:ind w:left="1440" w:hanging="1440"/>
      </w:pPr>
      <w:r>
        <w:t>Scenarios</w:t>
      </w:r>
      <w:r>
        <w:tab/>
      </w:r>
      <w:r>
        <w:t>Content will be tailored to the variation selected by the user at the start of the course</w:t>
      </w:r>
    </w:p>
    <w:p w:rsidR="00A81CAE" w:rsidP="00A81CAE" w:rsidRDefault="00A81CAE" w14:paraId="1A18E2D0" w14:textId="589557B3">
      <w:pPr>
        <w:spacing w:before="60" w:after="60"/>
        <w:ind w:left="1440" w:hanging="1440"/>
      </w:pPr>
      <w:r w:rsidR="00A81CAE">
        <w:rPr/>
        <w:t xml:space="preserve">Pop ups </w:t>
      </w:r>
      <w:r>
        <w:tab/>
      </w:r>
      <w:r w:rsidR="00A81CAE">
        <w:rPr/>
        <w:t>will have a close cross at the upper right corner of the box. When Pop ups appear,</w:t>
      </w:r>
      <w:r w:rsidR="00A81CAE">
        <w:rPr/>
        <w:t xml:space="preserve"> the background page will blur.</w:t>
      </w:r>
    </w:p>
    <w:p w:rsidR="000B633D" w:rsidP="00A81CAE" w:rsidRDefault="000B633D" w14:paraId="025B2D62" w14:textId="280B50E5">
      <w:pPr>
        <w:spacing w:before="60" w:after="60"/>
        <w:ind w:left="1440" w:hanging="1440"/>
      </w:pPr>
      <w:r w:rsidR="000B633D">
        <w:rPr/>
        <w:t>Progress</w:t>
      </w:r>
      <w:r>
        <w:tab/>
      </w:r>
      <w:r w:rsidR="000B633D">
        <w:rPr/>
        <w:t>Depending</w:t>
      </w:r>
      <w:r w:rsidR="000B633D">
        <w:rPr/>
        <w:t xml:space="preserve"> on responses to knowledge checks a slider bar will move to illustrate how many knowledge check questions have been answered correctly.</w:t>
      </w:r>
    </w:p>
    <w:p w:rsidR="3B19250A" w:rsidP="3B19250A" w:rsidRDefault="3B19250A" w14:paraId="647A527E" w14:textId="297CE1BD">
      <w:pPr>
        <w:pStyle w:val="Normal"/>
        <w:spacing w:before="60" w:after="60"/>
        <w:ind w:left="0" w:hanging="0"/>
      </w:pPr>
    </w:p>
    <w:tbl>
      <w:tblPr>
        <w:tblStyle w:val="TableGrid"/>
        <w:tblW w:w="0" w:type="auto"/>
        <w:tblLook w:val="04A0" w:firstRow="1" w:lastRow="0" w:firstColumn="1" w:lastColumn="0" w:noHBand="0" w:noVBand="1"/>
      </w:tblPr>
      <w:tblGrid>
        <w:gridCol w:w="8775"/>
      </w:tblGrid>
      <w:tr w:rsidR="007D1ADF" w:rsidTr="3B19250A" w14:paraId="56B3C3C3" w14:textId="77777777">
        <w:trPr>
          <w:trHeight w:val="264"/>
        </w:trPr>
        <w:tc>
          <w:tcPr>
            <w:tcW w:w="8775" w:type="dxa"/>
            <w:shd w:val="clear" w:color="auto" w:fill="D9D9D9" w:themeFill="background1" w:themeFillShade="D9"/>
            <w:tcMar/>
          </w:tcPr>
          <w:p w:rsidRPr="007D1ADF" w:rsidR="007D1ADF" w:rsidP="00CF015B" w:rsidRDefault="007D1ADF" w14:paraId="46AC2FD4" w14:textId="47FE8AE4">
            <w:pPr>
              <w:pStyle w:val="Heading2"/>
              <w:spacing w:before="60" w:after="60"/>
            </w:pPr>
            <w:r w:rsidRPr="007D1ADF">
              <w:t>Introduction with branching question</w:t>
            </w:r>
          </w:p>
        </w:tc>
      </w:tr>
      <w:tr w:rsidR="007D1ADF" w:rsidTr="3B19250A" w14:paraId="5A62AD56" w14:textId="77777777">
        <w:trPr>
          <w:trHeight w:val="250"/>
        </w:trPr>
        <w:tc>
          <w:tcPr>
            <w:tcW w:w="8775" w:type="dxa"/>
            <w:tcMar/>
          </w:tcPr>
          <w:p w:rsidR="007D1ADF" w:rsidP="00CF015B" w:rsidRDefault="007D1ADF" w14:paraId="78B316A1" w14:textId="23B3CC02">
            <w:pPr>
              <w:spacing w:before="60" w:after="60"/>
            </w:pPr>
            <w:r w:rsidRPr="007D1ADF">
              <w:rPr>
                <w:b/>
                <w:bCs/>
              </w:rPr>
              <w:t>Prompt</w:t>
            </w:r>
          </w:p>
          <w:p w:rsidR="007D1ADF" w:rsidP="00CF015B" w:rsidRDefault="007D1ADF" w14:paraId="0ACB4E99" w14:textId="7087C595">
            <w:pPr>
              <w:spacing w:before="60" w:after="60"/>
            </w:pPr>
            <w:r>
              <w:t>Welcome!</w:t>
            </w:r>
          </w:p>
          <w:p w:rsidR="00CF015B" w:rsidP="00CF015B" w:rsidRDefault="007D1ADF" w14:paraId="2D88314B" w14:textId="77777777">
            <w:pPr>
              <w:spacing w:before="60" w:after="60"/>
            </w:pPr>
            <w:r>
              <w:t>T</w:t>
            </w:r>
            <w:r w:rsidR="00692C11">
              <w:t>his course has been created t</w:t>
            </w:r>
            <w:r>
              <w:t>o help you understand the powers of entry relevant to your role and how to use your personal authorisation</w:t>
            </w:r>
            <w:r w:rsidR="00692C11">
              <w:t>.</w:t>
            </w:r>
            <w:r>
              <w:t xml:space="preserve"> </w:t>
            </w:r>
          </w:p>
          <w:p w:rsidR="00CF015B" w:rsidP="00CF015B" w:rsidRDefault="00692C11" w14:paraId="4451CB75" w14:textId="253A01F5">
            <w:pPr>
              <w:spacing w:before="60" w:after="60"/>
            </w:pPr>
            <w:r w:rsidR="00692C11">
              <w:rPr/>
              <w:t>P</w:t>
            </w:r>
            <w:r w:rsidR="007D1ADF">
              <w:rPr/>
              <w:t xml:space="preserve">lease </w:t>
            </w:r>
            <w:r w:rsidR="00692C11">
              <w:rPr/>
              <w:t xml:space="preserve">start by selecting the </w:t>
            </w:r>
            <w:r w:rsidR="786582C9">
              <w:rPr/>
              <w:t>powers that</w:t>
            </w:r>
            <w:r w:rsidR="00692C11">
              <w:rPr/>
              <w:t xml:space="preserve"> best reflect why you might be working outside of the office.</w:t>
            </w:r>
            <w:r w:rsidR="00CF015B">
              <w:rPr/>
              <w:t xml:space="preserve"> </w:t>
            </w:r>
            <w:r w:rsidR="00CF015B">
              <w:rPr/>
              <w:t xml:space="preserve">If you do more than one of these activities, you will be able to select another role </w:t>
            </w:r>
            <w:r w:rsidR="00CF015B">
              <w:rPr/>
              <w:t>later on</w:t>
            </w:r>
            <w:r w:rsidR="00CF015B">
              <w:rPr/>
              <w:t>. For now, just choose the one you do most often.</w:t>
            </w:r>
            <w:r w:rsidR="2C025D51">
              <w:rPr/>
              <w:t xml:space="preserve"> If you are unsure which powers you need to learn about, you may find the table on the course page helpful. This shows the</w:t>
            </w:r>
            <w:r w:rsidR="075679F3">
              <w:rPr/>
              <w:t xml:space="preserve"> powers of entry</w:t>
            </w:r>
            <w:r w:rsidR="2C025D51">
              <w:rPr/>
              <w:t xml:space="preserve"> legislation that different </w:t>
            </w:r>
            <w:r w:rsidR="3F94C8C0">
              <w:rPr/>
              <w:t xml:space="preserve">departments and </w:t>
            </w:r>
            <w:r w:rsidR="2C025D51">
              <w:rPr/>
              <w:t xml:space="preserve">teams </w:t>
            </w:r>
            <w:r w:rsidR="2C025D51">
              <w:rPr/>
              <w:t>generally u</w:t>
            </w:r>
            <w:r w:rsidR="35DB115E">
              <w:rPr/>
              <w:t>se</w:t>
            </w:r>
            <w:r w:rsidR="0FE4F651">
              <w:rPr/>
              <w:t xml:space="preserve"> – although you should check with your line manager or local subject expert.</w:t>
            </w:r>
          </w:p>
          <w:p w:rsidR="00CF015B" w:rsidP="00CF015B" w:rsidRDefault="00CF015B" w14:paraId="56C258EF" w14:textId="7ACB6928">
            <w:pPr>
              <w:spacing w:before="60" w:after="60"/>
            </w:pPr>
            <w:r w:rsidR="00CF015B">
              <w:rPr/>
              <w:t>Options:</w:t>
            </w:r>
          </w:p>
          <w:p w:rsidR="007D1ADF" w:rsidP="007116AE" w:rsidRDefault="000F4301" w14:paraId="005BBCB2" w14:textId="72C92AF6">
            <w:pPr>
              <w:spacing w:before="60" w:after="60"/>
              <w:ind w:left="720"/>
            </w:pPr>
            <w:r w:rsidR="547D8DA3">
              <w:rPr/>
              <w:t>Buttons</w:t>
            </w:r>
          </w:p>
        </w:tc>
      </w:tr>
      <w:tr w:rsidR="007D1ADF" w:rsidTr="3B19250A" w14:paraId="792FA2B7" w14:textId="77777777">
        <w:trPr>
          <w:trHeight w:val="250"/>
        </w:trPr>
        <w:tc>
          <w:tcPr>
            <w:tcW w:w="8775" w:type="dxa"/>
            <w:tcMar/>
          </w:tcPr>
          <w:p w:rsidRPr="007116AE" w:rsidR="007D1ADF" w:rsidP="00CF015B" w:rsidRDefault="007D1ADF" w14:paraId="45D84F0A" w14:textId="74580A15">
            <w:pPr>
              <w:spacing w:before="60" w:after="60"/>
              <w:rPr>
                <w:b/>
                <w:bCs/>
              </w:rPr>
            </w:pPr>
            <w:r w:rsidRPr="007D1ADF">
              <w:rPr>
                <w:b/>
                <w:bCs/>
              </w:rPr>
              <w:t>Programming notes</w:t>
            </w:r>
          </w:p>
          <w:p w:rsidR="007D1ADF" w:rsidP="00CF015B" w:rsidRDefault="007D1ADF" w14:paraId="43ED54BC" w14:textId="2A1B5CCA">
            <w:pPr>
              <w:spacing w:before="60" w:after="60"/>
            </w:pPr>
            <w:r>
              <w:t>Buttons</w:t>
            </w:r>
            <w:r w:rsidR="00CF015B">
              <w:t xml:space="preserve"> in a grid layout</w:t>
            </w:r>
            <w:r>
              <w:t xml:space="preserve"> link</w:t>
            </w:r>
            <w:r w:rsidR="00CF015B">
              <w:t>ing</w:t>
            </w:r>
            <w:r>
              <w:t xml:space="preserve"> to variables, which adapt the user journey throughout the module.</w:t>
            </w:r>
          </w:p>
          <w:p w:rsidR="00CD3FE2" w:rsidP="00CD3FE2" w:rsidRDefault="00CD3FE2" w14:paraId="6D059899" w14:textId="77777777">
            <w:pPr>
              <w:spacing w:before="60" w:after="60"/>
            </w:pPr>
            <w:r>
              <w:t xml:space="preserve">If user clicks on: </w:t>
            </w:r>
          </w:p>
          <w:p w:rsidRPr="00CD3FE2" w:rsidR="00CD3FE2" w:rsidP="00CD3FE2" w:rsidRDefault="00CD3FE2" w14:paraId="57F8EAC2" w14:textId="74423F04">
            <w:pPr>
              <w:spacing w:before="60" w:after="60"/>
            </w:pPr>
            <w:r w:rsidRPr="00CD3FE2">
              <w:t>Collecting samples</w:t>
            </w:r>
          </w:p>
          <w:p w:rsidRPr="00CD3FE2" w:rsidR="00CD3FE2" w:rsidP="00CD3FE2" w:rsidRDefault="00CD3FE2" w14:paraId="0352F7D6" w14:textId="0ABC0C89">
            <w:pPr>
              <w:spacing w:before="60" w:after="60"/>
            </w:pPr>
            <w:r w:rsidRPr="00CD3FE2">
              <w:t>Helping with incidents</w:t>
            </w:r>
          </w:p>
          <w:p w:rsidRPr="00CD3FE2" w:rsidR="00CD3FE2" w:rsidP="00CD3FE2" w:rsidRDefault="00CD3FE2" w14:paraId="20FA7AAD" w14:textId="6B39AD6C">
            <w:pPr>
              <w:spacing w:before="60" w:after="60"/>
            </w:pPr>
            <w:r w:rsidRPr="00CD3FE2">
              <w:t>Inspecting regulated sites (compliance)</w:t>
            </w:r>
          </w:p>
          <w:p w:rsidRPr="00CD3FE2" w:rsidR="00CD3FE2" w:rsidP="00CD3FE2" w:rsidRDefault="00CD3FE2" w14:paraId="4440FF97" w14:textId="77777777">
            <w:pPr>
              <w:spacing w:before="60" w:after="60"/>
            </w:pPr>
            <w:r w:rsidRPr="00CD3FE2">
              <w:t>Inspecting rod licences and/or fisheries</w:t>
            </w:r>
          </w:p>
          <w:p w:rsidRPr="00CD3FE2" w:rsidR="00CD3FE2" w:rsidP="00CD3FE2" w:rsidRDefault="00CD3FE2" w14:paraId="0C9A0BF1" w14:textId="77777777">
            <w:pPr>
              <w:spacing w:before="60" w:after="60"/>
            </w:pPr>
            <w:r w:rsidRPr="00CD3FE2">
              <w:t>Investigating suspected offences</w:t>
            </w:r>
          </w:p>
          <w:p w:rsidRPr="00CD3FE2" w:rsidR="00CD3FE2" w:rsidP="00CD3FE2" w:rsidRDefault="00CD3FE2" w14:paraId="0CC8C5FD" w14:textId="77777777">
            <w:pPr>
              <w:spacing w:before="60" w:after="60"/>
            </w:pPr>
            <w:r w:rsidRPr="00CD3FE2">
              <w:t>Monitoring species</w:t>
            </w:r>
          </w:p>
          <w:p w:rsidRPr="00CD3FE2" w:rsidR="00CD3FE2" w:rsidP="00CD3FE2" w:rsidRDefault="00CD3FE2" w14:paraId="0D603F8C" w14:textId="77777777">
            <w:pPr>
              <w:spacing w:before="60" w:after="60"/>
            </w:pPr>
            <w:r w:rsidRPr="00CD3FE2">
              <w:t>Visiting reservoirs</w:t>
            </w:r>
          </w:p>
          <w:p w:rsidRPr="00CD3FE2" w:rsidR="00CD3FE2" w:rsidP="00CD3FE2" w:rsidRDefault="00CD3FE2" w14:paraId="4072A005" w14:textId="77777777">
            <w:pPr>
              <w:spacing w:before="60" w:after="60"/>
            </w:pPr>
            <w:r w:rsidRPr="00CD3FE2">
              <w:t>Fisheries enforcement</w:t>
            </w:r>
          </w:p>
          <w:p w:rsidR="00CD3FE2" w:rsidP="00CD3FE2" w:rsidRDefault="00CD3FE2" w14:paraId="4D8B9980" w14:textId="77777777">
            <w:pPr>
              <w:spacing w:before="60" w:after="60"/>
            </w:pPr>
            <w:r w:rsidRPr="00CD3FE2">
              <w:t>Public engagement</w:t>
            </w:r>
            <w:r>
              <w:t xml:space="preserve"> – display pop up containing the following text: </w:t>
            </w:r>
          </w:p>
          <w:p w:rsidRPr="00126953" w:rsidR="00CD3FE2" w:rsidP="00CD3FE2" w:rsidRDefault="00CD3FE2" w14:paraId="58E1E3A8" w14:textId="3F8C2D5F">
            <w:pPr>
              <w:spacing w:before="60" w:after="60"/>
              <w:ind w:left="720"/>
              <w:rPr>
                <w:color w:val="0033CC"/>
              </w:rPr>
            </w:pPr>
            <w:r w:rsidRPr="00126953">
              <w:rPr>
                <w:color w:val="0033CC"/>
              </w:rPr>
              <w:lastRenderedPageBreak/>
              <w:t>Good news! You don’t need a personal authorisation</w:t>
            </w:r>
            <w:r w:rsidR="00A81CAE">
              <w:rPr>
                <w:color w:val="0033CC"/>
              </w:rPr>
              <w:t xml:space="preserve"> just</w:t>
            </w:r>
            <w:r w:rsidRPr="00126953">
              <w:rPr>
                <w:color w:val="0033CC"/>
              </w:rPr>
              <w:t xml:space="preserve"> to attend public engagement events or go door to door as part of an engagement activity. </w:t>
            </w:r>
          </w:p>
          <w:p w:rsidRPr="00126953" w:rsidR="00CD3FE2" w:rsidP="00CD3FE2" w:rsidRDefault="00CD3FE2" w14:paraId="373E8703" w14:textId="77777777">
            <w:pPr>
              <w:spacing w:before="60" w:after="60"/>
              <w:ind w:left="720"/>
              <w:rPr>
                <w:color w:val="0033CC"/>
              </w:rPr>
            </w:pPr>
            <w:r w:rsidRPr="00126953">
              <w:rPr>
                <w:color w:val="0033CC"/>
              </w:rPr>
              <w:t>When:</w:t>
            </w:r>
          </w:p>
          <w:p w:rsidRPr="00126953" w:rsidR="00CD3FE2" w:rsidP="00CD3FE2" w:rsidRDefault="00CD3FE2" w14:paraId="101129E4" w14:textId="261AD45F">
            <w:pPr>
              <w:pStyle w:val="ListParagraph"/>
              <w:numPr>
                <w:ilvl w:val="0"/>
                <w:numId w:val="2"/>
              </w:numPr>
              <w:spacing w:before="60" w:after="60"/>
              <w:rPr>
                <w:color w:val="0033CC"/>
              </w:rPr>
            </w:pPr>
            <w:r w:rsidRPr="00126953">
              <w:rPr>
                <w:color w:val="0033CC"/>
              </w:rPr>
              <w:t xml:space="preserve">engaging with the public at an external </w:t>
            </w:r>
            <w:r w:rsidRPr="00126953" w:rsidR="00126953">
              <w:rPr>
                <w:color w:val="0033CC"/>
              </w:rPr>
              <w:t>venue</w:t>
            </w:r>
          </w:p>
          <w:p w:rsidRPr="00126953" w:rsidR="00CD3FE2" w:rsidP="00CD3FE2" w:rsidRDefault="00CD3FE2" w14:paraId="2EDA07EF" w14:textId="77777777">
            <w:pPr>
              <w:pStyle w:val="ListParagraph"/>
              <w:numPr>
                <w:ilvl w:val="0"/>
                <w:numId w:val="2"/>
              </w:numPr>
              <w:spacing w:before="60" w:after="60"/>
              <w:rPr>
                <w:color w:val="0033CC"/>
              </w:rPr>
            </w:pPr>
            <w:r w:rsidRPr="00126953">
              <w:rPr>
                <w:color w:val="0033CC"/>
              </w:rPr>
              <w:t>walking up someone’s drive or path to knock on their door</w:t>
            </w:r>
          </w:p>
          <w:p w:rsidRPr="00126953" w:rsidR="00CD3FE2" w:rsidP="00CD3FE2" w:rsidRDefault="00CD3FE2" w14:paraId="0871C892" w14:textId="1715DFB7">
            <w:pPr>
              <w:spacing w:before="60" w:after="60"/>
              <w:ind w:left="720"/>
              <w:rPr>
                <w:color w:val="0033CC"/>
              </w:rPr>
            </w:pPr>
            <w:r w:rsidRPr="00126953">
              <w:rPr>
                <w:color w:val="0033CC"/>
              </w:rPr>
              <w:t>you have implied consent to be on private property – until you are asked to leave!</w:t>
            </w:r>
          </w:p>
          <w:p w:rsidRPr="00CD3FE2" w:rsidR="00CD3FE2" w:rsidP="00CD3FE2" w:rsidRDefault="00CD3FE2" w14:paraId="3D341E63" w14:textId="439498D0">
            <w:pPr>
              <w:spacing w:before="60" w:after="60"/>
              <w:ind w:left="720"/>
              <w:rPr>
                <w:color w:val="0033CC"/>
              </w:rPr>
            </w:pPr>
            <w:r w:rsidRPr="00126953">
              <w:rPr>
                <w:color w:val="0033CC"/>
              </w:rPr>
              <w:t>You are welcome to exit th</w:t>
            </w:r>
            <w:r w:rsidR="00A81CAE">
              <w:rPr>
                <w:color w:val="0033CC"/>
              </w:rPr>
              <w:t>is</w:t>
            </w:r>
            <w:r w:rsidRPr="00126953">
              <w:rPr>
                <w:color w:val="0033CC"/>
              </w:rPr>
              <w:t xml:space="preserve"> course – or select another option if you want to learn more about powers of entry and personal authorisations</w:t>
            </w:r>
            <w:r w:rsidRPr="00126953" w:rsidR="00126953">
              <w:rPr>
                <w:color w:val="0033CC"/>
              </w:rPr>
              <w:t>.</w:t>
            </w:r>
          </w:p>
          <w:p w:rsidR="00126953" w:rsidP="00126953" w:rsidRDefault="00CD3FE2" w14:paraId="5230F162" w14:textId="6D1B648F">
            <w:pPr>
              <w:spacing w:before="60" w:after="60"/>
            </w:pPr>
            <w:r w:rsidRPr="00CD3FE2">
              <w:t>Something else</w:t>
            </w:r>
            <w:r w:rsidR="007116AE">
              <w:t xml:space="preserve"> / I’m not sure</w:t>
            </w:r>
            <w:r w:rsidR="00126953">
              <w:t xml:space="preserve"> – display pop up c</w:t>
            </w:r>
            <w:r w:rsidR="00126953">
              <w:t>ontaining the following text:</w:t>
            </w:r>
          </w:p>
          <w:p w:rsidR="00A81CAE" w:rsidP="00126953" w:rsidRDefault="00126953" w14:paraId="6813B5F2" w14:textId="77777777">
            <w:pPr>
              <w:spacing w:before="60" w:after="60"/>
              <w:ind w:left="731"/>
              <w:rPr>
                <w:color w:val="0033CC"/>
              </w:rPr>
            </w:pPr>
            <w:r w:rsidRPr="00126953">
              <w:rPr>
                <w:color w:val="0033CC"/>
              </w:rPr>
              <w:t>You may have selected this option because you have</w:t>
            </w:r>
            <w:r w:rsidR="00A81CAE">
              <w:rPr>
                <w:color w:val="0033CC"/>
              </w:rPr>
              <w:t>:</w:t>
            </w:r>
          </w:p>
          <w:p w:rsidR="00A81CAE" w:rsidP="00A81CAE" w:rsidRDefault="00126953" w14:paraId="6B21935C" w14:textId="77777777">
            <w:pPr>
              <w:pStyle w:val="ListParagraph"/>
              <w:numPr>
                <w:ilvl w:val="0"/>
                <w:numId w:val="3"/>
              </w:numPr>
              <w:spacing w:before="60" w:after="60"/>
              <w:rPr>
                <w:color w:val="0033CC"/>
              </w:rPr>
            </w:pPr>
            <w:r w:rsidRPr="00A81CAE">
              <w:rPr>
                <w:color w:val="0033CC"/>
              </w:rPr>
              <w:t>a specialised role not covered in the options</w:t>
            </w:r>
          </w:p>
          <w:p w:rsidR="00A81CAE" w:rsidP="00A81CAE" w:rsidRDefault="00126953" w14:paraId="7CE3DFAC" w14:textId="77777777">
            <w:pPr>
              <w:pStyle w:val="ListParagraph"/>
              <w:numPr>
                <w:ilvl w:val="0"/>
                <w:numId w:val="3"/>
              </w:numPr>
              <w:spacing w:before="60" w:after="60"/>
              <w:rPr>
                <w:color w:val="0033CC"/>
              </w:rPr>
            </w:pPr>
            <w:r w:rsidRPr="00A81CAE">
              <w:rPr>
                <w:color w:val="0033CC"/>
              </w:rPr>
              <w:t>are new to your role</w:t>
            </w:r>
          </w:p>
          <w:p w:rsidR="00A81CAE" w:rsidP="00A81CAE" w:rsidRDefault="00126953" w14:paraId="62BB92E0" w14:textId="77777777">
            <w:pPr>
              <w:pStyle w:val="ListParagraph"/>
              <w:numPr>
                <w:ilvl w:val="0"/>
                <w:numId w:val="3"/>
              </w:numPr>
              <w:spacing w:before="60" w:after="60"/>
              <w:rPr>
                <w:color w:val="0033CC"/>
              </w:rPr>
            </w:pPr>
            <w:r w:rsidRPr="00A81CAE">
              <w:rPr>
                <w:color w:val="0033CC"/>
              </w:rPr>
              <w:t xml:space="preserve">have just been told you need a personal authorisation, or </w:t>
            </w:r>
          </w:p>
          <w:p w:rsidRPr="00A81CAE" w:rsidR="00126953" w:rsidP="00A81CAE" w:rsidRDefault="00126953" w14:paraId="1CA96319" w14:textId="79A467A1">
            <w:pPr>
              <w:pStyle w:val="ListParagraph"/>
              <w:numPr>
                <w:ilvl w:val="0"/>
                <w:numId w:val="3"/>
              </w:numPr>
              <w:spacing w:before="60" w:after="60"/>
              <w:rPr>
                <w:color w:val="0033CC"/>
              </w:rPr>
            </w:pPr>
            <w:r w:rsidRPr="00A81CAE">
              <w:rPr>
                <w:color w:val="0033CC"/>
              </w:rPr>
              <w:t xml:space="preserve">just want to learn more about </w:t>
            </w:r>
            <w:r w:rsidR="00A81CAE">
              <w:rPr>
                <w:color w:val="0033CC"/>
              </w:rPr>
              <w:t xml:space="preserve">the </w:t>
            </w:r>
            <w:r w:rsidRPr="00A81CAE">
              <w:rPr>
                <w:color w:val="0033CC"/>
              </w:rPr>
              <w:t>powers of entry we use in the Environment Agency</w:t>
            </w:r>
          </w:p>
          <w:p w:rsidRPr="00126953" w:rsidR="00126953" w:rsidP="00126953" w:rsidRDefault="00126953" w14:paraId="294B6AAF" w14:textId="031494A8">
            <w:pPr>
              <w:spacing w:before="60" w:after="60"/>
              <w:ind w:left="731"/>
              <w:rPr>
                <w:color w:val="0033CC"/>
              </w:rPr>
            </w:pPr>
            <w:r w:rsidRPr="00126953">
              <w:rPr>
                <w:color w:val="0033CC"/>
              </w:rPr>
              <w:t>That’s fine. We’ll take you through the general powers of entry, which will cover all the key points of how to use your personal authorisation to enter land. If you think you need to know more you should ask your line manager or a local expert</w:t>
            </w:r>
            <w:r w:rsidRPr="00126953">
              <w:rPr>
                <w:color w:val="0033CC"/>
              </w:rPr>
              <w:t>. T</w:t>
            </w:r>
            <w:r w:rsidRPr="00126953">
              <w:rPr>
                <w:color w:val="0033CC"/>
              </w:rPr>
              <w:t>hey may point you back to another section, or introduce you to information that is only used by your team or officers undertaking very specialised activities.</w:t>
            </w:r>
          </w:p>
          <w:p w:rsidR="007D1ADF" w:rsidP="00CF015B" w:rsidRDefault="00126953" w14:paraId="2DA6F5C7" w14:textId="08D4F5B2">
            <w:pPr>
              <w:spacing w:before="60" w:after="60"/>
            </w:pPr>
            <w:r>
              <w:t xml:space="preserve">               If user clicks on </w:t>
            </w:r>
            <w:r w:rsidRPr="007116AE">
              <w:rPr>
                <w:color w:val="0033CC"/>
              </w:rPr>
              <w:t xml:space="preserve">I’m ready to learn more </w:t>
            </w:r>
            <w:r>
              <w:t xml:space="preserve">button </w:t>
            </w:r>
            <w:r w:rsidR="000F4301">
              <w:t xml:space="preserve">jump to </w:t>
            </w:r>
            <w:hyperlink w:history="1" w:anchor="_Setting_the_scene:">
              <w:r w:rsidRPr="000F4301" w:rsidR="000F4301">
                <w:rPr>
                  <w:rStyle w:val="Hyperlink"/>
                </w:rPr>
                <w:t>Setting t</w:t>
              </w:r>
              <w:r w:rsidRPr="000F4301" w:rsidR="000F4301">
                <w:rPr>
                  <w:rStyle w:val="Hyperlink"/>
                </w:rPr>
                <w:t>he scene: general</w:t>
              </w:r>
            </w:hyperlink>
          </w:p>
        </w:tc>
      </w:tr>
      <w:tr w:rsidR="00126953" w:rsidTr="3B19250A" w14:paraId="433D310C" w14:textId="77777777">
        <w:trPr>
          <w:trHeight w:val="250"/>
        </w:trPr>
        <w:tc>
          <w:tcPr>
            <w:tcW w:w="8775" w:type="dxa"/>
            <w:tcMar/>
          </w:tcPr>
          <w:p w:rsidR="00126953" w:rsidP="00CF015B" w:rsidRDefault="00126953" w14:paraId="1FA12DBD" w14:textId="0BEBE90B">
            <w:pPr>
              <w:spacing w:before="60" w:after="60"/>
              <w:rPr>
                <w:b/>
                <w:bCs/>
              </w:rPr>
            </w:pPr>
            <w:r>
              <w:rPr>
                <w:b/>
                <w:bCs/>
              </w:rPr>
              <w:lastRenderedPageBreak/>
              <w:t>Narration</w:t>
            </w:r>
          </w:p>
          <w:p w:rsidR="00126953" w:rsidP="00126953" w:rsidRDefault="00126953" w14:paraId="2A58D42B" w14:textId="75BD8B24">
            <w:pPr>
              <w:spacing w:before="60" w:after="60"/>
            </w:pPr>
            <w:r>
              <w:t>Welcome!</w:t>
            </w:r>
          </w:p>
          <w:p w:rsidR="00126953" w:rsidP="00126953" w:rsidRDefault="00126953" w14:paraId="2CD02CC5" w14:textId="77777777">
            <w:pPr>
              <w:spacing w:before="60" w:after="60"/>
            </w:pPr>
            <w:r>
              <w:t xml:space="preserve">This course has been created to help you understand the powers of entry relevant to your role and how to use your personal authorisation. </w:t>
            </w:r>
          </w:p>
          <w:p w:rsidR="00126953" w:rsidP="00126953" w:rsidRDefault="00126953" w14:paraId="49524F6B" w14:textId="77777777">
            <w:pPr>
              <w:spacing w:before="60" w:after="60"/>
            </w:pPr>
            <w:r>
              <w:t>Please start by selecting the option that best reflects why you might be working outside of the office. If you do more than one of these activities, you will be able to select another role later on. For now, just choose the one you do most often.</w:t>
            </w:r>
          </w:p>
          <w:p w:rsidRPr="007D1ADF" w:rsidR="00126953" w:rsidP="00CF015B" w:rsidRDefault="00126953" w14:paraId="0325265B" w14:textId="35086F43">
            <w:pPr>
              <w:spacing w:before="60" w:after="60"/>
              <w:rPr>
                <w:b/>
                <w:bCs/>
              </w:rPr>
            </w:pPr>
          </w:p>
        </w:tc>
      </w:tr>
    </w:tbl>
    <w:p w:rsidR="007D1ADF" w:rsidP="00CF015B" w:rsidRDefault="007D1ADF" w14:paraId="54326F38" w14:textId="50FBDADF">
      <w:pPr>
        <w:spacing w:before="60" w:after="60"/>
      </w:pPr>
    </w:p>
    <w:tbl>
      <w:tblPr>
        <w:tblStyle w:val="TableGrid"/>
        <w:tblW w:w="0" w:type="auto"/>
        <w:tblLook w:val="04A0" w:firstRow="1" w:lastRow="0" w:firstColumn="1" w:lastColumn="0" w:noHBand="0" w:noVBand="1"/>
      </w:tblPr>
      <w:tblGrid>
        <w:gridCol w:w="8775"/>
      </w:tblGrid>
      <w:tr w:rsidR="00CF015B" w:rsidTr="00E16F5F" w14:paraId="7BBFB2ED" w14:textId="77777777">
        <w:trPr>
          <w:trHeight w:val="264"/>
        </w:trPr>
        <w:tc>
          <w:tcPr>
            <w:tcW w:w="8775" w:type="dxa"/>
            <w:shd w:val="clear" w:color="auto" w:fill="D9D9D9" w:themeFill="background1" w:themeFillShade="D9"/>
          </w:tcPr>
          <w:p w:rsidRPr="007D1ADF" w:rsidR="00CF015B" w:rsidP="00E16F5F" w:rsidRDefault="000F4301" w14:paraId="057F3277" w14:textId="379AC82F">
            <w:pPr>
              <w:pStyle w:val="Heading2"/>
              <w:spacing w:before="60" w:after="60"/>
            </w:pPr>
            <w:bookmarkStart w:name="_Setting_the_scene:" w:id="0"/>
            <w:bookmarkEnd w:id="0"/>
            <w:r>
              <w:t xml:space="preserve">Setting the scene: general </w:t>
            </w:r>
          </w:p>
        </w:tc>
      </w:tr>
      <w:tr w:rsidR="00CF015B" w:rsidTr="00E16F5F" w14:paraId="1EE46B4E" w14:textId="77777777">
        <w:trPr>
          <w:trHeight w:val="250"/>
        </w:trPr>
        <w:tc>
          <w:tcPr>
            <w:tcW w:w="8775" w:type="dxa"/>
          </w:tcPr>
          <w:p w:rsidR="00CF015B" w:rsidP="00E16F5F" w:rsidRDefault="00CF015B" w14:paraId="04403B0B" w14:textId="77777777">
            <w:pPr>
              <w:spacing w:before="60" w:after="60"/>
            </w:pPr>
            <w:r w:rsidRPr="007D1ADF">
              <w:rPr>
                <w:b/>
                <w:bCs/>
              </w:rPr>
              <w:t>Prompt</w:t>
            </w:r>
          </w:p>
          <w:p w:rsidR="007116AE" w:rsidP="00041D3B" w:rsidRDefault="00EF40EC" w14:paraId="39936AD8" w14:textId="77777777">
            <w:pPr>
              <w:spacing w:before="60" w:after="60"/>
            </w:pPr>
            <w:r>
              <w:t xml:space="preserve">In this scenario-based course you are working as an officer who needs to visit NAME OF SITE to XXXX. </w:t>
            </w:r>
          </w:p>
          <w:p w:rsidR="002639BA" w:rsidP="00041D3B" w:rsidRDefault="002639BA" w14:paraId="659D9ADA" w14:textId="77777777">
            <w:pPr>
              <w:spacing w:before="60" w:after="60"/>
            </w:pPr>
          </w:p>
          <w:p w:rsidR="002639BA" w:rsidP="00041D3B" w:rsidRDefault="002639BA" w14:paraId="4AE42AF8" w14:textId="77777777">
            <w:pPr>
              <w:spacing w:before="60" w:after="60"/>
            </w:pPr>
          </w:p>
          <w:p w:rsidR="002639BA" w:rsidP="00041D3B" w:rsidRDefault="002639BA" w14:paraId="7EFA733C" w14:textId="77777777">
            <w:pPr>
              <w:spacing w:before="60" w:after="60"/>
            </w:pPr>
          </w:p>
          <w:p w:rsidR="002639BA" w:rsidP="00041D3B" w:rsidRDefault="002639BA" w14:paraId="166FDC3B" w14:textId="77777777">
            <w:pPr>
              <w:spacing w:before="60" w:after="60"/>
            </w:pPr>
          </w:p>
          <w:p w:rsidR="002639BA" w:rsidP="00041D3B" w:rsidRDefault="002639BA" w14:paraId="27D12E28" w14:textId="7D35DD18">
            <w:pPr>
              <w:spacing w:before="60" w:after="60"/>
            </w:pPr>
          </w:p>
        </w:tc>
      </w:tr>
      <w:tr w:rsidR="00CF015B" w:rsidTr="00E16F5F" w14:paraId="582136BD" w14:textId="77777777">
        <w:trPr>
          <w:trHeight w:val="250"/>
        </w:trPr>
        <w:tc>
          <w:tcPr>
            <w:tcW w:w="8775" w:type="dxa"/>
          </w:tcPr>
          <w:p w:rsidRPr="007D1ADF" w:rsidR="00CF015B" w:rsidP="00E16F5F" w:rsidRDefault="00CF015B" w14:paraId="3BF560B5" w14:textId="77777777">
            <w:pPr>
              <w:spacing w:before="60" w:after="60"/>
              <w:rPr>
                <w:b/>
                <w:bCs/>
              </w:rPr>
            </w:pPr>
            <w:r w:rsidRPr="007D1ADF">
              <w:rPr>
                <w:b/>
                <w:bCs/>
              </w:rPr>
              <w:t>Programming notes</w:t>
            </w:r>
          </w:p>
          <w:p w:rsidR="00CF015B" w:rsidP="007116AE" w:rsidRDefault="00CF015B" w14:paraId="138B0A92" w14:textId="77777777">
            <w:pPr>
              <w:spacing w:before="60" w:after="60"/>
            </w:pPr>
          </w:p>
        </w:tc>
      </w:tr>
      <w:tr w:rsidR="007116AE" w:rsidTr="00E16F5F" w14:paraId="74B4E317" w14:textId="77777777">
        <w:trPr>
          <w:trHeight w:val="250"/>
        </w:trPr>
        <w:tc>
          <w:tcPr>
            <w:tcW w:w="8775" w:type="dxa"/>
          </w:tcPr>
          <w:p w:rsidR="007116AE" w:rsidP="007116AE" w:rsidRDefault="007116AE" w14:paraId="6B96856A" w14:textId="3DAC0941">
            <w:pPr>
              <w:spacing w:before="60" w:after="60"/>
              <w:rPr>
                <w:b/>
                <w:bCs/>
              </w:rPr>
            </w:pPr>
            <w:r>
              <w:rPr>
                <w:b/>
                <w:bCs/>
              </w:rPr>
              <w:t>Narration</w:t>
            </w:r>
          </w:p>
          <w:p w:rsidRPr="007116AE" w:rsidR="007116AE" w:rsidP="00EF40EC" w:rsidRDefault="007116AE" w14:paraId="5BF8D94A" w14:textId="28164BDF">
            <w:pPr>
              <w:spacing w:before="60" w:after="60"/>
            </w:pPr>
            <w:r>
              <w:lastRenderedPageBreak/>
              <w:t xml:space="preserve">Many of our officers work outside of an Environment Agency office. Sometimes, this work means that we need to go onto privately owned land or property. </w:t>
            </w:r>
          </w:p>
        </w:tc>
      </w:tr>
    </w:tbl>
    <w:p w:rsidR="00CF015B" w:rsidP="00CF015B" w:rsidRDefault="00CF015B" w14:paraId="69087BB8" w14:textId="1244D08E">
      <w:pPr>
        <w:spacing w:before="60" w:after="60"/>
      </w:pPr>
    </w:p>
    <w:tbl>
      <w:tblPr>
        <w:tblStyle w:val="TableGrid"/>
        <w:tblW w:w="0" w:type="auto"/>
        <w:tblLook w:val="04A0" w:firstRow="1" w:lastRow="0" w:firstColumn="1" w:lastColumn="0" w:noHBand="0" w:noVBand="1"/>
      </w:tblPr>
      <w:tblGrid>
        <w:gridCol w:w="8775"/>
      </w:tblGrid>
      <w:tr w:rsidR="00126953" w:rsidTr="00E16F5F" w14:paraId="62B2A607" w14:textId="77777777">
        <w:trPr>
          <w:trHeight w:val="264"/>
        </w:trPr>
        <w:tc>
          <w:tcPr>
            <w:tcW w:w="8775" w:type="dxa"/>
            <w:shd w:val="clear" w:color="auto" w:fill="D9D9D9" w:themeFill="background1" w:themeFillShade="D9"/>
          </w:tcPr>
          <w:p w:rsidRPr="007D1ADF" w:rsidR="00126953" w:rsidP="00E16F5F" w:rsidRDefault="00126953" w14:paraId="577FF3A3" w14:textId="3B6C9925">
            <w:pPr>
              <w:pStyle w:val="Heading2"/>
              <w:spacing w:before="60" w:after="60"/>
            </w:pPr>
            <w:r>
              <w:t>Now for the legal bit [general]</w:t>
            </w:r>
            <w:r>
              <w:t xml:space="preserve"> </w:t>
            </w:r>
          </w:p>
        </w:tc>
      </w:tr>
      <w:tr w:rsidR="00126953" w:rsidTr="00E16F5F" w14:paraId="6D120013" w14:textId="77777777">
        <w:trPr>
          <w:trHeight w:val="250"/>
        </w:trPr>
        <w:tc>
          <w:tcPr>
            <w:tcW w:w="8775" w:type="dxa"/>
          </w:tcPr>
          <w:p w:rsidR="00126953" w:rsidP="00E16F5F" w:rsidRDefault="00126953" w14:paraId="7A98575F" w14:textId="77777777">
            <w:pPr>
              <w:spacing w:before="60" w:after="60"/>
            </w:pPr>
            <w:r w:rsidRPr="007D1ADF">
              <w:rPr>
                <w:b/>
                <w:bCs/>
              </w:rPr>
              <w:t>Prompt</w:t>
            </w:r>
          </w:p>
          <w:p w:rsidR="00126953" w:rsidP="00A81CAE" w:rsidRDefault="00126953" w14:paraId="1F9332D6" w14:textId="2B68703F">
            <w:pPr>
              <w:spacing w:before="60" w:after="60"/>
            </w:pPr>
          </w:p>
        </w:tc>
      </w:tr>
      <w:tr w:rsidR="00126953" w:rsidTr="00E16F5F" w14:paraId="2A6853AE" w14:textId="77777777">
        <w:trPr>
          <w:trHeight w:val="250"/>
        </w:trPr>
        <w:tc>
          <w:tcPr>
            <w:tcW w:w="8775" w:type="dxa"/>
          </w:tcPr>
          <w:p w:rsidRPr="007D1ADF" w:rsidR="00126953" w:rsidP="00E16F5F" w:rsidRDefault="00126953" w14:paraId="6699CBEA" w14:textId="77777777">
            <w:pPr>
              <w:spacing w:before="60" w:after="60"/>
              <w:rPr>
                <w:b/>
                <w:bCs/>
              </w:rPr>
            </w:pPr>
            <w:r w:rsidRPr="007D1ADF">
              <w:rPr>
                <w:b/>
                <w:bCs/>
              </w:rPr>
              <w:t>Programming notes</w:t>
            </w:r>
          </w:p>
          <w:p w:rsidR="00126953" w:rsidP="00E16F5F" w:rsidRDefault="00126953" w14:paraId="3530C951" w14:textId="77777777">
            <w:pPr>
              <w:spacing w:before="60" w:after="60"/>
            </w:pPr>
            <w:r>
              <w:t>Narration:</w:t>
            </w:r>
          </w:p>
          <w:p w:rsidR="00126953" w:rsidP="00E16F5F" w:rsidRDefault="00126953" w14:paraId="77E0A9FF" w14:textId="654F82BC">
            <w:pPr>
              <w:spacing w:before="60" w:after="60"/>
            </w:pPr>
            <w:r>
              <w:t>Our powers of entry are set out in many different pieces of law. However, you just need to know about two for general activities</w:t>
            </w:r>
            <w:r w:rsidR="00752CBC">
              <w:t>.</w:t>
            </w:r>
          </w:p>
          <w:p w:rsidR="00126953" w:rsidP="00752CBC" w:rsidRDefault="00126953" w14:paraId="00E69ED7" w14:textId="77777777">
            <w:pPr>
              <w:spacing w:before="60" w:after="60"/>
            </w:pPr>
          </w:p>
        </w:tc>
      </w:tr>
    </w:tbl>
    <w:p w:rsidR="00126953" w:rsidP="00CF015B" w:rsidRDefault="00126953" w14:paraId="75018CB5" w14:textId="0F312923">
      <w:pPr>
        <w:spacing w:before="60" w:after="60"/>
      </w:pPr>
    </w:p>
    <w:tbl>
      <w:tblPr>
        <w:tblStyle w:val="TableGrid"/>
        <w:tblW w:w="0" w:type="auto"/>
        <w:tblLook w:val="04A0" w:firstRow="1" w:lastRow="0" w:firstColumn="1" w:lastColumn="0" w:noHBand="0" w:noVBand="1"/>
      </w:tblPr>
      <w:tblGrid>
        <w:gridCol w:w="8775"/>
      </w:tblGrid>
      <w:tr w:rsidRPr="007D1ADF" w:rsidR="000B633D" w:rsidTr="00E16F5F" w14:paraId="20D8F8C0" w14:textId="77777777">
        <w:trPr>
          <w:trHeight w:val="264"/>
        </w:trPr>
        <w:tc>
          <w:tcPr>
            <w:tcW w:w="8775" w:type="dxa"/>
            <w:shd w:val="clear" w:color="auto" w:fill="D9D9D9" w:themeFill="background1" w:themeFillShade="D9"/>
          </w:tcPr>
          <w:p w:rsidRPr="007D1ADF" w:rsidR="000B633D" w:rsidP="00E16F5F" w:rsidRDefault="000B633D" w14:paraId="69A2AD23" w14:textId="2A7B126A">
            <w:pPr>
              <w:pStyle w:val="Heading2"/>
              <w:spacing w:before="60" w:after="60"/>
            </w:pPr>
            <w:r>
              <w:t>Knowledge check</w:t>
            </w:r>
          </w:p>
        </w:tc>
      </w:tr>
      <w:tr w:rsidR="000B633D" w:rsidTr="00E16F5F" w14:paraId="73C8F6D6" w14:textId="77777777">
        <w:trPr>
          <w:trHeight w:val="250"/>
        </w:trPr>
        <w:tc>
          <w:tcPr>
            <w:tcW w:w="8775" w:type="dxa"/>
          </w:tcPr>
          <w:p w:rsidR="000B633D" w:rsidP="00E16F5F" w:rsidRDefault="000B633D" w14:paraId="3ECB99D8" w14:textId="7652DCE7">
            <w:pPr>
              <w:spacing w:before="60" w:after="60"/>
            </w:pPr>
            <w:r w:rsidRPr="007D1ADF">
              <w:rPr>
                <w:b/>
                <w:bCs/>
              </w:rPr>
              <w:t>Prompt</w:t>
            </w:r>
            <w:r w:rsidR="00752CBC">
              <w:rPr>
                <w:b/>
                <w:bCs/>
              </w:rPr>
              <w:t xml:space="preserve"> [question]</w:t>
            </w:r>
          </w:p>
          <w:p w:rsidR="000B633D" w:rsidP="00E16F5F" w:rsidRDefault="000B633D" w14:paraId="3CFB52F1" w14:textId="1C9EC692">
            <w:pPr>
              <w:spacing w:before="60" w:after="60"/>
            </w:pPr>
            <w:r>
              <w:t>When you get to the area you find yourself on a public road and need to walk to the site. Which of the following routes would take you onto private land</w:t>
            </w:r>
            <w:r>
              <w:t>/</w:t>
            </w:r>
            <w:r>
              <w:t>premises?</w:t>
            </w:r>
            <w:r w:rsidR="00752CBC">
              <w:t xml:space="preserve"> </w:t>
            </w:r>
          </w:p>
          <w:p w:rsidR="000B633D" w:rsidP="00E16F5F" w:rsidRDefault="000B633D" w14:paraId="65BC2109" w14:textId="7B855234">
            <w:pPr>
              <w:spacing w:before="60" w:after="60"/>
            </w:pPr>
            <w:r>
              <w:t>Option A: across a farmyard to the site</w:t>
            </w:r>
          </w:p>
          <w:p w:rsidR="000B633D" w:rsidP="00E16F5F" w:rsidRDefault="000B633D" w14:paraId="3F9F3AF3" w14:textId="35E3869E">
            <w:pPr>
              <w:spacing w:before="60" w:after="60"/>
            </w:pPr>
            <w:r>
              <w:t xml:space="preserve">Option B: </w:t>
            </w:r>
            <w:r w:rsidR="00752CBC">
              <w:t xml:space="preserve">through a gate </w:t>
            </w:r>
            <w:r>
              <w:t xml:space="preserve">along a </w:t>
            </w:r>
            <w:r w:rsidR="00752CBC">
              <w:t>path beside a fishing lake</w:t>
            </w:r>
          </w:p>
          <w:p w:rsidR="000B633D" w:rsidP="00E16F5F" w:rsidRDefault="000B633D" w14:paraId="393D3334" w14:textId="14D6D487">
            <w:pPr>
              <w:spacing w:before="60" w:after="60"/>
            </w:pPr>
            <w:r>
              <w:t xml:space="preserve">Option C: </w:t>
            </w:r>
            <w:r w:rsidR="00752CBC">
              <w:t>across a boat stretching across a river next to the road</w:t>
            </w:r>
          </w:p>
          <w:p w:rsidR="000B633D" w:rsidP="00E16F5F" w:rsidRDefault="000B633D" w14:paraId="23D9C0DF" w14:textId="040876E4">
            <w:pPr>
              <w:spacing w:before="60" w:after="60"/>
            </w:pPr>
            <w:r>
              <w:t>Option D:</w:t>
            </w:r>
            <w:r w:rsidR="00752CBC">
              <w:t xml:space="preserve"> through the village green</w:t>
            </w:r>
          </w:p>
        </w:tc>
      </w:tr>
      <w:tr w:rsidR="000B633D" w:rsidTr="00E16F5F" w14:paraId="25135D0A" w14:textId="77777777">
        <w:trPr>
          <w:trHeight w:val="250"/>
        </w:trPr>
        <w:tc>
          <w:tcPr>
            <w:tcW w:w="8775" w:type="dxa"/>
          </w:tcPr>
          <w:p w:rsidRPr="007D1ADF" w:rsidR="000B633D" w:rsidP="00E16F5F" w:rsidRDefault="000B633D" w14:paraId="7FB2690C" w14:textId="77777777">
            <w:pPr>
              <w:spacing w:before="60" w:after="60"/>
              <w:rPr>
                <w:b/>
                <w:bCs/>
              </w:rPr>
            </w:pPr>
            <w:r w:rsidRPr="007D1ADF">
              <w:rPr>
                <w:b/>
                <w:bCs/>
              </w:rPr>
              <w:t>Programming notes</w:t>
            </w:r>
          </w:p>
          <w:p w:rsidR="000B633D" w:rsidP="000B633D" w:rsidRDefault="000B633D" w14:paraId="30B0DC87" w14:textId="77777777">
            <w:pPr>
              <w:spacing w:before="60" w:after="60"/>
            </w:pPr>
            <w:r>
              <w:t>This needs a graphic illustration, ideally a 3D map with geographical features/icons and labelled routes.</w:t>
            </w:r>
          </w:p>
          <w:p w:rsidR="000B633D" w:rsidP="000B633D" w:rsidRDefault="000B633D" w14:paraId="1BB5B5FD" w14:textId="51A941D6">
            <w:pPr>
              <w:spacing w:before="60" w:after="60"/>
            </w:pPr>
            <w:r>
              <w:t>If user selects</w:t>
            </w:r>
            <w:r w:rsidR="00752CBC">
              <w:t xml:space="preserve"> any of the options jump to:</w:t>
            </w:r>
          </w:p>
        </w:tc>
      </w:tr>
    </w:tbl>
    <w:p w:rsidR="000B633D" w:rsidP="00CF015B" w:rsidRDefault="000B633D" w14:paraId="6C03D22B" w14:textId="77777777">
      <w:pPr>
        <w:spacing w:before="60" w:after="60"/>
      </w:pPr>
    </w:p>
    <w:sectPr w:rsidR="000B633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1D3B" w:rsidP="00041D3B" w:rsidRDefault="00041D3B" w14:paraId="273712DE" w14:textId="77777777">
      <w:pPr>
        <w:spacing w:after="0"/>
      </w:pPr>
      <w:r>
        <w:separator/>
      </w:r>
    </w:p>
  </w:endnote>
  <w:endnote w:type="continuationSeparator" w:id="0">
    <w:p w:rsidR="00041D3B" w:rsidP="00041D3B" w:rsidRDefault="00041D3B" w14:paraId="2E7B7D5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1D3B" w:rsidP="00041D3B" w:rsidRDefault="00041D3B" w14:paraId="7AF52B70" w14:textId="77777777">
      <w:pPr>
        <w:spacing w:after="0"/>
      </w:pPr>
      <w:r>
        <w:separator/>
      </w:r>
    </w:p>
  </w:footnote>
  <w:footnote w:type="continuationSeparator" w:id="0">
    <w:p w:rsidR="00041D3B" w:rsidP="00041D3B" w:rsidRDefault="00041D3B" w14:paraId="11472B08"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5bc3b7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0164A0"/>
    <w:multiLevelType w:val="hybridMultilevel"/>
    <w:tmpl w:val="5A32B92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3183999"/>
    <w:multiLevelType w:val="hybridMultilevel"/>
    <w:tmpl w:val="E84C666E"/>
    <w:lvl w:ilvl="0" w:tplc="08090001">
      <w:start w:val="1"/>
      <w:numFmt w:val="bullet"/>
      <w:lvlText w:val=""/>
      <w:lvlJc w:val="left"/>
      <w:pPr>
        <w:ind w:left="1451" w:hanging="360"/>
      </w:pPr>
      <w:rPr>
        <w:rFonts w:hint="default" w:ascii="Symbol" w:hAnsi="Symbol"/>
      </w:rPr>
    </w:lvl>
    <w:lvl w:ilvl="1" w:tplc="08090003" w:tentative="1">
      <w:start w:val="1"/>
      <w:numFmt w:val="bullet"/>
      <w:lvlText w:val="o"/>
      <w:lvlJc w:val="left"/>
      <w:pPr>
        <w:ind w:left="2171" w:hanging="360"/>
      </w:pPr>
      <w:rPr>
        <w:rFonts w:hint="default" w:ascii="Courier New" w:hAnsi="Courier New" w:cs="Courier New"/>
      </w:rPr>
    </w:lvl>
    <w:lvl w:ilvl="2" w:tplc="08090005" w:tentative="1">
      <w:start w:val="1"/>
      <w:numFmt w:val="bullet"/>
      <w:lvlText w:val=""/>
      <w:lvlJc w:val="left"/>
      <w:pPr>
        <w:ind w:left="2891" w:hanging="360"/>
      </w:pPr>
      <w:rPr>
        <w:rFonts w:hint="default" w:ascii="Wingdings" w:hAnsi="Wingdings"/>
      </w:rPr>
    </w:lvl>
    <w:lvl w:ilvl="3" w:tplc="08090001" w:tentative="1">
      <w:start w:val="1"/>
      <w:numFmt w:val="bullet"/>
      <w:lvlText w:val=""/>
      <w:lvlJc w:val="left"/>
      <w:pPr>
        <w:ind w:left="3611" w:hanging="360"/>
      </w:pPr>
      <w:rPr>
        <w:rFonts w:hint="default" w:ascii="Symbol" w:hAnsi="Symbol"/>
      </w:rPr>
    </w:lvl>
    <w:lvl w:ilvl="4" w:tplc="08090003" w:tentative="1">
      <w:start w:val="1"/>
      <w:numFmt w:val="bullet"/>
      <w:lvlText w:val="o"/>
      <w:lvlJc w:val="left"/>
      <w:pPr>
        <w:ind w:left="4331" w:hanging="360"/>
      </w:pPr>
      <w:rPr>
        <w:rFonts w:hint="default" w:ascii="Courier New" w:hAnsi="Courier New" w:cs="Courier New"/>
      </w:rPr>
    </w:lvl>
    <w:lvl w:ilvl="5" w:tplc="08090005" w:tentative="1">
      <w:start w:val="1"/>
      <w:numFmt w:val="bullet"/>
      <w:lvlText w:val=""/>
      <w:lvlJc w:val="left"/>
      <w:pPr>
        <w:ind w:left="5051" w:hanging="360"/>
      </w:pPr>
      <w:rPr>
        <w:rFonts w:hint="default" w:ascii="Wingdings" w:hAnsi="Wingdings"/>
      </w:rPr>
    </w:lvl>
    <w:lvl w:ilvl="6" w:tplc="08090001" w:tentative="1">
      <w:start w:val="1"/>
      <w:numFmt w:val="bullet"/>
      <w:lvlText w:val=""/>
      <w:lvlJc w:val="left"/>
      <w:pPr>
        <w:ind w:left="5771" w:hanging="360"/>
      </w:pPr>
      <w:rPr>
        <w:rFonts w:hint="default" w:ascii="Symbol" w:hAnsi="Symbol"/>
      </w:rPr>
    </w:lvl>
    <w:lvl w:ilvl="7" w:tplc="08090003" w:tentative="1">
      <w:start w:val="1"/>
      <w:numFmt w:val="bullet"/>
      <w:lvlText w:val="o"/>
      <w:lvlJc w:val="left"/>
      <w:pPr>
        <w:ind w:left="6491" w:hanging="360"/>
      </w:pPr>
      <w:rPr>
        <w:rFonts w:hint="default" w:ascii="Courier New" w:hAnsi="Courier New" w:cs="Courier New"/>
      </w:rPr>
    </w:lvl>
    <w:lvl w:ilvl="8" w:tplc="08090005" w:tentative="1">
      <w:start w:val="1"/>
      <w:numFmt w:val="bullet"/>
      <w:lvlText w:val=""/>
      <w:lvlJc w:val="left"/>
      <w:pPr>
        <w:ind w:left="7211" w:hanging="360"/>
      </w:pPr>
      <w:rPr>
        <w:rFonts w:hint="default" w:ascii="Wingdings" w:hAnsi="Wingdings"/>
      </w:rPr>
    </w:lvl>
  </w:abstractNum>
  <w:abstractNum w:abstractNumId="2" w15:restartNumberingAfterBreak="0">
    <w:nsid w:val="26D441E2"/>
    <w:multiLevelType w:val="hybridMultilevel"/>
    <w:tmpl w:val="56265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
    <w:abstractNumId w:val="3"/>
  </w:num>
  <w:num w:numId="1" w16cid:durableId="1694574558">
    <w:abstractNumId w:val="2"/>
  </w:num>
  <w:num w:numId="2" w16cid:durableId="12417806">
    <w:abstractNumId w:val="0"/>
  </w:num>
  <w:num w:numId="3" w16cid:durableId="184216464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F6"/>
    <w:rsid w:val="00041D3B"/>
    <w:rsid w:val="000B633D"/>
    <w:rsid w:val="000F4301"/>
    <w:rsid w:val="00126953"/>
    <w:rsid w:val="002639BA"/>
    <w:rsid w:val="00350FA0"/>
    <w:rsid w:val="00692C11"/>
    <w:rsid w:val="00697BF6"/>
    <w:rsid w:val="007116AE"/>
    <w:rsid w:val="00752CBC"/>
    <w:rsid w:val="007D1ADF"/>
    <w:rsid w:val="00A81CAE"/>
    <w:rsid w:val="00AE6648"/>
    <w:rsid w:val="00CD3FE2"/>
    <w:rsid w:val="00CF015B"/>
    <w:rsid w:val="00D94842"/>
    <w:rsid w:val="00DB3182"/>
    <w:rsid w:val="00E884CA"/>
    <w:rsid w:val="00EF40EC"/>
    <w:rsid w:val="01042B1A"/>
    <w:rsid w:val="01A30928"/>
    <w:rsid w:val="01BB9FE3"/>
    <w:rsid w:val="063986E7"/>
    <w:rsid w:val="074F7137"/>
    <w:rsid w:val="075679F3"/>
    <w:rsid w:val="0C12D7D0"/>
    <w:rsid w:val="0D99D104"/>
    <w:rsid w:val="0E8F8B80"/>
    <w:rsid w:val="0FE4F651"/>
    <w:rsid w:val="18E4A282"/>
    <w:rsid w:val="1B4E7F2E"/>
    <w:rsid w:val="1CCC3E38"/>
    <w:rsid w:val="1D321D06"/>
    <w:rsid w:val="1ECDED67"/>
    <w:rsid w:val="1F4A7712"/>
    <w:rsid w:val="2069BDC8"/>
    <w:rsid w:val="21C3485E"/>
    <w:rsid w:val="22058E29"/>
    <w:rsid w:val="2388362D"/>
    <w:rsid w:val="296892A0"/>
    <w:rsid w:val="29779594"/>
    <w:rsid w:val="2C025D51"/>
    <w:rsid w:val="2EF4FD79"/>
    <w:rsid w:val="3050338F"/>
    <w:rsid w:val="310DC5B7"/>
    <w:rsid w:val="3269478C"/>
    <w:rsid w:val="33D0003C"/>
    <w:rsid w:val="342C3E1C"/>
    <w:rsid w:val="35DB115E"/>
    <w:rsid w:val="37E2E609"/>
    <w:rsid w:val="3A9B7FA0"/>
    <w:rsid w:val="3B19250A"/>
    <w:rsid w:val="3DD32062"/>
    <w:rsid w:val="3F94C8C0"/>
    <w:rsid w:val="417C5AF2"/>
    <w:rsid w:val="523D510E"/>
    <w:rsid w:val="52AB7A78"/>
    <w:rsid w:val="547D8DA3"/>
    <w:rsid w:val="5999C327"/>
    <w:rsid w:val="5F5FCF99"/>
    <w:rsid w:val="60B84F2F"/>
    <w:rsid w:val="6277821C"/>
    <w:rsid w:val="64ECE218"/>
    <w:rsid w:val="65513196"/>
    <w:rsid w:val="664F8C93"/>
    <w:rsid w:val="66BC0E2E"/>
    <w:rsid w:val="67CF6A70"/>
    <w:rsid w:val="6A8A8187"/>
    <w:rsid w:val="6DC22249"/>
    <w:rsid w:val="6ED4F8E4"/>
    <w:rsid w:val="6F5DF2AA"/>
    <w:rsid w:val="72EADE75"/>
    <w:rsid w:val="743163CD"/>
    <w:rsid w:val="75CD342E"/>
    <w:rsid w:val="786582C9"/>
    <w:rsid w:val="79DF6F86"/>
    <w:rsid w:val="79F897E3"/>
    <w:rsid w:val="7A1CBFA4"/>
    <w:rsid w:val="7E68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3A857"/>
  <w15:chartTrackingRefBased/>
  <w15:docId w15:val="{19E3D7D6-7FDE-499B-B95B-FB83A4FEA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1AD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1AD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D1ADF"/>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D1ADF"/>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7D1ADF"/>
    <w:rPr>
      <w:rFonts w:asciiTheme="majorHAnsi" w:hAnsiTheme="majorHAnsi" w:eastAsiaTheme="majorEastAsia" w:cstheme="majorBidi"/>
      <w:color w:val="2F5496" w:themeColor="accent1" w:themeShade="BF"/>
      <w:sz w:val="26"/>
      <w:szCs w:val="26"/>
    </w:rPr>
  </w:style>
  <w:style w:type="character" w:styleId="IntenseReference">
    <w:name w:val="Intense Reference"/>
    <w:basedOn w:val="DefaultParagraphFont"/>
    <w:uiPriority w:val="32"/>
    <w:qFormat/>
    <w:rsid w:val="007D1ADF"/>
    <w:rPr>
      <w:b/>
      <w:bCs/>
      <w:smallCaps/>
      <w:color w:val="4472C4" w:themeColor="accent1"/>
      <w:spacing w:val="5"/>
    </w:rPr>
  </w:style>
  <w:style w:type="paragraph" w:styleId="ListParagraph">
    <w:name w:val="List Paragraph"/>
    <w:basedOn w:val="Normal"/>
    <w:uiPriority w:val="34"/>
    <w:qFormat/>
    <w:rsid w:val="00CD3FE2"/>
    <w:pPr>
      <w:ind w:left="720"/>
      <w:contextualSpacing/>
    </w:pPr>
  </w:style>
  <w:style w:type="character" w:styleId="Hyperlink">
    <w:name w:val="Hyperlink"/>
    <w:basedOn w:val="DefaultParagraphFont"/>
    <w:uiPriority w:val="99"/>
    <w:unhideWhenUsed/>
    <w:rsid w:val="000F4301"/>
    <w:rPr>
      <w:color w:val="0563C1" w:themeColor="hyperlink"/>
      <w:u w:val="single"/>
    </w:rPr>
  </w:style>
  <w:style w:type="character" w:styleId="UnresolvedMention">
    <w:name w:val="Unresolved Mention"/>
    <w:basedOn w:val="DefaultParagraphFont"/>
    <w:uiPriority w:val="99"/>
    <w:semiHidden/>
    <w:unhideWhenUsed/>
    <w:rsid w:val="000F4301"/>
    <w:rPr>
      <w:color w:val="605E5C"/>
      <w:shd w:val="clear" w:color="auto" w:fill="E1DFDD"/>
    </w:rPr>
  </w:style>
  <w:style w:type="character" w:styleId="FollowedHyperlink">
    <w:name w:val="FollowedHyperlink"/>
    <w:basedOn w:val="DefaultParagraphFont"/>
    <w:uiPriority w:val="99"/>
    <w:semiHidden/>
    <w:unhideWhenUsed/>
    <w:rsid w:val="001269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46CD55B86A91F449CF68B58A148BE76" ma:contentTypeVersion="18" ma:contentTypeDescription="Create a new document." ma:contentTypeScope="" ma:versionID="4c0fdadefb866d295cc824f7d57f550d">
  <xsd:schema xmlns:xsd="http://www.w3.org/2001/XMLSchema" xmlns:xs="http://www.w3.org/2001/XMLSchema" xmlns:p="http://schemas.microsoft.com/office/2006/metadata/properties" xmlns:ns2="662745e8-e224-48e8-a2e3-254862b8c2f5" xmlns:ns3="2322e060-84f5-47f7-9da4-e2ad6fe9532d" xmlns:ns4="5e979fae-e1a4-47f6-bb26-e00f2f66025b" targetNamespace="http://schemas.microsoft.com/office/2006/metadata/properties" ma:root="true" ma:fieldsID="1a0204cda80bbb4b7b61037b8ff480b3" ns2:_="" ns3:_="" ns4:_="">
    <xsd:import namespace="662745e8-e224-48e8-a2e3-254862b8c2f5"/>
    <xsd:import namespace="2322e060-84f5-47f7-9da4-e2ad6fe9532d"/>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9587126-d503-4975-b33a-0016d677bb9c}"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587126-d503-4975-b33a-0016d677bb9c}"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nforcement Business and Improvements" ma:internalName="Team">
      <xsd:simpleType>
        <xsd:restriction base="dms:Text"/>
      </xsd:simpleType>
    </xsd:element>
    <xsd:element name="Topic" ma:index="20" nillable="true" ma:displayName="Topic" ma:default="S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2e060-84f5-47f7-9da4-e2ad6fe9532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lcf76f155ced4ddcb4097134ff3c332f xmlns="2322e060-84f5-47f7-9da4-e2ad6fe9532d">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SD</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Enforcement Business and Improvements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871BE64-1D77-476E-B72A-0F5F78B2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322e060-84f5-47f7-9da4-e2ad6fe9532d"/>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55712-B61E-4A0A-9ABC-40F7291CB560}">
  <ds:schemaRefs>
    <ds:schemaRef ds:uri="Microsoft.SharePoint.Taxonomy.ContentTypeSync"/>
  </ds:schemaRefs>
</ds:datastoreItem>
</file>

<file path=customXml/itemProps3.xml><?xml version="1.0" encoding="utf-8"?>
<ds:datastoreItem xmlns:ds="http://schemas.openxmlformats.org/officeDocument/2006/customXml" ds:itemID="{E4DB9958-D615-4B02-B23A-1CF7DE508269}">
  <ds:schemaRefs>
    <ds:schemaRef ds:uri="http://schemas.microsoft.com/sharepoint/v3/contenttype/forms"/>
  </ds:schemaRefs>
</ds:datastoreItem>
</file>

<file path=customXml/itemProps4.xml><?xml version="1.0" encoding="utf-8"?>
<ds:datastoreItem xmlns:ds="http://schemas.openxmlformats.org/officeDocument/2006/customXml" ds:itemID="{0EAC1D8E-C735-49E4-B618-A9168F8F188C}">
  <ds:schemaRefs>
    <ds:schemaRef ds:uri="http://www.w3.org/XML/1998/namespace"/>
    <ds:schemaRef ds:uri="5e979fae-e1a4-47f6-bb26-e00f2f66025b"/>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2322e060-84f5-47f7-9da4-e2ad6fe9532d"/>
    <ds:schemaRef ds:uri="662745e8-e224-48e8-a2e3-254862b8c2f5"/>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Sam K</dc:creator>
  <cp:keywords/>
  <dc:description/>
  <cp:lastModifiedBy>Bell, Sam</cp:lastModifiedBy>
  <cp:revision>4</cp:revision>
  <dcterms:created xsi:type="dcterms:W3CDTF">2023-04-14T10:58:00Z</dcterms:created>
  <dcterms:modified xsi:type="dcterms:W3CDTF">2023-05-11T08:28:30Z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0x010100A5BF1C78D9F64B679A5EBDE1C6598EBC0100646CD55B86A91F449CF68B58A148BE76</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ies>
</file>