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777D99">
          <w:pPr>
            <w:pStyle w:val="Heading1"/>
          </w:pPr>
          <w:r>
            <w:t>Invitation to Tender (ITT) and Statement of Requirement</w:t>
          </w:r>
        </w:p>
      </w:sdtContent>
    </w:sdt>
    <w:p w14:paraId="49400A4C" w14:textId="404F2023" w:rsidR="00FC6860" w:rsidRPr="00574B16" w:rsidRDefault="00887AE1" w:rsidP="00777D99">
      <w:pPr>
        <w:pStyle w:val="Heading1"/>
        <w:rPr>
          <w:rStyle w:val="chrSubTitle"/>
          <w:color w:val="B1173B"/>
        </w:rPr>
      </w:pPr>
      <w:r w:rsidRPr="07216C3C">
        <w:rPr>
          <w:rStyle w:val="chrSubTitle"/>
          <w:color w:val="B1173B" w:themeColor="accent1"/>
        </w:rPr>
        <w:t xml:space="preserve">Analysis to inform </w:t>
      </w:r>
      <w:r w:rsidR="64F7D15E" w:rsidRPr="07216C3C">
        <w:rPr>
          <w:rStyle w:val="chrSubTitle"/>
          <w:color w:val="B1173B" w:themeColor="accent1"/>
        </w:rPr>
        <w:t>ORR’s</w:t>
      </w:r>
      <w:r w:rsidRPr="07216C3C">
        <w:rPr>
          <w:rStyle w:val="chrSubTitle"/>
          <w:color w:val="B1173B" w:themeColor="accent1"/>
        </w:rPr>
        <w:t xml:space="preserve"> RIS3 Efficiency Review</w:t>
      </w:r>
    </w:p>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9-28T00:00:00Z">
          <w:dateFormat w:val="dd MMMM yyyy"/>
          <w:lid w:val="en-GB"/>
          <w:storeMappedDataAs w:val="dateTime"/>
          <w:calendar w:val="gregorian"/>
        </w:date>
      </w:sdtPr>
      <w:sdtEndPr/>
      <w:sdtContent>
        <w:p w14:paraId="38D7D855" w14:textId="69EE1317" w:rsidR="00FC6860" w:rsidRDefault="00E16C2C" w:rsidP="00777D99">
          <w:pPr>
            <w:pStyle w:val="Date"/>
          </w:pPr>
          <w:r>
            <w:rPr>
              <w:bCs/>
            </w:rPr>
            <w:t>28 September 2023</w:t>
          </w:r>
        </w:p>
      </w:sdtContent>
    </w:sdt>
    <w:p w14:paraId="512B2E87" w14:textId="77777777" w:rsidR="003E5612" w:rsidRDefault="003E5612" w:rsidP="003E5612"/>
    <w:p w14:paraId="0B23CADF" w14:textId="70A11FAE" w:rsidR="003E5612" w:rsidRPr="00574B16" w:rsidRDefault="003E5612" w:rsidP="003E5612">
      <w:pPr>
        <w:pStyle w:val="NormalBulletround"/>
        <w:rPr>
          <w:b/>
          <w:bCs/>
          <w:color w:val="B1173B"/>
        </w:rPr>
      </w:pPr>
      <w:r w:rsidRPr="0EF56BE9">
        <w:rPr>
          <w:b/>
          <w:bCs/>
        </w:rPr>
        <w:t xml:space="preserve">CPV Code: </w:t>
      </w:r>
      <w:r w:rsidR="00E16C2C" w:rsidRPr="00E16C2C">
        <w:rPr>
          <w:b/>
          <w:bCs/>
          <w:color w:val="B1173B" w:themeColor="accent1"/>
        </w:rPr>
        <w:t>72221000</w:t>
      </w:r>
    </w:p>
    <w:p w14:paraId="4B92FCBC" w14:textId="2D36BEAE" w:rsidR="00FC6860" w:rsidRPr="00574B16" w:rsidRDefault="003E5612" w:rsidP="003E5612">
      <w:pPr>
        <w:pStyle w:val="NormalBulletround"/>
        <w:rPr>
          <w:b/>
          <w:bCs/>
          <w:color w:val="B1173B"/>
        </w:rPr>
      </w:pPr>
      <w:r w:rsidRPr="0EF56BE9">
        <w:rPr>
          <w:b/>
          <w:bCs/>
        </w:rPr>
        <w:t>Tender Reference:</w:t>
      </w:r>
      <w:r w:rsidRPr="0EF56BE9">
        <w:rPr>
          <w:b/>
          <w:bCs/>
          <w:color w:val="B1173B" w:themeColor="accent1"/>
        </w:rPr>
        <w:t xml:space="preserve"> </w:t>
      </w:r>
      <w:r w:rsidR="00E16C2C">
        <w:rPr>
          <w:b/>
          <w:bCs/>
          <w:color w:val="B1173B" w:themeColor="accent1"/>
        </w:rPr>
        <w:t>ORR/CT/23-33</w:t>
      </w:r>
    </w:p>
    <w:p w14:paraId="645E9675" w14:textId="77777777" w:rsidR="00FC6860" w:rsidRDefault="00FC6860" w:rsidP="00777D99"/>
    <w:p w14:paraId="60F6998D" w14:textId="4BD04338" w:rsidR="003E5612" w:rsidRDefault="003E5612" w:rsidP="00777D99">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777D99">
      <w:pPr>
        <w:pStyle w:val="Heading2NoToc"/>
      </w:pPr>
      <w:r>
        <w:lastRenderedPageBreak/>
        <w:t>Contents</w:t>
      </w:r>
    </w:p>
    <w:p w14:paraId="29D1F52C" w14:textId="5AE4C154" w:rsidR="003E79CD" w:rsidRDefault="00FC6860">
      <w:pPr>
        <w:pStyle w:val="TOC1"/>
        <w:rPr>
          <w:rFonts w:asciiTheme="minorHAnsi" w:eastAsiaTheme="minorEastAsia" w:hAnsiTheme="minorHAnsi"/>
          <w:color w:val="auto"/>
          <w:kern w:val="2"/>
          <w:sz w:val="22"/>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45075924" w:history="1">
        <w:r w:rsidR="003E79CD" w:rsidRPr="00403758">
          <w:rPr>
            <w:rStyle w:val="Hyperlink"/>
          </w:rPr>
          <w:t>Purpose of the document</w:t>
        </w:r>
        <w:r w:rsidR="003E79CD">
          <w:rPr>
            <w:webHidden/>
          </w:rPr>
          <w:tab/>
        </w:r>
        <w:r w:rsidR="003E79CD">
          <w:rPr>
            <w:webHidden/>
          </w:rPr>
          <w:fldChar w:fldCharType="begin"/>
        </w:r>
        <w:r w:rsidR="003E79CD">
          <w:rPr>
            <w:webHidden/>
          </w:rPr>
          <w:instrText xml:space="preserve"> PAGEREF _Toc145075924 \h </w:instrText>
        </w:r>
        <w:r w:rsidR="003E79CD">
          <w:rPr>
            <w:webHidden/>
          </w:rPr>
        </w:r>
        <w:r w:rsidR="003E79CD">
          <w:rPr>
            <w:webHidden/>
          </w:rPr>
          <w:fldChar w:fldCharType="separate"/>
        </w:r>
        <w:r w:rsidR="003E79CD">
          <w:rPr>
            <w:webHidden/>
          </w:rPr>
          <w:t>3</w:t>
        </w:r>
        <w:r w:rsidR="003E79CD">
          <w:rPr>
            <w:webHidden/>
          </w:rPr>
          <w:fldChar w:fldCharType="end"/>
        </w:r>
      </w:hyperlink>
    </w:p>
    <w:p w14:paraId="76B76C27" w14:textId="1B4F10B5" w:rsidR="003E79CD" w:rsidRDefault="00F04259">
      <w:pPr>
        <w:pStyle w:val="TOC1"/>
        <w:rPr>
          <w:rFonts w:asciiTheme="minorHAnsi" w:eastAsiaTheme="minorEastAsia" w:hAnsiTheme="minorHAnsi"/>
          <w:color w:val="auto"/>
          <w:kern w:val="2"/>
          <w:sz w:val="22"/>
          <w:lang w:eastAsia="en-GB"/>
          <w14:ligatures w14:val="standardContextual"/>
        </w:rPr>
      </w:pPr>
      <w:hyperlink w:anchor="_Toc145075925" w:history="1">
        <w:r w:rsidR="003E79CD" w:rsidRPr="00403758">
          <w:rPr>
            <w:rStyle w:val="Hyperlink"/>
          </w:rPr>
          <w:t>1.</w:t>
        </w:r>
        <w:r w:rsidR="003E79CD">
          <w:rPr>
            <w:rFonts w:asciiTheme="minorHAnsi" w:eastAsiaTheme="minorEastAsia" w:hAnsiTheme="minorHAnsi"/>
            <w:color w:val="auto"/>
            <w:kern w:val="2"/>
            <w:sz w:val="22"/>
            <w:lang w:eastAsia="en-GB"/>
            <w14:ligatures w14:val="standardContextual"/>
          </w:rPr>
          <w:tab/>
        </w:r>
        <w:r w:rsidR="003E79CD" w:rsidRPr="00403758">
          <w:rPr>
            <w:rStyle w:val="Hyperlink"/>
          </w:rPr>
          <w:t>Introduction to the Office of Rail and Road</w:t>
        </w:r>
        <w:r w:rsidR="003E79CD">
          <w:rPr>
            <w:webHidden/>
          </w:rPr>
          <w:tab/>
        </w:r>
        <w:r w:rsidR="003E79CD">
          <w:rPr>
            <w:webHidden/>
          </w:rPr>
          <w:fldChar w:fldCharType="begin"/>
        </w:r>
        <w:r w:rsidR="003E79CD">
          <w:rPr>
            <w:webHidden/>
          </w:rPr>
          <w:instrText xml:space="preserve"> PAGEREF _Toc145075925 \h </w:instrText>
        </w:r>
        <w:r w:rsidR="003E79CD">
          <w:rPr>
            <w:webHidden/>
          </w:rPr>
        </w:r>
        <w:r w:rsidR="003E79CD">
          <w:rPr>
            <w:webHidden/>
          </w:rPr>
          <w:fldChar w:fldCharType="separate"/>
        </w:r>
        <w:r w:rsidR="003E79CD">
          <w:rPr>
            <w:webHidden/>
          </w:rPr>
          <w:t>4</w:t>
        </w:r>
        <w:r w:rsidR="003E79CD">
          <w:rPr>
            <w:webHidden/>
          </w:rPr>
          <w:fldChar w:fldCharType="end"/>
        </w:r>
      </w:hyperlink>
    </w:p>
    <w:p w14:paraId="75BD05D5" w14:textId="21FB83EF"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26" w:history="1">
        <w:r w:rsidR="003E79CD" w:rsidRPr="00403758">
          <w:rPr>
            <w:rStyle w:val="Hyperlink"/>
            <w:noProof/>
          </w:rPr>
          <w:t>Our strategic objectives</w:t>
        </w:r>
        <w:r w:rsidR="003E79CD">
          <w:rPr>
            <w:noProof/>
            <w:webHidden/>
          </w:rPr>
          <w:tab/>
        </w:r>
        <w:r w:rsidR="003E79CD">
          <w:rPr>
            <w:noProof/>
            <w:webHidden/>
          </w:rPr>
          <w:fldChar w:fldCharType="begin"/>
        </w:r>
        <w:r w:rsidR="003E79CD">
          <w:rPr>
            <w:noProof/>
            <w:webHidden/>
          </w:rPr>
          <w:instrText xml:space="preserve"> PAGEREF _Toc145075926 \h </w:instrText>
        </w:r>
        <w:r w:rsidR="003E79CD">
          <w:rPr>
            <w:noProof/>
            <w:webHidden/>
          </w:rPr>
        </w:r>
        <w:r w:rsidR="003E79CD">
          <w:rPr>
            <w:noProof/>
            <w:webHidden/>
          </w:rPr>
          <w:fldChar w:fldCharType="separate"/>
        </w:r>
        <w:r w:rsidR="003E79CD">
          <w:rPr>
            <w:noProof/>
            <w:webHidden/>
          </w:rPr>
          <w:t>4</w:t>
        </w:r>
        <w:r w:rsidR="003E79CD">
          <w:rPr>
            <w:noProof/>
            <w:webHidden/>
          </w:rPr>
          <w:fldChar w:fldCharType="end"/>
        </w:r>
      </w:hyperlink>
    </w:p>
    <w:p w14:paraId="6F95AB58" w14:textId="1A8C99E5"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27" w:history="1">
        <w:r w:rsidR="003E79CD" w:rsidRPr="00403758">
          <w:rPr>
            <w:rStyle w:val="Hyperlink"/>
            <w:noProof/>
          </w:rPr>
          <w:t>Supplying ORR</w:t>
        </w:r>
        <w:r w:rsidR="003E79CD">
          <w:rPr>
            <w:noProof/>
            <w:webHidden/>
          </w:rPr>
          <w:tab/>
        </w:r>
        <w:r w:rsidR="003E79CD">
          <w:rPr>
            <w:noProof/>
            <w:webHidden/>
          </w:rPr>
          <w:fldChar w:fldCharType="begin"/>
        </w:r>
        <w:r w:rsidR="003E79CD">
          <w:rPr>
            <w:noProof/>
            <w:webHidden/>
          </w:rPr>
          <w:instrText xml:space="preserve"> PAGEREF _Toc145075927 \h </w:instrText>
        </w:r>
        <w:r w:rsidR="003E79CD">
          <w:rPr>
            <w:noProof/>
            <w:webHidden/>
          </w:rPr>
        </w:r>
        <w:r w:rsidR="003E79CD">
          <w:rPr>
            <w:noProof/>
            <w:webHidden/>
          </w:rPr>
          <w:fldChar w:fldCharType="separate"/>
        </w:r>
        <w:r w:rsidR="003E79CD">
          <w:rPr>
            <w:noProof/>
            <w:webHidden/>
          </w:rPr>
          <w:t>4</w:t>
        </w:r>
        <w:r w:rsidR="003E79CD">
          <w:rPr>
            <w:noProof/>
            <w:webHidden/>
          </w:rPr>
          <w:fldChar w:fldCharType="end"/>
        </w:r>
      </w:hyperlink>
    </w:p>
    <w:p w14:paraId="5BDB4F9F" w14:textId="0E29D4D6" w:rsidR="003E79CD" w:rsidRDefault="00F04259">
      <w:pPr>
        <w:pStyle w:val="TOC1"/>
        <w:rPr>
          <w:rFonts w:asciiTheme="minorHAnsi" w:eastAsiaTheme="minorEastAsia" w:hAnsiTheme="minorHAnsi"/>
          <w:color w:val="auto"/>
          <w:kern w:val="2"/>
          <w:sz w:val="22"/>
          <w:lang w:eastAsia="en-GB"/>
          <w14:ligatures w14:val="standardContextual"/>
        </w:rPr>
      </w:pPr>
      <w:hyperlink w:anchor="_Toc145075928" w:history="1">
        <w:r w:rsidR="003E79CD" w:rsidRPr="00403758">
          <w:rPr>
            <w:rStyle w:val="Hyperlink"/>
          </w:rPr>
          <w:t>Small and Medium Enterprises</w:t>
        </w:r>
        <w:r w:rsidR="003E79CD">
          <w:rPr>
            <w:webHidden/>
          </w:rPr>
          <w:tab/>
        </w:r>
        <w:r w:rsidR="003E79CD">
          <w:rPr>
            <w:webHidden/>
          </w:rPr>
          <w:fldChar w:fldCharType="begin"/>
        </w:r>
        <w:r w:rsidR="003E79CD">
          <w:rPr>
            <w:webHidden/>
          </w:rPr>
          <w:instrText xml:space="preserve"> PAGEREF _Toc145075928 \h </w:instrText>
        </w:r>
        <w:r w:rsidR="003E79CD">
          <w:rPr>
            <w:webHidden/>
          </w:rPr>
        </w:r>
        <w:r w:rsidR="003E79CD">
          <w:rPr>
            <w:webHidden/>
          </w:rPr>
          <w:fldChar w:fldCharType="separate"/>
        </w:r>
        <w:r w:rsidR="003E79CD">
          <w:rPr>
            <w:webHidden/>
          </w:rPr>
          <w:t>6</w:t>
        </w:r>
        <w:r w:rsidR="003E79CD">
          <w:rPr>
            <w:webHidden/>
          </w:rPr>
          <w:fldChar w:fldCharType="end"/>
        </w:r>
      </w:hyperlink>
    </w:p>
    <w:p w14:paraId="078A5BF5" w14:textId="29131D4E" w:rsidR="003E79CD" w:rsidRDefault="00F04259">
      <w:pPr>
        <w:pStyle w:val="TOC1"/>
        <w:rPr>
          <w:rFonts w:asciiTheme="minorHAnsi" w:eastAsiaTheme="minorEastAsia" w:hAnsiTheme="minorHAnsi"/>
          <w:color w:val="auto"/>
          <w:kern w:val="2"/>
          <w:sz w:val="22"/>
          <w:lang w:eastAsia="en-GB"/>
          <w14:ligatures w14:val="standardContextual"/>
        </w:rPr>
      </w:pPr>
      <w:hyperlink w:anchor="_Toc145075929" w:history="1">
        <w:r w:rsidR="003E79CD" w:rsidRPr="00403758">
          <w:rPr>
            <w:rStyle w:val="Hyperlink"/>
          </w:rPr>
          <w:t>2.</w:t>
        </w:r>
        <w:r w:rsidR="003E79CD">
          <w:rPr>
            <w:rFonts w:asciiTheme="minorHAnsi" w:eastAsiaTheme="minorEastAsia" w:hAnsiTheme="minorHAnsi"/>
            <w:color w:val="auto"/>
            <w:kern w:val="2"/>
            <w:sz w:val="22"/>
            <w:lang w:eastAsia="en-GB"/>
            <w14:ligatures w14:val="standardContextual"/>
          </w:rPr>
          <w:tab/>
        </w:r>
        <w:r w:rsidR="003E79CD" w:rsidRPr="00403758">
          <w:rPr>
            <w:rStyle w:val="Hyperlink"/>
          </w:rPr>
          <w:t>Statement of Requirement</w:t>
        </w:r>
        <w:r w:rsidR="003E79CD">
          <w:rPr>
            <w:webHidden/>
          </w:rPr>
          <w:tab/>
        </w:r>
        <w:r w:rsidR="003E79CD">
          <w:rPr>
            <w:webHidden/>
          </w:rPr>
          <w:fldChar w:fldCharType="begin"/>
        </w:r>
        <w:r w:rsidR="003E79CD">
          <w:rPr>
            <w:webHidden/>
          </w:rPr>
          <w:instrText xml:space="preserve"> PAGEREF _Toc145075929 \h </w:instrText>
        </w:r>
        <w:r w:rsidR="003E79CD">
          <w:rPr>
            <w:webHidden/>
          </w:rPr>
        </w:r>
        <w:r w:rsidR="003E79CD">
          <w:rPr>
            <w:webHidden/>
          </w:rPr>
          <w:fldChar w:fldCharType="separate"/>
        </w:r>
        <w:r w:rsidR="003E79CD">
          <w:rPr>
            <w:webHidden/>
          </w:rPr>
          <w:t>7</w:t>
        </w:r>
        <w:r w:rsidR="003E79CD">
          <w:rPr>
            <w:webHidden/>
          </w:rPr>
          <w:fldChar w:fldCharType="end"/>
        </w:r>
      </w:hyperlink>
    </w:p>
    <w:p w14:paraId="61F68DA2" w14:textId="38D21FEE"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30" w:history="1">
        <w:r w:rsidR="003E79CD" w:rsidRPr="00403758">
          <w:rPr>
            <w:rStyle w:val="Hyperlink"/>
            <w:noProof/>
          </w:rPr>
          <w:t>2.1 Background of the project</w:t>
        </w:r>
        <w:r w:rsidR="003E79CD">
          <w:rPr>
            <w:noProof/>
            <w:webHidden/>
          </w:rPr>
          <w:tab/>
        </w:r>
        <w:r w:rsidR="003E79CD">
          <w:rPr>
            <w:noProof/>
            <w:webHidden/>
          </w:rPr>
          <w:fldChar w:fldCharType="begin"/>
        </w:r>
        <w:r w:rsidR="003E79CD">
          <w:rPr>
            <w:noProof/>
            <w:webHidden/>
          </w:rPr>
          <w:instrText xml:space="preserve"> PAGEREF _Toc145075930 \h </w:instrText>
        </w:r>
        <w:r w:rsidR="003E79CD">
          <w:rPr>
            <w:noProof/>
            <w:webHidden/>
          </w:rPr>
        </w:r>
        <w:r w:rsidR="003E79CD">
          <w:rPr>
            <w:noProof/>
            <w:webHidden/>
          </w:rPr>
          <w:fldChar w:fldCharType="separate"/>
        </w:r>
        <w:r w:rsidR="003E79CD">
          <w:rPr>
            <w:noProof/>
            <w:webHidden/>
          </w:rPr>
          <w:t>7</w:t>
        </w:r>
        <w:r w:rsidR="003E79CD">
          <w:rPr>
            <w:noProof/>
            <w:webHidden/>
          </w:rPr>
          <w:fldChar w:fldCharType="end"/>
        </w:r>
      </w:hyperlink>
    </w:p>
    <w:p w14:paraId="4AA47291" w14:textId="59C09717"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31" w:history="1">
        <w:r w:rsidR="003E79CD" w:rsidRPr="00403758">
          <w:rPr>
            <w:rStyle w:val="Hyperlink"/>
            <w:noProof/>
          </w:rPr>
          <w:t>2.2 Project Objectives and Scope</w:t>
        </w:r>
        <w:r w:rsidR="003E79CD">
          <w:rPr>
            <w:noProof/>
            <w:webHidden/>
          </w:rPr>
          <w:tab/>
        </w:r>
        <w:r w:rsidR="003E79CD">
          <w:rPr>
            <w:noProof/>
            <w:webHidden/>
          </w:rPr>
          <w:fldChar w:fldCharType="begin"/>
        </w:r>
        <w:r w:rsidR="003E79CD">
          <w:rPr>
            <w:noProof/>
            <w:webHidden/>
          </w:rPr>
          <w:instrText xml:space="preserve"> PAGEREF _Toc145075931 \h </w:instrText>
        </w:r>
        <w:r w:rsidR="003E79CD">
          <w:rPr>
            <w:noProof/>
            <w:webHidden/>
          </w:rPr>
        </w:r>
        <w:r w:rsidR="003E79CD">
          <w:rPr>
            <w:noProof/>
            <w:webHidden/>
          </w:rPr>
          <w:fldChar w:fldCharType="separate"/>
        </w:r>
        <w:r w:rsidR="003E79CD">
          <w:rPr>
            <w:noProof/>
            <w:webHidden/>
          </w:rPr>
          <w:t>8</w:t>
        </w:r>
        <w:r w:rsidR="003E79CD">
          <w:rPr>
            <w:noProof/>
            <w:webHidden/>
          </w:rPr>
          <w:fldChar w:fldCharType="end"/>
        </w:r>
      </w:hyperlink>
    </w:p>
    <w:p w14:paraId="21CC020A" w14:textId="41A8BBE1"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32" w:history="1">
        <w:r w:rsidR="003E79CD" w:rsidRPr="00403758">
          <w:rPr>
            <w:rStyle w:val="Hyperlink"/>
            <w:noProof/>
          </w:rPr>
          <w:t>2.3 Project Outputs, Deliverables and Contract Management</w:t>
        </w:r>
        <w:r w:rsidR="003E79CD">
          <w:rPr>
            <w:noProof/>
            <w:webHidden/>
          </w:rPr>
          <w:tab/>
        </w:r>
        <w:r w:rsidR="003E79CD">
          <w:rPr>
            <w:noProof/>
            <w:webHidden/>
          </w:rPr>
          <w:fldChar w:fldCharType="begin"/>
        </w:r>
        <w:r w:rsidR="003E79CD">
          <w:rPr>
            <w:noProof/>
            <w:webHidden/>
          </w:rPr>
          <w:instrText xml:space="preserve"> PAGEREF _Toc145075932 \h </w:instrText>
        </w:r>
        <w:r w:rsidR="003E79CD">
          <w:rPr>
            <w:noProof/>
            <w:webHidden/>
          </w:rPr>
        </w:r>
        <w:r w:rsidR="003E79CD">
          <w:rPr>
            <w:noProof/>
            <w:webHidden/>
          </w:rPr>
          <w:fldChar w:fldCharType="separate"/>
        </w:r>
        <w:r w:rsidR="003E79CD">
          <w:rPr>
            <w:noProof/>
            <w:webHidden/>
          </w:rPr>
          <w:t>17</w:t>
        </w:r>
        <w:r w:rsidR="003E79CD">
          <w:rPr>
            <w:noProof/>
            <w:webHidden/>
          </w:rPr>
          <w:fldChar w:fldCharType="end"/>
        </w:r>
      </w:hyperlink>
    </w:p>
    <w:p w14:paraId="2A76F98C" w14:textId="1849C9B6"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33" w:history="1">
        <w:r w:rsidR="003E79CD" w:rsidRPr="00403758">
          <w:rPr>
            <w:rStyle w:val="Hyperlink"/>
            <w:noProof/>
          </w:rPr>
          <w:t>2.4 Project Timescales</w:t>
        </w:r>
        <w:r w:rsidR="003E79CD">
          <w:rPr>
            <w:noProof/>
            <w:webHidden/>
          </w:rPr>
          <w:tab/>
        </w:r>
        <w:r w:rsidR="003E79CD">
          <w:rPr>
            <w:noProof/>
            <w:webHidden/>
          </w:rPr>
          <w:fldChar w:fldCharType="begin"/>
        </w:r>
        <w:r w:rsidR="003E79CD">
          <w:rPr>
            <w:noProof/>
            <w:webHidden/>
          </w:rPr>
          <w:instrText xml:space="preserve"> PAGEREF _Toc145075933 \h </w:instrText>
        </w:r>
        <w:r w:rsidR="003E79CD">
          <w:rPr>
            <w:noProof/>
            <w:webHidden/>
          </w:rPr>
        </w:r>
        <w:r w:rsidR="003E79CD">
          <w:rPr>
            <w:noProof/>
            <w:webHidden/>
          </w:rPr>
          <w:fldChar w:fldCharType="separate"/>
        </w:r>
        <w:r w:rsidR="003E79CD">
          <w:rPr>
            <w:noProof/>
            <w:webHidden/>
          </w:rPr>
          <w:t>17</w:t>
        </w:r>
        <w:r w:rsidR="003E79CD">
          <w:rPr>
            <w:noProof/>
            <w:webHidden/>
          </w:rPr>
          <w:fldChar w:fldCharType="end"/>
        </w:r>
      </w:hyperlink>
    </w:p>
    <w:p w14:paraId="31504760" w14:textId="72275A8B"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34" w:history="1">
        <w:r w:rsidR="003E79CD" w:rsidRPr="00403758">
          <w:rPr>
            <w:rStyle w:val="Hyperlink"/>
            <w:noProof/>
          </w:rPr>
          <w:t>2.5 Budget and Payment Schedule</w:t>
        </w:r>
        <w:r w:rsidR="003E79CD">
          <w:rPr>
            <w:noProof/>
            <w:webHidden/>
          </w:rPr>
          <w:tab/>
        </w:r>
        <w:r w:rsidR="003E79CD">
          <w:rPr>
            <w:noProof/>
            <w:webHidden/>
          </w:rPr>
          <w:fldChar w:fldCharType="begin"/>
        </w:r>
        <w:r w:rsidR="003E79CD">
          <w:rPr>
            <w:noProof/>
            <w:webHidden/>
          </w:rPr>
          <w:instrText xml:space="preserve"> PAGEREF _Toc145075934 \h </w:instrText>
        </w:r>
        <w:r w:rsidR="003E79CD">
          <w:rPr>
            <w:noProof/>
            <w:webHidden/>
          </w:rPr>
        </w:r>
        <w:r w:rsidR="003E79CD">
          <w:rPr>
            <w:noProof/>
            <w:webHidden/>
          </w:rPr>
          <w:fldChar w:fldCharType="separate"/>
        </w:r>
        <w:r w:rsidR="003E79CD">
          <w:rPr>
            <w:noProof/>
            <w:webHidden/>
          </w:rPr>
          <w:t>18</w:t>
        </w:r>
        <w:r w:rsidR="003E79CD">
          <w:rPr>
            <w:noProof/>
            <w:webHidden/>
          </w:rPr>
          <w:fldChar w:fldCharType="end"/>
        </w:r>
      </w:hyperlink>
    </w:p>
    <w:p w14:paraId="6FCF0DB5" w14:textId="71C002A9"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35" w:history="1">
        <w:r w:rsidR="003E79CD" w:rsidRPr="00403758">
          <w:rPr>
            <w:rStyle w:val="Hyperlink"/>
            <w:noProof/>
          </w:rPr>
          <w:t>2.6 Further project related information for bidders</w:t>
        </w:r>
        <w:r w:rsidR="003E79CD">
          <w:rPr>
            <w:noProof/>
            <w:webHidden/>
          </w:rPr>
          <w:tab/>
        </w:r>
        <w:r w:rsidR="003E79CD">
          <w:rPr>
            <w:noProof/>
            <w:webHidden/>
          </w:rPr>
          <w:fldChar w:fldCharType="begin"/>
        </w:r>
        <w:r w:rsidR="003E79CD">
          <w:rPr>
            <w:noProof/>
            <w:webHidden/>
          </w:rPr>
          <w:instrText xml:space="preserve"> PAGEREF _Toc145075935 \h </w:instrText>
        </w:r>
        <w:r w:rsidR="003E79CD">
          <w:rPr>
            <w:noProof/>
            <w:webHidden/>
          </w:rPr>
        </w:r>
        <w:r w:rsidR="003E79CD">
          <w:rPr>
            <w:noProof/>
            <w:webHidden/>
          </w:rPr>
          <w:fldChar w:fldCharType="separate"/>
        </w:r>
        <w:r w:rsidR="003E79CD">
          <w:rPr>
            <w:noProof/>
            <w:webHidden/>
          </w:rPr>
          <w:t>18</w:t>
        </w:r>
        <w:r w:rsidR="003E79CD">
          <w:rPr>
            <w:noProof/>
            <w:webHidden/>
          </w:rPr>
          <w:fldChar w:fldCharType="end"/>
        </w:r>
      </w:hyperlink>
    </w:p>
    <w:p w14:paraId="754DBECE" w14:textId="5ED73F2B" w:rsidR="003E79CD" w:rsidRDefault="00F04259">
      <w:pPr>
        <w:pStyle w:val="TOC1"/>
        <w:rPr>
          <w:rFonts w:asciiTheme="minorHAnsi" w:eastAsiaTheme="minorEastAsia" w:hAnsiTheme="minorHAnsi"/>
          <w:color w:val="auto"/>
          <w:kern w:val="2"/>
          <w:sz w:val="22"/>
          <w:lang w:eastAsia="en-GB"/>
          <w14:ligatures w14:val="standardContextual"/>
        </w:rPr>
      </w:pPr>
      <w:hyperlink w:anchor="_Toc145075936" w:history="1">
        <w:r w:rsidR="003E79CD" w:rsidRPr="00403758">
          <w:rPr>
            <w:rStyle w:val="Hyperlink"/>
          </w:rPr>
          <w:t>3.</w:t>
        </w:r>
        <w:r w:rsidR="003E79CD">
          <w:rPr>
            <w:rFonts w:asciiTheme="minorHAnsi" w:eastAsiaTheme="minorEastAsia" w:hAnsiTheme="minorHAnsi"/>
            <w:color w:val="auto"/>
            <w:kern w:val="2"/>
            <w:sz w:val="22"/>
            <w:lang w:eastAsia="en-GB"/>
            <w14:ligatures w14:val="standardContextual"/>
          </w:rPr>
          <w:tab/>
        </w:r>
        <w:r w:rsidR="003E79CD" w:rsidRPr="00403758">
          <w:rPr>
            <w:rStyle w:val="Hyperlink"/>
          </w:rPr>
          <w:t>Tender Response and Evaluation Criteria</w:t>
        </w:r>
        <w:r w:rsidR="003E79CD">
          <w:rPr>
            <w:webHidden/>
          </w:rPr>
          <w:tab/>
        </w:r>
        <w:r w:rsidR="003E79CD">
          <w:rPr>
            <w:webHidden/>
          </w:rPr>
          <w:fldChar w:fldCharType="begin"/>
        </w:r>
        <w:r w:rsidR="003E79CD">
          <w:rPr>
            <w:webHidden/>
          </w:rPr>
          <w:instrText xml:space="preserve"> PAGEREF _Toc145075936 \h </w:instrText>
        </w:r>
        <w:r w:rsidR="003E79CD">
          <w:rPr>
            <w:webHidden/>
          </w:rPr>
        </w:r>
        <w:r w:rsidR="003E79CD">
          <w:rPr>
            <w:webHidden/>
          </w:rPr>
          <w:fldChar w:fldCharType="separate"/>
        </w:r>
        <w:r w:rsidR="003E79CD">
          <w:rPr>
            <w:webHidden/>
          </w:rPr>
          <w:t>20</w:t>
        </w:r>
        <w:r w:rsidR="003E79CD">
          <w:rPr>
            <w:webHidden/>
          </w:rPr>
          <w:fldChar w:fldCharType="end"/>
        </w:r>
      </w:hyperlink>
    </w:p>
    <w:p w14:paraId="429DCDF6" w14:textId="5FE2EA23"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37" w:history="1">
        <w:r w:rsidR="003E79CD" w:rsidRPr="00403758">
          <w:rPr>
            <w:rStyle w:val="Hyperlink"/>
            <w:noProof/>
          </w:rPr>
          <w:t>3.1 The Tender Response</w:t>
        </w:r>
        <w:r w:rsidR="003E79CD">
          <w:rPr>
            <w:noProof/>
            <w:webHidden/>
          </w:rPr>
          <w:tab/>
        </w:r>
        <w:r w:rsidR="003E79CD">
          <w:rPr>
            <w:noProof/>
            <w:webHidden/>
          </w:rPr>
          <w:fldChar w:fldCharType="begin"/>
        </w:r>
        <w:r w:rsidR="003E79CD">
          <w:rPr>
            <w:noProof/>
            <w:webHidden/>
          </w:rPr>
          <w:instrText xml:space="preserve"> PAGEREF _Toc145075937 \h </w:instrText>
        </w:r>
        <w:r w:rsidR="003E79CD">
          <w:rPr>
            <w:noProof/>
            <w:webHidden/>
          </w:rPr>
        </w:r>
        <w:r w:rsidR="003E79CD">
          <w:rPr>
            <w:noProof/>
            <w:webHidden/>
          </w:rPr>
          <w:fldChar w:fldCharType="separate"/>
        </w:r>
        <w:r w:rsidR="003E79CD">
          <w:rPr>
            <w:noProof/>
            <w:webHidden/>
          </w:rPr>
          <w:t>20</w:t>
        </w:r>
        <w:r w:rsidR="003E79CD">
          <w:rPr>
            <w:noProof/>
            <w:webHidden/>
          </w:rPr>
          <w:fldChar w:fldCharType="end"/>
        </w:r>
      </w:hyperlink>
    </w:p>
    <w:p w14:paraId="3AF32A36" w14:textId="71012ACD"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38" w:history="1">
        <w:r w:rsidR="003E79CD" w:rsidRPr="00403758">
          <w:rPr>
            <w:rStyle w:val="Hyperlink"/>
            <w:noProof/>
          </w:rPr>
          <w:t>3.2 Evaluation Criteria</w:t>
        </w:r>
        <w:r w:rsidR="003E79CD">
          <w:rPr>
            <w:noProof/>
            <w:webHidden/>
          </w:rPr>
          <w:tab/>
        </w:r>
        <w:r w:rsidR="003E79CD">
          <w:rPr>
            <w:noProof/>
            <w:webHidden/>
          </w:rPr>
          <w:fldChar w:fldCharType="begin"/>
        </w:r>
        <w:r w:rsidR="003E79CD">
          <w:rPr>
            <w:noProof/>
            <w:webHidden/>
          </w:rPr>
          <w:instrText xml:space="preserve"> PAGEREF _Toc145075938 \h </w:instrText>
        </w:r>
        <w:r w:rsidR="003E79CD">
          <w:rPr>
            <w:noProof/>
            <w:webHidden/>
          </w:rPr>
        </w:r>
        <w:r w:rsidR="003E79CD">
          <w:rPr>
            <w:noProof/>
            <w:webHidden/>
          </w:rPr>
          <w:fldChar w:fldCharType="separate"/>
        </w:r>
        <w:r w:rsidR="003E79CD">
          <w:rPr>
            <w:noProof/>
            <w:webHidden/>
          </w:rPr>
          <w:t>21</w:t>
        </w:r>
        <w:r w:rsidR="003E79CD">
          <w:rPr>
            <w:noProof/>
            <w:webHidden/>
          </w:rPr>
          <w:fldChar w:fldCharType="end"/>
        </w:r>
      </w:hyperlink>
    </w:p>
    <w:p w14:paraId="1DA73D46" w14:textId="48B862A3" w:rsidR="003E79CD" w:rsidRDefault="00F04259">
      <w:pPr>
        <w:pStyle w:val="TOC1"/>
        <w:rPr>
          <w:rFonts w:asciiTheme="minorHAnsi" w:eastAsiaTheme="minorEastAsia" w:hAnsiTheme="minorHAnsi"/>
          <w:color w:val="auto"/>
          <w:kern w:val="2"/>
          <w:sz w:val="22"/>
          <w:lang w:eastAsia="en-GB"/>
          <w14:ligatures w14:val="standardContextual"/>
        </w:rPr>
      </w:pPr>
      <w:hyperlink w:anchor="_Toc145075939" w:history="1">
        <w:r w:rsidR="003E79CD" w:rsidRPr="00403758">
          <w:rPr>
            <w:rStyle w:val="Hyperlink"/>
          </w:rPr>
          <w:t>4.</w:t>
        </w:r>
        <w:r w:rsidR="003E79CD">
          <w:rPr>
            <w:rFonts w:asciiTheme="minorHAnsi" w:eastAsiaTheme="minorEastAsia" w:hAnsiTheme="minorHAnsi"/>
            <w:color w:val="auto"/>
            <w:kern w:val="2"/>
            <w:sz w:val="22"/>
            <w:lang w:eastAsia="en-GB"/>
            <w14:ligatures w14:val="standardContextual"/>
          </w:rPr>
          <w:tab/>
        </w:r>
        <w:r w:rsidR="003E79CD" w:rsidRPr="00403758">
          <w:rPr>
            <w:rStyle w:val="Hyperlink"/>
          </w:rPr>
          <w:t>Procurement Procedures</w:t>
        </w:r>
        <w:r w:rsidR="003E79CD">
          <w:rPr>
            <w:webHidden/>
          </w:rPr>
          <w:tab/>
        </w:r>
        <w:r w:rsidR="003E79CD">
          <w:rPr>
            <w:webHidden/>
          </w:rPr>
          <w:fldChar w:fldCharType="begin"/>
        </w:r>
        <w:r w:rsidR="003E79CD">
          <w:rPr>
            <w:webHidden/>
          </w:rPr>
          <w:instrText xml:space="preserve"> PAGEREF _Toc145075939 \h </w:instrText>
        </w:r>
        <w:r w:rsidR="003E79CD">
          <w:rPr>
            <w:webHidden/>
          </w:rPr>
        </w:r>
        <w:r w:rsidR="003E79CD">
          <w:rPr>
            <w:webHidden/>
          </w:rPr>
          <w:fldChar w:fldCharType="separate"/>
        </w:r>
        <w:r w:rsidR="003E79CD">
          <w:rPr>
            <w:webHidden/>
          </w:rPr>
          <w:t>26</w:t>
        </w:r>
        <w:r w:rsidR="003E79CD">
          <w:rPr>
            <w:webHidden/>
          </w:rPr>
          <w:fldChar w:fldCharType="end"/>
        </w:r>
      </w:hyperlink>
    </w:p>
    <w:p w14:paraId="33E6703C" w14:textId="7BB99926"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40" w:history="1">
        <w:r w:rsidR="003E79CD" w:rsidRPr="00403758">
          <w:rPr>
            <w:rStyle w:val="Hyperlink"/>
            <w:noProof/>
          </w:rPr>
          <w:t>Tendering Timetable</w:t>
        </w:r>
        <w:r w:rsidR="003E79CD">
          <w:rPr>
            <w:noProof/>
            <w:webHidden/>
          </w:rPr>
          <w:tab/>
        </w:r>
        <w:r w:rsidR="003E79CD">
          <w:rPr>
            <w:noProof/>
            <w:webHidden/>
          </w:rPr>
          <w:fldChar w:fldCharType="begin"/>
        </w:r>
        <w:r w:rsidR="003E79CD">
          <w:rPr>
            <w:noProof/>
            <w:webHidden/>
          </w:rPr>
          <w:instrText xml:space="preserve"> PAGEREF _Toc145075940 \h </w:instrText>
        </w:r>
        <w:r w:rsidR="003E79CD">
          <w:rPr>
            <w:noProof/>
            <w:webHidden/>
          </w:rPr>
        </w:r>
        <w:r w:rsidR="003E79CD">
          <w:rPr>
            <w:noProof/>
            <w:webHidden/>
          </w:rPr>
          <w:fldChar w:fldCharType="separate"/>
        </w:r>
        <w:r w:rsidR="003E79CD">
          <w:rPr>
            <w:noProof/>
            <w:webHidden/>
          </w:rPr>
          <w:t>26</w:t>
        </w:r>
        <w:r w:rsidR="003E79CD">
          <w:rPr>
            <w:noProof/>
            <w:webHidden/>
          </w:rPr>
          <w:fldChar w:fldCharType="end"/>
        </w:r>
      </w:hyperlink>
    </w:p>
    <w:p w14:paraId="2A6C846A" w14:textId="5CEEAD8D" w:rsidR="003E79CD" w:rsidRDefault="00F04259">
      <w:pPr>
        <w:pStyle w:val="TOC2"/>
        <w:tabs>
          <w:tab w:val="right" w:pos="9628"/>
        </w:tabs>
        <w:rPr>
          <w:rFonts w:asciiTheme="minorHAnsi" w:eastAsiaTheme="minorEastAsia" w:hAnsiTheme="minorHAnsi"/>
          <w:noProof/>
          <w:kern w:val="2"/>
          <w:sz w:val="22"/>
          <w:lang w:eastAsia="en-GB"/>
          <w14:ligatures w14:val="standardContextual"/>
        </w:rPr>
      </w:pPr>
      <w:hyperlink w:anchor="_Toc145075941" w:history="1">
        <w:r w:rsidR="003E79CD" w:rsidRPr="00403758">
          <w:rPr>
            <w:rStyle w:val="Hyperlink"/>
            <w:noProof/>
          </w:rPr>
          <w:t>Tendering Instructions and Guidance</w:t>
        </w:r>
        <w:r w:rsidR="003E79CD">
          <w:rPr>
            <w:noProof/>
            <w:webHidden/>
          </w:rPr>
          <w:tab/>
        </w:r>
        <w:r w:rsidR="003E79CD">
          <w:rPr>
            <w:noProof/>
            <w:webHidden/>
          </w:rPr>
          <w:fldChar w:fldCharType="begin"/>
        </w:r>
        <w:r w:rsidR="003E79CD">
          <w:rPr>
            <w:noProof/>
            <w:webHidden/>
          </w:rPr>
          <w:instrText xml:space="preserve"> PAGEREF _Toc145075941 \h </w:instrText>
        </w:r>
        <w:r w:rsidR="003E79CD">
          <w:rPr>
            <w:noProof/>
            <w:webHidden/>
          </w:rPr>
        </w:r>
        <w:r w:rsidR="003E79CD">
          <w:rPr>
            <w:noProof/>
            <w:webHidden/>
          </w:rPr>
          <w:fldChar w:fldCharType="separate"/>
        </w:r>
        <w:r w:rsidR="003E79CD">
          <w:rPr>
            <w:noProof/>
            <w:webHidden/>
          </w:rPr>
          <w:t>26</w:t>
        </w:r>
        <w:r w:rsidR="003E79CD">
          <w:rPr>
            <w:noProof/>
            <w:webHidden/>
          </w:rPr>
          <w:fldChar w:fldCharType="end"/>
        </w:r>
      </w:hyperlink>
    </w:p>
    <w:p w14:paraId="6B48D324" w14:textId="2020AF73" w:rsidR="00FC6860" w:rsidRDefault="00FC6860" w:rsidP="00777D99">
      <w:pPr>
        <w:sectPr w:rsidR="00FC6860" w:rsidSect="00777D99">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45075924"/>
      <w:r>
        <w:lastRenderedPageBreak/>
        <w:t>Purpose of the document</w:t>
      </w:r>
      <w:bookmarkEnd w:id="4"/>
    </w:p>
    <w:p w14:paraId="5CB061E3" w14:textId="2D5AB010" w:rsidR="00A02455" w:rsidRDefault="00A02455" w:rsidP="00A02455">
      <w:r>
        <w:t xml:space="preserve">The purpose of this document is to invite proposals for </w:t>
      </w:r>
      <w:r w:rsidR="00C16316" w:rsidRPr="00C16316">
        <w:rPr>
          <w:b/>
          <w:bCs/>
        </w:rPr>
        <w:t>Analysis to inform the RIS3 Efficiency Review</w:t>
      </w:r>
      <w:r w:rsidR="00C16316">
        <w:rPr>
          <w:b/>
          <w:bCs/>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31"/>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45075925"/>
      <w:r>
        <w:lastRenderedPageBreak/>
        <w:t>Introduction to the Office of Rail and Road</w:t>
      </w:r>
      <w:bookmarkEnd w:id="5"/>
    </w:p>
    <w:p w14:paraId="0EC8CF73" w14:textId="0B08B533" w:rsidR="00490915" w:rsidRDefault="00490915" w:rsidP="00490915">
      <w:r>
        <w:t>The Office of Rail and Road is the independent safety and economic regulator of Britain’s railways</w:t>
      </w:r>
      <w:r w:rsidR="00F46F8C">
        <w:t xml:space="preserve"> and is responsible for monitoring and enforcing the performance and efficiency of National Highways.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45075926"/>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9978C14" w:rsidR="00490915" w:rsidRDefault="00490915" w:rsidP="00490915">
      <w:r>
        <w:t xml:space="preserve">National Highways operates the strategic road network, managing motorways and major </w:t>
      </w:r>
      <w:r w:rsidR="42A00F77">
        <w:t xml:space="preserve">A </w:t>
      </w:r>
      <w:r>
        <w:t>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45075927"/>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lastRenderedPageBreak/>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45075928"/>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777D9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777D9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777D9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777D9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777D9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777D9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777D9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777D9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777D9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777D9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777D9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777D99">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777D99">
            <w:pPr>
              <w:pStyle w:val="TblText"/>
            </w:pPr>
            <w:r w:rsidRPr="00D6160E">
              <w:t>≤ € 10 million</w:t>
            </w:r>
          </w:p>
        </w:tc>
        <w:tc>
          <w:tcPr>
            <w:tcW w:w="894" w:type="dxa"/>
            <w:shd w:val="clear" w:color="auto" w:fill="auto"/>
          </w:tcPr>
          <w:p w14:paraId="230AF2D1" w14:textId="77777777" w:rsidR="00D6160E" w:rsidRPr="00D6160E" w:rsidRDefault="00D6160E" w:rsidP="00777D9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777D9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777D9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777D9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777D9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777D9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777D9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777D9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777D99">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777D99">
            <w:pPr>
              <w:pStyle w:val="TblText"/>
            </w:pPr>
            <w:r w:rsidRPr="00D6160E">
              <w:t>&gt; € 50 million</w:t>
            </w:r>
          </w:p>
        </w:tc>
        <w:tc>
          <w:tcPr>
            <w:tcW w:w="894" w:type="dxa"/>
            <w:shd w:val="clear" w:color="auto" w:fill="auto"/>
          </w:tcPr>
          <w:p w14:paraId="19BFF5EC" w14:textId="77777777" w:rsidR="00D6160E" w:rsidRPr="00D6160E" w:rsidRDefault="00D6160E" w:rsidP="00777D9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777D99">
            <w:pPr>
              <w:pStyle w:val="TblText"/>
            </w:pPr>
            <w:r w:rsidRPr="00D6160E">
              <w:t>&gt; € 43 million</w:t>
            </w:r>
          </w:p>
        </w:tc>
      </w:tr>
    </w:tbl>
    <w:p w14:paraId="16E292C2" w14:textId="3919207F" w:rsidR="00DB54FF" w:rsidRDefault="2BB230BF" w:rsidP="00D776B6">
      <w:r>
        <w:t>Please ensure that you indicate how your organisation is categorised on the Form of Tender document which should be submitted along with your proposal.</w:t>
      </w:r>
    </w:p>
    <w:p w14:paraId="763B287E" w14:textId="0EF4C26A" w:rsidR="00F20E70" w:rsidRDefault="00F20E70" w:rsidP="2D85684A"/>
    <w:p w14:paraId="14008B7F" w14:textId="21A330BD" w:rsidR="00F20E70" w:rsidRDefault="2BB230BF" w:rsidP="00F20E70">
      <w:pPr>
        <w:pStyle w:val="Heading2"/>
      </w:pPr>
      <w:bookmarkStart w:id="9" w:name="_Toc145075929"/>
      <w:r>
        <w:lastRenderedPageBreak/>
        <w:t>Statement of Requirement</w:t>
      </w:r>
      <w:bookmarkEnd w:id="9"/>
    </w:p>
    <w:p w14:paraId="0C918979" w14:textId="4CE3B4F2" w:rsidR="00F20E70" w:rsidRDefault="00F20E70" w:rsidP="00F20E70">
      <w:pPr>
        <w:pStyle w:val="Heading3"/>
      </w:pPr>
      <w:bookmarkStart w:id="10" w:name="_Toc145075930"/>
      <w:r>
        <w:t>2.1 Background of the project</w:t>
      </w:r>
      <w:bookmarkEnd w:id="10"/>
    </w:p>
    <w:p w14:paraId="368C6854" w14:textId="2005AC42" w:rsidR="008A771E" w:rsidRPr="008A771E" w:rsidRDefault="008A771E" w:rsidP="003E79CD">
      <w:pPr>
        <w:rPr>
          <w:b/>
        </w:rPr>
      </w:pPr>
      <w:r w:rsidRPr="008A771E">
        <w:t xml:space="preserve">The Office of Rail and Road (ORR) independently monitors </w:t>
      </w:r>
      <w:r w:rsidR="00EC11CE">
        <w:t>National Highways’</w:t>
      </w:r>
      <w:r w:rsidRPr="008A771E">
        <w:t xml:space="preserve"> management of the </w:t>
      </w:r>
      <w:r w:rsidR="00EC11CE">
        <w:t>s</w:t>
      </w:r>
      <w:r w:rsidRPr="008A771E">
        <w:t xml:space="preserve">trategic </w:t>
      </w:r>
      <w:r w:rsidR="00EC11CE">
        <w:t>r</w:t>
      </w:r>
      <w:r w:rsidRPr="008A771E">
        <w:t xml:space="preserve">oad </w:t>
      </w:r>
      <w:r w:rsidR="00EC11CE">
        <w:t>n</w:t>
      </w:r>
      <w:r w:rsidRPr="008A771E">
        <w:t xml:space="preserve">etwork (SRN) – the motorways and main A roads in England. We scrutinise the company and hold it to account for its management of the </w:t>
      </w:r>
      <w:r w:rsidR="00EC11CE">
        <w:t>SRN</w:t>
      </w:r>
      <w:r w:rsidRPr="008A771E">
        <w:t xml:space="preserve"> – including delivery of performance and efficiency. </w:t>
      </w:r>
    </w:p>
    <w:p w14:paraId="438B26E5" w14:textId="77777777" w:rsidR="008A771E" w:rsidRPr="008A771E" w:rsidRDefault="008A771E" w:rsidP="003E79CD">
      <w:pPr>
        <w:rPr>
          <w:b/>
        </w:rPr>
      </w:pPr>
      <w:r w:rsidRPr="008A771E">
        <w:t>We also advise the government on the appropriate level of funding and performance requirements for future road periods to help frame challenging and deliverable performance and efficiency requirements. These requirements are set out by the government in road investment strategies (RIS).</w:t>
      </w:r>
    </w:p>
    <w:p w14:paraId="4C600ADD" w14:textId="77777777" w:rsidR="008A771E" w:rsidRPr="008A771E" w:rsidRDefault="008A771E" w:rsidP="003E79CD">
      <w:pPr>
        <w:rPr>
          <w:b/>
        </w:rPr>
      </w:pPr>
      <w:r w:rsidRPr="008A771E">
        <w:t xml:space="preserve">The third Road Investment Strategy (RIS3) will set out the requirements to be delivered by National Highways during the period 2025-6 to 2029-30 (road period 3 or RP3). The process of setting and varying the RIS is set out in National Highways’ licence. </w:t>
      </w:r>
    </w:p>
    <w:p w14:paraId="1B8D9ACD" w14:textId="34BE4330" w:rsidR="008A771E" w:rsidRPr="008A771E" w:rsidRDefault="008A771E" w:rsidP="003E79CD">
      <w:pPr>
        <w:rPr>
          <w:b/>
        </w:rPr>
      </w:pPr>
      <w:r w:rsidRPr="008A771E">
        <w:t xml:space="preserve">A key part of our role </w:t>
      </w:r>
      <w:r>
        <w:t xml:space="preserve">is </w:t>
      </w:r>
      <w:r w:rsidRPr="008A771E">
        <w:t xml:space="preserve">to provide advice to the Secretary of State on the extent to which </w:t>
      </w:r>
      <w:r w:rsidR="00D933A3">
        <w:t>the proposed requirements</w:t>
      </w:r>
      <w:r w:rsidRPr="008A771E">
        <w:t xml:space="preserve"> are challenging and deliverable </w:t>
      </w:r>
      <w:r w:rsidR="00D933A3">
        <w:t>within</w:t>
      </w:r>
      <w:r w:rsidR="00D933A3" w:rsidRPr="00D933A3">
        <w:t xml:space="preserve"> the financial resources to be provided</w:t>
      </w:r>
      <w:r w:rsidRPr="008A771E">
        <w:t xml:space="preserve">. This is known as the Efficiency Review. </w:t>
      </w:r>
    </w:p>
    <w:p w14:paraId="6645C407" w14:textId="038316AA" w:rsidR="00E478C5" w:rsidRDefault="008A771E" w:rsidP="003E79CD">
      <w:pPr>
        <w:rPr>
          <w:b/>
        </w:rPr>
      </w:pPr>
      <w:r>
        <w:t xml:space="preserve">ORR is seeking to appoint consultants to support its work ahead of, and during, the Efficiency Review. </w:t>
      </w:r>
    </w:p>
    <w:p w14:paraId="299DD981" w14:textId="2DCA5FEA" w:rsidR="008E2770" w:rsidRPr="003E79CD" w:rsidRDefault="008E2770" w:rsidP="0022096D">
      <w:pPr>
        <w:pStyle w:val="HighlightLilac"/>
        <w:rPr>
          <w:b/>
          <w:bCs/>
        </w:rPr>
      </w:pPr>
      <w:r w:rsidRPr="003E79CD">
        <w:rPr>
          <w:b/>
          <w:bCs/>
        </w:rPr>
        <w:t>Relevant documents</w:t>
      </w:r>
    </w:p>
    <w:p w14:paraId="49FB8A4A" w14:textId="135471C9" w:rsidR="008A771E" w:rsidRDefault="00E478C5" w:rsidP="003E79CD">
      <w:pPr>
        <w:pStyle w:val="HighlightLilac"/>
        <w:rPr>
          <w:b/>
        </w:rPr>
      </w:pPr>
      <w:r w:rsidRPr="008A771E">
        <w:t xml:space="preserve">Further information on our role </w:t>
      </w:r>
      <w:r>
        <w:t xml:space="preserve">and approach to RIS3 can be found on our website </w:t>
      </w:r>
      <w:r w:rsidRPr="00E478C5">
        <w:t>(</w:t>
      </w:r>
      <w:hyperlink r:id="rId20" w:history="1">
        <w:r w:rsidRPr="00E478C5">
          <w:rPr>
            <w:rStyle w:val="Hyperlink"/>
          </w:rPr>
          <w:t>ORR’s role and approach to RIS3 | Office of Rail and Road</w:t>
        </w:r>
      </w:hyperlink>
      <w:r w:rsidRPr="00E478C5">
        <w:t>)</w:t>
      </w:r>
      <w:r>
        <w:t>.</w:t>
      </w:r>
    </w:p>
    <w:p w14:paraId="158ED3F0" w14:textId="77777777" w:rsidR="008E2770" w:rsidRDefault="0022096D" w:rsidP="0022096D">
      <w:pPr>
        <w:pStyle w:val="HighlightLilac"/>
      </w:pPr>
      <w:r>
        <w:t>Further information on the RIS3 process more generally, can be found on the Department for Transport’s website (</w:t>
      </w:r>
      <w:hyperlink w:history="1">
        <w:r w:rsidRPr="0022096D">
          <w:rPr>
            <w:rStyle w:val="Hyperlink"/>
          </w:rPr>
          <w:t>Preparing the third road investment strategy - GOV.UK (www.gov.uk)</w:t>
        </w:r>
      </w:hyperlink>
      <w:r>
        <w:t>)</w:t>
      </w:r>
      <w:r w:rsidR="008E2770">
        <w:t xml:space="preserve">. </w:t>
      </w:r>
    </w:p>
    <w:p w14:paraId="433BD4B2" w14:textId="41981BB2" w:rsidR="0022096D" w:rsidRPr="0022096D" w:rsidRDefault="0022096D" w:rsidP="003E79CD">
      <w:pPr>
        <w:pStyle w:val="HighlightLilac"/>
      </w:pPr>
      <w:r>
        <w:t>‘</w:t>
      </w:r>
      <w:r w:rsidR="008E2770">
        <w:t>Shaping the future of England’s strategic roads’ – the government’s recent consultation on National Highways</w:t>
      </w:r>
      <w:r w:rsidR="48D3F65F">
        <w:t>’</w:t>
      </w:r>
      <w:r w:rsidR="008E2770">
        <w:t xml:space="preserve"> Strategic Road Network Initial Report can be found here: </w:t>
      </w:r>
      <w:hyperlink r:id="rId21">
        <w:r w:rsidR="008E2770" w:rsidRPr="07216C3C">
          <w:rPr>
            <w:rStyle w:val="Hyperlink"/>
          </w:rPr>
          <w:t>Shaping the future of England's strategic roads - GOV.UK (www.gov.uk)</w:t>
        </w:r>
      </w:hyperlink>
    </w:p>
    <w:p w14:paraId="74919ACA" w14:textId="27999526" w:rsidR="00F20E70" w:rsidRDefault="00F20E70" w:rsidP="008A771E">
      <w:pPr>
        <w:pStyle w:val="Heading3"/>
      </w:pPr>
      <w:bookmarkStart w:id="11" w:name="_Toc145075931"/>
      <w:r>
        <w:lastRenderedPageBreak/>
        <w:t>2.2 Project Objectives and Scope</w:t>
      </w:r>
      <w:bookmarkEnd w:id="11"/>
    </w:p>
    <w:p w14:paraId="4EFA10BE" w14:textId="1A808827" w:rsidR="00785291" w:rsidRPr="00D933A3" w:rsidRDefault="00EB2718" w:rsidP="00BD4EBF">
      <w:r>
        <w:t>Later in 2023,</w:t>
      </w:r>
      <w:r w:rsidR="00785291">
        <w:t xml:space="preserve"> the government will publish its draft RIS. This includes the proposed requirements to be delivered by National Highways, and the financial resources to be provided by the Secretary of State (the SoFA). National Highways’ Draft </w:t>
      </w:r>
      <w:r w:rsidR="003C4BD4">
        <w:t>Strategic Business Plan (SBP)</w:t>
      </w:r>
      <w:r w:rsidR="00785291">
        <w:t xml:space="preserve"> details its plans for delivering the requirements set out in the Draft RIS. </w:t>
      </w:r>
    </w:p>
    <w:p w14:paraId="5E82EAD7" w14:textId="6593608E" w:rsidR="00EB2718" w:rsidRPr="00EB2718" w:rsidRDefault="00785291" w:rsidP="00EB2718">
      <w:r w:rsidRPr="00D933A3">
        <w:t>During the Efficiency Review, we undertake a detailed review of the Draft SBP to confirm that National Highways</w:t>
      </w:r>
      <w:r w:rsidR="003C4BD4">
        <w:t>’</w:t>
      </w:r>
      <w:r w:rsidRPr="00D933A3">
        <w:t xml:space="preserve"> plans will deliver the governments requirements (as set out in its Draft RIS) and do so in a way that represents an effective and efficient use of public money.</w:t>
      </w:r>
      <w:r w:rsidR="00EB2718">
        <w:t xml:space="preserve"> </w:t>
      </w:r>
    </w:p>
    <w:p w14:paraId="039AC444" w14:textId="67179B85" w:rsidR="00C81D2B" w:rsidRDefault="00785291" w:rsidP="00EB2718">
      <w:r>
        <w:t>The Efficiency Review will consider whether National Highways</w:t>
      </w:r>
      <w:r w:rsidR="003C4BD4">
        <w:t>’</w:t>
      </w:r>
      <w:r>
        <w:t xml:space="preserve"> plans have been appropriately costed </w:t>
      </w:r>
      <w:r w:rsidR="00EB2718">
        <w:t xml:space="preserve">and will deliver the government’s requirements in an efficient manner. </w:t>
      </w:r>
      <w:r>
        <w:t xml:space="preserve"> However, our advice is not limited to cost, and efficiency. We will also evaluate the quality of National Highways</w:t>
      </w:r>
      <w:r w:rsidR="00EC11CE">
        <w:t>’</w:t>
      </w:r>
      <w:r>
        <w:t xml:space="preserve"> </w:t>
      </w:r>
      <w:r w:rsidR="00EB2718">
        <w:t xml:space="preserve">plans to ensure </w:t>
      </w:r>
      <w:r>
        <w:t xml:space="preserve">they </w:t>
      </w:r>
      <w:r w:rsidR="00C81D2B">
        <w:t>provide a robust basis for delivery</w:t>
      </w:r>
      <w:r>
        <w:t>.</w:t>
      </w:r>
      <w:r w:rsidR="00C81D2B">
        <w:t xml:space="preserve"> </w:t>
      </w:r>
    </w:p>
    <w:p w14:paraId="10759FE4" w14:textId="128FDF93" w:rsidR="0022096D" w:rsidRDefault="00C81D2B" w:rsidP="00EB2718">
      <w:r>
        <w:t xml:space="preserve">Furthermore, we advise government on the performance requirements and targets included in </w:t>
      </w:r>
      <w:r w:rsidR="00D840F5">
        <w:t>the RIS3</w:t>
      </w:r>
      <w:r>
        <w:t xml:space="preserve"> Performance Specification.</w:t>
      </w:r>
      <w:r w:rsidR="0022096D">
        <w:t xml:space="preserve"> </w:t>
      </w:r>
      <w:r>
        <w:t>It is our role to ensure that requirements and targets are sufficiently stretching</w:t>
      </w:r>
      <w:r w:rsidR="003C4BD4">
        <w:t xml:space="preserve">, </w:t>
      </w:r>
      <w:r>
        <w:t>supported by appropriate plans</w:t>
      </w:r>
      <w:r w:rsidR="003C4BD4">
        <w:t xml:space="preserve"> and that the RIS package as a whole is challenging and deliverable with the funding available</w:t>
      </w:r>
      <w:r>
        <w:t xml:space="preserve">. </w:t>
      </w:r>
    </w:p>
    <w:p w14:paraId="1868D647" w14:textId="0F672E04" w:rsidR="00C81D2B" w:rsidRDefault="0022096D" w:rsidP="003E79CD">
      <w:pPr>
        <w:pStyle w:val="HighlightLilac"/>
      </w:pPr>
      <w:r>
        <w:t>For context, the second Road Investment Strategy – containing the RIS2 Performance Specification - can also be found on the Department for Transport’s website (</w:t>
      </w:r>
      <w:hyperlink r:id="rId22" w:history="1">
        <w:r>
          <w:rPr>
            <w:rStyle w:val="Hyperlink"/>
          </w:rPr>
          <w:t>Road Investment Strategy 2 (RIS2): 2020 to 2025 - GOV.UK (www.gov.uk)</w:t>
        </w:r>
      </w:hyperlink>
      <w:r>
        <w:t>)</w:t>
      </w:r>
    </w:p>
    <w:p w14:paraId="37E5E5AD" w14:textId="6C826B9B" w:rsidR="00EA39F1" w:rsidRDefault="00C81D2B" w:rsidP="00BD4EBF">
      <w:r>
        <w:t>This commission will inform ORR</w:t>
      </w:r>
      <w:r w:rsidR="00177405">
        <w:t>’</w:t>
      </w:r>
      <w:r>
        <w:t>s advice in each of the area</w:t>
      </w:r>
      <w:r w:rsidR="00177405">
        <w:t>s</w:t>
      </w:r>
      <w:r>
        <w:t xml:space="preserve"> set out above. </w:t>
      </w:r>
      <w:r w:rsidR="00EA39F1">
        <w:t>To meet ORR</w:t>
      </w:r>
      <w:r w:rsidR="00EC11CE">
        <w:t>’</w:t>
      </w:r>
      <w:r w:rsidR="00EA39F1">
        <w:t>s requirements, this commission has been subdivided into the following</w:t>
      </w:r>
      <w:r w:rsidR="002A2615">
        <w:t xml:space="preserve"> </w:t>
      </w:r>
      <w:r w:rsidR="00FD7388">
        <w:t>five</w:t>
      </w:r>
      <w:r w:rsidR="00EA39F1">
        <w:t xml:space="preserve"> </w:t>
      </w:r>
      <w:r w:rsidR="003D3606">
        <w:t>LOTS</w:t>
      </w:r>
      <w:r w:rsidR="00EA39F1">
        <w:t>:</w:t>
      </w:r>
    </w:p>
    <w:p w14:paraId="2A3AF473" w14:textId="53987658" w:rsidR="00FD7388" w:rsidRDefault="003D3606" w:rsidP="00777D99">
      <w:pPr>
        <w:pStyle w:val="NormalBulletround"/>
      </w:pPr>
      <w:r>
        <w:t>LOT</w:t>
      </w:r>
      <w:r w:rsidR="00EA39F1">
        <w:t xml:space="preserve"> 1: Operations, maintenance</w:t>
      </w:r>
      <w:r w:rsidR="00FD7388">
        <w:t>, renewals and digital</w:t>
      </w:r>
    </w:p>
    <w:p w14:paraId="5D2981BE" w14:textId="7949BA6D" w:rsidR="00EA39F1" w:rsidRDefault="00EA39F1" w:rsidP="00FD7388">
      <w:pPr>
        <w:pStyle w:val="NormalBulletround"/>
      </w:pPr>
      <w:r>
        <w:t xml:space="preserve">Lot </w:t>
      </w:r>
      <w:r w:rsidR="00FD7388">
        <w:t>2</w:t>
      </w:r>
      <w:r>
        <w:t>: Enhancements</w:t>
      </w:r>
    </w:p>
    <w:p w14:paraId="1C632D8B" w14:textId="7A50C501" w:rsidR="00EA39F1" w:rsidRDefault="003D3606" w:rsidP="00EA39F1">
      <w:pPr>
        <w:pStyle w:val="NormalBulletround"/>
      </w:pPr>
      <w:r>
        <w:t>LOT</w:t>
      </w:r>
      <w:r w:rsidR="00EA39F1">
        <w:t xml:space="preserve"> </w:t>
      </w:r>
      <w:r w:rsidR="00FD7388">
        <w:t>3</w:t>
      </w:r>
      <w:r w:rsidR="00EA39F1">
        <w:t xml:space="preserve">: Safety </w:t>
      </w:r>
    </w:p>
    <w:p w14:paraId="23D6E6F8" w14:textId="08DEE20D" w:rsidR="00EA39F1" w:rsidRDefault="003D3606" w:rsidP="00EA39F1">
      <w:pPr>
        <w:pStyle w:val="NormalBulletround"/>
      </w:pPr>
      <w:r>
        <w:t>LOT</w:t>
      </w:r>
      <w:r w:rsidR="00EA39F1">
        <w:t xml:space="preserve"> </w:t>
      </w:r>
      <w:r w:rsidR="00FD7388">
        <w:t>4</w:t>
      </w:r>
      <w:r w:rsidR="00EA39F1">
        <w:t>: Environment</w:t>
      </w:r>
    </w:p>
    <w:p w14:paraId="1EFA9DA3" w14:textId="3B7FF1BF" w:rsidR="00AE4B04" w:rsidRDefault="003D3606" w:rsidP="00EA39F1">
      <w:pPr>
        <w:pStyle w:val="NormalBulletround"/>
      </w:pPr>
      <w:r>
        <w:t>LOT</w:t>
      </w:r>
      <w:r w:rsidR="00AE4B04">
        <w:t xml:space="preserve"> </w:t>
      </w:r>
      <w:r w:rsidR="00FD7388">
        <w:t>5</w:t>
      </w:r>
      <w:r w:rsidR="00AE4B04">
        <w:t>: Economic advice</w:t>
      </w:r>
    </w:p>
    <w:p w14:paraId="310115B1" w14:textId="1BBD1969" w:rsidR="00EA39F1" w:rsidRDefault="00785291" w:rsidP="00EB2718">
      <w:r>
        <w:lastRenderedPageBreak/>
        <w:t xml:space="preserve">Successful bidders will be responsible for </w:t>
      </w:r>
      <w:r w:rsidR="00C81D2B">
        <w:t>scrutinising</w:t>
      </w:r>
      <w:r>
        <w:t xml:space="preserve"> aspects of the </w:t>
      </w:r>
      <w:r w:rsidR="002C346C">
        <w:t>D</w:t>
      </w:r>
      <w:r>
        <w:t>raft SBP</w:t>
      </w:r>
      <w:r w:rsidR="00C81D2B">
        <w:t xml:space="preserve"> and providing expert advice and analysis. </w:t>
      </w:r>
      <w:r w:rsidR="000E650F">
        <w:t xml:space="preserve">For each </w:t>
      </w:r>
      <w:r w:rsidR="003D3606">
        <w:t>LOT</w:t>
      </w:r>
      <w:r w:rsidR="000E650F">
        <w:t>, the final deliverable will be a report setting out the consultant’s findings. ORR will draw on these reports when developing its advice to the Secretary of State. The advice itself, and the opinions it contains, remain the responsibility of ORR.</w:t>
      </w:r>
    </w:p>
    <w:p w14:paraId="0FD5B727" w14:textId="0D7919FC" w:rsidR="00EA39F1" w:rsidRDefault="00CB34E7" w:rsidP="00EB2718">
      <w:r>
        <w:t>T</w:t>
      </w:r>
      <w:r w:rsidR="00127F60">
        <w:t>he ORR project team and consultancy teams will need to work in an integrated manner</w:t>
      </w:r>
      <w:r>
        <w:t xml:space="preserve"> during the Efficiency Review</w:t>
      </w:r>
      <w:r w:rsidR="00127F60">
        <w:t xml:space="preserve">. In some cases, the boundaries between various </w:t>
      </w:r>
      <w:r w:rsidR="003D3606">
        <w:t>LOTS</w:t>
      </w:r>
      <w:r w:rsidR="00127F60">
        <w:t xml:space="preserve"> are overlapping. Therefore, consultants will also need to liaise with each other during the process. </w:t>
      </w:r>
    </w:p>
    <w:p w14:paraId="6BEDB4D5" w14:textId="0F5CBFB4" w:rsidR="00785291" w:rsidRPr="00785291" w:rsidRDefault="00EA39F1" w:rsidP="00EB2718">
      <w:r>
        <w:t xml:space="preserve">Direct engagement with subject-matter experts within National Highways will be required. National Highways and ORR will facilitate </w:t>
      </w:r>
      <w:r w:rsidR="00127F60">
        <w:t xml:space="preserve">interviews and </w:t>
      </w:r>
      <w:r>
        <w:t>workshops for this purpose.</w:t>
      </w:r>
      <w:r w:rsidR="00127F60">
        <w:t xml:space="preserve"> Meetings will typically be attended by both consultants and ORR. The ORR will submit requests for</w:t>
      </w:r>
      <w:r w:rsidR="000108BF">
        <w:t xml:space="preserve"> data and</w:t>
      </w:r>
      <w:r w:rsidR="00127F60">
        <w:t xml:space="preserve"> information to National Highways</w:t>
      </w:r>
      <w:r w:rsidR="000108BF">
        <w:t xml:space="preserve"> </w:t>
      </w:r>
      <w:r w:rsidR="00F7434F">
        <w:t xml:space="preserve">on </w:t>
      </w:r>
      <w:r w:rsidR="1DFA6B94">
        <w:t xml:space="preserve">the </w:t>
      </w:r>
      <w:r w:rsidR="00F7434F">
        <w:t>consultants’ behalf</w:t>
      </w:r>
      <w:r w:rsidR="00127F60">
        <w:t xml:space="preserve"> </w:t>
      </w:r>
      <w:r w:rsidR="000108BF">
        <w:t>via an agreed process for the Efficiency Review</w:t>
      </w:r>
      <w:r w:rsidR="00127F60">
        <w:t xml:space="preserve">. </w:t>
      </w:r>
      <w:r>
        <w:t xml:space="preserve"> </w:t>
      </w:r>
    </w:p>
    <w:p w14:paraId="0026AEC7" w14:textId="1CBECDF9" w:rsidR="008A771E" w:rsidRDefault="003D3606" w:rsidP="008A771E">
      <w:pPr>
        <w:pStyle w:val="Heading4"/>
      </w:pPr>
      <w:r>
        <w:t>LOT</w:t>
      </w:r>
      <w:r w:rsidR="008A771E">
        <w:t xml:space="preserve"> 1: Operations, maintenance</w:t>
      </w:r>
      <w:r w:rsidR="00FD7388">
        <w:t xml:space="preserve">, </w:t>
      </w:r>
      <w:r w:rsidR="008A771E">
        <w:t>renewals</w:t>
      </w:r>
      <w:r w:rsidR="00FD7388">
        <w:t xml:space="preserve"> and digital</w:t>
      </w:r>
      <w:r w:rsidR="00904D31">
        <w:t xml:space="preserve"> (OMR)</w:t>
      </w:r>
    </w:p>
    <w:p w14:paraId="2FC1313E" w14:textId="04BE8A0C" w:rsidR="008A771E" w:rsidRDefault="00EB2718" w:rsidP="00EB2718">
      <w:pPr>
        <w:pStyle w:val="Heading5"/>
      </w:pPr>
      <w:r>
        <w:t>Objectives</w:t>
      </w:r>
    </w:p>
    <w:p w14:paraId="6BB6DB2F" w14:textId="2A70B9E4" w:rsidR="0009179D" w:rsidRDefault="003D3606" w:rsidP="003E79CD">
      <w:r>
        <w:t>LOT</w:t>
      </w:r>
      <w:r w:rsidR="00904D31">
        <w:t xml:space="preserve"> 1 involves the provision of expert advice to support </w:t>
      </w:r>
      <w:r w:rsidR="00FD7388">
        <w:t>ORR’s</w:t>
      </w:r>
      <w:r w:rsidR="00904D31">
        <w:t xml:space="preserve"> </w:t>
      </w:r>
      <w:r w:rsidR="002C346C">
        <w:t>assessment</w:t>
      </w:r>
      <w:r w:rsidR="00904D31">
        <w:t xml:space="preserve"> of National Highways</w:t>
      </w:r>
      <w:r w:rsidR="002C346C">
        <w:t>’</w:t>
      </w:r>
      <w:r w:rsidR="00904D31">
        <w:t xml:space="preserve"> plans for operating, maint</w:t>
      </w:r>
      <w:r w:rsidR="00FD7388">
        <w:t>aining and renewing</w:t>
      </w:r>
      <w:r w:rsidR="00904D31">
        <w:t xml:space="preserve"> the SRN</w:t>
      </w:r>
      <w:r w:rsidR="00FD7388">
        <w:t>.</w:t>
      </w:r>
      <w:r w:rsidR="002729D5">
        <w:t xml:space="preserve"> </w:t>
      </w:r>
      <w:r w:rsidR="0009179D">
        <w:t xml:space="preserve">Included in the scope of </w:t>
      </w:r>
      <w:r>
        <w:t>LOT</w:t>
      </w:r>
      <w:r w:rsidR="0009179D">
        <w:t xml:space="preserve"> 1 is a review of digital aspects of the company’s plans</w:t>
      </w:r>
      <w:r w:rsidR="002729D5">
        <w:t xml:space="preserve"> covering both digital assets and corporate </w:t>
      </w:r>
      <w:r w:rsidR="000108BF">
        <w:t xml:space="preserve">digital </w:t>
      </w:r>
      <w:r w:rsidR="002729D5">
        <w:t>expenditure</w:t>
      </w:r>
      <w:r w:rsidR="000108BF">
        <w:t xml:space="preserve"> related to the operation, maintenance and renewal of the network</w:t>
      </w:r>
      <w:r w:rsidR="002729D5">
        <w:t xml:space="preserve">. </w:t>
      </w:r>
      <w:r w:rsidR="0009179D">
        <w:t xml:space="preserve">  </w:t>
      </w:r>
    </w:p>
    <w:p w14:paraId="7A57A699" w14:textId="543519BB" w:rsidR="0009179D" w:rsidRDefault="008B4510" w:rsidP="003E79CD">
      <w:r>
        <w:t xml:space="preserve">The consultants will be responsible for scrutinising specific aspects of National Highways’ plan. The outputs of this work will feed into ORR’s overarching review.  </w:t>
      </w:r>
    </w:p>
    <w:p w14:paraId="59D21DE9" w14:textId="0D169761" w:rsidR="0037522A" w:rsidRDefault="0037522A" w:rsidP="0037522A">
      <w:pPr>
        <w:pStyle w:val="Heading5"/>
      </w:pPr>
      <w:r>
        <w:t>Requirements</w:t>
      </w:r>
    </w:p>
    <w:p w14:paraId="677C39A5" w14:textId="18DFBEA6" w:rsidR="001B5159" w:rsidRDefault="001B5159" w:rsidP="003E79CD">
      <w:r>
        <w:t>The successful consultants will be required to review relevant sections of National Highways</w:t>
      </w:r>
      <w:r w:rsidR="00EC11CE">
        <w:t>’</w:t>
      </w:r>
      <w:r>
        <w:t xml:space="preserve"> draft SBP and engage with the company on its plans and supporting evidence. </w:t>
      </w:r>
    </w:p>
    <w:p w14:paraId="3C1056C4" w14:textId="685526FE" w:rsidR="00BD38A9" w:rsidRDefault="00BD38A9" w:rsidP="003E79CD">
      <w:r>
        <w:t xml:space="preserve">The </w:t>
      </w:r>
      <w:r w:rsidR="00C009CE">
        <w:t xml:space="preserve">specific </w:t>
      </w:r>
      <w:r w:rsidR="008B4510">
        <w:t>requirements are</w:t>
      </w:r>
      <w:r>
        <w:t>:</w:t>
      </w:r>
    </w:p>
    <w:p w14:paraId="3AC07D4A" w14:textId="06334CB6" w:rsidR="00D840F5" w:rsidRDefault="008B4510" w:rsidP="006830BC">
      <w:pPr>
        <w:pStyle w:val="NormalBulletalpha"/>
        <w:numPr>
          <w:ilvl w:val="1"/>
          <w:numId w:val="48"/>
        </w:numPr>
      </w:pPr>
      <w:r>
        <w:t xml:space="preserve">To review National Highways’ renewals plans for a </w:t>
      </w:r>
      <w:r w:rsidR="00303799">
        <w:t>sample</w:t>
      </w:r>
      <w:r>
        <w:t xml:space="preserve"> of </w:t>
      </w:r>
      <w:r w:rsidR="007E2BDD">
        <w:t xml:space="preserve">up to five </w:t>
      </w:r>
      <w:r>
        <w:t>asset types</w:t>
      </w:r>
      <w:r w:rsidR="00303799">
        <w:t xml:space="preserve">. The sample will be agreed at the outset of the commission but will include roadside technology assets (see requirement (d)). </w:t>
      </w:r>
      <w:r w:rsidR="00C009CE">
        <w:t>The c</w:t>
      </w:r>
      <w:r w:rsidR="007E2BDD">
        <w:t>onsultants</w:t>
      </w:r>
      <w:r>
        <w:t xml:space="preserve"> should </w:t>
      </w:r>
      <w:r w:rsidR="00C009CE">
        <w:t>assess</w:t>
      </w:r>
      <w:r>
        <w:t xml:space="preserve"> whether plans </w:t>
      </w:r>
      <w:r w:rsidR="00D840F5">
        <w:t>are aligned</w:t>
      </w:r>
      <w:r>
        <w:t xml:space="preserve"> with </w:t>
      </w:r>
      <w:r w:rsidR="007E2BDD">
        <w:t>the company’s Asset Management Policy and Strategy and the relevant Asset Class Strategy.</w:t>
      </w:r>
      <w:r w:rsidR="00C009CE">
        <w:t xml:space="preserve"> They should also consider how plans </w:t>
      </w:r>
      <w:r w:rsidR="00D840F5">
        <w:t>take account of the company’s stated approach to climate change adaptation.</w:t>
      </w:r>
      <w:r w:rsidR="007E2BDD">
        <w:t xml:space="preserve"> </w:t>
      </w:r>
    </w:p>
    <w:p w14:paraId="2DBF3C21" w14:textId="7E23DA47" w:rsidR="00BD38A9" w:rsidRDefault="00C009CE" w:rsidP="006830BC">
      <w:pPr>
        <w:pStyle w:val="NormalBulletround"/>
        <w:numPr>
          <w:ilvl w:val="0"/>
          <w:numId w:val="0"/>
        </w:numPr>
        <w:ind w:left="1134"/>
      </w:pPr>
      <w:r>
        <w:lastRenderedPageBreak/>
        <w:t xml:space="preserve">The consultants </w:t>
      </w:r>
      <w:r w:rsidR="00DD4AD8">
        <w:t>should assess</w:t>
      </w:r>
      <w:r w:rsidR="007E2BDD">
        <w:t xml:space="preserve"> whether National Highways</w:t>
      </w:r>
      <w:r w:rsidR="00105DC3">
        <w:t xml:space="preserve">’ final plans make appropriate use of the company’s data and modelling tools*. </w:t>
      </w:r>
      <w:r w:rsidR="009079D5">
        <w:t xml:space="preserve">Consultants </w:t>
      </w:r>
      <w:r w:rsidR="00105DC3">
        <w:t>should review the approach taken to estimating the costs of renewals plans</w:t>
      </w:r>
      <w:r w:rsidR="009079D5">
        <w:t xml:space="preserve"> and </w:t>
      </w:r>
      <w:r w:rsidR="00730107">
        <w:t xml:space="preserve">comment on the maturity of National Highways’ </w:t>
      </w:r>
      <w:r w:rsidR="009079D5">
        <w:t>approach</w:t>
      </w:r>
      <w:r w:rsidR="00730107">
        <w:t xml:space="preserve">. This should consider whether the company has used appropriate internal and external unit cost benchmarks. </w:t>
      </w:r>
      <w:r w:rsidR="009079D5">
        <w:t>Finally, the consultants should identify</w:t>
      </w:r>
      <w:r w:rsidR="002006CE">
        <w:t xml:space="preserve"> and assess</w:t>
      </w:r>
      <w:r w:rsidR="009079D5">
        <w:t xml:space="preserve"> risks to the delivery of the company’s plans. </w:t>
      </w:r>
    </w:p>
    <w:p w14:paraId="7B2B4075" w14:textId="563E99B4" w:rsidR="009079D5" w:rsidRDefault="009079D5" w:rsidP="006830BC">
      <w:pPr>
        <w:pStyle w:val="NormalBulletalpha"/>
      </w:pPr>
      <w:r>
        <w:t>To review National Highway’s plans for maintaining the network.</w:t>
      </w:r>
      <w:r w:rsidR="00087F9B">
        <w:t xml:space="preserve"> As above, the review should consider whether the RIS3 plans are aligned with the company’s broader strategy. The successful consultants should look for evidence that there is a clear linkage between proposed resource levels and planned maintenance outputs and performance levels. </w:t>
      </w:r>
      <w:r w:rsidR="00F05AAB">
        <w:t>The consultants should look for evidence that maintenance and renewals plans are aligned. They</w:t>
      </w:r>
      <w:r w:rsidR="00087F9B">
        <w:t xml:space="preserve"> should consider how the company has considered changing asset needs and factors such as climate change.  </w:t>
      </w:r>
    </w:p>
    <w:p w14:paraId="76EC6F9B" w14:textId="795BD5AF" w:rsidR="00BD38A9" w:rsidRDefault="00730107" w:rsidP="006830BC">
      <w:pPr>
        <w:pStyle w:val="NormalBulletalpha"/>
      </w:pPr>
      <w:r>
        <w:t xml:space="preserve">To </w:t>
      </w:r>
      <w:r w:rsidR="00087F9B">
        <w:t>support ORR’s assessment of whether</w:t>
      </w:r>
      <w:r w:rsidR="00F7303E">
        <w:t xml:space="preserve"> </w:t>
      </w:r>
      <w:r w:rsidR="00087F9B">
        <w:t xml:space="preserve">proposed RIS3 performance targets are challenging and deliverable. To do this the consultants should review the evidence put forward by National Highways to support the delivery of targets for </w:t>
      </w:r>
      <w:r w:rsidR="00E073B8">
        <w:t>Key Performance Indicators (KPIs)</w:t>
      </w:r>
      <w:r w:rsidR="00D840F5">
        <w:t xml:space="preserve"> most closely linked to operations, maintenance and renewals. </w:t>
      </w:r>
      <w:r w:rsidR="00A27993">
        <w:t xml:space="preserve">RIS3 KPIs have yet to be determined. </w:t>
      </w:r>
      <w:r w:rsidR="00D840F5">
        <w:t>Ba</w:t>
      </w:r>
      <w:r w:rsidR="00D840F5" w:rsidRPr="003E79CD">
        <w:t>s</w:t>
      </w:r>
      <w:r w:rsidR="00F14D14" w:rsidRPr="00DD4AD8">
        <w:t xml:space="preserve">ed on </w:t>
      </w:r>
      <w:r w:rsidR="00D840F5">
        <w:t xml:space="preserve">the RIS2 Performance Specification, </w:t>
      </w:r>
      <w:r w:rsidR="00E073B8">
        <w:t>relevant KPIs are as follows</w:t>
      </w:r>
      <w:r w:rsidR="00D840F5">
        <w:t xml:space="preserve">: </w:t>
      </w:r>
      <w:r w:rsidR="00087F9B" w:rsidRPr="00087F9B">
        <w:t>Roadworks Network Impact KPI, Incident Clearance KPI, Pavement Condition KPI,</w:t>
      </w:r>
      <w:r w:rsidR="00087F9B">
        <w:t xml:space="preserve"> and</w:t>
      </w:r>
      <w:r w:rsidR="00087F9B" w:rsidRPr="00087F9B">
        <w:t xml:space="preserve"> Roadworks Information Timeliness and Accuracy KPI</w:t>
      </w:r>
      <w:r w:rsidR="00F05AAB">
        <w:t xml:space="preserve">. Consultants should comment on the quality of </w:t>
      </w:r>
      <w:r w:rsidR="00D840F5">
        <w:t>supporting evidence provided by National Highways</w:t>
      </w:r>
      <w:r w:rsidR="00F05AAB">
        <w:t xml:space="preserve"> and highlight </w:t>
      </w:r>
      <w:r w:rsidR="00D840F5">
        <w:t xml:space="preserve">key areas of risk and uncertainty. </w:t>
      </w:r>
    </w:p>
    <w:p w14:paraId="7176FFE9" w14:textId="2A395DF7" w:rsidR="009079D5" w:rsidRDefault="00050D61" w:rsidP="006830BC">
      <w:pPr>
        <w:pStyle w:val="NormalBulletalpha"/>
      </w:pPr>
      <w:r>
        <w:t>During RP3, National Highways will assume full responsibility for operating, maintaining and renewing several sections of road currently managed via DBFO (Design, Build, Finance and Operate</w:t>
      </w:r>
      <w:r w:rsidR="00DD4AD8">
        <w:t>) arrangements</w:t>
      </w:r>
      <w:r>
        <w:t xml:space="preserve">. The consultants should </w:t>
      </w:r>
      <w:r w:rsidR="009079D5">
        <w:t xml:space="preserve">review the approach the company is taking to </w:t>
      </w:r>
      <w:r w:rsidR="00F05AAB">
        <w:t xml:space="preserve">the </w:t>
      </w:r>
      <w:r w:rsidR="00DD4AD8">
        <w:t>‘</w:t>
      </w:r>
      <w:r>
        <w:t>hand-back</w:t>
      </w:r>
      <w:r w:rsidR="00DD4AD8">
        <w:t>’</w:t>
      </w:r>
      <w:r>
        <w:t xml:space="preserve"> of these roads.</w:t>
      </w:r>
      <w:r w:rsidR="006B7C2C">
        <w:t xml:space="preserve"> The review should assess whether plans for RIS3 take appropriate account of the impact of DBFO hand-back on cost and performance.</w:t>
      </w:r>
      <w:r w:rsidR="009E0420">
        <w:t xml:space="preserve"> The review should consider</w:t>
      </w:r>
      <w:r w:rsidR="006B717D">
        <w:t xml:space="preserve"> the approach </w:t>
      </w:r>
      <w:r w:rsidR="006B7C2C">
        <w:t xml:space="preserve">to establishing asset condition and associated maintenance and renewals requirements. </w:t>
      </w:r>
      <w:r w:rsidR="006B717D">
        <w:t>As part of this, consultants should</w:t>
      </w:r>
      <w:r w:rsidR="000E3153">
        <w:t xml:space="preserve"> </w:t>
      </w:r>
      <w:r w:rsidR="006B717D">
        <w:t>explore</w:t>
      </w:r>
      <w:r w:rsidR="006B7C2C">
        <w:t xml:space="preserve"> how National Highways is working with DBFO companies to secure </w:t>
      </w:r>
      <w:r w:rsidR="000E3153">
        <w:t xml:space="preserve">required </w:t>
      </w:r>
      <w:r w:rsidR="006B7C2C">
        <w:t>data and ensure contractual obligations are fulfilled.</w:t>
      </w:r>
      <w:r w:rsidR="006B717D">
        <w:t xml:space="preserve"> </w:t>
      </w:r>
      <w:r w:rsidR="00677368">
        <w:t xml:space="preserve">Key risks and uncertainties </w:t>
      </w:r>
      <w:r w:rsidR="000E3153">
        <w:t>relating to the DBFO hand-back should</w:t>
      </w:r>
      <w:r w:rsidR="00677368">
        <w:t xml:space="preserve"> be identified</w:t>
      </w:r>
      <w:r w:rsidR="000E3153">
        <w:t xml:space="preserve"> and assessed</w:t>
      </w:r>
      <w:r w:rsidR="00677368">
        <w:t xml:space="preserve">. </w:t>
      </w:r>
      <w:r w:rsidR="00A27993">
        <w:t>Finally, the review should consider how National Highways has taken account of</w:t>
      </w:r>
      <w:r w:rsidR="009E0420">
        <w:t xml:space="preserve"> DBFO hand-back </w:t>
      </w:r>
      <w:r w:rsidR="00A27993">
        <w:t xml:space="preserve">in planning future resource levels in its </w:t>
      </w:r>
      <w:r w:rsidR="009E0420">
        <w:t xml:space="preserve">Operations </w:t>
      </w:r>
      <w:r w:rsidR="009E0420">
        <w:lastRenderedPageBreak/>
        <w:t xml:space="preserve">Directorate. </w:t>
      </w:r>
      <w:r w:rsidR="00A27993">
        <w:t xml:space="preserve">This should include consideration of the potential for the company to achieve economies of scale in the operation of these roads. </w:t>
      </w:r>
    </w:p>
    <w:p w14:paraId="34490715" w14:textId="1ADC79C3" w:rsidR="002729D5" w:rsidRDefault="002729D5" w:rsidP="00AF096B">
      <w:pPr>
        <w:pStyle w:val="NormalBulletalpha"/>
      </w:pPr>
      <w:r>
        <w:t>S</w:t>
      </w:r>
      <w:r w:rsidR="00677368">
        <w:t xml:space="preserve">pecific consideration should be given to digital aspects of the draft SBP. </w:t>
      </w:r>
      <w:r>
        <w:t>This includes operation, maintenance and renewal of roadside/operational technology</w:t>
      </w:r>
      <w:r w:rsidR="34292F34">
        <w:t xml:space="preserve"> </w:t>
      </w:r>
      <w:r>
        <w:t xml:space="preserve">and supporting systems, plans relating to the operation and maintenance of smart motorways, and </w:t>
      </w:r>
      <w:r w:rsidR="0067440B">
        <w:t>other digital investments related to the operation, maintenance and renewal of the network</w:t>
      </w:r>
      <w:r>
        <w:t xml:space="preserve"> (e.g. asset management systems and cyber security). </w:t>
      </w:r>
      <w:r w:rsidR="0067440B">
        <w:t xml:space="preserve">This does </w:t>
      </w:r>
      <w:r w:rsidR="0067440B" w:rsidRPr="5E227555">
        <w:rPr>
          <w:b/>
          <w:bCs/>
        </w:rPr>
        <w:t>not</w:t>
      </w:r>
      <w:r w:rsidR="0067440B">
        <w:t xml:space="preserve"> include routine expenditure on IT equipment and software (e.g. computers, finance systems etc).</w:t>
      </w:r>
    </w:p>
    <w:p w14:paraId="493E3A65" w14:textId="6AF1DBB3" w:rsidR="00846D00" w:rsidRDefault="00303799" w:rsidP="000B41B6">
      <w:pPr>
        <w:pStyle w:val="NormalBulletalpha"/>
        <w:numPr>
          <w:ilvl w:val="0"/>
          <w:numId w:val="0"/>
        </w:numPr>
        <w:ind w:left="1134"/>
      </w:pPr>
      <w:r>
        <w:t>Consultants should undertake a detailed review of National Highway’s plans for operating, maintaining and renewing roadside technology assets.</w:t>
      </w:r>
      <w:r w:rsidR="00846D00">
        <w:t xml:space="preserve"> They should consider whether plans are aligned to National Highways’ Operational Technology strategy with particular focus on the degree to which plans facilitate the company’s ambitions for 2030.</w:t>
      </w:r>
    </w:p>
    <w:p w14:paraId="7776BF76" w14:textId="1007C42E" w:rsidR="000B41B6" w:rsidRDefault="00303799" w:rsidP="003E79CD">
      <w:pPr>
        <w:pStyle w:val="NormalBulletround"/>
        <w:numPr>
          <w:ilvl w:val="4"/>
          <w:numId w:val="0"/>
        </w:numPr>
        <w:ind w:left="1134"/>
      </w:pPr>
      <w:r>
        <w:t xml:space="preserve">Consultants should look for evidence </w:t>
      </w:r>
      <w:r w:rsidR="006D698F">
        <w:t>that the company is taking a joined-up approach to roadside assets and supporting systems and has a clear plan for delivery. The review should consider whether an appropriate approach has been taken to cost estimation</w:t>
      </w:r>
      <w:r w:rsidR="009F77D1">
        <w:t xml:space="preserve"> and whether the company has used appropriate internal and external unit cost benchmarks. Consultants may be able to contribute their own evidence in this regard. </w:t>
      </w:r>
    </w:p>
    <w:p w14:paraId="3909ECEE" w14:textId="77777777" w:rsidR="003C4067" w:rsidRDefault="003C4067" w:rsidP="003C4067">
      <w:pPr>
        <w:pStyle w:val="NormalBulletalpha"/>
        <w:numPr>
          <w:ilvl w:val="0"/>
          <w:numId w:val="0"/>
        </w:numPr>
        <w:ind w:left="1134"/>
        <w:rPr>
          <w:highlight w:val="yellow"/>
        </w:rPr>
      </w:pPr>
      <w:r>
        <w:t xml:space="preserve">As part of the review, consultants should consider whether plans for renewing digital assets are aligned with proposed levels of performance (i.e. technology availability). </w:t>
      </w:r>
    </w:p>
    <w:p w14:paraId="0A3D9C56" w14:textId="04E89F41" w:rsidR="008B4510" w:rsidRDefault="004E4517" w:rsidP="003E79CD">
      <w:pPr>
        <w:pStyle w:val="HighlightLilac"/>
      </w:pPr>
      <w:r w:rsidRPr="008E2770">
        <w:t>*In 2022, we published a review National Highways’ approach to renewals investment planning</w:t>
      </w:r>
      <w:r w:rsidR="000E3153">
        <w:t>:</w:t>
      </w:r>
      <w:r w:rsidRPr="008E2770">
        <w:t xml:space="preserve"> </w:t>
      </w:r>
      <w:hyperlink r:id="rId23" w:history="1">
        <w:r w:rsidRPr="008E2770">
          <w:rPr>
            <w:rStyle w:val="Hyperlink"/>
          </w:rPr>
          <w:t>https://www.orr.gov.uk/sites/default/files/2022-05/ris3-renewals-planning-task-1-eam-report.pdf</w:t>
        </w:r>
      </w:hyperlink>
      <w:r w:rsidRPr="008E2770">
        <w:t>. We will be updating and extending this work via a separate commission ahead of the Efficiency Review. This work is focussed on the quality of asset data and tools the company uses to inform its investment plans. It does not concern the plans themselves. During the Efficiency Review, consultants should draw on and not repeat this work.</w:t>
      </w:r>
    </w:p>
    <w:p w14:paraId="3AA8F5B6" w14:textId="3D3A3F59" w:rsidR="008A771E" w:rsidRDefault="003D3606" w:rsidP="008A771E">
      <w:pPr>
        <w:pStyle w:val="Heading4"/>
      </w:pPr>
      <w:r>
        <w:lastRenderedPageBreak/>
        <w:t>LOT</w:t>
      </w:r>
      <w:r w:rsidR="008A771E">
        <w:t xml:space="preserve"> </w:t>
      </w:r>
      <w:r w:rsidR="00FD7388">
        <w:t>2</w:t>
      </w:r>
      <w:r w:rsidR="008A771E">
        <w:t>: Enhancements</w:t>
      </w:r>
    </w:p>
    <w:p w14:paraId="39D233E8" w14:textId="77777777" w:rsidR="00EB2718" w:rsidRDefault="00EB2718" w:rsidP="00EB2718">
      <w:pPr>
        <w:pStyle w:val="Heading5"/>
      </w:pPr>
      <w:r>
        <w:t>Objectives</w:t>
      </w:r>
    </w:p>
    <w:p w14:paraId="501E1DB4" w14:textId="6A4318AC" w:rsidR="00EB2718" w:rsidRDefault="00EE4699" w:rsidP="003E79CD">
      <w:r>
        <w:t xml:space="preserve">The purpose of </w:t>
      </w:r>
      <w:r w:rsidR="003D3606">
        <w:t>LOT</w:t>
      </w:r>
      <w:r>
        <w:t xml:space="preserve"> 2 is to provide </w:t>
      </w:r>
      <w:r w:rsidR="008E6D10">
        <w:t>case study evidence</w:t>
      </w:r>
      <w:r>
        <w:t xml:space="preserve"> to inform ORR’s overall assessment of whether the planned programme of</w:t>
      </w:r>
      <w:r w:rsidR="008E6D10">
        <w:t xml:space="preserve"> major</w:t>
      </w:r>
      <w:r>
        <w:t xml:space="preserve"> enhancement</w:t>
      </w:r>
      <w:r w:rsidR="008E6D10">
        <w:t xml:space="preserve"> projects</w:t>
      </w:r>
      <w:r>
        <w:t xml:space="preserve"> (road improvement projects) is challenging and deliverable.</w:t>
      </w:r>
      <w:r w:rsidR="00611EE5">
        <w:t xml:space="preserve"> </w:t>
      </w:r>
      <w:r>
        <w:t xml:space="preserve">   </w:t>
      </w:r>
    </w:p>
    <w:p w14:paraId="2E6654BD" w14:textId="77777777" w:rsidR="00EB2718" w:rsidRDefault="00EB2718" w:rsidP="00EB2718">
      <w:pPr>
        <w:pStyle w:val="Heading5"/>
      </w:pPr>
      <w:r>
        <w:t>Requirements</w:t>
      </w:r>
    </w:p>
    <w:p w14:paraId="027A0DE4" w14:textId="74B4552B" w:rsidR="002729D5" w:rsidRDefault="00CD4FE2" w:rsidP="008E2770">
      <w:r>
        <w:t>Before commencing the project reviews, t</w:t>
      </w:r>
      <w:r w:rsidR="008E6D10">
        <w:t>he</w:t>
      </w:r>
      <w:r w:rsidR="002729D5">
        <w:t xml:space="preserve"> successful</w:t>
      </w:r>
      <w:r w:rsidR="008E6D10">
        <w:t xml:space="preserve"> consultants shoul</w:t>
      </w:r>
      <w:r w:rsidR="00F7303E">
        <w:t>d</w:t>
      </w:r>
      <w:r w:rsidR="008E6D10">
        <w:t xml:space="preserve"> </w:t>
      </w:r>
      <w:r w:rsidR="002729D5">
        <w:t>familiarise themselves with</w:t>
      </w:r>
      <w:r w:rsidR="00530F48">
        <w:t xml:space="preserve"> National Highways</w:t>
      </w:r>
      <w:r w:rsidR="008E6D10">
        <w:t>’</w:t>
      </w:r>
      <w:r w:rsidR="00530F48">
        <w:t xml:space="preserve"> overall approach to cost estimation and schedule development</w:t>
      </w:r>
      <w:r w:rsidR="008E6D10">
        <w:t xml:space="preserve"> for major enhancement</w:t>
      </w:r>
      <w:r w:rsidR="00F7303E">
        <w:t xml:space="preserve"> projects</w:t>
      </w:r>
      <w:r>
        <w:t>. Consultants should draw on previous reviews commissioned by ORR as well as the draft SBP itself.</w:t>
      </w:r>
    </w:p>
    <w:p w14:paraId="6F517AE0" w14:textId="155BC492" w:rsidR="00926DF4" w:rsidRDefault="0077631C" w:rsidP="003E79CD">
      <w:r>
        <w:t xml:space="preserve">Following this, the consultants should undertake detailed reviews of a sample of up to </w:t>
      </w:r>
      <w:r w:rsidR="00CD4FE2">
        <w:t>six</w:t>
      </w:r>
      <w:r>
        <w:t xml:space="preserve"> </w:t>
      </w:r>
      <w:r w:rsidR="00F7303E">
        <w:t xml:space="preserve">case study </w:t>
      </w:r>
      <w:r>
        <w:t>enhancement projects.</w:t>
      </w:r>
    </w:p>
    <w:p w14:paraId="7ECE9A6B" w14:textId="2AE7F6F9" w:rsidR="00926DF4" w:rsidRDefault="003C4067" w:rsidP="003E79CD">
      <w:r>
        <w:t>We will select the sample of projects after receiving the draft SBP. The sample will prioritise higher-value projects with known risks. It will encompass projects in various stages of development, including</w:t>
      </w:r>
      <w:r w:rsidR="0067440B">
        <w:t xml:space="preserve"> (but not limited to)</w:t>
      </w:r>
      <w:r>
        <w:t xml:space="preserve"> those involved in the Development Consent Order (DCO) process</w:t>
      </w:r>
      <w:r w:rsidR="00926DF4">
        <w:t xml:space="preserve">. </w:t>
      </w:r>
    </w:p>
    <w:p w14:paraId="7B89E064" w14:textId="50C0AE0D" w:rsidR="002826EB" w:rsidRDefault="0077631C" w:rsidP="003E79CD">
      <w:r>
        <w:t>We would envisage that each review will involve a combination of desk-based review</w:t>
      </w:r>
      <w:r w:rsidR="00611EE5">
        <w:t xml:space="preserve"> of information provided by National Highways</w:t>
      </w:r>
      <w:r>
        <w:t xml:space="preserve"> and direct engagement with project teams. </w:t>
      </w:r>
    </w:p>
    <w:p w14:paraId="0A37A680" w14:textId="7993C7E3" w:rsidR="00611EE5" w:rsidRDefault="00611EE5" w:rsidP="003E79CD">
      <w:r>
        <w:t xml:space="preserve">The </w:t>
      </w:r>
      <w:r w:rsidR="00FA4CF1">
        <w:t>case studies should comprise the following:</w:t>
      </w:r>
    </w:p>
    <w:p w14:paraId="5DCD6850" w14:textId="1967FEB9" w:rsidR="00B4341A" w:rsidRDefault="00B4341A" w:rsidP="006830BC">
      <w:pPr>
        <w:pStyle w:val="NormalBulletalpha"/>
        <w:numPr>
          <w:ilvl w:val="1"/>
          <w:numId w:val="49"/>
        </w:numPr>
      </w:pPr>
      <w:r>
        <w:t>A review of the approach taken to cost estimation. This should confirm that the approa</w:t>
      </w:r>
      <w:r w:rsidR="00D03A6C">
        <w:t>ch</w:t>
      </w:r>
      <w:r w:rsidR="00944CB0">
        <w:t xml:space="preserve"> taken to the project in question</w:t>
      </w:r>
      <w:r w:rsidR="00D03A6C">
        <w:t xml:space="preserve"> </w:t>
      </w:r>
      <w:r>
        <w:t xml:space="preserve">is in line with National Highways’ </w:t>
      </w:r>
      <w:r w:rsidR="00D03A6C">
        <w:t xml:space="preserve">overall </w:t>
      </w:r>
      <w:r>
        <w:t xml:space="preserve">stated approach. </w:t>
      </w:r>
      <w:r w:rsidR="002826EB">
        <w:t xml:space="preserve">It should describe and evaluate the approach taken to accounting for project risks. </w:t>
      </w:r>
      <w:r>
        <w:t xml:space="preserve">It should </w:t>
      </w:r>
      <w:r w:rsidR="00D03A6C">
        <w:t xml:space="preserve">consider how forecasts costs have changed over time and confirm that the estimates included in the draft SBP are up to date. </w:t>
      </w:r>
      <w:r w:rsidR="001F4700">
        <w:t xml:space="preserve">It should critically evaluate the </w:t>
      </w:r>
      <w:r w:rsidR="00944CB0">
        <w:t>evidence</w:t>
      </w:r>
      <w:r w:rsidR="001F4700">
        <w:t xml:space="preserve"> </w:t>
      </w:r>
      <w:r w:rsidR="002826EB">
        <w:t>p</w:t>
      </w:r>
      <w:r w:rsidR="001F4700">
        <w:t xml:space="preserve">ut forward to justify </w:t>
      </w:r>
      <w:r w:rsidR="00944CB0">
        <w:t>recent changes to forecast costs</w:t>
      </w:r>
      <w:r w:rsidR="001F4700">
        <w:t xml:space="preserve">. </w:t>
      </w:r>
      <w:r w:rsidR="00BC3C27">
        <w:t>For projects in the development phase</w:t>
      </w:r>
      <w:r w:rsidR="00BC3C27" w:rsidRPr="00BC3C27">
        <w:t xml:space="preserve">, </w:t>
      </w:r>
      <w:r w:rsidR="00BC3C27">
        <w:t>consultants should look for evidence that the propos</w:t>
      </w:r>
      <w:r w:rsidR="00BC3C27" w:rsidRPr="00BC3C27">
        <w:t xml:space="preserve">ed level of expenditure during the project development stage (i.e. ahead of construction) is appropriate and justified. </w:t>
      </w:r>
    </w:p>
    <w:p w14:paraId="3FC34488" w14:textId="0D364107" w:rsidR="00D03A6C" w:rsidRDefault="001F4700" w:rsidP="0028548C">
      <w:pPr>
        <w:pStyle w:val="NormalBulletalpha"/>
      </w:pPr>
      <w:r>
        <w:t xml:space="preserve">A review of the approach to project scheduling. This should consider </w:t>
      </w:r>
      <w:r w:rsidR="00FA4CF1">
        <w:t xml:space="preserve">how key project milestones (i.e. start of works and open for traffic) have been established. Where appropriate, the case study should explore how these milestones compare with contracted commitments and </w:t>
      </w:r>
      <w:r w:rsidR="00434B9B">
        <w:t xml:space="preserve">consider how the company has built contingencies into project schedules. The case studies could </w:t>
      </w:r>
      <w:r w:rsidR="00434B9B">
        <w:lastRenderedPageBreak/>
        <w:t>include benchmarking against past projects delivery by National Highways building on work previously commissioned by ORR (</w:t>
      </w:r>
      <w:hyperlink r:id="rId24" w:history="1">
        <w:r w:rsidR="00BC3C27" w:rsidRPr="00BC3C27">
          <w:rPr>
            <w:rStyle w:val="Hyperlink"/>
          </w:rPr>
          <w:t>https://www.orr.gov.uk/sites/default/files/2022-05/ris3-enhancements-delivery-timescales-and-risks-review-nichols-report-february-2022.pdf</w:t>
        </w:r>
      </w:hyperlink>
      <w:r w:rsidR="00434B9B">
        <w:t xml:space="preserve">). </w:t>
      </w:r>
    </w:p>
    <w:p w14:paraId="01D325B1" w14:textId="7EDA4653" w:rsidR="008A771E" w:rsidRDefault="00B4341A" w:rsidP="0028548C">
      <w:pPr>
        <w:pStyle w:val="NormalBulletalpha"/>
      </w:pPr>
      <w:r>
        <w:t>An overall</w:t>
      </w:r>
      <w:r w:rsidR="00611EE5">
        <w:t xml:space="preserve"> assessment of the key risks</w:t>
      </w:r>
      <w:r w:rsidR="00D03A6C">
        <w:t xml:space="preserve"> and dependencies</w:t>
      </w:r>
      <w:r>
        <w:t xml:space="preserve"> to the successful delivery of the project. </w:t>
      </w:r>
      <w:r w:rsidR="00B85096" w:rsidRPr="00B85096">
        <w:t>This evaluation should centre on confirming whether these risks and dependencies have been factored into the project</w:t>
      </w:r>
      <w:r w:rsidR="00A27993">
        <w:t>’</w:t>
      </w:r>
      <w:r w:rsidR="00B85096" w:rsidRPr="00B85096">
        <w:t>s cost and schedule estimations.</w:t>
      </w:r>
    </w:p>
    <w:p w14:paraId="4BF48ED1" w14:textId="17018EE4" w:rsidR="008A771E" w:rsidRDefault="003D3606" w:rsidP="008A771E">
      <w:pPr>
        <w:pStyle w:val="Heading4"/>
      </w:pPr>
      <w:r>
        <w:t>LOT</w:t>
      </w:r>
      <w:r w:rsidR="008A771E">
        <w:t xml:space="preserve"> </w:t>
      </w:r>
      <w:r w:rsidR="00FD7388">
        <w:t>3</w:t>
      </w:r>
      <w:r w:rsidR="008A771E">
        <w:t>: Safety</w:t>
      </w:r>
    </w:p>
    <w:p w14:paraId="39CE2922" w14:textId="77777777" w:rsidR="00EB2718" w:rsidRDefault="00EB2718" w:rsidP="00EB2718">
      <w:pPr>
        <w:pStyle w:val="Heading5"/>
      </w:pPr>
      <w:r>
        <w:t>Objectives</w:t>
      </w:r>
    </w:p>
    <w:p w14:paraId="0D692327" w14:textId="19FED08B" w:rsidR="00926DF4" w:rsidRDefault="000E1DED" w:rsidP="003E79CD">
      <w:r>
        <w:t xml:space="preserve">Consultants appointed under </w:t>
      </w:r>
      <w:r w:rsidR="003D3606">
        <w:t>LOT</w:t>
      </w:r>
      <w:r>
        <w:t xml:space="preserve"> 3 will undertake an evaluation of National Highways’ safety improvement proposals</w:t>
      </w:r>
      <w:r w:rsidR="00CA2C26">
        <w:t xml:space="preserve"> to inform ORR’s advice</w:t>
      </w:r>
      <w:r w:rsidR="00925F8E">
        <w:t xml:space="preserve"> on safety performance targets for RIS3</w:t>
      </w:r>
      <w:r w:rsidR="0018455E">
        <w:t xml:space="preserve">. </w:t>
      </w:r>
    </w:p>
    <w:p w14:paraId="470D36F7" w14:textId="77777777" w:rsidR="00EB2718" w:rsidRDefault="00EB2718" w:rsidP="00EB2718">
      <w:pPr>
        <w:pStyle w:val="Heading5"/>
      </w:pPr>
      <w:r>
        <w:t>Requirements</w:t>
      </w:r>
    </w:p>
    <w:p w14:paraId="61615AB7" w14:textId="4232AC15" w:rsidR="00925F8E" w:rsidRDefault="0095735B" w:rsidP="003E79CD">
      <w:r>
        <w:t xml:space="preserve">We hold </w:t>
      </w:r>
      <w:r w:rsidR="00925F8E">
        <w:t>National Highways to account for reducing the number of people killed or seriously injured (KSIs) on the SRN</w:t>
      </w:r>
      <w:r w:rsidR="0091608C">
        <w:t xml:space="preserve"> (the ‘</w:t>
      </w:r>
      <w:r w:rsidR="00A46D55">
        <w:t>KSI target’</w:t>
      </w:r>
      <w:r w:rsidR="0091608C">
        <w:t>)</w:t>
      </w:r>
      <w:r w:rsidR="00925F8E">
        <w:t xml:space="preserve">. </w:t>
      </w:r>
      <w:r w:rsidR="010F2EE1">
        <w:t>We</w:t>
      </w:r>
      <w:r w:rsidR="00925F8E">
        <w:t xml:space="preserve"> </w:t>
      </w:r>
      <w:r>
        <w:t xml:space="preserve">expect this KPI to be retained and the </w:t>
      </w:r>
      <w:r w:rsidR="00925F8E">
        <w:t>target updated for RP3. During the Efficiency Review, it is the ORR’s role to assess whether the proposed target is challenging and deliverable based on the safety improvement plans put forward by National Highways.</w:t>
      </w:r>
    </w:p>
    <w:p w14:paraId="4FAEFC73" w14:textId="10EE9305" w:rsidR="00801E01" w:rsidRDefault="00925F8E" w:rsidP="003E79CD">
      <w:r>
        <w:t>The successful consultants will undertake a r</w:t>
      </w:r>
      <w:r w:rsidRPr="00925F8E">
        <w:t>eview</w:t>
      </w:r>
      <w:r w:rsidR="18848C1D">
        <w:t xml:space="preserve"> of </w:t>
      </w:r>
      <w:r>
        <w:t xml:space="preserve">National Highways’ </w:t>
      </w:r>
      <w:r w:rsidRPr="00925F8E">
        <w:t>proposed approach to (maintaining and improving) road safety performance.</w:t>
      </w:r>
      <w:r>
        <w:t xml:space="preserve"> They should p</w:t>
      </w:r>
      <w:r w:rsidRPr="00925F8E">
        <w:t xml:space="preserve">rovide advice on </w:t>
      </w:r>
      <w:r w:rsidR="000245DD">
        <w:t xml:space="preserve">the </w:t>
      </w:r>
      <w:r w:rsidRPr="00925F8E">
        <w:t>quality and maturity of plans including, but not limited to</w:t>
      </w:r>
      <w:r w:rsidR="000245DD">
        <w:t>,</w:t>
      </w:r>
      <w:r w:rsidRPr="00925F8E">
        <w:t xml:space="preserve"> </w:t>
      </w:r>
      <w:r w:rsidR="00801E01">
        <w:t xml:space="preserve">safety-related </w:t>
      </w:r>
      <w:r w:rsidR="000245DD">
        <w:t xml:space="preserve">national programmes and </w:t>
      </w:r>
      <w:r w:rsidRPr="00925F8E">
        <w:t>Designated Funds</w:t>
      </w:r>
      <w:r w:rsidR="00E358B2">
        <w:t xml:space="preserve"> (ring fenced funding </w:t>
      </w:r>
      <w:r w:rsidR="000245DD">
        <w:t>for</w:t>
      </w:r>
      <w:r w:rsidR="00E358B2">
        <w:t xml:space="preserve"> the purposes of addressing a range of specific issues over and above the traditional focus of road investment)</w:t>
      </w:r>
      <w:r w:rsidRPr="00925F8E">
        <w:t>.</w:t>
      </w:r>
      <w:r w:rsidR="00801E01">
        <w:t xml:space="preserve"> </w:t>
      </w:r>
    </w:p>
    <w:p w14:paraId="5910C465" w14:textId="47FE00FA" w:rsidR="00A46D55" w:rsidRDefault="00801E01" w:rsidP="003E79CD">
      <w:r>
        <w:t xml:space="preserve">The review should consider the way in which National Highways has prioritised </w:t>
      </w:r>
      <w:r w:rsidR="009A5842">
        <w:t xml:space="preserve">differing types of safety </w:t>
      </w:r>
      <w:r>
        <w:t xml:space="preserve">interventions to </w:t>
      </w:r>
      <w:r w:rsidR="004502B7">
        <w:t>optimise the impact of its investments</w:t>
      </w:r>
      <w:r>
        <w:t xml:space="preserve">. </w:t>
      </w:r>
    </w:p>
    <w:p w14:paraId="58A53EEA" w14:textId="3807B2C5" w:rsidR="00A46D55" w:rsidRDefault="00A46D55" w:rsidP="003E79CD">
      <w:r>
        <w:t>Consultants should evaluat</w:t>
      </w:r>
      <w:r w:rsidR="002A6666">
        <w:t>e</w:t>
      </w:r>
      <w:r>
        <w:t xml:space="preserve"> the company’s approach to cost estimation</w:t>
      </w:r>
      <w:r w:rsidR="002A6666">
        <w:t xml:space="preserve"> for safety initiatives</w:t>
      </w:r>
      <w:r>
        <w:t xml:space="preserve">. This should consider whether appropriate cost benchmarks have been applied. If appropriate, consultants may provide their own benchmark evidence. </w:t>
      </w:r>
    </w:p>
    <w:p w14:paraId="214F9B99" w14:textId="1E9B0425" w:rsidR="00A46D55" w:rsidRPr="00925F8E" w:rsidRDefault="00A46D55" w:rsidP="003E79CD">
      <w:r>
        <w:t xml:space="preserve">The review should seek to confirm that National Highways has a robust plan in place for delivering its programme of safety initiatives. This should cover the approach to project design, development, selection, </w:t>
      </w:r>
      <w:r w:rsidR="000245DD">
        <w:t xml:space="preserve">risk </w:t>
      </w:r>
      <w:r>
        <w:t xml:space="preserve">and delivery. Any unmitigated risks should be identified. </w:t>
      </w:r>
    </w:p>
    <w:p w14:paraId="18350DC9" w14:textId="51A70F2F" w:rsidR="0091608C" w:rsidRDefault="00F74C29" w:rsidP="003E79CD">
      <w:r>
        <w:lastRenderedPageBreak/>
        <w:t>T</w:t>
      </w:r>
      <w:r w:rsidR="007A4366">
        <w:t xml:space="preserve">he consultants should </w:t>
      </w:r>
      <w:r w:rsidR="007A4366" w:rsidRPr="007A4366">
        <w:t xml:space="preserve">review the analysis used by National Highways to assess the impact of its plans on </w:t>
      </w:r>
      <w:r w:rsidR="0091608C">
        <w:t>safety performance and</w:t>
      </w:r>
      <w:r w:rsidR="00A46D55">
        <w:t xml:space="preserve"> to evidence the achievability of</w:t>
      </w:r>
      <w:r w:rsidR="0091608C">
        <w:t xml:space="preserve"> </w:t>
      </w:r>
      <w:r w:rsidR="00465388">
        <w:t xml:space="preserve">safety related performance targets, including </w:t>
      </w:r>
      <w:r w:rsidR="0091608C">
        <w:t xml:space="preserve">the </w:t>
      </w:r>
      <w:r w:rsidR="00A46D55">
        <w:t xml:space="preserve">KSI target. </w:t>
      </w:r>
      <w:r w:rsidR="0091608C">
        <w:t>This should confirm that the company has made best use of available evidence on:</w:t>
      </w:r>
    </w:p>
    <w:p w14:paraId="3DC0F1F9" w14:textId="527ABBD4" w:rsidR="00925F8E" w:rsidRDefault="0095735B" w:rsidP="003E79CD">
      <w:pPr>
        <w:pStyle w:val="NormalBulletround"/>
      </w:pPr>
      <w:r>
        <w:t>t</w:t>
      </w:r>
      <w:r w:rsidR="0091608C">
        <w:t>rends in safety performance</w:t>
      </w:r>
      <w:r>
        <w:t>;</w:t>
      </w:r>
    </w:p>
    <w:p w14:paraId="7EBF0DA2" w14:textId="1BE9F481" w:rsidR="0091608C" w:rsidRDefault="0095735B" w:rsidP="003E79CD">
      <w:pPr>
        <w:pStyle w:val="NormalBulletround"/>
      </w:pPr>
      <w:r>
        <w:t>h</w:t>
      </w:r>
      <w:r w:rsidR="0091608C" w:rsidRPr="005D5F6D">
        <w:t>eadwinds and tailwinds</w:t>
      </w:r>
      <w:r w:rsidR="0091608C">
        <w:t xml:space="preserve"> </w:t>
      </w:r>
      <w:r>
        <w:t>affecting</w:t>
      </w:r>
      <w:r w:rsidR="0091608C">
        <w:t xml:space="preserve"> </w:t>
      </w:r>
      <w:r w:rsidR="00A46D55">
        <w:t>the achievability of target</w:t>
      </w:r>
      <w:r>
        <w:t>; and</w:t>
      </w:r>
    </w:p>
    <w:p w14:paraId="49388B00" w14:textId="43EE76E3" w:rsidR="00A46D55" w:rsidRDefault="00C65CF4" w:rsidP="003E79CD">
      <w:pPr>
        <w:pStyle w:val="NormalBulletround"/>
      </w:pPr>
      <w:r>
        <w:t>t</w:t>
      </w:r>
      <w:r w:rsidR="00A46D55">
        <w:t xml:space="preserve">he impact of National Highways’ plans. </w:t>
      </w:r>
    </w:p>
    <w:p w14:paraId="0336CD24" w14:textId="28961571" w:rsidR="00BE48AC" w:rsidDel="00925F8E" w:rsidRDefault="00A46D55" w:rsidP="003E79CD">
      <w:r>
        <w:t xml:space="preserve">It should be noted that consultants are not expected to undertake any modelling themselves but are required to review the evidence put forward by National Highways. ORR will use the findings to inform our assessment of whether RIS3 </w:t>
      </w:r>
      <w:r w:rsidR="7DFE7217">
        <w:t xml:space="preserve">safety </w:t>
      </w:r>
      <w:r w:rsidR="00465388">
        <w:t>performance</w:t>
      </w:r>
      <w:r>
        <w:t xml:space="preserve"> target</w:t>
      </w:r>
      <w:r w:rsidR="00465388">
        <w:t>s</w:t>
      </w:r>
      <w:r>
        <w:t xml:space="preserve"> </w:t>
      </w:r>
      <w:r w:rsidR="00465388">
        <w:t>are</w:t>
      </w:r>
      <w:r>
        <w:t xml:space="preserve"> challenging and deliverable. </w:t>
      </w:r>
    </w:p>
    <w:p w14:paraId="464B2E2A" w14:textId="29F172C9" w:rsidR="008A771E" w:rsidRDefault="003D3606" w:rsidP="008A771E">
      <w:pPr>
        <w:pStyle w:val="Heading4"/>
      </w:pPr>
      <w:r>
        <w:t>LOT</w:t>
      </w:r>
      <w:r w:rsidR="008A771E">
        <w:t xml:space="preserve"> </w:t>
      </w:r>
      <w:r w:rsidR="00FD7388">
        <w:t>4</w:t>
      </w:r>
      <w:r w:rsidR="008A771E">
        <w:t>: Environment</w:t>
      </w:r>
    </w:p>
    <w:p w14:paraId="394DEA90" w14:textId="77777777" w:rsidR="00EB2718" w:rsidRDefault="00EB2718" w:rsidP="00EB2718">
      <w:pPr>
        <w:pStyle w:val="Heading5"/>
      </w:pPr>
      <w:r>
        <w:t>Objectives</w:t>
      </w:r>
    </w:p>
    <w:p w14:paraId="7D2C66EF" w14:textId="14DB4BB0" w:rsidR="00EB2718" w:rsidRDefault="00B329AC" w:rsidP="003E79CD">
      <w:r>
        <w:t xml:space="preserve">Consultants appointed to </w:t>
      </w:r>
      <w:r w:rsidR="003D3606">
        <w:t>LOT</w:t>
      </w:r>
      <w:r>
        <w:t xml:space="preserve"> 4 will s</w:t>
      </w:r>
      <w:r w:rsidR="003A5AC1">
        <w:t xml:space="preserve">upport ORRs assessment of </w:t>
      </w:r>
      <w:r w:rsidR="00343CC5">
        <w:t>National Highways</w:t>
      </w:r>
      <w:r w:rsidR="0095735B">
        <w:t>’</w:t>
      </w:r>
      <w:r w:rsidR="00331651">
        <w:t xml:space="preserve"> </w:t>
      </w:r>
      <w:r w:rsidR="003A5AC1">
        <w:t xml:space="preserve">environmental plans. </w:t>
      </w:r>
      <w:r w:rsidR="00331651">
        <w:t xml:space="preserve">The review will inform ORR’s </w:t>
      </w:r>
      <w:r w:rsidR="003A5AC1">
        <w:t xml:space="preserve">assessment of </w:t>
      </w:r>
      <w:r w:rsidR="00331651">
        <w:t xml:space="preserve">whether proposed </w:t>
      </w:r>
      <w:r w:rsidR="00343CC5">
        <w:t xml:space="preserve">RIS3 </w:t>
      </w:r>
      <w:r w:rsidR="003A5AC1">
        <w:t>environmental targets</w:t>
      </w:r>
      <w:r w:rsidR="00447558">
        <w:t xml:space="preserve"> </w:t>
      </w:r>
      <w:r w:rsidR="00331651">
        <w:t xml:space="preserve">are challenging and deliverable. </w:t>
      </w:r>
    </w:p>
    <w:p w14:paraId="2B75C9C0" w14:textId="77777777" w:rsidR="00EB2718" w:rsidRDefault="00EB2718" w:rsidP="00EB2718">
      <w:pPr>
        <w:pStyle w:val="Heading5"/>
      </w:pPr>
      <w:r>
        <w:t>Requirements</w:t>
      </w:r>
    </w:p>
    <w:p w14:paraId="49BB885F" w14:textId="34A9EAC8" w:rsidR="00DF6866" w:rsidRDefault="00DF6866" w:rsidP="003E79CD">
      <w:r>
        <w:t>Consultants are required to r</w:t>
      </w:r>
      <w:r w:rsidR="003A5AC1">
        <w:t>eview environmental aspects of National Highways’ plans</w:t>
      </w:r>
      <w:r>
        <w:t xml:space="preserve"> including but not limited to environmental-related</w:t>
      </w:r>
      <w:r w:rsidR="002A636C">
        <w:t xml:space="preserve"> national programmes and</w:t>
      </w:r>
      <w:r>
        <w:t xml:space="preserve"> Designated Funds. </w:t>
      </w:r>
    </w:p>
    <w:p w14:paraId="14648653" w14:textId="67E7C9CD" w:rsidR="003A5AC1" w:rsidRDefault="00A528C6" w:rsidP="003E79CD">
      <w:r>
        <w:t xml:space="preserve">The review should establish whether there is clear alignment between the plans developed by National Highways, and </w:t>
      </w:r>
      <w:r w:rsidR="003A5AC1">
        <w:t xml:space="preserve">emerging RIS3 environmental performance </w:t>
      </w:r>
      <w:r w:rsidR="00465388">
        <w:t>requirements, as well as statutory responsibilities</w:t>
      </w:r>
      <w:r w:rsidR="003A5AC1">
        <w:t xml:space="preserve"> (</w:t>
      </w:r>
      <w:r>
        <w:t xml:space="preserve">i.e. </w:t>
      </w:r>
      <w:r w:rsidR="003A5AC1">
        <w:t xml:space="preserve">clear linkages between </w:t>
      </w:r>
      <w:r>
        <w:t xml:space="preserve">costs, </w:t>
      </w:r>
      <w:r w:rsidR="003A5AC1">
        <w:t>activities, outputs and outcomes)</w:t>
      </w:r>
      <w:r w:rsidR="00447558">
        <w:t>.</w:t>
      </w:r>
    </w:p>
    <w:p w14:paraId="35CC8658" w14:textId="12CE57F1" w:rsidR="00DF6866" w:rsidRDefault="00DF6866" w:rsidP="003E79CD">
      <w:r>
        <w:t>Consultants should evaluat</w:t>
      </w:r>
      <w:r w:rsidR="002A6666">
        <w:t>e</w:t>
      </w:r>
      <w:r>
        <w:t xml:space="preserve"> the company’s approach to cost estimation</w:t>
      </w:r>
      <w:r w:rsidR="002A6666">
        <w:t xml:space="preserve"> for environmental initiatives</w:t>
      </w:r>
      <w:r>
        <w:t xml:space="preserve">. This should consider whether appropriate cost benchmarks have been applied. If appropriate, consultants may provide their own benchmark evidence. </w:t>
      </w:r>
    </w:p>
    <w:p w14:paraId="0CFE8425" w14:textId="25FAC403" w:rsidR="002A6666" w:rsidRDefault="00DF6866" w:rsidP="003E79CD">
      <w:r>
        <w:t xml:space="preserve">The review should seek to confirm that National Highways has a robust plan in place for delivering </w:t>
      </w:r>
      <w:r w:rsidR="00A30768">
        <w:t>environmental improvements</w:t>
      </w:r>
      <w:r>
        <w:t xml:space="preserve">. This should cover the approach to project design, development, selection, </w:t>
      </w:r>
      <w:r w:rsidR="001B60A0">
        <w:t xml:space="preserve">risk </w:t>
      </w:r>
      <w:r>
        <w:t xml:space="preserve">and delivery. Any unmitigated risks should be identified. </w:t>
      </w:r>
    </w:p>
    <w:p w14:paraId="2BB2F0B3" w14:textId="1458909C" w:rsidR="002A6666" w:rsidRDefault="002A6666" w:rsidP="003E79CD">
      <w:r>
        <w:t>Based on the plans and evidence put forward by National Highways, the consultants should assess whether proposed environmental performance targets</w:t>
      </w:r>
      <w:r w:rsidR="00F64909">
        <w:t xml:space="preserve"> (i.e. KPIs)</w:t>
      </w:r>
      <w:r>
        <w:t xml:space="preserve"> are </w:t>
      </w:r>
      <w:r w:rsidR="00F64909">
        <w:lastRenderedPageBreak/>
        <w:t>achievable</w:t>
      </w:r>
      <w:r>
        <w:t>.</w:t>
      </w:r>
      <w:r w:rsidR="009E0420" w:rsidRPr="009E0420">
        <w:t xml:space="preserve"> </w:t>
      </w:r>
      <w:r w:rsidR="00A27993" w:rsidRPr="00A27993">
        <w:t xml:space="preserve">RIS3 KPIs have yet to be determined. </w:t>
      </w:r>
      <w:r w:rsidR="00A27993">
        <w:t>The</w:t>
      </w:r>
      <w:r w:rsidR="00A27993" w:rsidRPr="00A27993">
        <w:t xml:space="preserve"> RIS2 Performance Specification</w:t>
      </w:r>
      <w:r w:rsidR="00A27993">
        <w:t xml:space="preserve"> includes KPIs for biodiversity, noise and air quality*.</w:t>
      </w:r>
      <w:r w:rsidR="00A27993" w:rsidRPr="00A27993">
        <w:t xml:space="preserve"> </w:t>
      </w:r>
      <w:r>
        <w:t xml:space="preserve">Risks to the achievement of performance targets should be identified and </w:t>
      </w:r>
      <w:r w:rsidR="001B5159">
        <w:t>assessed</w:t>
      </w:r>
      <w:r>
        <w:t xml:space="preserve">. </w:t>
      </w:r>
    </w:p>
    <w:p w14:paraId="717F7E94" w14:textId="3B97E4E2" w:rsidR="008A771E" w:rsidRDefault="002A6666" w:rsidP="003E79CD">
      <w:pPr>
        <w:pStyle w:val="Numberedparagraphdouble"/>
        <w:numPr>
          <w:ilvl w:val="0"/>
          <w:numId w:val="0"/>
        </w:numPr>
      </w:pPr>
      <w:r w:rsidRPr="003E79CD">
        <w:rPr>
          <w:i/>
          <w:iCs/>
        </w:rPr>
        <w:t>*</w:t>
      </w:r>
      <w:r w:rsidR="00A27993">
        <w:rPr>
          <w:i/>
          <w:iCs/>
        </w:rPr>
        <w:t xml:space="preserve"> Bidders should note that p</w:t>
      </w:r>
      <w:r w:rsidR="00A27993" w:rsidRPr="003E79CD">
        <w:rPr>
          <w:i/>
          <w:iCs/>
        </w:rPr>
        <w:t>erformance targets related to National Highways’ carbon emissions are not included within the scope of this commission</w:t>
      </w:r>
      <w:r w:rsidR="008E2770">
        <w:rPr>
          <w:i/>
          <w:iCs/>
        </w:rPr>
        <w:t xml:space="preserve"> and are the subject of a separate workstream</w:t>
      </w:r>
      <w:r w:rsidR="00A27993" w:rsidRPr="003E79CD">
        <w:rPr>
          <w:i/>
          <w:iCs/>
        </w:rPr>
        <w:t xml:space="preserve">. </w:t>
      </w:r>
    </w:p>
    <w:p w14:paraId="16F7DF7D" w14:textId="0256EB0B" w:rsidR="00AE4B04" w:rsidRDefault="003D3606" w:rsidP="00AE4B04">
      <w:pPr>
        <w:pStyle w:val="Heading4"/>
      </w:pPr>
      <w:r>
        <w:t>LOT</w:t>
      </w:r>
      <w:r w:rsidR="00AE4B04">
        <w:t xml:space="preserve"> </w:t>
      </w:r>
      <w:r w:rsidR="00FD7388">
        <w:t>5</w:t>
      </w:r>
      <w:r w:rsidR="00AE4B04">
        <w:t>: Economic advice</w:t>
      </w:r>
    </w:p>
    <w:p w14:paraId="3E457DCD" w14:textId="77777777" w:rsidR="00AE4B04" w:rsidRDefault="00AE4B04" w:rsidP="00AE4B04">
      <w:pPr>
        <w:pStyle w:val="Heading5"/>
      </w:pPr>
      <w:r>
        <w:t>Objectives</w:t>
      </w:r>
    </w:p>
    <w:p w14:paraId="0AF7EE94" w14:textId="67CD05AE" w:rsidR="00AE4B04" w:rsidRDefault="003D3606" w:rsidP="003E79CD">
      <w:r>
        <w:t>LOT</w:t>
      </w:r>
      <w:r w:rsidR="001B5159">
        <w:t xml:space="preserve"> 5 includes the provision of economic advice to support ORR’s Efficiency Review.</w:t>
      </w:r>
      <w:r w:rsidR="00617C2B">
        <w:t xml:space="preserve"> The primary requirement relates to National Highways’ approach to quantitative risk assessment. </w:t>
      </w:r>
    </w:p>
    <w:p w14:paraId="42C3BA55" w14:textId="5AC23F96" w:rsidR="001B5159" w:rsidRDefault="00F9650D" w:rsidP="003E79CD">
      <w:r>
        <w:t>O</w:t>
      </w:r>
      <w:r w:rsidR="001B5159">
        <w:t xml:space="preserve">RR may extend the scope </w:t>
      </w:r>
      <w:r w:rsidR="0024055B">
        <w:t xml:space="preserve">of </w:t>
      </w:r>
      <w:r>
        <w:t xml:space="preserve">this </w:t>
      </w:r>
      <w:r w:rsidR="003D3606">
        <w:t>LOT</w:t>
      </w:r>
      <w:r w:rsidR="0024055B">
        <w:t xml:space="preserve"> in response to the plans put forward by National Highways. </w:t>
      </w:r>
      <w:r>
        <w:t>Relevant tasks may include advice on inflation, efficiency and cost benchmarking. Bidders should price only for the requirements described below.</w:t>
      </w:r>
    </w:p>
    <w:p w14:paraId="648853B8" w14:textId="77777777" w:rsidR="00AE4B04" w:rsidRDefault="00AE4B04" w:rsidP="00AE4B04">
      <w:pPr>
        <w:pStyle w:val="Heading5"/>
      </w:pPr>
      <w:r>
        <w:t>Requirements</w:t>
      </w:r>
    </w:p>
    <w:p w14:paraId="7EF700A9" w14:textId="4BECF415" w:rsidR="00635D16" w:rsidRDefault="00F9650D" w:rsidP="003E79CD">
      <w:r>
        <w:t>Consultants should review National Highways’ approach to</w:t>
      </w:r>
      <w:r w:rsidR="00617C2B">
        <w:t xml:space="preserve"> </w:t>
      </w:r>
      <w:r w:rsidR="00162E89">
        <w:t xml:space="preserve">financial </w:t>
      </w:r>
      <w:r w:rsidR="00617C2B">
        <w:t>risk</w:t>
      </w:r>
      <w:r w:rsidR="00162E89">
        <w:t xml:space="preserve"> and uncertainty</w:t>
      </w:r>
      <w:r w:rsidR="00617C2B">
        <w:t xml:space="preserve"> for RIS3. This will focus on </w:t>
      </w:r>
      <w:r w:rsidR="00162E89">
        <w:t xml:space="preserve">cost risk allowances and </w:t>
      </w:r>
      <w:r w:rsidR="00546534">
        <w:t xml:space="preserve">related </w:t>
      </w:r>
      <w:r w:rsidR="00162E89">
        <w:t xml:space="preserve">risk modelling </w:t>
      </w:r>
      <w:r w:rsidR="00617C2B">
        <w:t>for enhancement</w:t>
      </w:r>
      <w:r w:rsidR="005920E4">
        <w:t xml:space="preserve"> projects</w:t>
      </w:r>
      <w:r w:rsidR="00617C2B">
        <w:t xml:space="preserve"> and </w:t>
      </w:r>
      <w:r w:rsidR="005920E4">
        <w:t xml:space="preserve">capital </w:t>
      </w:r>
      <w:r w:rsidR="00617C2B">
        <w:t>renewals.</w:t>
      </w:r>
      <w:r>
        <w:t xml:space="preserve"> </w:t>
      </w:r>
    </w:p>
    <w:p w14:paraId="5A15B617" w14:textId="2B65045C" w:rsidR="00635D16" w:rsidRDefault="00635D16" w:rsidP="003E79CD">
      <w:r>
        <w:t xml:space="preserve">The review should focus on the methodologies employed by National Highway. It is not intended to </w:t>
      </w:r>
      <w:r w:rsidR="00C02B38">
        <w:t>judge</w:t>
      </w:r>
      <w:r>
        <w:t xml:space="preserve"> the </w:t>
      </w:r>
      <w:r w:rsidR="00C02B38">
        <w:t>appropriateness</w:t>
      </w:r>
      <w:r>
        <w:t xml:space="preserve"> of risk allowances </w:t>
      </w:r>
      <w:r w:rsidR="00C02B38">
        <w:t xml:space="preserve">(for example, expressed as a p-value) </w:t>
      </w:r>
      <w:r>
        <w:t xml:space="preserve">for any given project or for National Highways’ plans overall. </w:t>
      </w:r>
      <w:r w:rsidR="00C02B38">
        <w:t>However, comparison</w:t>
      </w:r>
      <w:r w:rsidR="00313CDE">
        <w:t>s of the overall level of risk funding</w:t>
      </w:r>
      <w:r w:rsidR="00C02B38">
        <w:t xml:space="preserve"> </w:t>
      </w:r>
      <w:r w:rsidR="00F74C29">
        <w:t xml:space="preserve">against </w:t>
      </w:r>
      <w:r w:rsidR="00C02B38">
        <w:t xml:space="preserve">relevant benchmarks (such as benchmarks </w:t>
      </w:r>
      <w:r w:rsidR="00F74C29">
        <w:t>f</w:t>
      </w:r>
      <w:r w:rsidR="00C02B38">
        <w:t>or risk allowances as a proportion of total cost) would be within scope.</w:t>
      </w:r>
    </w:p>
    <w:p w14:paraId="0015E397" w14:textId="77777777" w:rsidR="00C02B38" w:rsidRDefault="00162E89" w:rsidP="003E79CD">
      <w:r>
        <w:t xml:space="preserve">The review should </w:t>
      </w:r>
      <w:r w:rsidR="00635D16">
        <w:t>document</w:t>
      </w:r>
      <w:r w:rsidR="00EA1AD6">
        <w:t xml:space="preserve"> National Highways</w:t>
      </w:r>
      <w:r w:rsidR="00C02B38">
        <w:t>’</w:t>
      </w:r>
      <w:r>
        <w:t xml:space="preserve"> overall approach to risk</w:t>
      </w:r>
      <w:r w:rsidR="00EA1AD6">
        <w:t xml:space="preserve"> for RIS3</w:t>
      </w:r>
      <w:r w:rsidR="00C02B38">
        <w:t>, including:</w:t>
      </w:r>
    </w:p>
    <w:p w14:paraId="3CC4EA6D" w14:textId="3C651CDD" w:rsidR="00C02B38" w:rsidRDefault="00C02B38" w:rsidP="003E79CD">
      <w:pPr>
        <w:pStyle w:val="NormalBulletround"/>
      </w:pPr>
      <w:r>
        <w:t>how risk is considered and modelled in project-level cost estimates;</w:t>
      </w:r>
    </w:p>
    <w:p w14:paraId="145D1FD7" w14:textId="77CD3C76" w:rsidR="00C02B38" w:rsidRDefault="00C02B38" w:rsidP="003E79CD">
      <w:pPr>
        <w:pStyle w:val="NormalBulletround"/>
      </w:pPr>
      <w:r>
        <w:t>how risk is considered and modelled at a programme- or portfolio-level, including, for example, the treatment of correlated risks across projects; and</w:t>
      </w:r>
    </w:p>
    <w:p w14:paraId="0160E0CC" w14:textId="0BB6CD47" w:rsidR="00C02B38" w:rsidRDefault="00C02B38" w:rsidP="003E79CD">
      <w:pPr>
        <w:pStyle w:val="NormalBulletround"/>
      </w:pPr>
      <w:r>
        <w:t>proposals for how risk budgets, allowances and/or contingencies will be held and managed at various levels.</w:t>
      </w:r>
    </w:p>
    <w:p w14:paraId="4361A59A" w14:textId="2E85CB92" w:rsidR="00177D2D" w:rsidRDefault="00C02B38" w:rsidP="003E79CD">
      <w:r>
        <w:t>Based on the above, the review</w:t>
      </w:r>
      <w:r w:rsidR="00110AC7">
        <w:t xml:space="preserve"> should consider </w:t>
      </w:r>
      <w:r w:rsidR="00EA1AD6">
        <w:t xml:space="preserve">risk funding </w:t>
      </w:r>
      <w:r w:rsidR="00110AC7">
        <w:t>embedded within ‘core’ expenditure lines and projects</w:t>
      </w:r>
      <w:r w:rsidR="00EA1AD6">
        <w:t xml:space="preserve"> as well as centrally-held</w:t>
      </w:r>
      <w:r w:rsidR="00110AC7">
        <w:t xml:space="preserve"> risk allowances. </w:t>
      </w:r>
      <w:r w:rsidR="00EA1AD6">
        <w:t xml:space="preserve">It should establish </w:t>
      </w:r>
      <w:r w:rsidR="00EA1AD6">
        <w:lastRenderedPageBreak/>
        <w:t>the types of risk held at each level. This will include, but is not limited to, inflation risk.</w:t>
      </w:r>
      <w:r w:rsidR="00313CDE">
        <w:t xml:space="preserve"> Consultants should comment on the appropriateness of National Highway’s approach to setting risk allowances for projects at varying stages of development.</w:t>
      </w:r>
    </w:p>
    <w:p w14:paraId="2F8DAC2D" w14:textId="2C728B57" w:rsidR="00635D16" w:rsidRDefault="00635D16" w:rsidP="003E79CD">
      <w:r>
        <w:t>The review should provide ORR with a clear understanding of National Highways’ approach to estimating confidence intervals</w:t>
      </w:r>
      <w:r w:rsidR="00C02B38">
        <w:t>, or p-values,</w:t>
      </w:r>
      <w:r>
        <w:t xml:space="preserve"> for proposed funding levels. </w:t>
      </w:r>
      <w:r w:rsidR="00EB2D3F">
        <w:t xml:space="preserve">This may necessitate more detailed review of modelling or supporting analysis. </w:t>
      </w:r>
    </w:p>
    <w:p w14:paraId="05625170" w14:textId="5EAC9096" w:rsidR="000945F1" w:rsidRDefault="00C714C6" w:rsidP="006830BC">
      <w:pPr>
        <w:rPr>
          <w:rFonts w:eastAsiaTheme="majorEastAsia" w:cstheme="majorBidi"/>
          <w:b/>
          <w:color w:val="253268" w:themeColor="text2"/>
          <w:sz w:val="36"/>
          <w:szCs w:val="24"/>
        </w:rPr>
      </w:pPr>
      <w:r>
        <w:t xml:space="preserve">Consultants should comment on the overall maturity of National Highways’ approach with reference to good practice examples from other regulated infrastructure managers and delivery bodies. </w:t>
      </w:r>
      <w:r w:rsidR="00177D2D">
        <w:t xml:space="preserve"> </w:t>
      </w:r>
    </w:p>
    <w:p w14:paraId="30DFB785" w14:textId="23CBB237" w:rsidR="00DB02EF" w:rsidRDefault="00DB02EF" w:rsidP="00DB02EF">
      <w:pPr>
        <w:pStyle w:val="Heading4"/>
      </w:pPr>
      <w:r>
        <w:t>Contract Management Requirements</w:t>
      </w:r>
    </w:p>
    <w:p w14:paraId="4CFF4511" w14:textId="63E8CCF8" w:rsidR="0067313B" w:rsidRPr="003E79CD" w:rsidRDefault="0067313B" w:rsidP="008475B8">
      <w:r w:rsidRPr="003E79CD">
        <w:t xml:space="preserve">Separate inception meetings will be arranged for each </w:t>
      </w:r>
      <w:r w:rsidR="003D3606">
        <w:t>LOT</w:t>
      </w:r>
      <w:r w:rsidRPr="003E79CD">
        <w:t xml:space="preserve">. These will be held via MS Teams. </w:t>
      </w:r>
    </w:p>
    <w:p w14:paraId="39D8EF36" w14:textId="312D5641" w:rsidR="00A46005" w:rsidRPr="003E79CD" w:rsidRDefault="00A46005" w:rsidP="00A46005">
      <w:r w:rsidRPr="003E79CD">
        <w:t>During the project, we would expect to hold progress meetings on a</w:t>
      </w:r>
      <w:r w:rsidR="008E2770">
        <w:t>t least a</w:t>
      </w:r>
      <w:r w:rsidRPr="003E79CD">
        <w:t xml:space="preserve"> fortnightly basis via MS Teams. </w:t>
      </w:r>
      <w:r w:rsidR="008E2770">
        <w:t xml:space="preserve">For the period of the Efficiency Review itself, the frequency of meetings is likely to increase to weekly. </w:t>
      </w:r>
      <w:r w:rsidRPr="003E79CD">
        <w:t>Consultants should provide a brief emailed progress report in advance.</w:t>
      </w:r>
    </w:p>
    <w:p w14:paraId="333EC660" w14:textId="658164CE" w:rsidR="0067313B" w:rsidRPr="0067313B" w:rsidRDefault="0067313B" w:rsidP="008475B8">
      <w:r w:rsidRPr="003E79CD">
        <w:t xml:space="preserve">Additionally, </w:t>
      </w:r>
      <w:r w:rsidR="00A46005" w:rsidRPr="003E79CD">
        <w:t xml:space="preserve">key staff (e.g. project manager / project director) </w:t>
      </w:r>
      <w:r w:rsidRPr="003E79CD">
        <w:t xml:space="preserve">are required to attend a </w:t>
      </w:r>
      <w:r w:rsidR="1D34A42F" w:rsidRPr="003E79CD">
        <w:t>half day</w:t>
      </w:r>
      <w:r w:rsidR="00B468B1">
        <w:noBreakHyphen/>
      </w:r>
      <w:r w:rsidRPr="003E79CD">
        <w:t xml:space="preserve"> briefing and mobilisation worksho</w:t>
      </w:r>
      <w:r w:rsidR="00A46005" w:rsidRPr="003E79CD">
        <w:t xml:space="preserve">p. This event forms an important part of our planning and will provide an opportunity for the teams delivering each of the </w:t>
      </w:r>
      <w:r w:rsidR="003D3606">
        <w:t>LOTS</w:t>
      </w:r>
      <w:r w:rsidR="00A46005" w:rsidRPr="003E79CD">
        <w:t xml:space="preserve"> to meet ahead of the Efficiency Review and to identify any inter</w:t>
      </w:r>
      <w:r w:rsidR="00B468B1">
        <w:t>-</w:t>
      </w:r>
      <w:r w:rsidR="00A46005" w:rsidRPr="003E79CD">
        <w:t xml:space="preserve">relationships between the various </w:t>
      </w:r>
      <w:r w:rsidR="003D3606">
        <w:t>LOTS</w:t>
      </w:r>
      <w:r w:rsidR="00A46005" w:rsidRPr="003E79CD">
        <w:t>.</w:t>
      </w:r>
      <w:r w:rsidR="00A46005">
        <w:t xml:space="preserve"> </w:t>
      </w:r>
    </w:p>
    <w:p w14:paraId="75F8969E" w14:textId="066EB255" w:rsidR="00D6160E" w:rsidRDefault="00AF7AF9" w:rsidP="00AF7AF9">
      <w:pPr>
        <w:pStyle w:val="Heading3"/>
      </w:pPr>
      <w:bookmarkStart w:id="12" w:name="_Toc145075933"/>
      <w:r>
        <w:t xml:space="preserve">2.4 Project </w:t>
      </w:r>
      <w:r w:rsidR="00631972">
        <w:t>t</w:t>
      </w:r>
      <w:r>
        <w:t>imescales</w:t>
      </w:r>
      <w:bookmarkEnd w:id="12"/>
      <w:r w:rsidR="00631972">
        <w:t xml:space="preserve"> and deliverables</w:t>
      </w:r>
    </w:p>
    <w:p w14:paraId="4978CDF2" w14:textId="39F8C83B" w:rsidR="00CB34E7" w:rsidRDefault="00CB34E7" w:rsidP="00CB34E7">
      <w:r>
        <w:t xml:space="preserve">The Efficiency Review will commence on receipt of National Highways’ Draft SBP. At this stage, we expect, that it will take place over a circa </w:t>
      </w:r>
      <w:r w:rsidR="007862BD">
        <w:t xml:space="preserve">four </w:t>
      </w:r>
      <w:r>
        <w:t xml:space="preserve">month period from January 2024. However, timescales are subject to change and therefore the consultants must be able to work flexibly and responsively. Given the limited timeframe for analysis and scrutiny, we anticipate a need for intensive activity during this period. </w:t>
      </w:r>
    </w:p>
    <w:p w14:paraId="3A8186F2" w14:textId="2EDBEA3B" w:rsidR="00CB34E7" w:rsidRDefault="00CB34E7" w:rsidP="00CB34E7">
      <w:r>
        <w:t xml:space="preserve">The programme includes a short period for mobilisation and preparation ahead of the Efficiency Review itself. </w:t>
      </w:r>
    </w:p>
    <w:p w14:paraId="727BA3B5" w14:textId="4D1496E6" w:rsidR="00471099" w:rsidRDefault="00471099" w:rsidP="00471099">
      <w:r>
        <w:t>The provisional project timetable</w:t>
      </w:r>
      <w:r w:rsidR="0022635C">
        <w:t xml:space="preserve"> for all </w:t>
      </w:r>
      <w:r w:rsidR="003D3606">
        <w:t>LOTS</w:t>
      </w:r>
      <w:r>
        <w:t xml:space="preserve"> is as follows:</w:t>
      </w:r>
    </w:p>
    <w:p w14:paraId="6652C3F2" w14:textId="66A412DE" w:rsidR="00471099" w:rsidRDefault="00471099" w:rsidP="00471099">
      <w:pPr>
        <w:pStyle w:val="NormalBulletround"/>
      </w:pPr>
      <w:r>
        <w:t xml:space="preserve">Start up meeting and commencement </w:t>
      </w:r>
      <w:r w:rsidR="339BEE00">
        <w:t>04</w:t>
      </w:r>
      <w:r w:rsidR="00CD0F63">
        <w:t xml:space="preserve"> December</w:t>
      </w:r>
    </w:p>
    <w:p w14:paraId="13156776" w14:textId="0C9D0DCF" w:rsidR="00810496" w:rsidRPr="00827DF0" w:rsidRDefault="00810496" w:rsidP="00471099">
      <w:pPr>
        <w:pStyle w:val="NormalBulletround"/>
      </w:pPr>
      <w:r>
        <w:lastRenderedPageBreak/>
        <w:t>Mobilisation and planning workshop w/c 11</w:t>
      </w:r>
      <w:r w:rsidR="5EE6E4DB">
        <w:t xml:space="preserve"> </w:t>
      </w:r>
      <w:r>
        <w:t>December</w:t>
      </w:r>
    </w:p>
    <w:p w14:paraId="103409BC" w14:textId="460B525F" w:rsidR="00471099" w:rsidRDefault="00A876A2" w:rsidP="00471099">
      <w:pPr>
        <w:pStyle w:val="NormalBulletround"/>
      </w:pPr>
      <w:r>
        <w:t xml:space="preserve">Weekly/fortnightly </w:t>
      </w:r>
      <w:r w:rsidR="00471099">
        <w:t>updates on progress and any issues</w:t>
      </w:r>
    </w:p>
    <w:p w14:paraId="37663D93" w14:textId="7665EB88" w:rsidR="00471099" w:rsidRDefault="00471099" w:rsidP="00471099">
      <w:pPr>
        <w:pStyle w:val="NormalBulletround"/>
      </w:pPr>
      <w:r>
        <w:t xml:space="preserve">Presentation of </w:t>
      </w:r>
      <w:r w:rsidR="00827DF0">
        <w:t>initial</w:t>
      </w:r>
      <w:r w:rsidR="00A876A2">
        <w:t xml:space="preserve"> findings</w:t>
      </w:r>
      <w:r>
        <w:t xml:space="preserve"> </w:t>
      </w:r>
      <w:r w:rsidR="00A876A2">
        <w:t xml:space="preserve">during </w:t>
      </w:r>
      <w:r w:rsidR="002D5402">
        <w:t>w/c 29 January</w:t>
      </w:r>
      <w:r>
        <w:t xml:space="preserve"> 20</w:t>
      </w:r>
      <w:r w:rsidR="002D5402">
        <w:t>23</w:t>
      </w:r>
      <w:r>
        <w:t xml:space="preserve"> (or as agreed)</w:t>
      </w:r>
    </w:p>
    <w:p w14:paraId="5078F391" w14:textId="1A68300F" w:rsidR="00A876A2" w:rsidRPr="006830BC" w:rsidRDefault="00A876A2" w:rsidP="0EF56BE9">
      <w:pPr>
        <w:pStyle w:val="NormalBulletround"/>
      </w:pPr>
      <w:r>
        <w:t xml:space="preserve">Presentation of </w:t>
      </w:r>
      <w:r w:rsidR="00827DF0">
        <w:t>draft</w:t>
      </w:r>
      <w:r>
        <w:t xml:space="preserve"> findings </w:t>
      </w:r>
      <w:r w:rsidR="002D5402">
        <w:t>during w/c 11 March 2023 (or as agreed)</w:t>
      </w:r>
    </w:p>
    <w:p w14:paraId="685506CB" w14:textId="795E63B0" w:rsidR="00471099" w:rsidRDefault="00471099" w:rsidP="00471099">
      <w:pPr>
        <w:pStyle w:val="NormalBulletround"/>
      </w:pPr>
      <w:r>
        <w:t>Draft report by</w:t>
      </w:r>
      <w:r w:rsidR="00EB4E1A">
        <w:t xml:space="preserve"> w/c 25 March 2023 (or as agreed)</w:t>
      </w:r>
    </w:p>
    <w:p w14:paraId="20398F2F" w14:textId="55F3BEE7" w:rsidR="00471099" w:rsidRPr="006830BC" w:rsidRDefault="00471099" w:rsidP="00471099">
      <w:pPr>
        <w:pStyle w:val="NormalBulletround"/>
      </w:pPr>
      <w:r>
        <w:t xml:space="preserve">Final report by the </w:t>
      </w:r>
      <w:r w:rsidR="00EB4E1A">
        <w:t>29 April 2023 (or as agreed)</w:t>
      </w:r>
    </w:p>
    <w:p w14:paraId="51E04977" w14:textId="467A00E6" w:rsidR="00631972" w:rsidRDefault="2AC393F7" w:rsidP="2A773B1E">
      <w:r w:rsidRPr="2A773B1E">
        <w:rPr>
          <w:rFonts w:eastAsia="Arial" w:cs="Arial"/>
          <w:szCs w:val="24"/>
        </w:rPr>
        <w:t xml:space="preserve">Reports should be prepared in Microsoft word (or equivalent). They should set out the consultant’s findings and the evidence upon which these are based. Reports should be written for a non-technical audience. Technical information should be included in an appendix.  </w:t>
      </w:r>
      <w:r w:rsidR="00631972">
        <w:t xml:space="preserve">Reports will be published at the conclusion of the RIS3 process. Consultants should adhere to: </w:t>
      </w:r>
      <w:hyperlink r:id="rId25">
        <w:r w:rsidR="00631972" w:rsidRPr="2A773B1E">
          <w:rPr>
            <w:rStyle w:val="Hyperlink"/>
          </w:rPr>
          <w:t>Guidelines for writing accessible reports for ORR - Guidance for external suppliers | Office of Rail and Road</w:t>
        </w:r>
      </w:hyperlink>
    </w:p>
    <w:p w14:paraId="76E3EE61" w14:textId="420F91D1" w:rsidR="00AF7AF9" w:rsidRDefault="00AF7AF9" w:rsidP="00AF7AF9">
      <w:pPr>
        <w:pStyle w:val="Heading3"/>
      </w:pPr>
      <w:bookmarkStart w:id="13" w:name="_Toc145075934"/>
      <w:r w:rsidRPr="00AF7AF9">
        <w:t>2.5 Budget and Payment Schedule</w:t>
      </w:r>
      <w:bookmarkEnd w:id="13"/>
    </w:p>
    <w:p w14:paraId="7D86A410" w14:textId="5B72289E" w:rsidR="00D401C8" w:rsidRDefault="00D401C8" w:rsidP="00D401C8">
      <w:r>
        <w:t>The maximum budget</w:t>
      </w:r>
      <w:r w:rsidR="00EB4E1A">
        <w:t xml:space="preserve"> </w:t>
      </w:r>
      <w:r w:rsidR="5D5EA2EF">
        <w:t>for this piece of work is £340,000</w:t>
      </w:r>
      <w:r w:rsidR="583D82A4">
        <w:t xml:space="preserve"> </w:t>
      </w:r>
      <w:r w:rsidR="00EB4E1A">
        <w:t>(inc. of expenses, exc. of VAT).</w:t>
      </w:r>
      <w:r>
        <w:t xml:space="preserve"> </w:t>
      </w:r>
    </w:p>
    <w:p w14:paraId="69BB5BF0" w14:textId="7C177084" w:rsidR="00EB4E1A" w:rsidRDefault="003D3606" w:rsidP="00EB4E1A">
      <w:pPr>
        <w:pStyle w:val="NormalBulletround"/>
      </w:pPr>
      <w:r>
        <w:t>LOT</w:t>
      </w:r>
      <w:r w:rsidR="00EB4E1A">
        <w:t xml:space="preserve"> 1 – Operations, maintenance, renewals and digital - £100,000</w:t>
      </w:r>
    </w:p>
    <w:p w14:paraId="58EB8FAE" w14:textId="21B3B1D5" w:rsidR="00EB4E1A" w:rsidRDefault="003D3606" w:rsidP="00EB4E1A">
      <w:pPr>
        <w:pStyle w:val="NormalBulletround"/>
      </w:pPr>
      <w:r>
        <w:t>LOT</w:t>
      </w:r>
      <w:r w:rsidR="00EB4E1A">
        <w:t xml:space="preserve"> 2 – Enhancements - £70,000</w:t>
      </w:r>
    </w:p>
    <w:p w14:paraId="3FAE5C58" w14:textId="4F11FE1F" w:rsidR="00EB4E1A" w:rsidRDefault="003D3606" w:rsidP="00EB4E1A">
      <w:pPr>
        <w:pStyle w:val="NormalBulletround"/>
      </w:pPr>
      <w:r>
        <w:t>LOT</w:t>
      </w:r>
      <w:r w:rsidR="00EB4E1A">
        <w:t xml:space="preserve"> 3 – Safety </w:t>
      </w:r>
      <w:r w:rsidR="00E16C2C">
        <w:t>-</w:t>
      </w:r>
      <w:r w:rsidR="00EB4E1A">
        <w:t xml:space="preserve"> £50,000</w:t>
      </w:r>
    </w:p>
    <w:p w14:paraId="5131F9AB" w14:textId="0747C8DB" w:rsidR="00EB4E1A" w:rsidRDefault="003D3606" w:rsidP="00EB4E1A">
      <w:pPr>
        <w:pStyle w:val="NormalBulletround"/>
      </w:pPr>
      <w:r>
        <w:t>LOT</w:t>
      </w:r>
      <w:r w:rsidR="00EB4E1A">
        <w:t xml:space="preserve"> 4 – Environment - £60,000</w:t>
      </w:r>
    </w:p>
    <w:p w14:paraId="2B182935" w14:textId="283A5361" w:rsidR="00EB4E1A" w:rsidRDefault="003D3606" w:rsidP="007862BD">
      <w:pPr>
        <w:pStyle w:val="NormalBulletround"/>
      </w:pPr>
      <w:r>
        <w:t>LOT</w:t>
      </w:r>
      <w:r w:rsidR="00EB4E1A">
        <w:t xml:space="preserve"> 5 – Economic Advice - £60,000 </w:t>
      </w:r>
    </w:p>
    <w:p w14:paraId="0FB80C9E" w14:textId="1D910868" w:rsidR="00D401C8" w:rsidRDefault="00D401C8" w:rsidP="00D401C8">
      <w:r>
        <w:t xml:space="preserve">Payment </w:t>
      </w:r>
      <w:r w:rsidR="3893E824">
        <w:t>schedule:</w:t>
      </w:r>
    </w:p>
    <w:p w14:paraId="3DDE6C46" w14:textId="590BC7E5" w:rsidR="00AF7AF9" w:rsidRDefault="3893E824" w:rsidP="62E2BFDD">
      <w:pPr>
        <w:rPr>
          <w:rFonts w:eastAsia="Arial" w:cs="Arial"/>
          <w:color w:val="000000" w:themeColor="text1"/>
          <w:szCs w:val="24"/>
        </w:rPr>
      </w:pPr>
      <w:r>
        <w:t>50% on</w:t>
      </w:r>
      <w:r w:rsidRPr="62E2BFDD">
        <w:rPr>
          <w:rFonts w:eastAsia="Arial" w:cs="Arial"/>
          <w:color w:val="000000" w:themeColor="text1"/>
          <w:szCs w:val="24"/>
        </w:rPr>
        <w:t xml:space="preserve"> delivery and acceptance of </w:t>
      </w:r>
      <w:r w:rsidR="0AE824CE" w:rsidRPr="62E2BFDD">
        <w:rPr>
          <w:rFonts w:eastAsia="Arial" w:cs="Arial"/>
          <w:color w:val="000000" w:themeColor="text1"/>
          <w:szCs w:val="24"/>
        </w:rPr>
        <w:t>draft</w:t>
      </w:r>
      <w:r w:rsidRPr="62E2BFDD">
        <w:rPr>
          <w:rFonts w:eastAsia="Arial" w:cs="Arial"/>
          <w:color w:val="000000" w:themeColor="text1"/>
          <w:szCs w:val="24"/>
        </w:rPr>
        <w:t xml:space="preserve"> report</w:t>
      </w:r>
    </w:p>
    <w:p w14:paraId="6AC709CF" w14:textId="1D1784AD" w:rsidR="00AF7AF9" w:rsidRDefault="3893E824" w:rsidP="62E2BFDD">
      <w:pPr>
        <w:rPr>
          <w:rFonts w:eastAsia="Arial" w:cs="Arial"/>
          <w:szCs w:val="24"/>
        </w:rPr>
      </w:pPr>
      <w:r>
        <w:t xml:space="preserve">50% </w:t>
      </w:r>
      <w:r w:rsidRPr="62E2BFDD">
        <w:rPr>
          <w:rFonts w:eastAsia="Arial" w:cs="Arial"/>
          <w:color w:val="000000" w:themeColor="text1"/>
          <w:szCs w:val="24"/>
        </w:rPr>
        <w:t xml:space="preserve">on delivery and acceptance of final report </w:t>
      </w:r>
    </w:p>
    <w:p w14:paraId="3BB5AE4A" w14:textId="21E4F445" w:rsidR="00AF7AF9" w:rsidRDefault="00AF7AF9" w:rsidP="62E2BFDD">
      <w:pPr>
        <w:rPr>
          <w:rFonts w:eastAsia="Arial" w:cs="Arial"/>
          <w:szCs w:val="24"/>
        </w:rPr>
      </w:pPr>
      <w:bookmarkStart w:id="14" w:name="_Toc145075935"/>
      <w:r w:rsidRPr="62E2BFDD">
        <w:rPr>
          <w:rFonts w:eastAsiaTheme="majorEastAsia" w:cstheme="majorBidi"/>
          <w:b/>
          <w:bCs/>
          <w:color w:val="253268" w:themeColor="text2"/>
          <w:sz w:val="36"/>
          <w:szCs w:val="36"/>
        </w:rPr>
        <w:t>2.6 Further project related information for bidders</w:t>
      </w:r>
      <w:bookmarkEnd w:id="14"/>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lastRenderedPageBreak/>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Pr="00D52566"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w:t>
      </w:r>
      <w:r w:rsidRPr="00D52566">
        <w:t xml:space="preserve">required to sign additional confidentiality agreements as required by external stakeholders. </w:t>
      </w:r>
    </w:p>
    <w:p w14:paraId="62FBC250" w14:textId="4160766D" w:rsidR="0067313B" w:rsidRPr="0067313B" w:rsidRDefault="0067313B" w:rsidP="00C26E3E">
      <w:r w:rsidRPr="003E79CD">
        <w:t>The consultancy should note that Highways England will require a confidentiality agreement in relation to any of its confidential information that is disclosed to the consultancy and the outputs this generates. The onward disclosure of such information by the consultancy (other than to DfT or ORR) will usually require approval in writing from Highways England. The fact that the consultancy has been engaged by ORR on this contract is not of itself confidential information although the content of any information, findings, data, analysis or reports prepared for ORR by the consultancy, and which includes any of the confidential information, is.</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lastRenderedPageBreak/>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DF42E51" w:rsidP="001768F1">
      <w:pPr>
        <w:pStyle w:val="Heading2"/>
      </w:pPr>
      <w:bookmarkStart w:id="15" w:name="_Toc145075936"/>
      <w:r>
        <w:lastRenderedPageBreak/>
        <w:t>Tender Response and Evaluation Criteria</w:t>
      </w:r>
      <w:bookmarkEnd w:id="15"/>
    </w:p>
    <w:p w14:paraId="6C9F4B20" w14:textId="5CFF035D" w:rsidR="001768F1" w:rsidRDefault="001768F1" w:rsidP="001768F1">
      <w:pPr>
        <w:pStyle w:val="Heading3"/>
      </w:pPr>
      <w:bookmarkStart w:id="16" w:name="_Toc145075937"/>
      <w:r>
        <w:t>3.1 The Tender Response</w:t>
      </w:r>
      <w:bookmarkEnd w:id="16"/>
    </w:p>
    <w:p w14:paraId="33A2C61B" w14:textId="362FEBB8" w:rsidR="001768F1" w:rsidRDefault="001768F1" w:rsidP="001768F1">
      <w:r>
        <w:t>The proposals for this project should include an outline of how bidders will meet the requirement outlined in section (ii) “Statement of Requirement”. The following information should be included</w:t>
      </w:r>
      <w:r w:rsidRPr="004A24AB">
        <w:rPr>
          <w:color w:val="B1173B"/>
        </w:rPr>
        <w:t>:</w:t>
      </w:r>
    </w:p>
    <w:p w14:paraId="0696CABC" w14:textId="13E563FF" w:rsidR="001768F1" w:rsidRPr="001E7C87" w:rsidRDefault="001768F1" w:rsidP="00D07E76">
      <w:pPr>
        <w:pStyle w:val="NormalBulletalpha"/>
        <w:numPr>
          <w:ilvl w:val="1"/>
          <w:numId w:val="32"/>
        </w:numPr>
        <w:rPr>
          <w:b/>
          <w:bCs/>
        </w:rPr>
      </w:pPr>
      <w:r w:rsidRPr="001E7C87">
        <w:rPr>
          <w:b/>
          <w:bCs/>
        </w:rPr>
        <w:t xml:space="preserve">Understanding of customer's requirements </w:t>
      </w:r>
    </w:p>
    <w:p w14:paraId="40A10F39" w14:textId="3D14DABF" w:rsidR="001768F1" w:rsidRDefault="001768F1" w:rsidP="00D07E76">
      <w:pPr>
        <w:pStyle w:val="NormalBullet-"/>
      </w:pPr>
      <w:r>
        <w:t>Demonstrate an understanding of the requirement and overall aims of the project</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647B9989" w:rsidR="001768F1" w:rsidRDefault="001768F1" w:rsidP="001E7C87">
      <w:pPr>
        <w:pStyle w:val="NormalBullet-"/>
      </w:pPr>
      <w:r>
        <w:t xml:space="preserve">Provide an explanation of the proposed approach and any methodologies </w:t>
      </w:r>
    </w:p>
    <w:p w14:paraId="1F4787C6" w14:textId="70A783C9" w:rsidR="001768F1" w:rsidRDefault="001768F1" w:rsidP="001E7C87">
      <w:pPr>
        <w:pStyle w:val="NormalBullet-"/>
      </w:pPr>
      <w:r>
        <w:t>Details of your assumptions and/or constraints/dependencies made in relation to the project</w:t>
      </w:r>
    </w:p>
    <w:p w14:paraId="5DBC036E" w14:textId="65FD2070" w:rsidR="001768F1" w:rsidRDefault="001768F1" w:rsidP="001E7C87">
      <w:pPr>
        <w:pStyle w:val="NormalBullet-"/>
      </w:pPr>
      <w:r>
        <w:t>A project plan to show how outputs and deliverables will be produced within the required timescales, detailing the resources that will be allocated</w:t>
      </w:r>
    </w:p>
    <w:p w14:paraId="69A1D52A" w14:textId="46327A1F" w:rsidR="001768F1" w:rsidRDefault="001768F1" w:rsidP="62E2BFDD">
      <w:pPr>
        <w:pStyle w:val="NormalBullet-"/>
      </w:pPr>
      <w:r>
        <w:t>An understanding of the risks, and explain how they would be mitigated to ensure delivery</w:t>
      </w:r>
    </w:p>
    <w:p w14:paraId="5F56C566" w14:textId="5D278BE5" w:rsidR="001768F1" w:rsidRDefault="261F4B95" w:rsidP="62E2BFDD">
      <w:pPr>
        <w:pStyle w:val="NormalBullet-"/>
      </w:pPr>
      <w:r w:rsidRPr="62E2BFDD">
        <w:t>Compliance with any security requirements outlined in the SOR, including details of accreditation for systems (e.g. ISO27000, Cyber Essentials) etc.</w:t>
      </w:r>
    </w:p>
    <w:p w14:paraId="16625C17" w14:textId="705DAFA3" w:rsidR="001768F1" w:rsidRDefault="001768F1" w:rsidP="62E2BFDD">
      <w:pPr>
        <w:pStyle w:val="NormalBullet-"/>
      </w:pPr>
      <w:r>
        <w:t>What support bidders will require from ORR</w:t>
      </w:r>
    </w:p>
    <w:p w14:paraId="5673ADDA" w14:textId="47E56089" w:rsidR="001768F1" w:rsidRPr="001E7C87" w:rsidRDefault="001768F1" w:rsidP="00D07E76">
      <w:pPr>
        <w:pStyle w:val="NormalBulletalpha"/>
        <w:rPr>
          <w:b/>
          <w:bCs/>
        </w:rPr>
      </w:pPr>
      <w:r w:rsidRPr="001E7C87">
        <w:rPr>
          <w:b/>
          <w:bCs/>
        </w:rPr>
        <w:t>Proposed delivery team</w:t>
      </w:r>
    </w:p>
    <w:p w14:paraId="5069A898" w14:textId="65580AC2" w:rsidR="001768F1" w:rsidRDefault="001768F1" w:rsidP="001E7C87">
      <w:pPr>
        <w:pStyle w:val="NormalBullet-"/>
      </w:pPr>
      <w:r>
        <w:t>Key personnel including details of how their key skills, experience and qualifications align to the delivery of the project</w:t>
      </w:r>
    </w:p>
    <w:p w14:paraId="3E9E2235" w14:textId="3D084CF1" w:rsidR="001768F1" w:rsidRDefault="001768F1" w:rsidP="001E7C87">
      <w:pPr>
        <w:pStyle w:val="NormalBullet-"/>
      </w:pPr>
      <w:r>
        <w:t>Project roles and responsibilities</w:t>
      </w:r>
    </w:p>
    <w:p w14:paraId="4BD28B95" w14:textId="3DE062AF" w:rsidR="001768F1" w:rsidRDefault="001768F1" w:rsidP="001E7C87">
      <w:pPr>
        <w:pStyle w:val="NormalBullet-"/>
      </w:pPr>
      <w:r>
        <w:t>Confirmation that you have carried out the necessary employment checks (e.g. right to work in the UK)</w:t>
      </w:r>
    </w:p>
    <w:p w14:paraId="5F3C04C1" w14:textId="78679DB9" w:rsidR="001768F1" w:rsidRDefault="001768F1" w:rsidP="001E7C87">
      <w:pPr>
        <w:pStyle w:val="NormalBullet-"/>
      </w:pPr>
      <w:r>
        <w:lastRenderedPageBreak/>
        <w:t>Some relevant examples of previous work that bidders have carried out (</w:t>
      </w:r>
      <w:r w:rsidR="3D379F02">
        <w:t>e.g.</w:t>
      </w:r>
      <w:r>
        <w:t xml:space="preserve"> case studies)</w:t>
      </w:r>
      <w:r w:rsidRPr="62E2BFDD">
        <w:rPr>
          <w:color w:val="B1173B" w:themeColor="accent1"/>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6EE5D22D" w:rsidR="001768F1" w:rsidRDefault="001768F1" w:rsidP="001768F1">
      <w:pPr>
        <w:rPr>
          <w:rFonts w:eastAsia="Arial" w:cs="Arial"/>
        </w:rPr>
      </w:pPr>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7" w:name="_Toc145075938"/>
      <w:r>
        <w:t>3.2 Evaluation Criteria</w:t>
      </w:r>
      <w:bookmarkEnd w:id="17"/>
    </w:p>
    <w:p w14:paraId="6F651EF0" w14:textId="2F2E6EFD" w:rsidR="005C29ED" w:rsidRDefault="005C29ED">
      <w:r>
        <w:t>Tenders will be assessed for compliance with procurement and contractual requirements which will include:</w:t>
      </w:r>
    </w:p>
    <w:p w14:paraId="58D7CDA1" w14:textId="4210D501" w:rsidR="7EF61ABD" w:rsidRDefault="7EF61ABD" w:rsidP="62E2BFDD">
      <w:pPr>
        <w:pStyle w:val="NormalBulletround"/>
      </w:pPr>
      <w:r>
        <w:t>Completeness of Selection Questionnaire</w:t>
      </w:r>
    </w:p>
    <w:p w14:paraId="07217322" w14:textId="4529BD9E" w:rsidR="7EF61ABD" w:rsidRDefault="7EF61ABD" w:rsidP="62E2BFD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1C423ABE" w14:textId="05855A8E" w:rsidR="005C29ED" w:rsidRDefault="005C29ED" w:rsidP="62E2BFDD">
      <w:pPr>
        <w:rPr>
          <w:rFonts w:eastAsiaTheme="minorEastAsia"/>
          <w:szCs w:val="24"/>
          <w:lang w:val="en-US"/>
        </w:rPr>
      </w:pPr>
      <w:r>
        <w:t>Tenders that are not compliant may be disqualified from the process</w:t>
      </w:r>
      <w:r w:rsidRPr="62E2BFDD">
        <w:rPr>
          <w:rFonts w:eastAsiaTheme="minorEastAsia"/>
          <w:szCs w:val="24"/>
        </w:rPr>
        <w:t xml:space="preserve">.  We reserve the right to clarify any issues regarding a </w:t>
      </w:r>
      <w:r w:rsidR="3EE59E52" w:rsidRPr="62E2BFDD">
        <w:rPr>
          <w:rFonts w:eastAsiaTheme="minorEastAsia"/>
          <w:szCs w:val="24"/>
        </w:rPr>
        <w:t>b</w:t>
      </w:r>
      <w:r w:rsidRPr="62E2BFDD">
        <w:rPr>
          <w:rFonts w:eastAsiaTheme="minorEastAsia"/>
          <w:szCs w:val="24"/>
        </w:rPr>
        <w:t xml:space="preserve">idder’s compliance. </w:t>
      </w:r>
    </w:p>
    <w:p w14:paraId="1842D25F" w14:textId="231D68A9" w:rsidR="005C29ED" w:rsidRDefault="005C29ED" w:rsidP="62E2BFDD">
      <w:pPr>
        <w:rPr>
          <w:rFonts w:eastAsia="Arial" w:cs="Arial"/>
          <w:szCs w:val="24"/>
        </w:rPr>
      </w:pPr>
      <w:r>
        <w:t>The contract</w:t>
      </w:r>
      <w:r w:rsidR="008C24F1">
        <w:t>(s)</w:t>
      </w:r>
      <w:r w:rsidR="008F4497">
        <w:t xml:space="preserve"> </w:t>
      </w:r>
      <w:r>
        <w:t xml:space="preserve">will be awarded to the </w:t>
      </w:r>
      <w:r w:rsidR="6831E689">
        <w:t>b</w:t>
      </w:r>
      <w:r>
        <w:t xml:space="preserve">idder(s) submitting the </w:t>
      </w:r>
      <w:r w:rsidRPr="62E2BFDD">
        <w:rPr>
          <w:b/>
          <w:bCs/>
        </w:rPr>
        <w:t>‘most economically advantageous tender’</w:t>
      </w:r>
      <w:r w:rsidR="002B2F80">
        <w:rPr>
          <w:b/>
          <w:bCs/>
        </w:rPr>
        <w:t xml:space="preserve"> </w:t>
      </w:r>
      <w:r w:rsidR="002B2F80" w:rsidRPr="002B2F80">
        <w:t xml:space="preserve">for </w:t>
      </w:r>
      <w:r w:rsidR="002B2F80">
        <w:t>each</w:t>
      </w:r>
      <w:r w:rsidR="002B2F80" w:rsidRPr="002B2F80">
        <w:t xml:space="preserve"> </w:t>
      </w:r>
      <w:r w:rsidR="003D3606">
        <w:t>LOT</w:t>
      </w:r>
      <w:r>
        <w:t xml:space="preserve">. </w:t>
      </w:r>
      <w:r w:rsidR="00F46F8C">
        <w:t xml:space="preserve">For all </w:t>
      </w:r>
      <w:r w:rsidR="003D3606">
        <w:t>LOTS</w:t>
      </w:r>
      <w:r w:rsidR="00F46F8C">
        <w:t>, t</w:t>
      </w:r>
      <w:r>
        <w:t xml:space="preserve">enders will be evaluated according to weighted criteria as follows: </w:t>
      </w:r>
    </w:p>
    <w:p w14:paraId="58785BB2" w14:textId="023DADAA" w:rsidR="000945F1" w:rsidRPr="000945F1" w:rsidRDefault="000945F1" w:rsidP="000945F1">
      <w:pPr>
        <w:pStyle w:val="Heading4"/>
      </w:pPr>
      <w:r>
        <w:lastRenderedPageBreak/>
        <w:t>S</w:t>
      </w:r>
      <w:r w:rsidR="5BB72432">
        <w:t>election</w:t>
      </w:r>
      <w:r>
        <w:t xml:space="preserve"> </w:t>
      </w:r>
      <w:r w:rsidR="19E6C9B2">
        <w:t>Questionnaire</w:t>
      </w:r>
      <w:r>
        <w:t xml:space="preserve"> (Pass/fail) </w:t>
      </w:r>
    </w:p>
    <w:p w14:paraId="137F07D5" w14:textId="3E23932D" w:rsidR="3EAA09B0" w:rsidRDefault="3EAA09B0" w:rsidP="62E2BFDD">
      <w:pPr>
        <w:rPr>
          <w:rFonts w:ascii="Segoe UI" w:hAnsi="Segoe UI" w:cs="Segoe UI"/>
        </w:rPr>
      </w:pPr>
      <w:r w:rsidRPr="62E2BFDD">
        <w:rPr>
          <w:rStyle w:val="normaltextrun"/>
          <w:rFonts w:cs="Arial"/>
          <w:color w:val="000000" w:themeColor="text1"/>
        </w:rPr>
        <w:t>The Selection Questionnaire is a self-declaration and not scored</w:t>
      </w:r>
      <w:r w:rsidR="002B2F80">
        <w:rPr>
          <w:rStyle w:val="normaltextrun"/>
          <w:rFonts w:cs="Arial"/>
          <w:color w:val="000000" w:themeColor="text1"/>
        </w:rPr>
        <w:t xml:space="preserve"> (it is pass/fail)</w:t>
      </w:r>
      <w:r w:rsidRPr="62E2BFDD">
        <w:rPr>
          <w:rStyle w:val="normaltextrun"/>
          <w:rFonts w:cs="Arial"/>
          <w:color w:val="000000" w:themeColor="text1"/>
        </w:rPr>
        <w:t>.  Evidence will only be called upon when the winning bidder has been identified.  If evidence is not provided upon request and without delay, we reserve the right to amend the contract award decision and award to the next compliant bidder.</w:t>
      </w:r>
    </w:p>
    <w:p w14:paraId="7B614ABE" w14:textId="1BF6ADAA" w:rsidR="3EAA09B0" w:rsidRDefault="3EAA09B0" w:rsidP="62E2BFDD">
      <w:pPr>
        <w:spacing w:after="160" w:line="257" w:lineRule="auto"/>
        <w:rPr>
          <w:rStyle w:val="normaltextrun"/>
          <w:rFonts w:cs="Arial"/>
          <w:color w:val="000000" w:themeColor="text1"/>
          <w:lang w:val="en-US"/>
        </w:rPr>
      </w:pPr>
      <w:r w:rsidRPr="62E2BFDD">
        <w:rPr>
          <w:rStyle w:val="normaltextrun"/>
          <w:rFonts w:eastAsiaTheme="minorEastAsia"/>
          <w:color w:val="000000" w:themeColor="text1"/>
          <w:szCs w:val="24"/>
          <w:lang w:val="en-US"/>
        </w:rPr>
        <w:t xml:space="preserve">In relation to the Economic and Financial Standing section of the SQ, ORR may review the accounts (or other supplied information) to determine the perceived level of financial risk.  This review may include obtaining credit reports, applying ratios and a general review of your accounts.  If there are concerns over the bidders’ financial capacity then ORR may seek additional measures to be put in place by the successful </w:t>
      </w:r>
      <w:r w:rsidR="1E8C0882" w:rsidRPr="62E2BFDD">
        <w:rPr>
          <w:rStyle w:val="normaltextrun"/>
          <w:rFonts w:eastAsiaTheme="minorEastAsia"/>
          <w:color w:val="000000" w:themeColor="text1"/>
          <w:szCs w:val="24"/>
          <w:lang w:val="en-US"/>
        </w:rPr>
        <w:t>b</w:t>
      </w:r>
      <w:r w:rsidRPr="62E2BFDD">
        <w:rPr>
          <w:rStyle w:val="normaltextrun"/>
          <w:rFonts w:eastAsiaTheme="minorEastAsia"/>
          <w:color w:val="000000" w:themeColor="text1"/>
          <w:szCs w:val="24"/>
          <w:lang w:val="en-US"/>
        </w:rPr>
        <w:t>idder prior to entering a contract (e.g., Parent Company Guarantee, Bond of Guarantee etc.).</w:t>
      </w:r>
    </w:p>
    <w:p w14:paraId="11610A12" w14:textId="5750D848" w:rsidR="62E2BFDD" w:rsidRDefault="62E2BFDD" w:rsidP="62E2BFDD">
      <w:pPr>
        <w:rPr>
          <w:rFonts w:eastAsiaTheme="majorEastAsia" w:cstheme="majorBidi"/>
          <w:b/>
          <w:bCs/>
          <w:color w:val="253268" w:themeColor="text2"/>
          <w:sz w:val="28"/>
          <w:szCs w:val="28"/>
        </w:rPr>
      </w:pPr>
    </w:p>
    <w:p w14:paraId="006ECA6A" w14:textId="08BF0ECC" w:rsidR="1AB8B05B" w:rsidRDefault="1AB8B05B" w:rsidP="006C7F7E">
      <w:pPr>
        <w:pStyle w:val="Heading3"/>
      </w:pPr>
      <w:r w:rsidRPr="62E2BFDD">
        <w:t xml:space="preserve">Quality </w:t>
      </w:r>
    </w:p>
    <w:p w14:paraId="2ABEED47" w14:textId="4A9F233F" w:rsidR="006C7F7E" w:rsidRPr="006C7F7E" w:rsidRDefault="006C7F7E" w:rsidP="006C7F7E">
      <w:pPr>
        <w:pStyle w:val="Numberedparagraphdouble"/>
        <w:numPr>
          <w:ilvl w:val="0"/>
          <w:numId w:val="0"/>
        </w:numPr>
        <w:jc w:val="both"/>
      </w:pPr>
      <w:r>
        <w:t xml:space="preserve">The quality aspects of this tender shall consist of methodology, delivery and experience and shall be broken down as follows: </w:t>
      </w:r>
    </w:p>
    <w:p w14:paraId="03D0E6C2" w14:textId="7F343DF5" w:rsidR="005C29ED" w:rsidRDefault="005C29ED" w:rsidP="00D61976">
      <w:pPr>
        <w:pStyle w:val="Heading4"/>
      </w:pPr>
      <w:r>
        <w:t>Methodology (</w:t>
      </w:r>
      <w:r w:rsidR="00EB4E1A">
        <w:t>40</w:t>
      </w:r>
      <w:r>
        <w:t>%)</w:t>
      </w:r>
    </w:p>
    <w:p w14:paraId="00314D37" w14:textId="26FD5CC4" w:rsidR="005C29ED" w:rsidRDefault="005C29ED" w:rsidP="005C29ED">
      <w:r>
        <w:t>The proposal</w:t>
      </w:r>
      <w:r w:rsidR="006C7F7E">
        <w:t>(s)</w:t>
      </w:r>
      <w:r>
        <w:t xml:space="preserve">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33"/>
        </w:numPr>
      </w:pPr>
      <w:r>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33"/>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3"/>
        </w:numPr>
      </w:pPr>
      <w:r>
        <w:t>Explain how your organisation will engage with external stakeholders;</w:t>
      </w:r>
    </w:p>
    <w:p w14:paraId="278014BC" w14:textId="18C8C191" w:rsidR="005C29ED" w:rsidRDefault="005C29ED" w:rsidP="00D61976">
      <w:pPr>
        <w:pStyle w:val="NormalBulletalpha"/>
        <w:numPr>
          <w:ilvl w:val="1"/>
          <w:numId w:val="33"/>
        </w:numPr>
      </w:pPr>
      <w:r>
        <w:t>Outline how the proposed approach utilises innovative consultation methodologies to develop a diverse and comprehensive evidence-base</w:t>
      </w:r>
    </w:p>
    <w:p w14:paraId="09DB644F" w14:textId="6A3A7A60" w:rsidR="005C29ED" w:rsidRDefault="005C29ED" w:rsidP="00350594">
      <w:pPr>
        <w:pStyle w:val="Heading4"/>
      </w:pPr>
      <w:r>
        <w:t>Delivery (</w:t>
      </w:r>
      <w:r w:rsidR="008F4497">
        <w:t>20</w:t>
      </w:r>
      <w:r>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4"/>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lastRenderedPageBreak/>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438EEA3E" w:rsidR="005C29ED" w:rsidRPr="007862BD" w:rsidRDefault="005C29ED" w:rsidP="00350594">
      <w:pPr>
        <w:pStyle w:val="Heading4"/>
      </w:pPr>
      <w:r>
        <w:t xml:space="preserve">Experience </w:t>
      </w:r>
      <w:r w:rsidRPr="0EF56BE9">
        <w:rPr>
          <w:bCs/>
          <w:szCs w:val="28"/>
        </w:rPr>
        <w:t>(</w:t>
      </w:r>
      <w:r w:rsidR="008F4497" w:rsidRPr="0EF56BE9">
        <w:rPr>
          <w:bCs/>
          <w:szCs w:val="28"/>
        </w:rPr>
        <w:t>20</w:t>
      </w:r>
      <w:r w:rsidRPr="0EF56BE9">
        <w:rPr>
          <w:bCs/>
          <w:szCs w:val="28"/>
        </w:rPr>
        <w:t>%)</w:t>
      </w:r>
    </w:p>
    <w:p w14:paraId="06C2BCDB" w14:textId="77777777" w:rsidR="005C29ED" w:rsidRDefault="005C29ED" w:rsidP="005C29ED">
      <w:r>
        <w:t>The proposal should set out any experience relevant to the project requirement.  In particular, it must:</w:t>
      </w:r>
    </w:p>
    <w:p w14:paraId="77D3BEAC" w14:textId="731CD706" w:rsidR="005C29ED" w:rsidRDefault="005C29ED" w:rsidP="008667A9">
      <w:pPr>
        <w:pStyle w:val="NormalBulletalpha"/>
        <w:numPr>
          <w:ilvl w:val="1"/>
          <w:numId w:val="35"/>
        </w:numPr>
      </w:pPr>
      <w:r>
        <w:t>Provide CVs of the consultants who will be delivering the project</w:t>
      </w:r>
    </w:p>
    <w:p w14:paraId="0EA5915D" w14:textId="691B7251" w:rsidR="30665459" w:rsidRDefault="30665459" w:rsidP="006C7F7E">
      <w:pPr>
        <w:pStyle w:val="Heading3"/>
      </w:pPr>
      <w:r w:rsidRPr="62E2BFDD">
        <w:t xml:space="preserve">Price </w:t>
      </w:r>
    </w:p>
    <w:p w14:paraId="370476F8" w14:textId="0F7BA253" w:rsidR="005C29ED" w:rsidRDefault="005C29ED" w:rsidP="00350594">
      <w:pPr>
        <w:pStyle w:val="Heading4"/>
      </w:pPr>
      <w:r>
        <w:t>Cost / Value for money (</w:t>
      </w:r>
      <w:r w:rsidR="7ABD4084">
        <w:t>20</w:t>
      </w:r>
      <w:r>
        <w:t>%)</w:t>
      </w:r>
    </w:p>
    <w:p w14:paraId="717E7AA1" w14:textId="27E579FD" w:rsidR="00716CEC" w:rsidRDefault="4ACCD60F" w:rsidP="005C29ED">
      <w:r>
        <w:t xml:space="preserve">For each </w:t>
      </w:r>
      <w:r w:rsidR="003D3606">
        <w:t>LOT</w:t>
      </w:r>
      <w:r>
        <w:t xml:space="preserve"> that you are tendering against, please provide a</w:t>
      </w:r>
      <w:r w:rsidR="005C29ED">
        <w:t xml:space="preserve"> </w:t>
      </w:r>
      <w:r w:rsidR="005C29ED" w:rsidRPr="008E3E7D">
        <w:rPr>
          <w:b/>
          <w:bCs/>
        </w:rPr>
        <w:t>fixed fee</w:t>
      </w:r>
      <w:r w:rsidR="005C29ED">
        <w:t xml:space="preserve"> for delivery of </w:t>
      </w:r>
      <w:r w:rsidR="758084F4">
        <w:t>th</w:t>
      </w:r>
      <w:r>
        <w:t>a</w:t>
      </w:r>
      <w:r w:rsidR="0DBC8B72">
        <w:t>t</w:t>
      </w:r>
      <w:r w:rsidR="005C29ED">
        <w:t xml:space="preserve"> requirement (inclusive of all expenses), including a </w:t>
      </w:r>
      <w:r w:rsidR="005C29ED" w:rsidRPr="008E3E7D">
        <w:rPr>
          <w:b/>
          <w:bCs/>
        </w:rPr>
        <w:t xml:space="preserve">full price breakdown for each stage of the </w:t>
      </w:r>
      <w:r w:rsidRPr="63A00F3E">
        <w:rPr>
          <w:b/>
          <w:bCs/>
        </w:rPr>
        <w:t>requirement</w:t>
      </w:r>
      <w:r w:rsidR="005C29ED">
        <w:t xml:space="preserve"> and details of the </w:t>
      </w:r>
      <w:r w:rsidR="005C29ED" w:rsidRPr="008E3E7D">
        <w:rPr>
          <w:b/>
          <w:bCs/>
        </w:rPr>
        <w:t>day rates</w:t>
      </w:r>
      <w:r w:rsidR="005C29ED">
        <w:t xml:space="preserve"> that will apply for the lifetime of this </w:t>
      </w:r>
      <w:r>
        <w:t>requirement</w:t>
      </w:r>
      <w:r w:rsidR="758084F4">
        <w:t xml:space="preserve">.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lastRenderedPageBreak/>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520BA771" w:rsidR="00C15B7B" w:rsidRDefault="00C15B7B" w:rsidP="00C15B7B">
      <w:pPr>
        <w:pStyle w:val="Heading4"/>
      </w:pPr>
      <w:r>
        <w:t>Marking scheme</w:t>
      </w:r>
    </w:p>
    <w:p w14:paraId="22907B9A" w14:textId="07B1D616" w:rsidR="00CA25B2" w:rsidRDefault="3F5AF5B5" w:rsidP="00CA25B2">
      <w:r>
        <w:t xml:space="preserve">For </w:t>
      </w:r>
      <w:r w:rsidR="149D43E7">
        <w:t xml:space="preserve">each </w:t>
      </w:r>
      <w:r w:rsidR="003D3606">
        <w:t>LOT</w:t>
      </w:r>
      <w:r w:rsidR="00C15B7B">
        <w:t xml:space="preserve"> the </w:t>
      </w:r>
      <w:r w:rsidR="5CBC73AD">
        <w:t>Quality</w:t>
      </w:r>
      <w:r w:rsidR="00C15B7B">
        <w:t xml:space="preserv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42AE92F1" w14:textId="77777777" w:rsidR="009C391A" w:rsidRDefault="009C391A" w:rsidP="009C391A">
      <w:pPr>
        <w:spacing w:after="160" w:line="257" w:lineRule="auto"/>
        <w:rPr>
          <w:rFonts w:eastAsiaTheme="minorEastAsia"/>
          <w:szCs w:val="24"/>
        </w:rPr>
      </w:pPr>
    </w:p>
    <w:p w14:paraId="47332FB9" w14:textId="11BAB496" w:rsidR="009C391A" w:rsidRDefault="009C391A" w:rsidP="009C391A">
      <w:pPr>
        <w:spacing w:after="160" w:line="257" w:lineRule="auto"/>
      </w:pPr>
      <w:r w:rsidRPr="62E2BFDD">
        <w:rPr>
          <w:rFonts w:eastAsiaTheme="minorEastAsia"/>
          <w:szCs w:val="24"/>
        </w:rPr>
        <w:t xml:space="preserve">Where a score of Unacceptable (0) is allocated to any single question the bid shall be deemed non-compliant.  </w:t>
      </w:r>
    </w:p>
    <w:p w14:paraId="0246D3AF" w14:textId="77777777" w:rsidR="00757472" w:rsidRDefault="00757472" w:rsidP="009206C0">
      <w:pPr>
        <w:pStyle w:val="Heading4"/>
      </w:pPr>
    </w:p>
    <w:p w14:paraId="42257EF0" w14:textId="61302A2F" w:rsidR="009206C0" w:rsidRDefault="009206C0" w:rsidP="009206C0">
      <w:pPr>
        <w:pStyle w:val="Heading4"/>
      </w:pPr>
      <w:r>
        <w:t xml:space="preserve">Quality Evaluation </w:t>
      </w:r>
    </w:p>
    <w:p w14:paraId="7DDB7F8C" w14:textId="5CD8EA97" w:rsidR="009206C0" w:rsidRDefault="009206C0" w:rsidP="009C391A">
      <w:pPr>
        <w:spacing w:after="0" w:line="240" w:lineRule="auto"/>
      </w:pPr>
      <w:r>
        <w:t>Your responses to the Quality aspects will be independently assessed using the marking scheme and the award criteria set out in this ITT. Each evaluator shall score and provide a reason for their score against each aspect they are assessing.</w:t>
      </w:r>
    </w:p>
    <w:p w14:paraId="64F6DF05" w14:textId="77777777" w:rsidR="009C391A" w:rsidRDefault="009C391A" w:rsidP="009C391A">
      <w:pPr>
        <w:spacing w:after="0" w:line="240" w:lineRule="auto"/>
      </w:pPr>
    </w:p>
    <w:p w14:paraId="1D6DAD61" w14:textId="108F4FD9" w:rsidR="009206C0" w:rsidRDefault="009206C0" w:rsidP="009C391A">
      <w:pPr>
        <w:spacing w:after="0" w:line="240" w:lineRule="auto"/>
      </w:pPr>
      <w:r>
        <w:t xml:space="preserve">Once the evaluators have independently assessed your answers a consensus meeting shall be convened to reach a consensus score for each aspect.  At this meeting, the evaluators will discuss the responses and review their scores and reasons for that score with the aim of reaching a consensus.  </w:t>
      </w:r>
    </w:p>
    <w:p w14:paraId="13A11D0F" w14:textId="77777777" w:rsidR="009206C0" w:rsidRDefault="009206C0" w:rsidP="009206C0">
      <w:pPr>
        <w:spacing w:after="0" w:line="240" w:lineRule="auto"/>
        <w:ind w:left="720"/>
      </w:pPr>
    </w:p>
    <w:p w14:paraId="4E55540B" w14:textId="6DD69C94" w:rsidR="009206C0" w:rsidRDefault="009206C0" w:rsidP="009C391A">
      <w:pPr>
        <w:spacing w:after="0" w:line="240" w:lineRule="auto"/>
      </w:pPr>
      <w:r>
        <w:t>All tenders passing the Quality Evaluation shall proceed to the Price Evaluation.</w:t>
      </w:r>
    </w:p>
    <w:p w14:paraId="5039752B" w14:textId="77777777" w:rsidR="009C391A" w:rsidRDefault="009C391A" w:rsidP="009C391A">
      <w:pPr>
        <w:spacing w:after="0" w:line="240" w:lineRule="auto"/>
      </w:pPr>
    </w:p>
    <w:p w14:paraId="05587329" w14:textId="3744C810" w:rsidR="009C391A" w:rsidRDefault="009C391A" w:rsidP="009C391A">
      <w:pPr>
        <w:pStyle w:val="Heading4"/>
      </w:pPr>
      <w:r>
        <w:t xml:space="preserve">Price Evaluation </w:t>
      </w:r>
    </w:p>
    <w:p w14:paraId="337955E8" w14:textId="4EFE8AFC" w:rsidR="00CA25B2" w:rsidRDefault="109846DE" w:rsidP="009C391A">
      <w:r>
        <w:t xml:space="preserve">For </w:t>
      </w:r>
      <w:r w:rsidR="149D43E7">
        <w:t xml:space="preserve">each </w:t>
      </w:r>
      <w:r w:rsidR="003D3606">
        <w:t>LOT</w:t>
      </w:r>
      <w:r w:rsidR="00CA25B2">
        <w:t xml:space="preserve"> the following </w:t>
      </w:r>
      <w:r w:rsidR="009C391A">
        <w:t xml:space="preserve">Price evaluation </w:t>
      </w:r>
      <w:r w:rsidR="00CA25B2">
        <w:t>shall apply:</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08701F1C" w:rsidR="00C15B7B" w:rsidRDefault="00CA25B2" w:rsidP="62E2BFDD">
      <w:r>
        <w:t xml:space="preserve">Your score will then be multiplied by the weighting we have applied to this aspect of the price evaluation to provide a weighted score for </w:t>
      </w:r>
      <w:r w:rsidR="009C391A">
        <w:t>Price</w:t>
      </w:r>
      <w:r>
        <w:t>.</w:t>
      </w:r>
      <w:r w:rsidR="00315C75">
        <w:t xml:space="preserve"> Any price which exceeds the </w:t>
      </w:r>
      <w:r w:rsidR="00315C75">
        <w:lastRenderedPageBreak/>
        <w:t xml:space="preserve">maximum budget(s) as indicated in section 2.5 shall be deemed non-complaint and shall not be scored. </w:t>
      </w:r>
    </w:p>
    <w:p w14:paraId="6492CB96" w14:textId="469EC1DF" w:rsidR="000945F1" w:rsidRPr="00860A67" w:rsidRDefault="000945F1" w:rsidP="000945F1">
      <w:pPr>
        <w:pStyle w:val="Heading5"/>
        <w:rPr>
          <w:iCs/>
          <w:color w:val="253268" w:themeColor="text2"/>
          <w:sz w:val="28"/>
        </w:rPr>
      </w:pPr>
      <w:r w:rsidRPr="00860A67">
        <w:rPr>
          <w:iCs/>
          <w:color w:val="253268" w:themeColor="text2"/>
          <w:sz w:val="28"/>
        </w:rPr>
        <w:t>Total Score</w:t>
      </w:r>
    </w:p>
    <w:p w14:paraId="6E991580" w14:textId="079FE4A9" w:rsidR="000945F1" w:rsidRDefault="000945F1" w:rsidP="62E2BFDD">
      <w:pPr>
        <w:rPr>
          <w:rStyle w:val="normaltextrun"/>
          <w:rFonts w:cs="Arial"/>
        </w:rPr>
      </w:pPr>
      <w:r w:rsidRPr="62E2BFDD">
        <w:rPr>
          <w:rStyle w:val="normaltextrun"/>
          <w:rFonts w:cs="Arial"/>
        </w:rPr>
        <w:t>The total score</w:t>
      </w:r>
      <w:r w:rsidR="009C391A">
        <w:rPr>
          <w:rStyle w:val="normaltextrun"/>
          <w:rFonts w:cs="Arial"/>
        </w:rPr>
        <w:t xml:space="preserve"> for each </w:t>
      </w:r>
      <w:r w:rsidR="003D3606">
        <w:rPr>
          <w:rStyle w:val="normaltextrun"/>
          <w:rFonts w:cs="Arial"/>
        </w:rPr>
        <w:t>LOT</w:t>
      </w:r>
      <w:r w:rsidRPr="62E2BFDD">
        <w:rPr>
          <w:rStyle w:val="normaltextrun"/>
          <w:rFonts w:cs="Arial"/>
        </w:rPr>
        <w:t xml:space="preserve"> shall be calculated by adding the Quality and Price scores</w:t>
      </w:r>
      <w:r w:rsidR="16899235" w:rsidRPr="62E2BFDD">
        <w:rPr>
          <w:rStyle w:val="normaltextrun"/>
          <w:rFonts w:cs="Arial"/>
        </w:rPr>
        <w:t>.</w:t>
      </w:r>
      <w:r w:rsidR="009C391A">
        <w:rPr>
          <w:rStyle w:val="normaltextrun"/>
          <w:rFonts w:cs="Arial"/>
        </w:rPr>
        <w:t xml:space="preserve"> The bidder achieving the highest compliant</w:t>
      </w:r>
      <w:r w:rsidR="00F04259">
        <w:rPr>
          <w:rStyle w:val="normaltextrun"/>
          <w:rFonts w:cs="Arial"/>
        </w:rPr>
        <w:t xml:space="preserve"> total</w:t>
      </w:r>
      <w:r w:rsidR="009C391A">
        <w:rPr>
          <w:rStyle w:val="normaltextrun"/>
          <w:rFonts w:cs="Arial"/>
        </w:rPr>
        <w:t xml:space="preserve"> score will be deemed MEAT (“the winner”)</w:t>
      </w:r>
      <w:r w:rsidR="00860A67">
        <w:rPr>
          <w:rStyle w:val="normaltextrun"/>
          <w:rFonts w:cs="Arial"/>
        </w:rPr>
        <w:t xml:space="preserve"> and shall proceed to contract award</w:t>
      </w:r>
      <w:r w:rsidR="009C391A">
        <w:rPr>
          <w:rStyle w:val="normaltextrun"/>
          <w:rFonts w:cs="Arial"/>
        </w:rPr>
        <w:t xml:space="preserve">. </w:t>
      </w:r>
    </w:p>
    <w:p w14:paraId="580E4F95" w14:textId="449DDD3A" w:rsidR="009C391A" w:rsidRDefault="009C391A" w:rsidP="009C391A">
      <w:pPr>
        <w:spacing w:after="160" w:line="257" w:lineRule="auto"/>
        <w:rPr>
          <w:rStyle w:val="normaltextrun"/>
          <w:rFonts w:eastAsiaTheme="minorEastAsia"/>
          <w:szCs w:val="24"/>
          <w:lang w:val="en-US"/>
        </w:rPr>
      </w:pPr>
      <w:r w:rsidRPr="62E2BFDD">
        <w:rPr>
          <w:rStyle w:val="normaltextrun"/>
          <w:rFonts w:eastAsiaTheme="minorEastAsia"/>
          <w:szCs w:val="24"/>
          <w:lang w:val="en-US"/>
        </w:rPr>
        <w:t xml:space="preserve">Where the final score achieved by multiple bidders ranks them in equal position the bidder achieving the highest weighted Quality score will be deemed MEAT.  Where bidders have an equal Quality score, the bidder scoring highest in </w:t>
      </w:r>
      <w:r w:rsidR="00860A67">
        <w:t>M</w:t>
      </w:r>
      <w:r>
        <w:t>ethodology</w:t>
      </w:r>
      <w:r w:rsidRPr="62E2BFDD">
        <w:rPr>
          <w:rStyle w:val="normaltextrun"/>
          <w:rFonts w:eastAsiaTheme="minorEastAsia"/>
          <w:szCs w:val="24"/>
          <w:lang w:val="en-US"/>
        </w:rPr>
        <w:t xml:space="preserve"> will be deemed the winner. If this remains an equal score, then the bidder scoring highest in </w:t>
      </w:r>
      <w:r w:rsidR="00860A67">
        <w:rPr>
          <w:rStyle w:val="normaltextrun"/>
          <w:rFonts w:eastAsiaTheme="minorEastAsia"/>
          <w:szCs w:val="24"/>
          <w:lang w:val="en-US"/>
        </w:rPr>
        <w:t>D</w:t>
      </w:r>
      <w:r w:rsidRPr="62E2BFDD">
        <w:rPr>
          <w:rStyle w:val="normaltextrun"/>
          <w:rFonts w:eastAsiaTheme="minorEastAsia"/>
          <w:szCs w:val="24"/>
          <w:lang w:val="en-US"/>
        </w:rPr>
        <w:t>elivery will be deemed the winner.</w:t>
      </w:r>
    </w:p>
    <w:p w14:paraId="121A3C22" w14:textId="77777777" w:rsidR="009C391A" w:rsidRDefault="009C391A" w:rsidP="62E2BFDD">
      <w:pPr>
        <w:rPr>
          <w:rStyle w:val="eop"/>
          <w:rFonts w:cs="Arial"/>
        </w:rPr>
      </w:pPr>
    </w:p>
    <w:p w14:paraId="3DB330B0" w14:textId="3DAE9BE2" w:rsidR="000945F1" w:rsidRDefault="00860A67" w:rsidP="62E2BFDD">
      <w:pPr>
        <w:pStyle w:val="Heading5"/>
        <w:rPr>
          <w:iCs/>
          <w:color w:val="253268" w:themeColor="text2"/>
          <w:sz w:val="28"/>
        </w:rPr>
      </w:pPr>
      <w:r w:rsidRPr="00860A67">
        <w:rPr>
          <w:iCs/>
          <w:color w:val="253268" w:themeColor="text2"/>
          <w:sz w:val="28"/>
        </w:rPr>
        <w:t xml:space="preserve">Contract </w:t>
      </w:r>
      <w:r w:rsidR="000945F1" w:rsidRPr="00860A67">
        <w:rPr>
          <w:iCs/>
          <w:color w:val="253268" w:themeColor="text2"/>
          <w:sz w:val="28"/>
        </w:rPr>
        <w:t>Award</w:t>
      </w:r>
    </w:p>
    <w:p w14:paraId="10C267C7" w14:textId="7D1D0E8B" w:rsidR="00860A67" w:rsidRDefault="00860A67" w:rsidP="00860A67">
      <w:pPr>
        <w:pStyle w:val="Numberedparagraphdouble"/>
        <w:numPr>
          <w:ilvl w:val="0"/>
          <w:numId w:val="0"/>
        </w:numPr>
        <w:ind w:left="851" w:hanging="851"/>
        <w:rPr>
          <w:rFonts w:eastAsiaTheme="majorEastAsia" w:cstheme="majorBidi"/>
          <w:b/>
        </w:rPr>
      </w:pPr>
      <w:r w:rsidRPr="00860A67">
        <w:rPr>
          <w:rFonts w:eastAsiaTheme="majorEastAsia" w:cstheme="majorBidi"/>
          <w:b/>
        </w:rPr>
        <w:t xml:space="preserve">Winning multiple </w:t>
      </w:r>
      <w:r w:rsidR="003D3606">
        <w:rPr>
          <w:rFonts w:eastAsiaTheme="majorEastAsia" w:cstheme="majorBidi"/>
          <w:b/>
        </w:rPr>
        <w:t>LOTS</w:t>
      </w:r>
    </w:p>
    <w:p w14:paraId="55BE2253" w14:textId="74799A74" w:rsidR="00860A67" w:rsidRPr="007F2972" w:rsidRDefault="00860A67" w:rsidP="007F2972">
      <w:pPr>
        <w:pStyle w:val="Numberedparagraphdouble"/>
        <w:numPr>
          <w:ilvl w:val="0"/>
          <w:numId w:val="0"/>
        </w:numPr>
        <w:rPr>
          <w:rFonts w:eastAsiaTheme="majorEastAsia" w:cstheme="majorBidi"/>
          <w:bCs/>
        </w:rPr>
      </w:pPr>
      <w:r w:rsidRPr="007F2972">
        <w:rPr>
          <w:rFonts w:eastAsiaTheme="majorEastAsia" w:cstheme="majorBidi"/>
          <w:bCs/>
        </w:rPr>
        <w:t xml:space="preserve">Where a bidder is deemed MEAT in more than one </w:t>
      </w:r>
      <w:r w:rsidR="003D3606">
        <w:rPr>
          <w:rFonts w:eastAsiaTheme="majorEastAsia" w:cstheme="majorBidi"/>
          <w:bCs/>
        </w:rPr>
        <w:t>LOT</w:t>
      </w:r>
      <w:r w:rsidRPr="007F2972">
        <w:rPr>
          <w:rFonts w:eastAsiaTheme="majorEastAsia" w:cstheme="majorBidi"/>
          <w:bCs/>
        </w:rPr>
        <w:t xml:space="preserve"> a single Form of Agreement shall be issued reflecting all the necessary </w:t>
      </w:r>
      <w:r w:rsidR="007F2972" w:rsidRPr="007F2972">
        <w:rPr>
          <w:rFonts w:eastAsiaTheme="majorEastAsia" w:cstheme="majorBidi"/>
          <w:bCs/>
        </w:rPr>
        <w:t xml:space="preserve">requirements and bid information of each </w:t>
      </w:r>
      <w:r w:rsidR="003D3606">
        <w:rPr>
          <w:rFonts w:eastAsiaTheme="majorEastAsia" w:cstheme="majorBidi"/>
          <w:bCs/>
        </w:rPr>
        <w:t>LOT</w:t>
      </w:r>
      <w:r w:rsidR="007F2972" w:rsidRPr="007F2972">
        <w:rPr>
          <w:rFonts w:eastAsiaTheme="majorEastAsia" w:cstheme="majorBidi"/>
          <w:bCs/>
        </w:rPr>
        <w:t xml:space="preserve">. </w:t>
      </w:r>
    </w:p>
    <w:p w14:paraId="462E7576" w14:textId="77777777" w:rsidR="00860A67" w:rsidRPr="00AF37A4" w:rsidRDefault="00860A67" w:rsidP="00860A67">
      <w:pPr>
        <w:pStyle w:val="Heading5"/>
      </w:pPr>
      <w:bookmarkStart w:id="18" w:name="_Toc125548168"/>
      <w:r w:rsidRPr="00AF37A4">
        <w:t>Standstill period</w:t>
      </w:r>
      <w:bookmarkEnd w:id="18"/>
    </w:p>
    <w:p w14:paraId="7F5D1551" w14:textId="77777777" w:rsidR="00860A67" w:rsidRPr="00AF37A4" w:rsidRDefault="00860A67" w:rsidP="00860A67">
      <w:r w:rsidRPr="00AF37A4">
        <w:t>The term Standstill Period is set out in the Public Contract Regulations 87(2).</w:t>
      </w:r>
    </w:p>
    <w:p w14:paraId="3107C262" w14:textId="3A174182" w:rsidR="00860A67" w:rsidRPr="00AF37A4" w:rsidRDefault="00860A67" w:rsidP="00860A67">
      <w:r w:rsidRPr="00AF37A4">
        <w:t xml:space="preserve">Intention to Award letters </w:t>
      </w:r>
      <w:r>
        <w:t xml:space="preserve">shall be issued </w:t>
      </w:r>
      <w:r w:rsidRPr="00AF37A4">
        <w:t xml:space="preserve">to all </w:t>
      </w:r>
      <w:r>
        <w:t>b</w:t>
      </w:r>
      <w:r w:rsidRPr="00AF37A4">
        <w:t xml:space="preserve">idders and a Standstill Period of ten (10) calendar days will </w:t>
      </w:r>
      <w:r>
        <w:t>commence</w:t>
      </w:r>
      <w:r w:rsidRPr="00AF37A4">
        <w:t xml:space="preserve">. </w:t>
      </w:r>
      <w:r>
        <w:t xml:space="preserve"> In accordance with PCR2015, the letters shall provide bidders with the outcome of the evaluation including scores and supporting narrative, as well as the relative merits of the winning bid.</w:t>
      </w:r>
    </w:p>
    <w:p w14:paraId="11B8EA1E" w14:textId="7EB64D4C" w:rsidR="00860A67" w:rsidRDefault="00860A67" w:rsidP="00860A67">
      <w:r w:rsidRPr="00AF37A4">
        <w:t xml:space="preserve">Following the </w:t>
      </w:r>
      <w:r>
        <w:t>S</w:t>
      </w:r>
      <w:r w:rsidRPr="00AF37A4">
        <w:t xml:space="preserve">tandstill period, and if there are no challenges to our decision, </w:t>
      </w:r>
      <w:r>
        <w:t xml:space="preserve">the </w:t>
      </w:r>
      <w:r w:rsidRPr="00AF37A4">
        <w:t xml:space="preserve">successful </w:t>
      </w:r>
      <w:r>
        <w:t>b</w:t>
      </w:r>
      <w:r w:rsidRPr="00AF37A4">
        <w:t>idder</w:t>
      </w:r>
      <w:r>
        <w:t>(s)</w:t>
      </w:r>
      <w:r w:rsidRPr="00AF37A4">
        <w:t xml:space="preserve"> will be formally awarded a contract.</w:t>
      </w:r>
    </w:p>
    <w:p w14:paraId="7DFA436E" w14:textId="77777777" w:rsidR="00860A67" w:rsidRDefault="00860A67" w:rsidP="00860A67">
      <w:pPr>
        <w:pStyle w:val="Heading5"/>
      </w:pPr>
      <w:bookmarkStart w:id="19" w:name="_Toc125548169"/>
      <w:r>
        <w:t>Debrief</w:t>
      </w:r>
      <w:bookmarkEnd w:id="19"/>
    </w:p>
    <w:p w14:paraId="04F9DE8E" w14:textId="77777777" w:rsidR="00860A67" w:rsidRPr="00AF37A4" w:rsidRDefault="00860A67" w:rsidP="00860A67">
      <w:r>
        <w:t xml:space="preserve">The Intention to Award letters shall contain all the debrief material.  Bidders may seek clarification of the content, however no additional debriefs, including telephone or face to face, shall be offered.  </w:t>
      </w:r>
    </w:p>
    <w:p w14:paraId="13900F93" w14:textId="0C742FE6" w:rsidR="00C15B7B" w:rsidRDefault="52CC2789" w:rsidP="002D3643">
      <w:pPr>
        <w:pStyle w:val="Heading2"/>
      </w:pPr>
      <w:bookmarkStart w:id="20" w:name="_Toc145075939"/>
      <w:r>
        <w:lastRenderedPageBreak/>
        <w:t>Procurement Procedures</w:t>
      </w:r>
      <w:bookmarkEnd w:id="20"/>
      <w:r>
        <w:t xml:space="preserve"> </w:t>
      </w:r>
    </w:p>
    <w:p w14:paraId="038D890E" w14:textId="77777777" w:rsidR="00400432" w:rsidRDefault="00400432" w:rsidP="00400432">
      <w:pPr>
        <w:pStyle w:val="Heading3"/>
      </w:pPr>
      <w:bookmarkStart w:id="21" w:name="_Toc145075940"/>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EF56BE9">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0EF56BE9">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EF56BE9">
            <w:pPr>
              <w:pStyle w:val="TblText"/>
              <w:rPr>
                <w:sz w:val="24"/>
                <w:szCs w:val="24"/>
              </w:rPr>
            </w:pPr>
            <w:r w:rsidRPr="0EF56BE9">
              <w:rPr>
                <w:sz w:val="24"/>
                <w:szCs w:val="24"/>
              </w:rPr>
              <w:t>Invitation to tender issued</w:t>
            </w:r>
          </w:p>
        </w:tc>
        <w:tc>
          <w:tcPr>
            <w:tcW w:w="3600" w:type="dxa"/>
            <w:tcBorders>
              <w:bottom w:val="single" w:sz="12" w:space="0" w:color="FFFFFF" w:themeColor="background2"/>
            </w:tcBorders>
            <w:shd w:val="clear" w:color="auto" w:fill="FFFFFF" w:themeFill="background2"/>
          </w:tcPr>
          <w:p w14:paraId="0B221E35" w14:textId="4921E4E9" w:rsidR="00400432" w:rsidRPr="00400432" w:rsidRDefault="00810496" w:rsidP="0EF56BE9">
            <w:pPr>
              <w:pStyle w:val="TblText"/>
              <w:rPr>
                <w:sz w:val="24"/>
                <w:szCs w:val="24"/>
              </w:rPr>
            </w:pPr>
            <w:r w:rsidRPr="0EF56BE9">
              <w:rPr>
                <w:sz w:val="24"/>
                <w:szCs w:val="24"/>
              </w:rPr>
              <w:t>2</w:t>
            </w:r>
            <w:r w:rsidR="40CDB342" w:rsidRPr="0EF56BE9">
              <w:rPr>
                <w:sz w:val="24"/>
                <w:szCs w:val="24"/>
              </w:rPr>
              <w:t>8</w:t>
            </w:r>
            <w:r w:rsidRPr="0EF56BE9">
              <w:rPr>
                <w:sz w:val="24"/>
                <w:szCs w:val="24"/>
              </w:rPr>
              <w:t xml:space="preserve"> September 2023</w:t>
            </w:r>
          </w:p>
        </w:tc>
      </w:tr>
      <w:tr w:rsidR="00400432" w:rsidRPr="00400432" w14:paraId="42283B80" w14:textId="77777777" w:rsidTr="0EF56BE9">
        <w:tc>
          <w:tcPr>
            <w:tcW w:w="4928" w:type="dxa"/>
            <w:tcBorders>
              <w:bottom w:val="single" w:sz="12" w:space="0" w:color="FFFFFF" w:themeColor="background2"/>
            </w:tcBorders>
            <w:shd w:val="clear" w:color="auto" w:fill="D9D9E9" w:themeFill="accent6" w:themeFillTint="33"/>
          </w:tcPr>
          <w:p w14:paraId="52F2ADF7" w14:textId="77777777" w:rsidR="00400432" w:rsidRPr="00400432" w:rsidRDefault="00400432" w:rsidP="0EF56BE9">
            <w:pPr>
              <w:pStyle w:val="TblText"/>
              <w:rPr>
                <w:sz w:val="24"/>
                <w:szCs w:val="24"/>
              </w:rPr>
            </w:pPr>
            <w:r w:rsidRPr="0EF56BE9">
              <w:rPr>
                <w:sz w:val="24"/>
                <w:szCs w:val="24"/>
              </w:rPr>
              <w:t>Deadline for the submission of clarification questions</w:t>
            </w:r>
          </w:p>
        </w:tc>
        <w:tc>
          <w:tcPr>
            <w:tcW w:w="3600" w:type="dxa"/>
            <w:tcBorders>
              <w:bottom w:val="single" w:sz="12" w:space="0" w:color="FFFFFF" w:themeColor="background2"/>
            </w:tcBorders>
            <w:shd w:val="clear" w:color="auto" w:fill="D9D9E9" w:themeFill="accent6" w:themeFillTint="33"/>
          </w:tcPr>
          <w:p w14:paraId="4308C2DC" w14:textId="751E8862" w:rsidR="00400432" w:rsidRPr="00400432" w:rsidRDefault="2E9CBF95" w:rsidP="0EF56BE9">
            <w:pPr>
              <w:pStyle w:val="TblText"/>
              <w:rPr>
                <w:sz w:val="24"/>
                <w:szCs w:val="24"/>
              </w:rPr>
            </w:pPr>
            <w:r w:rsidRPr="0EF56BE9">
              <w:rPr>
                <w:sz w:val="24"/>
                <w:szCs w:val="24"/>
              </w:rPr>
              <w:t>20 October 2023</w:t>
            </w:r>
            <w:r w:rsidR="0DD8E673" w:rsidRPr="0EF56BE9">
              <w:rPr>
                <w:sz w:val="24"/>
                <w:szCs w:val="24"/>
              </w:rPr>
              <w:t xml:space="preserve"> </w:t>
            </w:r>
            <w:r w:rsidR="007F2972">
              <w:rPr>
                <w:sz w:val="24"/>
                <w:szCs w:val="24"/>
              </w:rPr>
              <w:t xml:space="preserve">midday </w:t>
            </w:r>
          </w:p>
        </w:tc>
      </w:tr>
      <w:tr w:rsidR="00400432" w:rsidRPr="00400432" w14:paraId="66301268" w14:textId="77777777" w:rsidTr="0EF56BE9">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EF56BE9">
            <w:pPr>
              <w:pStyle w:val="TblText"/>
              <w:rPr>
                <w:sz w:val="24"/>
                <w:szCs w:val="24"/>
              </w:rPr>
            </w:pPr>
            <w:r w:rsidRPr="0EF56BE9">
              <w:rPr>
                <w:sz w:val="24"/>
                <w:szCs w:val="24"/>
              </w:rPr>
              <w:t>Deadline for submission of proposals</w:t>
            </w:r>
          </w:p>
        </w:tc>
        <w:tc>
          <w:tcPr>
            <w:tcW w:w="3600" w:type="dxa"/>
            <w:tcBorders>
              <w:bottom w:val="single" w:sz="12" w:space="0" w:color="FFFFFF" w:themeColor="background2"/>
            </w:tcBorders>
            <w:shd w:val="clear" w:color="auto" w:fill="FFFFFF" w:themeFill="background2"/>
          </w:tcPr>
          <w:p w14:paraId="63343DB4" w14:textId="5E0BF9BB" w:rsidR="00400432" w:rsidRPr="00400432" w:rsidRDefault="4A7FDD29" w:rsidP="0EF56BE9">
            <w:pPr>
              <w:pStyle w:val="TblText"/>
              <w:rPr>
                <w:sz w:val="24"/>
                <w:szCs w:val="24"/>
              </w:rPr>
            </w:pPr>
            <w:r w:rsidRPr="0EF56BE9">
              <w:rPr>
                <w:sz w:val="24"/>
                <w:szCs w:val="24"/>
              </w:rPr>
              <w:t xml:space="preserve">30 </w:t>
            </w:r>
            <w:r w:rsidR="2E9CBF95" w:rsidRPr="0EF56BE9">
              <w:rPr>
                <w:sz w:val="24"/>
                <w:szCs w:val="24"/>
              </w:rPr>
              <w:t>October 2023</w:t>
            </w:r>
            <w:r w:rsidR="19C44433" w:rsidRPr="0EF56BE9">
              <w:rPr>
                <w:sz w:val="24"/>
                <w:szCs w:val="24"/>
              </w:rPr>
              <w:t xml:space="preserve"> </w:t>
            </w:r>
            <w:r w:rsidR="007F2972">
              <w:rPr>
                <w:sz w:val="24"/>
                <w:szCs w:val="24"/>
              </w:rPr>
              <w:t xml:space="preserve">midday </w:t>
            </w:r>
          </w:p>
        </w:tc>
      </w:tr>
      <w:tr w:rsidR="00400432" w:rsidRPr="00400432" w14:paraId="4B08FCC5" w14:textId="77777777" w:rsidTr="0EF56BE9">
        <w:tc>
          <w:tcPr>
            <w:tcW w:w="4928" w:type="dxa"/>
            <w:tcBorders>
              <w:bottom w:val="single" w:sz="12" w:space="0" w:color="FFFFFF" w:themeColor="background2"/>
            </w:tcBorders>
            <w:shd w:val="clear" w:color="auto" w:fill="D9D9E9" w:themeFill="accent6" w:themeFillTint="33"/>
          </w:tcPr>
          <w:p w14:paraId="0677F8D6" w14:textId="70F33857" w:rsidR="5B1B848C" w:rsidRDefault="5B1B848C" w:rsidP="0EF56BE9">
            <w:pPr>
              <w:pStyle w:val="TblText"/>
              <w:tabs>
                <w:tab w:val="left" w:pos="720"/>
                <w:tab w:val="num" w:pos="360"/>
              </w:tabs>
              <w:rPr>
                <w:rFonts w:eastAsia="Arial" w:cs="Arial"/>
                <w:color w:val="000000" w:themeColor="text1"/>
                <w:sz w:val="24"/>
                <w:szCs w:val="24"/>
              </w:rPr>
            </w:pPr>
            <w:r w:rsidRPr="0EF56BE9">
              <w:rPr>
                <w:rFonts w:eastAsia="Arial" w:cs="Arial"/>
                <w:color w:val="000000" w:themeColor="text1"/>
                <w:sz w:val="24"/>
                <w:szCs w:val="24"/>
                <w:lang w:val="en-US"/>
              </w:rPr>
              <w:t xml:space="preserve"> </w:t>
            </w:r>
            <w:r w:rsidR="0EF56BE9" w:rsidRPr="0EF56BE9">
              <w:rPr>
                <w:rFonts w:eastAsia="Arial" w:cs="Arial"/>
                <w:color w:val="000000" w:themeColor="text1"/>
                <w:sz w:val="24"/>
                <w:szCs w:val="24"/>
                <w:lang w:val="en-US"/>
              </w:rPr>
              <w:t xml:space="preserve">Notice of </w:t>
            </w:r>
            <w:r w:rsidR="0EF56BE9" w:rsidRPr="0EF56BE9">
              <w:rPr>
                <w:sz w:val="24"/>
                <w:szCs w:val="24"/>
                <w:lang w:val="en-US"/>
              </w:rPr>
              <w:t>decision</w:t>
            </w:r>
            <w:r w:rsidR="0EF56BE9" w:rsidRPr="0EF56BE9">
              <w:rPr>
                <w:rFonts w:eastAsia="Arial" w:cs="Arial"/>
                <w:color w:val="000000" w:themeColor="text1"/>
                <w:sz w:val="24"/>
                <w:szCs w:val="24"/>
                <w:lang w:val="en-US"/>
              </w:rPr>
              <w:t xml:space="preserve"> to award a contract</w:t>
            </w:r>
          </w:p>
        </w:tc>
        <w:tc>
          <w:tcPr>
            <w:tcW w:w="3600" w:type="dxa"/>
            <w:tcBorders>
              <w:bottom w:val="single" w:sz="12" w:space="0" w:color="FFFFFF" w:themeColor="background2"/>
            </w:tcBorders>
            <w:shd w:val="clear" w:color="auto" w:fill="D9D9E9" w:themeFill="accent6" w:themeFillTint="33"/>
          </w:tcPr>
          <w:p w14:paraId="65101FDB" w14:textId="2742080F" w:rsidR="02F1592C" w:rsidRDefault="02F1592C" w:rsidP="0EF56BE9">
            <w:pPr>
              <w:pStyle w:val="TblText"/>
              <w:tabs>
                <w:tab w:val="left" w:pos="720"/>
                <w:tab w:val="num" w:pos="360"/>
              </w:tabs>
              <w:rPr>
                <w:rFonts w:eastAsia="Arial" w:cs="Arial"/>
                <w:color w:val="000000" w:themeColor="text1"/>
                <w:sz w:val="24"/>
                <w:szCs w:val="24"/>
              </w:rPr>
            </w:pPr>
            <w:r w:rsidRPr="0EF56BE9">
              <w:rPr>
                <w:sz w:val="24"/>
                <w:szCs w:val="24"/>
              </w:rPr>
              <w:t>20 November</w:t>
            </w:r>
            <w:r w:rsidR="0EF56BE9" w:rsidRPr="0EF56BE9">
              <w:rPr>
                <w:rFonts w:eastAsia="Arial" w:cs="Arial"/>
                <w:color w:val="000000" w:themeColor="text1"/>
                <w:sz w:val="24"/>
                <w:szCs w:val="24"/>
                <w:lang w:val="en-US"/>
              </w:rPr>
              <w:t xml:space="preserve"> 2022</w:t>
            </w:r>
          </w:p>
        </w:tc>
      </w:tr>
      <w:tr w:rsidR="0EF56BE9" w14:paraId="79FE01A4" w14:textId="77777777" w:rsidTr="0EF56BE9">
        <w:trPr>
          <w:trHeight w:val="300"/>
        </w:trPr>
        <w:tc>
          <w:tcPr>
            <w:tcW w:w="5569" w:type="dxa"/>
            <w:tcBorders>
              <w:bottom w:val="single" w:sz="12" w:space="0" w:color="FFFFFF" w:themeColor="background2"/>
            </w:tcBorders>
          </w:tcPr>
          <w:p w14:paraId="2E772639" w14:textId="26C8C795" w:rsidR="0EF56BE9" w:rsidRDefault="0EF56BE9" w:rsidP="0EF56BE9">
            <w:pPr>
              <w:pStyle w:val="TblText"/>
              <w:tabs>
                <w:tab w:val="left" w:pos="720"/>
                <w:tab w:val="num" w:pos="360"/>
              </w:tabs>
              <w:rPr>
                <w:sz w:val="24"/>
                <w:szCs w:val="24"/>
              </w:rPr>
            </w:pPr>
            <w:r w:rsidRPr="0EF56BE9">
              <w:rPr>
                <w:rFonts w:eastAsia="Arial" w:cs="Arial"/>
                <w:color w:val="000000" w:themeColor="text1"/>
                <w:sz w:val="24"/>
                <w:szCs w:val="24"/>
                <w:lang w:val="en-US"/>
              </w:rPr>
              <w:t xml:space="preserve"> </w:t>
            </w:r>
            <w:r w:rsidRPr="0EF56BE9">
              <w:rPr>
                <w:sz w:val="24"/>
                <w:szCs w:val="24"/>
                <w:lang w:val="en-US"/>
              </w:rPr>
              <w:t>Standstill</w:t>
            </w:r>
            <w:r w:rsidRPr="0EF56BE9">
              <w:rPr>
                <w:rFonts w:eastAsia="Arial" w:cs="Arial"/>
                <w:color w:val="000000" w:themeColor="text1"/>
                <w:sz w:val="24"/>
                <w:szCs w:val="24"/>
                <w:lang w:val="en-US"/>
              </w:rPr>
              <w:t xml:space="preserve"> (finish)</w:t>
            </w:r>
          </w:p>
        </w:tc>
        <w:tc>
          <w:tcPr>
            <w:tcW w:w="4069" w:type="dxa"/>
            <w:tcBorders>
              <w:bottom w:val="single" w:sz="12" w:space="0" w:color="FFFFFF" w:themeColor="background2"/>
            </w:tcBorders>
          </w:tcPr>
          <w:p w14:paraId="7B949EF7" w14:textId="66328092" w:rsidR="0EF56BE9" w:rsidRDefault="0EF56BE9" w:rsidP="0EF56BE9">
            <w:pPr>
              <w:pStyle w:val="TblText"/>
              <w:rPr>
                <w:sz w:val="24"/>
                <w:szCs w:val="24"/>
              </w:rPr>
            </w:pPr>
            <w:r w:rsidRPr="0EF56BE9">
              <w:rPr>
                <w:sz w:val="24"/>
                <w:szCs w:val="24"/>
              </w:rPr>
              <w:t>30 November 2023</w:t>
            </w:r>
          </w:p>
        </w:tc>
      </w:tr>
      <w:tr w:rsidR="00400432" w:rsidRPr="00400432" w14:paraId="2D3D0936" w14:textId="77777777" w:rsidTr="0EF56BE9">
        <w:trPr>
          <w:trHeight w:val="525"/>
        </w:trPr>
        <w:tc>
          <w:tcPr>
            <w:tcW w:w="4928" w:type="dxa"/>
            <w:tcBorders>
              <w:bottom w:val="single" w:sz="12" w:space="0" w:color="FFFFFF" w:themeColor="background2"/>
            </w:tcBorders>
            <w:shd w:val="clear" w:color="auto" w:fill="D9D9E9" w:themeFill="accent6" w:themeFillTint="33"/>
          </w:tcPr>
          <w:p w14:paraId="5EC5E812" w14:textId="69991E0C" w:rsidR="136AA907" w:rsidRDefault="136AA907" w:rsidP="0EF56BE9">
            <w:pPr>
              <w:pStyle w:val="TblText"/>
              <w:rPr>
                <w:rFonts w:eastAsia="Arial" w:cs="Arial"/>
                <w:color w:val="000000" w:themeColor="text1"/>
                <w:sz w:val="24"/>
                <w:szCs w:val="24"/>
              </w:rPr>
            </w:pPr>
            <w:r w:rsidRPr="0EF56BE9">
              <w:rPr>
                <w:rFonts w:eastAsia="Arial" w:cs="Arial"/>
                <w:color w:val="000000" w:themeColor="text1"/>
                <w:sz w:val="24"/>
                <w:szCs w:val="24"/>
                <w:lang w:val="en-US"/>
              </w:rPr>
              <w:t xml:space="preserve"> </w:t>
            </w:r>
            <w:r w:rsidR="0EF56BE9" w:rsidRPr="0EF56BE9">
              <w:rPr>
                <w:rFonts w:eastAsia="Arial" w:cs="Arial"/>
                <w:color w:val="000000" w:themeColor="text1"/>
                <w:sz w:val="24"/>
                <w:szCs w:val="24"/>
                <w:lang w:val="en-US"/>
              </w:rPr>
              <w:t>Contract awar</w:t>
            </w:r>
            <w:r w:rsidR="73028405" w:rsidRPr="0EF56BE9">
              <w:rPr>
                <w:rFonts w:eastAsia="Arial" w:cs="Arial"/>
                <w:color w:val="000000" w:themeColor="text1"/>
                <w:sz w:val="24"/>
                <w:szCs w:val="24"/>
                <w:lang w:val="en-US"/>
              </w:rPr>
              <w:t>d</w:t>
            </w:r>
          </w:p>
        </w:tc>
        <w:tc>
          <w:tcPr>
            <w:tcW w:w="3600" w:type="dxa"/>
            <w:tcBorders>
              <w:bottom w:val="single" w:sz="12" w:space="0" w:color="FFFFFF" w:themeColor="background2"/>
            </w:tcBorders>
            <w:shd w:val="clear" w:color="auto" w:fill="D9D9E9" w:themeFill="accent6" w:themeFillTint="33"/>
          </w:tcPr>
          <w:p w14:paraId="369C7FA2" w14:textId="731FB507" w:rsidR="35A0E537" w:rsidRDefault="007F2972" w:rsidP="0EF56BE9">
            <w:pPr>
              <w:pStyle w:val="TblText"/>
              <w:rPr>
                <w:sz w:val="24"/>
                <w:szCs w:val="24"/>
              </w:rPr>
            </w:pPr>
            <w:r>
              <w:rPr>
                <w:sz w:val="24"/>
                <w:szCs w:val="24"/>
              </w:rPr>
              <w:t>01 December</w:t>
            </w:r>
            <w:r w:rsidR="35A0E537" w:rsidRPr="0EF56BE9">
              <w:rPr>
                <w:sz w:val="24"/>
                <w:szCs w:val="24"/>
              </w:rPr>
              <w:t xml:space="preserve"> 2023</w:t>
            </w:r>
          </w:p>
          <w:p w14:paraId="49B8236A" w14:textId="0164A766" w:rsidR="0EF56BE9" w:rsidRDefault="0EF56BE9" w:rsidP="0EF56BE9">
            <w:pPr>
              <w:pStyle w:val="ListNumber"/>
              <w:numPr>
                <w:ilvl w:val="0"/>
                <w:numId w:val="0"/>
              </w:numPr>
              <w:spacing w:before="0" w:after="0" w:line="252" w:lineRule="auto"/>
              <w:rPr>
                <w:rFonts w:eastAsia="Arial" w:cs="Arial"/>
                <w:color w:val="000000" w:themeColor="text1"/>
                <w:szCs w:val="24"/>
                <w:lang w:val="en-US"/>
              </w:rPr>
            </w:pPr>
          </w:p>
        </w:tc>
      </w:tr>
      <w:tr w:rsidR="00400432" w:rsidRPr="00400432" w14:paraId="3E83975E" w14:textId="77777777" w:rsidTr="0EF56BE9">
        <w:tc>
          <w:tcPr>
            <w:tcW w:w="4928" w:type="dxa"/>
            <w:shd w:val="clear" w:color="auto" w:fill="FFFFFF" w:themeFill="background2"/>
          </w:tcPr>
          <w:p w14:paraId="19972227" w14:textId="77777777" w:rsidR="00400432" w:rsidRPr="00400432" w:rsidRDefault="00400432" w:rsidP="0EF56BE9">
            <w:pPr>
              <w:pStyle w:val="TblText"/>
              <w:rPr>
                <w:sz w:val="24"/>
                <w:szCs w:val="24"/>
              </w:rPr>
            </w:pPr>
            <w:r w:rsidRPr="0EF56BE9">
              <w:rPr>
                <w:sz w:val="24"/>
                <w:szCs w:val="24"/>
              </w:rPr>
              <w:t>Project Inception Meeting</w:t>
            </w:r>
          </w:p>
        </w:tc>
        <w:tc>
          <w:tcPr>
            <w:tcW w:w="3600" w:type="dxa"/>
            <w:shd w:val="clear" w:color="auto" w:fill="FFFFFF" w:themeFill="background2"/>
          </w:tcPr>
          <w:p w14:paraId="0D2664AF" w14:textId="2B4E3FB1" w:rsidR="00400432" w:rsidRPr="00400432" w:rsidRDefault="1ADC0B78" w:rsidP="0EF56BE9">
            <w:pPr>
              <w:pStyle w:val="TblText"/>
              <w:ind w:left="0"/>
              <w:rPr>
                <w:sz w:val="24"/>
                <w:szCs w:val="24"/>
              </w:rPr>
            </w:pPr>
            <w:r w:rsidRPr="0EF56BE9">
              <w:rPr>
                <w:sz w:val="24"/>
                <w:szCs w:val="24"/>
              </w:rPr>
              <w:t xml:space="preserve"> </w:t>
            </w:r>
            <w:r w:rsidR="2C3BE5C8" w:rsidRPr="0EF56BE9">
              <w:rPr>
                <w:sz w:val="24"/>
                <w:szCs w:val="24"/>
              </w:rPr>
              <w:t>04</w:t>
            </w:r>
            <w:r w:rsidR="00810496" w:rsidRPr="0EF56BE9">
              <w:rPr>
                <w:sz w:val="24"/>
                <w:szCs w:val="24"/>
              </w:rPr>
              <w:t xml:space="preserve"> December 2023</w:t>
            </w:r>
          </w:p>
          <w:p w14:paraId="5605FB39" w14:textId="69100A9B" w:rsidR="00400432" w:rsidRPr="00400432" w:rsidRDefault="00400432" w:rsidP="0EF56BE9">
            <w:pPr>
              <w:pStyle w:val="TblText"/>
              <w:ind w:left="0"/>
              <w:rPr>
                <w:sz w:val="24"/>
                <w:szCs w:val="24"/>
              </w:rPr>
            </w:pPr>
          </w:p>
        </w:tc>
      </w:tr>
    </w:tbl>
    <w:p w14:paraId="3DFADB3D" w14:textId="32345EA1" w:rsidR="00433557" w:rsidRDefault="00433557" w:rsidP="00BD4EBF">
      <w:pPr>
        <w:pStyle w:val="Heading3"/>
      </w:pPr>
      <w:bookmarkStart w:id="22" w:name="_Toc145075941"/>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6AF136EB"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w:t>
      </w:r>
      <w:r w:rsidR="7045F82F">
        <w:t>s</w:t>
      </w:r>
      <w:r>
        <w:t xml:space="preserve">upplier who initiated the query. </w:t>
      </w:r>
    </w:p>
    <w:p w14:paraId="43968C41" w14:textId="47D973A1" w:rsidR="00433557" w:rsidRDefault="00433557" w:rsidP="62E2BFDD">
      <w:pPr>
        <w:pStyle w:val="Heading4"/>
      </w:pPr>
      <w:r>
        <w:lastRenderedPageBreak/>
        <w:t>Submission Process</w:t>
      </w:r>
    </w:p>
    <w:p w14:paraId="13793C67" w14:textId="349DF888" w:rsidR="003D3606" w:rsidRDefault="3B8383C6" w:rsidP="00433557">
      <w:r>
        <w:t xml:space="preserve">Tenders must be uploaded to the ORR eTendering portal no later than the submission date and time shown above. Tenders uploaded after the closing date and time </w:t>
      </w:r>
      <w:r w:rsidR="007F2972">
        <w:t>shall</w:t>
      </w:r>
      <w:r>
        <w:t xml:space="preserve"> not be accepted. </w:t>
      </w:r>
    </w:p>
    <w:p w14:paraId="09F837C4" w14:textId="442C1A39" w:rsidR="003D3606" w:rsidRDefault="003D3606" w:rsidP="003D3606">
      <w:pPr>
        <w:rPr>
          <w:rFonts w:eastAsia="Arial" w:cs="Arial"/>
          <w:szCs w:val="24"/>
        </w:rPr>
      </w:pPr>
      <w:r>
        <w:t xml:space="preserve">The tender shall consist of three envelopes and bidders must submit the correct documents to the correct </w:t>
      </w:r>
      <w:r>
        <w:rPr>
          <w:rFonts w:eastAsia="Arial" w:cs="Arial"/>
          <w:szCs w:val="24"/>
        </w:rPr>
        <w:t>e</w:t>
      </w:r>
      <w:r w:rsidRPr="62E2BFDD">
        <w:rPr>
          <w:rFonts w:eastAsia="Arial" w:cs="Arial"/>
          <w:szCs w:val="24"/>
        </w:rPr>
        <w:t>nvelope as set out below</w:t>
      </w:r>
      <w:r>
        <w:rPr>
          <w:rFonts w:eastAsia="Arial" w:cs="Arial"/>
          <w:szCs w:val="24"/>
        </w:rPr>
        <w:t>:</w:t>
      </w:r>
    </w:p>
    <w:p w14:paraId="12800E22" w14:textId="4C2C240C" w:rsidR="003D3606" w:rsidRDefault="003D3606" w:rsidP="003D3606">
      <w:pPr>
        <w:pStyle w:val="ListParagraph"/>
        <w:numPr>
          <w:ilvl w:val="0"/>
          <w:numId w:val="3"/>
        </w:numPr>
        <w:spacing w:after="0"/>
        <w:rPr>
          <w:rStyle w:val="normaltextrun"/>
          <w:rFonts w:cs="Arial"/>
          <w:color w:val="000000" w:themeColor="text1"/>
        </w:rPr>
      </w:pPr>
      <w:r w:rsidRPr="00F04259">
        <w:rPr>
          <w:rFonts w:eastAsia="Arial" w:cs="Arial"/>
          <w:b/>
          <w:bCs/>
          <w:szCs w:val="24"/>
        </w:rPr>
        <w:t xml:space="preserve">Qualification Envelope: </w:t>
      </w:r>
      <w:r w:rsidRPr="62E2BFDD">
        <w:rPr>
          <w:rStyle w:val="normaltextrun"/>
          <w:rFonts w:cs="Arial"/>
          <w:color w:val="000000" w:themeColor="text1"/>
        </w:rPr>
        <w:t>Selection Questionnaire</w:t>
      </w:r>
      <w:r>
        <w:rPr>
          <w:rStyle w:val="normaltextrun"/>
          <w:rFonts w:cs="Arial"/>
          <w:color w:val="000000" w:themeColor="text1"/>
        </w:rPr>
        <w:t xml:space="preserve">, </w:t>
      </w:r>
      <w:r w:rsidRPr="62E2BFDD">
        <w:rPr>
          <w:rFonts w:eastAsiaTheme="minorEastAsia"/>
          <w:szCs w:val="24"/>
        </w:rPr>
        <w:t>Form of Tender</w:t>
      </w:r>
      <w:r>
        <w:rPr>
          <w:rFonts w:eastAsiaTheme="minorEastAsia"/>
          <w:szCs w:val="24"/>
        </w:rPr>
        <w:t xml:space="preserve"> </w:t>
      </w:r>
      <w:r w:rsidRPr="62E2BFDD">
        <w:rPr>
          <w:rFonts w:eastAsia="Arial" w:cs="Arial"/>
          <w:szCs w:val="24"/>
        </w:rPr>
        <w:t xml:space="preserve">and </w:t>
      </w:r>
      <w:r>
        <w:t>Disclaimer</w:t>
      </w:r>
    </w:p>
    <w:p w14:paraId="55AADD1B" w14:textId="10222E99" w:rsidR="003D3606" w:rsidRDefault="003D3606" w:rsidP="003D3606">
      <w:pPr>
        <w:pStyle w:val="ListParagraph"/>
        <w:numPr>
          <w:ilvl w:val="0"/>
          <w:numId w:val="3"/>
        </w:numPr>
        <w:spacing w:after="0"/>
        <w:rPr>
          <w:rFonts w:ascii="Roboto" w:eastAsia="Roboto" w:hAnsi="Roboto" w:cs="Roboto"/>
          <w:color w:val="000000" w:themeColor="text1"/>
          <w:sz w:val="19"/>
          <w:szCs w:val="19"/>
        </w:rPr>
      </w:pPr>
      <w:r w:rsidRPr="00F04259">
        <w:rPr>
          <w:rFonts w:eastAsia="Arial" w:cs="Arial"/>
          <w:b/>
          <w:bCs/>
          <w:szCs w:val="24"/>
        </w:rPr>
        <w:t>Technical Envelope:</w:t>
      </w:r>
      <w:r w:rsidRPr="62E2BFDD">
        <w:rPr>
          <w:rFonts w:eastAsia="Arial" w:cs="Arial"/>
          <w:szCs w:val="24"/>
        </w:rPr>
        <w:t xml:space="preserve"> </w:t>
      </w:r>
      <w:r>
        <w:rPr>
          <w:rFonts w:eastAsia="Arial" w:cs="Arial"/>
          <w:szCs w:val="24"/>
        </w:rPr>
        <w:t>Quality response (Methodology, Delivery, Experience)</w:t>
      </w:r>
      <w:r w:rsidRPr="62E2BFDD">
        <w:rPr>
          <w:rFonts w:eastAsia="Arial" w:cs="Arial"/>
          <w:szCs w:val="24"/>
        </w:rPr>
        <w:t xml:space="preserve"> </w:t>
      </w:r>
    </w:p>
    <w:p w14:paraId="16F13BD6" w14:textId="209C46C8" w:rsidR="003D3606" w:rsidRDefault="003D3606" w:rsidP="003D3606">
      <w:pPr>
        <w:pStyle w:val="ListParagraph"/>
        <w:numPr>
          <w:ilvl w:val="0"/>
          <w:numId w:val="3"/>
        </w:numPr>
        <w:spacing w:after="0"/>
        <w:rPr>
          <w:rFonts w:ascii="Roboto" w:eastAsia="Roboto" w:hAnsi="Roboto" w:cs="Roboto"/>
          <w:color w:val="000000" w:themeColor="text1"/>
          <w:sz w:val="19"/>
          <w:szCs w:val="19"/>
        </w:rPr>
      </w:pPr>
      <w:r w:rsidRPr="00F04259">
        <w:rPr>
          <w:rFonts w:eastAsiaTheme="minorEastAsia"/>
          <w:b/>
          <w:bCs/>
          <w:szCs w:val="24"/>
        </w:rPr>
        <w:t xml:space="preserve">Commercial </w:t>
      </w:r>
      <w:r w:rsidRPr="00F04259">
        <w:rPr>
          <w:rFonts w:eastAsia="Arial" w:cs="Arial"/>
          <w:b/>
          <w:bCs/>
          <w:szCs w:val="24"/>
        </w:rPr>
        <w:t>Envelope</w:t>
      </w:r>
      <w:r w:rsidRPr="00F04259">
        <w:rPr>
          <w:rFonts w:eastAsiaTheme="minorEastAsia"/>
          <w:b/>
          <w:bCs/>
          <w:szCs w:val="24"/>
        </w:rPr>
        <w:t>:</w:t>
      </w:r>
      <w:r w:rsidRPr="62E2BFDD">
        <w:rPr>
          <w:rFonts w:eastAsiaTheme="minorEastAsia"/>
          <w:szCs w:val="24"/>
        </w:rPr>
        <w:t xml:space="preserve"> Price </w:t>
      </w:r>
    </w:p>
    <w:p w14:paraId="3398DA37" w14:textId="77777777" w:rsidR="003D3606" w:rsidRDefault="003D3606" w:rsidP="00433557"/>
    <w:p w14:paraId="1FAC6CE3" w14:textId="1E80B0AB" w:rsidR="00433557" w:rsidRDefault="2395257A" w:rsidP="62E2BFDD">
      <w:pPr>
        <w:spacing w:line="257" w:lineRule="auto"/>
        <w:rPr>
          <w:rFonts w:eastAsia="Calibri" w:cs="Arial"/>
          <w:szCs w:val="24"/>
        </w:rPr>
      </w:pPr>
      <w:r w:rsidRPr="62E2BFDD">
        <w:rPr>
          <w:rFonts w:eastAsiaTheme="minorEastAsia"/>
          <w:szCs w:val="24"/>
        </w:rPr>
        <w:t xml:space="preserve">Bidders may bid for one, multiple or all </w:t>
      </w:r>
      <w:r w:rsidR="003D3606">
        <w:rPr>
          <w:rFonts w:eastAsiaTheme="minorEastAsia"/>
          <w:szCs w:val="24"/>
        </w:rPr>
        <w:t>LOTS</w:t>
      </w:r>
      <w:r w:rsidRPr="62E2BFDD">
        <w:rPr>
          <w:rFonts w:eastAsiaTheme="minorEastAsia"/>
          <w:szCs w:val="24"/>
        </w:rPr>
        <w:t xml:space="preserve">. </w:t>
      </w:r>
      <w:r w:rsidR="00315C75">
        <w:rPr>
          <w:rFonts w:eastAsiaTheme="minorEastAsia"/>
          <w:szCs w:val="24"/>
        </w:rPr>
        <w:t>With the exception of the Selection Questionnaire, b</w:t>
      </w:r>
      <w:r w:rsidR="3FBFF33B" w:rsidRPr="62E2BFDD">
        <w:rPr>
          <w:rFonts w:eastAsiaTheme="minorEastAsia"/>
          <w:szCs w:val="24"/>
        </w:rPr>
        <w:t>i</w:t>
      </w:r>
      <w:r w:rsidRPr="62E2BFDD">
        <w:rPr>
          <w:rFonts w:eastAsiaTheme="minorEastAsia"/>
          <w:szCs w:val="24"/>
        </w:rPr>
        <w:t>dder</w:t>
      </w:r>
      <w:r w:rsidR="46144E6E" w:rsidRPr="62E2BFDD">
        <w:rPr>
          <w:rFonts w:eastAsiaTheme="minorEastAsia"/>
          <w:szCs w:val="24"/>
        </w:rPr>
        <w:t>s</w:t>
      </w:r>
      <w:r w:rsidRPr="62E2BFDD">
        <w:rPr>
          <w:rFonts w:eastAsiaTheme="minorEastAsia"/>
          <w:szCs w:val="24"/>
        </w:rPr>
        <w:t xml:space="preserve"> must submit one single, comprehensive submission for each </w:t>
      </w:r>
      <w:r w:rsidR="003D3606">
        <w:rPr>
          <w:rFonts w:eastAsiaTheme="minorEastAsia"/>
          <w:szCs w:val="24"/>
        </w:rPr>
        <w:t>LOT</w:t>
      </w:r>
      <w:r w:rsidRPr="62E2BFDD">
        <w:rPr>
          <w:rFonts w:eastAsiaTheme="minorEastAsia"/>
          <w:szCs w:val="24"/>
        </w:rPr>
        <w:t xml:space="preserve"> they </w:t>
      </w:r>
      <w:r w:rsidR="00F04259">
        <w:rPr>
          <w:rFonts w:eastAsiaTheme="minorEastAsia"/>
          <w:szCs w:val="24"/>
        </w:rPr>
        <w:t>are bidding against</w:t>
      </w:r>
      <w:r w:rsidRPr="62E2BFDD">
        <w:rPr>
          <w:rFonts w:eastAsiaTheme="minorEastAsia"/>
          <w:szCs w:val="24"/>
        </w:rPr>
        <w:t xml:space="preserve">. </w:t>
      </w:r>
      <w:r w:rsidR="00315C75">
        <w:rPr>
          <w:rFonts w:eastAsiaTheme="minorEastAsia"/>
          <w:szCs w:val="24"/>
        </w:rPr>
        <w:t xml:space="preserve">For the Selection Questionnaire a single copy may be supplied in any </w:t>
      </w:r>
      <w:r w:rsidR="00F04259">
        <w:rPr>
          <w:rFonts w:eastAsiaTheme="minorEastAsia"/>
          <w:szCs w:val="24"/>
        </w:rPr>
        <w:t xml:space="preserve">single </w:t>
      </w:r>
      <w:r w:rsidR="00315C75">
        <w:rPr>
          <w:rFonts w:eastAsiaTheme="minorEastAsia"/>
          <w:szCs w:val="24"/>
        </w:rPr>
        <w:t>LOT they are bidding for</w:t>
      </w:r>
      <w:r w:rsidR="00F04259">
        <w:rPr>
          <w:rFonts w:eastAsiaTheme="minorEastAsia"/>
          <w:szCs w:val="24"/>
        </w:rPr>
        <w:t xml:space="preserve"> and does not need to be duplicated across other LOTS they are bidding against</w:t>
      </w:r>
      <w:r w:rsidR="00315C75">
        <w:rPr>
          <w:rFonts w:eastAsiaTheme="minorEastAsia"/>
          <w:szCs w:val="24"/>
        </w:rPr>
        <w:t xml:space="preserve">. To further </w:t>
      </w:r>
      <w:r w:rsidR="007F2972">
        <w:rPr>
          <w:rFonts w:eastAsiaTheme="minorEastAsia"/>
          <w:szCs w:val="24"/>
        </w:rPr>
        <w:t xml:space="preserve">limit the administrative burden, bidders may copy relevant information that applies to more than one </w:t>
      </w:r>
      <w:r w:rsidR="003D3606">
        <w:rPr>
          <w:rFonts w:eastAsiaTheme="minorEastAsia"/>
          <w:szCs w:val="24"/>
        </w:rPr>
        <w:t>LOT</w:t>
      </w:r>
      <w:r w:rsidR="007F2972">
        <w:rPr>
          <w:rFonts w:eastAsiaTheme="minorEastAsia"/>
          <w:szCs w:val="24"/>
        </w:rPr>
        <w:t xml:space="preserve"> </w:t>
      </w:r>
      <w:r w:rsidRPr="62E2BFDD">
        <w:rPr>
          <w:rFonts w:eastAsiaTheme="minorEastAsia"/>
          <w:szCs w:val="24"/>
        </w:rPr>
        <w:t>(e.g. project plan, skills, experience etc</w:t>
      </w:r>
      <w:r w:rsidR="003D3606">
        <w:rPr>
          <w:rFonts w:eastAsiaTheme="minorEastAsia"/>
          <w:szCs w:val="24"/>
        </w:rPr>
        <w:t xml:space="preserve">). </w:t>
      </w:r>
      <w:r w:rsidR="45660FDA" w:rsidRPr="62E2BFDD">
        <w:rPr>
          <w:rFonts w:eastAsiaTheme="minorEastAsia"/>
          <w:szCs w:val="24"/>
        </w:rPr>
        <w:t xml:space="preserve">ORR would welcome bids from consortia of consultants across multiple </w:t>
      </w:r>
      <w:r w:rsidR="003D3606">
        <w:rPr>
          <w:rFonts w:eastAsiaTheme="minorEastAsia"/>
          <w:szCs w:val="24"/>
        </w:rPr>
        <w:t>LOTS</w:t>
      </w:r>
      <w:r w:rsidR="45660FDA" w:rsidRPr="62E2BFDD">
        <w:rPr>
          <w:rFonts w:eastAsiaTheme="minorEastAsia"/>
          <w:szCs w:val="24"/>
        </w:rPr>
        <w:t xml:space="preserve">.   </w:t>
      </w:r>
    </w:p>
    <w:p w14:paraId="54D162B4" w14:textId="131D0794" w:rsidR="00433557" w:rsidRDefault="00433557" w:rsidP="62E2BFDD">
      <w:pPr>
        <w:spacing w:after="0"/>
        <w:rPr>
          <w:rFonts w:eastAsia="Calibri" w:cs="Arial"/>
          <w:color w:val="000000" w:themeColor="text1"/>
          <w:szCs w:val="24"/>
        </w:rPr>
      </w:pPr>
    </w:p>
    <w:p w14:paraId="78A92967" w14:textId="1F257A63" w:rsidR="00433557" w:rsidRDefault="00433557" w:rsidP="00433557">
      <w:r>
        <w:t>By issuing this Invitation to Tender ORR does not undertake to accept the lowest tender, or part or all of any tender. No part of the tender submitted will be returned to the supplier</w:t>
      </w:r>
      <w:r w:rsidR="135BFE0C">
        <w:t>.</w:t>
      </w:r>
      <w:r>
        <w:t xml:space="preserve">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6"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B352DAB" w14:textId="4F1FCE6B" w:rsidR="00D2517B" w:rsidRDefault="00D2517B" w:rsidP="00D2517B">
      <w:pPr>
        <w:rPr>
          <w:b/>
        </w:rPr>
      </w:pPr>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lastRenderedPageBreak/>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777D99">
          <w:headerReference w:type="even" r:id="rId27"/>
          <w:headerReference w:type="default" r:id="rId28"/>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A065847">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30"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31"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32" w:history="1">
        <w:r w:rsidR="008F0B87" w:rsidRPr="00C9621C">
          <w:rPr>
            <w:rStyle w:val="Hyperlink"/>
          </w:rPr>
          <w:t>procurementteam@orr.gov.uk</w:t>
        </w:r>
      </w:hyperlink>
      <w:r w:rsidR="008F0B87">
        <w:t xml:space="preserve"> </w:t>
      </w:r>
    </w:p>
    <w:sectPr w:rsidR="00D25F7E" w:rsidRPr="00D25F7E" w:rsidSect="00D25F7E">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0BE5" w14:textId="77777777" w:rsidR="00FC6860" w:rsidRDefault="00FC6860" w:rsidP="00555585">
      <w:pPr>
        <w:spacing w:after="0" w:line="240" w:lineRule="auto"/>
      </w:pPr>
      <w:r>
        <w:separator/>
      </w:r>
    </w:p>
  </w:endnote>
  <w:endnote w:type="continuationSeparator" w:id="0">
    <w:p w14:paraId="56B52A88" w14:textId="77777777" w:rsidR="00FC6860" w:rsidRDefault="00FC6860" w:rsidP="00555585">
      <w:pPr>
        <w:spacing w:after="0" w:line="240" w:lineRule="auto"/>
      </w:pPr>
      <w:r>
        <w:continuationSeparator/>
      </w:r>
    </w:p>
  </w:endnote>
  <w:endnote w:type="continuationNotice" w:id="1">
    <w:p w14:paraId="0E503564" w14:textId="77777777" w:rsidR="00AB17E3" w:rsidRDefault="00AB1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777D9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777D9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777D99">
    <w:pPr>
      <w:pStyle w:val="Footer"/>
    </w:pPr>
  </w:p>
  <w:p w14:paraId="30922858" w14:textId="77777777" w:rsidR="00D25F7E" w:rsidRDefault="00D25F7E" w:rsidP="00777D99">
    <w:pPr>
      <w:pStyle w:val="Footer"/>
    </w:pPr>
  </w:p>
  <w:p w14:paraId="722278C7" w14:textId="77777777" w:rsidR="00D25F7E" w:rsidRDefault="00D25F7E" w:rsidP="00777D99">
    <w:pPr>
      <w:pStyle w:val="Footer"/>
    </w:pPr>
  </w:p>
  <w:p w14:paraId="2F806F11" w14:textId="77777777" w:rsidR="00D25F7E" w:rsidRDefault="00D25F7E" w:rsidP="00777D99">
    <w:pPr>
      <w:pStyle w:val="Footer"/>
    </w:pPr>
  </w:p>
  <w:p w14:paraId="6D31B3EB" w14:textId="77777777" w:rsidR="00D25F7E" w:rsidRDefault="00D25F7E" w:rsidP="00777D99">
    <w:pPr>
      <w:pStyle w:val="Footer"/>
    </w:pPr>
  </w:p>
  <w:p w14:paraId="26D028EC" w14:textId="77777777" w:rsidR="00D25F7E" w:rsidRPr="004A743E" w:rsidRDefault="00D25F7E" w:rsidP="00777D9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777D9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777D9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777D99">
    <w:pPr>
      <w:pStyle w:val="Footer"/>
    </w:pPr>
  </w:p>
  <w:p w14:paraId="71EA0EA7" w14:textId="77777777" w:rsidR="00FC6860" w:rsidRDefault="00FC6860" w:rsidP="00777D99">
    <w:pPr>
      <w:pStyle w:val="Footer"/>
    </w:pPr>
  </w:p>
  <w:p w14:paraId="3B410CFC" w14:textId="77777777" w:rsidR="00FC6860" w:rsidRDefault="00FC6860" w:rsidP="00777D99">
    <w:pPr>
      <w:pStyle w:val="Footer"/>
    </w:pPr>
  </w:p>
  <w:p w14:paraId="499C042D" w14:textId="77777777" w:rsidR="00FC6860" w:rsidRDefault="00FC6860" w:rsidP="00777D99">
    <w:pPr>
      <w:pStyle w:val="Footer"/>
    </w:pPr>
  </w:p>
  <w:p w14:paraId="01590A05" w14:textId="77777777" w:rsidR="00FC6860" w:rsidRDefault="00FC6860" w:rsidP="00777D99">
    <w:pPr>
      <w:pStyle w:val="Footer"/>
    </w:pPr>
  </w:p>
  <w:p w14:paraId="4FE202DC" w14:textId="77777777" w:rsidR="00FC6860" w:rsidRDefault="00FC6860" w:rsidP="00777D99">
    <w:pPr>
      <w:pStyle w:val="Footer"/>
    </w:pPr>
  </w:p>
  <w:p w14:paraId="2C948FBC" w14:textId="77777777" w:rsidR="00FC6860" w:rsidRDefault="00FC6860" w:rsidP="00777D99">
    <w:pPr>
      <w:pStyle w:val="Footer"/>
    </w:pPr>
  </w:p>
  <w:p w14:paraId="5A5AEE1F" w14:textId="77777777" w:rsidR="00FC6860" w:rsidRPr="00904857" w:rsidRDefault="00FC6860" w:rsidP="00777D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9460" w14:textId="77777777" w:rsidR="00FC6860" w:rsidRDefault="00FC6860" w:rsidP="00555585">
      <w:pPr>
        <w:spacing w:after="0" w:line="240" w:lineRule="auto"/>
      </w:pPr>
      <w:r>
        <w:separator/>
      </w:r>
    </w:p>
  </w:footnote>
  <w:footnote w:type="continuationSeparator" w:id="0">
    <w:p w14:paraId="6F3F6FED" w14:textId="77777777" w:rsidR="00FC6860" w:rsidRDefault="00FC6860" w:rsidP="00555585">
      <w:pPr>
        <w:spacing w:after="0" w:line="240" w:lineRule="auto"/>
      </w:pPr>
      <w:r>
        <w:continuationSeparator/>
      </w:r>
    </w:p>
  </w:footnote>
  <w:footnote w:type="continuationNotice" w:id="1">
    <w:p w14:paraId="294EAD8E" w14:textId="77777777" w:rsidR="00AB17E3" w:rsidRDefault="00AB17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777D99">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777D9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777D9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777D9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3" w:name="bmkBackPage"/>
    <w:bookmarkEnd w:id="23"/>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CE"/>
    <w:multiLevelType w:val="hybridMultilevel"/>
    <w:tmpl w:val="12745F78"/>
    <w:lvl w:ilvl="0" w:tplc="08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62E25"/>
    <w:multiLevelType w:val="multilevel"/>
    <w:tmpl w:val="D79C245A"/>
    <w:numStyleLink w:val="ORRNormalList"/>
  </w:abstractNum>
  <w:abstractNum w:abstractNumId="3" w15:restartNumberingAfterBreak="0">
    <w:nsid w:val="0CD4621B"/>
    <w:multiLevelType w:val="multilevel"/>
    <w:tmpl w:val="0B3EB1C4"/>
    <w:numStyleLink w:val="ORRBoxed"/>
  </w:abstractNum>
  <w:abstractNum w:abstractNumId="4" w15:restartNumberingAfterBreak="0">
    <w:nsid w:val="0E2976AF"/>
    <w:multiLevelType w:val="hybridMultilevel"/>
    <w:tmpl w:val="FFFFFFFF"/>
    <w:lvl w:ilvl="0" w:tplc="E4D8B1D8">
      <w:start w:val="1"/>
      <w:numFmt w:val="bullet"/>
      <w:lvlText w:val=""/>
      <w:lvlJc w:val="left"/>
      <w:pPr>
        <w:ind w:left="720" w:hanging="360"/>
      </w:pPr>
      <w:rPr>
        <w:rFonts w:ascii="Symbol" w:hAnsi="Symbol" w:hint="default"/>
      </w:rPr>
    </w:lvl>
    <w:lvl w:ilvl="1" w:tplc="47B20A42">
      <w:start w:val="1"/>
      <w:numFmt w:val="bullet"/>
      <w:lvlText w:val="o"/>
      <w:lvlJc w:val="left"/>
      <w:pPr>
        <w:ind w:left="1440" w:hanging="360"/>
      </w:pPr>
      <w:rPr>
        <w:rFonts w:ascii="Courier New" w:hAnsi="Courier New" w:hint="default"/>
      </w:rPr>
    </w:lvl>
    <w:lvl w:ilvl="2" w:tplc="FB1611E6">
      <w:start w:val="1"/>
      <w:numFmt w:val="bullet"/>
      <w:lvlText w:val=""/>
      <w:lvlJc w:val="left"/>
      <w:pPr>
        <w:ind w:left="2160" w:hanging="360"/>
      </w:pPr>
      <w:rPr>
        <w:rFonts w:ascii="Wingdings" w:hAnsi="Wingdings" w:hint="default"/>
      </w:rPr>
    </w:lvl>
    <w:lvl w:ilvl="3" w:tplc="038A358C">
      <w:start w:val="1"/>
      <w:numFmt w:val="bullet"/>
      <w:lvlText w:val=""/>
      <w:lvlJc w:val="left"/>
      <w:pPr>
        <w:ind w:left="2880" w:hanging="360"/>
      </w:pPr>
      <w:rPr>
        <w:rFonts w:ascii="Symbol" w:hAnsi="Symbol" w:hint="default"/>
      </w:rPr>
    </w:lvl>
    <w:lvl w:ilvl="4" w:tplc="CB8674B8">
      <w:start w:val="1"/>
      <w:numFmt w:val="bullet"/>
      <w:lvlText w:val="o"/>
      <w:lvlJc w:val="left"/>
      <w:pPr>
        <w:ind w:left="3600" w:hanging="360"/>
      </w:pPr>
      <w:rPr>
        <w:rFonts w:ascii="Courier New" w:hAnsi="Courier New" w:hint="default"/>
      </w:rPr>
    </w:lvl>
    <w:lvl w:ilvl="5" w:tplc="4BD23E4C">
      <w:start w:val="1"/>
      <w:numFmt w:val="bullet"/>
      <w:lvlText w:val=""/>
      <w:lvlJc w:val="left"/>
      <w:pPr>
        <w:ind w:left="4320" w:hanging="360"/>
      </w:pPr>
      <w:rPr>
        <w:rFonts w:ascii="Wingdings" w:hAnsi="Wingdings" w:hint="default"/>
      </w:rPr>
    </w:lvl>
    <w:lvl w:ilvl="6" w:tplc="671AEE0E">
      <w:start w:val="1"/>
      <w:numFmt w:val="bullet"/>
      <w:lvlText w:val=""/>
      <w:lvlJc w:val="left"/>
      <w:pPr>
        <w:ind w:left="5040" w:hanging="360"/>
      </w:pPr>
      <w:rPr>
        <w:rFonts w:ascii="Symbol" w:hAnsi="Symbol" w:hint="default"/>
      </w:rPr>
    </w:lvl>
    <w:lvl w:ilvl="7" w:tplc="39585782">
      <w:start w:val="1"/>
      <w:numFmt w:val="bullet"/>
      <w:lvlText w:val="o"/>
      <w:lvlJc w:val="left"/>
      <w:pPr>
        <w:ind w:left="5760" w:hanging="360"/>
      </w:pPr>
      <w:rPr>
        <w:rFonts w:ascii="Courier New" w:hAnsi="Courier New" w:hint="default"/>
      </w:rPr>
    </w:lvl>
    <w:lvl w:ilvl="8" w:tplc="AE8E0856">
      <w:start w:val="1"/>
      <w:numFmt w:val="bullet"/>
      <w:lvlText w:val=""/>
      <w:lvlJc w:val="left"/>
      <w:pPr>
        <w:ind w:left="6480" w:hanging="360"/>
      </w:pPr>
      <w:rPr>
        <w:rFonts w:ascii="Wingdings" w:hAnsi="Wingdings" w:hint="default"/>
      </w:rPr>
    </w:lvl>
  </w:abstractNum>
  <w:abstractNum w:abstractNumId="5" w15:restartNumberingAfterBreak="0">
    <w:nsid w:val="112F7196"/>
    <w:multiLevelType w:val="multilevel"/>
    <w:tmpl w:val="7A16FF7A"/>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lvl>
    <w:lvl w:ilvl="2">
      <w:start w:val="1"/>
      <w:numFmt w:val="bullet"/>
      <w:pStyle w:val="Bulletalpha"/>
      <w:lvlText w:val=""/>
      <w:lvlJc w:val="left"/>
      <w:pPr>
        <w:ind w:left="1211" w:hanging="360"/>
      </w:pPr>
      <w:rPr>
        <w:rFonts w:ascii="Symbol" w:hAnsi="Symbol" w:hint="default"/>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6" w15:restartNumberingAfterBreak="0">
    <w:nsid w:val="118439F5"/>
    <w:multiLevelType w:val="multilevel"/>
    <w:tmpl w:val="0B3EB1C4"/>
    <w:numStyleLink w:val="ORRBoxed"/>
  </w:abstractNum>
  <w:abstractNum w:abstractNumId="7" w15:restartNumberingAfterBreak="0">
    <w:nsid w:val="138756B1"/>
    <w:multiLevelType w:val="multilevel"/>
    <w:tmpl w:val="D79C245A"/>
    <w:numStyleLink w:val="ORRNormalList"/>
  </w:abstractNum>
  <w:abstractNum w:abstractNumId="8"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28C3A5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296852"/>
    <w:multiLevelType w:val="multilevel"/>
    <w:tmpl w:val="D79C245A"/>
    <w:numStyleLink w:val="ORRNormalList"/>
  </w:abstractNum>
  <w:abstractNum w:abstractNumId="13" w15:restartNumberingAfterBreak="0">
    <w:nsid w:val="31CF1D6A"/>
    <w:multiLevelType w:val="hybridMultilevel"/>
    <w:tmpl w:val="34D2EE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9A76BCC"/>
    <w:multiLevelType w:val="multilevel"/>
    <w:tmpl w:val="D79C245A"/>
    <w:numStyleLink w:val="ORRNormalList"/>
  </w:abstractNum>
  <w:abstractNum w:abstractNumId="15"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899DD00"/>
    <w:multiLevelType w:val="hybridMultilevel"/>
    <w:tmpl w:val="FFFFFFFF"/>
    <w:lvl w:ilvl="0" w:tplc="50F64FD2">
      <w:start w:val="1"/>
      <w:numFmt w:val="decimal"/>
      <w:lvlText w:val="%1."/>
      <w:lvlJc w:val="left"/>
      <w:pPr>
        <w:ind w:left="720" w:hanging="360"/>
      </w:pPr>
    </w:lvl>
    <w:lvl w:ilvl="1" w:tplc="A82E633E">
      <w:start w:val="1"/>
      <w:numFmt w:val="lowerLetter"/>
      <w:lvlText w:val="%2."/>
      <w:lvlJc w:val="left"/>
      <w:pPr>
        <w:ind w:left="1440" w:hanging="360"/>
      </w:pPr>
    </w:lvl>
    <w:lvl w:ilvl="2" w:tplc="CC92A4C4">
      <w:start w:val="1"/>
      <w:numFmt w:val="lowerRoman"/>
      <w:lvlText w:val="%3."/>
      <w:lvlJc w:val="right"/>
      <w:pPr>
        <w:ind w:left="2160" w:hanging="180"/>
      </w:pPr>
    </w:lvl>
    <w:lvl w:ilvl="3" w:tplc="843090A8">
      <w:start w:val="1"/>
      <w:numFmt w:val="decimal"/>
      <w:lvlText w:val="%4."/>
      <w:lvlJc w:val="left"/>
      <w:pPr>
        <w:ind w:left="2880" w:hanging="360"/>
      </w:pPr>
    </w:lvl>
    <w:lvl w:ilvl="4" w:tplc="293AFF1C">
      <w:start w:val="1"/>
      <w:numFmt w:val="lowerLetter"/>
      <w:lvlText w:val="%5."/>
      <w:lvlJc w:val="left"/>
      <w:pPr>
        <w:ind w:left="3600" w:hanging="360"/>
      </w:pPr>
    </w:lvl>
    <w:lvl w:ilvl="5" w:tplc="8D706D20">
      <w:start w:val="1"/>
      <w:numFmt w:val="decimal"/>
      <w:lvlText w:val="%6."/>
      <w:lvlJc w:val="left"/>
      <w:pPr>
        <w:ind w:left="4320" w:hanging="180"/>
      </w:pPr>
    </w:lvl>
    <w:lvl w:ilvl="6" w:tplc="D2C6775C">
      <w:start w:val="1"/>
      <w:numFmt w:val="decimal"/>
      <w:lvlText w:val="%7."/>
      <w:lvlJc w:val="left"/>
      <w:pPr>
        <w:ind w:left="5040" w:hanging="360"/>
      </w:pPr>
    </w:lvl>
    <w:lvl w:ilvl="7" w:tplc="9AA2C77A">
      <w:start w:val="1"/>
      <w:numFmt w:val="lowerLetter"/>
      <w:lvlText w:val="%8."/>
      <w:lvlJc w:val="left"/>
      <w:pPr>
        <w:ind w:left="5760" w:hanging="360"/>
      </w:pPr>
    </w:lvl>
    <w:lvl w:ilvl="8" w:tplc="06F4193C">
      <w:start w:val="1"/>
      <w:numFmt w:val="lowerRoman"/>
      <w:lvlText w:val="%9."/>
      <w:lvlJc w:val="right"/>
      <w:pPr>
        <w:ind w:left="6480" w:hanging="180"/>
      </w:p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1" w15:restartNumberingAfterBreak="0">
    <w:nsid w:val="63D95C1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BD5682"/>
    <w:multiLevelType w:val="multilevel"/>
    <w:tmpl w:val="EAD453D0"/>
    <w:numStyleLink w:val="NumbListHighlight"/>
  </w:abstractNum>
  <w:abstractNum w:abstractNumId="23"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15:restartNumberingAfterBreak="0">
    <w:nsid w:val="774C62AB"/>
    <w:multiLevelType w:val="multilevel"/>
    <w:tmpl w:val="6B204466"/>
    <w:numStyleLink w:val="ORRAnnex"/>
  </w:abstractNum>
  <w:abstractNum w:abstractNumId="26" w15:restartNumberingAfterBreak="0">
    <w:nsid w:val="7DDA5CB4"/>
    <w:multiLevelType w:val="multilevel"/>
    <w:tmpl w:val="6B204466"/>
    <w:numStyleLink w:val="ORRAnnex"/>
  </w:abstractNum>
  <w:num w:numId="1" w16cid:durableId="729772533">
    <w:abstractNumId w:val="21"/>
  </w:num>
  <w:num w:numId="2" w16cid:durableId="1467894013">
    <w:abstractNumId w:val="11"/>
  </w:num>
  <w:num w:numId="3" w16cid:durableId="513692670">
    <w:abstractNumId w:val="4"/>
  </w:num>
  <w:num w:numId="4" w16cid:durableId="126626710">
    <w:abstractNumId w:val="17"/>
  </w:num>
  <w:num w:numId="5" w16cid:durableId="1233007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43250">
    <w:abstractNumId w:val="24"/>
  </w:num>
  <w:num w:numId="7" w16cid:durableId="615990203">
    <w:abstractNumId w:val="8"/>
  </w:num>
  <w:num w:numId="8" w16cid:durableId="1539008159">
    <w:abstractNumId w:val="19"/>
  </w:num>
  <w:num w:numId="9" w16cid:durableId="1334801291">
    <w:abstractNumId w:val="9"/>
  </w:num>
  <w:num w:numId="10" w16cid:durableId="116142554">
    <w:abstractNumId w:val="14"/>
  </w:num>
  <w:num w:numId="11" w16cid:durableId="1708795862">
    <w:abstractNumId w:val="10"/>
  </w:num>
  <w:num w:numId="12" w16cid:durableId="1432780497">
    <w:abstractNumId w:val="6"/>
  </w:num>
  <w:num w:numId="13" w16cid:durableId="35012236">
    <w:abstractNumId w:val="5"/>
  </w:num>
  <w:num w:numId="14" w16cid:durableId="711077664">
    <w:abstractNumId w:val="1"/>
  </w:num>
  <w:num w:numId="15" w16cid:durableId="1604993918">
    <w:abstractNumId w:val="22"/>
  </w:num>
  <w:num w:numId="16" w16cid:durableId="435447028">
    <w:abstractNumId w:val="20"/>
  </w:num>
  <w:num w:numId="17" w16cid:durableId="2048019962">
    <w:abstractNumId w:val="25"/>
  </w:num>
  <w:num w:numId="18" w16cid:durableId="2025738407">
    <w:abstractNumId w:val="22"/>
  </w:num>
  <w:num w:numId="19" w16cid:durableId="150879135">
    <w:abstractNumId w:val="22"/>
  </w:num>
  <w:num w:numId="20" w16cid:durableId="891042484">
    <w:abstractNumId w:val="22"/>
  </w:num>
  <w:num w:numId="21" w16cid:durableId="727414043">
    <w:abstractNumId w:val="20"/>
  </w:num>
  <w:num w:numId="22" w16cid:durableId="1027833524">
    <w:abstractNumId w:val="2"/>
  </w:num>
  <w:num w:numId="23" w16cid:durableId="50661355">
    <w:abstractNumId w:val="7"/>
  </w:num>
  <w:num w:numId="24" w16cid:durableId="1446195555">
    <w:abstractNumId w:val="5"/>
  </w:num>
  <w:num w:numId="25" w16cid:durableId="558327301">
    <w:abstractNumId w:val="26"/>
  </w:num>
  <w:num w:numId="26" w16cid:durableId="463500638">
    <w:abstractNumId w:val="16"/>
  </w:num>
  <w:num w:numId="27" w16cid:durableId="1527019102">
    <w:abstractNumId w:val="3"/>
  </w:num>
  <w:num w:numId="28" w16cid:durableId="1992102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861438">
    <w:abstractNumId w:val="12"/>
  </w:num>
  <w:num w:numId="30" w16cid:durableId="1830293373">
    <w:abstractNumId w:val="23"/>
  </w:num>
  <w:num w:numId="31" w16cid:durableId="42141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526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352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812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356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68570">
    <w:abstractNumId w:val="18"/>
  </w:num>
  <w:num w:numId="37" w16cid:durableId="2078430535">
    <w:abstractNumId w:val="5"/>
  </w:num>
  <w:num w:numId="38" w16cid:durableId="155414866">
    <w:abstractNumId w:val="5"/>
  </w:num>
  <w:num w:numId="39" w16cid:durableId="1906835474">
    <w:abstractNumId w:val="7"/>
  </w:num>
  <w:num w:numId="40" w16cid:durableId="200286026">
    <w:abstractNumId w:val="0"/>
    <w:lvlOverride w:ilvl="0">
      <w:startOverride w:val="1"/>
    </w:lvlOverride>
    <w:lvlOverride w:ilvl="1"/>
    <w:lvlOverride w:ilvl="2"/>
    <w:lvlOverride w:ilvl="3"/>
    <w:lvlOverride w:ilvl="4"/>
    <w:lvlOverride w:ilvl="5"/>
    <w:lvlOverride w:ilvl="6"/>
    <w:lvlOverride w:ilvl="7"/>
    <w:lvlOverride w:ilvl="8"/>
  </w:num>
  <w:num w:numId="41" w16cid:durableId="1936864314">
    <w:abstractNumId w:val="13"/>
  </w:num>
  <w:num w:numId="42" w16cid:durableId="1891725668">
    <w:abstractNumId w:val="13"/>
  </w:num>
  <w:num w:numId="43" w16cid:durableId="1551577177">
    <w:abstractNumId w:val="0"/>
  </w:num>
  <w:num w:numId="44" w16cid:durableId="198365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55610989">
    <w:abstractNumId w:val="7"/>
  </w:num>
  <w:num w:numId="46" w16cid:durableId="1762213984">
    <w:abstractNumId w:val="5"/>
  </w:num>
  <w:num w:numId="47" w16cid:durableId="1788813026">
    <w:abstractNumId w:val="5"/>
  </w:num>
  <w:num w:numId="48" w16cid:durableId="729960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5572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0362E"/>
    <w:rsid w:val="000070A6"/>
    <w:rsid w:val="000108BF"/>
    <w:rsid w:val="0002210B"/>
    <w:rsid w:val="000245DD"/>
    <w:rsid w:val="0003078C"/>
    <w:rsid w:val="0003350C"/>
    <w:rsid w:val="00036DEB"/>
    <w:rsid w:val="00037BD2"/>
    <w:rsid w:val="00040FE9"/>
    <w:rsid w:val="00041064"/>
    <w:rsid w:val="00042B65"/>
    <w:rsid w:val="00043DA2"/>
    <w:rsid w:val="0004428A"/>
    <w:rsid w:val="00050D61"/>
    <w:rsid w:val="000516CE"/>
    <w:rsid w:val="0005181F"/>
    <w:rsid w:val="00066737"/>
    <w:rsid w:val="00067DC9"/>
    <w:rsid w:val="000735F1"/>
    <w:rsid w:val="00076B67"/>
    <w:rsid w:val="000833AF"/>
    <w:rsid w:val="00084783"/>
    <w:rsid w:val="00084972"/>
    <w:rsid w:val="0008514C"/>
    <w:rsid w:val="00087446"/>
    <w:rsid w:val="000876CB"/>
    <w:rsid w:val="00087F9B"/>
    <w:rsid w:val="00091229"/>
    <w:rsid w:val="0009126F"/>
    <w:rsid w:val="0009179D"/>
    <w:rsid w:val="0009198B"/>
    <w:rsid w:val="0009203F"/>
    <w:rsid w:val="000945F1"/>
    <w:rsid w:val="000A0438"/>
    <w:rsid w:val="000A6DE7"/>
    <w:rsid w:val="000B0266"/>
    <w:rsid w:val="000B2019"/>
    <w:rsid w:val="000B309A"/>
    <w:rsid w:val="000B41B6"/>
    <w:rsid w:val="000B6176"/>
    <w:rsid w:val="000C7B66"/>
    <w:rsid w:val="000D2970"/>
    <w:rsid w:val="000D50FB"/>
    <w:rsid w:val="000E135E"/>
    <w:rsid w:val="000E1DED"/>
    <w:rsid w:val="000E3153"/>
    <w:rsid w:val="000E5AB1"/>
    <w:rsid w:val="000E5E49"/>
    <w:rsid w:val="000E650F"/>
    <w:rsid w:val="000F4554"/>
    <w:rsid w:val="000F5529"/>
    <w:rsid w:val="000F70BB"/>
    <w:rsid w:val="000F7BB6"/>
    <w:rsid w:val="001012B6"/>
    <w:rsid w:val="00102F62"/>
    <w:rsid w:val="00105DC3"/>
    <w:rsid w:val="00110AC7"/>
    <w:rsid w:val="0011170F"/>
    <w:rsid w:val="00120892"/>
    <w:rsid w:val="0012193D"/>
    <w:rsid w:val="00124D1D"/>
    <w:rsid w:val="00127F60"/>
    <w:rsid w:val="00137015"/>
    <w:rsid w:val="00141746"/>
    <w:rsid w:val="001526A6"/>
    <w:rsid w:val="00155088"/>
    <w:rsid w:val="0015625B"/>
    <w:rsid w:val="0015658B"/>
    <w:rsid w:val="00156D5F"/>
    <w:rsid w:val="00160B26"/>
    <w:rsid w:val="00162B03"/>
    <w:rsid w:val="00162E89"/>
    <w:rsid w:val="001659DD"/>
    <w:rsid w:val="00167A1F"/>
    <w:rsid w:val="00175A76"/>
    <w:rsid w:val="001768F1"/>
    <w:rsid w:val="00177405"/>
    <w:rsid w:val="00177D2D"/>
    <w:rsid w:val="00180E47"/>
    <w:rsid w:val="0018455E"/>
    <w:rsid w:val="001858EB"/>
    <w:rsid w:val="00192073"/>
    <w:rsid w:val="00194E09"/>
    <w:rsid w:val="0019503A"/>
    <w:rsid w:val="00195C79"/>
    <w:rsid w:val="001A00F0"/>
    <w:rsid w:val="001A1058"/>
    <w:rsid w:val="001B0AE0"/>
    <w:rsid w:val="001B22BE"/>
    <w:rsid w:val="001B3FD8"/>
    <w:rsid w:val="001B5159"/>
    <w:rsid w:val="001B54A7"/>
    <w:rsid w:val="001B551F"/>
    <w:rsid w:val="001B5A48"/>
    <w:rsid w:val="001B60A0"/>
    <w:rsid w:val="001B62CD"/>
    <w:rsid w:val="001B71F8"/>
    <w:rsid w:val="001C19E3"/>
    <w:rsid w:val="001C2F13"/>
    <w:rsid w:val="001C60A4"/>
    <w:rsid w:val="001D1536"/>
    <w:rsid w:val="001D590D"/>
    <w:rsid w:val="001D5DF3"/>
    <w:rsid w:val="001E23F4"/>
    <w:rsid w:val="001E311C"/>
    <w:rsid w:val="001E7C87"/>
    <w:rsid w:val="001F1140"/>
    <w:rsid w:val="001F4700"/>
    <w:rsid w:val="001F55B8"/>
    <w:rsid w:val="001F6241"/>
    <w:rsid w:val="001F6DCD"/>
    <w:rsid w:val="002006CE"/>
    <w:rsid w:val="0020297B"/>
    <w:rsid w:val="002063AE"/>
    <w:rsid w:val="002064AF"/>
    <w:rsid w:val="002077FD"/>
    <w:rsid w:val="0021084B"/>
    <w:rsid w:val="0021141B"/>
    <w:rsid w:val="0021395E"/>
    <w:rsid w:val="00215FB6"/>
    <w:rsid w:val="002162D4"/>
    <w:rsid w:val="0022096D"/>
    <w:rsid w:val="00220F85"/>
    <w:rsid w:val="0022209D"/>
    <w:rsid w:val="00223112"/>
    <w:rsid w:val="00224950"/>
    <w:rsid w:val="00225D2C"/>
    <w:rsid w:val="00225EFD"/>
    <w:rsid w:val="00226123"/>
    <w:rsid w:val="0022635C"/>
    <w:rsid w:val="00240410"/>
    <w:rsid w:val="0024055B"/>
    <w:rsid w:val="002459ED"/>
    <w:rsid w:val="0025242F"/>
    <w:rsid w:val="00257BE5"/>
    <w:rsid w:val="00272200"/>
    <w:rsid w:val="002729D5"/>
    <w:rsid w:val="00276C64"/>
    <w:rsid w:val="002770D5"/>
    <w:rsid w:val="002826EB"/>
    <w:rsid w:val="0028433A"/>
    <w:rsid w:val="0028548C"/>
    <w:rsid w:val="00286CF2"/>
    <w:rsid w:val="0028735A"/>
    <w:rsid w:val="0029283C"/>
    <w:rsid w:val="00292F58"/>
    <w:rsid w:val="00293D38"/>
    <w:rsid w:val="00297104"/>
    <w:rsid w:val="00297481"/>
    <w:rsid w:val="002A2615"/>
    <w:rsid w:val="002A636C"/>
    <w:rsid w:val="002A6666"/>
    <w:rsid w:val="002B0591"/>
    <w:rsid w:val="002B2F80"/>
    <w:rsid w:val="002B7995"/>
    <w:rsid w:val="002C346C"/>
    <w:rsid w:val="002C5A50"/>
    <w:rsid w:val="002C6E70"/>
    <w:rsid w:val="002D0E5B"/>
    <w:rsid w:val="002D3643"/>
    <w:rsid w:val="002D46DA"/>
    <w:rsid w:val="002D5402"/>
    <w:rsid w:val="002E2DAD"/>
    <w:rsid w:val="002E7122"/>
    <w:rsid w:val="002F111F"/>
    <w:rsid w:val="002F2791"/>
    <w:rsid w:val="002F5466"/>
    <w:rsid w:val="002F56B7"/>
    <w:rsid w:val="002F75E6"/>
    <w:rsid w:val="0030237B"/>
    <w:rsid w:val="003027B1"/>
    <w:rsid w:val="00303799"/>
    <w:rsid w:val="003055B8"/>
    <w:rsid w:val="00311FD5"/>
    <w:rsid w:val="00313CDE"/>
    <w:rsid w:val="00315C75"/>
    <w:rsid w:val="0031631D"/>
    <w:rsid w:val="003228CE"/>
    <w:rsid w:val="003247A4"/>
    <w:rsid w:val="00331651"/>
    <w:rsid w:val="00336053"/>
    <w:rsid w:val="003366E7"/>
    <w:rsid w:val="0034288F"/>
    <w:rsid w:val="00343838"/>
    <w:rsid w:val="00343CC5"/>
    <w:rsid w:val="00347F87"/>
    <w:rsid w:val="00350594"/>
    <w:rsid w:val="003543C0"/>
    <w:rsid w:val="00356C56"/>
    <w:rsid w:val="0035753E"/>
    <w:rsid w:val="003601E5"/>
    <w:rsid w:val="0036504A"/>
    <w:rsid w:val="00372316"/>
    <w:rsid w:val="00372ABD"/>
    <w:rsid w:val="00374BAE"/>
    <w:rsid w:val="0037522A"/>
    <w:rsid w:val="003760F0"/>
    <w:rsid w:val="003764B8"/>
    <w:rsid w:val="003813C5"/>
    <w:rsid w:val="00384699"/>
    <w:rsid w:val="00385387"/>
    <w:rsid w:val="00385F6B"/>
    <w:rsid w:val="00386AF7"/>
    <w:rsid w:val="00386E0A"/>
    <w:rsid w:val="003A20C9"/>
    <w:rsid w:val="003A5AC1"/>
    <w:rsid w:val="003B008E"/>
    <w:rsid w:val="003B09D0"/>
    <w:rsid w:val="003B1008"/>
    <w:rsid w:val="003B1FE5"/>
    <w:rsid w:val="003B27DE"/>
    <w:rsid w:val="003C0BDF"/>
    <w:rsid w:val="003C247A"/>
    <w:rsid w:val="003C3449"/>
    <w:rsid w:val="003C3BA6"/>
    <w:rsid w:val="003C4067"/>
    <w:rsid w:val="003C462A"/>
    <w:rsid w:val="003C4BD4"/>
    <w:rsid w:val="003C6571"/>
    <w:rsid w:val="003D0868"/>
    <w:rsid w:val="003D1485"/>
    <w:rsid w:val="003D1B7D"/>
    <w:rsid w:val="003D1CC2"/>
    <w:rsid w:val="003D30C6"/>
    <w:rsid w:val="003D3606"/>
    <w:rsid w:val="003E1A78"/>
    <w:rsid w:val="003E2FAF"/>
    <w:rsid w:val="003E3E52"/>
    <w:rsid w:val="003E40D9"/>
    <w:rsid w:val="003E497C"/>
    <w:rsid w:val="003E5612"/>
    <w:rsid w:val="003E5A51"/>
    <w:rsid w:val="003E6BE3"/>
    <w:rsid w:val="003E79CD"/>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4B9B"/>
    <w:rsid w:val="004372B6"/>
    <w:rsid w:val="0043752D"/>
    <w:rsid w:val="00437772"/>
    <w:rsid w:val="004462A6"/>
    <w:rsid w:val="004462AF"/>
    <w:rsid w:val="00446747"/>
    <w:rsid w:val="00447558"/>
    <w:rsid w:val="004502B7"/>
    <w:rsid w:val="00450E0E"/>
    <w:rsid w:val="00451C67"/>
    <w:rsid w:val="00452F29"/>
    <w:rsid w:val="00454D76"/>
    <w:rsid w:val="00457556"/>
    <w:rsid w:val="00465388"/>
    <w:rsid w:val="00465E6B"/>
    <w:rsid w:val="00471099"/>
    <w:rsid w:val="00472A7C"/>
    <w:rsid w:val="00472C3D"/>
    <w:rsid w:val="00476327"/>
    <w:rsid w:val="0048300B"/>
    <w:rsid w:val="0048774B"/>
    <w:rsid w:val="00490915"/>
    <w:rsid w:val="00494943"/>
    <w:rsid w:val="00495203"/>
    <w:rsid w:val="004964CA"/>
    <w:rsid w:val="004A0056"/>
    <w:rsid w:val="004A0C10"/>
    <w:rsid w:val="004A24AB"/>
    <w:rsid w:val="004A3007"/>
    <w:rsid w:val="004A38CA"/>
    <w:rsid w:val="004A743E"/>
    <w:rsid w:val="004B2D5D"/>
    <w:rsid w:val="004B336F"/>
    <w:rsid w:val="004C0FAF"/>
    <w:rsid w:val="004C1FDD"/>
    <w:rsid w:val="004D1C50"/>
    <w:rsid w:val="004D3FA0"/>
    <w:rsid w:val="004D5D65"/>
    <w:rsid w:val="004E2F70"/>
    <w:rsid w:val="004E4517"/>
    <w:rsid w:val="004E57B7"/>
    <w:rsid w:val="004E5ACC"/>
    <w:rsid w:val="004E60C0"/>
    <w:rsid w:val="004E6F72"/>
    <w:rsid w:val="004F2441"/>
    <w:rsid w:val="004F2AE4"/>
    <w:rsid w:val="004F42CB"/>
    <w:rsid w:val="004F60D2"/>
    <w:rsid w:val="004F6111"/>
    <w:rsid w:val="005165AD"/>
    <w:rsid w:val="00526956"/>
    <w:rsid w:val="00530F48"/>
    <w:rsid w:val="00532B91"/>
    <w:rsid w:val="00534962"/>
    <w:rsid w:val="00536EB2"/>
    <w:rsid w:val="00544099"/>
    <w:rsid w:val="00546534"/>
    <w:rsid w:val="00546AF7"/>
    <w:rsid w:val="00550ADB"/>
    <w:rsid w:val="00555585"/>
    <w:rsid w:val="005612F3"/>
    <w:rsid w:val="005635FA"/>
    <w:rsid w:val="00566D65"/>
    <w:rsid w:val="00574B16"/>
    <w:rsid w:val="00576951"/>
    <w:rsid w:val="00580A77"/>
    <w:rsid w:val="00585CEE"/>
    <w:rsid w:val="00590522"/>
    <w:rsid w:val="00591161"/>
    <w:rsid w:val="005920E4"/>
    <w:rsid w:val="00596F73"/>
    <w:rsid w:val="005B27FB"/>
    <w:rsid w:val="005B2ED0"/>
    <w:rsid w:val="005B3ED1"/>
    <w:rsid w:val="005B4470"/>
    <w:rsid w:val="005B621F"/>
    <w:rsid w:val="005B7791"/>
    <w:rsid w:val="005C0E21"/>
    <w:rsid w:val="005C29ED"/>
    <w:rsid w:val="005C304B"/>
    <w:rsid w:val="005C5BD8"/>
    <w:rsid w:val="005C6471"/>
    <w:rsid w:val="005C78C8"/>
    <w:rsid w:val="005D0524"/>
    <w:rsid w:val="005D169D"/>
    <w:rsid w:val="005D5F6D"/>
    <w:rsid w:val="005E1F2E"/>
    <w:rsid w:val="005E2832"/>
    <w:rsid w:val="005E2FF2"/>
    <w:rsid w:val="005F12AF"/>
    <w:rsid w:val="005F217E"/>
    <w:rsid w:val="005F2187"/>
    <w:rsid w:val="005F2393"/>
    <w:rsid w:val="005F31A1"/>
    <w:rsid w:val="005F386D"/>
    <w:rsid w:val="005F74FA"/>
    <w:rsid w:val="006023B5"/>
    <w:rsid w:val="00611EE5"/>
    <w:rsid w:val="00613440"/>
    <w:rsid w:val="00615D12"/>
    <w:rsid w:val="00617B7F"/>
    <w:rsid w:val="00617C2B"/>
    <w:rsid w:val="006242F0"/>
    <w:rsid w:val="006267DA"/>
    <w:rsid w:val="00630C0D"/>
    <w:rsid w:val="006316B1"/>
    <w:rsid w:val="00631972"/>
    <w:rsid w:val="00632A37"/>
    <w:rsid w:val="00635D16"/>
    <w:rsid w:val="00636173"/>
    <w:rsid w:val="00637198"/>
    <w:rsid w:val="00640445"/>
    <w:rsid w:val="00645EB9"/>
    <w:rsid w:val="006465D2"/>
    <w:rsid w:val="0065616A"/>
    <w:rsid w:val="0066567C"/>
    <w:rsid w:val="006701F0"/>
    <w:rsid w:val="006703E5"/>
    <w:rsid w:val="00672D76"/>
    <w:rsid w:val="0067313B"/>
    <w:rsid w:val="0067440B"/>
    <w:rsid w:val="00677368"/>
    <w:rsid w:val="00680F51"/>
    <w:rsid w:val="006830BC"/>
    <w:rsid w:val="00683A4B"/>
    <w:rsid w:val="00683F80"/>
    <w:rsid w:val="006901C1"/>
    <w:rsid w:val="00691342"/>
    <w:rsid w:val="006A063F"/>
    <w:rsid w:val="006A6751"/>
    <w:rsid w:val="006B10E9"/>
    <w:rsid w:val="006B1319"/>
    <w:rsid w:val="006B198C"/>
    <w:rsid w:val="006B27E0"/>
    <w:rsid w:val="006B717D"/>
    <w:rsid w:val="006B7C2C"/>
    <w:rsid w:val="006C004C"/>
    <w:rsid w:val="006C02BD"/>
    <w:rsid w:val="006C15DB"/>
    <w:rsid w:val="006C68A3"/>
    <w:rsid w:val="006C7602"/>
    <w:rsid w:val="006C7F7E"/>
    <w:rsid w:val="006D1DD8"/>
    <w:rsid w:val="006D4741"/>
    <w:rsid w:val="006D6465"/>
    <w:rsid w:val="006D698F"/>
    <w:rsid w:val="006E1B6F"/>
    <w:rsid w:val="006E214D"/>
    <w:rsid w:val="006E25F6"/>
    <w:rsid w:val="006E4597"/>
    <w:rsid w:val="006E55C1"/>
    <w:rsid w:val="006F6490"/>
    <w:rsid w:val="006F663A"/>
    <w:rsid w:val="00703BE0"/>
    <w:rsid w:val="00705CF5"/>
    <w:rsid w:val="007062A6"/>
    <w:rsid w:val="00707052"/>
    <w:rsid w:val="00713B94"/>
    <w:rsid w:val="00716CEC"/>
    <w:rsid w:val="00717537"/>
    <w:rsid w:val="007200CC"/>
    <w:rsid w:val="00724059"/>
    <w:rsid w:val="007246E1"/>
    <w:rsid w:val="00725DA6"/>
    <w:rsid w:val="00730107"/>
    <w:rsid w:val="00731F42"/>
    <w:rsid w:val="00732439"/>
    <w:rsid w:val="00734AF8"/>
    <w:rsid w:val="00745B89"/>
    <w:rsid w:val="00745F36"/>
    <w:rsid w:val="00750850"/>
    <w:rsid w:val="00752063"/>
    <w:rsid w:val="00755F22"/>
    <w:rsid w:val="0075633E"/>
    <w:rsid w:val="0075674E"/>
    <w:rsid w:val="00756E0D"/>
    <w:rsid w:val="00757472"/>
    <w:rsid w:val="00760514"/>
    <w:rsid w:val="00762C46"/>
    <w:rsid w:val="007679D8"/>
    <w:rsid w:val="00773068"/>
    <w:rsid w:val="0077631C"/>
    <w:rsid w:val="00777D99"/>
    <w:rsid w:val="00785291"/>
    <w:rsid w:val="00785937"/>
    <w:rsid w:val="007862BD"/>
    <w:rsid w:val="00790401"/>
    <w:rsid w:val="00790AD2"/>
    <w:rsid w:val="00791057"/>
    <w:rsid w:val="0079264A"/>
    <w:rsid w:val="00796755"/>
    <w:rsid w:val="00796E71"/>
    <w:rsid w:val="007979A7"/>
    <w:rsid w:val="00797F75"/>
    <w:rsid w:val="007A1F12"/>
    <w:rsid w:val="007A4366"/>
    <w:rsid w:val="007B1555"/>
    <w:rsid w:val="007C43C1"/>
    <w:rsid w:val="007C6A97"/>
    <w:rsid w:val="007D5014"/>
    <w:rsid w:val="007E2744"/>
    <w:rsid w:val="007E2BDD"/>
    <w:rsid w:val="007E4EC4"/>
    <w:rsid w:val="007E6E4B"/>
    <w:rsid w:val="007F2972"/>
    <w:rsid w:val="007F3F24"/>
    <w:rsid w:val="007F4B75"/>
    <w:rsid w:val="007F6498"/>
    <w:rsid w:val="007F6B18"/>
    <w:rsid w:val="00801E01"/>
    <w:rsid w:val="00806042"/>
    <w:rsid w:val="00810496"/>
    <w:rsid w:val="008122F2"/>
    <w:rsid w:val="008145A2"/>
    <w:rsid w:val="0081555F"/>
    <w:rsid w:val="0081639D"/>
    <w:rsid w:val="008174A6"/>
    <w:rsid w:val="00826F5D"/>
    <w:rsid w:val="008277B1"/>
    <w:rsid w:val="00827DF0"/>
    <w:rsid w:val="00831EE0"/>
    <w:rsid w:val="0083798F"/>
    <w:rsid w:val="00841B8C"/>
    <w:rsid w:val="008422F2"/>
    <w:rsid w:val="0084382B"/>
    <w:rsid w:val="00845EDF"/>
    <w:rsid w:val="00846D00"/>
    <w:rsid w:val="008475B8"/>
    <w:rsid w:val="008501F9"/>
    <w:rsid w:val="00851E44"/>
    <w:rsid w:val="00852E5A"/>
    <w:rsid w:val="00856DAD"/>
    <w:rsid w:val="00860A67"/>
    <w:rsid w:val="008624E2"/>
    <w:rsid w:val="008640BB"/>
    <w:rsid w:val="008667A9"/>
    <w:rsid w:val="00873479"/>
    <w:rsid w:val="0087426B"/>
    <w:rsid w:val="00882BEF"/>
    <w:rsid w:val="00884568"/>
    <w:rsid w:val="00885126"/>
    <w:rsid w:val="00886DE9"/>
    <w:rsid w:val="00887AE1"/>
    <w:rsid w:val="00890BB8"/>
    <w:rsid w:val="008911C0"/>
    <w:rsid w:val="00892039"/>
    <w:rsid w:val="00892CA9"/>
    <w:rsid w:val="00894644"/>
    <w:rsid w:val="008946A7"/>
    <w:rsid w:val="00894D7D"/>
    <w:rsid w:val="00897A5A"/>
    <w:rsid w:val="008A1C58"/>
    <w:rsid w:val="008A1D35"/>
    <w:rsid w:val="008A1E4C"/>
    <w:rsid w:val="008A25C5"/>
    <w:rsid w:val="008A7042"/>
    <w:rsid w:val="008A771E"/>
    <w:rsid w:val="008B0314"/>
    <w:rsid w:val="008B39F2"/>
    <w:rsid w:val="008B4510"/>
    <w:rsid w:val="008B50A1"/>
    <w:rsid w:val="008B6DC1"/>
    <w:rsid w:val="008C091C"/>
    <w:rsid w:val="008C1870"/>
    <w:rsid w:val="008C24F1"/>
    <w:rsid w:val="008C30D2"/>
    <w:rsid w:val="008C7B87"/>
    <w:rsid w:val="008D4781"/>
    <w:rsid w:val="008D5E69"/>
    <w:rsid w:val="008D60C8"/>
    <w:rsid w:val="008E2439"/>
    <w:rsid w:val="008E2770"/>
    <w:rsid w:val="008E3D37"/>
    <w:rsid w:val="008E3E7D"/>
    <w:rsid w:val="008E61DF"/>
    <w:rsid w:val="008E6D10"/>
    <w:rsid w:val="008F04E0"/>
    <w:rsid w:val="008F0B87"/>
    <w:rsid w:val="008F18B3"/>
    <w:rsid w:val="008F1A0A"/>
    <w:rsid w:val="008F3620"/>
    <w:rsid w:val="008F4497"/>
    <w:rsid w:val="008F676D"/>
    <w:rsid w:val="00901C9A"/>
    <w:rsid w:val="0090243F"/>
    <w:rsid w:val="00903EB2"/>
    <w:rsid w:val="00904857"/>
    <w:rsid w:val="00904D31"/>
    <w:rsid w:val="0090622E"/>
    <w:rsid w:val="009079D5"/>
    <w:rsid w:val="00907EDB"/>
    <w:rsid w:val="00907F32"/>
    <w:rsid w:val="009102F8"/>
    <w:rsid w:val="00910E4A"/>
    <w:rsid w:val="009111CF"/>
    <w:rsid w:val="00913800"/>
    <w:rsid w:val="00914861"/>
    <w:rsid w:val="0091608C"/>
    <w:rsid w:val="00916C88"/>
    <w:rsid w:val="00917106"/>
    <w:rsid w:val="009206C0"/>
    <w:rsid w:val="00920F55"/>
    <w:rsid w:val="00925F8E"/>
    <w:rsid w:val="009265DD"/>
    <w:rsid w:val="00926DF4"/>
    <w:rsid w:val="009319AE"/>
    <w:rsid w:val="009375BF"/>
    <w:rsid w:val="0094130E"/>
    <w:rsid w:val="00944CB0"/>
    <w:rsid w:val="00945239"/>
    <w:rsid w:val="0095735B"/>
    <w:rsid w:val="00960A58"/>
    <w:rsid w:val="009617D1"/>
    <w:rsid w:val="00963E0B"/>
    <w:rsid w:val="00963FA8"/>
    <w:rsid w:val="009646F5"/>
    <w:rsid w:val="009703EC"/>
    <w:rsid w:val="00973BC6"/>
    <w:rsid w:val="00974308"/>
    <w:rsid w:val="009757DA"/>
    <w:rsid w:val="00981E60"/>
    <w:rsid w:val="009822CC"/>
    <w:rsid w:val="00982820"/>
    <w:rsid w:val="009852F9"/>
    <w:rsid w:val="00985ACB"/>
    <w:rsid w:val="0099269F"/>
    <w:rsid w:val="00992B05"/>
    <w:rsid w:val="00994102"/>
    <w:rsid w:val="009942BE"/>
    <w:rsid w:val="009A5842"/>
    <w:rsid w:val="009A5DA3"/>
    <w:rsid w:val="009B04F7"/>
    <w:rsid w:val="009B50D6"/>
    <w:rsid w:val="009B5565"/>
    <w:rsid w:val="009C391A"/>
    <w:rsid w:val="009C3E78"/>
    <w:rsid w:val="009C7888"/>
    <w:rsid w:val="009D4BF5"/>
    <w:rsid w:val="009E0420"/>
    <w:rsid w:val="009E0644"/>
    <w:rsid w:val="009E13FE"/>
    <w:rsid w:val="009E34CC"/>
    <w:rsid w:val="009E476E"/>
    <w:rsid w:val="009F4755"/>
    <w:rsid w:val="009F5929"/>
    <w:rsid w:val="009F642E"/>
    <w:rsid w:val="009F77D1"/>
    <w:rsid w:val="00A00A07"/>
    <w:rsid w:val="00A02455"/>
    <w:rsid w:val="00A03E79"/>
    <w:rsid w:val="00A107B3"/>
    <w:rsid w:val="00A12B6D"/>
    <w:rsid w:val="00A14898"/>
    <w:rsid w:val="00A17292"/>
    <w:rsid w:val="00A27332"/>
    <w:rsid w:val="00A27993"/>
    <w:rsid w:val="00A30768"/>
    <w:rsid w:val="00A310F3"/>
    <w:rsid w:val="00A32644"/>
    <w:rsid w:val="00A36BB5"/>
    <w:rsid w:val="00A3724D"/>
    <w:rsid w:val="00A37A9B"/>
    <w:rsid w:val="00A4008F"/>
    <w:rsid w:val="00A41F82"/>
    <w:rsid w:val="00A42FBD"/>
    <w:rsid w:val="00A46005"/>
    <w:rsid w:val="00A46D55"/>
    <w:rsid w:val="00A5113C"/>
    <w:rsid w:val="00A525B9"/>
    <w:rsid w:val="00A528C6"/>
    <w:rsid w:val="00A54F02"/>
    <w:rsid w:val="00A575FC"/>
    <w:rsid w:val="00A66AC8"/>
    <w:rsid w:val="00A67863"/>
    <w:rsid w:val="00A70557"/>
    <w:rsid w:val="00A739EA"/>
    <w:rsid w:val="00A73FDA"/>
    <w:rsid w:val="00A77317"/>
    <w:rsid w:val="00A876A2"/>
    <w:rsid w:val="00A90826"/>
    <w:rsid w:val="00A93476"/>
    <w:rsid w:val="00A95FB0"/>
    <w:rsid w:val="00AB17E3"/>
    <w:rsid w:val="00AB3000"/>
    <w:rsid w:val="00AB6599"/>
    <w:rsid w:val="00AC3F17"/>
    <w:rsid w:val="00AE1221"/>
    <w:rsid w:val="00AE23AF"/>
    <w:rsid w:val="00AE4B04"/>
    <w:rsid w:val="00AF096B"/>
    <w:rsid w:val="00AF205E"/>
    <w:rsid w:val="00AF2FE3"/>
    <w:rsid w:val="00AF41B0"/>
    <w:rsid w:val="00AF5A70"/>
    <w:rsid w:val="00AF7AF9"/>
    <w:rsid w:val="00B017A5"/>
    <w:rsid w:val="00B04D1F"/>
    <w:rsid w:val="00B0622B"/>
    <w:rsid w:val="00B111AB"/>
    <w:rsid w:val="00B20994"/>
    <w:rsid w:val="00B2713B"/>
    <w:rsid w:val="00B2773F"/>
    <w:rsid w:val="00B30895"/>
    <w:rsid w:val="00B328C8"/>
    <w:rsid w:val="00B329AC"/>
    <w:rsid w:val="00B334A0"/>
    <w:rsid w:val="00B34AB1"/>
    <w:rsid w:val="00B34DB3"/>
    <w:rsid w:val="00B4341A"/>
    <w:rsid w:val="00B468B1"/>
    <w:rsid w:val="00B47CC0"/>
    <w:rsid w:val="00B50669"/>
    <w:rsid w:val="00B509AD"/>
    <w:rsid w:val="00B5283A"/>
    <w:rsid w:val="00B546CE"/>
    <w:rsid w:val="00B5597B"/>
    <w:rsid w:val="00B56A4E"/>
    <w:rsid w:val="00B5762E"/>
    <w:rsid w:val="00B64FC3"/>
    <w:rsid w:val="00B66FBD"/>
    <w:rsid w:val="00B7284B"/>
    <w:rsid w:val="00B73C52"/>
    <w:rsid w:val="00B80C9B"/>
    <w:rsid w:val="00B81AB7"/>
    <w:rsid w:val="00B8365D"/>
    <w:rsid w:val="00B85096"/>
    <w:rsid w:val="00B906DF"/>
    <w:rsid w:val="00B91F92"/>
    <w:rsid w:val="00B946A3"/>
    <w:rsid w:val="00BA010D"/>
    <w:rsid w:val="00BA19CE"/>
    <w:rsid w:val="00BA3E54"/>
    <w:rsid w:val="00BA75AF"/>
    <w:rsid w:val="00BC0558"/>
    <w:rsid w:val="00BC3C27"/>
    <w:rsid w:val="00BD1EDB"/>
    <w:rsid w:val="00BD294C"/>
    <w:rsid w:val="00BD38A9"/>
    <w:rsid w:val="00BD4EBF"/>
    <w:rsid w:val="00BD6003"/>
    <w:rsid w:val="00BE1FE1"/>
    <w:rsid w:val="00BE2981"/>
    <w:rsid w:val="00BE48AC"/>
    <w:rsid w:val="00BE7901"/>
    <w:rsid w:val="00BF056F"/>
    <w:rsid w:val="00BF2BC5"/>
    <w:rsid w:val="00BF321E"/>
    <w:rsid w:val="00BF3BAC"/>
    <w:rsid w:val="00BF50D6"/>
    <w:rsid w:val="00C00032"/>
    <w:rsid w:val="00C009CE"/>
    <w:rsid w:val="00C02B38"/>
    <w:rsid w:val="00C129B9"/>
    <w:rsid w:val="00C12DE6"/>
    <w:rsid w:val="00C15B7B"/>
    <w:rsid w:val="00C16316"/>
    <w:rsid w:val="00C2324B"/>
    <w:rsid w:val="00C23E57"/>
    <w:rsid w:val="00C260C9"/>
    <w:rsid w:val="00C26E3E"/>
    <w:rsid w:val="00C30199"/>
    <w:rsid w:val="00C32699"/>
    <w:rsid w:val="00C34125"/>
    <w:rsid w:val="00C35494"/>
    <w:rsid w:val="00C356D4"/>
    <w:rsid w:val="00C41C50"/>
    <w:rsid w:val="00C42B54"/>
    <w:rsid w:val="00C43F22"/>
    <w:rsid w:val="00C4471E"/>
    <w:rsid w:val="00C44B4E"/>
    <w:rsid w:val="00C50737"/>
    <w:rsid w:val="00C50F62"/>
    <w:rsid w:val="00C51E44"/>
    <w:rsid w:val="00C54CD1"/>
    <w:rsid w:val="00C57A84"/>
    <w:rsid w:val="00C6176E"/>
    <w:rsid w:val="00C61F00"/>
    <w:rsid w:val="00C65CF4"/>
    <w:rsid w:val="00C660EB"/>
    <w:rsid w:val="00C6719E"/>
    <w:rsid w:val="00C714C6"/>
    <w:rsid w:val="00C7169D"/>
    <w:rsid w:val="00C72D98"/>
    <w:rsid w:val="00C74568"/>
    <w:rsid w:val="00C76E4E"/>
    <w:rsid w:val="00C81D2B"/>
    <w:rsid w:val="00C8418E"/>
    <w:rsid w:val="00C84CC1"/>
    <w:rsid w:val="00C86B44"/>
    <w:rsid w:val="00C91699"/>
    <w:rsid w:val="00C97CC2"/>
    <w:rsid w:val="00C97F2B"/>
    <w:rsid w:val="00CA080B"/>
    <w:rsid w:val="00CA12DE"/>
    <w:rsid w:val="00CA25B2"/>
    <w:rsid w:val="00CA2A88"/>
    <w:rsid w:val="00CA2C26"/>
    <w:rsid w:val="00CB34E7"/>
    <w:rsid w:val="00CB359C"/>
    <w:rsid w:val="00CB6C02"/>
    <w:rsid w:val="00CC0085"/>
    <w:rsid w:val="00CC21C9"/>
    <w:rsid w:val="00CC51FF"/>
    <w:rsid w:val="00CD0F63"/>
    <w:rsid w:val="00CD1693"/>
    <w:rsid w:val="00CD4FE2"/>
    <w:rsid w:val="00CD62FF"/>
    <w:rsid w:val="00CE13D3"/>
    <w:rsid w:val="00CE2434"/>
    <w:rsid w:val="00CE4C99"/>
    <w:rsid w:val="00CE5EE2"/>
    <w:rsid w:val="00CE7358"/>
    <w:rsid w:val="00D00048"/>
    <w:rsid w:val="00D0044E"/>
    <w:rsid w:val="00D03A6C"/>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6D6E"/>
    <w:rsid w:val="00D477C4"/>
    <w:rsid w:val="00D52566"/>
    <w:rsid w:val="00D55AD3"/>
    <w:rsid w:val="00D55BB5"/>
    <w:rsid w:val="00D6141A"/>
    <w:rsid w:val="00D6160E"/>
    <w:rsid w:val="00D61976"/>
    <w:rsid w:val="00D643F1"/>
    <w:rsid w:val="00D7043B"/>
    <w:rsid w:val="00D7062B"/>
    <w:rsid w:val="00D70ECD"/>
    <w:rsid w:val="00D735B7"/>
    <w:rsid w:val="00D776B6"/>
    <w:rsid w:val="00D840F5"/>
    <w:rsid w:val="00D8563F"/>
    <w:rsid w:val="00D85A40"/>
    <w:rsid w:val="00D92143"/>
    <w:rsid w:val="00D933A3"/>
    <w:rsid w:val="00D973E5"/>
    <w:rsid w:val="00D97BF7"/>
    <w:rsid w:val="00DA0028"/>
    <w:rsid w:val="00DA02F0"/>
    <w:rsid w:val="00DA0DA7"/>
    <w:rsid w:val="00DA1456"/>
    <w:rsid w:val="00DA19CC"/>
    <w:rsid w:val="00DA39EF"/>
    <w:rsid w:val="00DA5AE6"/>
    <w:rsid w:val="00DB0136"/>
    <w:rsid w:val="00DB02EF"/>
    <w:rsid w:val="00DB349B"/>
    <w:rsid w:val="00DB54FF"/>
    <w:rsid w:val="00DB7BCE"/>
    <w:rsid w:val="00DC0F9E"/>
    <w:rsid w:val="00DC32C8"/>
    <w:rsid w:val="00DC6AE7"/>
    <w:rsid w:val="00DD1BE1"/>
    <w:rsid w:val="00DD1F06"/>
    <w:rsid w:val="00DD276E"/>
    <w:rsid w:val="00DD35AB"/>
    <w:rsid w:val="00DD4AD8"/>
    <w:rsid w:val="00DD6763"/>
    <w:rsid w:val="00DE21C3"/>
    <w:rsid w:val="00DE5974"/>
    <w:rsid w:val="00DF0E54"/>
    <w:rsid w:val="00DF189F"/>
    <w:rsid w:val="00DF2553"/>
    <w:rsid w:val="00DF550E"/>
    <w:rsid w:val="00DF6866"/>
    <w:rsid w:val="00DF6946"/>
    <w:rsid w:val="00E03CCC"/>
    <w:rsid w:val="00E061E1"/>
    <w:rsid w:val="00E073B8"/>
    <w:rsid w:val="00E07C76"/>
    <w:rsid w:val="00E10006"/>
    <w:rsid w:val="00E104D1"/>
    <w:rsid w:val="00E11F8B"/>
    <w:rsid w:val="00E1699D"/>
    <w:rsid w:val="00E16C2C"/>
    <w:rsid w:val="00E25F9C"/>
    <w:rsid w:val="00E308D7"/>
    <w:rsid w:val="00E30CEC"/>
    <w:rsid w:val="00E31153"/>
    <w:rsid w:val="00E358B2"/>
    <w:rsid w:val="00E360E5"/>
    <w:rsid w:val="00E3647D"/>
    <w:rsid w:val="00E417E2"/>
    <w:rsid w:val="00E450CC"/>
    <w:rsid w:val="00E46FDA"/>
    <w:rsid w:val="00E478C5"/>
    <w:rsid w:val="00E507FC"/>
    <w:rsid w:val="00E54EEF"/>
    <w:rsid w:val="00E5669C"/>
    <w:rsid w:val="00E57EDD"/>
    <w:rsid w:val="00E61A8D"/>
    <w:rsid w:val="00E63058"/>
    <w:rsid w:val="00E638CC"/>
    <w:rsid w:val="00E73450"/>
    <w:rsid w:val="00E73568"/>
    <w:rsid w:val="00E80994"/>
    <w:rsid w:val="00E8348A"/>
    <w:rsid w:val="00E8410F"/>
    <w:rsid w:val="00E871F3"/>
    <w:rsid w:val="00E90359"/>
    <w:rsid w:val="00E90510"/>
    <w:rsid w:val="00E9092D"/>
    <w:rsid w:val="00E94F29"/>
    <w:rsid w:val="00E955B8"/>
    <w:rsid w:val="00E96219"/>
    <w:rsid w:val="00EA1AD6"/>
    <w:rsid w:val="00EA39F1"/>
    <w:rsid w:val="00EA449D"/>
    <w:rsid w:val="00EA6405"/>
    <w:rsid w:val="00EA78E7"/>
    <w:rsid w:val="00EB0DC4"/>
    <w:rsid w:val="00EB0EDA"/>
    <w:rsid w:val="00EB2718"/>
    <w:rsid w:val="00EB2D3F"/>
    <w:rsid w:val="00EB4D22"/>
    <w:rsid w:val="00EB4E1A"/>
    <w:rsid w:val="00EB54DE"/>
    <w:rsid w:val="00EB64CF"/>
    <w:rsid w:val="00EB6E48"/>
    <w:rsid w:val="00EB72F2"/>
    <w:rsid w:val="00EC11CE"/>
    <w:rsid w:val="00EC2A84"/>
    <w:rsid w:val="00EC3758"/>
    <w:rsid w:val="00EC4B09"/>
    <w:rsid w:val="00EC5142"/>
    <w:rsid w:val="00EC6B13"/>
    <w:rsid w:val="00EC70B0"/>
    <w:rsid w:val="00ED0A15"/>
    <w:rsid w:val="00ED3BA5"/>
    <w:rsid w:val="00ED6FD1"/>
    <w:rsid w:val="00EE0513"/>
    <w:rsid w:val="00EE278D"/>
    <w:rsid w:val="00EE4699"/>
    <w:rsid w:val="00EE5809"/>
    <w:rsid w:val="00EE5FED"/>
    <w:rsid w:val="00EF09B1"/>
    <w:rsid w:val="00EF33AC"/>
    <w:rsid w:val="00EF3FD3"/>
    <w:rsid w:val="00EF62CE"/>
    <w:rsid w:val="00F01773"/>
    <w:rsid w:val="00F04259"/>
    <w:rsid w:val="00F052B9"/>
    <w:rsid w:val="00F056ED"/>
    <w:rsid w:val="00F05AAB"/>
    <w:rsid w:val="00F1129E"/>
    <w:rsid w:val="00F14D14"/>
    <w:rsid w:val="00F165F6"/>
    <w:rsid w:val="00F20E70"/>
    <w:rsid w:val="00F2241A"/>
    <w:rsid w:val="00F22872"/>
    <w:rsid w:val="00F23344"/>
    <w:rsid w:val="00F24468"/>
    <w:rsid w:val="00F266B7"/>
    <w:rsid w:val="00F27257"/>
    <w:rsid w:val="00F309D3"/>
    <w:rsid w:val="00F31F6A"/>
    <w:rsid w:val="00F33BA6"/>
    <w:rsid w:val="00F345E3"/>
    <w:rsid w:val="00F3535F"/>
    <w:rsid w:val="00F35764"/>
    <w:rsid w:val="00F373D0"/>
    <w:rsid w:val="00F4453E"/>
    <w:rsid w:val="00F46F8C"/>
    <w:rsid w:val="00F47E4C"/>
    <w:rsid w:val="00F521D3"/>
    <w:rsid w:val="00F52217"/>
    <w:rsid w:val="00F64909"/>
    <w:rsid w:val="00F670B0"/>
    <w:rsid w:val="00F679B4"/>
    <w:rsid w:val="00F708E3"/>
    <w:rsid w:val="00F7303E"/>
    <w:rsid w:val="00F7434F"/>
    <w:rsid w:val="00F74C29"/>
    <w:rsid w:val="00F76054"/>
    <w:rsid w:val="00F76E31"/>
    <w:rsid w:val="00F77726"/>
    <w:rsid w:val="00F77DF3"/>
    <w:rsid w:val="00F83493"/>
    <w:rsid w:val="00F84C01"/>
    <w:rsid w:val="00F85D04"/>
    <w:rsid w:val="00F860CE"/>
    <w:rsid w:val="00F90998"/>
    <w:rsid w:val="00F90A82"/>
    <w:rsid w:val="00F93A27"/>
    <w:rsid w:val="00F93B87"/>
    <w:rsid w:val="00F94A27"/>
    <w:rsid w:val="00F9603E"/>
    <w:rsid w:val="00F9650D"/>
    <w:rsid w:val="00F97820"/>
    <w:rsid w:val="00FA07A9"/>
    <w:rsid w:val="00FA137C"/>
    <w:rsid w:val="00FA3C97"/>
    <w:rsid w:val="00FA4CF1"/>
    <w:rsid w:val="00FA642B"/>
    <w:rsid w:val="00FA767B"/>
    <w:rsid w:val="00FB16E2"/>
    <w:rsid w:val="00FB2EB2"/>
    <w:rsid w:val="00FB4478"/>
    <w:rsid w:val="00FB6DF4"/>
    <w:rsid w:val="00FB7A17"/>
    <w:rsid w:val="00FC0DF6"/>
    <w:rsid w:val="00FC2B73"/>
    <w:rsid w:val="00FC2C76"/>
    <w:rsid w:val="00FC3E97"/>
    <w:rsid w:val="00FC45A4"/>
    <w:rsid w:val="00FC5F22"/>
    <w:rsid w:val="00FC6860"/>
    <w:rsid w:val="00FC6AE4"/>
    <w:rsid w:val="00FC6D69"/>
    <w:rsid w:val="00FC7462"/>
    <w:rsid w:val="00FD258F"/>
    <w:rsid w:val="00FD4279"/>
    <w:rsid w:val="00FD6DCF"/>
    <w:rsid w:val="00FD7388"/>
    <w:rsid w:val="00FE2992"/>
    <w:rsid w:val="00FE40B6"/>
    <w:rsid w:val="00FE783F"/>
    <w:rsid w:val="00FE7F7F"/>
    <w:rsid w:val="00FF09BF"/>
    <w:rsid w:val="00FF0A4E"/>
    <w:rsid w:val="010F2EE1"/>
    <w:rsid w:val="0225E505"/>
    <w:rsid w:val="026D9621"/>
    <w:rsid w:val="02F1592C"/>
    <w:rsid w:val="031791B1"/>
    <w:rsid w:val="04F46653"/>
    <w:rsid w:val="054341DA"/>
    <w:rsid w:val="05EEAED7"/>
    <w:rsid w:val="066DB0CB"/>
    <w:rsid w:val="06CCA3A5"/>
    <w:rsid w:val="07216C3C"/>
    <w:rsid w:val="07BAF0C7"/>
    <w:rsid w:val="07EFC792"/>
    <w:rsid w:val="08C54416"/>
    <w:rsid w:val="08D0AABA"/>
    <w:rsid w:val="09737D3E"/>
    <w:rsid w:val="0AE824CE"/>
    <w:rsid w:val="0B04F681"/>
    <w:rsid w:val="0C15B5AD"/>
    <w:rsid w:val="0D294E33"/>
    <w:rsid w:val="0DBC8B72"/>
    <w:rsid w:val="0DD8E673"/>
    <w:rsid w:val="0DF42E51"/>
    <w:rsid w:val="0E938E0D"/>
    <w:rsid w:val="0EE5252C"/>
    <w:rsid w:val="0EF56BE9"/>
    <w:rsid w:val="1065ECBC"/>
    <w:rsid w:val="109846DE"/>
    <w:rsid w:val="1163CB76"/>
    <w:rsid w:val="11984224"/>
    <w:rsid w:val="135BFE0C"/>
    <w:rsid w:val="136AA907"/>
    <w:rsid w:val="13BEA6FB"/>
    <w:rsid w:val="13DF76D8"/>
    <w:rsid w:val="149D43E7"/>
    <w:rsid w:val="16899235"/>
    <w:rsid w:val="18848C1D"/>
    <w:rsid w:val="18BDD256"/>
    <w:rsid w:val="19C44433"/>
    <w:rsid w:val="19E6C9B2"/>
    <w:rsid w:val="1AADA3BB"/>
    <w:rsid w:val="1AB8B05B"/>
    <w:rsid w:val="1ADC0B78"/>
    <w:rsid w:val="1C00D9CD"/>
    <w:rsid w:val="1D34A42F"/>
    <w:rsid w:val="1DBA176B"/>
    <w:rsid w:val="1DFA6B94"/>
    <w:rsid w:val="1E080437"/>
    <w:rsid w:val="1E2C5C3F"/>
    <w:rsid w:val="1E8C0882"/>
    <w:rsid w:val="1F517D07"/>
    <w:rsid w:val="1FC68A8E"/>
    <w:rsid w:val="2395257A"/>
    <w:rsid w:val="23E3FC22"/>
    <w:rsid w:val="24C70F6A"/>
    <w:rsid w:val="2556C816"/>
    <w:rsid w:val="260ECE17"/>
    <w:rsid w:val="261F4B95"/>
    <w:rsid w:val="26E5729D"/>
    <w:rsid w:val="26FF3443"/>
    <w:rsid w:val="29E552B3"/>
    <w:rsid w:val="2A773B1E"/>
    <w:rsid w:val="2AC393F7"/>
    <w:rsid w:val="2B71F2EF"/>
    <w:rsid w:val="2BB230BF"/>
    <w:rsid w:val="2C3BE5C8"/>
    <w:rsid w:val="2C56E550"/>
    <w:rsid w:val="2D85684A"/>
    <w:rsid w:val="2E9CBF95"/>
    <w:rsid w:val="30665459"/>
    <w:rsid w:val="30F18E72"/>
    <w:rsid w:val="32AB4588"/>
    <w:rsid w:val="32D1B937"/>
    <w:rsid w:val="32DDBD22"/>
    <w:rsid w:val="3309A305"/>
    <w:rsid w:val="339BEE00"/>
    <w:rsid w:val="34292F34"/>
    <w:rsid w:val="34F61D5B"/>
    <w:rsid w:val="35A0E537"/>
    <w:rsid w:val="367A7E7F"/>
    <w:rsid w:val="37457E8B"/>
    <w:rsid w:val="3832000F"/>
    <w:rsid w:val="385C0EC1"/>
    <w:rsid w:val="3893E824"/>
    <w:rsid w:val="39096297"/>
    <w:rsid w:val="3B8383C6"/>
    <w:rsid w:val="3BBEEEF9"/>
    <w:rsid w:val="3D379F02"/>
    <w:rsid w:val="3EAA09B0"/>
    <w:rsid w:val="3EE59E52"/>
    <w:rsid w:val="3F5AF5B5"/>
    <w:rsid w:val="3FBFF33B"/>
    <w:rsid w:val="3FC0993B"/>
    <w:rsid w:val="40CDB342"/>
    <w:rsid w:val="411AA19F"/>
    <w:rsid w:val="417C0F9D"/>
    <w:rsid w:val="42A00F77"/>
    <w:rsid w:val="45660FDA"/>
    <w:rsid w:val="46144E6E"/>
    <w:rsid w:val="48652687"/>
    <w:rsid w:val="48B30714"/>
    <w:rsid w:val="48D3F65F"/>
    <w:rsid w:val="494C3A69"/>
    <w:rsid w:val="49723AC3"/>
    <w:rsid w:val="49F58F1B"/>
    <w:rsid w:val="4A2FBB71"/>
    <w:rsid w:val="4A418FB5"/>
    <w:rsid w:val="4A7FDD29"/>
    <w:rsid w:val="4ACCD60F"/>
    <w:rsid w:val="4B682D44"/>
    <w:rsid w:val="4BE41A95"/>
    <w:rsid w:val="4BFB9783"/>
    <w:rsid w:val="4D636561"/>
    <w:rsid w:val="4DA78636"/>
    <w:rsid w:val="4DBF10C6"/>
    <w:rsid w:val="4F1DF5A6"/>
    <w:rsid w:val="4F5F83F9"/>
    <w:rsid w:val="52BB7574"/>
    <w:rsid w:val="52CC2789"/>
    <w:rsid w:val="53A502F1"/>
    <w:rsid w:val="5638BD1A"/>
    <w:rsid w:val="568D99C3"/>
    <w:rsid w:val="583D82A4"/>
    <w:rsid w:val="58FD239D"/>
    <w:rsid w:val="5937B9A6"/>
    <w:rsid w:val="5A69F00F"/>
    <w:rsid w:val="5A86EA07"/>
    <w:rsid w:val="5A8E6848"/>
    <w:rsid w:val="5B1B848C"/>
    <w:rsid w:val="5BB72432"/>
    <w:rsid w:val="5CBC73AD"/>
    <w:rsid w:val="5D5EA2EF"/>
    <w:rsid w:val="5E055C39"/>
    <w:rsid w:val="5E227555"/>
    <w:rsid w:val="5EBC8740"/>
    <w:rsid w:val="5EE6E4DB"/>
    <w:rsid w:val="5F7402FE"/>
    <w:rsid w:val="5F8D4A1B"/>
    <w:rsid w:val="60646467"/>
    <w:rsid w:val="6078EC7A"/>
    <w:rsid w:val="60F4C78D"/>
    <w:rsid w:val="62E2BFDD"/>
    <w:rsid w:val="6313E5FE"/>
    <w:rsid w:val="63A00F3E"/>
    <w:rsid w:val="64F7D15E"/>
    <w:rsid w:val="670F3207"/>
    <w:rsid w:val="6831E689"/>
    <w:rsid w:val="6BB59E43"/>
    <w:rsid w:val="6C03A36E"/>
    <w:rsid w:val="6D801403"/>
    <w:rsid w:val="6EB9CBDB"/>
    <w:rsid w:val="7045F82F"/>
    <w:rsid w:val="7065C5CF"/>
    <w:rsid w:val="7086EF91"/>
    <w:rsid w:val="72494348"/>
    <w:rsid w:val="7278DCA2"/>
    <w:rsid w:val="72CCC448"/>
    <w:rsid w:val="73028405"/>
    <w:rsid w:val="73675655"/>
    <w:rsid w:val="74071E45"/>
    <w:rsid w:val="74D00FD5"/>
    <w:rsid w:val="751DE589"/>
    <w:rsid w:val="758084F4"/>
    <w:rsid w:val="76A48FE8"/>
    <w:rsid w:val="77BBE798"/>
    <w:rsid w:val="77DCC5FD"/>
    <w:rsid w:val="77E88B1B"/>
    <w:rsid w:val="786C4BD9"/>
    <w:rsid w:val="792C2A4E"/>
    <w:rsid w:val="7AB427C7"/>
    <w:rsid w:val="7ABD4084"/>
    <w:rsid w:val="7ADDCCCB"/>
    <w:rsid w:val="7D8D3383"/>
    <w:rsid w:val="7DFE7217"/>
    <w:rsid w:val="7EF61ABD"/>
    <w:rsid w:val="7F074434"/>
    <w:rsid w:val="7F9CE3B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AE267773-6254-4E7A-A2C8-A1505B76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3"/>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11"/>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6"/>
      </w:numPr>
    </w:pPr>
  </w:style>
  <w:style w:type="paragraph" w:customStyle="1" w:styleId="Numberedparagraphdouble">
    <w:name w:val="Numbered paragraph (double)"/>
    <w:aliases w:val="Numbered paragraph (single)"/>
    <w:basedOn w:val="Normal"/>
    <w:uiPriority w:val="8"/>
    <w:qFormat/>
    <w:rsid w:val="00534962"/>
    <w:pPr>
      <w:numPr>
        <w:ilvl w:val="1"/>
        <w:numId w:val="13"/>
      </w:numPr>
    </w:pPr>
  </w:style>
  <w:style w:type="paragraph" w:customStyle="1" w:styleId="Bulletround">
    <w:name w:val="Bullet (round)"/>
    <w:aliases w:val="Bullet (square)"/>
    <w:basedOn w:val="Normal"/>
    <w:uiPriority w:val="10"/>
    <w:qFormat/>
    <w:rsid w:val="00534962"/>
    <w:pPr>
      <w:numPr>
        <w:ilvl w:val="5"/>
        <w:numId w:val="13"/>
      </w:numPr>
    </w:pPr>
  </w:style>
  <w:style w:type="paragraph" w:customStyle="1" w:styleId="Bullet-">
    <w:name w:val="Bullet (-)"/>
    <w:basedOn w:val="Normal"/>
    <w:uiPriority w:val="11"/>
    <w:qFormat/>
    <w:rsid w:val="00534962"/>
    <w:pPr>
      <w:numPr>
        <w:ilvl w:val="6"/>
        <w:numId w:val="13"/>
      </w:numPr>
    </w:pPr>
  </w:style>
  <w:style w:type="paragraph" w:customStyle="1" w:styleId="Bulletalpha">
    <w:name w:val="Bullet (alpha)"/>
    <w:basedOn w:val="Normal"/>
    <w:uiPriority w:val="11"/>
    <w:qFormat/>
    <w:rsid w:val="00534962"/>
    <w:pPr>
      <w:numPr>
        <w:ilvl w:val="2"/>
        <w:numId w:val="13"/>
      </w:numPr>
    </w:pPr>
  </w:style>
  <w:style w:type="paragraph" w:customStyle="1" w:styleId="Bulletroman">
    <w:name w:val="Bullet (roman)"/>
    <w:basedOn w:val="Normal"/>
    <w:uiPriority w:val="11"/>
    <w:qFormat/>
    <w:rsid w:val="00534962"/>
    <w:pPr>
      <w:numPr>
        <w:ilvl w:val="3"/>
        <w:numId w:val="13"/>
      </w:numPr>
    </w:pPr>
  </w:style>
  <w:style w:type="paragraph" w:customStyle="1" w:styleId="NormalBulletround">
    <w:name w:val="Normal Bullet (round)"/>
    <w:aliases w:val="Normal Bullet (square)"/>
    <w:basedOn w:val="Normal"/>
    <w:uiPriority w:val="4"/>
    <w:qFormat/>
    <w:rsid w:val="0021141B"/>
    <w:pPr>
      <w:numPr>
        <w:ilvl w:val="4"/>
        <w:numId w:val="23"/>
      </w:numPr>
    </w:pPr>
  </w:style>
  <w:style w:type="paragraph" w:customStyle="1" w:styleId="NormalBullet-">
    <w:name w:val="Normal Bullet (-)"/>
    <w:basedOn w:val="Normal"/>
    <w:uiPriority w:val="5"/>
    <w:qFormat/>
    <w:rsid w:val="0021141B"/>
    <w:pPr>
      <w:numPr>
        <w:ilvl w:val="5"/>
        <w:numId w:val="23"/>
      </w:numPr>
    </w:pPr>
  </w:style>
  <w:style w:type="paragraph" w:customStyle="1" w:styleId="NormalBulletalpha">
    <w:name w:val="Normal Bullet (alpha)"/>
    <w:basedOn w:val="Normal"/>
    <w:uiPriority w:val="5"/>
    <w:qFormat/>
    <w:rsid w:val="0021141B"/>
    <w:pPr>
      <w:numPr>
        <w:ilvl w:val="1"/>
        <w:numId w:val="23"/>
      </w:numPr>
    </w:pPr>
  </w:style>
  <w:style w:type="paragraph" w:customStyle="1" w:styleId="NormalBulletroman">
    <w:name w:val="Normal Bullet (roman)"/>
    <w:basedOn w:val="Normal"/>
    <w:uiPriority w:val="5"/>
    <w:qFormat/>
    <w:rsid w:val="0021141B"/>
    <w:pPr>
      <w:numPr>
        <w:ilvl w:val="2"/>
        <w:numId w:val="23"/>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7"/>
      </w:numPr>
    </w:pPr>
  </w:style>
  <w:style w:type="paragraph" w:customStyle="1" w:styleId="Boxedparagraph">
    <w:name w:val="Boxed paragraph"/>
    <w:basedOn w:val="Normal"/>
    <w:uiPriority w:val="13"/>
    <w:qFormat/>
    <w:rsid w:val="00534962"/>
    <w:pPr>
      <w:numPr>
        <w:numId w:val="12"/>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8"/>
      </w:numPr>
    </w:pPr>
  </w:style>
  <w:style w:type="paragraph" w:customStyle="1" w:styleId="Bulletchecklist">
    <w:name w:val="Bullet (checklist)"/>
    <w:basedOn w:val="Normal"/>
    <w:uiPriority w:val="14"/>
    <w:qFormat/>
    <w:rsid w:val="00534962"/>
    <w:pPr>
      <w:numPr>
        <w:numId w:val="9"/>
      </w:numPr>
    </w:pPr>
  </w:style>
  <w:style w:type="numbering" w:customStyle="1" w:styleId="ORRChecklist">
    <w:name w:val="ORRChecklist"/>
    <w:uiPriority w:val="99"/>
    <w:rsid w:val="00534962"/>
    <w:pPr>
      <w:numPr>
        <w:numId w:val="9"/>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3"/>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3"/>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3"/>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3"/>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20"/>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4"/>
      </w:numPr>
    </w:pPr>
  </w:style>
  <w:style w:type="paragraph" w:customStyle="1" w:styleId="HighlightPurpleWide">
    <w:name w:val="HighlightPurpleWide"/>
    <w:basedOn w:val="Normal"/>
    <w:uiPriority w:val="15"/>
    <w:qFormat/>
    <w:rsid w:val="00894D7D"/>
    <w:pPr>
      <w:numPr>
        <w:ilvl w:val="1"/>
        <w:numId w:val="20"/>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20"/>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5"/>
      </w:numPr>
    </w:pPr>
  </w:style>
  <w:style w:type="paragraph" w:customStyle="1" w:styleId="AnnexParagraph">
    <w:name w:val="Annex Paragraph"/>
    <w:basedOn w:val="Normal"/>
    <w:uiPriority w:val="22"/>
    <w:qFormat/>
    <w:rsid w:val="008A25C5"/>
    <w:pPr>
      <w:numPr>
        <w:ilvl w:val="1"/>
        <w:numId w:val="25"/>
      </w:numPr>
    </w:pPr>
  </w:style>
  <w:style w:type="numbering" w:customStyle="1" w:styleId="ORRAnnex">
    <w:name w:val="ORRAnnex"/>
    <w:uiPriority w:val="99"/>
    <w:rsid w:val="008A25C5"/>
    <w:pPr>
      <w:numPr>
        <w:numId w:val="16"/>
      </w:numPr>
    </w:pPr>
  </w:style>
  <w:style w:type="paragraph" w:customStyle="1" w:styleId="AnnexBulletAlpha">
    <w:name w:val="Annex Bullet (Alpha)"/>
    <w:basedOn w:val="Normal"/>
    <w:uiPriority w:val="24"/>
    <w:qFormat/>
    <w:rsid w:val="008A25C5"/>
    <w:pPr>
      <w:numPr>
        <w:ilvl w:val="2"/>
        <w:numId w:val="25"/>
      </w:numPr>
    </w:pPr>
  </w:style>
  <w:style w:type="paragraph" w:customStyle="1" w:styleId="AnnexBulletroman">
    <w:name w:val="Annex Bullet (roman)"/>
    <w:basedOn w:val="Normal"/>
    <w:uiPriority w:val="24"/>
    <w:qFormat/>
    <w:rsid w:val="008A25C5"/>
    <w:pPr>
      <w:numPr>
        <w:ilvl w:val="3"/>
        <w:numId w:val="25"/>
      </w:numPr>
    </w:pPr>
  </w:style>
  <w:style w:type="paragraph" w:customStyle="1" w:styleId="AnnexBulletnumber">
    <w:name w:val="Annex Bullet (number)"/>
    <w:basedOn w:val="Normal"/>
    <w:uiPriority w:val="25"/>
    <w:qFormat/>
    <w:rsid w:val="008A25C5"/>
    <w:pPr>
      <w:numPr>
        <w:ilvl w:val="4"/>
        <w:numId w:val="25"/>
      </w:numPr>
    </w:pPr>
  </w:style>
  <w:style w:type="paragraph" w:customStyle="1" w:styleId="AnnexBulletround">
    <w:name w:val="Annex Bullet (round)"/>
    <w:basedOn w:val="Normal"/>
    <w:uiPriority w:val="23"/>
    <w:qFormat/>
    <w:rsid w:val="008A25C5"/>
    <w:pPr>
      <w:numPr>
        <w:ilvl w:val="5"/>
        <w:numId w:val="25"/>
      </w:numPr>
    </w:pPr>
  </w:style>
  <w:style w:type="paragraph" w:customStyle="1" w:styleId="AnnexBullet-">
    <w:name w:val="Annex Bullet (-)"/>
    <w:basedOn w:val="Normal"/>
    <w:uiPriority w:val="24"/>
    <w:qFormat/>
    <w:rsid w:val="008A25C5"/>
    <w:pPr>
      <w:numPr>
        <w:ilvl w:val="6"/>
        <w:numId w:val="25"/>
      </w:numPr>
    </w:pPr>
  </w:style>
  <w:style w:type="paragraph" w:customStyle="1" w:styleId="AnnexTableTitle">
    <w:name w:val="Annex TableTitle"/>
    <w:basedOn w:val="Normal"/>
    <w:next w:val="AnnexParagraph"/>
    <w:uiPriority w:val="18"/>
    <w:qFormat/>
    <w:rsid w:val="008A25C5"/>
    <w:pPr>
      <w:numPr>
        <w:ilvl w:val="7"/>
        <w:numId w:val="25"/>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3"/>
      </w:numPr>
    </w:pPr>
    <w:rPr>
      <w:b/>
    </w:rPr>
  </w:style>
  <w:style w:type="paragraph" w:customStyle="1" w:styleId="NormalFigureTitle">
    <w:name w:val="Normal FigureTitle"/>
    <w:basedOn w:val="Normal"/>
    <w:next w:val="Normal"/>
    <w:uiPriority w:val="26"/>
    <w:qFormat/>
    <w:rsid w:val="0021141B"/>
    <w:pPr>
      <w:keepNext/>
      <w:keepLines/>
      <w:numPr>
        <w:ilvl w:val="7"/>
        <w:numId w:val="23"/>
      </w:numPr>
    </w:pPr>
    <w:rPr>
      <w:b/>
    </w:rPr>
  </w:style>
  <w:style w:type="paragraph" w:customStyle="1" w:styleId="AnnexFigureTitle">
    <w:name w:val="Annex FigureTitle"/>
    <w:basedOn w:val="Normal"/>
    <w:next w:val="Normal"/>
    <w:uiPriority w:val="26"/>
    <w:rsid w:val="008A25C5"/>
    <w:pPr>
      <w:keepNext/>
      <w:keepLines/>
      <w:numPr>
        <w:ilvl w:val="8"/>
        <w:numId w:val="25"/>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6"/>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6"/>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6"/>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2A2615"/>
    <w:rPr>
      <w:color w:val="2B579A"/>
      <w:shd w:val="clear" w:color="auto" w:fill="E1DFDD"/>
    </w:rPr>
  </w:style>
  <w:style w:type="character" w:customStyle="1" w:styleId="normaltextrun">
    <w:name w:val="normaltextrun"/>
    <w:basedOn w:val="DefaultParagraphFont"/>
    <w:rsid w:val="000945F1"/>
  </w:style>
  <w:style w:type="character" w:customStyle="1" w:styleId="eop">
    <w:name w:val="eop"/>
    <w:basedOn w:val="DefaultParagraphFont"/>
    <w:rsid w:val="000945F1"/>
  </w:style>
  <w:style w:type="paragraph" w:customStyle="1" w:styleId="paragraph">
    <w:name w:val="paragraph"/>
    <w:basedOn w:val="Normal"/>
    <w:rsid w:val="000945F1"/>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5043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orr.gov.uk/media/23638" TargetMode="External"/><Relationship Id="rId39" Type="http://schemas.openxmlformats.org/officeDocument/2006/relationships/fontTable" Target="fontTable.xml"/><Relationship Id="rId21" Type="http://schemas.openxmlformats.org/officeDocument/2006/relationships/hyperlink" Target="https://www.gov.uk/government/consultations/shaping-the-future-of-englands-strategic-roads/shaping-the-future-of-englands-strategic-roads" TargetMode="External"/><Relationship Id="rId34" Type="http://schemas.openxmlformats.org/officeDocument/2006/relationships/header" Target="header9.xml"/><Relationship Id="rId42" Type="http://schemas.microsoft.com/office/2020/10/relationships/intelligence" Target="intelligence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search-consultations/orrs-role-and-approach-ris3" TargetMode="Externa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orr.gov.uk/sites/default/files/2022-05/ris3-enhancements-delivery-timescales-and-risks-review-nichols-report-february-2022.pdf" TargetMode="External"/><Relationship Id="rId32" Type="http://schemas.openxmlformats.org/officeDocument/2006/relationships/hyperlink" Target="mailto:procurementteam@orr.gov.uk" TargetMode="External"/><Relationship Id="rId37" Type="http://schemas.openxmlformats.org/officeDocument/2006/relationships/header" Target="header10.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orr.gov.uk/sites/default/files/2022-05/ris3-renewals-planning-task-1-eam-report.pdf" TargetMode="External"/><Relationship Id="rId28" Type="http://schemas.openxmlformats.org/officeDocument/2006/relationships/header" Target="header7.xml"/><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yperlink" Target="https://www.gov.uk/contracts-finder"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gov.uk/government/publications/road-investment-strategy-2-ris2-2020-to-2025" TargetMode="External"/><Relationship Id="rId27" Type="http://schemas.openxmlformats.org/officeDocument/2006/relationships/header" Target="header6.xml"/><Relationship Id="rId30" Type="http://schemas.openxmlformats.org/officeDocument/2006/relationships/hyperlink" Target="http:\\www.nationalarchives.gov.uk/doc/open-government-licence/version/3" TargetMode="External"/><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orr.gov.uk/media/23638" TargetMode="External"/><Relationship Id="rId33" Type="http://schemas.openxmlformats.org/officeDocument/2006/relationships/header" Target="header8.xml"/><Relationship Id="rId38"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ebster\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150E1"/>
    <w:rsid w:val="000B1AC2"/>
    <w:rsid w:val="00115F57"/>
    <w:rsid w:val="001C6C3B"/>
    <w:rsid w:val="001D34EA"/>
    <w:rsid w:val="00254AEE"/>
    <w:rsid w:val="00296B09"/>
    <w:rsid w:val="00364509"/>
    <w:rsid w:val="0052131C"/>
    <w:rsid w:val="0065400E"/>
    <w:rsid w:val="00721EA5"/>
    <w:rsid w:val="00843948"/>
    <w:rsid w:val="008A31D6"/>
    <w:rsid w:val="008F1BCE"/>
    <w:rsid w:val="00930DD0"/>
    <w:rsid w:val="00984A2B"/>
    <w:rsid w:val="009D284A"/>
    <w:rsid w:val="009E0644"/>
    <w:rsid w:val="00A1657B"/>
    <w:rsid w:val="00A257DF"/>
    <w:rsid w:val="00A35EF6"/>
    <w:rsid w:val="00A72823"/>
    <w:rsid w:val="00C51D0F"/>
    <w:rsid w:val="00DB3752"/>
    <w:rsid w:val="00E21E7E"/>
    <w:rsid w:val="00E30E27"/>
    <w:rsid w:val="00EC076E"/>
    <w:rsid w:val="00EE41B3"/>
    <w:rsid w:val="00F06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12</TotalTime>
  <Pages>31</Pages>
  <Words>7778</Words>
  <Characters>44341</Characters>
  <Application>Microsoft Office Word</Application>
  <DocSecurity>0</DocSecurity>
  <Lines>369</Lines>
  <Paragraphs>104</Paragraphs>
  <ScaleCrop>false</ScaleCrop>
  <Company>HP</Company>
  <LinksUpToDate>false</LinksUpToDate>
  <CharactersWithSpaces>52015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Title of project</dc:subject>
  <dc:creator>Angeriz-Santos, Paula</dc:creator>
  <cp:keywords/>
  <dc:description/>
  <cp:lastModifiedBy>Webster, Gayle</cp:lastModifiedBy>
  <cp:revision>6</cp:revision>
  <cp:lastPrinted>2021-02-24T15:29:00Z</cp:lastPrinted>
  <dcterms:created xsi:type="dcterms:W3CDTF">2023-09-28T10:19:00Z</dcterms:created>
  <dcterms:modified xsi:type="dcterms:W3CDTF">2023-09-28T14:50:00Z</dcterms:modified>
</cp:coreProperties>
</file>