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37B" w:rsidRPr="00F2237B" w:rsidRDefault="00F2237B" w:rsidP="00F2237B">
      <w:pPr>
        <w:jc w:val="center"/>
        <w:outlineLvl w:val="0"/>
      </w:pPr>
    </w:p>
    <w:p w:rsidR="00F2237B" w:rsidRPr="00F2237B" w:rsidRDefault="00F2237B" w:rsidP="00F2237B">
      <w:pPr>
        <w:jc w:val="center"/>
        <w:outlineLvl w:val="0"/>
      </w:pPr>
    </w:p>
    <w:p w:rsidR="00F2237B" w:rsidRPr="00F2237B" w:rsidRDefault="00F2237B" w:rsidP="00F2237B">
      <w:pPr>
        <w:jc w:val="center"/>
        <w:outlineLvl w:val="0"/>
      </w:pPr>
    </w:p>
    <w:p w:rsidR="00F2237B" w:rsidRPr="00F2237B" w:rsidRDefault="00F2237B" w:rsidP="00F2237B">
      <w:pPr>
        <w:pStyle w:val="Title"/>
        <w:spacing w:before="120"/>
        <w:rPr>
          <w:rFonts w:cs="Arial"/>
          <w:szCs w:val="40"/>
        </w:rPr>
      </w:pPr>
    </w:p>
    <w:p w:rsidR="00F2237B" w:rsidRDefault="00F2237B" w:rsidP="00F2237B">
      <w:pPr>
        <w:pStyle w:val="Title"/>
        <w:rPr>
          <w:rFonts w:cs="Arial"/>
          <w:szCs w:val="40"/>
        </w:rPr>
      </w:pPr>
    </w:p>
    <w:p w:rsidR="00F2237B" w:rsidRDefault="00F2237B" w:rsidP="00F2237B">
      <w:pPr>
        <w:pStyle w:val="Title"/>
        <w:jc w:val="right"/>
        <w:rPr>
          <w:rFonts w:cs="Arial"/>
          <w:szCs w:val="40"/>
        </w:rPr>
      </w:pPr>
    </w:p>
    <w:p w:rsidR="00F2237B" w:rsidRDefault="00F2237B" w:rsidP="00F2237B">
      <w:pPr>
        <w:pStyle w:val="Title"/>
        <w:jc w:val="right"/>
        <w:rPr>
          <w:rFonts w:cs="Arial"/>
          <w:szCs w:val="40"/>
        </w:rPr>
      </w:pPr>
    </w:p>
    <w:p w:rsidR="00F2237B" w:rsidRDefault="00F2237B" w:rsidP="00F2237B">
      <w:pPr>
        <w:pStyle w:val="Title"/>
        <w:jc w:val="right"/>
        <w:rPr>
          <w:rFonts w:cs="Arial"/>
          <w:szCs w:val="40"/>
        </w:rPr>
      </w:pPr>
    </w:p>
    <w:p w:rsidR="00F2237B" w:rsidRDefault="00F2237B" w:rsidP="00F2237B">
      <w:pPr>
        <w:pStyle w:val="Title"/>
        <w:jc w:val="right"/>
        <w:rPr>
          <w:rFonts w:cs="Arial"/>
          <w:szCs w:val="40"/>
        </w:rPr>
      </w:pPr>
    </w:p>
    <w:p w:rsidR="00F2237B" w:rsidRDefault="00F2237B" w:rsidP="00F2237B">
      <w:pPr>
        <w:pStyle w:val="Title"/>
        <w:jc w:val="right"/>
        <w:rPr>
          <w:rFonts w:cs="Arial"/>
          <w:szCs w:val="40"/>
        </w:rPr>
      </w:pPr>
      <w:r>
        <w:rPr>
          <w:rFonts w:cs="Arial"/>
          <w:szCs w:val="40"/>
        </w:rPr>
        <w:t>SPECIFICATION TEMPLATE</w:t>
      </w:r>
    </w:p>
    <w:p w:rsidR="00F2237B" w:rsidRPr="00F2237B" w:rsidRDefault="00FA117C" w:rsidP="00F2237B">
      <w:pPr>
        <w:pStyle w:val="Title"/>
        <w:jc w:val="right"/>
        <w:rPr>
          <w:rFonts w:cs="Arial"/>
          <w:szCs w:val="40"/>
        </w:rPr>
      </w:pPr>
      <w:r>
        <w:rPr>
          <w:rFonts w:cs="Arial"/>
          <w:szCs w:val="40"/>
        </w:rPr>
        <w:t>VERSION 0.</w:t>
      </w:r>
      <w:r w:rsidR="00753AF1">
        <w:rPr>
          <w:rFonts w:cs="Arial"/>
          <w:szCs w:val="40"/>
        </w:rPr>
        <w:t>7</w:t>
      </w:r>
    </w:p>
    <w:p w:rsidR="00F2237B" w:rsidRDefault="00F2237B" w:rsidP="00F2237B">
      <w:pPr>
        <w:pStyle w:val="Title"/>
        <w:rPr>
          <w:rFonts w:cs="Arial"/>
          <w:szCs w:val="40"/>
        </w:rPr>
      </w:pPr>
    </w:p>
    <w:p w:rsidR="00F2237B" w:rsidRDefault="00F2237B" w:rsidP="00F2237B">
      <w:pPr>
        <w:pStyle w:val="Title"/>
        <w:rPr>
          <w:rFonts w:cs="Arial"/>
          <w:szCs w:val="40"/>
        </w:rPr>
      </w:pPr>
    </w:p>
    <w:p w:rsidR="00F2237B" w:rsidRPr="00F2237B" w:rsidRDefault="00F2237B" w:rsidP="00F2237B">
      <w:pPr>
        <w:pStyle w:val="Title"/>
        <w:rPr>
          <w:rFonts w:cs="Arial"/>
          <w:szCs w:val="40"/>
        </w:rPr>
      </w:pPr>
      <w:r w:rsidRPr="00F2237B">
        <w:rPr>
          <w:rFonts w:cs="Arial"/>
          <w:szCs w:val="40"/>
        </w:rPr>
        <w:t xml:space="preserve"> </w:t>
      </w:r>
    </w:p>
    <w:p w:rsidR="00F2237B" w:rsidRPr="00F2237B" w:rsidRDefault="00F2237B" w:rsidP="00F2237B">
      <w:pPr>
        <w:pStyle w:val="Title"/>
        <w:rPr>
          <w:rFonts w:cs="Arial"/>
          <w:lang w:val="fr-FR"/>
        </w:rPr>
      </w:pPr>
    </w:p>
    <w:p w:rsidR="00F2237B" w:rsidRPr="00F2237B" w:rsidRDefault="00F2237B" w:rsidP="00F2237B">
      <w:pPr>
        <w:pStyle w:val="Title"/>
        <w:rPr>
          <w:rFonts w:cs="Arial"/>
          <w:lang w:val="fr-FR"/>
        </w:rPr>
      </w:pPr>
    </w:p>
    <w:p w:rsidR="00F2237B" w:rsidRPr="00F2237B" w:rsidRDefault="00F2237B" w:rsidP="00F2237B">
      <w:pPr>
        <w:pStyle w:val="Title"/>
        <w:rPr>
          <w:rFonts w:cs="Arial"/>
          <w:lang w:val="fr-FR"/>
        </w:rPr>
      </w:pPr>
    </w:p>
    <w:p w:rsidR="00CA701B" w:rsidRDefault="00CA701B" w:rsidP="00CA701B">
      <w:pPr>
        <w:pStyle w:val="Title"/>
        <w:jc w:val="right"/>
        <w:rPr>
          <w:rFonts w:cs="Arial"/>
          <w:color w:val="000000"/>
          <w:sz w:val="24"/>
          <w:szCs w:val="24"/>
        </w:rPr>
      </w:pPr>
    </w:p>
    <w:p w:rsidR="00CA701B" w:rsidRDefault="00CA701B" w:rsidP="00CA701B">
      <w:pPr>
        <w:pStyle w:val="Title"/>
        <w:jc w:val="right"/>
        <w:rPr>
          <w:rFonts w:cs="Arial"/>
          <w:color w:val="000000"/>
          <w:sz w:val="24"/>
          <w:szCs w:val="24"/>
        </w:rPr>
      </w:pPr>
    </w:p>
    <w:p w:rsidR="00CA701B" w:rsidRDefault="00CA701B" w:rsidP="00CA701B">
      <w:pPr>
        <w:pStyle w:val="Title"/>
        <w:jc w:val="right"/>
        <w:rPr>
          <w:rFonts w:cs="Arial"/>
          <w:color w:val="000000"/>
          <w:sz w:val="24"/>
          <w:szCs w:val="24"/>
        </w:rPr>
      </w:pPr>
    </w:p>
    <w:p w:rsidR="00CA701B" w:rsidRDefault="00CA701B" w:rsidP="00CA701B">
      <w:pPr>
        <w:pStyle w:val="Title"/>
        <w:jc w:val="right"/>
        <w:rPr>
          <w:rFonts w:cs="Arial"/>
          <w:color w:val="000000"/>
          <w:sz w:val="24"/>
          <w:szCs w:val="24"/>
        </w:rPr>
      </w:pPr>
    </w:p>
    <w:p w:rsidR="00CA701B" w:rsidRDefault="00CA701B" w:rsidP="00CA701B">
      <w:pPr>
        <w:pStyle w:val="Title"/>
        <w:jc w:val="right"/>
        <w:rPr>
          <w:rFonts w:cs="Arial"/>
          <w:color w:val="000000"/>
          <w:sz w:val="24"/>
          <w:szCs w:val="24"/>
        </w:rPr>
      </w:pPr>
    </w:p>
    <w:p w:rsidR="00CA701B" w:rsidRDefault="00CA701B" w:rsidP="00CA701B">
      <w:pPr>
        <w:pStyle w:val="Title"/>
        <w:jc w:val="right"/>
        <w:rPr>
          <w:rFonts w:cs="Arial"/>
          <w:color w:val="000000"/>
          <w:sz w:val="24"/>
          <w:szCs w:val="24"/>
        </w:rPr>
      </w:pPr>
    </w:p>
    <w:p w:rsidR="00CA701B" w:rsidRDefault="00CA701B" w:rsidP="00CA701B">
      <w:pPr>
        <w:pStyle w:val="Title"/>
        <w:jc w:val="right"/>
        <w:rPr>
          <w:rFonts w:cs="Arial"/>
          <w:color w:val="000000"/>
          <w:sz w:val="24"/>
          <w:szCs w:val="24"/>
        </w:rPr>
      </w:pPr>
    </w:p>
    <w:p w:rsidR="00CA701B" w:rsidRDefault="00CA701B" w:rsidP="00CA701B">
      <w:pPr>
        <w:pStyle w:val="Title"/>
        <w:jc w:val="right"/>
        <w:rPr>
          <w:rFonts w:cs="Arial"/>
          <w:color w:val="000000"/>
          <w:sz w:val="24"/>
          <w:szCs w:val="24"/>
        </w:rPr>
      </w:pPr>
    </w:p>
    <w:p w:rsidR="00CA701B" w:rsidRDefault="00CA701B" w:rsidP="00CA701B">
      <w:pPr>
        <w:pStyle w:val="Title"/>
        <w:jc w:val="right"/>
        <w:rPr>
          <w:rFonts w:cs="Arial"/>
          <w:color w:val="000000"/>
          <w:sz w:val="24"/>
          <w:szCs w:val="24"/>
        </w:rPr>
      </w:pPr>
    </w:p>
    <w:p w:rsidR="00CA701B" w:rsidRDefault="00CA701B" w:rsidP="00CA701B">
      <w:pPr>
        <w:pStyle w:val="Title"/>
        <w:jc w:val="right"/>
        <w:rPr>
          <w:rFonts w:cs="Arial"/>
          <w:color w:val="000000"/>
          <w:sz w:val="24"/>
          <w:szCs w:val="24"/>
        </w:rPr>
      </w:pPr>
    </w:p>
    <w:p w:rsidR="00CA701B" w:rsidRDefault="00CA701B" w:rsidP="00CA701B">
      <w:pPr>
        <w:pStyle w:val="Title"/>
        <w:jc w:val="right"/>
        <w:rPr>
          <w:rFonts w:cs="Arial"/>
          <w:color w:val="000000"/>
          <w:sz w:val="24"/>
          <w:szCs w:val="24"/>
        </w:rPr>
      </w:pPr>
    </w:p>
    <w:p w:rsidR="00CA701B" w:rsidRDefault="00CA701B" w:rsidP="00CA701B">
      <w:pPr>
        <w:pStyle w:val="Title"/>
        <w:jc w:val="right"/>
        <w:rPr>
          <w:rFonts w:cs="Arial"/>
          <w:color w:val="000000"/>
          <w:sz w:val="24"/>
          <w:szCs w:val="24"/>
        </w:rPr>
      </w:pPr>
    </w:p>
    <w:p w:rsidR="00F2237B" w:rsidRPr="00CA701B" w:rsidRDefault="00CA701B" w:rsidP="00CA701B">
      <w:pPr>
        <w:pStyle w:val="Title"/>
        <w:jc w:val="right"/>
        <w:rPr>
          <w:rFonts w:cs="Arial"/>
          <w:color w:val="000000"/>
          <w:sz w:val="24"/>
          <w:szCs w:val="24"/>
        </w:rPr>
      </w:pPr>
      <w:r w:rsidRPr="00CA701B">
        <w:rPr>
          <w:rFonts w:cs="Arial"/>
          <w:color w:val="000000"/>
          <w:sz w:val="24"/>
          <w:szCs w:val="24"/>
        </w:rPr>
        <w:t>Document Control</w:t>
      </w:r>
    </w:p>
    <w:tbl>
      <w:tblPr>
        <w:tblStyle w:val="TableGrid"/>
        <w:tblW w:w="0" w:type="auto"/>
        <w:tblInd w:w="5637" w:type="dxa"/>
        <w:tblLook w:val="04A0" w:firstRow="1" w:lastRow="0" w:firstColumn="1" w:lastColumn="0" w:noHBand="0" w:noVBand="1"/>
      </w:tblPr>
      <w:tblGrid>
        <w:gridCol w:w="1417"/>
        <w:gridCol w:w="2188"/>
      </w:tblGrid>
      <w:tr w:rsidR="006F3F30" w:rsidTr="006F3F30">
        <w:tc>
          <w:tcPr>
            <w:tcW w:w="1417" w:type="dxa"/>
          </w:tcPr>
          <w:p w:rsidR="006F3F30" w:rsidRPr="006F3F30" w:rsidRDefault="006F3F30" w:rsidP="00CA701B">
            <w:pPr>
              <w:pStyle w:val="Title"/>
              <w:jc w:val="right"/>
              <w:rPr>
                <w:rFonts w:cs="Arial"/>
                <w:color w:val="000000"/>
                <w:sz w:val="22"/>
                <w:szCs w:val="22"/>
              </w:rPr>
            </w:pPr>
            <w:r>
              <w:rPr>
                <w:rFonts w:cs="Arial"/>
                <w:color w:val="000000"/>
                <w:sz w:val="22"/>
                <w:szCs w:val="22"/>
              </w:rPr>
              <w:t>Version</w:t>
            </w:r>
          </w:p>
        </w:tc>
        <w:tc>
          <w:tcPr>
            <w:tcW w:w="2188" w:type="dxa"/>
          </w:tcPr>
          <w:p w:rsidR="006F3F30" w:rsidRDefault="006F3F30" w:rsidP="00CA701B">
            <w:pPr>
              <w:pStyle w:val="Title"/>
              <w:jc w:val="right"/>
              <w:rPr>
                <w:rFonts w:cs="Arial"/>
                <w:color w:val="000000"/>
                <w:sz w:val="22"/>
                <w:szCs w:val="22"/>
              </w:rPr>
            </w:pPr>
            <w:r>
              <w:rPr>
                <w:rFonts w:cs="Arial"/>
                <w:color w:val="000000"/>
                <w:sz w:val="22"/>
                <w:szCs w:val="22"/>
              </w:rPr>
              <w:t>Comments</w:t>
            </w:r>
          </w:p>
        </w:tc>
      </w:tr>
      <w:tr w:rsidR="006F3F30" w:rsidTr="006F3F30">
        <w:tc>
          <w:tcPr>
            <w:tcW w:w="1417" w:type="dxa"/>
          </w:tcPr>
          <w:p w:rsidR="006F3F30" w:rsidRPr="006F3F30" w:rsidRDefault="006F3F30" w:rsidP="00CA701B">
            <w:pPr>
              <w:pStyle w:val="Title"/>
              <w:jc w:val="right"/>
              <w:rPr>
                <w:rFonts w:cs="Arial"/>
                <w:b w:val="0"/>
                <w:color w:val="000000"/>
                <w:sz w:val="22"/>
                <w:szCs w:val="22"/>
              </w:rPr>
            </w:pPr>
            <w:r>
              <w:rPr>
                <w:rFonts w:cs="Arial"/>
                <w:b w:val="0"/>
                <w:color w:val="000000"/>
                <w:sz w:val="22"/>
                <w:szCs w:val="22"/>
              </w:rPr>
              <w:t>0.1</w:t>
            </w:r>
          </w:p>
        </w:tc>
        <w:tc>
          <w:tcPr>
            <w:tcW w:w="2188" w:type="dxa"/>
          </w:tcPr>
          <w:p w:rsidR="006F3F30" w:rsidRPr="006F3F30" w:rsidRDefault="006F3F30" w:rsidP="00CA701B">
            <w:pPr>
              <w:pStyle w:val="Title"/>
              <w:jc w:val="right"/>
              <w:rPr>
                <w:rFonts w:cs="Arial"/>
                <w:b w:val="0"/>
                <w:color w:val="000000"/>
                <w:sz w:val="22"/>
                <w:szCs w:val="22"/>
              </w:rPr>
            </w:pPr>
            <w:r>
              <w:rPr>
                <w:rFonts w:cs="Arial"/>
                <w:b w:val="0"/>
                <w:color w:val="000000"/>
                <w:sz w:val="22"/>
                <w:szCs w:val="22"/>
              </w:rPr>
              <w:t>Draft 1 (06/07/12)</w:t>
            </w:r>
          </w:p>
        </w:tc>
      </w:tr>
      <w:tr w:rsidR="006F3F30" w:rsidTr="006F3F30">
        <w:tc>
          <w:tcPr>
            <w:tcW w:w="1417" w:type="dxa"/>
          </w:tcPr>
          <w:p w:rsidR="006F3F30" w:rsidRDefault="006F3F30" w:rsidP="00CA701B">
            <w:pPr>
              <w:pStyle w:val="Title"/>
              <w:jc w:val="right"/>
              <w:rPr>
                <w:rFonts w:cs="Arial"/>
                <w:b w:val="0"/>
                <w:color w:val="000000"/>
                <w:sz w:val="22"/>
                <w:szCs w:val="22"/>
              </w:rPr>
            </w:pPr>
            <w:r>
              <w:rPr>
                <w:rFonts w:cs="Arial"/>
                <w:b w:val="0"/>
                <w:color w:val="000000"/>
                <w:sz w:val="22"/>
                <w:szCs w:val="22"/>
              </w:rPr>
              <w:t>0.2</w:t>
            </w:r>
          </w:p>
        </w:tc>
        <w:tc>
          <w:tcPr>
            <w:tcW w:w="2188" w:type="dxa"/>
          </w:tcPr>
          <w:p w:rsidR="006F3F30" w:rsidRDefault="006F3F30" w:rsidP="00CA701B">
            <w:pPr>
              <w:pStyle w:val="Title"/>
              <w:jc w:val="right"/>
              <w:rPr>
                <w:rFonts w:cs="Arial"/>
                <w:b w:val="0"/>
                <w:color w:val="000000"/>
                <w:sz w:val="22"/>
                <w:szCs w:val="22"/>
              </w:rPr>
            </w:pPr>
            <w:r>
              <w:rPr>
                <w:rFonts w:cs="Arial"/>
                <w:b w:val="0"/>
                <w:color w:val="000000"/>
                <w:sz w:val="22"/>
                <w:szCs w:val="22"/>
              </w:rPr>
              <w:t>Draft 2 (12/07/12)</w:t>
            </w:r>
          </w:p>
        </w:tc>
      </w:tr>
      <w:tr w:rsidR="00B21974" w:rsidTr="006F3F30">
        <w:tc>
          <w:tcPr>
            <w:tcW w:w="1417" w:type="dxa"/>
          </w:tcPr>
          <w:p w:rsidR="00B21974" w:rsidRDefault="00B21974" w:rsidP="00CA701B">
            <w:pPr>
              <w:pStyle w:val="Title"/>
              <w:jc w:val="right"/>
              <w:rPr>
                <w:rFonts w:cs="Arial"/>
                <w:b w:val="0"/>
                <w:color w:val="000000"/>
                <w:sz w:val="22"/>
                <w:szCs w:val="22"/>
              </w:rPr>
            </w:pPr>
            <w:r>
              <w:rPr>
                <w:rFonts w:cs="Arial"/>
                <w:b w:val="0"/>
                <w:color w:val="000000"/>
                <w:sz w:val="22"/>
                <w:szCs w:val="22"/>
              </w:rPr>
              <w:t>0.3</w:t>
            </w:r>
          </w:p>
        </w:tc>
        <w:tc>
          <w:tcPr>
            <w:tcW w:w="2188" w:type="dxa"/>
          </w:tcPr>
          <w:p w:rsidR="00B21974" w:rsidRDefault="00B21974" w:rsidP="00CA701B">
            <w:pPr>
              <w:pStyle w:val="Title"/>
              <w:jc w:val="right"/>
              <w:rPr>
                <w:rFonts w:cs="Arial"/>
                <w:b w:val="0"/>
                <w:color w:val="000000"/>
                <w:sz w:val="22"/>
                <w:szCs w:val="22"/>
              </w:rPr>
            </w:pPr>
            <w:r>
              <w:rPr>
                <w:rFonts w:cs="Arial"/>
                <w:b w:val="0"/>
                <w:color w:val="000000"/>
                <w:sz w:val="22"/>
                <w:szCs w:val="22"/>
              </w:rPr>
              <w:t>Draft 3 (29/11/12)</w:t>
            </w:r>
          </w:p>
        </w:tc>
      </w:tr>
      <w:tr w:rsidR="00FA117C" w:rsidTr="006F3F30">
        <w:tc>
          <w:tcPr>
            <w:tcW w:w="1417" w:type="dxa"/>
          </w:tcPr>
          <w:p w:rsidR="00FA117C" w:rsidRDefault="00FA117C" w:rsidP="00CA701B">
            <w:pPr>
              <w:pStyle w:val="Title"/>
              <w:jc w:val="right"/>
              <w:rPr>
                <w:rFonts w:cs="Arial"/>
                <w:b w:val="0"/>
                <w:color w:val="000000"/>
                <w:sz w:val="22"/>
                <w:szCs w:val="22"/>
              </w:rPr>
            </w:pPr>
            <w:r>
              <w:rPr>
                <w:rFonts w:cs="Arial"/>
                <w:b w:val="0"/>
                <w:color w:val="000000"/>
                <w:sz w:val="22"/>
                <w:szCs w:val="22"/>
              </w:rPr>
              <w:t>0.4</w:t>
            </w:r>
          </w:p>
        </w:tc>
        <w:tc>
          <w:tcPr>
            <w:tcW w:w="2188" w:type="dxa"/>
          </w:tcPr>
          <w:p w:rsidR="00FA117C" w:rsidRDefault="00FA117C" w:rsidP="00CA701B">
            <w:pPr>
              <w:pStyle w:val="Title"/>
              <w:jc w:val="right"/>
              <w:rPr>
                <w:rFonts w:cs="Arial"/>
                <w:b w:val="0"/>
                <w:color w:val="000000"/>
                <w:sz w:val="22"/>
                <w:szCs w:val="22"/>
              </w:rPr>
            </w:pPr>
            <w:r>
              <w:rPr>
                <w:rFonts w:cs="Arial"/>
                <w:b w:val="0"/>
                <w:color w:val="000000"/>
                <w:sz w:val="22"/>
                <w:szCs w:val="22"/>
              </w:rPr>
              <w:t>Draft 4 (08/04/12)</w:t>
            </w:r>
          </w:p>
        </w:tc>
      </w:tr>
      <w:tr w:rsidR="00D279F6" w:rsidTr="006F3F30">
        <w:tc>
          <w:tcPr>
            <w:tcW w:w="1417" w:type="dxa"/>
          </w:tcPr>
          <w:p w:rsidR="00D279F6" w:rsidRDefault="00D279F6" w:rsidP="00CA701B">
            <w:pPr>
              <w:pStyle w:val="Title"/>
              <w:jc w:val="right"/>
              <w:rPr>
                <w:rFonts w:cs="Arial"/>
                <w:b w:val="0"/>
                <w:color w:val="000000"/>
                <w:sz w:val="22"/>
                <w:szCs w:val="22"/>
              </w:rPr>
            </w:pPr>
            <w:r>
              <w:rPr>
                <w:rFonts w:cs="Arial"/>
                <w:b w:val="0"/>
                <w:color w:val="000000"/>
                <w:sz w:val="22"/>
                <w:szCs w:val="22"/>
              </w:rPr>
              <w:t>0.5</w:t>
            </w:r>
          </w:p>
        </w:tc>
        <w:tc>
          <w:tcPr>
            <w:tcW w:w="2188" w:type="dxa"/>
          </w:tcPr>
          <w:p w:rsidR="00D279F6" w:rsidRDefault="00D279F6" w:rsidP="00CA701B">
            <w:pPr>
              <w:pStyle w:val="Title"/>
              <w:jc w:val="right"/>
              <w:rPr>
                <w:rFonts w:cs="Arial"/>
                <w:b w:val="0"/>
                <w:color w:val="000000"/>
                <w:sz w:val="22"/>
                <w:szCs w:val="22"/>
              </w:rPr>
            </w:pPr>
            <w:r>
              <w:rPr>
                <w:rFonts w:cs="Arial"/>
                <w:b w:val="0"/>
                <w:color w:val="000000"/>
                <w:sz w:val="22"/>
                <w:szCs w:val="22"/>
              </w:rPr>
              <w:t>Draft 5 (06/01/2015)</w:t>
            </w:r>
          </w:p>
        </w:tc>
      </w:tr>
      <w:tr w:rsidR="00EB3C97" w:rsidTr="006F3F30">
        <w:tc>
          <w:tcPr>
            <w:tcW w:w="1417" w:type="dxa"/>
          </w:tcPr>
          <w:p w:rsidR="00EB3C97" w:rsidRDefault="00EB3C97" w:rsidP="00CA701B">
            <w:pPr>
              <w:pStyle w:val="Title"/>
              <w:jc w:val="right"/>
              <w:rPr>
                <w:rFonts w:cs="Arial"/>
                <w:b w:val="0"/>
                <w:color w:val="000000"/>
                <w:sz w:val="22"/>
                <w:szCs w:val="22"/>
              </w:rPr>
            </w:pPr>
            <w:r>
              <w:rPr>
                <w:rFonts w:cs="Arial"/>
                <w:b w:val="0"/>
                <w:color w:val="000000"/>
                <w:sz w:val="22"/>
                <w:szCs w:val="22"/>
              </w:rPr>
              <w:t>0.6</w:t>
            </w:r>
          </w:p>
        </w:tc>
        <w:tc>
          <w:tcPr>
            <w:tcW w:w="2188" w:type="dxa"/>
          </w:tcPr>
          <w:p w:rsidR="00EB3C97" w:rsidRDefault="00EB3C97" w:rsidP="00CA701B">
            <w:pPr>
              <w:pStyle w:val="Title"/>
              <w:jc w:val="right"/>
              <w:rPr>
                <w:rFonts w:cs="Arial"/>
                <w:b w:val="0"/>
                <w:color w:val="000000"/>
                <w:sz w:val="22"/>
                <w:szCs w:val="22"/>
              </w:rPr>
            </w:pPr>
            <w:r>
              <w:rPr>
                <w:rFonts w:cs="Arial"/>
                <w:b w:val="0"/>
                <w:color w:val="000000"/>
                <w:sz w:val="22"/>
                <w:szCs w:val="22"/>
              </w:rPr>
              <w:t>Draft 6 (</w:t>
            </w:r>
            <w:r w:rsidR="009657E3">
              <w:rPr>
                <w:rFonts w:cs="Arial"/>
                <w:b w:val="0"/>
                <w:color w:val="000000"/>
                <w:sz w:val="22"/>
                <w:szCs w:val="22"/>
              </w:rPr>
              <w:t>21</w:t>
            </w:r>
            <w:r>
              <w:rPr>
                <w:rFonts w:cs="Arial"/>
                <w:b w:val="0"/>
                <w:color w:val="000000"/>
                <w:sz w:val="22"/>
                <w:szCs w:val="22"/>
              </w:rPr>
              <w:t>/01/2015)</w:t>
            </w:r>
          </w:p>
        </w:tc>
      </w:tr>
      <w:tr w:rsidR="003517E1" w:rsidTr="006F3F30">
        <w:tc>
          <w:tcPr>
            <w:tcW w:w="1417" w:type="dxa"/>
          </w:tcPr>
          <w:p w:rsidR="003517E1" w:rsidRDefault="003517E1" w:rsidP="00CA701B">
            <w:pPr>
              <w:pStyle w:val="Title"/>
              <w:jc w:val="right"/>
              <w:rPr>
                <w:rFonts w:cs="Arial"/>
                <w:b w:val="0"/>
                <w:color w:val="000000"/>
                <w:sz w:val="22"/>
                <w:szCs w:val="22"/>
              </w:rPr>
            </w:pPr>
            <w:r>
              <w:rPr>
                <w:rFonts w:cs="Arial"/>
                <w:b w:val="0"/>
                <w:color w:val="000000"/>
                <w:sz w:val="22"/>
                <w:szCs w:val="22"/>
              </w:rPr>
              <w:t>0.7</w:t>
            </w:r>
          </w:p>
        </w:tc>
        <w:tc>
          <w:tcPr>
            <w:tcW w:w="2188" w:type="dxa"/>
          </w:tcPr>
          <w:p w:rsidR="003517E1" w:rsidRDefault="003517E1" w:rsidP="00CA701B">
            <w:pPr>
              <w:pStyle w:val="Title"/>
              <w:jc w:val="right"/>
              <w:rPr>
                <w:rFonts w:cs="Arial"/>
                <w:b w:val="0"/>
                <w:color w:val="000000"/>
                <w:sz w:val="22"/>
                <w:szCs w:val="22"/>
              </w:rPr>
            </w:pPr>
            <w:r>
              <w:rPr>
                <w:rFonts w:cs="Arial"/>
                <w:b w:val="0"/>
                <w:color w:val="000000"/>
                <w:sz w:val="22"/>
                <w:szCs w:val="22"/>
              </w:rPr>
              <w:t>Final (28/01/2015</w:t>
            </w:r>
          </w:p>
        </w:tc>
      </w:tr>
    </w:tbl>
    <w:p w:rsidR="00CA701B" w:rsidRDefault="00CA701B" w:rsidP="00CA701B">
      <w:pPr>
        <w:pStyle w:val="Title"/>
        <w:jc w:val="right"/>
        <w:rPr>
          <w:rFonts w:cs="Arial"/>
          <w:color w:val="000000"/>
          <w:sz w:val="22"/>
          <w:szCs w:val="22"/>
        </w:rPr>
      </w:pPr>
    </w:p>
    <w:p w:rsidR="00CA701B" w:rsidRPr="00F2237B" w:rsidRDefault="00CA701B" w:rsidP="00F2237B">
      <w:pPr>
        <w:pStyle w:val="Title"/>
        <w:rPr>
          <w:rFonts w:cs="Arial"/>
          <w:color w:val="000000"/>
          <w:sz w:val="22"/>
          <w:szCs w:val="22"/>
        </w:rPr>
      </w:pPr>
    </w:p>
    <w:p w:rsidR="00F2237B" w:rsidRPr="00F2237B" w:rsidRDefault="00F2237B" w:rsidP="00F2237B">
      <w:pPr>
        <w:pStyle w:val="Title"/>
        <w:rPr>
          <w:rFonts w:cs="Arial"/>
          <w:color w:val="000000"/>
          <w:sz w:val="22"/>
          <w:szCs w:val="22"/>
        </w:rPr>
      </w:pPr>
    </w:p>
    <w:p w:rsidR="00F2237B" w:rsidRPr="00F2237B" w:rsidRDefault="00F2237B" w:rsidP="00F2237B">
      <w:pPr>
        <w:pStyle w:val="Title"/>
        <w:rPr>
          <w:rFonts w:cs="Arial"/>
          <w:color w:val="000000"/>
          <w:sz w:val="22"/>
          <w:szCs w:val="22"/>
        </w:rPr>
      </w:pPr>
    </w:p>
    <w:p w:rsidR="00F2237B" w:rsidRPr="00F2237B" w:rsidRDefault="00F2237B" w:rsidP="00F2237B">
      <w:pPr>
        <w:jc w:val="center"/>
        <w:outlineLvl w:val="0"/>
      </w:pPr>
      <w:r w:rsidRPr="00F2237B">
        <w:rPr>
          <w:noProof/>
          <w:lang w:eastAsia="en-GB"/>
        </w:rPr>
        <w:drawing>
          <wp:inline distT="0" distB="0" distL="0" distR="0" wp14:anchorId="55664C4D" wp14:editId="5089F6BF">
            <wp:extent cx="1644015" cy="807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b="20000"/>
                    <a:stretch>
                      <a:fillRect/>
                    </a:stretch>
                  </pic:blipFill>
                  <pic:spPr bwMode="auto">
                    <a:xfrm>
                      <a:off x="0" y="0"/>
                      <a:ext cx="1644015" cy="807085"/>
                    </a:xfrm>
                    <a:prstGeom prst="rect">
                      <a:avLst/>
                    </a:prstGeom>
                    <a:noFill/>
                    <a:ln>
                      <a:noFill/>
                    </a:ln>
                  </pic:spPr>
                </pic:pic>
              </a:graphicData>
            </a:graphic>
          </wp:inline>
        </w:drawing>
      </w:r>
    </w:p>
    <w:p w:rsidR="00F2237B" w:rsidRPr="00F2237B" w:rsidRDefault="00F2237B" w:rsidP="00F2237B">
      <w:pPr>
        <w:jc w:val="center"/>
        <w:outlineLvl w:val="0"/>
      </w:pPr>
    </w:p>
    <w:p w:rsidR="00F2237B" w:rsidRPr="00F2237B" w:rsidRDefault="00F2237B" w:rsidP="00F2237B">
      <w:pPr>
        <w:jc w:val="center"/>
        <w:outlineLvl w:val="0"/>
      </w:pPr>
    </w:p>
    <w:p w:rsidR="00F2237B" w:rsidRPr="00F2237B" w:rsidRDefault="00F2237B" w:rsidP="00F2237B">
      <w:pPr>
        <w:pStyle w:val="Title"/>
        <w:spacing w:before="120"/>
        <w:rPr>
          <w:rFonts w:cs="Arial"/>
          <w:szCs w:val="40"/>
        </w:rPr>
      </w:pPr>
      <w:r w:rsidRPr="00F2237B">
        <w:rPr>
          <w:rFonts w:cs="Arial"/>
          <w:szCs w:val="40"/>
        </w:rPr>
        <w:t>ESSEX COUNTY COUNCIL</w:t>
      </w:r>
    </w:p>
    <w:p w:rsidR="00F2237B" w:rsidRPr="00F2237B" w:rsidRDefault="00F2237B" w:rsidP="00F2237B">
      <w:pPr>
        <w:pStyle w:val="Title"/>
        <w:spacing w:before="120"/>
        <w:rPr>
          <w:rFonts w:cs="Arial"/>
          <w:szCs w:val="40"/>
        </w:rPr>
      </w:pPr>
    </w:p>
    <w:p w:rsidR="00F2237B" w:rsidRPr="00F2237B" w:rsidRDefault="00084F52" w:rsidP="00F2237B">
      <w:pPr>
        <w:pStyle w:val="Title"/>
        <w:rPr>
          <w:rFonts w:cs="Arial"/>
          <w:szCs w:val="40"/>
        </w:rPr>
      </w:pPr>
      <w:r>
        <w:rPr>
          <w:rFonts w:cs="Arial"/>
          <w:szCs w:val="40"/>
        </w:rPr>
        <w:t>0257 PGCE Masters Credits Programme</w:t>
      </w:r>
    </w:p>
    <w:p w:rsidR="00F2237B" w:rsidRPr="00F2237B" w:rsidRDefault="00F2237B" w:rsidP="00F2237B">
      <w:pPr>
        <w:pStyle w:val="Title"/>
        <w:rPr>
          <w:rFonts w:cs="Arial"/>
          <w:sz w:val="22"/>
          <w:szCs w:val="22"/>
        </w:rPr>
      </w:pPr>
    </w:p>
    <w:p w:rsidR="00F2237B" w:rsidRPr="00F2237B" w:rsidRDefault="00F2237B" w:rsidP="00F2237B">
      <w:pPr>
        <w:pStyle w:val="Title"/>
        <w:rPr>
          <w:rFonts w:cs="Arial"/>
          <w:szCs w:val="40"/>
        </w:rPr>
      </w:pPr>
      <w:r>
        <w:rPr>
          <w:rFonts w:cs="Arial"/>
          <w:szCs w:val="40"/>
        </w:rPr>
        <w:t>SPECIFICATION</w:t>
      </w:r>
    </w:p>
    <w:p w:rsidR="00F2237B" w:rsidRDefault="00F2237B" w:rsidP="00F2237B">
      <w:pPr>
        <w:pStyle w:val="Title"/>
        <w:rPr>
          <w:rFonts w:cs="Arial"/>
          <w:szCs w:val="40"/>
        </w:rPr>
      </w:pPr>
    </w:p>
    <w:p w:rsidR="00F2237B" w:rsidRDefault="00F2237B" w:rsidP="00F2237B">
      <w:pPr>
        <w:pStyle w:val="Title"/>
        <w:rPr>
          <w:rFonts w:cs="Arial"/>
          <w:szCs w:val="40"/>
        </w:rPr>
      </w:pPr>
    </w:p>
    <w:p w:rsidR="00F2237B" w:rsidRPr="00F2237B" w:rsidRDefault="00F2237B" w:rsidP="00F2237B">
      <w:pPr>
        <w:pStyle w:val="Title"/>
        <w:rPr>
          <w:rFonts w:cs="Arial"/>
          <w:szCs w:val="40"/>
        </w:rPr>
      </w:pPr>
      <w:r w:rsidRPr="00F2237B">
        <w:rPr>
          <w:rFonts w:cs="Arial"/>
          <w:szCs w:val="40"/>
        </w:rPr>
        <w:t xml:space="preserve"> </w:t>
      </w:r>
    </w:p>
    <w:p w:rsidR="00F2237B" w:rsidRPr="00F2237B" w:rsidRDefault="00F2237B" w:rsidP="00F2237B">
      <w:pPr>
        <w:pStyle w:val="Title"/>
        <w:rPr>
          <w:rFonts w:cs="Arial"/>
          <w:lang w:val="fr-FR"/>
        </w:rPr>
      </w:pPr>
    </w:p>
    <w:p w:rsidR="00F2237B" w:rsidRPr="00F2237B" w:rsidRDefault="00F2237B" w:rsidP="00F2237B">
      <w:pPr>
        <w:pStyle w:val="Title"/>
        <w:rPr>
          <w:rFonts w:cs="Arial"/>
          <w:lang w:val="fr-FR"/>
        </w:rPr>
      </w:pPr>
    </w:p>
    <w:p w:rsidR="00F2237B" w:rsidRPr="00F2237B" w:rsidRDefault="00F2237B" w:rsidP="00F2237B">
      <w:pPr>
        <w:pStyle w:val="Title"/>
        <w:rPr>
          <w:rFonts w:cs="Arial"/>
          <w:lang w:val="fr-FR"/>
        </w:rPr>
      </w:pPr>
    </w:p>
    <w:p w:rsidR="00F2237B" w:rsidRPr="00F2237B" w:rsidRDefault="00F2237B" w:rsidP="00F2237B">
      <w:pPr>
        <w:pStyle w:val="Title"/>
        <w:rPr>
          <w:rFonts w:cs="Arial"/>
          <w:color w:val="000000"/>
          <w:sz w:val="22"/>
          <w:szCs w:val="22"/>
        </w:rPr>
      </w:pPr>
    </w:p>
    <w:p w:rsidR="00F2237B" w:rsidRPr="00F2237B" w:rsidRDefault="00F2237B" w:rsidP="00F2237B">
      <w:pPr>
        <w:pStyle w:val="Title"/>
        <w:rPr>
          <w:rFonts w:cs="Arial"/>
          <w:color w:val="000000"/>
          <w:sz w:val="22"/>
          <w:szCs w:val="22"/>
        </w:rPr>
      </w:pPr>
    </w:p>
    <w:p w:rsidR="00F2237B" w:rsidRPr="00F2237B" w:rsidRDefault="00F2237B" w:rsidP="00F2237B">
      <w:pPr>
        <w:pStyle w:val="Title"/>
        <w:rPr>
          <w:rFonts w:cs="Arial"/>
          <w:color w:val="000000"/>
          <w:sz w:val="28"/>
          <w:szCs w:val="28"/>
        </w:rPr>
      </w:pPr>
      <w:r w:rsidRPr="00F2237B">
        <w:rPr>
          <w:rFonts w:cs="Arial"/>
          <w:color w:val="000000"/>
          <w:sz w:val="28"/>
          <w:szCs w:val="28"/>
        </w:rPr>
        <w:t xml:space="preserve">Issued </w:t>
      </w:r>
      <w:r w:rsidRPr="00AF5E71">
        <w:rPr>
          <w:rFonts w:cs="Arial"/>
          <w:color w:val="000000"/>
          <w:sz w:val="28"/>
          <w:szCs w:val="28"/>
          <w:highlight w:val="yellow"/>
        </w:rPr>
        <w:t xml:space="preserve">XX XXXXXX </w:t>
      </w:r>
      <w:r w:rsidR="00084F52" w:rsidRPr="00AF5E71">
        <w:rPr>
          <w:rFonts w:cs="Arial"/>
          <w:color w:val="000000"/>
          <w:sz w:val="28"/>
          <w:szCs w:val="28"/>
          <w:highlight w:val="yellow"/>
        </w:rPr>
        <w:t>201</w:t>
      </w:r>
      <w:r w:rsidR="00084F52">
        <w:rPr>
          <w:rFonts w:cs="Arial"/>
          <w:color w:val="000000"/>
          <w:sz w:val="28"/>
          <w:szCs w:val="28"/>
        </w:rPr>
        <w:t>5</w:t>
      </w:r>
    </w:p>
    <w:p w:rsidR="00F2237B" w:rsidRPr="00F2237B" w:rsidRDefault="00F2237B" w:rsidP="00F2237B">
      <w:pPr>
        <w:pStyle w:val="Title"/>
        <w:rPr>
          <w:rFonts w:cs="Arial"/>
          <w:color w:val="000000"/>
          <w:sz w:val="22"/>
          <w:szCs w:val="22"/>
        </w:rPr>
      </w:pPr>
    </w:p>
    <w:p w:rsidR="00F2237B" w:rsidRPr="00F2237B" w:rsidRDefault="00F2237B" w:rsidP="00F2237B">
      <w:pPr>
        <w:pStyle w:val="Title"/>
        <w:spacing w:before="120"/>
        <w:rPr>
          <w:rFonts w:cs="Arial"/>
          <w:color w:val="000000"/>
        </w:rPr>
      </w:pPr>
    </w:p>
    <w:p w:rsidR="00F2237B" w:rsidRDefault="00F2237B" w:rsidP="00F2237B">
      <w:pPr>
        <w:pStyle w:val="Title"/>
        <w:spacing w:before="120"/>
        <w:rPr>
          <w:rFonts w:cs="Arial"/>
          <w:color w:val="000000"/>
        </w:rPr>
      </w:pPr>
      <w:r>
        <w:rPr>
          <w:rFonts w:cs="Arial"/>
          <w:color w:val="000000"/>
        </w:rPr>
        <w:t xml:space="preserve"> </w:t>
      </w:r>
    </w:p>
    <w:p w:rsidR="00F2237B" w:rsidRPr="00F2237B" w:rsidRDefault="00F2237B" w:rsidP="00F2237B">
      <w:pPr>
        <w:pStyle w:val="Title"/>
        <w:spacing w:before="120"/>
        <w:rPr>
          <w:rFonts w:cs="Arial"/>
        </w:rPr>
      </w:pPr>
    </w:p>
    <w:p w:rsidR="00F2237B" w:rsidRPr="00F2237B" w:rsidRDefault="00F2237B" w:rsidP="00F2237B">
      <w:pPr>
        <w:pStyle w:val="Title"/>
        <w:rPr>
          <w:rFonts w:cs="Arial"/>
          <w:b w:val="0"/>
        </w:rPr>
      </w:pPr>
    </w:p>
    <w:p w:rsidR="00F2237B" w:rsidRPr="00F2237B" w:rsidRDefault="00F2237B" w:rsidP="00F2237B">
      <w:pPr>
        <w:pStyle w:val="Title"/>
        <w:rPr>
          <w:rFonts w:cs="Arial"/>
          <w:b w:val="0"/>
        </w:rPr>
      </w:pPr>
    </w:p>
    <w:p w:rsidR="00F2237B" w:rsidRPr="00F2237B" w:rsidRDefault="00F2237B" w:rsidP="00F2237B">
      <w:pPr>
        <w:pStyle w:val="Title"/>
        <w:rPr>
          <w:rFonts w:cs="Arial"/>
        </w:rPr>
      </w:pPr>
      <w:r w:rsidRPr="00F2237B">
        <w:rPr>
          <w:rFonts w:cs="Arial"/>
        </w:rPr>
        <w:t xml:space="preserve">Procurement Project </w:t>
      </w:r>
      <w:r w:rsidR="00084F52">
        <w:rPr>
          <w:rFonts w:cs="Arial"/>
        </w:rPr>
        <w:t>0257</w:t>
      </w:r>
    </w:p>
    <w:p w:rsidR="00F2237B" w:rsidRPr="00F2237B" w:rsidRDefault="00F2237B">
      <w:pPr>
        <w:rPr>
          <w:b/>
          <w:u w:val="single"/>
        </w:rPr>
      </w:pPr>
      <w:r w:rsidRPr="00F2237B">
        <w:rPr>
          <w:b/>
          <w:u w:val="single"/>
        </w:rPr>
        <w:br w:type="page"/>
      </w:r>
    </w:p>
    <w:p w:rsidR="005C7093" w:rsidRDefault="005C7093" w:rsidP="001A4765">
      <w:pPr>
        <w:pStyle w:val="ListParagraph"/>
        <w:numPr>
          <w:ilvl w:val="0"/>
          <w:numId w:val="10"/>
        </w:numPr>
        <w:spacing w:before="200" w:line="240" w:lineRule="auto"/>
        <w:contextualSpacing w:val="0"/>
        <w:rPr>
          <w:b/>
        </w:rPr>
      </w:pPr>
      <w:bookmarkStart w:id="0" w:name="EssexCountyCouncil"/>
      <w:r w:rsidRPr="00F60AEB">
        <w:rPr>
          <w:b/>
        </w:rPr>
        <w:lastRenderedPageBreak/>
        <w:t>Essex County Council</w:t>
      </w:r>
    </w:p>
    <w:bookmarkEnd w:id="0"/>
    <w:p w:rsidR="00A83C5B" w:rsidRDefault="00AD158A" w:rsidP="009657E3">
      <w:pPr>
        <w:pStyle w:val="ListParagraph"/>
        <w:numPr>
          <w:ilvl w:val="1"/>
          <w:numId w:val="10"/>
        </w:numPr>
        <w:autoSpaceDE w:val="0"/>
        <w:autoSpaceDN w:val="0"/>
        <w:adjustRightInd w:val="0"/>
        <w:spacing w:before="200" w:line="240" w:lineRule="auto"/>
        <w:ind w:left="567" w:hanging="567"/>
        <w:contextualSpacing w:val="0"/>
      </w:pPr>
      <w:r w:rsidRPr="00AD158A">
        <w:t>Essex County Council is dedicated to improving Essex and the lives of our residents. Our ambition is to deliver the best quality of life in Britain. We will achieve this by providing high-quality, targeted services that deliver real value for money</w:t>
      </w:r>
      <w:r w:rsidR="00BC7214">
        <w:t xml:space="preserve">. </w:t>
      </w:r>
    </w:p>
    <w:p w:rsidR="00A83C5B" w:rsidRDefault="00AD158A" w:rsidP="00166E49">
      <w:pPr>
        <w:pStyle w:val="ListParagraph"/>
        <w:numPr>
          <w:ilvl w:val="0"/>
          <w:numId w:val="10"/>
        </w:numPr>
        <w:autoSpaceDE w:val="0"/>
        <w:autoSpaceDN w:val="0"/>
        <w:adjustRightInd w:val="0"/>
        <w:spacing w:before="200" w:line="240" w:lineRule="auto"/>
        <w:contextualSpacing w:val="0"/>
        <w:rPr>
          <w:b/>
        </w:rPr>
      </w:pPr>
      <w:r w:rsidRPr="00166E49">
        <w:rPr>
          <w:b/>
        </w:rPr>
        <w:t>Our vision</w:t>
      </w:r>
    </w:p>
    <w:p w:rsidR="00A83C5B" w:rsidRPr="00166E49" w:rsidRDefault="00AD158A" w:rsidP="009657E3">
      <w:pPr>
        <w:pStyle w:val="ListParagraph"/>
        <w:numPr>
          <w:ilvl w:val="1"/>
          <w:numId w:val="24"/>
        </w:numPr>
        <w:autoSpaceDE w:val="0"/>
        <w:autoSpaceDN w:val="0"/>
        <w:adjustRightInd w:val="0"/>
        <w:spacing w:before="200" w:line="240" w:lineRule="auto"/>
        <w:ind w:left="567" w:hanging="567"/>
        <w:contextualSpacing w:val="0"/>
        <w:rPr>
          <w:b/>
        </w:rPr>
      </w:pPr>
      <w:r>
        <w:t>We want Essex to be a county where innovation brings prosperity. We know our county faces a set of unprecedented challenges. If we are to meet these challenges we need new thinking and innovation to ensure we can use our resources in the best possible way for the people of Essex. We must harness the power of new ideas to secure a more prosperous Essex.</w:t>
      </w:r>
    </w:p>
    <w:p w:rsidR="00A83C5B" w:rsidRDefault="00AD158A" w:rsidP="009657E3">
      <w:pPr>
        <w:pStyle w:val="ListParagraph"/>
        <w:numPr>
          <w:ilvl w:val="1"/>
          <w:numId w:val="24"/>
        </w:numPr>
        <w:autoSpaceDE w:val="0"/>
        <w:autoSpaceDN w:val="0"/>
        <w:adjustRightInd w:val="0"/>
        <w:spacing w:before="200" w:line="240" w:lineRule="auto"/>
        <w:ind w:left="567" w:hanging="567"/>
        <w:contextualSpacing w:val="0"/>
        <w:rPr>
          <w:b/>
        </w:rPr>
      </w:pPr>
      <w:r>
        <w:t>This is our vision for Essex 2013/17. As a county council, our most important role will be to establish the conditions for innovation and prosperity in our economy, and to lead innovation in the public services.</w:t>
      </w:r>
    </w:p>
    <w:p w:rsidR="00A83C5B" w:rsidRDefault="00AD158A" w:rsidP="009657E3">
      <w:pPr>
        <w:pStyle w:val="ListParagraph"/>
        <w:numPr>
          <w:ilvl w:val="1"/>
          <w:numId w:val="24"/>
        </w:numPr>
        <w:autoSpaceDE w:val="0"/>
        <w:autoSpaceDN w:val="0"/>
        <w:adjustRightInd w:val="0"/>
        <w:spacing w:before="200" w:line="240" w:lineRule="auto"/>
        <w:ind w:left="567" w:hanging="567"/>
        <w:contextualSpacing w:val="0"/>
      </w:pPr>
      <w:r>
        <w:t>Throughout our work, we will build on the strengths of our county. This means harnessing the energy and passion of people across Essex who work hard for their families, build careers and businesses and shape their communities.</w:t>
      </w:r>
    </w:p>
    <w:p w:rsidR="00A83C5B" w:rsidRDefault="00AD158A" w:rsidP="009657E3">
      <w:pPr>
        <w:pStyle w:val="ListParagraph"/>
        <w:numPr>
          <w:ilvl w:val="1"/>
          <w:numId w:val="24"/>
        </w:numPr>
        <w:autoSpaceDE w:val="0"/>
        <w:autoSpaceDN w:val="0"/>
        <w:adjustRightInd w:val="0"/>
        <w:spacing w:before="200" w:line="240" w:lineRule="auto"/>
        <w:ind w:left="567" w:hanging="567"/>
        <w:contextualSpacing w:val="0"/>
      </w:pPr>
      <w:r>
        <w:t>We must all play our part in securing a more prosperous county, one where we can flourish, live well and achieve our ambitions.</w:t>
      </w:r>
    </w:p>
    <w:p w:rsidR="00A83C5B" w:rsidRPr="00166E49" w:rsidRDefault="00AD158A" w:rsidP="00166E49">
      <w:pPr>
        <w:pStyle w:val="ListParagraph"/>
        <w:numPr>
          <w:ilvl w:val="0"/>
          <w:numId w:val="10"/>
        </w:numPr>
        <w:autoSpaceDE w:val="0"/>
        <w:autoSpaceDN w:val="0"/>
        <w:adjustRightInd w:val="0"/>
        <w:spacing w:before="200" w:line="240" w:lineRule="auto"/>
        <w:contextualSpacing w:val="0"/>
      </w:pPr>
      <w:r w:rsidRPr="00166E49">
        <w:rPr>
          <w:b/>
        </w:rPr>
        <w:t>Delivering the vision</w:t>
      </w:r>
    </w:p>
    <w:p w:rsidR="00AD158A" w:rsidRDefault="00AD158A" w:rsidP="009657E3">
      <w:pPr>
        <w:pStyle w:val="ListParagraph"/>
        <w:numPr>
          <w:ilvl w:val="1"/>
          <w:numId w:val="25"/>
        </w:numPr>
        <w:autoSpaceDE w:val="0"/>
        <w:autoSpaceDN w:val="0"/>
        <w:adjustRightInd w:val="0"/>
        <w:spacing w:before="200" w:line="240" w:lineRule="auto"/>
        <w:ind w:left="567" w:hanging="567"/>
        <w:contextualSpacing w:val="0"/>
      </w:pPr>
      <w:r>
        <w:t>If we are to succeed through these testing times, we must maintain a focus on our core purpose. The challenge ahead strengthens our resolve to:</w:t>
      </w:r>
    </w:p>
    <w:p w:rsidR="00AD158A" w:rsidRDefault="00AD158A" w:rsidP="009657E3">
      <w:pPr>
        <w:pStyle w:val="ListParagraph"/>
        <w:numPr>
          <w:ilvl w:val="0"/>
          <w:numId w:val="26"/>
        </w:numPr>
        <w:tabs>
          <w:tab w:val="left" w:pos="1276"/>
        </w:tabs>
        <w:autoSpaceDE w:val="0"/>
        <w:autoSpaceDN w:val="0"/>
        <w:adjustRightInd w:val="0"/>
        <w:spacing w:before="200" w:line="240" w:lineRule="auto"/>
        <w:ind w:left="567" w:firstLine="0"/>
      </w:pPr>
      <w:r>
        <w:t>increase educational achievement and enhance skills</w:t>
      </w:r>
    </w:p>
    <w:p w:rsidR="00A83C5B" w:rsidRDefault="00AD158A" w:rsidP="009657E3">
      <w:pPr>
        <w:pStyle w:val="ListParagraph"/>
        <w:numPr>
          <w:ilvl w:val="0"/>
          <w:numId w:val="26"/>
        </w:numPr>
        <w:tabs>
          <w:tab w:val="left" w:pos="1276"/>
        </w:tabs>
        <w:autoSpaceDE w:val="0"/>
        <w:autoSpaceDN w:val="0"/>
        <w:adjustRightInd w:val="0"/>
        <w:spacing w:before="200" w:line="240" w:lineRule="auto"/>
        <w:ind w:left="1276" w:hanging="709"/>
      </w:pPr>
      <w:r>
        <w:t xml:space="preserve">develop and maintain the infrastructure that enables our residents to </w:t>
      </w:r>
      <w:r w:rsidR="00A83C5B">
        <w:t xml:space="preserve"> </w:t>
      </w:r>
      <w:r>
        <w:t>travel and our businesses to grow</w:t>
      </w:r>
    </w:p>
    <w:p w:rsidR="00A83C5B" w:rsidRDefault="00AD158A" w:rsidP="009657E3">
      <w:pPr>
        <w:pStyle w:val="ListParagraph"/>
        <w:numPr>
          <w:ilvl w:val="0"/>
          <w:numId w:val="26"/>
        </w:numPr>
        <w:tabs>
          <w:tab w:val="left" w:pos="1276"/>
        </w:tabs>
        <w:autoSpaceDE w:val="0"/>
        <w:autoSpaceDN w:val="0"/>
        <w:adjustRightInd w:val="0"/>
        <w:spacing w:before="200" w:line="240" w:lineRule="auto"/>
        <w:ind w:left="567" w:firstLine="0"/>
      </w:pPr>
      <w:r>
        <w:t>support employment and entrepreneurship across our economy</w:t>
      </w:r>
    </w:p>
    <w:p w:rsidR="00A83C5B" w:rsidRDefault="00AD158A" w:rsidP="009657E3">
      <w:pPr>
        <w:pStyle w:val="ListParagraph"/>
        <w:numPr>
          <w:ilvl w:val="0"/>
          <w:numId w:val="26"/>
        </w:numPr>
        <w:tabs>
          <w:tab w:val="left" w:pos="1276"/>
        </w:tabs>
        <w:autoSpaceDE w:val="0"/>
        <w:autoSpaceDN w:val="0"/>
        <w:adjustRightInd w:val="0"/>
        <w:spacing w:before="200" w:line="240" w:lineRule="auto"/>
        <w:ind w:left="567" w:firstLine="0"/>
      </w:pPr>
      <w:r>
        <w:t>improve public health and wellbeing across Essex</w:t>
      </w:r>
    </w:p>
    <w:p w:rsidR="00A83C5B" w:rsidRDefault="00AD158A" w:rsidP="009657E3">
      <w:pPr>
        <w:pStyle w:val="ListParagraph"/>
        <w:numPr>
          <w:ilvl w:val="0"/>
          <w:numId w:val="26"/>
        </w:numPr>
        <w:tabs>
          <w:tab w:val="left" w:pos="1276"/>
        </w:tabs>
        <w:autoSpaceDE w:val="0"/>
        <w:autoSpaceDN w:val="0"/>
        <w:adjustRightInd w:val="0"/>
        <w:spacing w:before="200" w:line="240" w:lineRule="auto"/>
        <w:ind w:left="567" w:firstLine="0"/>
      </w:pPr>
      <w:r>
        <w:t>safeguard vulnerable people of all ages</w:t>
      </w:r>
    </w:p>
    <w:p w:rsidR="00A83C5B" w:rsidRDefault="00AD158A" w:rsidP="009657E3">
      <w:pPr>
        <w:pStyle w:val="ListParagraph"/>
        <w:numPr>
          <w:ilvl w:val="0"/>
          <w:numId w:val="26"/>
        </w:numPr>
        <w:tabs>
          <w:tab w:val="left" w:pos="1276"/>
        </w:tabs>
        <w:autoSpaceDE w:val="0"/>
        <w:autoSpaceDN w:val="0"/>
        <w:adjustRightInd w:val="0"/>
        <w:spacing w:before="200" w:line="240" w:lineRule="auto"/>
        <w:ind w:left="567" w:firstLine="0"/>
      </w:pPr>
      <w:r>
        <w:t>keep our communities safe and build community resilience</w:t>
      </w:r>
    </w:p>
    <w:p w:rsidR="00AD158A" w:rsidRDefault="00AD158A" w:rsidP="009657E3">
      <w:pPr>
        <w:pStyle w:val="ListParagraph"/>
        <w:numPr>
          <w:ilvl w:val="0"/>
          <w:numId w:val="26"/>
        </w:numPr>
        <w:tabs>
          <w:tab w:val="left" w:pos="1276"/>
        </w:tabs>
        <w:autoSpaceDE w:val="0"/>
        <w:autoSpaceDN w:val="0"/>
        <w:adjustRightInd w:val="0"/>
        <w:spacing w:before="200" w:line="240" w:lineRule="auto"/>
        <w:ind w:left="567" w:firstLine="0"/>
      </w:pPr>
      <w:r>
        <w:t>respect Essex’s environment</w:t>
      </w:r>
    </w:p>
    <w:p w:rsidR="0060619D" w:rsidRDefault="00A83C5B" w:rsidP="009657E3">
      <w:pPr>
        <w:spacing w:before="200" w:line="240" w:lineRule="auto"/>
        <w:ind w:left="567" w:hanging="567"/>
      </w:pPr>
      <w:r>
        <w:t xml:space="preserve">3.2  </w:t>
      </w:r>
      <w:r>
        <w:tab/>
      </w:r>
      <w:r w:rsidR="0060619D">
        <w:t>Our Corporate Outcomes Framework translates our Cabinet’s political ambitions – outlined in their Vision for Essex – into a set of outcomes and supporting indicators that can guide the work of commissioners across ECC. The consolidation of outcomes into a single, authoritative, framework for ECC is designed to:</w:t>
      </w:r>
    </w:p>
    <w:p w:rsidR="0060619D" w:rsidRDefault="0060619D" w:rsidP="009657E3">
      <w:pPr>
        <w:pStyle w:val="ListParagraph"/>
        <w:spacing w:before="200" w:line="240" w:lineRule="auto"/>
        <w:ind w:left="567"/>
      </w:pPr>
    </w:p>
    <w:p w:rsidR="0060619D" w:rsidRDefault="0060619D" w:rsidP="009657E3">
      <w:pPr>
        <w:pStyle w:val="ListParagraph"/>
        <w:numPr>
          <w:ilvl w:val="0"/>
          <w:numId w:val="27"/>
        </w:numPr>
        <w:spacing w:before="200" w:line="240" w:lineRule="auto"/>
        <w:ind w:left="851" w:hanging="284"/>
      </w:pPr>
      <w:r>
        <w:t>provide a clear foundation for the development of our commissioning strategy and plans;</w:t>
      </w:r>
    </w:p>
    <w:p w:rsidR="0060619D" w:rsidRDefault="0060619D" w:rsidP="009657E3">
      <w:pPr>
        <w:pStyle w:val="ListParagraph"/>
        <w:numPr>
          <w:ilvl w:val="0"/>
          <w:numId w:val="27"/>
        </w:numPr>
        <w:tabs>
          <w:tab w:val="left" w:pos="851"/>
        </w:tabs>
        <w:spacing w:before="200" w:line="240" w:lineRule="auto"/>
        <w:ind w:left="851" w:hanging="284"/>
      </w:pPr>
      <w:r>
        <w:t>provide a clear framework for assessing progress – allowing ECC to understand its impact on residents and communities in Essex; and</w:t>
      </w:r>
    </w:p>
    <w:p w:rsidR="0060619D" w:rsidRDefault="0060619D" w:rsidP="009657E3">
      <w:pPr>
        <w:pStyle w:val="ListParagraph"/>
        <w:numPr>
          <w:ilvl w:val="0"/>
          <w:numId w:val="27"/>
        </w:numPr>
        <w:spacing w:before="200" w:line="240" w:lineRule="auto"/>
        <w:ind w:left="851" w:hanging="284"/>
      </w:pPr>
      <w:proofErr w:type="gramStart"/>
      <w:r>
        <w:t>and</w:t>
      </w:r>
      <w:proofErr w:type="gramEnd"/>
      <w:r>
        <w:t xml:space="preserve"> allow for the analysis of ECC resources, assets, contracts </w:t>
      </w:r>
      <w:proofErr w:type="spellStart"/>
      <w:r>
        <w:t>etc</w:t>
      </w:r>
      <w:proofErr w:type="spellEnd"/>
      <w:r>
        <w:t>, against a consistent set of outcomes.</w:t>
      </w:r>
    </w:p>
    <w:p w:rsidR="00F60AEB" w:rsidRPr="00166E49" w:rsidRDefault="0060619D" w:rsidP="009657E3">
      <w:pPr>
        <w:pStyle w:val="ListParagraph"/>
        <w:numPr>
          <w:ilvl w:val="1"/>
          <w:numId w:val="28"/>
        </w:numPr>
        <w:spacing w:before="200" w:line="240" w:lineRule="auto"/>
        <w:ind w:left="567" w:hanging="567"/>
        <w:rPr>
          <w:b/>
        </w:rPr>
      </w:pPr>
      <w:r>
        <w:lastRenderedPageBreak/>
        <w:t>The Corporate Outcomes Framework embeds the principles of Outcomes Based Accountability (OBA) within ECC. OBA is an established and effective approach for expressing, operationalising and ensuring accountability for outcomes. It provides a simple, common sense, low bureaucracy planning model supported by clear terminology.</w:t>
      </w:r>
    </w:p>
    <w:tbl>
      <w:tblPr>
        <w:tblStyle w:val="TableGrid"/>
        <w:tblW w:w="10776" w:type="dxa"/>
        <w:tblInd w:w="-1038" w:type="dxa"/>
        <w:tblLook w:val="04A0" w:firstRow="1" w:lastRow="0" w:firstColumn="1" w:lastColumn="0" w:noHBand="0" w:noVBand="1"/>
      </w:tblPr>
      <w:tblGrid>
        <w:gridCol w:w="2012"/>
        <w:gridCol w:w="2614"/>
        <w:gridCol w:w="3382"/>
        <w:gridCol w:w="2768"/>
      </w:tblGrid>
      <w:tr w:rsidR="00582DAD" w:rsidTr="009A3264">
        <w:trPr>
          <w:trHeight w:val="587"/>
        </w:trPr>
        <w:tc>
          <w:tcPr>
            <w:tcW w:w="2012" w:type="dxa"/>
            <w:vMerge w:val="restart"/>
            <w:tcBorders>
              <w:top w:val="single" w:sz="8" w:space="0" w:color="17365D" w:themeColor="text2" w:themeShade="BF"/>
              <w:left w:val="single" w:sz="8" w:space="0" w:color="17365D" w:themeColor="text2" w:themeShade="BF"/>
              <w:right w:val="single" w:sz="8" w:space="0" w:color="17365D" w:themeColor="text2" w:themeShade="BF"/>
            </w:tcBorders>
            <w:shd w:val="clear" w:color="auto" w:fill="17365D" w:themeFill="text2" w:themeFillShade="BF"/>
          </w:tcPr>
          <w:tbl>
            <w:tblPr>
              <w:tblW w:w="0" w:type="auto"/>
              <w:tblInd w:w="9" w:type="dxa"/>
              <w:tblBorders>
                <w:top w:val="nil"/>
                <w:left w:val="nil"/>
                <w:bottom w:val="nil"/>
                <w:right w:val="nil"/>
              </w:tblBorders>
              <w:tblLook w:val="0000" w:firstRow="0" w:lastRow="0" w:firstColumn="0" w:lastColumn="0" w:noHBand="0" w:noVBand="0"/>
            </w:tblPr>
            <w:tblGrid>
              <w:gridCol w:w="1778"/>
            </w:tblGrid>
            <w:tr w:rsidR="008A686E" w:rsidTr="009A3264">
              <w:trPr>
                <w:trHeight w:val="948"/>
              </w:trPr>
              <w:tc>
                <w:tcPr>
                  <w:tcW w:w="1778" w:type="dxa"/>
                  <w:tcBorders>
                    <w:top w:val="nil"/>
                  </w:tcBorders>
                </w:tcPr>
                <w:p w:rsidR="0060619D" w:rsidRPr="009A3264" w:rsidRDefault="008A686E">
                  <w:pPr>
                    <w:pStyle w:val="Default"/>
                    <w:rPr>
                      <w:b/>
                      <w:bCs/>
                      <w:color w:val="FFFFFF" w:themeColor="background1"/>
                      <w:sz w:val="22"/>
                      <w:szCs w:val="22"/>
                    </w:rPr>
                  </w:pPr>
                  <w:r w:rsidRPr="009A3264">
                    <w:rPr>
                      <w:b/>
                      <w:bCs/>
                      <w:color w:val="FFFFFF" w:themeColor="background1"/>
                      <w:sz w:val="22"/>
                      <w:szCs w:val="22"/>
                    </w:rPr>
                    <w:t xml:space="preserve">Essex: a </w:t>
                  </w:r>
                </w:p>
                <w:p w:rsidR="008A686E" w:rsidRDefault="008A686E">
                  <w:pPr>
                    <w:pStyle w:val="Default"/>
                    <w:rPr>
                      <w:sz w:val="32"/>
                      <w:szCs w:val="32"/>
                    </w:rPr>
                  </w:pPr>
                  <w:r w:rsidRPr="009A3264">
                    <w:rPr>
                      <w:b/>
                      <w:bCs/>
                      <w:color w:val="FFFFFF" w:themeColor="background1"/>
                      <w:sz w:val="22"/>
                      <w:szCs w:val="22"/>
                    </w:rPr>
                    <w:t>county where innovation brings prosperity</w:t>
                  </w:r>
                  <w:r w:rsidRPr="009A3264">
                    <w:rPr>
                      <w:b/>
                      <w:bCs/>
                      <w:color w:val="FFFFFF" w:themeColor="background1"/>
                      <w:sz w:val="32"/>
                      <w:szCs w:val="32"/>
                    </w:rPr>
                    <w:t xml:space="preserve"> </w:t>
                  </w:r>
                </w:p>
              </w:tc>
            </w:tr>
          </w:tbl>
          <w:p w:rsidR="008A686E" w:rsidRDefault="008A686E" w:rsidP="0060619D">
            <w:pPr>
              <w:pStyle w:val="ListParagraph"/>
              <w:spacing w:before="200"/>
              <w:ind w:left="0"/>
              <w:contextualSpacing w:val="0"/>
              <w:rPr>
                <w:b/>
              </w:rPr>
            </w:pPr>
          </w:p>
        </w:tc>
        <w:tc>
          <w:tcPr>
            <w:tcW w:w="2614" w:type="dxa"/>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shd w:val="clear" w:color="auto" w:fill="17365D" w:themeFill="text2" w:themeFillShade="BF"/>
          </w:tcPr>
          <w:p w:rsidR="008A686E" w:rsidRPr="00582DAD" w:rsidRDefault="008A686E" w:rsidP="00166E49">
            <w:pPr>
              <w:pStyle w:val="Default"/>
              <w:tabs>
                <w:tab w:val="left" w:pos="0"/>
              </w:tabs>
              <w:jc w:val="center"/>
              <w:rPr>
                <w:b/>
                <w:color w:val="FFFFFF" w:themeColor="background1"/>
                <w:sz w:val="18"/>
                <w:szCs w:val="18"/>
              </w:rPr>
            </w:pPr>
            <w:r w:rsidRPr="00582DAD">
              <w:rPr>
                <w:b/>
                <w:bCs/>
                <w:color w:val="FFFFFF" w:themeColor="background1"/>
                <w:sz w:val="18"/>
                <w:szCs w:val="18"/>
              </w:rPr>
              <w:t>Children in Essex get the best start in life</w:t>
            </w:r>
          </w:p>
        </w:tc>
        <w:tc>
          <w:tcPr>
            <w:tcW w:w="3382" w:type="dxa"/>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shd w:val="clear" w:color="auto" w:fill="17365D" w:themeFill="text2" w:themeFillShade="BF"/>
          </w:tcPr>
          <w:p w:rsidR="008A686E" w:rsidRPr="00582DAD" w:rsidRDefault="008A686E" w:rsidP="00166E49">
            <w:pPr>
              <w:pStyle w:val="Default"/>
              <w:jc w:val="center"/>
              <w:rPr>
                <w:color w:val="FFFFFF" w:themeColor="background1"/>
                <w:sz w:val="18"/>
                <w:szCs w:val="18"/>
              </w:rPr>
            </w:pPr>
            <w:r w:rsidRPr="00582DAD">
              <w:rPr>
                <w:b/>
                <w:bCs/>
                <w:color w:val="FFFFFF" w:themeColor="background1"/>
                <w:sz w:val="18"/>
                <w:szCs w:val="18"/>
              </w:rPr>
              <w:t>People in Essex enjoy good health and wellbeing</w:t>
            </w:r>
          </w:p>
          <w:p w:rsidR="008A686E" w:rsidRPr="00582DAD" w:rsidRDefault="008A686E" w:rsidP="0060619D">
            <w:pPr>
              <w:pStyle w:val="ListParagraph"/>
              <w:spacing w:before="200"/>
              <w:ind w:left="0"/>
              <w:contextualSpacing w:val="0"/>
              <w:rPr>
                <w:b/>
                <w:color w:val="FFFFFF" w:themeColor="background1"/>
                <w:sz w:val="18"/>
                <w:szCs w:val="18"/>
              </w:rPr>
            </w:pPr>
          </w:p>
        </w:tc>
        <w:tc>
          <w:tcPr>
            <w:tcW w:w="2768" w:type="dxa"/>
            <w:tcBorders>
              <w:top w:val="single" w:sz="8" w:space="0" w:color="17365D" w:themeColor="text2" w:themeShade="BF"/>
              <w:left w:val="single" w:sz="8" w:space="0" w:color="17365D" w:themeColor="text2" w:themeShade="BF"/>
              <w:bottom w:val="single" w:sz="8" w:space="0" w:color="17365D" w:themeColor="text2" w:themeShade="BF"/>
            </w:tcBorders>
            <w:shd w:val="clear" w:color="auto" w:fill="17365D" w:themeFill="text2" w:themeFillShade="BF"/>
          </w:tcPr>
          <w:p w:rsidR="008A686E" w:rsidRPr="00582DAD" w:rsidRDefault="008A686E" w:rsidP="00166E49">
            <w:pPr>
              <w:pStyle w:val="Default"/>
              <w:jc w:val="center"/>
              <w:rPr>
                <w:b/>
                <w:color w:val="FFFFFF" w:themeColor="background1"/>
                <w:sz w:val="18"/>
                <w:szCs w:val="18"/>
              </w:rPr>
            </w:pPr>
            <w:r w:rsidRPr="00582DAD">
              <w:rPr>
                <w:b/>
                <w:bCs/>
                <w:color w:val="FFFFFF" w:themeColor="background1"/>
                <w:sz w:val="18"/>
                <w:szCs w:val="18"/>
              </w:rPr>
              <w:t>People have aspiration and achieve their ambitions through education, training and lifelong-learning</w:t>
            </w:r>
          </w:p>
        </w:tc>
      </w:tr>
      <w:tr w:rsidR="004E2080" w:rsidTr="009A3264">
        <w:trPr>
          <w:trHeight w:val="602"/>
        </w:trPr>
        <w:tc>
          <w:tcPr>
            <w:tcW w:w="2012" w:type="dxa"/>
            <w:vMerge/>
            <w:tcBorders>
              <w:left w:val="single" w:sz="8" w:space="0" w:color="17365D" w:themeColor="text2" w:themeShade="BF"/>
              <w:bottom w:val="single" w:sz="8" w:space="0" w:color="17365D" w:themeColor="text2" w:themeShade="BF"/>
              <w:right w:val="single" w:sz="8" w:space="0" w:color="17365D" w:themeColor="text2" w:themeShade="BF"/>
            </w:tcBorders>
            <w:shd w:val="clear" w:color="auto" w:fill="17365D" w:themeFill="text2" w:themeFillShade="BF"/>
          </w:tcPr>
          <w:p w:rsidR="008A686E" w:rsidRPr="0060619D" w:rsidRDefault="008A686E">
            <w:pPr>
              <w:pStyle w:val="Default"/>
              <w:rPr>
                <w:b/>
                <w:bCs/>
              </w:rPr>
            </w:pPr>
          </w:p>
        </w:tc>
        <w:tc>
          <w:tcPr>
            <w:tcW w:w="2614" w:type="dxa"/>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tcPr>
          <w:p w:rsidR="008A686E" w:rsidRPr="00582DAD" w:rsidRDefault="008A686E" w:rsidP="0060619D">
            <w:pPr>
              <w:pStyle w:val="Default"/>
              <w:numPr>
                <w:ilvl w:val="0"/>
                <w:numId w:val="22"/>
              </w:numPr>
              <w:ind w:left="175" w:hanging="142"/>
              <w:rPr>
                <w:sz w:val="16"/>
                <w:szCs w:val="16"/>
              </w:rPr>
            </w:pPr>
            <w:r w:rsidRPr="00582DAD">
              <w:rPr>
                <w:sz w:val="16"/>
                <w:szCs w:val="16"/>
              </w:rPr>
              <w:t xml:space="preserve">Percentage of children ready for school </w:t>
            </w:r>
          </w:p>
          <w:p w:rsidR="008A686E" w:rsidRPr="00582DAD" w:rsidRDefault="008A686E" w:rsidP="0060619D">
            <w:pPr>
              <w:pStyle w:val="Default"/>
              <w:numPr>
                <w:ilvl w:val="0"/>
                <w:numId w:val="22"/>
              </w:numPr>
              <w:ind w:left="175" w:hanging="142"/>
              <w:rPr>
                <w:sz w:val="16"/>
                <w:szCs w:val="16"/>
              </w:rPr>
            </w:pPr>
            <w:r w:rsidRPr="00582DAD">
              <w:rPr>
                <w:sz w:val="16"/>
                <w:szCs w:val="16"/>
              </w:rPr>
              <w:t xml:space="preserve">Percentage of children achieving a good level of development by the age of five </w:t>
            </w:r>
          </w:p>
          <w:p w:rsidR="008A686E" w:rsidRPr="00582DAD" w:rsidRDefault="008A686E" w:rsidP="0060619D">
            <w:pPr>
              <w:pStyle w:val="Default"/>
              <w:numPr>
                <w:ilvl w:val="0"/>
                <w:numId w:val="22"/>
              </w:numPr>
              <w:ind w:left="175" w:hanging="142"/>
              <w:rPr>
                <w:sz w:val="16"/>
                <w:szCs w:val="16"/>
              </w:rPr>
            </w:pPr>
            <w:r w:rsidRPr="00582DAD">
              <w:rPr>
                <w:sz w:val="16"/>
                <w:szCs w:val="16"/>
              </w:rPr>
              <w:t xml:space="preserve">Percentage of families living in temporary accommodation </w:t>
            </w:r>
          </w:p>
          <w:p w:rsidR="008A686E" w:rsidRPr="00582DAD" w:rsidRDefault="008A686E" w:rsidP="0060619D">
            <w:pPr>
              <w:pStyle w:val="Default"/>
              <w:numPr>
                <w:ilvl w:val="0"/>
                <w:numId w:val="22"/>
              </w:numPr>
              <w:ind w:left="175" w:hanging="142"/>
              <w:rPr>
                <w:sz w:val="18"/>
                <w:szCs w:val="18"/>
              </w:rPr>
            </w:pPr>
            <w:r w:rsidRPr="00582DAD">
              <w:rPr>
                <w:sz w:val="16"/>
                <w:szCs w:val="16"/>
              </w:rPr>
              <w:t>Percentage of children living in non-working households</w:t>
            </w:r>
            <w:r w:rsidRPr="00582DAD">
              <w:rPr>
                <w:sz w:val="18"/>
                <w:szCs w:val="18"/>
              </w:rPr>
              <w:t xml:space="preserve"> </w:t>
            </w:r>
          </w:p>
        </w:tc>
        <w:tc>
          <w:tcPr>
            <w:tcW w:w="3382" w:type="dxa"/>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tcPr>
          <w:p w:rsidR="008A686E" w:rsidRPr="00582DAD" w:rsidRDefault="008A686E" w:rsidP="0060619D">
            <w:pPr>
              <w:pStyle w:val="Default"/>
              <w:numPr>
                <w:ilvl w:val="0"/>
                <w:numId w:val="22"/>
              </w:numPr>
              <w:ind w:left="227" w:hanging="227"/>
              <w:rPr>
                <w:sz w:val="16"/>
                <w:szCs w:val="16"/>
              </w:rPr>
            </w:pPr>
            <w:r w:rsidRPr="00582DAD">
              <w:rPr>
                <w:sz w:val="16"/>
                <w:szCs w:val="16"/>
              </w:rPr>
              <w:t xml:space="preserve">People in Essex have a healthy life expectancy </w:t>
            </w:r>
          </w:p>
          <w:p w:rsidR="008A686E" w:rsidRPr="00582DAD" w:rsidRDefault="008A686E" w:rsidP="0060619D">
            <w:pPr>
              <w:pStyle w:val="Default"/>
              <w:numPr>
                <w:ilvl w:val="0"/>
                <w:numId w:val="22"/>
              </w:numPr>
              <w:ind w:left="227" w:hanging="227"/>
              <w:rPr>
                <w:sz w:val="16"/>
                <w:szCs w:val="16"/>
              </w:rPr>
            </w:pPr>
            <w:r w:rsidRPr="00582DAD">
              <w:rPr>
                <w:sz w:val="16"/>
                <w:szCs w:val="16"/>
              </w:rPr>
              <w:t xml:space="preserve">Reduced differential in life expectancy across different areas of Essex </w:t>
            </w:r>
          </w:p>
          <w:p w:rsidR="008A686E" w:rsidRPr="00582DAD" w:rsidRDefault="008A686E" w:rsidP="0060619D">
            <w:pPr>
              <w:pStyle w:val="Default"/>
              <w:numPr>
                <w:ilvl w:val="0"/>
                <w:numId w:val="22"/>
              </w:numPr>
              <w:ind w:left="227" w:hanging="234"/>
              <w:rPr>
                <w:sz w:val="16"/>
                <w:szCs w:val="16"/>
              </w:rPr>
            </w:pPr>
            <w:r w:rsidRPr="00582DAD">
              <w:rPr>
                <w:sz w:val="16"/>
                <w:szCs w:val="16"/>
              </w:rPr>
              <w:t xml:space="preserve">Percentage of children achieving at school [measured at foundation stage, KS2 and KS4] </w:t>
            </w:r>
          </w:p>
          <w:p w:rsidR="008A686E" w:rsidRPr="00582DAD" w:rsidRDefault="008A686E" w:rsidP="0060619D">
            <w:pPr>
              <w:pStyle w:val="Default"/>
              <w:numPr>
                <w:ilvl w:val="0"/>
                <w:numId w:val="22"/>
              </w:numPr>
              <w:ind w:left="227" w:hanging="234"/>
              <w:rPr>
                <w:sz w:val="16"/>
                <w:szCs w:val="16"/>
              </w:rPr>
            </w:pPr>
            <w:r w:rsidRPr="00582DAD">
              <w:rPr>
                <w:sz w:val="16"/>
                <w:szCs w:val="16"/>
              </w:rPr>
              <w:t xml:space="preserve">Percentage of working age people in employment </w:t>
            </w:r>
          </w:p>
          <w:p w:rsidR="008A686E" w:rsidRPr="00582DAD" w:rsidRDefault="008A686E" w:rsidP="0060619D">
            <w:pPr>
              <w:pStyle w:val="Default"/>
              <w:numPr>
                <w:ilvl w:val="0"/>
                <w:numId w:val="22"/>
              </w:numPr>
              <w:ind w:left="227" w:hanging="246"/>
              <w:rPr>
                <w:sz w:val="16"/>
                <w:szCs w:val="16"/>
              </w:rPr>
            </w:pPr>
            <w:r w:rsidRPr="00582DAD">
              <w:rPr>
                <w:sz w:val="16"/>
                <w:szCs w:val="16"/>
              </w:rPr>
              <w:t xml:space="preserve">Prevalence of healthy lifestyles </w:t>
            </w:r>
          </w:p>
          <w:p w:rsidR="008A686E" w:rsidRPr="00582DAD" w:rsidRDefault="008A686E" w:rsidP="0060619D">
            <w:pPr>
              <w:pStyle w:val="Default"/>
              <w:numPr>
                <w:ilvl w:val="0"/>
                <w:numId w:val="22"/>
              </w:numPr>
              <w:ind w:left="227" w:hanging="227"/>
              <w:rPr>
                <w:sz w:val="16"/>
                <w:szCs w:val="16"/>
              </w:rPr>
            </w:pPr>
            <w:r w:rsidRPr="00582DAD">
              <w:rPr>
                <w:sz w:val="16"/>
                <w:szCs w:val="16"/>
              </w:rPr>
              <w:t xml:space="preserve">Prevalence of mental health disorders among children and adults </w:t>
            </w:r>
          </w:p>
          <w:p w:rsidR="008A686E" w:rsidRPr="00582DAD" w:rsidRDefault="008A686E" w:rsidP="0060619D">
            <w:pPr>
              <w:pStyle w:val="Default"/>
              <w:numPr>
                <w:ilvl w:val="0"/>
                <w:numId w:val="22"/>
              </w:numPr>
              <w:ind w:left="227" w:hanging="234"/>
              <w:rPr>
                <w:sz w:val="16"/>
                <w:szCs w:val="16"/>
              </w:rPr>
            </w:pPr>
            <w:r w:rsidRPr="00582DAD">
              <w:rPr>
                <w:sz w:val="16"/>
                <w:szCs w:val="16"/>
              </w:rPr>
              <w:t xml:space="preserve">Percentage of Essex residents who consider themselves to be in good health </w:t>
            </w:r>
          </w:p>
          <w:p w:rsidR="008A686E" w:rsidRPr="00582DAD" w:rsidRDefault="008A686E" w:rsidP="0060619D">
            <w:pPr>
              <w:pStyle w:val="Default"/>
              <w:numPr>
                <w:ilvl w:val="0"/>
                <w:numId w:val="22"/>
              </w:numPr>
              <w:ind w:left="227" w:hanging="227"/>
              <w:rPr>
                <w:sz w:val="16"/>
                <w:szCs w:val="16"/>
              </w:rPr>
            </w:pPr>
            <w:r w:rsidRPr="00582DAD">
              <w:rPr>
                <w:sz w:val="16"/>
                <w:szCs w:val="16"/>
              </w:rPr>
              <w:t xml:space="preserve">Percentage of families living in safe and suitable housing </w:t>
            </w:r>
          </w:p>
          <w:p w:rsidR="008A686E" w:rsidRPr="00582DAD" w:rsidRDefault="008A686E" w:rsidP="0060619D">
            <w:pPr>
              <w:pStyle w:val="Default"/>
              <w:numPr>
                <w:ilvl w:val="0"/>
                <w:numId w:val="22"/>
              </w:numPr>
              <w:ind w:left="227" w:hanging="227"/>
              <w:rPr>
                <w:sz w:val="16"/>
                <w:szCs w:val="16"/>
              </w:rPr>
            </w:pPr>
            <w:r w:rsidRPr="00582DAD">
              <w:rPr>
                <w:sz w:val="16"/>
                <w:szCs w:val="16"/>
              </w:rPr>
              <w:t xml:space="preserve">Percentage of households living in fuel poverty </w:t>
            </w:r>
          </w:p>
          <w:p w:rsidR="008A686E" w:rsidRPr="00582DAD" w:rsidRDefault="008A686E" w:rsidP="0060619D">
            <w:pPr>
              <w:pStyle w:val="Default"/>
              <w:numPr>
                <w:ilvl w:val="0"/>
                <w:numId w:val="22"/>
              </w:numPr>
              <w:ind w:left="227" w:hanging="227"/>
              <w:rPr>
                <w:sz w:val="16"/>
                <w:szCs w:val="16"/>
              </w:rPr>
            </w:pPr>
            <w:r w:rsidRPr="00582DAD">
              <w:rPr>
                <w:sz w:val="16"/>
                <w:szCs w:val="16"/>
              </w:rPr>
              <w:t xml:space="preserve">Teenage pregnancy rates </w:t>
            </w:r>
          </w:p>
          <w:p w:rsidR="008A686E" w:rsidRPr="0060619D" w:rsidRDefault="008A686E" w:rsidP="0060619D">
            <w:pPr>
              <w:pStyle w:val="Default"/>
              <w:numPr>
                <w:ilvl w:val="0"/>
                <w:numId w:val="22"/>
              </w:numPr>
              <w:ind w:left="227" w:hanging="227"/>
              <w:rPr>
                <w:sz w:val="18"/>
                <w:szCs w:val="18"/>
              </w:rPr>
            </w:pPr>
            <w:r w:rsidRPr="00582DAD">
              <w:rPr>
                <w:sz w:val="16"/>
                <w:szCs w:val="16"/>
              </w:rPr>
              <w:t>Life satisfaction rates (ONS condition of wellbeing)</w:t>
            </w:r>
            <w:r w:rsidRPr="0060619D">
              <w:rPr>
                <w:sz w:val="18"/>
                <w:szCs w:val="18"/>
              </w:rPr>
              <w:t xml:space="preserve"> </w:t>
            </w:r>
          </w:p>
          <w:p w:rsidR="008A686E" w:rsidRDefault="008A686E" w:rsidP="008A686E">
            <w:pPr>
              <w:pStyle w:val="ListParagraph"/>
              <w:spacing w:before="200"/>
              <w:ind w:left="0"/>
              <w:contextualSpacing w:val="0"/>
              <w:rPr>
                <w:b/>
              </w:rPr>
            </w:pPr>
          </w:p>
        </w:tc>
        <w:tc>
          <w:tcPr>
            <w:tcW w:w="2768" w:type="dxa"/>
            <w:tcBorders>
              <w:top w:val="single" w:sz="8" w:space="0" w:color="17365D" w:themeColor="text2" w:themeShade="BF"/>
              <w:left w:val="single" w:sz="8" w:space="0" w:color="17365D" w:themeColor="text2" w:themeShade="BF"/>
              <w:bottom w:val="single" w:sz="8" w:space="0" w:color="17365D" w:themeColor="text2" w:themeShade="BF"/>
            </w:tcBorders>
          </w:tcPr>
          <w:p w:rsidR="0060619D" w:rsidRPr="00582DAD" w:rsidRDefault="0060619D" w:rsidP="0060619D">
            <w:pPr>
              <w:pStyle w:val="Default"/>
              <w:numPr>
                <w:ilvl w:val="0"/>
                <w:numId w:val="22"/>
              </w:numPr>
              <w:ind w:left="241" w:hanging="283"/>
              <w:rPr>
                <w:sz w:val="16"/>
                <w:szCs w:val="16"/>
              </w:rPr>
            </w:pPr>
            <w:r w:rsidRPr="00582DAD">
              <w:rPr>
                <w:sz w:val="16"/>
                <w:szCs w:val="16"/>
              </w:rPr>
              <w:t xml:space="preserve">Rates of literacy and numeracy at all ages </w:t>
            </w:r>
          </w:p>
          <w:p w:rsidR="0060619D" w:rsidRPr="00582DAD" w:rsidRDefault="0060619D" w:rsidP="0060619D">
            <w:pPr>
              <w:pStyle w:val="Default"/>
              <w:numPr>
                <w:ilvl w:val="0"/>
                <w:numId w:val="22"/>
              </w:numPr>
              <w:ind w:left="241" w:hanging="283"/>
              <w:rPr>
                <w:sz w:val="16"/>
                <w:szCs w:val="16"/>
              </w:rPr>
            </w:pPr>
            <w:r w:rsidRPr="00582DAD">
              <w:rPr>
                <w:sz w:val="16"/>
                <w:szCs w:val="16"/>
              </w:rPr>
              <w:t xml:space="preserve">Percentage of children achieving at school </w:t>
            </w:r>
          </w:p>
          <w:p w:rsidR="0060619D" w:rsidRPr="00582DAD" w:rsidRDefault="0060619D" w:rsidP="0060619D">
            <w:pPr>
              <w:pStyle w:val="Default"/>
              <w:numPr>
                <w:ilvl w:val="0"/>
                <w:numId w:val="22"/>
              </w:numPr>
              <w:ind w:left="241" w:hanging="283"/>
              <w:rPr>
                <w:sz w:val="16"/>
                <w:szCs w:val="16"/>
              </w:rPr>
            </w:pPr>
            <w:r w:rsidRPr="00582DAD">
              <w:rPr>
                <w:sz w:val="16"/>
                <w:szCs w:val="16"/>
              </w:rPr>
              <w:t xml:space="preserve">Percentage of adults participating in lifelong learning </w:t>
            </w:r>
          </w:p>
          <w:p w:rsidR="0060619D" w:rsidRPr="00582DAD" w:rsidRDefault="0060619D" w:rsidP="0060619D">
            <w:pPr>
              <w:pStyle w:val="Default"/>
              <w:numPr>
                <w:ilvl w:val="0"/>
                <w:numId w:val="22"/>
              </w:numPr>
              <w:ind w:left="241" w:hanging="283"/>
              <w:rPr>
                <w:sz w:val="16"/>
                <w:szCs w:val="16"/>
              </w:rPr>
            </w:pPr>
            <w:r w:rsidRPr="00582DAD">
              <w:rPr>
                <w:sz w:val="16"/>
                <w:szCs w:val="16"/>
              </w:rPr>
              <w:t xml:space="preserve">Percentage of working age people in employment </w:t>
            </w:r>
          </w:p>
          <w:p w:rsidR="0060619D" w:rsidRPr="00582DAD" w:rsidRDefault="0060619D" w:rsidP="0060619D">
            <w:pPr>
              <w:pStyle w:val="Default"/>
              <w:numPr>
                <w:ilvl w:val="0"/>
                <w:numId w:val="22"/>
              </w:numPr>
              <w:ind w:left="241" w:hanging="283"/>
              <w:rPr>
                <w:sz w:val="16"/>
                <w:szCs w:val="16"/>
              </w:rPr>
            </w:pPr>
            <w:r w:rsidRPr="00582DAD">
              <w:rPr>
                <w:sz w:val="16"/>
                <w:szCs w:val="16"/>
              </w:rPr>
              <w:t xml:space="preserve"> Percentage of people participating in further education/higher education/vocational learning </w:t>
            </w:r>
          </w:p>
          <w:p w:rsidR="0060619D" w:rsidRPr="00582DAD" w:rsidRDefault="0060619D" w:rsidP="0060619D">
            <w:pPr>
              <w:pStyle w:val="Default"/>
              <w:numPr>
                <w:ilvl w:val="0"/>
                <w:numId w:val="22"/>
              </w:numPr>
              <w:ind w:left="241" w:hanging="283"/>
              <w:rPr>
                <w:sz w:val="16"/>
                <w:szCs w:val="16"/>
              </w:rPr>
            </w:pPr>
            <w:r w:rsidRPr="00582DAD">
              <w:rPr>
                <w:sz w:val="16"/>
                <w:szCs w:val="16"/>
              </w:rPr>
              <w:t xml:space="preserve">Percentage of young people aged 16-19 not in education, employment &amp; training </w:t>
            </w:r>
          </w:p>
          <w:p w:rsidR="0060619D" w:rsidRPr="00582DAD" w:rsidRDefault="0060619D" w:rsidP="0060619D">
            <w:pPr>
              <w:pStyle w:val="Default"/>
              <w:numPr>
                <w:ilvl w:val="0"/>
                <w:numId w:val="22"/>
              </w:numPr>
              <w:ind w:left="241" w:hanging="283"/>
              <w:rPr>
                <w:sz w:val="16"/>
                <w:szCs w:val="16"/>
              </w:rPr>
            </w:pPr>
            <w:r w:rsidRPr="00582DAD">
              <w:rPr>
                <w:sz w:val="16"/>
                <w:szCs w:val="16"/>
              </w:rPr>
              <w:t xml:space="preserve">Rates of volunteering </w:t>
            </w:r>
          </w:p>
          <w:p w:rsidR="0060619D" w:rsidRPr="00582DAD" w:rsidRDefault="0060619D" w:rsidP="0060619D">
            <w:pPr>
              <w:pStyle w:val="Default"/>
              <w:numPr>
                <w:ilvl w:val="0"/>
                <w:numId w:val="22"/>
              </w:numPr>
              <w:ind w:left="241" w:hanging="283"/>
              <w:rPr>
                <w:sz w:val="16"/>
                <w:szCs w:val="16"/>
              </w:rPr>
            </w:pPr>
            <w:r w:rsidRPr="00582DAD">
              <w:rPr>
                <w:sz w:val="16"/>
                <w:szCs w:val="16"/>
              </w:rPr>
              <w:t xml:space="preserve">Percentage of children attending a good school </w:t>
            </w:r>
          </w:p>
          <w:p w:rsidR="008A686E" w:rsidRDefault="008A686E" w:rsidP="008A686E">
            <w:pPr>
              <w:pStyle w:val="ListParagraph"/>
              <w:spacing w:before="200"/>
              <w:ind w:left="0"/>
              <w:contextualSpacing w:val="0"/>
              <w:rPr>
                <w:b/>
              </w:rPr>
            </w:pPr>
          </w:p>
        </w:tc>
      </w:tr>
    </w:tbl>
    <w:p w:rsidR="00AD158A" w:rsidRPr="00166E49" w:rsidRDefault="004421DC" w:rsidP="00166E49">
      <w:pPr>
        <w:spacing w:before="200" w:line="240" w:lineRule="auto"/>
        <w:rPr>
          <w:b/>
          <w:sz w:val="16"/>
          <w:szCs w:val="16"/>
        </w:rPr>
      </w:pPr>
      <w:r>
        <w:rPr>
          <w:b/>
          <w:sz w:val="16"/>
          <w:szCs w:val="16"/>
        </w:rPr>
        <w:t xml:space="preserve">  </w:t>
      </w:r>
    </w:p>
    <w:tbl>
      <w:tblPr>
        <w:tblStyle w:val="TableGrid"/>
        <w:tblW w:w="10773" w:type="dxa"/>
        <w:tblInd w:w="-1026" w:type="dxa"/>
        <w:tblLayout w:type="fixed"/>
        <w:tblLook w:val="04A0" w:firstRow="1" w:lastRow="0" w:firstColumn="1" w:lastColumn="0" w:noHBand="0" w:noVBand="1"/>
      </w:tblPr>
      <w:tblGrid>
        <w:gridCol w:w="2694"/>
        <w:gridCol w:w="2551"/>
        <w:gridCol w:w="2552"/>
        <w:gridCol w:w="2976"/>
      </w:tblGrid>
      <w:tr w:rsidR="009A3264" w:rsidTr="009A3264">
        <w:trPr>
          <w:trHeight w:val="926"/>
        </w:trPr>
        <w:tc>
          <w:tcPr>
            <w:tcW w:w="2694" w:type="dxa"/>
            <w:tcBorders>
              <w:right w:val="single" w:sz="8" w:space="0" w:color="17365D" w:themeColor="text2" w:themeShade="BF"/>
            </w:tcBorders>
            <w:shd w:val="clear" w:color="auto" w:fill="17365D" w:themeFill="text2" w:themeFillShade="BF"/>
          </w:tcPr>
          <w:tbl>
            <w:tblPr>
              <w:tblW w:w="2806" w:type="dxa"/>
              <w:tblBorders>
                <w:top w:val="nil"/>
                <w:left w:val="nil"/>
                <w:bottom w:val="nil"/>
                <w:right w:val="nil"/>
              </w:tblBorders>
              <w:tblLayout w:type="fixed"/>
              <w:tblLook w:val="0000" w:firstRow="0" w:lastRow="0" w:firstColumn="0" w:lastColumn="0" w:noHBand="0" w:noVBand="0"/>
            </w:tblPr>
            <w:tblGrid>
              <w:gridCol w:w="2806"/>
            </w:tblGrid>
            <w:tr w:rsidR="009707A4" w:rsidRPr="00582DAD" w:rsidTr="005F1AB6">
              <w:trPr>
                <w:trHeight w:val="293"/>
              </w:trPr>
              <w:tc>
                <w:tcPr>
                  <w:tcW w:w="2806" w:type="dxa"/>
                </w:tcPr>
                <w:p w:rsidR="009707A4" w:rsidRPr="00582DAD" w:rsidRDefault="009707A4" w:rsidP="009A3264">
                  <w:pPr>
                    <w:autoSpaceDE w:val="0"/>
                    <w:autoSpaceDN w:val="0"/>
                    <w:adjustRightInd w:val="0"/>
                    <w:spacing w:after="0" w:line="240" w:lineRule="auto"/>
                    <w:jc w:val="center"/>
                    <w:rPr>
                      <w:rFonts w:ascii="Calibri" w:hAnsi="Calibri" w:cs="Calibri"/>
                      <w:color w:val="FFFFFF" w:themeColor="background1"/>
                      <w:sz w:val="18"/>
                      <w:szCs w:val="18"/>
                    </w:rPr>
                  </w:pPr>
                  <w:r w:rsidRPr="00582DAD">
                    <w:rPr>
                      <w:rFonts w:ascii="Calibri" w:hAnsi="Calibri" w:cs="Calibri"/>
                      <w:b/>
                      <w:bCs/>
                      <w:color w:val="FFFFFF" w:themeColor="background1"/>
                      <w:sz w:val="18"/>
                      <w:szCs w:val="18"/>
                    </w:rPr>
                    <w:t>People in Essex live in safe communities and are protected from harm</w:t>
                  </w:r>
                </w:p>
              </w:tc>
            </w:tr>
          </w:tbl>
          <w:p w:rsidR="009707A4" w:rsidRPr="00582DAD" w:rsidRDefault="009707A4" w:rsidP="00166E49">
            <w:pPr>
              <w:spacing w:before="200"/>
              <w:jc w:val="center"/>
              <w:rPr>
                <w:b/>
                <w:color w:val="FFFFFF" w:themeColor="background1"/>
                <w:sz w:val="18"/>
                <w:szCs w:val="18"/>
              </w:rPr>
            </w:pPr>
          </w:p>
        </w:tc>
        <w:tc>
          <w:tcPr>
            <w:tcW w:w="2551" w:type="dxa"/>
            <w:tcBorders>
              <w:left w:val="single" w:sz="8" w:space="0" w:color="17365D" w:themeColor="text2" w:themeShade="BF"/>
              <w:right w:val="single" w:sz="8" w:space="0" w:color="17365D" w:themeColor="text2" w:themeShade="BF"/>
            </w:tcBorders>
            <w:shd w:val="clear" w:color="auto" w:fill="17365D" w:themeFill="text2" w:themeFillShade="BF"/>
          </w:tcPr>
          <w:p w:rsidR="009707A4" w:rsidRPr="00582DAD" w:rsidRDefault="009707A4" w:rsidP="009A3264">
            <w:pPr>
              <w:pStyle w:val="Default"/>
              <w:jc w:val="center"/>
            </w:pPr>
            <w:r w:rsidRPr="00582DAD">
              <w:rPr>
                <w:b/>
                <w:bCs/>
                <w:color w:val="FFFFFF" w:themeColor="background1"/>
                <w:sz w:val="18"/>
                <w:szCs w:val="18"/>
              </w:rPr>
              <w:t>Sustainable economic growth for Essex communities and businesses</w:t>
            </w:r>
          </w:p>
        </w:tc>
        <w:tc>
          <w:tcPr>
            <w:tcW w:w="2552" w:type="dxa"/>
            <w:tcBorders>
              <w:left w:val="single" w:sz="8" w:space="0" w:color="17365D" w:themeColor="text2" w:themeShade="BF"/>
              <w:right w:val="single" w:sz="8" w:space="0" w:color="17365D" w:themeColor="text2" w:themeShade="BF"/>
            </w:tcBorders>
            <w:shd w:val="clear" w:color="auto" w:fill="17365D" w:themeFill="text2" w:themeFillShade="BF"/>
          </w:tcPr>
          <w:p w:rsidR="009707A4" w:rsidRPr="00582DAD" w:rsidRDefault="009707A4" w:rsidP="009A3264">
            <w:pPr>
              <w:pStyle w:val="Default"/>
              <w:jc w:val="center"/>
            </w:pPr>
            <w:r w:rsidRPr="00582DAD">
              <w:rPr>
                <w:b/>
                <w:bCs/>
                <w:color w:val="FFFFFF" w:themeColor="background1"/>
                <w:sz w:val="18"/>
                <w:szCs w:val="18"/>
              </w:rPr>
              <w:t>People in Essex experience a high quality and sustainable environment</w:t>
            </w:r>
          </w:p>
        </w:tc>
        <w:tc>
          <w:tcPr>
            <w:tcW w:w="2976" w:type="dxa"/>
            <w:tcBorders>
              <w:left w:val="single" w:sz="8" w:space="0" w:color="17365D" w:themeColor="text2" w:themeShade="BF"/>
            </w:tcBorders>
            <w:shd w:val="clear" w:color="auto" w:fill="17365D" w:themeFill="text2" w:themeFillShade="BF"/>
          </w:tcPr>
          <w:p w:rsidR="009707A4" w:rsidRPr="00582DAD" w:rsidRDefault="009707A4" w:rsidP="009A3264">
            <w:pPr>
              <w:pStyle w:val="Default"/>
            </w:pPr>
            <w:r w:rsidRPr="00582DAD">
              <w:rPr>
                <w:b/>
                <w:bCs/>
                <w:color w:val="FFFFFF" w:themeColor="background1"/>
                <w:sz w:val="18"/>
                <w:szCs w:val="18"/>
              </w:rPr>
              <w:t xml:space="preserve">People in Essex can live independently and exercise control over their lives </w:t>
            </w:r>
          </w:p>
        </w:tc>
      </w:tr>
      <w:tr w:rsidR="005F1AB6" w:rsidTr="009A3264">
        <w:trPr>
          <w:trHeight w:val="3268"/>
        </w:trPr>
        <w:tc>
          <w:tcPr>
            <w:tcW w:w="2694" w:type="dxa"/>
          </w:tcPr>
          <w:p w:rsidR="004421DC" w:rsidRPr="004E2080" w:rsidRDefault="004421DC" w:rsidP="00166E49">
            <w:pPr>
              <w:pStyle w:val="Default"/>
              <w:numPr>
                <w:ilvl w:val="0"/>
                <w:numId w:val="23"/>
              </w:numPr>
              <w:ind w:left="175" w:hanging="142"/>
              <w:rPr>
                <w:sz w:val="16"/>
                <w:szCs w:val="16"/>
              </w:rPr>
            </w:pPr>
            <w:r w:rsidRPr="004E2080">
              <w:rPr>
                <w:sz w:val="16"/>
                <w:szCs w:val="16"/>
              </w:rPr>
              <w:t xml:space="preserve">Level of crime in Essex </w:t>
            </w:r>
          </w:p>
          <w:p w:rsidR="004421DC" w:rsidRPr="004E2080" w:rsidRDefault="004421DC" w:rsidP="00166E49">
            <w:pPr>
              <w:pStyle w:val="Default"/>
              <w:numPr>
                <w:ilvl w:val="0"/>
                <w:numId w:val="23"/>
              </w:numPr>
              <w:ind w:left="175" w:hanging="142"/>
              <w:rPr>
                <w:sz w:val="16"/>
                <w:szCs w:val="16"/>
              </w:rPr>
            </w:pPr>
            <w:r w:rsidRPr="004E2080">
              <w:rPr>
                <w:sz w:val="16"/>
                <w:szCs w:val="16"/>
              </w:rPr>
              <w:t xml:space="preserve">Number of children subject to protection plans </w:t>
            </w:r>
          </w:p>
          <w:p w:rsidR="004421DC" w:rsidRPr="004E2080" w:rsidRDefault="004421DC" w:rsidP="00166E49">
            <w:pPr>
              <w:pStyle w:val="Default"/>
              <w:numPr>
                <w:ilvl w:val="0"/>
                <w:numId w:val="23"/>
              </w:numPr>
              <w:ind w:left="175" w:hanging="142"/>
              <w:rPr>
                <w:sz w:val="16"/>
                <w:szCs w:val="16"/>
              </w:rPr>
            </w:pPr>
            <w:r w:rsidRPr="004E2080">
              <w:rPr>
                <w:sz w:val="16"/>
                <w:szCs w:val="16"/>
              </w:rPr>
              <w:t xml:space="preserve">Number of children in care </w:t>
            </w:r>
          </w:p>
          <w:p w:rsidR="00E9138D" w:rsidRPr="004E2080" w:rsidRDefault="004421DC" w:rsidP="00166E49">
            <w:pPr>
              <w:pStyle w:val="Default"/>
              <w:numPr>
                <w:ilvl w:val="0"/>
                <w:numId w:val="23"/>
              </w:numPr>
              <w:ind w:left="175" w:hanging="142"/>
              <w:rPr>
                <w:sz w:val="16"/>
                <w:szCs w:val="16"/>
              </w:rPr>
            </w:pPr>
            <w:r w:rsidRPr="004E2080">
              <w:rPr>
                <w:sz w:val="16"/>
                <w:szCs w:val="16"/>
              </w:rPr>
              <w:t xml:space="preserve">Rate of anti-social behaviour in Essex </w:t>
            </w:r>
          </w:p>
          <w:p w:rsidR="00E9138D" w:rsidRPr="004E2080" w:rsidRDefault="004421DC" w:rsidP="00166E49">
            <w:pPr>
              <w:pStyle w:val="Default"/>
              <w:numPr>
                <w:ilvl w:val="0"/>
                <w:numId w:val="23"/>
              </w:numPr>
              <w:ind w:left="175" w:hanging="142"/>
              <w:rPr>
                <w:sz w:val="16"/>
                <w:szCs w:val="16"/>
              </w:rPr>
            </w:pPr>
            <w:r w:rsidRPr="004E2080">
              <w:rPr>
                <w:sz w:val="16"/>
                <w:szCs w:val="16"/>
              </w:rPr>
              <w:t xml:space="preserve"> Number of people killed or seriously injured on Essex roads </w:t>
            </w:r>
          </w:p>
          <w:p w:rsidR="00E9138D" w:rsidRPr="005F1AB6" w:rsidRDefault="004421DC" w:rsidP="00166E49">
            <w:pPr>
              <w:pStyle w:val="Default"/>
              <w:numPr>
                <w:ilvl w:val="0"/>
                <w:numId w:val="23"/>
              </w:numPr>
              <w:ind w:left="175" w:hanging="142"/>
              <w:rPr>
                <w:sz w:val="16"/>
                <w:szCs w:val="16"/>
              </w:rPr>
            </w:pPr>
            <w:r w:rsidRPr="004E2080">
              <w:rPr>
                <w:sz w:val="16"/>
                <w:szCs w:val="16"/>
              </w:rPr>
              <w:t xml:space="preserve">Percentage of residents who feel that Essex roads are safe </w:t>
            </w:r>
          </w:p>
          <w:p w:rsidR="00E9138D" w:rsidRPr="005F1AB6" w:rsidRDefault="004421DC" w:rsidP="00166E49">
            <w:pPr>
              <w:pStyle w:val="Default"/>
              <w:numPr>
                <w:ilvl w:val="0"/>
                <w:numId w:val="23"/>
              </w:numPr>
              <w:ind w:left="175" w:hanging="142"/>
              <w:rPr>
                <w:sz w:val="16"/>
                <w:szCs w:val="16"/>
              </w:rPr>
            </w:pPr>
            <w:r w:rsidRPr="005F1AB6">
              <w:rPr>
                <w:sz w:val="16"/>
                <w:szCs w:val="16"/>
              </w:rPr>
              <w:t xml:space="preserve">Hospital admissions caused by injuries to children and young people </w:t>
            </w:r>
          </w:p>
          <w:p w:rsidR="00E9138D" w:rsidRPr="005F1AB6" w:rsidRDefault="004421DC" w:rsidP="00166E49">
            <w:pPr>
              <w:pStyle w:val="Default"/>
              <w:numPr>
                <w:ilvl w:val="0"/>
                <w:numId w:val="23"/>
              </w:numPr>
              <w:ind w:left="175" w:hanging="142"/>
              <w:rPr>
                <w:sz w:val="16"/>
                <w:szCs w:val="16"/>
              </w:rPr>
            </w:pPr>
            <w:r w:rsidRPr="005F1AB6">
              <w:rPr>
                <w:sz w:val="16"/>
                <w:szCs w:val="16"/>
              </w:rPr>
              <w:t xml:space="preserve">Hospital admissions caused by injuries to adults </w:t>
            </w:r>
          </w:p>
          <w:p w:rsidR="00E9138D" w:rsidRPr="005F1AB6" w:rsidRDefault="004421DC" w:rsidP="00166E49">
            <w:pPr>
              <w:pStyle w:val="Default"/>
              <w:numPr>
                <w:ilvl w:val="0"/>
                <w:numId w:val="23"/>
              </w:numPr>
              <w:ind w:left="175" w:hanging="142"/>
              <w:rPr>
                <w:sz w:val="16"/>
                <w:szCs w:val="16"/>
              </w:rPr>
            </w:pPr>
            <w:r w:rsidRPr="005F1AB6">
              <w:rPr>
                <w:sz w:val="16"/>
                <w:szCs w:val="16"/>
              </w:rPr>
              <w:t xml:space="preserve">Incidents of domestic abuse </w:t>
            </w:r>
          </w:p>
          <w:p w:rsidR="00E9138D" w:rsidRPr="005F1AB6" w:rsidRDefault="004421DC" w:rsidP="00166E49">
            <w:pPr>
              <w:pStyle w:val="Default"/>
              <w:numPr>
                <w:ilvl w:val="0"/>
                <w:numId w:val="23"/>
              </w:numPr>
              <w:ind w:left="175" w:hanging="142"/>
              <w:rPr>
                <w:sz w:val="16"/>
                <w:szCs w:val="16"/>
              </w:rPr>
            </w:pPr>
            <w:r w:rsidRPr="005F1AB6">
              <w:rPr>
                <w:sz w:val="16"/>
                <w:szCs w:val="16"/>
              </w:rPr>
              <w:t xml:space="preserve">Percentage of residents who feel safe </w:t>
            </w:r>
          </w:p>
          <w:p w:rsidR="004421DC" w:rsidRPr="005F1AB6" w:rsidRDefault="004421DC" w:rsidP="00166E49">
            <w:pPr>
              <w:pStyle w:val="Default"/>
              <w:numPr>
                <w:ilvl w:val="0"/>
                <w:numId w:val="23"/>
              </w:numPr>
              <w:ind w:left="175" w:hanging="142"/>
              <w:rPr>
                <w:sz w:val="16"/>
                <w:szCs w:val="16"/>
              </w:rPr>
            </w:pPr>
            <w:r w:rsidRPr="005F1AB6">
              <w:rPr>
                <w:sz w:val="16"/>
                <w:szCs w:val="16"/>
              </w:rPr>
              <w:t xml:space="preserve">Rates of re-offending </w:t>
            </w:r>
          </w:p>
          <w:p w:rsidR="009707A4" w:rsidRPr="004E2080" w:rsidRDefault="009707A4" w:rsidP="009707A4">
            <w:pPr>
              <w:spacing w:before="200"/>
              <w:rPr>
                <w:b/>
                <w:sz w:val="16"/>
                <w:szCs w:val="16"/>
              </w:rPr>
            </w:pPr>
          </w:p>
        </w:tc>
        <w:tc>
          <w:tcPr>
            <w:tcW w:w="2551" w:type="dxa"/>
          </w:tcPr>
          <w:p w:rsidR="00E9138D" w:rsidRPr="004E2080" w:rsidRDefault="00E9138D" w:rsidP="00166E49">
            <w:pPr>
              <w:pStyle w:val="Default"/>
              <w:numPr>
                <w:ilvl w:val="0"/>
                <w:numId w:val="23"/>
              </w:numPr>
              <w:ind w:left="242" w:hanging="242"/>
              <w:rPr>
                <w:sz w:val="16"/>
                <w:szCs w:val="16"/>
              </w:rPr>
            </w:pPr>
            <w:r w:rsidRPr="004E2080">
              <w:rPr>
                <w:sz w:val="16"/>
                <w:szCs w:val="16"/>
              </w:rPr>
              <w:t xml:space="preserve">Job growth in key locations and key sectors </w:t>
            </w:r>
          </w:p>
          <w:p w:rsidR="00E9138D" w:rsidRPr="004E2080" w:rsidRDefault="00E9138D" w:rsidP="00166E49">
            <w:pPr>
              <w:pStyle w:val="Default"/>
              <w:numPr>
                <w:ilvl w:val="0"/>
                <w:numId w:val="23"/>
              </w:numPr>
              <w:ind w:left="242" w:hanging="242"/>
              <w:rPr>
                <w:sz w:val="16"/>
                <w:szCs w:val="16"/>
              </w:rPr>
            </w:pPr>
            <w:r w:rsidRPr="004E2080">
              <w:rPr>
                <w:sz w:val="16"/>
                <w:szCs w:val="16"/>
              </w:rPr>
              <w:t xml:space="preserve">Housing growth in key locations </w:t>
            </w:r>
          </w:p>
          <w:p w:rsidR="00E9138D" w:rsidRPr="004E2080" w:rsidRDefault="00E9138D" w:rsidP="00166E49">
            <w:pPr>
              <w:pStyle w:val="Default"/>
              <w:numPr>
                <w:ilvl w:val="0"/>
                <w:numId w:val="23"/>
              </w:numPr>
              <w:ind w:left="242" w:hanging="242"/>
              <w:rPr>
                <w:sz w:val="16"/>
                <w:szCs w:val="16"/>
              </w:rPr>
            </w:pPr>
            <w:r w:rsidRPr="004E2080">
              <w:rPr>
                <w:sz w:val="16"/>
                <w:szCs w:val="16"/>
              </w:rPr>
              <w:t xml:space="preserve">Supply of fit for purpose business premises </w:t>
            </w:r>
          </w:p>
          <w:p w:rsidR="00E9138D" w:rsidRPr="004E2080" w:rsidRDefault="00E9138D" w:rsidP="00166E49">
            <w:pPr>
              <w:pStyle w:val="Default"/>
              <w:numPr>
                <w:ilvl w:val="0"/>
                <w:numId w:val="23"/>
              </w:numPr>
              <w:ind w:left="242" w:hanging="242"/>
              <w:rPr>
                <w:sz w:val="16"/>
                <w:szCs w:val="16"/>
              </w:rPr>
            </w:pPr>
            <w:r w:rsidRPr="004E2080">
              <w:rPr>
                <w:sz w:val="16"/>
                <w:szCs w:val="16"/>
              </w:rPr>
              <w:t xml:space="preserve">Increased connectivity and journey time reliability on priority route network (PR1) </w:t>
            </w:r>
          </w:p>
          <w:p w:rsidR="00E9138D" w:rsidRPr="005F1AB6" w:rsidRDefault="00E9138D" w:rsidP="00166E49">
            <w:pPr>
              <w:pStyle w:val="Default"/>
              <w:numPr>
                <w:ilvl w:val="0"/>
                <w:numId w:val="23"/>
              </w:numPr>
              <w:ind w:left="242" w:hanging="242"/>
              <w:rPr>
                <w:sz w:val="16"/>
                <w:szCs w:val="16"/>
              </w:rPr>
            </w:pPr>
            <w:r w:rsidRPr="004E2080">
              <w:rPr>
                <w:sz w:val="16"/>
                <w:szCs w:val="16"/>
              </w:rPr>
              <w:t xml:space="preserve">Number of bus and/or community transport journeys </w:t>
            </w:r>
          </w:p>
          <w:p w:rsidR="00E9138D" w:rsidRPr="005F1AB6" w:rsidRDefault="00E9138D" w:rsidP="00166E49">
            <w:pPr>
              <w:pStyle w:val="Default"/>
              <w:numPr>
                <w:ilvl w:val="0"/>
                <w:numId w:val="23"/>
              </w:numPr>
              <w:ind w:left="242" w:hanging="242"/>
              <w:rPr>
                <w:sz w:val="16"/>
                <w:szCs w:val="16"/>
              </w:rPr>
            </w:pPr>
            <w:r w:rsidRPr="005F1AB6">
              <w:rPr>
                <w:sz w:val="16"/>
                <w:szCs w:val="16"/>
              </w:rPr>
              <w:t xml:space="preserve">Median earnings </w:t>
            </w:r>
          </w:p>
          <w:p w:rsidR="00E9138D" w:rsidRPr="004E2080" w:rsidRDefault="00E9138D" w:rsidP="00166E49">
            <w:pPr>
              <w:pStyle w:val="Default"/>
              <w:numPr>
                <w:ilvl w:val="0"/>
                <w:numId w:val="23"/>
              </w:numPr>
              <w:ind w:left="242" w:hanging="242"/>
              <w:rPr>
                <w:sz w:val="16"/>
                <w:szCs w:val="16"/>
              </w:rPr>
            </w:pPr>
            <w:r w:rsidRPr="005F1AB6">
              <w:rPr>
                <w:sz w:val="16"/>
                <w:szCs w:val="16"/>
              </w:rPr>
              <w:t xml:space="preserve"> Coverage of superfast</w:t>
            </w:r>
            <w:r w:rsidRPr="004E2080">
              <w:rPr>
                <w:sz w:val="16"/>
                <w:szCs w:val="16"/>
              </w:rPr>
              <w:t xml:space="preserve"> broadband services </w:t>
            </w:r>
          </w:p>
          <w:p w:rsidR="00E9138D" w:rsidRPr="004E2080" w:rsidRDefault="00E9138D" w:rsidP="00166E49">
            <w:pPr>
              <w:pStyle w:val="Default"/>
              <w:numPr>
                <w:ilvl w:val="0"/>
                <w:numId w:val="23"/>
              </w:numPr>
              <w:ind w:left="242" w:hanging="242"/>
              <w:rPr>
                <w:sz w:val="16"/>
                <w:szCs w:val="16"/>
              </w:rPr>
            </w:pPr>
            <w:r w:rsidRPr="004E2080">
              <w:rPr>
                <w:sz w:val="16"/>
                <w:szCs w:val="16"/>
              </w:rPr>
              <w:t xml:space="preserve">Sustainable business start-up rates </w:t>
            </w:r>
          </w:p>
          <w:p w:rsidR="00E9138D" w:rsidRPr="004E2080" w:rsidRDefault="00E9138D" w:rsidP="00166E49">
            <w:pPr>
              <w:pStyle w:val="Default"/>
              <w:numPr>
                <w:ilvl w:val="0"/>
                <w:numId w:val="23"/>
              </w:numPr>
              <w:ind w:left="242" w:hanging="242"/>
              <w:rPr>
                <w:sz w:val="16"/>
                <w:szCs w:val="16"/>
              </w:rPr>
            </w:pPr>
            <w:r w:rsidRPr="004E2080">
              <w:rPr>
                <w:sz w:val="16"/>
                <w:szCs w:val="16"/>
              </w:rPr>
              <w:t xml:space="preserve"> Percentage of Essex businesses who think they can recruit suitable people </w:t>
            </w:r>
          </w:p>
          <w:p w:rsidR="00E9138D" w:rsidRPr="004E2080" w:rsidRDefault="00E9138D" w:rsidP="00166E49">
            <w:pPr>
              <w:pStyle w:val="Default"/>
              <w:numPr>
                <w:ilvl w:val="0"/>
                <w:numId w:val="23"/>
              </w:numPr>
              <w:ind w:left="242" w:hanging="242"/>
              <w:rPr>
                <w:sz w:val="16"/>
                <w:szCs w:val="16"/>
              </w:rPr>
            </w:pPr>
            <w:r w:rsidRPr="004E2080">
              <w:rPr>
                <w:sz w:val="16"/>
                <w:szCs w:val="16"/>
              </w:rPr>
              <w:t xml:space="preserve">Percentage of working age people in employment </w:t>
            </w:r>
          </w:p>
          <w:p w:rsidR="00E9138D" w:rsidRPr="004E2080" w:rsidRDefault="00E9138D" w:rsidP="00166E49">
            <w:pPr>
              <w:pStyle w:val="Default"/>
              <w:numPr>
                <w:ilvl w:val="0"/>
                <w:numId w:val="23"/>
              </w:numPr>
              <w:ind w:left="242" w:hanging="242"/>
              <w:rPr>
                <w:sz w:val="16"/>
                <w:szCs w:val="16"/>
              </w:rPr>
            </w:pPr>
            <w:r w:rsidRPr="004E2080">
              <w:rPr>
                <w:sz w:val="16"/>
                <w:szCs w:val="16"/>
              </w:rPr>
              <w:t xml:space="preserve">Business rates growth </w:t>
            </w:r>
          </w:p>
          <w:p w:rsidR="009707A4" w:rsidRPr="004E2080" w:rsidRDefault="009707A4" w:rsidP="009707A4">
            <w:pPr>
              <w:spacing w:before="200"/>
              <w:rPr>
                <w:b/>
                <w:sz w:val="16"/>
                <w:szCs w:val="16"/>
              </w:rPr>
            </w:pPr>
          </w:p>
        </w:tc>
        <w:tc>
          <w:tcPr>
            <w:tcW w:w="2552" w:type="dxa"/>
          </w:tcPr>
          <w:p w:rsidR="006A3A0E" w:rsidRPr="00582DAD" w:rsidRDefault="006A3A0E" w:rsidP="00166E49">
            <w:pPr>
              <w:pStyle w:val="Default"/>
              <w:numPr>
                <w:ilvl w:val="0"/>
                <w:numId w:val="30"/>
              </w:numPr>
              <w:ind w:left="200" w:hanging="200"/>
              <w:rPr>
                <w:sz w:val="16"/>
                <w:szCs w:val="16"/>
              </w:rPr>
            </w:pPr>
            <w:r w:rsidRPr="00582DAD">
              <w:rPr>
                <w:sz w:val="16"/>
                <w:szCs w:val="16"/>
              </w:rPr>
              <w:t xml:space="preserve">Residual waste volumes </w:t>
            </w:r>
          </w:p>
          <w:p w:rsidR="006A3A0E" w:rsidRPr="00582DAD" w:rsidRDefault="006A3A0E" w:rsidP="00166E49">
            <w:pPr>
              <w:pStyle w:val="Default"/>
              <w:numPr>
                <w:ilvl w:val="0"/>
                <w:numId w:val="30"/>
              </w:numPr>
              <w:ind w:left="200" w:hanging="200"/>
              <w:rPr>
                <w:sz w:val="16"/>
                <w:szCs w:val="16"/>
              </w:rPr>
            </w:pPr>
            <w:r w:rsidRPr="00582DAD">
              <w:rPr>
                <w:sz w:val="16"/>
                <w:szCs w:val="16"/>
              </w:rPr>
              <w:t xml:space="preserve">Cost of energy to households </w:t>
            </w:r>
          </w:p>
          <w:p w:rsidR="006A3A0E" w:rsidRPr="00582DAD" w:rsidRDefault="006A3A0E" w:rsidP="00166E49">
            <w:pPr>
              <w:pStyle w:val="Default"/>
              <w:numPr>
                <w:ilvl w:val="0"/>
                <w:numId w:val="30"/>
              </w:numPr>
              <w:ind w:left="200" w:hanging="200"/>
              <w:rPr>
                <w:sz w:val="16"/>
                <w:szCs w:val="16"/>
              </w:rPr>
            </w:pPr>
            <w:r w:rsidRPr="00582DAD">
              <w:rPr>
                <w:sz w:val="16"/>
                <w:szCs w:val="16"/>
              </w:rPr>
              <w:t xml:space="preserve">Preventable flooding incidents </w:t>
            </w:r>
          </w:p>
          <w:p w:rsidR="006A3A0E" w:rsidRPr="00582DAD" w:rsidRDefault="006A3A0E" w:rsidP="00166E49">
            <w:pPr>
              <w:pStyle w:val="Default"/>
              <w:numPr>
                <w:ilvl w:val="0"/>
                <w:numId w:val="30"/>
              </w:numPr>
              <w:ind w:left="200" w:hanging="200"/>
              <w:rPr>
                <w:sz w:val="16"/>
                <w:szCs w:val="16"/>
              </w:rPr>
            </w:pPr>
            <w:r w:rsidRPr="00582DAD">
              <w:rPr>
                <w:sz w:val="16"/>
                <w:szCs w:val="16"/>
              </w:rPr>
              <w:t xml:space="preserve">Level of pollution </w:t>
            </w:r>
          </w:p>
          <w:p w:rsidR="006A3A0E" w:rsidRPr="00582DAD" w:rsidRDefault="006A3A0E" w:rsidP="00166E49">
            <w:pPr>
              <w:pStyle w:val="Default"/>
              <w:numPr>
                <w:ilvl w:val="0"/>
                <w:numId w:val="30"/>
              </w:numPr>
              <w:ind w:left="200" w:hanging="200"/>
              <w:rPr>
                <w:sz w:val="16"/>
                <w:szCs w:val="16"/>
              </w:rPr>
            </w:pPr>
            <w:r w:rsidRPr="00582DAD">
              <w:rPr>
                <w:sz w:val="16"/>
                <w:szCs w:val="16"/>
              </w:rPr>
              <w:t xml:space="preserve"> Condition of roads and footways </w:t>
            </w:r>
          </w:p>
          <w:p w:rsidR="006A3A0E" w:rsidRPr="00582DAD" w:rsidRDefault="006A3A0E" w:rsidP="00166E49">
            <w:pPr>
              <w:pStyle w:val="Default"/>
              <w:numPr>
                <w:ilvl w:val="0"/>
                <w:numId w:val="30"/>
              </w:numPr>
              <w:ind w:left="200" w:hanging="200"/>
              <w:rPr>
                <w:sz w:val="16"/>
                <w:szCs w:val="16"/>
              </w:rPr>
            </w:pPr>
            <w:r w:rsidRPr="00582DAD">
              <w:rPr>
                <w:sz w:val="16"/>
                <w:szCs w:val="16"/>
              </w:rPr>
              <w:t xml:space="preserve">Access to valuable open spaces </w:t>
            </w:r>
          </w:p>
          <w:p w:rsidR="006A3A0E" w:rsidRPr="00582DAD" w:rsidRDefault="006A3A0E" w:rsidP="00166E49">
            <w:pPr>
              <w:pStyle w:val="Default"/>
              <w:numPr>
                <w:ilvl w:val="0"/>
                <w:numId w:val="30"/>
              </w:numPr>
              <w:ind w:left="200" w:hanging="200"/>
              <w:rPr>
                <w:sz w:val="16"/>
                <w:szCs w:val="16"/>
              </w:rPr>
            </w:pPr>
            <w:r w:rsidRPr="00582DAD">
              <w:rPr>
                <w:sz w:val="16"/>
                <w:szCs w:val="16"/>
              </w:rPr>
              <w:t xml:space="preserve">Perception of the quality of the environment in Essex’s cities, towns and villages </w:t>
            </w:r>
          </w:p>
          <w:p w:rsidR="009707A4" w:rsidRDefault="009707A4" w:rsidP="009707A4">
            <w:pPr>
              <w:spacing w:before="200"/>
              <w:rPr>
                <w:b/>
              </w:rPr>
            </w:pPr>
          </w:p>
        </w:tc>
        <w:tc>
          <w:tcPr>
            <w:tcW w:w="2976" w:type="dxa"/>
          </w:tcPr>
          <w:p w:rsidR="006A3A0E" w:rsidRPr="00582DAD" w:rsidRDefault="006A3A0E" w:rsidP="005F1AB6">
            <w:pPr>
              <w:pStyle w:val="Default"/>
              <w:numPr>
                <w:ilvl w:val="0"/>
                <w:numId w:val="31"/>
              </w:numPr>
              <w:ind w:left="176" w:hanging="176"/>
              <w:jc w:val="both"/>
              <w:rPr>
                <w:sz w:val="16"/>
                <w:szCs w:val="16"/>
              </w:rPr>
            </w:pPr>
            <w:r w:rsidRPr="00582DAD">
              <w:rPr>
                <w:sz w:val="16"/>
                <w:szCs w:val="16"/>
              </w:rPr>
              <w:t xml:space="preserve">Proportion of people who live independently </w:t>
            </w:r>
          </w:p>
          <w:p w:rsidR="006A3A0E" w:rsidRPr="00582DAD" w:rsidRDefault="006A3A0E" w:rsidP="005F1AB6">
            <w:pPr>
              <w:pStyle w:val="Default"/>
              <w:numPr>
                <w:ilvl w:val="0"/>
                <w:numId w:val="31"/>
              </w:numPr>
              <w:ind w:left="176" w:hanging="176"/>
              <w:jc w:val="both"/>
              <w:rPr>
                <w:sz w:val="16"/>
                <w:szCs w:val="16"/>
              </w:rPr>
            </w:pPr>
            <w:r w:rsidRPr="00582DAD">
              <w:rPr>
                <w:sz w:val="16"/>
                <w:szCs w:val="16"/>
              </w:rPr>
              <w:t xml:space="preserve">Percentage of people who regain or increase their level of independence following hospital admissions </w:t>
            </w:r>
          </w:p>
          <w:p w:rsidR="006A3A0E" w:rsidRPr="00582DAD" w:rsidRDefault="006A3A0E" w:rsidP="005F1AB6">
            <w:pPr>
              <w:pStyle w:val="Default"/>
              <w:numPr>
                <w:ilvl w:val="0"/>
                <w:numId w:val="31"/>
              </w:numPr>
              <w:ind w:left="176" w:hanging="176"/>
              <w:jc w:val="both"/>
              <w:rPr>
                <w:sz w:val="16"/>
                <w:szCs w:val="16"/>
              </w:rPr>
            </w:pPr>
            <w:r w:rsidRPr="00582DAD">
              <w:rPr>
                <w:sz w:val="16"/>
                <w:szCs w:val="16"/>
              </w:rPr>
              <w:t xml:space="preserve">Access to end of life care in their preferred placement of choice </w:t>
            </w:r>
          </w:p>
          <w:p w:rsidR="006A3A0E" w:rsidRPr="00582DAD" w:rsidRDefault="006A3A0E" w:rsidP="005F1AB6">
            <w:pPr>
              <w:pStyle w:val="Default"/>
              <w:numPr>
                <w:ilvl w:val="0"/>
                <w:numId w:val="31"/>
              </w:numPr>
              <w:ind w:left="176" w:hanging="176"/>
              <w:jc w:val="both"/>
              <w:rPr>
                <w:sz w:val="16"/>
                <w:szCs w:val="16"/>
              </w:rPr>
            </w:pPr>
            <w:r w:rsidRPr="00582DAD">
              <w:rPr>
                <w:sz w:val="16"/>
                <w:szCs w:val="16"/>
              </w:rPr>
              <w:t xml:space="preserve">Number of children and adults who receive social care support </w:t>
            </w:r>
          </w:p>
          <w:p w:rsidR="006A3A0E" w:rsidRPr="00582DAD" w:rsidRDefault="006A3A0E" w:rsidP="005F1AB6">
            <w:pPr>
              <w:pStyle w:val="Default"/>
              <w:numPr>
                <w:ilvl w:val="0"/>
                <w:numId w:val="31"/>
              </w:numPr>
              <w:ind w:left="176" w:hanging="176"/>
              <w:jc w:val="both"/>
              <w:rPr>
                <w:sz w:val="16"/>
                <w:szCs w:val="16"/>
              </w:rPr>
            </w:pPr>
            <w:r w:rsidRPr="00582DAD">
              <w:rPr>
                <w:sz w:val="16"/>
                <w:szCs w:val="16"/>
              </w:rPr>
              <w:t xml:space="preserve">Number of people with personal budgets </w:t>
            </w:r>
          </w:p>
          <w:p w:rsidR="009707A4" w:rsidRDefault="009707A4" w:rsidP="005F1AB6">
            <w:pPr>
              <w:spacing w:before="200"/>
              <w:ind w:left="176" w:hanging="176"/>
              <w:rPr>
                <w:b/>
              </w:rPr>
            </w:pPr>
          </w:p>
        </w:tc>
      </w:tr>
    </w:tbl>
    <w:p w:rsidR="009707A4" w:rsidRPr="00166E49" w:rsidRDefault="009707A4" w:rsidP="00166E49">
      <w:pPr>
        <w:spacing w:before="200" w:line="240" w:lineRule="auto"/>
        <w:rPr>
          <w:b/>
        </w:rPr>
      </w:pPr>
    </w:p>
    <w:p w:rsidR="00577DE7" w:rsidRDefault="00577DE7" w:rsidP="001A4765">
      <w:pPr>
        <w:pStyle w:val="ListParagraph"/>
        <w:spacing w:before="200" w:line="240" w:lineRule="auto"/>
        <w:ind w:left="0"/>
        <w:contextualSpacing w:val="0"/>
      </w:pPr>
    </w:p>
    <w:p w:rsidR="005C7093" w:rsidRDefault="005C7093" w:rsidP="00166E49">
      <w:pPr>
        <w:pStyle w:val="ListParagraph"/>
        <w:numPr>
          <w:ilvl w:val="0"/>
          <w:numId w:val="28"/>
        </w:numPr>
        <w:spacing w:before="200" w:line="240" w:lineRule="auto"/>
        <w:contextualSpacing w:val="0"/>
        <w:rPr>
          <w:b/>
        </w:rPr>
      </w:pPr>
      <w:bookmarkStart w:id="1" w:name="Introduction"/>
      <w:r w:rsidRPr="003870A5">
        <w:rPr>
          <w:b/>
        </w:rPr>
        <w:lastRenderedPageBreak/>
        <w:t>Introduction</w:t>
      </w:r>
      <w:r w:rsidR="00B86E5E">
        <w:rPr>
          <w:b/>
        </w:rPr>
        <w:t xml:space="preserve"> </w:t>
      </w:r>
    </w:p>
    <w:bookmarkEnd w:id="1"/>
    <w:p w:rsidR="003870A5" w:rsidRPr="00F72FD5" w:rsidRDefault="00084F52" w:rsidP="009657E3">
      <w:pPr>
        <w:pStyle w:val="ListParagraph"/>
        <w:numPr>
          <w:ilvl w:val="1"/>
          <w:numId w:val="29"/>
        </w:numPr>
        <w:spacing w:before="200" w:line="240" w:lineRule="auto"/>
        <w:ind w:left="567" w:hanging="567"/>
        <w:contextualSpacing w:val="0"/>
        <w:rPr>
          <w:b/>
        </w:rPr>
      </w:pPr>
      <w:r w:rsidRPr="00084F52">
        <w:fldChar w:fldCharType="begin"/>
      </w:r>
      <w:r w:rsidRPr="00084F52">
        <w:instrText xml:space="preserve"> HYPERLINK "http://www.essexteachertraining.co.uk" </w:instrText>
      </w:r>
      <w:r w:rsidRPr="00084F52">
        <w:fldChar w:fldCharType="separate"/>
      </w:r>
      <w:r w:rsidRPr="00084F52">
        <w:rPr>
          <w:rStyle w:val="Hyperlink"/>
        </w:rPr>
        <w:t>Essex Teacher Training</w:t>
      </w:r>
      <w:r w:rsidRPr="00084F52">
        <w:fldChar w:fldCharType="end"/>
      </w:r>
      <w:r w:rsidRPr="00084F52">
        <w:t xml:space="preserve"> is a large provider of Initial Teacher Training in the Eastern Region.  As part of </w:t>
      </w:r>
      <w:hyperlink r:id="rId8" w:history="1">
        <w:r w:rsidRPr="00084F52">
          <w:rPr>
            <w:rStyle w:val="Hyperlink"/>
          </w:rPr>
          <w:t>Essex Education Services</w:t>
        </w:r>
      </w:hyperlink>
      <w:r w:rsidRPr="00084F52">
        <w:t xml:space="preserve"> we offer high quality school-based training routes for both Primary and Secondary. Working with our SCITT and School Direct partners we are able to offer training places in schools across Essex and its surrounding borders.  We currently have a cohort of 140 trainees across both phases, including salaried and non-salaried.</w:t>
      </w:r>
    </w:p>
    <w:p w:rsidR="008824C0" w:rsidRDefault="008824C0" w:rsidP="00166E49">
      <w:pPr>
        <w:pStyle w:val="ListParagraph"/>
        <w:numPr>
          <w:ilvl w:val="0"/>
          <w:numId w:val="29"/>
        </w:numPr>
        <w:spacing w:before="200" w:line="240" w:lineRule="auto"/>
        <w:contextualSpacing w:val="0"/>
        <w:rPr>
          <w:b/>
        </w:rPr>
      </w:pPr>
      <w:bookmarkStart w:id="2" w:name="Background"/>
      <w:r>
        <w:rPr>
          <w:b/>
        </w:rPr>
        <w:t>Background</w:t>
      </w:r>
    </w:p>
    <w:bookmarkEnd w:id="2"/>
    <w:p w:rsidR="008824C0" w:rsidRPr="00260C88" w:rsidRDefault="00B60B49" w:rsidP="009657E3">
      <w:pPr>
        <w:pStyle w:val="ListParagraph"/>
        <w:numPr>
          <w:ilvl w:val="1"/>
          <w:numId w:val="29"/>
        </w:numPr>
        <w:spacing w:before="200" w:line="240" w:lineRule="auto"/>
        <w:ind w:left="567" w:hanging="567"/>
        <w:contextualSpacing w:val="0"/>
        <w:rPr>
          <w:b/>
        </w:rPr>
      </w:pPr>
      <w:r w:rsidRPr="00B60B49">
        <w:t xml:space="preserve">Essex Teacher Training requires an arrangement that will enable trainees to achieve 120 credits at Level 7 and / or a PGCE for the academic year 2015-16, with the opportunity to complete a full </w:t>
      </w:r>
      <w:proofErr w:type="spellStart"/>
      <w:r w:rsidRPr="00B60B49">
        <w:t>Masters</w:t>
      </w:r>
      <w:proofErr w:type="spellEnd"/>
      <w:r w:rsidRPr="00B60B49">
        <w:t xml:space="preserve"> Degree during the early stage of their teaching career.  Precise details will depend on individual University recommendations but it is our expectation that they would include a focus on pedagogy, action research and preparation for further study along with an RPL element.</w:t>
      </w:r>
      <w:bookmarkStart w:id="3" w:name="_GoBack"/>
      <w:bookmarkEnd w:id="3"/>
    </w:p>
    <w:p w:rsidR="00F72FD5" w:rsidRDefault="00F72FD5" w:rsidP="00166E49">
      <w:pPr>
        <w:pStyle w:val="ListParagraph"/>
        <w:numPr>
          <w:ilvl w:val="0"/>
          <w:numId w:val="29"/>
        </w:numPr>
        <w:spacing w:before="200" w:line="240" w:lineRule="auto"/>
        <w:contextualSpacing w:val="0"/>
        <w:rPr>
          <w:b/>
        </w:rPr>
      </w:pPr>
      <w:bookmarkStart w:id="4" w:name="Scope"/>
      <w:r w:rsidRPr="003870A5">
        <w:rPr>
          <w:b/>
        </w:rPr>
        <w:t>Scope</w:t>
      </w:r>
      <w:bookmarkEnd w:id="4"/>
    </w:p>
    <w:p w:rsidR="00F72FD5" w:rsidRDefault="00084F52" w:rsidP="009657E3">
      <w:pPr>
        <w:pStyle w:val="ListParagraph"/>
        <w:numPr>
          <w:ilvl w:val="1"/>
          <w:numId w:val="29"/>
        </w:numPr>
        <w:spacing w:before="200" w:line="240" w:lineRule="auto"/>
        <w:ind w:left="567" w:hanging="567"/>
        <w:contextualSpacing w:val="0"/>
      </w:pPr>
      <w:r w:rsidRPr="00084F52">
        <w:t xml:space="preserve">Essex Teacher Training is seeking to commission </w:t>
      </w:r>
      <w:proofErr w:type="spellStart"/>
      <w:r w:rsidRPr="00084F52">
        <w:t>an</w:t>
      </w:r>
      <w:proofErr w:type="spellEnd"/>
      <w:r w:rsidRPr="00084F52">
        <w:t xml:space="preserve"> HE partner to deliver and quality assure a PGCE programme for our SCITT and School Direct Trainees.  Currently trainees complete 120 Level 7 credits in their training year.  They do this by completing 2, 30 credit modules and an RPL arrangement for the QTS component of the programme resulting in the award of a further 60 credits.  Trainees then have the option to complete a 60 credit research module to complete their Masters in Education.</w:t>
      </w:r>
    </w:p>
    <w:p w:rsidR="00084F52" w:rsidRDefault="00084F52" w:rsidP="00151ED0">
      <w:pPr>
        <w:pStyle w:val="ListParagraph"/>
        <w:numPr>
          <w:ilvl w:val="1"/>
          <w:numId w:val="29"/>
        </w:numPr>
        <w:spacing w:before="200" w:line="240" w:lineRule="auto"/>
        <w:ind w:left="567" w:hanging="567"/>
        <w:contextualSpacing w:val="0"/>
      </w:pPr>
      <w:r>
        <w:t>Essex Teacher Training will be responsible for the following:</w:t>
      </w:r>
    </w:p>
    <w:p w:rsidR="00084F52" w:rsidRDefault="00084F52" w:rsidP="00151ED0">
      <w:pPr>
        <w:pStyle w:val="ListParagraph"/>
        <w:numPr>
          <w:ilvl w:val="0"/>
          <w:numId w:val="38"/>
        </w:numPr>
        <w:spacing w:after="0" w:line="240" w:lineRule="auto"/>
        <w:ind w:left="1134" w:hanging="283"/>
        <w:contextualSpacing w:val="0"/>
        <w:jc w:val="both"/>
      </w:pPr>
      <w:r w:rsidRPr="00D230BF">
        <w:t xml:space="preserve">Training to support the award of QTS </w:t>
      </w:r>
    </w:p>
    <w:p w:rsidR="00084F52" w:rsidRDefault="00084F52" w:rsidP="00151ED0">
      <w:pPr>
        <w:pStyle w:val="ListParagraph"/>
        <w:numPr>
          <w:ilvl w:val="0"/>
          <w:numId w:val="38"/>
        </w:numPr>
        <w:spacing w:after="0" w:line="240" w:lineRule="auto"/>
        <w:ind w:left="1134" w:hanging="283"/>
        <w:contextualSpacing w:val="0"/>
        <w:jc w:val="both"/>
      </w:pPr>
      <w:r>
        <w:t>Organisation of trainees</w:t>
      </w:r>
      <w:r w:rsidRPr="00D230BF">
        <w:t xml:space="preserve"> into cohorts </w:t>
      </w:r>
    </w:p>
    <w:p w:rsidR="00084F52" w:rsidRDefault="00084F52" w:rsidP="00151ED0">
      <w:pPr>
        <w:pStyle w:val="ListParagraph"/>
        <w:numPr>
          <w:ilvl w:val="0"/>
          <w:numId w:val="38"/>
        </w:numPr>
        <w:spacing w:after="0" w:line="240" w:lineRule="auto"/>
        <w:ind w:left="1134" w:hanging="283"/>
        <w:contextualSpacing w:val="0"/>
        <w:jc w:val="both"/>
      </w:pPr>
      <w:r>
        <w:t xml:space="preserve">Scheduling </w:t>
      </w:r>
      <w:r w:rsidRPr="00D230BF">
        <w:t xml:space="preserve">the programme and </w:t>
      </w:r>
      <w:r>
        <w:t xml:space="preserve">booking </w:t>
      </w:r>
      <w:r w:rsidRPr="00D230BF">
        <w:t>of tr</w:t>
      </w:r>
      <w:r>
        <w:t>aining venues in various locations across the county</w:t>
      </w:r>
    </w:p>
    <w:p w:rsidR="00F72FD5" w:rsidRDefault="00084F52" w:rsidP="00151ED0">
      <w:pPr>
        <w:pStyle w:val="ListParagraph"/>
        <w:numPr>
          <w:ilvl w:val="0"/>
          <w:numId w:val="38"/>
        </w:numPr>
        <w:spacing w:after="0" w:line="240" w:lineRule="auto"/>
        <w:ind w:left="1134" w:hanging="283"/>
        <w:contextualSpacing w:val="0"/>
        <w:jc w:val="both"/>
      </w:pPr>
      <w:r>
        <w:t>Quality Assurance of SCITT and School direct partners with respect to the award of QTS</w:t>
      </w:r>
    </w:p>
    <w:p w:rsidR="00B60B49" w:rsidRDefault="00B60B49" w:rsidP="00151ED0">
      <w:pPr>
        <w:pStyle w:val="ListParagraph"/>
        <w:numPr>
          <w:ilvl w:val="1"/>
          <w:numId w:val="29"/>
        </w:numPr>
        <w:spacing w:before="200" w:line="240" w:lineRule="auto"/>
        <w:ind w:left="567" w:hanging="567"/>
        <w:contextualSpacing w:val="0"/>
      </w:pPr>
      <w:r>
        <w:t xml:space="preserve">We would expect trainees to have a blend of face to face and online training to support the completion of the Level 7 credits.  In addition we would expect, training for ETT tutors and mentors to enable them to support the trainee with the writing of PGCE related assignments.  Finally we would expect a strong commitment to partnership working, course development through dialogue and a view to a longer term relationship.  </w:t>
      </w:r>
    </w:p>
    <w:p w:rsidR="00F72FD5" w:rsidRDefault="00B60B49" w:rsidP="00151ED0">
      <w:pPr>
        <w:pStyle w:val="ListParagraph"/>
        <w:numPr>
          <w:ilvl w:val="1"/>
          <w:numId w:val="29"/>
        </w:numPr>
        <w:spacing w:before="200" w:line="240" w:lineRule="auto"/>
        <w:ind w:left="567" w:hanging="567"/>
        <w:contextualSpacing w:val="0"/>
      </w:pPr>
      <w:r>
        <w:t>The number of trainees to be enrolled will be up to 100 across both primary and secondary provision. In addition to this number, salaried trainees will be free to buy into the Masters programme at an additional cost and will enter into a finance agreement direct with the University</w:t>
      </w:r>
    </w:p>
    <w:p w:rsidR="00F72FD5" w:rsidRDefault="00B60B49" w:rsidP="009657E3">
      <w:pPr>
        <w:pStyle w:val="ListParagraph"/>
        <w:numPr>
          <w:ilvl w:val="1"/>
          <w:numId w:val="29"/>
        </w:numPr>
        <w:spacing w:before="200" w:line="240" w:lineRule="auto"/>
        <w:ind w:left="567" w:hanging="567"/>
        <w:contextualSpacing w:val="0"/>
      </w:pPr>
      <w:r>
        <w:t>The contract will be for 12 months</w:t>
      </w:r>
    </w:p>
    <w:p w:rsidR="008824C0" w:rsidRPr="007C090E" w:rsidRDefault="008824C0" w:rsidP="00166E49">
      <w:pPr>
        <w:pStyle w:val="ListParagraph"/>
        <w:numPr>
          <w:ilvl w:val="0"/>
          <w:numId w:val="29"/>
        </w:numPr>
        <w:spacing w:before="200" w:line="240" w:lineRule="auto"/>
        <w:contextualSpacing w:val="0"/>
        <w:rPr>
          <w:b/>
        </w:rPr>
      </w:pPr>
      <w:bookmarkStart w:id="5" w:name="KeyDates"/>
      <w:r w:rsidRPr="007C090E">
        <w:rPr>
          <w:b/>
        </w:rPr>
        <w:t>Key Dates</w:t>
      </w:r>
    </w:p>
    <w:bookmarkEnd w:id="5"/>
    <w:p w:rsidR="00151ED0" w:rsidRDefault="00151ED0" w:rsidP="00151ED0">
      <w:pPr>
        <w:pStyle w:val="ListParagraph"/>
        <w:numPr>
          <w:ilvl w:val="1"/>
          <w:numId w:val="29"/>
        </w:numPr>
        <w:spacing w:before="200" w:line="240" w:lineRule="auto"/>
        <w:ind w:left="567" w:hanging="567"/>
        <w:contextualSpacing w:val="0"/>
      </w:pPr>
      <w:r>
        <w:lastRenderedPageBreak/>
        <w:t>Autumn Term 2015</w:t>
      </w:r>
    </w:p>
    <w:p w:rsidR="00151ED0" w:rsidRDefault="00151ED0" w:rsidP="00151ED0">
      <w:pPr>
        <w:pStyle w:val="ListParagraph"/>
        <w:numPr>
          <w:ilvl w:val="0"/>
          <w:numId w:val="39"/>
        </w:numPr>
        <w:tabs>
          <w:tab w:val="center" w:pos="4453"/>
        </w:tabs>
        <w:spacing w:after="0" w:line="240" w:lineRule="auto"/>
        <w:ind w:left="1134" w:hanging="283"/>
        <w:contextualSpacing w:val="0"/>
        <w:jc w:val="both"/>
      </w:pPr>
      <w:r w:rsidRPr="001728F4">
        <w:t>trainee enrolment</w:t>
      </w:r>
    </w:p>
    <w:p w:rsidR="00151ED0" w:rsidRDefault="00151ED0" w:rsidP="00151ED0">
      <w:pPr>
        <w:pStyle w:val="ListParagraph"/>
        <w:numPr>
          <w:ilvl w:val="0"/>
          <w:numId w:val="39"/>
        </w:numPr>
        <w:tabs>
          <w:tab w:val="center" w:pos="4453"/>
        </w:tabs>
        <w:spacing w:after="0" w:line="240" w:lineRule="auto"/>
        <w:ind w:left="1134" w:hanging="283"/>
        <w:contextualSpacing w:val="0"/>
        <w:jc w:val="both"/>
      </w:pPr>
      <w:r>
        <w:t>induction sessions for trainees and ETT tutors / mentors</w:t>
      </w:r>
    </w:p>
    <w:p w:rsidR="00151ED0" w:rsidRDefault="00151ED0" w:rsidP="00151ED0">
      <w:pPr>
        <w:pStyle w:val="ListParagraph"/>
        <w:numPr>
          <w:ilvl w:val="0"/>
          <w:numId w:val="39"/>
        </w:numPr>
        <w:tabs>
          <w:tab w:val="center" w:pos="4453"/>
        </w:tabs>
        <w:spacing w:after="0" w:line="240" w:lineRule="auto"/>
        <w:ind w:left="1134" w:hanging="283"/>
        <w:contextualSpacing w:val="0"/>
        <w:jc w:val="both"/>
      </w:pPr>
      <w:r>
        <w:t>Initial taught sessions</w:t>
      </w:r>
    </w:p>
    <w:p w:rsidR="00151ED0" w:rsidRPr="001728F4" w:rsidRDefault="00151ED0" w:rsidP="00151ED0">
      <w:pPr>
        <w:pStyle w:val="ListParagraph"/>
        <w:tabs>
          <w:tab w:val="center" w:pos="4453"/>
        </w:tabs>
        <w:ind w:left="294"/>
        <w:jc w:val="both"/>
      </w:pPr>
      <w:r w:rsidRPr="001728F4">
        <w:tab/>
      </w:r>
    </w:p>
    <w:p w:rsidR="008824C0" w:rsidRDefault="00151ED0" w:rsidP="00151ED0">
      <w:pPr>
        <w:pStyle w:val="ListParagraph"/>
        <w:numPr>
          <w:ilvl w:val="1"/>
          <w:numId w:val="29"/>
        </w:numPr>
        <w:spacing w:before="200" w:line="240" w:lineRule="auto"/>
        <w:ind w:left="567" w:hanging="567"/>
        <w:contextualSpacing w:val="0"/>
      </w:pPr>
      <w:r>
        <w:t>Autumn Term 2016 - Completion of 120 credits</w:t>
      </w:r>
    </w:p>
    <w:p w:rsidR="008824C0" w:rsidRPr="00793166" w:rsidRDefault="008824C0" w:rsidP="009657E3">
      <w:pPr>
        <w:pStyle w:val="ListParagraph"/>
        <w:numPr>
          <w:ilvl w:val="1"/>
          <w:numId w:val="29"/>
        </w:numPr>
        <w:spacing w:before="200" w:line="240" w:lineRule="auto"/>
        <w:ind w:left="567" w:hanging="567"/>
        <w:contextualSpacing w:val="0"/>
      </w:pPr>
      <w:r w:rsidRPr="00793166">
        <w:t>Duration</w:t>
      </w:r>
      <w:r w:rsidR="00B60B49">
        <w:t xml:space="preserve"> – 12 months</w:t>
      </w:r>
      <w:r>
        <w:t>.</w:t>
      </w:r>
    </w:p>
    <w:p w:rsidR="00C85DF3" w:rsidRDefault="008824C0" w:rsidP="00C85DF3">
      <w:pPr>
        <w:pStyle w:val="ListParagraph"/>
        <w:numPr>
          <w:ilvl w:val="1"/>
          <w:numId w:val="29"/>
        </w:numPr>
        <w:spacing w:before="200" w:line="240" w:lineRule="auto"/>
        <w:ind w:left="567" w:hanging="567"/>
        <w:contextualSpacing w:val="0"/>
      </w:pPr>
      <w:r>
        <w:t>Required d</w:t>
      </w:r>
      <w:r w:rsidRPr="00793166">
        <w:t>elivery dates</w:t>
      </w:r>
      <w:r>
        <w:t>/m</w:t>
      </w:r>
      <w:r w:rsidRPr="00793166">
        <w:t>ilestones</w:t>
      </w:r>
      <w:r w:rsidR="00B60B49">
        <w:t xml:space="preserve"> - </w:t>
      </w:r>
    </w:p>
    <w:p w:rsidR="00C85DF3" w:rsidRDefault="0044627B" w:rsidP="00C85DF3">
      <w:pPr>
        <w:pStyle w:val="ListParagraph"/>
        <w:numPr>
          <w:ilvl w:val="0"/>
          <w:numId w:val="40"/>
        </w:numPr>
        <w:spacing w:before="200" w:line="240" w:lineRule="auto"/>
        <w:ind w:left="1276" w:hanging="283"/>
      </w:pPr>
      <w:r>
        <w:t>December 2015 – all trainees enrolled on PGCE / Masters Programme</w:t>
      </w:r>
      <w:r>
        <w:tab/>
      </w:r>
    </w:p>
    <w:p w:rsidR="0044627B" w:rsidRDefault="0044627B" w:rsidP="00C85DF3">
      <w:pPr>
        <w:pStyle w:val="ListParagraph"/>
        <w:numPr>
          <w:ilvl w:val="0"/>
          <w:numId w:val="40"/>
        </w:numPr>
        <w:spacing w:before="200" w:line="240" w:lineRule="auto"/>
        <w:ind w:left="1276" w:hanging="283"/>
      </w:pPr>
      <w:r>
        <w:t>Mutually agreed delivery dates for assignments across the year</w:t>
      </w:r>
    </w:p>
    <w:p w:rsidR="00C85DF3" w:rsidRDefault="00C85DF3" w:rsidP="00C85DF3">
      <w:pPr>
        <w:spacing w:before="200" w:line="240" w:lineRule="auto"/>
        <w:ind w:left="633"/>
      </w:pPr>
    </w:p>
    <w:p w:rsidR="008824C0" w:rsidRDefault="00CC1632" w:rsidP="00166E49">
      <w:pPr>
        <w:pStyle w:val="ListParagraph"/>
        <w:numPr>
          <w:ilvl w:val="0"/>
          <w:numId w:val="29"/>
        </w:numPr>
        <w:spacing w:before="200" w:line="240" w:lineRule="auto"/>
        <w:contextualSpacing w:val="0"/>
        <w:rPr>
          <w:b/>
        </w:rPr>
      </w:pPr>
      <w:bookmarkStart w:id="6" w:name="FactorstoConsider"/>
      <w:r>
        <w:rPr>
          <w:b/>
        </w:rPr>
        <w:t>Statement of Technical Requirements</w:t>
      </w:r>
    </w:p>
    <w:bookmarkEnd w:id="6"/>
    <w:p w:rsidR="00CC1632" w:rsidRPr="00C85DF3" w:rsidRDefault="00CC1632" w:rsidP="009657E3">
      <w:pPr>
        <w:pStyle w:val="ListParagraph"/>
        <w:numPr>
          <w:ilvl w:val="1"/>
          <w:numId w:val="29"/>
        </w:numPr>
        <w:spacing w:before="200" w:line="240" w:lineRule="auto"/>
        <w:ind w:left="567" w:hanging="567"/>
        <w:contextualSpacing w:val="0"/>
      </w:pPr>
      <w:r>
        <w:t>Performance, targets, and monitoring arrangements</w:t>
      </w:r>
      <w:r w:rsidR="00151ED0">
        <w:t xml:space="preserve"> –</w:t>
      </w:r>
      <w:r w:rsidR="0044627B" w:rsidRPr="00C85DF3">
        <w:t>QA visit to University based training sessions</w:t>
      </w:r>
      <w:r w:rsidR="00C85DF3" w:rsidRPr="00C85DF3">
        <w:t>.</w:t>
      </w:r>
      <w:r w:rsidR="00C85DF3">
        <w:t xml:space="preserve"> </w:t>
      </w:r>
      <w:r w:rsidR="0044627B" w:rsidRPr="00C85DF3">
        <w:t xml:space="preserve">Reviewed and evaluated on a termly basis as part </w:t>
      </w:r>
      <w:r w:rsidR="00C85DF3" w:rsidRPr="00C85DF3">
        <w:t>o</w:t>
      </w:r>
      <w:r w:rsidR="0044627B" w:rsidRPr="00C85DF3">
        <w:t>f Programme Committee, management Committee and Executive Committee meetings</w:t>
      </w:r>
    </w:p>
    <w:p w:rsidR="00CC1632" w:rsidRDefault="00CC1632" w:rsidP="009657E3">
      <w:pPr>
        <w:pStyle w:val="ListParagraph"/>
        <w:numPr>
          <w:ilvl w:val="1"/>
          <w:numId w:val="29"/>
        </w:numPr>
        <w:spacing w:before="200" w:line="240" w:lineRule="auto"/>
        <w:ind w:left="567" w:hanging="567"/>
        <w:contextualSpacing w:val="0"/>
      </w:pPr>
      <w:r>
        <w:t>Business Continuity</w:t>
      </w:r>
      <w:r w:rsidR="00151ED0">
        <w:t xml:space="preserve"> – Suppliers shall have in place a Business Continuity Plan in the event of any incident/event that may disrupt delivery of the service being provided.</w:t>
      </w:r>
    </w:p>
    <w:p w:rsidR="008824C0" w:rsidRDefault="008824C0" w:rsidP="00166E49">
      <w:pPr>
        <w:pStyle w:val="ListParagraph"/>
        <w:numPr>
          <w:ilvl w:val="0"/>
          <w:numId w:val="29"/>
        </w:numPr>
        <w:spacing w:before="200" w:line="240" w:lineRule="auto"/>
        <w:contextualSpacing w:val="0"/>
        <w:rPr>
          <w:b/>
        </w:rPr>
      </w:pPr>
      <w:bookmarkStart w:id="7" w:name="Policies"/>
      <w:r>
        <w:rPr>
          <w:b/>
        </w:rPr>
        <w:t>Authorities policies</w:t>
      </w:r>
    </w:p>
    <w:bookmarkEnd w:id="7"/>
    <w:p w:rsidR="00151ED0" w:rsidRDefault="00151ED0" w:rsidP="00151ED0">
      <w:pPr>
        <w:pStyle w:val="ListParagraph"/>
        <w:numPr>
          <w:ilvl w:val="1"/>
          <w:numId w:val="29"/>
        </w:numPr>
        <w:spacing w:before="200" w:line="240" w:lineRule="auto"/>
        <w:ind w:left="567" w:hanging="567"/>
        <w:contextualSpacing w:val="0"/>
      </w:pPr>
      <w:r w:rsidRPr="008778B0">
        <w:t xml:space="preserve">Information </w:t>
      </w:r>
      <w:r>
        <w:t xml:space="preserve">Governance </w:t>
      </w:r>
      <w:hyperlink r:id="rId9" w:history="1">
        <w:r w:rsidRPr="00307FCF">
          <w:rPr>
            <w:rStyle w:val="Hyperlink"/>
          </w:rPr>
          <w:t>http://www.essex.gov.uk/Business-Partners/Supplying-Council/Documents/Information_handling_schedule.docx</w:t>
        </w:r>
      </w:hyperlink>
    </w:p>
    <w:p w:rsidR="00151ED0" w:rsidRDefault="00151ED0" w:rsidP="00312AAB">
      <w:pPr>
        <w:pStyle w:val="ListParagraph"/>
        <w:numPr>
          <w:ilvl w:val="1"/>
          <w:numId w:val="29"/>
        </w:numPr>
        <w:spacing w:before="200" w:line="240" w:lineRule="auto"/>
        <w:ind w:left="567" w:hanging="567"/>
        <w:contextualSpacing w:val="0"/>
      </w:pPr>
      <w:r>
        <w:t xml:space="preserve">Supplier Charter - </w:t>
      </w:r>
      <w:hyperlink r:id="rId10" w:history="1">
        <w:r w:rsidRPr="00383584">
          <w:rPr>
            <w:rStyle w:val="Hyperlink"/>
          </w:rPr>
          <w:t>http://www.essex.gov.uk/Business-Partners/Supplying-Council/Documents/Appendix_D_Supplier_Charter.pdf</w:t>
        </w:r>
      </w:hyperlink>
      <w:r>
        <w:t>.</w:t>
      </w:r>
    </w:p>
    <w:p w:rsidR="00380092" w:rsidRDefault="00380092" w:rsidP="00166E49">
      <w:pPr>
        <w:pStyle w:val="ListParagraph"/>
        <w:numPr>
          <w:ilvl w:val="0"/>
          <w:numId w:val="29"/>
        </w:numPr>
        <w:spacing w:before="200" w:line="240" w:lineRule="auto"/>
        <w:contextualSpacing w:val="0"/>
        <w:rPr>
          <w:b/>
        </w:rPr>
      </w:pPr>
      <w:bookmarkStart w:id="8" w:name="Insurance_Warranties"/>
      <w:r>
        <w:rPr>
          <w:b/>
        </w:rPr>
        <w:t>Insurance and warranties</w:t>
      </w:r>
    </w:p>
    <w:bookmarkEnd w:id="8"/>
    <w:p w:rsidR="00312AAB" w:rsidRDefault="00151ED0" w:rsidP="00312AAB">
      <w:pPr>
        <w:pStyle w:val="ListParagraph"/>
        <w:numPr>
          <w:ilvl w:val="1"/>
          <w:numId w:val="29"/>
        </w:numPr>
        <w:spacing w:before="200" w:line="240" w:lineRule="auto"/>
        <w:ind w:left="567" w:hanging="567"/>
        <w:contextualSpacing w:val="0"/>
        <w:rPr>
          <w:b/>
        </w:rPr>
      </w:pPr>
      <w:r w:rsidRPr="00151ED0">
        <w:t>As described in the tender document</w:t>
      </w:r>
      <w:bookmarkStart w:id="9" w:name="Eprocurement"/>
      <w:r w:rsidR="00A93411" w:rsidRPr="00CC1632">
        <w:rPr>
          <w:b/>
        </w:rPr>
        <w:t xml:space="preserve"> </w:t>
      </w:r>
    </w:p>
    <w:p w:rsidR="008824C0" w:rsidRPr="00CC1632" w:rsidRDefault="008824C0" w:rsidP="00166E49">
      <w:pPr>
        <w:pStyle w:val="ListParagraph"/>
        <w:numPr>
          <w:ilvl w:val="0"/>
          <w:numId w:val="29"/>
        </w:numPr>
        <w:spacing w:before="200" w:line="240" w:lineRule="auto"/>
        <w:contextualSpacing w:val="0"/>
        <w:rPr>
          <w:b/>
        </w:rPr>
      </w:pPr>
      <w:r w:rsidRPr="00CC1632">
        <w:rPr>
          <w:b/>
        </w:rPr>
        <w:t>E-Procurement Requirements</w:t>
      </w:r>
    </w:p>
    <w:bookmarkEnd w:id="9"/>
    <w:p w:rsidR="008824C0" w:rsidRPr="00820263" w:rsidRDefault="008824C0" w:rsidP="00B203A3">
      <w:pPr>
        <w:pStyle w:val="ListParagraph"/>
        <w:numPr>
          <w:ilvl w:val="2"/>
          <w:numId w:val="29"/>
        </w:numPr>
        <w:spacing w:before="200" w:line="240" w:lineRule="auto"/>
        <w:ind w:left="567" w:hanging="567"/>
        <w:contextualSpacing w:val="0"/>
      </w:pPr>
      <w:r w:rsidRPr="00820263">
        <w:t>Overview</w:t>
      </w:r>
    </w:p>
    <w:p w:rsidR="008824C0" w:rsidRPr="00F0215E" w:rsidRDefault="00F0215E" w:rsidP="00B203A3">
      <w:pPr>
        <w:spacing w:before="200" w:line="240" w:lineRule="auto"/>
        <w:ind w:left="567" w:hanging="567"/>
        <w:rPr>
          <w:b/>
        </w:rPr>
      </w:pPr>
      <w:r>
        <w:rPr>
          <w:rFonts w:cs="Calibri"/>
        </w:rPr>
        <w:t xml:space="preserve">11.2 </w:t>
      </w:r>
      <w:r w:rsidR="008824C0" w:rsidRPr="00F0215E">
        <w:rPr>
          <w:rFonts w:cs="Calibri"/>
        </w:rPr>
        <w:t xml:space="preserve">Essex County Council has implemented a fully automated Purchase to Pay system called Marketplace.  For further information, please </w:t>
      </w:r>
      <w:hyperlink r:id="rId11" w:history="1">
        <w:r w:rsidR="008824C0" w:rsidRPr="00F0215E">
          <w:rPr>
            <w:rStyle w:val="Hyperlink"/>
            <w:rFonts w:cs="Calibri"/>
            <w:color w:val="auto"/>
          </w:rPr>
          <w:t>click here</w:t>
        </w:r>
      </w:hyperlink>
      <w:r w:rsidR="008824C0" w:rsidRPr="00F0215E">
        <w:rPr>
          <w:rFonts w:cs="Calibri"/>
        </w:rPr>
        <w:t>.</w:t>
      </w:r>
    </w:p>
    <w:p w:rsidR="008824C0" w:rsidRPr="00F0215E" w:rsidRDefault="00F0215E" w:rsidP="00B203A3">
      <w:pPr>
        <w:spacing w:before="200" w:line="240" w:lineRule="auto"/>
        <w:ind w:left="567" w:hanging="567"/>
        <w:rPr>
          <w:b/>
        </w:rPr>
      </w:pPr>
      <w:r>
        <w:rPr>
          <w:rFonts w:cs="Calibri"/>
        </w:rPr>
        <w:t xml:space="preserve">11.3 </w:t>
      </w:r>
      <w:r w:rsidR="008824C0" w:rsidRPr="00F0215E">
        <w:rPr>
          <w:rFonts w:cs="Calibri"/>
        </w:rPr>
        <w:t xml:space="preserve">A record on Marketplace will be created for the successful bidder and a user ID and password will be issued via e-mail.  </w:t>
      </w:r>
    </w:p>
    <w:p w:rsidR="008824C0" w:rsidRPr="00F0215E" w:rsidRDefault="00F0215E" w:rsidP="00B203A3">
      <w:pPr>
        <w:spacing w:before="200" w:line="240" w:lineRule="auto"/>
        <w:ind w:left="567" w:hanging="567"/>
        <w:rPr>
          <w:b/>
        </w:rPr>
      </w:pPr>
      <w:r>
        <w:rPr>
          <w:rFonts w:cs="Calibri"/>
        </w:rPr>
        <w:t xml:space="preserve">11.4 </w:t>
      </w:r>
      <w:r w:rsidR="008824C0" w:rsidRPr="00F0215E">
        <w:rPr>
          <w:rFonts w:cs="Calibri"/>
        </w:rPr>
        <w:t>The user ID and password will allow the successful bidder to:</w:t>
      </w:r>
    </w:p>
    <w:p w:rsidR="008824C0" w:rsidRPr="00F0215E" w:rsidRDefault="00F0215E" w:rsidP="00B203A3">
      <w:pPr>
        <w:spacing w:before="200" w:line="240" w:lineRule="auto"/>
        <w:ind w:left="567" w:hanging="567"/>
        <w:rPr>
          <w:b/>
        </w:rPr>
      </w:pPr>
      <w:r>
        <w:rPr>
          <w:rFonts w:cs="Calibri"/>
        </w:rPr>
        <w:t xml:space="preserve">11.5 </w:t>
      </w:r>
      <w:r w:rsidR="008824C0" w:rsidRPr="00F0215E">
        <w:rPr>
          <w:rFonts w:cs="Calibri"/>
        </w:rPr>
        <w:t>View their orders online;</w:t>
      </w:r>
    </w:p>
    <w:p w:rsidR="008824C0" w:rsidRPr="00F0215E" w:rsidRDefault="00F0215E" w:rsidP="00B203A3">
      <w:pPr>
        <w:spacing w:before="200" w:line="240" w:lineRule="auto"/>
        <w:ind w:left="567" w:hanging="567"/>
        <w:rPr>
          <w:b/>
        </w:rPr>
      </w:pPr>
      <w:r>
        <w:rPr>
          <w:rFonts w:cs="Calibri"/>
        </w:rPr>
        <w:t xml:space="preserve">11.6 </w:t>
      </w:r>
      <w:r w:rsidR="008824C0" w:rsidRPr="00F0215E">
        <w:rPr>
          <w:rFonts w:cs="Calibri"/>
        </w:rPr>
        <w:t>Update their status;</w:t>
      </w:r>
    </w:p>
    <w:p w:rsidR="008824C0" w:rsidRPr="00F0215E" w:rsidRDefault="00F0215E" w:rsidP="00B203A3">
      <w:pPr>
        <w:spacing w:before="200" w:line="240" w:lineRule="auto"/>
        <w:ind w:left="567" w:hanging="567"/>
        <w:rPr>
          <w:b/>
        </w:rPr>
      </w:pPr>
      <w:r>
        <w:rPr>
          <w:rFonts w:cs="Calibri"/>
        </w:rPr>
        <w:lastRenderedPageBreak/>
        <w:t xml:space="preserve">11.7 </w:t>
      </w:r>
      <w:r w:rsidR="008824C0" w:rsidRPr="00F0215E">
        <w:rPr>
          <w:rFonts w:cs="Calibri"/>
        </w:rPr>
        <w:t>Notify delivery; and</w:t>
      </w:r>
    </w:p>
    <w:p w:rsidR="008824C0" w:rsidRPr="00F0215E" w:rsidRDefault="00F0215E" w:rsidP="00B203A3">
      <w:pPr>
        <w:spacing w:before="200" w:line="240" w:lineRule="auto"/>
        <w:ind w:left="567" w:hanging="567"/>
        <w:jc w:val="both"/>
        <w:rPr>
          <w:rFonts w:cs="Calibri"/>
        </w:rPr>
      </w:pPr>
      <w:r>
        <w:rPr>
          <w:rFonts w:cs="Calibri"/>
        </w:rPr>
        <w:t xml:space="preserve">11.8 </w:t>
      </w:r>
      <w:r w:rsidR="008824C0" w:rsidRPr="00F0215E">
        <w:rPr>
          <w:rFonts w:cs="Calibri"/>
        </w:rPr>
        <w:t>Submit and monitor the status of electronic invoices, once they have been submitted.</w:t>
      </w:r>
    </w:p>
    <w:p w:rsidR="008824C0" w:rsidRPr="00F0215E" w:rsidRDefault="00F0215E" w:rsidP="00B203A3">
      <w:pPr>
        <w:spacing w:before="200" w:line="240" w:lineRule="auto"/>
        <w:ind w:left="567" w:hanging="567"/>
        <w:jc w:val="both"/>
        <w:rPr>
          <w:rFonts w:cs="Calibri"/>
        </w:rPr>
      </w:pPr>
      <w:r>
        <w:rPr>
          <w:rFonts w:cs="Calibri"/>
        </w:rPr>
        <w:t xml:space="preserve">11.9 </w:t>
      </w:r>
      <w:r w:rsidR="008824C0" w:rsidRPr="00F0215E">
        <w:rPr>
          <w:rFonts w:cs="Calibri"/>
        </w:rPr>
        <w:t>Orders will be sent electronically to the successful bidder’s central e-mail address from the contract start date.</w:t>
      </w:r>
    </w:p>
    <w:p w:rsidR="008824C0" w:rsidRPr="00F0215E" w:rsidRDefault="00F0215E" w:rsidP="00166E49">
      <w:pPr>
        <w:spacing w:before="200" w:line="240" w:lineRule="auto"/>
        <w:jc w:val="both"/>
        <w:rPr>
          <w:rFonts w:cs="Calibri"/>
        </w:rPr>
      </w:pPr>
      <w:r>
        <w:rPr>
          <w:rFonts w:cs="Calibri"/>
        </w:rPr>
        <w:t xml:space="preserve">11.10 </w:t>
      </w:r>
      <w:r w:rsidR="008824C0" w:rsidRPr="00F0215E">
        <w:rPr>
          <w:rFonts w:cs="Calibri"/>
        </w:rPr>
        <w:t>Electronic Invoicing</w:t>
      </w:r>
    </w:p>
    <w:p w:rsidR="008824C0" w:rsidRPr="00166E49" w:rsidRDefault="00F0215E" w:rsidP="00EB3C97">
      <w:pPr>
        <w:spacing w:before="200" w:line="240" w:lineRule="auto"/>
        <w:ind w:left="709" w:hanging="709"/>
        <w:jc w:val="both"/>
        <w:rPr>
          <w:rFonts w:cs="Calibri"/>
        </w:rPr>
      </w:pPr>
      <w:r>
        <w:rPr>
          <w:rFonts w:cs="Calibri"/>
        </w:rPr>
        <w:t xml:space="preserve">11.11 </w:t>
      </w:r>
      <w:r w:rsidR="008824C0" w:rsidRPr="00F0215E">
        <w:rPr>
          <w:rFonts w:cs="Calibri"/>
        </w:rPr>
        <w:t>The successful bidder will be expected to submit electronic invoices from the contract start date. The successful bidder will achieve this through turning any outstanding Purchase Orders into electronic invoices by utilising the PO Flip method on Marketplace. On approval of the electronic invoice an automatic payment will be made via BACS, direct to the suc</w:t>
      </w:r>
      <w:r w:rsidR="008824C0" w:rsidRPr="00166E49">
        <w:rPr>
          <w:rFonts w:cs="Calibri"/>
        </w:rPr>
        <w:t>cessful bidder’s bank account supported by an e-mailed remittance advice, in line with Essex County Council’s contracted payment terms. In addition to the above, the successful bidder will be able to view the status of their invoices, via the Marketplace system.</w:t>
      </w:r>
    </w:p>
    <w:p w:rsidR="00F0215E" w:rsidRDefault="00F0215E" w:rsidP="00166E49">
      <w:pPr>
        <w:spacing w:before="200" w:line="240" w:lineRule="auto"/>
        <w:jc w:val="both"/>
        <w:rPr>
          <w:rFonts w:cs="Calibri"/>
        </w:rPr>
      </w:pPr>
      <w:r>
        <w:rPr>
          <w:rFonts w:cs="Calibri"/>
        </w:rPr>
        <w:t xml:space="preserve">11.12 </w:t>
      </w:r>
      <w:r w:rsidR="008824C0" w:rsidRPr="00F0215E">
        <w:rPr>
          <w:rFonts w:cs="Calibri"/>
        </w:rPr>
        <w:t>There is no charge for the PO Flip method.</w:t>
      </w:r>
    </w:p>
    <w:p w:rsidR="00F0215E" w:rsidRPr="00166E49" w:rsidRDefault="00F0215E" w:rsidP="00166E49">
      <w:pPr>
        <w:spacing w:before="200" w:line="240" w:lineRule="auto"/>
        <w:jc w:val="both"/>
        <w:rPr>
          <w:rFonts w:cs="Calibri"/>
          <w:b/>
        </w:rPr>
      </w:pPr>
      <w:r w:rsidRPr="00166E49">
        <w:rPr>
          <w:rFonts w:cs="Calibri"/>
          <w:b/>
        </w:rPr>
        <w:t>12. Agreement term</w:t>
      </w:r>
    </w:p>
    <w:p w:rsidR="00F0215E" w:rsidRDefault="00F0215E" w:rsidP="009657E3">
      <w:pPr>
        <w:spacing w:before="200" w:line="240" w:lineRule="auto"/>
        <w:ind w:left="709" w:hanging="709"/>
        <w:jc w:val="both"/>
        <w:rPr>
          <w:rFonts w:cs="Calibri"/>
        </w:rPr>
      </w:pPr>
      <w:r>
        <w:rPr>
          <w:rFonts w:cs="Calibri"/>
        </w:rPr>
        <w:t xml:space="preserve">12.1 The Agreement term for this agreement with </w:t>
      </w:r>
      <w:proofErr w:type="gramStart"/>
      <w:r>
        <w:rPr>
          <w:rFonts w:cs="Calibri"/>
        </w:rPr>
        <w:t>be</w:t>
      </w:r>
      <w:proofErr w:type="gramEnd"/>
      <w:r>
        <w:rPr>
          <w:rFonts w:cs="Calibri"/>
        </w:rPr>
        <w:t xml:space="preserve"> </w:t>
      </w:r>
      <w:r w:rsidR="00151ED0">
        <w:rPr>
          <w:rFonts w:cs="Calibri"/>
        </w:rPr>
        <w:t xml:space="preserve">1 </w:t>
      </w:r>
      <w:r>
        <w:rPr>
          <w:rFonts w:cs="Calibri"/>
        </w:rPr>
        <w:t>year</w:t>
      </w:r>
      <w:r w:rsidR="00151ED0">
        <w:rPr>
          <w:rFonts w:cs="Calibri"/>
        </w:rPr>
        <w:t>.</w:t>
      </w:r>
      <w:r>
        <w:rPr>
          <w:rFonts w:cs="Calibri"/>
        </w:rPr>
        <w:t xml:space="preserve"> </w:t>
      </w:r>
    </w:p>
    <w:p w:rsidR="00F0215E" w:rsidRDefault="00F0215E" w:rsidP="009657E3">
      <w:pPr>
        <w:spacing w:before="200" w:line="240" w:lineRule="auto"/>
        <w:ind w:left="567" w:hanging="567"/>
        <w:jc w:val="both"/>
        <w:rPr>
          <w:rFonts w:cs="Calibri"/>
        </w:rPr>
      </w:pPr>
      <w:r>
        <w:rPr>
          <w:rFonts w:cs="Calibri"/>
        </w:rPr>
        <w:t xml:space="preserve">12.2 </w:t>
      </w:r>
    </w:p>
    <w:p w:rsidR="00D279F6" w:rsidRDefault="00D279F6" w:rsidP="00B203A3">
      <w:pPr>
        <w:spacing w:before="200" w:line="240" w:lineRule="auto"/>
        <w:ind w:left="709" w:hanging="709"/>
        <w:jc w:val="both"/>
        <w:rPr>
          <w:rFonts w:cs="Calibri"/>
          <w:b/>
        </w:rPr>
      </w:pPr>
      <w:r w:rsidRPr="00166E49">
        <w:rPr>
          <w:rFonts w:cs="Calibri"/>
          <w:b/>
        </w:rPr>
        <w:t xml:space="preserve">13. Payment </w:t>
      </w:r>
    </w:p>
    <w:p w:rsidR="00D279F6" w:rsidRDefault="00D279F6" w:rsidP="00B203A3">
      <w:pPr>
        <w:spacing w:before="200" w:line="240" w:lineRule="auto"/>
        <w:ind w:left="709" w:hanging="709"/>
        <w:jc w:val="both"/>
        <w:rPr>
          <w:rFonts w:cs="Calibri"/>
        </w:rPr>
      </w:pPr>
      <w:r w:rsidRPr="00166E49">
        <w:rPr>
          <w:rFonts w:cs="Calibri"/>
        </w:rPr>
        <w:t xml:space="preserve">13.1 </w:t>
      </w:r>
      <w:r w:rsidRPr="00D279F6">
        <w:rPr>
          <w:rFonts w:cs="Calibri"/>
        </w:rPr>
        <w:t xml:space="preserve">The Authority will pay any invoice issued </w:t>
      </w:r>
      <w:r>
        <w:rPr>
          <w:rFonts w:cs="Calibri"/>
        </w:rPr>
        <w:t xml:space="preserve">by the Supplier </w:t>
      </w:r>
      <w:r w:rsidRPr="00D279F6">
        <w:rPr>
          <w:rFonts w:cs="Calibri"/>
        </w:rPr>
        <w:t xml:space="preserve">within 30 days of receipt of a valid invoice following the delivery of the </w:t>
      </w:r>
      <w:r>
        <w:rPr>
          <w:rFonts w:cs="Calibri"/>
        </w:rPr>
        <w:t xml:space="preserve">Good(s) and/or </w:t>
      </w:r>
      <w:r w:rsidRPr="00D279F6">
        <w:rPr>
          <w:rFonts w:cs="Calibri"/>
        </w:rPr>
        <w:t>service</w:t>
      </w:r>
      <w:r>
        <w:rPr>
          <w:rFonts w:cs="Calibri"/>
        </w:rPr>
        <w:t>(s)</w:t>
      </w:r>
      <w:r w:rsidRPr="00D279F6">
        <w:rPr>
          <w:rFonts w:cs="Calibri"/>
        </w:rPr>
        <w:t>.  On the thirtieth day the payment will leave the account of the Authority</w:t>
      </w:r>
    </w:p>
    <w:p w:rsidR="00D279F6" w:rsidRDefault="00D279F6" w:rsidP="00B203A3">
      <w:pPr>
        <w:spacing w:before="200" w:line="240" w:lineRule="auto"/>
        <w:ind w:left="709" w:hanging="709"/>
        <w:jc w:val="both"/>
        <w:rPr>
          <w:rFonts w:cs="Calibri"/>
        </w:rPr>
      </w:pPr>
      <w:r>
        <w:rPr>
          <w:rFonts w:cs="Calibri"/>
        </w:rPr>
        <w:t xml:space="preserve">13.2 The rates/prices stated on the invoice must be those specified under this Agreement. </w:t>
      </w:r>
    </w:p>
    <w:p w:rsidR="00D279F6" w:rsidRDefault="00D279F6" w:rsidP="00166E49">
      <w:pPr>
        <w:spacing w:before="200" w:line="240" w:lineRule="auto"/>
        <w:jc w:val="both"/>
        <w:rPr>
          <w:rFonts w:cs="Calibri"/>
          <w:b/>
        </w:rPr>
      </w:pPr>
      <w:r w:rsidRPr="00166E49">
        <w:rPr>
          <w:rFonts w:cs="Calibri"/>
          <w:b/>
        </w:rPr>
        <w:t>14. Commercial Response</w:t>
      </w:r>
    </w:p>
    <w:p w:rsidR="00D279F6" w:rsidRPr="00D279F6" w:rsidRDefault="00D279F6" w:rsidP="00B203A3">
      <w:pPr>
        <w:spacing w:before="200" w:line="240" w:lineRule="auto"/>
        <w:ind w:left="567" w:hanging="567"/>
        <w:jc w:val="both"/>
        <w:rPr>
          <w:rFonts w:cs="Calibri"/>
        </w:rPr>
      </w:pPr>
      <w:r w:rsidRPr="00166E49">
        <w:rPr>
          <w:rFonts w:cs="Calibri"/>
        </w:rPr>
        <w:t xml:space="preserve">14.1 </w:t>
      </w:r>
      <w:r>
        <w:rPr>
          <w:rFonts w:cs="Calibri"/>
        </w:rPr>
        <w:t>The Tenderer is to complete the commercial response detailed within the E</w:t>
      </w:r>
      <w:r w:rsidR="00B203A3">
        <w:rPr>
          <w:rFonts w:cs="Calibri"/>
        </w:rPr>
        <w:t xml:space="preserve">-sourcing </w:t>
      </w:r>
      <w:r>
        <w:rPr>
          <w:rFonts w:cs="Calibri"/>
        </w:rPr>
        <w:t xml:space="preserve">portal </w:t>
      </w:r>
    </w:p>
    <w:p w:rsidR="008E772C" w:rsidRPr="00793166" w:rsidRDefault="008E772C" w:rsidP="00C85DF3"/>
    <w:sectPr w:rsidR="008E772C" w:rsidRPr="00793166" w:rsidSect="009A3264">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25D84"/>
    <w:multiLevelType w:val="multilevel"/>
    <w:tmpl w:val="D26C394A"/>
    <w:lvl w:ilvl="0">
      <w:start w:val="1"/>
      <w:numFmt w:val="decimal"/>
      <w:lvlText w:val="%1."/>
      <w:lvlJc w:val="left"/>
      <w:pPr>
        <w:ind w:left="360" w:hanging="360"/>
      </w:pPr>
      <w:rPr>
        <w:rFonts w:hint="default"/>
      </w:rPr>
    </w:lvl>
    <w:lvl w:ilvl="1">
      <w:start w:val="1"/>
      <w:numFmt w:val="decimal"/>
      <w:lvlText w:val="%1.%2."/>
      <w:lvlJc w:val="left"/>
      <w:pPr>
        <w:ind w:left="794" w:hanging="794"/>
      </w:pPr>
      <w:rPr>
        <w:rFonts w:hint="default"/>
        <w:b w:val="0"/>
      </w:rPr>
    </w:lvl>
    <w:lvl w:ilvl="2">
      <w:start w:val="1"/>
      <w:numFmt w:val="decimal"/>
      <w:lvlText w:val="%1.%2.%3."/>
      <w:lvlJc w:val="left"/>
      <w:pPr>
        <w:ind w:left="2041" w:hanging="13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7DD66B1"/>
    <w:multiLevelType w:val="hybridMultilevel"/>
    <w:tmpl w:val="B4A4A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68638B"/>
    <w:multiLevelType w:val="hybridMultilevel"/>
    <w:tmpl w:val="0A4C3FC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
    <w:nsid w:val="0F003032"/>
    <w:multiLevelType w:val="hybridMultilevel"/>
    <w:tmpl w:val="1BE43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19769C"/>
    <w:multiLevelType w:val="hybridMultilevel"/>
    <w:tmpl w:val="1CC40474"/>
    <w:lvl w:ilvl="0" w:tplc="2538381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1671B7"/>
    <w:multiLevelType w:val="multilevel"/>
    <w:tmpl w:val="D26C394A"/>
    <w:lvl w:ilvl="0">
      <w:start w:val="1"/>
      <w:numFmt w:val="decimal"/>
      <w:lvlText w:val="%1."/>
      <w:lvlJc w:val="left"/>
      <w:pPr>
        <w:ind w:left="360" w:hanging="360"/>
      </w:pPr>
      <w:rPr>
        <w:rFonts w:hint="default"/>
      </w:rPr>
    </w:lvl>
    <w:lvl w:ilvl="1">
      <w:start w:val="1"/>
      <w:numFmt w:val="decimal"/>
      <w:lvlText w:val="%1.%2."/>
      <w:lvlJc w:val="left"/>
      <w:pPr>
        <w:ind w:left="794" w:hanging="794"/>
      </w:pPr>
      <w:rPr>
        <w:rFonts w:hint="default"/>
        <w:b w:val="0"/>
      </w:rPr>
    </w:lvl>
    <w:lvl w:ilvl="2">
      <w:start w:val="1"/>
      <w:numFmt w:val="decimal"/>
      <w:lvlText w:val="%1.%2.%3."/>
      <w:lvlJc w:val="left"/>
      <w:pPr>
        <w:ind w:left="2041" w:hanging="13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3E724B"/>
    <w:multiLevelType w:val="hybridMultilevel"/>
    <w:tmpl w:val="BFA84A42"/>
    <w:lvl w:ilvl="0" w:tplc="2538381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3A2712"/>
    <w:multiLevelType w:val="hybridMultilevel"/>
    <w:tmpl w:val="28A2497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8">
    <w:nsid w:val="18AC318C"/>
    <w:multiLevelType w:val="multilevel"/>
    <w:tmpl w:val="0486C48E"/>
    <w:lvl w:ilvl="0">
      <w:start w:val="3"/>
      <w:numFmt w:val="decimal"/>
      <w:lvlText w:val="%1"/>
      <w:lvlJc w:val="left"/>
      <w:pPr>
        <w:ind w:left="360" w:hanging="360"/>
      </w:pPr>
      <w:rPr>
        <w:rFonts w:hint="default"/>
        <w:b/>
      </w:rPr>
    </w:lvl>
    <w:lvl w:ilvl="1">
      <w:start w:val="3"/>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9">
    <w:nsid w:val="18E131B8"/>
    <w:multiLevelType w:val="multilevel"/>
    <w:tmpl w:val="5952F796"/>
    <w:lvl w:ilvl="0">
      <w:start w:val="1"/>
      <w:numFmt w:val="decimal"/>
      <w:lvlText w:val="%1."/>
      <w:lvlJc w:val="left"/>
      <w:pPr>
        <w:ind w:left="360" w:hanging="360"/>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2041" w:hanging="13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E26605A"/>
    <w:multiLevelType w:val="hybridMultilevel"/>
    <w:tmpl w:val="FA9CC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B46962"/>
    <w:multiLevelType w:val="multilevel"/>
    <w:tmpl w:val="DD58274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2">
    <w:nsid w:val="210D1C0E"/>
    <w:multiLevelType w:val="hybridMultilevel"/>
    <w:tmpl w:val="F90C00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286172C"/>
    <w:multiLevelType w:val="hybridMultilevel"/>
    <w:tmpl w:val="461287B8"/>
    <w:lvl w:ilvl="0" w:tplc="2538381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32C07CA"/>
    <w:multiLevelType w:val="hybridMultilevel"/>
    <w:tmpl w:val="F7145BE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23B04D79"/>
    <w:multiLevelType w:val="hybridMultilevel"/>
    <w:tmpl w:val="361AF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48E2300"/>
    <w:multiLevelType w:val="hybridMultilevel"/>
    <w:tmpl w:val="1EF4CC0A"/>
    <w:lvl w:ilvl="0" w:tplc="43EADDF0">
      <w:start w:val="1"/>
      <w:numFmt w:val="decimal"/>
      <w:lvlText w:val="%1."/>
      <w:lvlJc w:val="left"/>
      <w:pPr>
        <w:ind w:left="36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DB532B6"/>
    <w:multiLevelType w:val="multilevel"/>
    <w:tmpl w:val="1C8C6882"/>
    <w:lvl w:ilvl="0">
      <w:start w:val="1"/>
      <w:numFmt w:val="decimal"/>
      <w:lvlText w:val="%1."/>
      <w:lvlJc w:val="left"/>
      <w:pPr>
        <w:ind w:left="360" w:hanging="360"/>
      </w:pPr>
      <w:rPr>
        <w:rFonts w:hint="default"/>
        <w:b/>
        <w:color w:val="auto"/>
      </w:rPr>
    </w:lvl>
    <w:lvl w:ilvl="1">
      <w:start w:val="1"/>
      <w:numFmt w:val="decimal"/>
      <w:lvlText w:val="%1.%2."/>
      <w:lvlJc w:val="left"/>
      <w:pPr>
        <w:ind w:left="794" w:hanging="794"/>
      </w:pPr>
      <w:rPr>
        <w:rFonts w:hint="default"/>
        <w:b w:val="0"/>
      </w:rPr>
    </w:lvl>
    <w:lvl w:ilvl="2">
      <w:start w:val="1"/>
      <w:numFmt w:val="decimal"/>
      <w:lvlText w:val="%1.%2.%3."/>
      <w:lvlJc w:val="left"/>
      <w:pPr>
        <w:ind w:left="1304" w:hanging="453"/>
      </w:pPr>
      <w:rPr>
        <w:rFonts w:hint="default"/>
        <w:b w:val="0"/>
      </w:rPr>
    </w:lvl>
    <w:lvl w:ilvl="3">
      <w:start w:val="1"/>
      <w:numFmt w:val="decimal"/>
      <w:lvlText w:val="%1.%2.%3.%4."/>
      <w:lvlJc w:val="left"/>
      <w:pPr>
        <w:ind w:left="3799" w:hanging="1644"/>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DCD58CB"/>
    <w:multiLevelType w:val="hybridMultilevel"/>
    <w:tmpl w:val="4734E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DE72C2F"/>
    <w:multiLevelType w:val="hybridMultilevel"/>
    <w:tmpl w:val="7456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4C47023"/>
    <w:multiLevelType w:val="hybridMultilevel"/>
    <w:tmpl w:val="99C20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7834F63"/>
    <w:multiLevelType w:val="hybridMultilevel"/>
    <w:tmpl w:val="1F10FA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A883A25"/>
    <w:multiLevelType w:val="hybridMultilevel"/>
    <w:tmpl w:val="C5DAAF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nsid w:val="3BC94097"/>
    <w:multiLevelType w:val="multilevel"/>
    <w:tmpl w:val="1C8C6882"/>
    <w:lvl w:ilvl="0">
      <w:start w:val="1"/>
      <w:numFmt w:val="decimal"/>
      <w:lvlText w:val="%1."/>
      <w:lvlJc w:val="left"/>
      <w:pPr>
        <w:ind w:left="360" w:hanging="360"/>
      </w:pPr>
      <w:rPr>
        <w:rFonts w:hint="default"/>
        <w:b/>
        <w:color w:val="auto"/>
      </w:rPr>
    </w:lvl>
    <w:lvl w:ilvl="1">
      <w:start w:val="1"/>
      <w:numFmt w:val="decimal"/>
      <w:lvlText w:val="%1.%2."/>
      <w:lvlJc w:val="left"/>
      <w:pPr>
        <w:ind w:left="794" w:hanging="794"/>
      </w:pPr>
      <w:rPr>
        <w:rFonts w:hint="default"/>
        <w:b w:val="0"/>
      </w:rPr>
    </w:lvl>
    <w:lvl w:ilvl="2">
      <w:start w:val="1"/>
      <w:numFmt w:val="decimal"/>
      <w:lvlText w:val="%1.%2.%3."/>
      <w:lvlJc w:val="left"/>
      <w:pPr>
        <w:ind w:left="1304" w:hanging="453"/>
      </w:pPr>
      <w:rPr>
        <w:rFonts w:hint="default"/>
        <w:b w:val="0"/>
      </w:rPr>
    </w:lvl>
    <w:lvl w:ilvl="3">
      <w:start w:val="1"/>
      <w:numFmt w:val="decimal"/>
      <w:lvlText w:val="%1.%2.%3.%4."/>
      <w:lvlJc w:val="left"/>
      <w:pPr>
        <w:ind w:left="3799" w:hanging="1644"/>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FA85212"/>
    <w:multiLevelType w:val="multilevel"/>
    <w:tmpl w:val="5952F796"/>
    <w:lvl w:ilvl="0">
      <w:start w:val="1"/>
      <w:numFmt w:val="decimal"/>
      <w:lvlText w:val="%1."/>
      <w:lvlJc w:val="left"/>
      <w:pPr>
        <w:ind w:left="360" w:hanging="360"/>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2041" w:hanging="13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7E43076"/>
    <w:multiLevelType w:val="hybridMultilevel"/>
    <w:tmpl w:val="A094F1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4A235B79"/>
    <w:multiLevelType w:val="multilevel"/>
    <w:tmpl w:val="962EFE2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nsid w:val="4D31205D"/>
    <w:multiLevelType w:val="multilevel"/>
    <w:tmpl w:val="D7D0E9E6"/>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none"/>
      <w:lvlText w:val="%1.%2"/>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8">
    <w:nsid w:val="4E136E88"/>
    <w:multiLevelType w:val="hybridMultilevel"/>
    <w:tmpl w:val="5DC6DC08"/>
    <w:lvl w:ilvl="0" w:tplc="2538381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F385BA7"/>
    <w:multiLevelType w:val="hybridMultilevel"/>
    <w:tmpl w:val="C7E42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246104C"/>
    <w:multiLevelType w:val="hybridMultilevel"/>
    <w:tmpl w:val="F07EC7D0"/>
    <w:lvl w:ilvl="0" w:tplc="08090001">
      <w:start w:val="1"/>
      <w:numFmt w:val="bullet"/>
      <w:lvlText w:val=""/>
      <w:lvlJc w:val="left"/>
      <w:pPr>
        <w:ind w:left="1309" w:hanging="360"/>
      </w:pPr>
      <w:rPr>
        <w:rFonts w:ascii="Symbol" w:hAnsi="Symbol" w:hint="default"/>
      </w:rPr>
    </w:lvl>
    <w:lvl w:ilvl="1" w:tplc="08090003" w:tentative="1">
      <w:start w:val="1"/>
      <w:numFmt w:val="bullet"/>
      <w:lvlText w:val="o"/>
      <w:lvlJc w:val="left"/>
      <w:pPr>
        <w:ind w:left="2029" w:hanging="360"/>
      </w:pPr>
      <w:rPr>
        <w:rFonts w:ascii="Courier New" w:hAnsi="Courier New" w:cs="Courier New" w:hint="default"/>
      </w:rPr>
    </w:lvl>
    <w:lvl w:ilvl="2" w:tplc="08090005" w:tentative="1">
      <w:start w:val="1"/>
      <w:numFmt w:val="bullet"/>
      <w:lvlText w:val=""/>
      <w:lvlJc w:val="left"/>
      <w:pPr>
        <w:ind w:left="2749" w:hanging="360"/>
      </w:pPr>
      <w:rPr>
        <w:rFonts w:ascii="Wingdings" w:hAnsi="Wingdings" w:hint="default"/>
      </w:rPr>
    </w:lvl>
    <w:lvl w:ilvl="3" w:tplc="08090001" w:tentative="1">
      <w:start w:val="1"/>
      <w:numFmt w:val="bullet"/>
      <w:lvlText w:val=""/>
      <w:lvlJc w:val="left"/>
      <w:pPr>
        <w:ind w:left="3469" w:hanging="360"/>
      </w:pPr>
      <w:rPr>
        <w:rFonts w:ascii="Symbol" w:hAnsi="Symbol" w:hint="default"/>
      </w:rPr>
    </w:lvl>
    <w:lvl w:ilvl="4" w:tplc="08090003" w:tentative="1">
      <w:start w:val="1"/>
      <w:numFmt w:val="bullet"/>
      <w:lvlText w:val="o"/>
      <w:lvlJc w:val="left"/>
      <w:pPr>
        <w:ind w:left="4189" w:hanging="360"/>
      </w:pPr>
      <w:rPr>
        <w:rFonts w:ascii="Courier New" w:hAnsi="Courier New" w:cs="Courier New" w:hint="default"/>
      </w:rPr>
    </w:lvl>
    <w:lvl w:ilvl="5" w:tplc="08090005" w:tentative="1">
      <w:start w:val="1"/>
      <w:numFmt w:val="bullet"/>
      <w:lvlText w:val=""/>
      <w:lvlJc w:val="left"/>
      <w:pPr>
        <w:ind w:left="4909" w:hanging="360"/>
      </w:pPr>
      <w:rPr>
        <w:rFonts w:ascii="Wingdings" w:hAnsi="Wingdings" w:hint="default"/>
      </w:rPr>
    </w:lvl>
    <w:lvl w:ilvl="6" w:tplc="08090001" w:tentative="1">
      <w:start w:val="1"/>
      <w:numFmt w:val="bullet"/>
      <w:lvlText w:val=""/>
      <w:lvlJc w:val="left"/>
      <w:pPr>
        <w:ind w:left="5629" w:hanging="360"/>
      </w:pPr>
      <w:rPr>
        <w:rFonts w:ascii="Symbol" w:hAnsi="Symbol" w:hint="default"/>
      </w:rPr>
    </w:lvl>
    <w:lvl w:ilvl="7" w:tplc="08090003" w:tentative="1">
      <w:start w:val="1"/>
      <w:numFmt w:val="bullet"/>
      <w:lvlText w:val="o"/>
      <w:lvlJc w:val="left"/>
      <w:pPr>
        <w:ind w:left="6349" w:hanging="360"/>
      </w:pPr>
      <w:rPr>
        <w:rFonts w:ascii="Courier New" w:hAnsi="Courier New" w:cs="Courier New" w:hint="default"/>
      </w:rPr>
    </w:lvl>
    <w:lvl w:ilvl="8" w:tplc="08090005" w:tentative="1">
      <w:start w:val="1"/>
      <w:numFmt w:val="bullet"/>
      <w:lvlText w:val=""/>
      <w:lvlJc w:val="left"/>
      <w:pPr>
        <w:ind w:left="7069" w:hanging="360"/>
      </w:pPr>
      <w:rPr>
        <w:rFonts w:ascii="Wingdings" w:hAnsi="Wingdings" w:hint="default"/>
      </w:rPr>
    </w:lvl>
  </w:abstractNum>
  <w:abstractNum w:abstractNumId="31">
    <w:nsid w:val="533C60AA"/>
    <w:multiLevelType w:val="multilevel"/>
    <w:tmpl w:val="8E4EAA84"/>
    <w:lvl w:ilvl="0">
      <w:start w:val="1"/>
      <w:numFmt w:val="decimal"/>
      <w:lvlText w:val="%1."/>
      <w:lvlJc w:val="left"/>
      <w:pPr>
        <w:ind w:left="360" w:hanging="360"/>
      </w:pPr>
      <w:rPr>
        <w:rFonts w:hint="default"/>
        <w:b w:val="0"/>
        <w:color w:val="auto"/>
      </w:rPr>
    </w:lvl>
    <w:lvl w:ilvl="1">
      <w:start w:val="1"/>
      <w:numFmt w:val="decimal"/>
      <w:lvlText w:val="%1.%2."/>
      <w:lvlJc w:val="left"/>
      <w:pPr>
        <w:ind w:left="794" w:hanging="794"/>
      </w:pPr>
      <w:rPr>
        <w:rFonts w:hint="default"/>
        <w:b w:val="0"/>
      </w:rPr>
    </w:lvl>
    <w:lvl w:ilvl="2">
      <w:start w:val="1"/>
      <w:numFmt w:val="decimal"/>
      <w:lvlText w:val="%1.%2.%3."/>
      <w:lvlJc w:val="left"/>
      <w:pPr>
        <w:ind w:left="1701" w:hanging="850"/>
      </w:pPr>
      <w:rPr>
        <w:rFonts w:hint="default"/>
        <w:b w:val="0"/>
      </w:rPr>
    </w:lvl>
    <w:lvl w:ilvl="3">
      <w:start w:val="1"/>
      <w:numFmt w:val="decimal"/>
      <w:lvlText w:val="%1.%2.%3.%4."/>
      <w:lvlJc w:val="left"/>
      <w:pPr>
        <w:ind w:left="2835" w:hanging="1134"/>
      </w:pPr>
      <w:rPr>
        <w:rFonts w:hint="default"/>
        <w:b w:val="0"/>
      </w:rPr>
    </w:lvl>
    <w:lvl w:ilvl="4">
      <w:start w:val="1"/>
      <w:numFmt w:val="decimal"/>
      <w:lvlText w:val="%1.%2.%3.%4.%5."/>
      <w:lvlJc w:val="left"/>
      <w:pPr>
        <w:ind w:left="3969"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3CD2BC4"/>
    <w:multiLevelType w:val="multilevel"/>
    <w:tmpl w:val="D26C394A"/>
    <w:lvl w:ilvl="0">
      <w:start w:val="1"/>
      <w:numFmt w:val="decimal"/>
      <w:lvlText w:val="%1."/>
      <w:lvlJc w:val="left"/>
      <w:pPr>
        <w:ind w:left="360" w:hanging="360"/>
      </w:pPr>
      <w:rPr>
        <w:rFonts w:hint="default"/>
      </w:rPr>
    </w:lvl>
    <w:lvl w:ilvl="1">
      <w:start w:val="1"/>
      <w:numFmt w:val="decimal"/>
      <w:lvlText w:val="%1.%2."/>
      <w:lvlJc w:val="left"/>
      <w:pPr>
        <w:ind w:left="794" w:hanging="794"/>
      </w:pPr>
      <w:rPr>
        <w:rFonts w:hint="default"/>
        <w:b w:val="0"/>
      </w:rPr>
    </w:lvl>
    <w:lvl w:ilvl="2">
      <w:start w:val="1"/>
      <w:numFmt w:val="decimal"/>
      <w:lvlText w:val="%1.%2.%3."/>
      <w:lvlJc w:val="left"/>
      <w:pPr>
        <w:ind w:left="2041" w:hanging="13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1607C6F"/>
    <w:multiLevelType w:val="hybridMultilevel"/>
    <w:tmpl w:val="18C47616"/>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4">
    <w:nsid w:val="62522615"/>
    <w:multiLevelType w:val="hybridMultilevel"/>
    <w:tmpl w:val="9782C500"/>
    <w:lvl w:ilvl="0" w:tplc="08090001">
      <w:start w:val="1"/>
      <w:numFmt w:val="bullet"/>
      <w:lvlText w:val=""/>
      <w:lvlJc w:val="left"/>
      <w:pPr>
        <w:ind w:left="1919" w:hanging="360"/>
      </w:pPr>
      <w:rPr>
        <w:rFonts w:ascii="Symbol" w:hAnsi="Symbol" w:hint="default"/>
      </w:rPr>
    </w:lvl>
    <w:lvl w:ilvl="1" w:tplc="08090003" w:tentative="1">
      <w:start w:val="1"/>
      <w:numFmt w:val="bullet"/>
      <w:lvlText w:val="o"/>
      <w:lvlJc w:val="left"/>
      <w:pPr>
        <w:ind w:left="2639" w:hanging="360"/>
      </w:pPr>
      <w:rPr>
        <w:rFonts w:ascii="Courier New" w:hAnsi="Courier New" w:cs="Courier New" w:hint="default"/>
      </w:rPr>
    </w:lvl>
    <w:lvl w:ilvl="2" w:tplc="08090005" w:tentative="1">
      <w:start w:val="1"/>
      <w:numFmt w:val="bullet"/>
      <w:lvlText w:val=""/>
      <w:lvlJc w:val="left"/>
      <w:pPr>
        <w:ind w:left="3359" w:hanging="360"/>
      </w:pPr>
      <w:rPr>
        <w:rFonts w:ascii="Wingdings" w:hAnsi="Wingdings" w:hint="default"/>
      </w:rPr>
    </w:lvl>
    <w:lvl w:ilvl="3" w:tplc="08090001" w:tentative="1">
      <w:start w:val="1"/>
      <w:numFmt w:val="bullet"/>
      <w:lvlText w:val=""/>
      <w:lvlJc w:val="left"/>
      <w:pPr>
        <w:ind w:left="4079" w:hanging="360"/>
      </w:pPr>
      <w:rPr>
        <w:rFonts w:ascii="Symbol" w:hAnsi="Symbol" w:hint="default"/>
      </w:rPr>
    </w:lvl>
    <w:lvl w:ilvl="4" w:tplc="08090003" w:tentative="1">
      <w:start w:val="1"/>
      <w:numFmt w:val="bullet"/>
      <w:lvlText w:val="o"/>
      <w:lvlJc w:val="left"/>
      <w:pPr>
        <w:ind w:left="4799" w:hanging="360"/>
      </w:pPr>
      <w:rPr>
        <w:rFonts w:ascii="Courier New" w:hAnsi="Courier New" w:cs="Courier New" w:hint="default"/>
      </w:rPr>
    </w:lvl>
    <w:lvl w:ilvl="5" w:tplc="08090005" w:tentative="1">
      <w:start w:val="1"/>
      <w:numFmt w:val="bullet"/>
      <w:lvlText w:val=""/>
      <w:lvlJc w:val="left"/>
      <w:pPr>
        <w:ind w:left="5519" w:hanging="360"/>
      </w:pPr>
      <w:rPr>
        <w:rFonts w:ascii="Wingdings" w:hAnsi="Wingdings" w:hint="default"/>
      </w:rPr>
    </w:lvl>
    <w:lvl w:ilvl="6" w:tplc="08090001" w:tentative="1">
      <w:start w:val="1"/>
      <w:numFmt w:val="bullet"/>
      <w:lvlText w:val=""/>
      <w:lvlJc w:val="left"/>
      <w:pPr>
        <w:ind w:left="6239" w:hanging="360"/>
      </w:pPr>
      <w:rPr>
        <w:rFonts w:ascii="Symbol" w:hAnsi="Symbol" w:hint="default"/>
      </w:rPr>
    </w:lvl>
    <w:lvl w:ilvl="7" w:tplc="08090003" w:tentative="1">
      <w:start w:val="1"/>
      <w:numFmt w:val="bullet"/>
      <w:lvlText w:val="o"/>
      <w:lvlJc w:val="left"/>
      <w:pPr>
        <w:ind w:left="6959" w:hanging="360"/>
      </w:pPr>
      <w:rPr>
        <w:rFonts w:ascii="Courier New" w:hAnsi="Courier New" w:cs="Courier New" w:hint="default"/>
      </w:rPr>
    </w:lvl>
    <w:lvl w:ilvl="8" w:tplc="08090005" w:tentative="1">
      <w:start w:val="1"/>
      <w:numFmt w:val="bullet"/>
      <w:lvlText w:val=""/>
      <w:lvlJc w:val="left"/>
      <w:pPr>
        <w:ind w:left="7679" w:hanging="360"/>
      </w:pPr>
      <w:rPr>
        <w:rFonts w:ascii="Wingdings" w:hAnsi="Wingdings" w:hint="default"/>
      </w:rPr>
    </w:lvl>
  </w:abstractNum>
  <w:abstractNum w:abstractNumId="35">
    <w:nsid w:val="649A2D9A"/>
    <w:multiLevelType w:val="hybridMultilevel"/>
    <w:tmpl w:val="3FC8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879269F"/>
    <w:multiLevelType w:val="hybridMultilevel"/>
    <w:tmpl w:val="B74C7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FBD76FB"/>
    <w:multiLevelType w:val="hybridMultilevel"/>
    <w:tmpl w:val="B65ED454"/>
    <w:lvl w:ilvl="0" w:tplc="2538381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BAD7DC6"/>
    <w:multiLevelType w:val="multilevel"/>
    <w:tmpl w:val="5952F796"/>
    <w:lvl w:ilvl="0">
      <w:start w:val="1"/>
      <w:numFmt w:val="decimal"/>
      <w:lvlText w:val="%1."/>
      <w:lvlJc w:val="left"/>
      <w:pPr>
        <w:ind w:left="360" w:hanging="360"/>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2041" w:hanging="13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F1521AB"/>
    <w:multiLevelType w:val="hybridMultilevel"/>
    <w:tmpl w:val="BDACF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9"/>
  </w:num>
  <w:num w:numId="3">
    <w:abstractNumId w:val="10"/>
  </w:num>
  <w:num w:numId="4">
    <w:abstractNumId w:val="3"/>
  </w:num>
  <w:num w:numId="5">
    <w:abstractNumId w:val="18"/>
  </w:num>
  <w:num w:numId="6">
    <w:abstractNumId w:val="20"/>
  </w:num>
  <w:num w:numId="7">
    <w:abstractNumId w:val="9"/>
  </w:num>
  <w:num w:numId="8">
    <w:abstractNumId w:val="25"/>
  </w:num>
  <w:num w:numId="9">
    <w:abstractNumId w:val="21"/>
  </w:num>
  <w:num w:numId="10">
    <w:abstractNumId w:val="31"/>
  </w:num>
  <w:num w:numId="11">
    <w:abstractNumId w:val="0"/>
  </w:num>
  <w:num w:numId="12">
    <w:abstractNumId w:val="5"/>
  </w:num>
  <w:num w:numId="13">
    <w:abstractNumId w:val="32"/>
  </w:num>
  <w:num w:numId="14">
    <w:abstractNumId w:val="38"/>
  </w:num>
  <w:num w:numId="15">
    <w:abstractNumId w:val="24"/>
  </w:num>
  <w:num w:numId="16">
    <w:abstractNumId w:val="12"/>
  </w:num>
  <w:num w:numId="17">
    <w:abstractNumId w:val="17"/>
  </w:num>
  <w:num w:numId="18">
    <w:abstractNumId w:val="23"/>
  </w:num>
  <w:num w:numId="19">
    <w:abstractNumId w:val="16"/>
  </w:num>
  <w:num w:numId="20">
    <w:abstractNumId w:val="14"/>
  </w:num>
  <w:num w:numId="21">
    <w:abstractNumId w:val="2"/>
  </w:num>
  <w:num w:numId="22">
    <w:abstractNumId w:val="34"/>
  </w:num>
  <w:num w:numId="23">
    <w:abstractNumId w:val="35"/>
  </w:num>
  <w:num w:numId="24">
    <w:abstractNumId w:val="26"/>
  </w:num>
  <w:num w:numId="25">
    <w:abstractNumId w:val="11"/>
  </w:num>
  <w:num w:numId="26">
    <w:abstractNumId w:val="15"/>
  </w:num>
  <w:num w:numId="27">
    <w:abstractNumId w:val="30"/>
  </w:num>
  <w:num w:numId="28">
    <w:abstractNumId w:val="8"/>
  </w:num>
  <w:num w:numId="29">
    <w:abstractNumId w:val="27"/>
  </w:num>
  <w:num w:numId="30">
    <w:abstractNumId w:val="39"/>
  </w:num>
  <w:num w:numId="31">
    <w:abstractNumId w:val="1"/>
  </w:num>
  <w:num w:numId="32">
    <w:abstractNumId w:val="36"/>
  </w:num>
  <w:num w:numId="33">
    <w:abstractNumId w:val="13"/>
  </w:num>
  <w:num w:numId="34">
    <w:abstractNumId w:val="28"/>
  </w:num>
  <w:num w:numId="35">
    <w:abstractNumId w:val="37"/>
  </w:num>
  <w:num w:numId="36">
    <w:abstractNumId w:val="6"/>
  </w:num>
  <w:num w:numId="37">
    <w:abstractNumId w:val="4"/>
  </w:num>
  <w:num w:numId="38">
    <w:abstractNumId w:val="7"/>
  </w:num>
  <w:num w:numId="39">
    <w:abstractNumId w:val="33"/>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093"/>
    <w:rsid w:val="000228C1"/>
    <w:rsid w:val="00057FA8"/>
    <w:rsid w:val="00084F52"/>
    <w:rsid w:val="000A1A7F"/>
    <w:rsid w:val="00151ED0"/>
    <w:rsid w:val="00153EAB"/>
    <w:rsid w:val="00166E49"/>
    <w:rsid w:val="00171AC4"/>
    <w:rsid w:val="001A4765"/>
    <w:rsid w:val="0020613F"/>
    <w:rsid w:val="002154EB"/>
    <w:rsid w:val="00260C88"/>
    <w:rsid w:val="002E17B2"/>
    <w:rsid w:val="002E56DD"/>
    <w:rsid w:val="00307EC9"/>
    <w:rsid w:val="00312AAB"/>
    <w:rsid w:val="00322C7D"/>
    <w:rsid w:val="003414E2"/>
    <w:rsid w:val="003517E1"/>
    <w:rsid w:val="00380092"/>
    <w:rsid w:val="003870A5"/>
    <w:rsid w:val="003A28BF"/>
    <w:rsid w:val="004421DC"/>
    <w:rsid w:val="0044627B"/>
    <w:rsid w:val="004559CA"/>
    <w:rsid w:val="00476788"/>
    <w:rsid w:val="004D6431"/>
    <w:rsid w:val="004E2080"/>
    <w:rsid w:val="004F0059"/>
    <w:rsid w:val="0051205A"/>
    <w:rsid w:val="00530D8C"/>
    <w:rsid w:val="00577DE7"/>
    <w:rsid w:val="00582DAD"/>
    <w:rsid w:val="005A0137"/>
    <w:rsid w:val="005C2366"/>
    <w:rsid w:val="005C7093"/>
    <w:rsid w:val="005F1AB6"/>
    <w:rsid w:val="0060619D"/>
    <w:rsid w:val="0062230D"/>
    <w:rsid w:val="00681F0A"/>
    <w:rsid w:val="006A3A0E"/>
    <w:rsid w:val="006A3FBF"/>
    <w:rsid w:val="006D236D"/>
    <w:rsid w:val="006D5B91"/>
    <w:rsid w:val="006F1C44"/>
    <w:rsid w:val="006F3E1D"/>
    <w:rsid w:val="006F3F30"/>
    <w:rsid w:val="00701CE1"/>
    <w:rsid w:val="00716E5D"/>
    <w:rsid w:val="00753AF1"/>
    <w:rsid w:val="00763838"/>
    <w:rsid w:val="00790374"/>
    <w:rsid w:val="00793166"/>
    <w:rsid w:val="007C090E"/>
    <w:rsid w:val="007C6567"/>
    <w:rsid w:val="00820263"/>
    <w:rsid w:val="0085195D"/>
    <w:rsid w:val="008778B0"/>
    <w:rsid w:val="008824C0"/>
    <w:rsid w:val="008A1A41"/>
    <w:rsid w:val="008A686E"/>
    <w:rsid w:val="008B33DA"/>
    <w:rsid w:val="008B6176"/>
    <w:rsid w:val="008E772C"/>
    <w:rsid w:val="009657E3"/>
    <w:rsid w:val="009707A4"/>
    <w:rsid w:val="009735A4"/>
    <w:rsid w:val="009A3264"/>
    <w:rsid w:val="009E1E64"/>
    <w:rsid w:val="009E2D76"/>
    <w:rsid w:val="009E670C"/>
    <w:rsid w:val="00A83C5B"/>
    <w:rsid w:val="00A93411"/>
    <w:rsid w:val="00AA1D7F"/>
    <w:rsid w:val="00AD158A"/>
    <w:rsid w:val="00AD49F8"/>
    <w:rsid w:val="00AF5E71"/>
    <w:rsid w:val="00B002AB"/>
    <w:rsid w:val="00B203A3"/>
    <w:rsid w:val="00B21974"/>
    <w:rsid w:val="00B60B49"/>
    <w:rsid w:val="00B86E5E"/>
    <w:rsid w:val="00BC7214"/>
    <w:rsid w:val="00C07B05"/>
    <w:rsid w:val="00C120C5"/>
    <w:rsid w:val="00C27ED7"/>
    <w:rsid w:val="00C45729"/>
    <w:rsid w:val="00C649A1"/>
    <w:rsid w:val="00C85DF3"/>
    <w:rsid w:val="00CA701B"/>
    <w:rsid w:val="00CC1632"/>
    <w:rsid w:val="00D23A3D"/>
    <w:rsid w:val="00D279F6"/>
    <w:rsid w:val="00D31BFF"/>
    <w:rsid w:val="00D33057"/>
    <w:rsid w:val="00DA7D02"/>
    <w:rsid w:val="00E15154"/>
    <w:rsid w:val="00E2643D"/>
    <w:rsid w:val="00E9138D"/>
    <w:rsid w:val="00EB3C97"/>
    <w:rsid w:val="00F0215E"/>
    <w:rsid w:val="00F2237B"/>
    <w:rsid w:val="00F24C9C"/>
    <w:rsid w:val="00F302E0"/>
    <w:rsid w:val="00F60AEB"/>
    <w:rsid w:val="00F72FD5"/>
    <w:rsid w:val="00FA117C"/>
    <w:rsid w:val="00FE0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
    <w:name w:val="Body Text No Number"/>
    <w:basedOn w:val="BodyText"/>
    <w:rsid w:val="008B33DA"/>
    <w:pPr>
      <w:widowControl w:val="0"/>
      <w:spacing w:after="240" w:line="240" w:lineRule="atLeast"/>
    </w:pPr>
    <w:rPr>
      <w:rFonts w:ascii="Times New Roman" w:eastAsia="Times" w:hAnsi="Times New Roman"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customStyle="1" w:styleId="BodyTextChar">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semiHidden/>
    <w:unhideWhenUsed/>
    <w:rsid w:val="000A1A7F"/>
    <w:pPr>
      <w:spacing w:line="240" w:lineRule="auto"/>
    </w:pPr>
    <w:rPr>
      <w:sz w:val="20"/>
      <w:szCs w:val="20"/>
    </w:rPr>
  </w:style>
  <w:style w:type="character" w:customStyle="1" w:styleId="CommentTextChar">
    <w:name w:val="Comment Text Char"/>
    <w:basedOn w:val="DefaultParagraphFont"/>
    <w:link w:val="CommentText"/>
    <w:uiPriority w:val="99"/>
    <w:semiHidden/>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customStyle="1" w:styleId="CommentSubjectChar">
    <w:name w:val="Comment Subject Char"/>
    <w:basedOn w:val="CommentTextChar"/>
    <w:link w:val="CommentSubject"/>
    <w:uiPriority w:val="99"/>
    <w:semiHidden/>
    <w:rsid w:val="000A1A7F"/>
    <w:rPr>
      <w:b/>
      <w:bCs/>
      <w:sz w:val="20"/>
      <w:szCs w:val="20"/>
    </w:rPr>
  </w:style>
  <w:style w:type="paragraph" w:customStyle="1" w:styleId="Default">
    <w:name w:val="Default"/>
    <w:rsid w:val="008A686E"/>
    <w:pPr>
      <w:autoSpaceDE w:val="0"/>
      <w:autoSpaceDN w:val="0"/>
      <w:adjustRightInd w:val="0"/>
      <w:spacing w:after="0" w:line="240" w:lineRule="auto"/>
    </w:pPr>
    <w:rPr>
      <w:rFonts w:ascii="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
    <w:name w:val="Body Text No Number"/>
    <w:basedOn w:val="BodyText"/>
    <w:rsid w:val="008B33DA"/>
    <w:pPr>
      <w:widowControl w:val="0"/>
      <w:spacing w:after="240" w:line="240" w:lineRule="atLeast"/>
    </w:pPr>
    <w:rPr>
      <w:rFonts w:ascii="Times New Roman" w:eastAsia="Times" w:hAnsi="Times New Roman"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customStyle="1" w:styleId="BodyTextChar">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semiHidden/>
    <w:unhideWhenUsed/>
    <w:rsid w:val="000A1A7F"/>
    <w:pPr>
      <w:spacing w:line="240" w:lineRule="auto"/>
    </w:pPr>
    <w:rPr>
      <w:sz w:val="20"/>
      <w:szCs w:val="20"/>
    </w:rPr>
  </w:style>
  <w:style w:type="character" w:customStyle="1" w:styleId="CommentTextChar">
    <w:name w:val="Comment Text Char"/>
    <w:basedOn w:val="DefaultParagraphFont"/>
    <w:link w:val="CommentText"/>
    <w:uiPriority w:val="99"/>
    <w:semiHidden/>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customStyle="1" w:styleId="CommentSubjectChar">
    <w:name w:val="Comment Subject Char"/>
    <w:basedOn w:val="CommentTextChar"/>
    <w:link w:val="CommentSubject"/>
    <w:uiPriority w:val="99"/>
    <w:semiHidden/>
    <w:rsid w:val="000A1A7F"/>
    <w:rPr>
      <w:b/>
      <w:bCs/>
      <w:sz w:val="20"/>
      <w:szCs w:val="20"/>
    </w:rPr>
  </w:style>
  <w:style w:type="paragraph" w:customStyle="1" w:styleId="Default">
    <w:name w:val="Default"/>
    <w:rsid w:val="008A686E"/>
    <w:pPr>
      <w:autoSpaceDE w:val="0"/>
      <w:autoSpaceDN w:val="0"/>
      <w:adjustRightInd w:val="0"/>
      <w:spacing w:after="0" w:line="240" w:lineRule="auto"/>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esforschools.org/ees-for-schoo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sex.gov.uk/Business-Partners/Supplying-Council/Pages/IDeA-Marketplace.aspx" TargetMode="External"/><Relationship Id="rId5" Type="http://schemas.openxmlformats.org/officeDocument/2006/relationships/settings" Target="settings.xml"/><Relationship Id="rId10" Type="http://schemas.openxmlformats.org/officeDocument/2006/relationships/hyperlink" Target="http://www.essex.gov.uk/Business-Partners/Supplying-Council/Documents/Appendix_D_Supplier_Charter.pdf" TargetMode="External"/><Relationship Id="rId4" Type="http://schemas.microsoft.com/office/2007/relationships/stylesWithEffects" Target="stylesWithEffects.xml"/><Relationship Id="rId9" Type="http://schemas.openxmlformats.org/officeDocument/2006/relationships/hyperlink" Target="http://www.essex.gov.uk/Business-Partners/Supplying-Council/Documents/Information_handling_schedul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B0ABB-0051-4CF5-A75B-C0A5A49D2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7F2EF0B2</Template>
  <TotalTime>2</TotalTime>
  <Pages>7</Pages>
  <Words>1876</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cara.gale</dc:creator>
  <cp:lastModifiedBy>andrew.beaver</cp:lastModifiedBy>
  <cp:revision>3</cp:revision>
  <cp:lastPrinted>2013-04-08T12:41:00Z</cp:lastPrinted>
  <dcterms:created xsi:type="dcterms:W3CDTF">2015-05-21T13:07:00Z</dcterms:created>
  <dcterms:modified xsi:type="dcterms:W3CDTF">2015-05-21T13:58:00Z</dcterms:modified>
</cp:coreProperties>
</file>