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AC" w:rsidRDefault="00E35542" w:rsidP="00D37BAC">
      <w:pPr>
        <w:spacing w:after="120"/>
        <w:jc w:val="center"/>
        <w:rPr>
          <w:b/>
        </w:rPr>
      </w:pPr>
      <w:bookmarkStart w:id="0" w:name="_Toc278544909"/>
      <w:r>
        <w:rPr>
          <w:b/>
        </w:rPr>
        <w:t>APPENDIX B</w:t>
      </w:r>
    </w:p>
    <w:p w:rsidR="00D37BAC" w:rsidRDefault="00E35542" w:rsidP="00D37BAC">
      <w:pPr>
        <w:spacing w:after="120"/>
        <w:jc w:val="center"/>
        <w:rPr>
          <w:b/>
        </w:rPr>
      </w:pPr>
      <w:r>
        <w:rPr>
          <w:b/>
        </w:rPr>
        <w:t>SERVICE DESCRIPTION</w:t>
      </w:r>
    </w:p>
    <w:p w:rsidR="00FA5229" w:rsidRDefault="00FA5229" w:rsidP="00FA5229">
      <w:pPr>
        <w:pStyle w:val="bodystrongcentred"/>
      </w:pPr>
    </w:p>
    <w:p w:rsidR="00FA5229" w:rsidRDefault="00FA5229" w:rsidP="00FA5229">
      <w:pPr>
        <w:pStyle w:val="bodystrongcentred"/>
      </w:pPr>
      <w:r>
        <w:t>CONTENTS</w:t>
      </w:r>
    </w:p>
    <w:p w:rsidR="00FA5229" w:rsidRDefault="00FA5229" w:rsidP="00FA5229"/>
    <w:p w:rsidR="000E60D4" w:rsidRPr="00201778" w:rsidRDefault="00416FC4">
      <w:pPr>
        <w:pStyle w:val="TOC1"/>
        <w:rPr>
          <w:rFonts w:asciiTheme="minorHAnsi" w:eastAsiaTheme="minorEastAsia" w:hAnsiTheme="minorHAnsi" w:cstheme="minorBidi"/>
          <w:caps w:val="0"/>
          <w:noProof/>
          <w:szCs w:val="22"/>
          <w:lang w:eastAsia="en-GB"/>
        </w:rPr>
      </w:pPr>
      <w:r w:rsidRPr="00201778">
        <w:rPr>
          <w:rFonts w:cs="Arial"/>
          <w:caps w:val="0"/>
        </w:rPr>
        <w:fldChar w:fldCharType="begin"/>
      </w:r>
      <w:r w:rsidR="00FA5229" w:rsidRPr="00201778">
        <w:rPr>
          <w:rFonts w:cs="Arial"/>
          <w:caps w:val="0"/>
        </w:rPr>
        <w:instrText xml:space="preserve"> TOC \o "1-1" \h \z \u </w:instrText>
      </w:r>
      <w:r w:rsidRPr="00201778">
        <w:rPr>
          <w:rFonts w:cs="Arial"/>
          <w:caps w:val="0"/>
        </w:rPr>
        <w:fldChar w:fldCharType="separate"/>
      </w:r>
      <w:hyperlink w:anchor="_Toc383464499" w:history="1">
        <w:r w:rsidR="000E60D4" w:rsidRPr="00201778">
          <w:rPr>
            <w:rStyle w:val="Hyperlink"/>
            <w:noProof/>
          </w:rPr>
          <w:t>1.</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rPr>
          <w:t>INTRODUCTION</w:t>
        </w:r>
        <w:r w:rsidR="000E60D4" w:rsidRPr="00201778">
          <w:rPr>
            <w:noProof/>
            <w:webHidden/>
          </w:rPr>
          <w:tab/>
        </w:r>
        <w:r w:rsidRPr="00201778">
          <w:rPr>
            <w:noProof/>
            <w:webHidden/>
          </w:rPr>
          <w:fldChar w:fldCharType="begin"/>
        </w:r>
        <w:r w:rsidR="000E60D4" w:rsidRPr="00201778">
          <w:rPr>
            <w:noProof/>
            <w:webHidden/>
          </w:rPr>
          <w:instrText xml:space="preserve"> PAGEREF _Toc383464499 \h </w:instrText>
        </w:r>
        <w:r w:rsidRPr="00201778">
          <w:rPr>
            <w:noProof/>
            <w:webHidden/>
          </w:rPr>
        </w:r>
        <w:r w:rsidRPr="00201778">
          <w:rPr>
            <w:noProof/>
            <w:webHidden/>
          </w:rPr>
          <w:fldChar w:fldCharType="separate"/>
        </w:r>
        <w:r w:rsidR="00201778" w:rsidRPr="00201778">
          <w:rPr>
            <w:noProof/>
            <w:webHidden/>
          </w:rPr>
          <w:t>2</w:t>
        </w:r>
        <w:r w:rsidRPr="00201778">
          <w:rPr>
            <w:noProof/>
            <w:webHidden/>
          </w:rPr>
          <w:fldChar w:fldCharType="end"/>
        </w:r>
      </w:hyperlink>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1" w:history="1">
        <w:r w:rsidR="00721548" w:rsidRPr="00201778">
          <w:rPr>
            <w:rStyle w:val="Hyperlink"/>
            <w:noProof/>
          </w:rPr>
          <w:t>2</w:t>
        </w:r>
        <w:r w:rsidR="000E60D4" w:rsidRPr="00201778">
          <w:rPr>
            <w:rStyle w:val="Hyperlink"/>
            <w:noProof/>
          </w:rPr>
          <w:t>.</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rPr>
          <w:t>background to the authority</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_Toc383464501 \h </w:instrText>
        </w:r>
        <w:r w:rsidR="00416FC4" w:rsidRPr="00201778">
          <w:rPr>
            <w:noProof/>
            <w:webHidden/>
          </w:rPr>
        </w:r>
        <w:r w:rsidR="00416FC4" w:rsidRPr="00201778">
          <w:rPr>
            <w:noProof/>
            <w:webHidden/>
          </w:rPr>
          <w:fldChar w:fldCharType="separate"/>
        </w:r>
        <w:r w:rsidR="00201778" w:rsidRPr="00201778">
          <w:rPr>
            <w:noProof/>
            <w:webHidden/>
          </w:rPr>
          <w:t>3</w:t>
        </w:r>
        <w:r w:rsidR="00416FC4" w:rsidRPr="00201778">
          <w:rPr>
            <w:noProof/>
            <w:webHidden/>
          </w:rPr>
          <w:fldChar w:fldCharType="end"/>
        </w:r>
      </w:hyperlink>
    </w:p>
    <w:p w:rsidR="000E60D4" w:rsidRPr="00201778" w:rsidRDefault="009E0675">
      <w:pPr>
        <w:pStyle w:val="TOC1"/>
        <w:rPr>
          <w:noProof/>
        </w:rPr>
      </w:pPr>
      <w:hyperlink w:anchor="_Toc383464502" w:history="1">
        <w:r w:rsidR="00721548" w:rsidRPr="00201778">
          <w:rPr>
            <w:rStyle w:val="Hyperlink"/>
            <w:noProof/>
          </w:rPr>
          <w:t>3</w:t>
        </w:r>
        <w:r w:rsidR="000E60D4" w:rsidRPr="00201778">
          <w:rPr>
            <w:rStyle w:val="Hyperlink"/>
            <w:noProof/>
          </w:rPr>
          <w:t>.</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rPr>
          <w:t>Background to requirement/OVERVIEW of requirement</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_Toc383464502 \h </w:instrText>
        </w:r>
        <w:r w:rsidR="00416FC4" w:rsidRPr="00201778">
          <w:rPr>
            <w:noProof/>
            <w:webHidden/>
          </w:rPr>
        </w:r>
        <w:r w:rsidR="00416FC4" w:rsidRPr="00201778">
          <w:rPr>
            <w:noProof/>
            <w:webHidden/>
          </w:rPr>
          <w:fldChar w:fldCharType="separate"/>
        </w:r>
        <w:r w:rsidR="00201778" w:rsidRPr="00201778">
          <w:rPr>
            <w:noProof/>
            <w:webHidden/>
          </w:rPr>
          <w:t>4</w:t>
        </w:r>
        <w:r w:rsidR="00416FC4" w:rsidRPr="00201778">
          <w:rPr>
            <w:noProof/>
            <w:webHidden/>
          </w:rPr>
          <w:fldChar w:fldCharType="end"/>
        </w:r>
      </w:hyperlink>
    </w:p>
    <w:p w:rsidR="00721548" w:rsidRPr="00201778" w:rsidRDefault="00721548">
      <w:pPr>
        <w:pStyle w:val="TOC1"/>
        <w:rPr>
          <w:rFonts w:asciiTheme="minorHAnsi" w:eastAsiaTheme="minorEastAsia" w:hAnsiTheme="minorHAnsi" w:cstheme="minorBidi"/>
          <w:caps w:val="0"/>
          <w:noProof/>
          <w:szCs w:val="22"/>
          <w:lang w:eastAsia="en-GB"/>
        </w:rPr>
      </w:pPr>
      <w:r w:rsidRPr="00201778">
        <w:rPr>
          <w:noProof/>
        </w:rPr>
        <w:t xml:space="preserve">4 </w:t>
      </w:r>
      <w:r w:rsidRPr="00201778">
        <w:rPr>
          <w:noProof/>
        </w:rPr>
        <w:tab/>
        <w:t>Purpose…………………………………………………………………………………….</w:t>
      </w:r>
      <w:r w:rsidR="00201778" w:rsidRPr="00201778">
        <w:rPr>
          <w:noProof/>
        </w:rPr>
        <w:t>5</w:t>
      </w:r>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3" w:history="1">
        <w:r w:rsidR="000E60D4" w:rsidRPr="00201778">
          <w:rPr>
            <w:rStyle w:val="Hyperlink"/>
            <w:noProof/>
          </w:rPr>
          <w:t>5.</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rPr>
          <w:t>Scope of Requirements</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_Toc383464503 \h </w:instrText>
        </w:r>
        <w:r w:rsidR="00416FC4" w:rsidRPr="00201778">
          <w:rPr>
            <w:noProof/>
            <w:webHidden/>
          </w:rPr>
        </w:r>
        <w:r w:rsidR="00416FC4" w:rsidRPr="00201778">
          <w:rPr>
            <w:noProof/>
            <w:webHidden/>
          </w:rPr>
          <w:fldChar w:fldCharType="separate"/>
        </w:r>
        <w:r w:rsidR="00201778" w:rsidRPr="00201778">
          <w:rPr>
            <w:noProof/>
            <w:webHidden/>
          </w:rPr>
          <w:t>6</w:t>
        </w:r>
        <w:r w:rsidR="00416FC4" w:rsidRPr="00201778">
          <w:rPr>
            <w:noProof/>
            <w:webHidden/>
          </w:rPr>
          <w:fldChar w:fldCharType="end"/>
        </w:r>
      </w:hyperlink>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4" w:history="1">
        <w:r w:rsidR="000E60D4" w:rsidRPr="00201778">
          <w:rPr>
            <w:rStyle w:val="Hyperlink"/>
            <w:rFonts w:cs="Arial"/>
            <w:noProof/>
          </w:rPr>
          <w:t>6.</w:t>
        </w:r>
        <w:r w:rsidR="000E60D4" w:rsidRPr="00201778">
          <w:rPr>
            <w:rFonts w:asciiTheme="minorHAnsi" w:eastAsiaTheme="minorEastAsia" w:hAnsiTheme="minorHAnsi" w:cstheme="minorBidi"/>
            <w:caps w:val="0"/>
            <w:noProof/>
            <w:szCs w:val="22"/>
            <w:lang w:eastAsia="en-GB"/>
          </w:rPr>
          <w:tab/>
        </w:r>
        <w:r w:rsidR="000E60D4" w:rsidRPr="00201778">
          <w:rPr>
            <w:rStyle w:val="Hyperlink"/>
            <w:rFonts w:cs="Arial"/>
            <w:noProof/>
          </w:rPr>
          <w:t>service levels and performance</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_Toc383464504 \h </w:instrText>
        </w:r>
        <w:r w:rsidR="00416FC4" w:rsidRPr="00201778">
          <w:rPr>
            <w:noProof/>
            <w:webHidden/>
          </w:rPr>
        </w:r>
        <w:r w:rsidR="00416FC4" w:rsidRPr="00201778">
          <w:rPr>
            <w:noProof/>
            <w:webHidden/>
          </w:rPr>
          <w:fldChar w:fldCharType="separate"/>
        </w:r>
        <w:r w:rsidR="00201778" w:rsidRPr="00201778">
          <w:rPr>
            <w:noProof/>
            <w:webHidden/>
          </w:rPr>
          <w:t>7</w:t>
        </w:r>
        <w:r w:rsidR="00416FC4" w:rsidRPr="00201778">
          <w:rPr>
            <w:noProof/>
            <w:webHidden/>
          </w:rPr>
          <w:fldChar w:fldCharType="end"/>
        </w:r>
      </w:hyperlink>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5" w:history="1">
        <w:r w:rsidR="000E60D4" w:rsidRPr="00201778">
          <w:rPr>
            <w:rStyle w:val="Hyperlink"/>
            <w:noProof/>
          </w:rPr>
          <w:t>7.</w:t>
        </w:r>
        <w:r w:rsidR="000E60D4" w:rsidRPr="00201778">
          <w:rPr>
            <w:rFonts w:asciiTheme="minorHAnsi" w:eastAsiaTheme="minorEastAsia" w:hAnsiTheme="minorHAnsi" w:cstheme="minorBidi"/>
            <w:caps w:val="0"/>
            <w:noProof/>
            <w:szCs w:val="22"/>
            <w:lang w:eastAsia="en-GB"/>
          </w:rPr>
          <w:tab/>
        </w:r>
        <w:r w:rsidR="00201778" w:rsidRPr="00201778">
          <w:rPr>
            <w:rStyle w:val="Hyperlink"/>
            <w:noProof/>
          </w:rPr>
          <w:t>Additional Requirements</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_Toc383464505 \h </w:instrText>
        </w:r>
        <w:r w:rsidR="00416FC4" w:rsidRPr="00201778">
          <w:rPr>
            <w:noProof/>
            <w:webHidden/>
          </w:rPr>
        </w:r>
        <w:r w:rsidR="00416FC4" w:rsidRPr="00201778">
          <w:rPr>
            <w:noProof/>
            <w:webHidden/>
          </w:rPr>
          <w:fldChar w:fldCharType="separate"/>
        </w:r>
        <w:r w:rsidR="00201778" w:rsidRPr="00201778">
          <w:rPr>
            <w:noProof/>
            <w:webHidden/>
          </w:rPr>
          <w:t>9</w:t>
        </w:r>
        <w:r w:rsidR="00416FC4" w:rsidRPr="00201778">
          <w:rPr>
            <w:noProof/>
            <w:webHidden/>
          </w:rPr>
          <w:fldChar w:fldCharType="end"/>
        </w:r>
      </w:hyperlink>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6" w:history="1">
        <w:r w:rsidR="000E60D4" w:rsidRPr="00201778">
          <w:rPr>
            <w:rStyle w:val="Hyperlink"/>
            <w:noProof/>
          </w:rPr>
          <w:t>8.</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rPr>
          <w:t>Location</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_Toc383464506 \h </w:instrText>
        </w:r>
        <w:r w:rsidR="00416FC4" w:rsidRPr="00201778">
          <w:rPr>
            <w:noProof/>
            <w:webHidden/>
          </w:rPr>
        </w:r>
        <w:r w:rsidR="00416FC4" w:rsidRPr="00201778">
          <w:rPr>
            <w:noProof/>
            <w:webHidden/>
          </w:rPr>
          <w:fldChar w:fldCharType="separate"/>
        </w:r>
        <w:r w:rsidR="00201778" w:rsidRPr="00201778">
          <w:rPr>
            <w:noProof/>
            <w:webHidden/>
          </w:rPr>
          <w:t>9</w:t>
        </w:r>
        <w:r w:rsidR="00416FC4" w:rsidRPr="00201778">
          <w:rPr>
            <w:noProof/>
            <w:webHidden/>
          </w:rPr>
          <w:fldChar w:fldCharType="end"/>
        </w:r>
      </w:hyperlink>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7" w:history="1">
        <w:r w:rsidR="000E60D4" w:rsidRPr="00201778">
          <w:rPr>
            <w:rStyle w:val="Hyperlink"/>
            <w:noProof/>
          </w:rPr>
          <w:t>9.</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rPr>
          <w:t>Security requirements</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_Toc383464507 \h </w:instrText>
        </w:r>
        <w:r w:rsidR="00416FC4" w:rsidRPr="00201778">
          <w:rPr>
            <w:noProof/>
            <w:webHidden/>
          </w:rPr>
        </w:r>
        <w:r w:rsidR="00416FC4" w:rsidRPr="00201778">
          <w:rPr>
            <w:noProof/>
            <w:webHidden/>
          </w:rPr>
          <w:fldChar w:fldCharType="separate"/>
        </w:r>
        <w:r w:rsidR="00201778" w:rsidRPr="00201778">
          <w:rPr>
            <w:noProof/>
            <w:webHidden/>
          </w:rPr>
          <w:t>9</w:t>
        </w:r>
        <w:r w:rsidR="00416FC4" w:rsidRPr="00201778">
          <w:rPr>
            <w:noProof/>
            <w:webHidden/>
          </w:rPr>
          <w:fldChar w:fldCharType="end"/>
        </w:r>
      </w:hyperlink>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8" w:history="1">
        <w:r w:rsidR="000E60D4" w:rsidRPr="00201778">
          <w:rPr>
            <w:rStyle w:val="Hyperlink"/>
            <w:noProof/>
          </w:rPr>
          <w:t>10.</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rPr>
          <w:t>PROJECT TIMETABLE</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_Toc383464508 \h </w:instrText>
        </w:r>
        <w:r w:rsidR="00416FC4" w:rsidRPr="00201778">
          <w:rPr>
            <w:noProof/>
            <w:webHidden/>
          </w:rPr>
        </w:r>
        <w:r w:rsidR="00416FC4" w:rsidRPr="00201778">
          <w:rPr>
            <w:noProof/>
            <w:webHidden/>
          </w:rPr>
          <w:fldChar w:fldCharType="separate"/>
        </w:r>
        <w:r w:rsidR="00201778" w:rsidRPr="00201778">
          <w:rPr>
            <w:noProof/>
            <w:webHidden/>
          </w:rPr>
          <w:t>10</w:t>
        </w:r>
        <w:r w:rsidR="00416FC4" w:rsidRPr="00201778">
          <w:rPr>
            <w:noProof/>
            <w:webHidden/>
          </w:rPr>
          <w:fldChar w:fldCharType="end"/>
        </w:r>
      </w:hyperlink>
    </w:p>
    <w:p w:rsidR="000E60D4" w:rsidRPr="00201778" w:rsidRDefault="009E0675">
      <w:pPr>
        <w:pStyle w:val="TOC1"/>
        <w:rPr>
          <w:rFonts w:asciiTheme="minorHAnsi" w:eastAsiaTheme="minorEastAsia" w:hAnsiTheme="minorHAnsi" w:cstheme="minorBidi"/>
          <w:caps w:val="0"/>
          <w:noProof/>
          <w:szCs w:val="22"/>
          <w:lang w:eastAsia="en-GB"/>
        </w:rPr>
      </w:pPr>
      <w:hyperlink w:anchor="_Toc383464509" w:history="1">
        <w:r w:rsidR="000E60D4" w:rsidRPr="00201778">
          <w:rPr>
            <w:rStyle w:val="Hyperlink"/>
            <w:noProof/>
            <w:color w:val="auto"/>
          </w:rPr>
          <w:t>11.</w:t>
        </w:r>
        <w:r w:rsidR="000E60D4" w:rsidRPr="00201778">
          <w:rPr>
            <w:rFonts w:asciiTheme="minorHAnsi" w:eastAsiaTheme="minorEastAsia" w:hAnsiTheme="minorHAnsi" w:cstheme="minorBidi"/>
            <w:caps w:val="0"/>
            <w:noProof/>
            <w:szCs w:val="22"/>
            <w:lang w:eastAsia="en-GB"/>
          </w:rPr>
          <w:tab/>
        </w:r>
        <w:r w:rsidR="000E60D4" w:rsidRPr="00201778">
          <w:rPr>
            <w:rStyle w:val="Hyperlink"/>
            <w:noProof/>
            <w:color w:val="auto"/>
          </w:rPr>
          <w:t>BUDGET</w:t>
        </w:r>
        <w:r w:rsidR="000E60D4" w:rsidRPr="00201778">
          <w:rPr>
            <w:noProof/>
            <w:webHidden/>
          </w:rPr>
          <w:tab/>
        </w:r>
        <w:r w:rsidR="00416FC4" w:rsidRPr="00201778">
          <w:rPr>
            <w:noProof/>
            <w:webHidden/>
          </w:rPr>
          <w:fldChar w:fldCharType="begin"/>
        </w:r>
        <w:r w:rsidR="000E60D4" w:rsidRPr="00201778">
          <w:rPr>
            <w:noProof/>
            <w:webHidden/>
          </w:rPr>
          <w:instrText xml:space="preserve"> PAGEREF _Toc383464509 \h </w:instrText>
        </w:r>
        <w:r w:rsidR="00416FC4" w:rsidRPr="00201778">
          <w:rPr>
            <w:noProof/>
            <w:webHidden/>
          </w:rPr>
        </w:r>
        <w:r w:rsidR="00416FC4" w:rsidRPr="00201778">
          <w:rPr>
            <w:noProof/>
            <w:webHidden/>
          </w:rPr>
          <w:fldChar w:fldCharType="separate"/>
        </w:r>
        <w:r w:rsidR="00201778" w:rsidRPr="00201778">
          <w:rPr>
            <w:noProof/>
            <w:webHidden/>
          </w:rPr>
          <w:t>10</w:t>
        </w:r>
        <w:r w:rsidR="00416FC4" w:rsidRPr="00201778">
          <w:rPr>
            <w:noProof/>
            <w:webHidden/>
          </w:rPr>
          <w:fldChar w:fldCharType="end"/>
        </w:r>
      </w:hyperlink>
    </w:p>
    <w:p w:rsidR="00FA5229" w:rsidRPr="00D37BAC" w:rsidRDefault="00416FC4" w:rsidP="00FA5229">
      <w:pPr>
        <w:spacing w:after="120"/>
        <w:jc w:val="center"/>
        <w:rPr>
          <w:b/>
        </w:rPr>
      </w:pPr>
      <w:r w:rsidRPr="00201778">
        <w:rPr>
          <w:rFonts w:cs="Arial"/>
          <w:caps/>
        </w:rPr>
        <w:fldChar w:fldCharType="end"/>
      </w:r>
    </w:p>
    <w:p w:rsidR="001530F5" w:rsidRPr="001530F5" w:rsidRDefault="00FA5229" w:rsidP="001530F5">
      <w:pPr>
        <w:pStyle w:val="Heading1"/>
        <w:tabs>
          <w:tab w:val="clear" w:pos="720"/>
        </w:tabs>
        <w:overflowPunct w:val="0"/>
        <w:autoSpaceDE w:val="0"/>
        <w:autoSpaceDN w:val="0"/>
        <w:spacing w:after="120"/>
        <w:textAlignment w:val="baseline"/>
        <w:rPr>
          <w:szCs w:val="22"/>
        </w:rPr>
      </w:pPr>
      <w:bookmarkStart w:id="1" w:name="_Toc297554772"/>
      <w:bookmarkEnd w:id="0"/>
      <w:r>
        <w:rPr>
          <w:caps w:val="0"/>
          <w:szCs w:val="22"/>
        </w:rPr>
        <w:br w:type="page"/>
      </w:r>
      <w:bookmarkStart w:id="2" w:name="_Toc383464499"/>
      <w:r w:rsidR="001530F5">
        <w:rPr>
          <w:caps w:val="0"/>
          <w:szCs w:val="22"/>
        </w:rPr>
        <w:lastRenderedPageBreak/>
        <w:t>INTRODUCTION</w:t>
      </w:r>
      <w:bookmarkEnd w:id="2"/>
      <w:r w:rsidR="001530F5">
        <w:rPr>
          <w:caps w:val="0"/>
          <w:szCs w:val="22"/>
        </w:rPr>
        <w:tab/>
      </w:r>
    </w:p>
    <w:p w:rsidR="003031E3" w:rsidRDefault="003031E3" w:rsidP="003031E3">
      <w:pPr>
        <w:pStyle w:val="Heading2"/>
        <w:numPr>
          <w:ilvl w:val="0"/>
          <w:numId w:val="0"/>
        </w:numPr>
        <w:overflowPunct w:val="0"/>
        <w:autoSpaceDE w:val="0"/>
        <w:autoSpaceDN w:val="0"/>
        <w:spacing w:after="120"/>
        <w:ind w:left="720" w:hanging="720"/>
        <w:textAlignment w:val="baseline"/>
        <w:rPr>
          <w:lang w:val="en"/>
        </w:rPr>
      </w:pPr>
      <w:r>
        <w:rPr>
          <w:lang w:val="en"/>
        </w:rPr>
        <w:t xml:space="preserve">1.1 </w:t>
      </w:r>
      <w:r>
        <w:rPr>
          <w:lang w:val="en"/>
        </w:rPr>
        <w:tab/>
        <w:t>The Department for Work and Pensions (DWP) is responsible for welfare, pensions and child maintenance policy. As the UK’s biggest public service department it administers the State Pension and a range of working age, disability and ill health benefits to over 22 million claimants and customers.</w:t>
      </w:r>
    </w:p>
    <w:p w:rsidR="006106D3" w:rsidRDefault="003031E3" w:rsidP="003031E3">
      <w:pPr>
        <w:spacing w:before="100" w:beforeAutospacing="1" w:after="100" w:afterAutospacing="1"/>
        <w:ind w:left="720"/>
        <w:rPr>
          <w:rFonts w:eastAsia="Times New Roman" w:cs="Arial"/>
          <w:szCs w:val="22"/>
          <w:lang w:val="en" w:eastAsia="en-GB"/>
        </w:rPr>
      </w:pPr>
      <w:r w:rsidRPr="003031E3">
        <w:rPr>
          <w:rFonts w:eastAsia="Times New Roman" w:cs="Arial"/>
          <w:szCs w:val="22"/>
          <w:lang w:val="en" w:eastAsia="en-GB"/>
        </w:rPr>
        <w:t xml:space="preserve">The Finance Group employs over 5,000 people and we are based in over 200 locations with concentrations around the Corporate Centre Hubs. </w:t>
      </w:r>
    </w:p>
    <w:p w:rsidR="003031E3" w:rsidRPr="003031E3" w:rsidRDefault="003031E3" w:rsidP="003031E3">
      <w:pPr>
        <w:spacing w:before="100" w:beforeAutospacing="1" w:after="100" w:afterAutospacing="1"/>
        <w:ind w:left="720"/>
        <w:rPr>
          <w:rFonts w:eastAsia="Times New Roman" w:cs="Arial"/>
          <w:szCs w:val="22"/>
          <w:lang w:val="en" w:eastAsia="en-GB"/>
        </w:rPr>
      </w:pPr>
      <w:r w:rsidRPr="003031E3">
        <w:rPr>
          <w:rFonts w:eastAsia="Times New Roman" w:cs="Arial"/>
          <w:szCs w:val="22"/>
          <w:lang w:val="en" w:eastAsia="en-GB"/>
        </w:rPr>
        <w:t>DWP Finance Group includes the following</w:t>
      </w:r>
      <w:r>
        <w:rPr>
          <w:rFonts w:eastAsia="Times New Roman" w:cs="Arial"/>
          <w:szCs w:val="22"/>
          <w:lang w:val="en" w:eastAsia="en-GB"/>
        </w:rPr>
        <w:t xml:space="preserve"> teams and Directorates</w:t>
      </w:r>
      <w:r w:rsidRPr="003031E3">
        <w:rPr>
          <w:rFonts w:eastAsia="Times New Roman" w:cs="Arial"/>
          <w:szCs w:val="22"/>
          <w:lang w:val="en" w:eastAsia="en-GB"/>
        </w:rPr>
        <w:t>:</w:t>
      </w:r>
    </w:p>
    <w:tbl>
      <w:tblPr>
        <w:tblW w:w="0" w:type="auto"/>
        <w:tblCellSpacing w:w="0" w:type="dxa"/>
        <w:tblInd w:w="720" w:type="dxa"/>
        <w:tblLayout w:type="fixed"/>
        <w:tblCellMar>
          <w:top w:w="60" w:type="dxa"/>
          <w:left w:w="60" w:type="dxa"/>
          <w:bottom w:w="60" w:type="dxa"/>
          <w:right w:w="60" w:type="dxa"/>
        </w:tblCellMar>
        <w:tblLook w:val="04A0" w:firstRow="1" w:lastRow="0" w:firstColumn="1" w:lastColumn="0" w:noHBand="0" w:noVBand="1"/>
      </w:tblPr>
      <w:tblGrid>
        <w:gridCol w:w="892"/>
        <w:gridCol w:w="7466"/>
      </w:tblGrid>
      <w:tr w:rsidR="003031E3" w:rsidRPr="003031E3" w:rsidTr="00EE5BC4">
        <w:trPr>
          <w:trHeight w:val="53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721548" w:rsidRPr="00721548"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Commercial</w:t>
            </w:r>
            <w:r w:rsidR="00721548">
              <w:rPr>
                <w:rFonts w:eastAsia="Times New Roman" w:cs="Arial"/>
                <w:color w:val="000000" w:themeColor="text1"/>
                <w:szCs w:val="22"/>
                <w:lang w:eastAsia="en-GB"/>
              </w:rPr>
              <w:t xml:space="preserve"> Directorate</w:t>
            </w:r>
          </w:p>
        </w:tc>
      </w:tr>
      <w:tr w:rsidR="003031E3" w:rsidRPr="003031E3" w:rsidTr="00EE5BC4">
        <w:trPr>
          <w:trHeight w:val="52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Contracted Employment Provision</w:t>
            </w:r>
          </w:p>
        </w:tc>
      </w:tr>
      <w:tr w:rsidR="003031E3" w:rsidRPr="003031E3" w:rsidTr="00EE5BC4">
        <w:trPr>
          <w:trHeight w:val="53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Corporate and Change Finance</w:t>
            </w:r>
          </w:p>
        </w:tc>
      </w:tr>
      <w:tr w:rsidR="003031E3" w:rsidRPr="003031E3" w:rsidTr="00EE5BC4">
        <w:trPr>
          <w:trHeight w:val="53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Debt Management</w:t>
            </w:r>
          </w:p>
        </w:tc>
      </w:tr>
      <w:tr w:rsidR="003031E3" w:rsidRPr="003031E3" w:rsidTr="00EE5BC4">
        <w:trPr>
          <w:trHeight w:val="53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Financial Control</w:t>
            </w:r>
          </w:p>
        </w:tc>
      </w:tr>
      <w:tr w:rsidR="003031E3" w:rsidRPr="003031E3" w:rsidTr="00EE5BC4">
        <w:trPr>
          <w:trHeight w:val="52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Financial Strategy &amp; Planning Directorate</w:t>
            </w:r>
          </w:p>
        </w:tc>
      </w:tr>
      <w:tr w:rsidR="003031E3" w:rsidRPr="003031E3" w:rsidTr="00EE5BC4">
        <w:trPr>
          <w:trHeight w:val="53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Health Services</w:t>
            </w:r>
          </w:p>
        </w:tc>
      </w:tr>
      <w:tr w:rsidR="003031E3" w:rsidRPr="003031E3" w:rsidTr="00EE5BC4">
        <w:trPr>
          <w:trHeight w:val="53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Housing Delivery and Operations Finance</w:t>
            </w:r>
          </w:p>
        </w:tc>
      </w:tr>
      <w:tr w:rsidR="003031E3" w:rsidRPr="003031E3" w:rsidTr="00EE5BC4">
        <w:trPr>
          <w:trHeight w:val="534"/>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Internal Audit and Investigations</w:t>
            </w:r>
          </w:p>
        </w:tc>
      </w:tr>
      <w:tr w:rsidR="003031E3" w:rsidRPr="003031E3" w:rsidTr="00EE5BC4">
        <w:trPr>
          <w:trHeight w:val="776"/>
          <w:tblCellSpacing w:w="0" w:type="dxa"/>
        </w:trPr>
        <w:tc>
          <w:tcPr>
            <w:tcW w:w="892" w:type="dxa"/>
            <w:hideMark/>
          </w:tcPr>
          <w:p w:rsidR="003031E3" w:rsidRPr="003031E3" w:rsidRDefault="003031E3" w:rsidP="00722394">
            <w:pPr>
              <w:spacing w:before="100" w:beforeAutospacing="1" w:after="100" w:afterAutospacing="1"/>
              <w:outlineLvl w:val="2"/>
              <w:rPr>
                <w:rFonts w:eastAsia="Times New Roman" w:cs="Arial"/>
                <w:b/>
                <w:bCs/>
                <w:szCs w:val="22"/>
                <w:lang w:eastAsia="en-GB"/>
              </w:rPr>
            </w:pPr>
          </w:p>
        </w:tc>
        <w:tc>
          <w:tcPr>
            <w:tcW w:w="7466" w:type="dxa"/>
            <w:hideMark/>
          </w:tcPr>
          <w:p w:rsidR="003031E3" w:rsidRPr="003031E3" w:rsidRDefault="003031E3" w:rsidP="008A4044">
            <w:pPr>
              <w:pStyle w:val="ListParagraph"/>
              <w:numPr>
                <w:ilvl w:val="0"/>
                <w:numId w:val="26"/>
              </w:numPr>
              <w:spacing w:before="100" w:beforeAutospacing="1" w:after="100" w:afterAutospacing="1"/>
              <w:rPr>
                <w:rFonts w:eastAsia="Times New Roman" w:cs="Arial"/>
                <w:color w:val="000000" w:themeColor="text1"/>
                <w:szCs w:val="22"/>
                <w:lang w:eastAsia="en-GB"/>
              </w:rPr>
            </w:pPr>
            <w:r w:rsidRPr="003031E3">
              <w:rPr>
                <w:rFonts w:eastAsia="Times New Roman" w:cs="Arial"/>
                <w:color w:val="000000" w:themeColor="text1"/>
                <w:szCs w:val="22"/>
                <w:lang w:eastAsia="en-GB"/>
              </w:rPr>
              <w:t xml:space="preserve">Performance Management &amp; Assurance Directorate which includes the Portfolio Management </w:t>
            </w:r>
          </w:p>
        </w:tc>
      </w:tr>
    </w:tbl>
    <w:p w:rsidR="00860C31" w:rsidRPr="00201778" w:rsidRDefault="00860C31" w:rsidP="00860C31">
      <w:pPr>
        <w:spacing w:before="100" w:beforeAutospacing="1" w:after="100" w:afterAutospacing="1"/>
        <w:ind w:left="720" w:hanging="720"/>
        <w:rPr>
          <w:rFonts w:eastAsia="Times New Roman" w:cs="Arial"/>
          <w:szCs w:val="22"/>
          <w:lang w:val="en" w:eastAsia="en-GB"/>
        </w:rPr>
      </w:pPr>
      <w:r w:rsidRPr="00201778">
        <w:rPr>
          <w:rFonts w:eastAsia="Times New Roman" w:cs="Arial"/>
          <w:sz w:val="24"/>
          <w:lang w:val="en" w:eastAsia="en-GB"/>
        </w:rPr>
        <w:t xml:space="preserve">1.2 </w:t>
      </w:r>
      <w:r w:rsidRPr="00201778">
        <w:rPr>
          <w:rFonts w:eastAsia="Times New Roman" w:cs="Arial"/>
          <w:sz w:val="24"/>
          <w:lang w:val="en" w:eastAsia="en-GB"/>
        </w:rPr>
        <w:tab/>
        <w:t xml:space="preserve">The </w:t>
      </w:r>
      <w:r w:rsidRPr="00201778">
        <w:rPr>
          <w:rFonts w:eastAsia="Times New Roman" w:cs="Arial"/>
          <w:szCs w:val="22"/>
          <w:lang w:val="en" w:eastAsia="en-GB"/>
        </w:rPr>
        <w:t xml:space="preserve">Finance Group has an important part of play in delivery of all of the DWP priorities; we do this by controlling costs, driving value and helping to keep the Department safe. To be truly effective we must fully embrace the concept of One DWP by working closely together with each other, our partners and stakeholders and respect and value each other. </w:t>
      </w:r>
    </w:p>
    <w:p w:rsidR="00860C31" w:rsidRPr="00201778" w:rsidRDefault="00860C31" w:rsidP="00860C31">
      <w:pPr>
        <w:spacing w:before="100" w:beforeAutospacing="1" w:after="100" w:afterAutospacing="1"/>
        <w:ind w:left="720"/>
        <w:rPr>
          <w:rFonts w:eastAsia="Times New Roman" w:cs="Arial"/>
          <w:szCs w:val="22"/>
          <w:lang w:val="en" w:eastAsia="en-GB"/>
        </w:rPr>
      </w:pPr>
      <w:r w:rsidRPr="00201778">
        <w:rPr>
          <w:rFonts w:eastAsia="Times New Roman" w:cs="Arial"/>
          <w:szCs w:val="22"/>
          <w:lang w:val="en" w:eastAsia="en-GB"/>
        </w:rPr>
        <w:t>We also aim to create a more confident and financially and commercially aware DWP by building capability and competency.</w:t>
      </w:r>
    </w:p>
    <w:p w:rsidR="00860C31" w:rsidRPr="00201778" w:rsidRDefault="00860C31" w:rsidP="00860C31">
      <w:pPr>
        <w:spacing w:before="100" w:beforeAutospacing="1" w:after="100" w:afterAutospacing="1"/>
        <w:ind w:left="720"/>
        <w:rPr>
          <w:rFonts w:eastAsia="Times New Roman" w:cs="Arial"/>
          <w:szCs w:val="22"/>
          <w:lang w:val="en" w:eastAsia="en-GB"/>
        </w:rPr>
      </w:pPr>
      <w:r w:rsidRPr="00201778">
        <w:rPr>
          <w:rFonts w:eastAsia="Times New Roman" w:cs="Arial"/>
          <w:szCs w:val="22"/>
          <w:lang w:val="en" w:eastAsia="en-GB"/>
        </w:rPr>
        <w:lastRenderedPageBreak/>
        <w:t>Our functions are broad and range from traditional financial and commercial management and control, information provision and assurance to delivery of more operational activities such as Debt Management.</w:t>
      </w:r>
    </w:p>
    <w:p w:rsidR="00860C31" w:rsidRPr="00201778" w:rsidRDefault="00860C31" w:rsidP="00860C31">
      <w:pPr>
        <w:pStyle w:val="Default"/>
        <w:ind w:left="720" w:hanging="720"/>
      </w:pPr>
      <w:r w:rsidRPr="00201778">
        <w:rPr>
          <w:szCs w:val="22"/>
          <w:lang w:val="en"/>
        </w:rPr>
        <w:t>1.3</w:t>
      </w:r>
      <w:r w:rsidRPr="00201778">
        <w:rPr>
          <w:szCs w:val="22"/>
          <w:lang w:val="en"/>
        </w:rPr>
        <w:tab/>
      </w:r>
      <w:r w:rsidRPr="00201778">
        <w:rPr>
          <w:sz w:val="22"/>
          <w:szCs w:val="22"/>
        </w:rPr>
        <w:t xml:space="preserve">Our people are professional, highly skilled, determined and dedicated to working with all of our partners and stakeholders to make ‘One DWP’ a continuing reality. </w:t>
      </w:r>
    </w:p>
    <w:p w:rsidR="00860C31" w:rsidRPr="00201778" w:rsidRDefault="00860C31" w:rsidP="00860C31">
      <w:pPr>
        <w:pStyle w:val="Default"/>
        <w:ind w:firstLine="720"/>
        <w:rPr>
          <w:sz w:val="22"/>
          <w:szCs w:val="22"/>
        </w:rPr>
      </w:pPr>
      <w:r w:rsidRPr="00201778">
        <w:rPr>
          <w:sz w:val="22"/>
          <w:szCs w:val="22"/>
        </w:rPr>
        <w:t xml:space="preserve">That is why we all constantly strive to live by our 6 FG values </w:t>
      </w:r>
    </w:p>
    <w:p w:rsidR="00860C31" w:rsidRPr="00201778" w:rsidRDefault="00860C31" w:rsidP="008A4044">
      <w:pPr>
        <w:pStyle w:val="Default"/>
        <w:numPr>
          <w:ilvl w:val="1"/>
          <w:numId w:val="26"/>
        </w:numPr>
        <w:spacing w:after="2"/>
        <w:rPr>
          <w:sz w:val="22"/>
          <w:szCs w:val="22"/>
        </w:rPr>
      </w:pPr>
      <w:r w:rsidRPr="00201778">
        <w:rPr>
          <w:sz w:val="22"/>
          <w:szCs w:val="22"/>
        </w:rPr>
        <w:t xml:space="preserve">To solve problems – not create them; </w:t>
      </w:r>
    </w:p>
    <w:p w:rsidR="00860C31" w:rsidRPr="00201778" w:rsidRDefault="00860C31" w:rsidP="008A4044">
      <w:pPr>
        <w:pStyle w:val="Default"/>
        <w:numPr>
          <w:ilvl w:val="1"/>
          <w:numId w:val="26"/>
        </w:numPr>
        <w:spacing w:after="2"/>
        <w:rPr>
          <w:sz w:val="22"/>
          <w:szCs w:val="22"/>
        </w:rPr>
      </w:pPr>
      <w:r w:rsidRPr="00201778">
        <w:rPr>
          <w:sz w:val="22"/>
          <w:szCs w:val="22"/>
        </w:rPr>
        <w:t xml:space="preserve">To act collaboratively – not in a silo; </w:t>
      </w:r>
    </w:p>
    <w:p w:rsidR="00860C31" w:rsidRPr="00201778" w:rsidRDefault="00860C31" w:rsidP="008A4044">
      <w:pPr>
        <w:pStyle w:val="Default"/>
        <w:numPr>
          <w:ilvl w:val="1"/>
          <w:numId w:val="26"/>
        </w:numPr>
        <w:spacing w:after="2"/>
        <w:rPr>
          <w:sz w:val="22"/>
          <w:szCs w:val="22"/>
        </w:rPr>
      </w:pPr>
      <w:r w:rsidRPr="00201778">
        <w:rPr>
          <w:sz w:val="22"/>
          <w:szCs w:val="22"/>
        </w:rPr>
        <w:t xml:space="preserve">To deliver continuous improvement – not rest on past achievements; </w:t>
      </w:r>
    </w:p>
    <w:p w:rsidR="00860C31" w:rsidRPr="00201778" w:rsidRDefault="00860C31" w:rsidP="008A4044">
      <w:pPr>
        <w:pStyle w:val="Default"/>
        <w:numPr>
          <w:ilvl w:val="1"/>
          <w:numId w:val="26"/>
        </w:numPr>
        <w:spacing w:after="2"/>
        <w:rPr>
          <w:sz w:val="22"/>
          <w:szCs w:val="22"/>
        </w:rPr>
      </w:pPr>
      <w:r w:rsidRPr="00201778">
        <w:rPr>
          <w:sz w:val="22"/>
          <w:szCs w:val="22"/>
        </w:rPr>
        <w:t xml:space="preserve">To be honest – and where necessary that means telling people things that they might not want to hear; </w:t>
      </w:r>
    </w:p>
    <w:p w:rsidR="00860C31" w:rsidRPr="00201778" w:rsidRDefault="00860C31" w:rsidP="008A4044">
      <w:pPr>
        <w:pStyle w:val="Default"/>
        <w:numPr>
          <w:ilvl w:val="1"/>
          <w:numId w:val="26"/>
        </w:numPr>
        <w:spacing w:after="2"/>
        <w:rPr>
          <w:sz w:val="22"/>
          <w:szCs w:val="22"/>
        </w:rPr>
      </w:pPr>
      <w:r w:rsidRPr="00201778">
        <w:rPr>
          <w:sz w:val="22"/>
          <w:szCs w:val="22"/>
        </w:rPr>
        <w:t xml:space="preserve">To be supportive and respectful of others; and </w:t>
      </w:r>
    </w:p>
    <w:p w:rsidR="00860C31" w:rsidRPr="00201778" w:rsidRDefault="00860C31" w:rsidP="008A4044">
      <w:pPr>
        <w:pStyle w:val="Default"/>
        <w:numPr>
          <w:ilvl w:val="1"/>
          <w:numId w:val="26"/>
        </w:numPr>
        <w:rPr>
          <w:sz w:val="22"/>
          <w:szCs w:val="22"/>
        </w:rPr>
      </w:pPr>
      <w:r w:rsidRPr="00201778">
        <w:rPr>
          <w:sz w:val="22"/>
          <w:szCs w:val="22"/>
        </w:rPr>
        <w:t xml:space="preserve">To embrace learning – both as a team and as individuals. </w:t>
      </w:r>
    </w:p>
    <w:p w:rsidR="00BD21D6" w:rsidRPr="00201778" w:rsidRDefault="00860C31" w:rsidP="00AA4ECA">
      <w:pPr>
        <w:spacing w:before="100" w:beforeAutospacing="1" w:after="100" w:afterAutospacing="1"/>
        <w:ind w:left="720" w:hanging="720"/>
        <w:rPr>
          <w:rFonts w:eastAsia="Times New Roman" w:cs="Arial"/>
          <w:szCs w:val="22"/>
          <w:lang w:val="en" w:eastAsia="en-GB"/>
        </w:rPr>
      </w:pPr>
      <w:r w:rsidRPr="00201778">
        <w:rPr>
          <w:rFonts w:eastAsia="Times New Roman" w:cs="Arial"/>
          <w:szCs w:val="22"/>
          <w:lang w:val="en" w:eastAsia="en-GB"/>
        </w:rPr>
        <w:t>1.4</w:t>
      </w:r>
      <w:r w:rsidRPr="00201778">
        <w:rPr>
          <w:rFonts w:eastAsia="Times New Roman" w:cs="Arial"/>
          <w:szCs w:val="22"/>
          <w:lang w:val="en" w:eastAsia="en-GB"/>
        </w:rPr>
        <w:tab/>
        <w:t xml:space="preserve">Within the Finance Group, the Commercial Directorate </w:t>
      </w:r>
      <w:r w:rsidR="005514CC" w:rsidRPr="00201778">
        <w:rPr>
          <w:rFonts w:eastAsia="Times New Roman" w:cs="Arial"/>
          <w:szCs w:val="22"/>
          <w:lang w:val="en" w:eastAsia="en-GB"/>
        </w:rPr>
        <w:t xml:space="preserve"> (CD) </w:t>
      </w:r>
      <w:r w:rsidRPr="00201778">
        <w:rPr>
          <w:rFonts w:eastAsia="Times New Roman" w:cs="Arial"/>
          <w:szCs w:val="22"/>
          <w:lang w:val="en" w:eastAsia="en-GB"/>
        </w:rPr>
        <w:t xml:space="preserve">has undergone significant changes and </w:t>
      </w:r>
      <w:r w:rsidRPr="00201778">
        <w:rPr>
          <w:rFonts w:cs="Arial"/>
          <w:szCs w:val="22"/>
        </w:rPr>
        <w:t>having focused on designing a new operating model the Commercial Directorate now wish to develop a compelling vision for CD supported by a cohesive mission statement with supporting values and culture.</w:t>
      </w:r>
    </w:p>
    <w:p w:rsidR="000C73A3" w:rsidRPr="00201778" w:rsidRDefault="000C73A3" w:rsidP="00FD080D">
      <w:pPr>
        <w:pStyle w:val="Heading1"/>
        <w:tabs>
          <w:tab w:val="clear" w:pos="720"/>
        </w:tabs>
        <w:overflowPunct w:val="0"/>
        <w:autoSpaceDE w:val="0"/>
        <w:autoSpaceDN w:val="0"/>
        <w:spacing w:after="120"/>
        <w:textAlignment w:val="baseline"/>
        <w:rPr>
          <w:rFonts w:cs="Arial"/>
          <w:szCs w:val="22"/>
        </w:rPr>
      </w:pPr>
      <w:bookmarkStart w:id="3" w:name="_Toc383464501"/>
      <w:bookmarkStart w:id="4" w:name="_Toc297554773"/>
      <w:bookmarkStart w:id="5" w:name="_Toc296415805"/>
      <w:bookmarkStart w:id="6" w:name="_Toc296415793"/>
      <w:bookmarkEnd w:id="1"/>
      <w:r w:rsidRPr="00201778">
        <w:rPr>
          <w:rFonts w:cs="Arial"/>
          <w:szCs w:val="22"/>
        </w:rPr>
        <w:t>background to the authority</w:t>
      </w:r>
      <w:bookmarkEnd w:id="3"/>
    </w:p>
    <w:p w:rsidR="00721548" w:rsidRPr="00201778" w:rsidRDefault="00AA4ECA" w:rsidP="00721548">
      <w:pPr>
        <w:ind w:left="720" w:hanging="720"/>
        <w:rPr>
          <w:rFonts w:cs="Arial"/>
          <w:szCs w:val="22"/>
          <w:lang w:eastAsia="en-GB"/>
        </w:rPr>
      </w:pPr>
      <w:r w:rsidRPr="00201778">
        <w:rPr>
          <w:rFonts w:cs="Arial"/>
          <w:szCs w:val="22"/>
        </w:rPr>
        <w:t>2</w:t>
      </w:r>
      <w:r w:rsidR="00721548" w:rsidRPr="00201778">
        <w:rPr>
          <w:rFonts w:cs="Arial"/>
          <w:szCs w:val="22"/>
        </w:rPr>
        <w:t>.1</w:t>
      </w:r>
      <w:r w:rsidR="00721548" w:rsidRPr="00201778">
        <w:rPr>
          <w:rFonts w:cs="Arial"/>
          <w:szCs w:val="22"/>
        </w:rPr>
        <w:tab/>
        <w:t>The Commercial Directorate is responsible for managing £3 billion</w:t>
      </w:r>
      <w:r w:rsidR="00721548" w:rsidRPr="00201778">
        <w:rPr>
          <w:rFonts w:cs="Arial"/>
          <w:szCs w:val="22"/>
          <w:lang w:eastAsia="en-GB"/>
        </w:rPr>
        <w:t xml:space="preserve"> annually on third party spend that supports the delivery of key services across the department (2014/15 £3,006.4m and 2015/16 forecast of £3,089.9m). The DWP pipeline is made up of some 647 contracts across 5 main category teams, comprising 85 contracts at the pre procurement stage; 36 contracts at the procurement stage and 526 contracts at the contract management stage. In the next 12 months, 61% of these contracts (321) will reach their current contract end date.  There are 225 suppliers represented in the pipeline.  </w:t>
      </w:r>
    </w:p>
    <w:p w:rsidR="00721548" w:rsidRPr="00201778" w:rsidRDefault="00721548" w:rsidP="00721548">
      <w:pPr>
        <w:rPr>
          <w:rFonts w:cs="Arial"/>
          <w:sz w:val="20"/>
          <w:szCs w:val="20"/>
          <w:lang w:eastAsia="en-GB"/>
        </w:rPr>
      </w:pPr>
    </w:p>
    <w:p w:rsidR="00721548" w:rsidRPr="00201778" w:rsidRDefault="00721548" w:rsidP="00721548">
      <w:pPr>
        <w:rPr>
          <w:rFonts w:cs="Arial"/>
          <w:sz w:val="20"/>
          <w:szCs w:val="20"/>
          <w:lang w:eastAsia="en-GB"/>
        </w:rPr>
      </w:pPr>
      <w:r w:rsidRPr="00201778">
        <w:rPr>
          <w:rFonts w:cs="Arial"/>
          <w:noProof/>
          <w:color w:val="FF0000"/>
          <w:lang w:eastAsia="en-GB"/>
        </w:rPr>
        <w:lastRenderedPageBreak/>
        <w:drawing>
          <wp:anchor distT="0" distB="0" distL="114300" distR="114300" simplePos="0" relativeHeight="251659264" behindDoc="0" locked="0" layoutInCell="1" allowOverlap="1">
            <wp:simplePos x="0" y="0"/>
            <wp:positionH relativeFrom="column">
              <wp:posOffset>-203835</wp:posOffset>
            </wp:positionH>
            <wp:positionV relativeFrom="paragraph">
              <wp:posOffset>-2540</wp:posOffset>
            </wp:positionV>
            <wp:extent cx="6648450" cy="4105275"/>
            <wp:effectExtent l="0" t="0" r="0" b="9525"/>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0" cy="410527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721548" w:rsidRPr="00201778" w:rsidRDefault="00721548" w:rsidP="00721548">
      <w:pPr>
        <w:rPr>
          <w:rFonts w:cs="Arial"/>
          <w:sz w:val="20"/>
          <w:szCs w:val="20"/>
          <w:lang w:eastAsia="en-GB"/>
        </w:rPr>
      </w:pPr>
    </w:p>
    <w:p w:rsidR="00E35542" w:rsidRPr="00201778" w:rsidRDefault="000C73A3" w:rsidP="00FD080D">
      <w:pPr>
        <w:pStyle w:val="Heading1"/>
        <w:tabs>
          <w:tab w:val="clear" w:pos="720"/>
        </w:tabs>
        <w:overflowPunct w:val="0"/>
        <w:autoSpaceDE w:val="0"/>
        <w:autoSpaceDN w:val="0"/>
        <w:spacing w:after="120"/>
        <w:textAlignment w:val="baseline"/>
        <w:rPr>
          <w:rFonts w:cs="Arial"/>
          <w:szCs w:val="22"/>
        </w:rPr>
      </w:pPr>
      <w:bookmarkStart w:id="7" w:name="_Toc383464502"/>
      <w:r w:rsidRPr="00201778">
        <w:rPr>
          <w:rFonts w:cs="Arial"/>
          <w:szCs w:val="22"/>
        </w:rPr>
        <w:t>Background to requirement/</w:t>
      </w:r>
      <w:r w:rsidR="002C546C" w:rsidRPr="00201778">
        <w:rPr>
          <w:rFonts w:cs="Arial"/>
          <w:szCs w:val="22"/>
        </w:rPr>
        <w:t>OVERVIEW</w:t>
      </w:r>
      <w:bookmarkEnd w:id="4"/>
      <w:r w:rsidRPr="00201778">
        <w:rPr>
          <w:rFonts w:cs="Arial"/>
          <w:szCs w:val="22"/>
        </w:rPr>
        <w:t xml:space="preserve"> of requirement</w:t>
      </w:r>
      <w:bookmarkEnd w:id="7"/>
    </w:p>
    <w:p w:rsidR="00721548" w:rsidRPr="00201778" w:rsidRDefault="00721548" w:rsidP="00721548">
      <w:pPr>
        <w:pStyle w:val="Heading2"/>
        <w:rPr>
          <w:rFonts w:cs="Arial"/>
          <w:lang w:eastAsia="en-GB"/>
        </w:rPr>
      </w:pPr>
      <w:bookmarkStart w:id="8" w:name="_Toc297554774"/>
      <w:bookmarkEnd w:id="5"/>
      <w:r w:rsidRPr="00201778">
        <w:rPr>
          <w:rFonts w:cs="Arial"/>
          <w:lang w:eastAsia="en-GB"/>
        </w:rPr>
        <w:t>Commercial Directorate (CD) has adopted a category management approach to commercial activity, to drive greater industry expertise in the key DWP commercial spend areas and to deliver a more end to end service to customers. The focus is on developing deeper industry knowledge to drive greater savings through new procurement activity or through re-negotiating and better management of existing contracts. This change in focus requires increased commercial skills and knowledge in specific key categories with an emphasis on understanding markets and suppliers to drive better deals through robust supplier management and negotiatio</w:t>
      </w:r>
      <w:bookmarkStart w:id="9" w:name="_GoBack"/>
      <w:bookmarkEnd w:id="9"/>
      <w:r w:rsidRPr="00201778">
        <w:rPr>
          <w:rFonts w:cs="Arial"/>
          <w:lang w:eastAsia="en-GB"/>
        </w:rPr>
        <w:t xml:space="preserve">ns. Category plans are in place covering all our sub categories and these are regularly reviewed as well as discussed with stakeholders.  </w:t>
      </w:r>
    </w:p>
    <w:p w:rsidR="00721548" w:rsidRPr="00201778" w:rsidRDefault="00721548" w:rsidP="00721548">
      <w:pPr>
        <w:pStyle w:val="Heading2"/>
        <w:rPr>
          <w:rFonts w:cs="Arial"/>
          <w:lang w:eastAsia="en-GB"/>
        </w:rPr>
      </w:pPr>
      <w:r w:rsidRPr="00201778">
        <w:rPr>
          <w:rFonts w:cs="Arial"/>
          <w:lang w:eastAsia="en-GB"/>
        </w:rPr>
        <w:t>The objective is that CD will be fully transformed by March 2017 into a smaller more strategic and experienced team with a different grade mix. The final stage of organisation design which includes a voluntary exit scheme and staff surpluses will lead u</w:t>
      </w:r>
      <w:r w:rsidR="006106D3" w:rsidRPr="00201778">
        <w:rPr>
          <w:rFonts w:cs="Arial"/>
          <w:lang w:eastAsia="en-GB"/>
        </w:rPr>
        <w:t>s to our final headcount target.</w:t>
      </w:r>
    </w:p>
    <w:p w:rsidR="006106D3" w:rsidRPr="00201778" w:rsidRDefault="006106D3" w:rsidP="00721548">
      <w:pPr>
        <w:pStyle w:val="Heading2"/>
        <w:rPr>
          <w:rFonts w:cs="Arial"/>
          <w:lang w:eastAsia="en-GB"/>
        </w:rPr>
      </w:pPr>
      <w:r w:rsidRPr="00201778">
        <w:rPr>
          <w:rFonts w:cs="Arial"/>
          <w:lang w:eastAsia="en-GB"/>
        </w:rPr>
        <w:t>CD will operate out of 5 key Hub Sites. These are:</w:t>
      </w:r>
    </w:p>
    <w:p w:rsidR="006106D3" w:rsidRPr="00201778" w:rsidRDefault="006106D3" w:rsidP="008A4044">
      <w:pPr>
        <w:pStyle w:val="Heading2"/>
        <w:numPr>
          <w:ilvl w:val="0"/>
          <w:numId w:val="27"/>
        </w:numPr>
        <w:rPr>
          <w:rFonts w:cs="Arial"/>
          <w:lang w:eastAsia="en-GB"/>
        </w:rPr>
      </w:pPr>
      <w:r w:rsidRPr="00201778">
        <w:rPr>
          <w:rFonts w:cs="Arial"/>
          <w:lang w:eastAsia="en-GB"/>
        </w:rPr>
        <w:t>London</w:t>
      </w:r>
    </w:p>
    <w:p w:rsidR="006106D3" w:rsidRPr="00201778" w:rsidRDefault="006106D3" w:rsidP="008A4044">
      <w:pPr>
        <w:pStyle w:val="Heading2"/>
        <w:numPr>
          <w:ilvl w:val="0"/>
          <w:numId w:val="27"/>
        </w:numPr>
        <w:rPr>
          <w:rFonts w:cs="Arial"/>
          <w:lang w:eastAsia="en-GB"/>
        </w:rPr>
      </w:pPr>
      <w:r w:rsidRPr="00201778">
        <w:rPr>
          <w:rFonts w:cs="Arial"/>
          <w:lang w:eastAsia="en-GB"/>
        </w:rPr>
        <w:t>Sheffield</w:t>
      </w:r>
    </w:p>
    <w:p w:rsidR="006106D3" w:rsidRPr="00201778" w:rsidRDefault="006106D3" w:rsidP="008A4044">
      <w:pPr>
        <w:pStyle w:val="Heading2"/>
        <w:numPr>
          <w:ilvl w:val="0"/>
          <w:numId w:val="27"/>
        </w:numPr>
        <w:rPr>
          <w:rFonts w:cs="Arial"/>
          <w:lang w:eastAsia="en-GB"/>
        </w:rPr>
      </w:pPr>
      <w:r w:rsidRPr="00201778">
        <w:rPr>
          <w:rFonts w:cs="Arial"/>
          <w:lang w:eastAsia="en-GB"/>
        </w:rPr>
        <w:lastRenderedPageBreak/>
        <w:t>Leeds</w:t>
      </w:r>
    </w:p>
    <w:p w:rsidR="006106D3" w:rsidRPr="00201778" w:rsidRDefault="006106D3" w:rsidP="008A4044">
      <w:pPr>
        <w:pStyle w:val="Heading2"/>
        <w:numPr>
          <w:ilvl w:val="0"/>
          <w:numId w:val="27"/>
        </w:numPr>
        <w:rPr>
          <w:rFonts w:cs="Arial"/>
          <w:lang w:eastAsia="en-GB"/>
        </w:rPr>
      </w:pPr>
      <w:r w:rsidRPr="00201778">
        <w:rPr>
          <w:rFonts w:cs="Arial"/>
          <w:lang w:eastAsia="en-GB"/>
        </w:rPr>
        <w:t>Warrington/Birchwood</w:t>
      </w:r>
    </w:p>
    <w:p w:rsidR="005F48EE" w:rsidRPr="00201778" w:rsidRDefault="006106D3" w:rsidP="005514CC">
      <w:pPr>
        <w:pStyle w:val="Heading2"/>
        <w:numPr>
          <w:ilvl w:val="0"/>
          <w:numId w:val="27"/>
        </w:numPr>
        <w:rPr>
          <w:rFonts w:cs="Arial"/>
          <w:lang w:eastAsia="en-GB"/>
        </w:rPr>
      </w:pPr>
      <w:r w:rsidRPr="00201778">
        <w:rPr>
          <w:rFonts w:cs="Arial"/>
          <w:lang w:eastAsia="en-GB"/>
        </w:rPr>
        <w:t>Blackpool</w:t>
      </w:r>
    </w:p>
    <w:p w:rsidR="005F48EE" w:rsidRPr="00201778" w:rsidRDefault="005514CC" w:rsidP="005514CC">
      <w:pPr>
        <w:ind w:left="720" w:hanging="720"/>
        <w:rPr>
          <w:rFonts w:cs="Arial"/>
        </w:rPr>
      </w:pPr>
      <w:r w:rsidRPr="00201778">
        <w:rPr>
          <w:rFonts w:cs="Arial"/>
        </w:rPr>
        <w:t xml:space="preserve">3.4 </w:t>
      </w:r>
      <w:r w:rsidRPr="00201778">
        <w:rPr>
          <w:rFonts w:cs="Arial"/>
        </w:rPr>
        <w:tab/>
        <w:t xml:space="preserve">The requirement is for the Contractor to understand CD and the journey we have gone through and where we are going. To engage with CD, to develop and </w:t>
      </w:r>
      <w:r w:rsidR="005F48EE" w:rsidRPr="00201778">
        <w:rPr>
          <w:rFonts w:cs="Arial"/>
        </w:rPr>
        <w:t xml:space="preserve">embed a </w:t>
      </w:r>
      <w:r w:rsidRPr="00201778">
        <w:rPr>
          <w:rFonts w:cs="Arial"/>
        </w:rPr>
        <w:t xml:space="preserve">new culture and </w:t>
      </w:r>
      <w:r w:rsidR="005F48EE" w:rsidRPr="00201778">
        <w:rPr>
          <w:rFonts w:cs="Arial"/>
        </w:rPr>
        <w:t>set of CD values</w:t>
      </w:r>
      <w:r w:rsidRPr="00201778">
        <w:rPr>
          <w:rFonts w:cs="Arial"/>
        </w:rPr>
        <w:t xml:space="preserve"> and behaviours</w:t>
      </w:r>
      <w:r w:rsidR="005F48EE" w:rsidRPr="00201778">
        <w:rPr>
          <w:rFonts w:cs="Arial"/>
        </w:rPr>
        <w:t xml:space="preserve"> i.e.(what does CD mean to us?)</w:t>
      </w:r>
    </w:p>
    <w:p w:rsidR="00AA4ECA" w:rsidRPr="00201778" w:rsidRDefault="005514CC" w:rsidP="00201778">
      <w:pPr>
        <w:ind w:left="720"/>
        <w:rPr>
          <w:rFonts w:cs="Arial"/>
          <w:highlight w:val="yellow"/>
        </w:rPr>
      </w:pPr>
      <w:r w:rsidRPr="00201778">
        <w:rPr>
          <w:rFonts w:cs="Arial"/>
        </w:rPr>
        <w:t>The desired outcome is that CD build a positive sense of team and</w:t>
      </w:r>
      <w:r w:rsidR="005F48EE" w:rsidRPr="00201778">
        <w:rPr>
          <w:rFonts w:cs="Arial"/>
        </w:rPr>
        <w:t xml:space="preserve"> belonging and ensure we support and challenge each other</w:t>
      </w:r>
      <w:r w:rsidRPr="00201778">
        <w:rPr>
          <w:rFonts w:cs="Arial"/>
        </w:rPr>
        <w:t>.</w:t>
      </w:r>
      <w:r w:rsidRPr="00201778">
        <w:rPr>
          <w:rFonts w:cs="Arial"/>
          <w:color w:val="1F497D"/>
        </w:rPr>
        <w:br/>
      </w:r>
    </w:p>
    <w:p w:rsidR="00FE00B8" w:rsidRDefault="00AA4ECA" w:rsidP="00FE00B8">
      <w:pPr>
        <w:pStyle w:val="Heading1"/>
        <w:rPr>
          <w:rFonts w:cs="Arial"/>
        </w:rPr>
      </w:pPr>
      <w:bookmarkStart w:id="10" w:name="_Toc383464500"/>
      <w:r w:rsidRPr="00FE00B8">
        <w:rPr>
          <w:rFonts w:cs="Arial"/>
        </w:rPr>
        <w:t>PURPOSE</w:t>
      </w:r>
      <w:bookmarkEnd w:id="10"/>
    </w:p>
    <w:p w:rsidR="00AA4ECA" w:rsidRPr="00FE00B8" w:rsidRDefault="006106D3" w:rsidP="00FE00B8">
      <w:pPr>
        <w:pStyle w:val="Heading2"/>
      </w:pPr>
      <w:r w:rsidRPr="00FE00B8">
        <w:rPr>
          <w:szCs w:val="22"/>
        </w:rPr>
        <w:t>CD</w:t>
      </w:r>
      <w:r w:rsidR="00AA4ECA" w:rsidRPr="00FE00B8">
        <w:rPr>
          <w:szCs w:val="22"/>
        </w:rPr>
        <w:t xml:space="preserve"> has a mixture of existing civil servants, new appointments and interims. </w:t>
      </w:r>
      <w:r w:rsidR="00AA4ECA" w:rsidRPr="00FE00B8">
        <w:t>A recent people survey highlighted a need to improve people engagement and given the scale of improvement needed – specialist support is required to change the culture.</w:t>
      </w:r>
      <w:r w:rsidR="00AA4ECA" w:rsidRPr="00FE00B8">
        <w:rPr>
          <w:szCs w:val="22"/>
        </w:rPr>
        <w:t xml:space="preserve"> </w:t>
      </w:r>
      <w:r w:rsidRPr="00FE00B8">
        <w:rPr>
          <w:szCs w:val="22"/>
        </w:rPr>
        <w:t>CD</w:t>
      </w:r>
      <w:r w:rsidR="00AA4ECA" w:rsidRPr="00FE00B8">
        <w:rPr>
          <w:szCs w:val="22"/>
        </w:rPr>
        <w:t xml:space="preserve"> need to develop a culture and </w:t>
      </w:r>
      <w:r w:rsidR="00EF7A1D" w:rsidRPr="00FE00B8">
        <w:rPr>
          <w:szCs w:val="22"/>
        </w:rPr>
        <w:t xml:space="preserve">set of </w:t>
      </w:r>
      <w:r w:rsidR="00AA4ECA" w:rsidRPr="00FE00B8">
        <w:rPr>
          <w:szCs w:val="22"/>
        </w:rPr>
        <w:t>values</w:t>
      </w:r>
      <w:r w:rsidR="00B66E17" w:rsidRPr="00FE00B8">
        <w:rPr>
          <w:szCs w:val="22"/>
        </w:rPr>
        <w:t xml:space="preserve"> and behaviours</w:t>
      </w:r>
      <w:r w:rsidR="00AA4ECA" w:rsidRPr="00FE00B8">
        <w:rPr>
          <w:szCs w:val="22"/>
        </w:rPr>
        <w:t xml:space="preserve"> that will bind us together as we move forward and complement wider </w:t>
      </w:r>
      <w:r w:rsidR="00EF7A1D" w:rsidRPr="00FE00B8">
        <w:rPr>
          <w:szCs w:val="22"/>
        </w:rPr>
        <w:t xml:space="preserve">DWP and </w:t>
      </w:r>
      <w:r w:rsidR="00AA4ECA" w:rsidRPr="00FE00B8">
        <w:rPr>
          <w:szCs w:val="22"/>
        </w:rPr>
        <w:t>Finance Group values (1.3 above).</w:t>
      </w:r>
    </w:p>
    <w:p w:rsidR="00820252" w:rsidRPr="00201778" w:rsidRDefault="00820252" w:rsidP="00820252">
      <w:pPr>
        <w:ind w:left="720" w:hanging="720"/>
        <w:rPr>
          <w:rFonts w:cs="Arial"/>
          <w:szCs w:val="22"/>
        </w:rPr>
      </w:pPr>
      <w:r w:rsidRPr="00201778">
        <w:rPr>
          <w:rFonts w:cs="Arial"/>
          <w:szCs w:val="22"/>
        </w:rPr>
        <w:t>4.2</w:t>
      </w:r>
      <w:r w:rsidRPr="00201778">
        <w:rPr>
          <w:rFonts w:cs="Arial"/>
          <w:szCs w:val="22"/>
        </w:rPr>
        <w:tab/>
      </w:r>
      <w:r w:rsidR="006106D3" w:rsidRPr="00201778">
        <w:rPr>
          <w:rFonts w:cs="Arial"/>
          <w:szCs w:val="22"/>
        </w:rPr>
        <w:t>CD</w:t>
      </w:r>
      <w:r w:rsidR="00AA4ECA" w:rsidRPr="00201778">
        <w:rPr>
          <w:rFonts w:cs="Arial"/>
          <w:szCs w:val="22"/>
        </w:rPr>
        <w:t xml:space="preserve"> is currently focussing resources to deliver commercial transformation and therefore needs to bring in external expertise to</w:t>
      </w:r>
      <w:r w:rsidRPr="00201778">
        <w:rPr>
          <w:rFonts w:cs="Arial"/>
          <w:szCs w:val="22"/>
        </w:rPr>
        <w:t xml:space="preserve"> consult with CD staff, design, launch</w:t>
      </w:r>
      <w:r w:rsidR="00B66E17" w:rsidRPr="00201778">
        <w:rPr>
          <w:rFonts w:cs="Arial"/>
          <w:szCs w:val="22"/>
        </w:rPr>
        <w:t xml:space="preserve">, </w:t>
      </w:r>
      <w:r w:rsidRPr="00201778">
        <w:rPr>
          <w:rFonts w:cs="Arial"/>
          <w:szCs w:val="22"/>
        </w:rPr>
        <w:t xml:space="preserve">implement and embed </w:t>
      </w:r>
      <w:r w:rsidR="006106D3" w:rsidRPr="00201778">
        <w:rPr>
          <w:rFonts w:cs="Arial"/>
          <w:szCs w:val="22"/>
        </w:rPr>
        <w:t>a new</w:t>
      </w:r>
      <w:r w:rsidR="006106D3" w:rsidRPr="00201778">
        <w:rPr>
          <w:rFonts w:cs="Arial"/>
          <w:sz w:val="20"/>
          <w:szCs w:val="20"/>
        </w:rPr>
        <w:t xml:space="preserve"> </w:t>
      </w:r>
      <w:r w:rsidRPr="00201778">
        <w:rPr>
          <w:rFonts w:cs="Arial"/>
          <w:szCs w:val="22"/>
        </w:rPr>
        <w:t xml:space="preserve">culture </w:t>
      </w:r>
      <w:r w:rsidR="006106D3" w:rsidRPr="00201778">
        <w:rPr>
          <w:rFonts w:cs="Arial"/>
          <w:szCs w:val="22"/>
        </w:rPr>
        <w:t>and vision</w:t>
      </w:r>
      <w:r w:rsidRPr="00201778">
        <w:rPr>
          <w:rFonts w:cs="Arial"/>
          <w:szCs w:val="22"/>
        </w:rPr>
        <w:t xml:space="preserve"> </w:t>
      </w:r>
      <w:r w:rsidR="006106D3" w:rsidRPr="00201778">
        <w:rPr>
          <w:rFonts w:cs="Arial"/>
          <w:szCs w:val="22"/>
        </w:rPr>
        <w:t>and</w:t>
      </w:r>
      <w:r w:rsidRPr="00201778">
        <w:rPr>
          <w:rFonts w:cs="Arial"/>
          <w:szCs w:val="22"/>
        </w:rPr>
        <w:t xml:space="preserve"> provide new capabilities and tools to embed </w:t>
      </w:r>
      <w:r w:rsidR="006106D3" w:rsidRPr="00201778">
        <w:rPr>
          <w:rFonts w:cs="Arial"/>
          <w:szCs w:val="22"/>
        </w:rPr>
        <w:t xml:space="preserve">long-term </w:t>
      </w:r>
      <w:r w:rsidRPr="00201778">
        <w:rPr>
          <w:rFonts w:cs="Arial"/>
          <w:szCs w:val="22"/>
        </w:rPr>
        <w:t>change</w:t>
      </w:r>
      <w:r w:rsidR="006106D3" w:rsidRPr="00201778">
        <w:rPr>
          <w:rFonts w:cs="Arial"/>
          <w:szCs w:val="22"/>
        </w:rPr>
        <w:t>.</w:t>
      </w:r>
    </w:p>
    <w:p w:rsidR="00820252" w:rsidRPr="00201778" w:rsidRDefault="00820252" w:rsidP="00820252">
      <w:pPr>
        <w:rPr>
          <w:rFonts w:cs="Arial"/>
          <w:szCs w:val="22"/>
        </w:rPr>
      </w:pPr>
    </w:p>
    <w:p w:rsidR="006106D3" w:rsidRPr="00201778" w:rsidRDefault="00820252" w:rsidP="006106D3">
      <w:pPr>
        <w:spacing w:after="200" w:line="276" w:lineRule="auto"/>
        <w:ind w:left="720" w:hanging="720"/>
        <w:contextualSpacing/>
        <w:rPr>
          <w:rFonts w:cs="Arial"/>
        </w:rPr>
      </w:pPr>
      <w:r w:rsidRPr="00201778">
        <w:rPr>
          <w:rFonts w:cs="Arial"/>
          <w:szCs w:val="22"/>
        </w:rPr>
        <w:t>4.3</w:t>
      </w:r>
      <w:r w:rsidRPr="00201778">
        <w:rPr>
          <w:rFonts w:cs="Arial"/>
          <w:szCs w:val="22"/>
        </w:rPr>
        <w:tab/>
      </w:r>
      <w:r w:rsidR="00AA4ECA" w:rsidRPr="00201778">
        <w:rPr>
          <w:rFonts w:cs="Arial"/>
          <w:szCs w:val="22"/>
        </w:rPr>
        <w:t xml:space="preserve">The timing is critical as CD will launch its new operating model on 4 April and </w:t>
      </w:r>
      <w:r w:rsidR="00851F6D" w:rsidRPr="00201778">
        <w:rPr>
          <w:rFonts w:cs="Arial"/>
          <w:szCs w:val="22"/>
        </w:rPr>
        <w:t>CD staff and new recruits and consultants will start to migrate into their new roles from this date. Therefore the</w:t>
      </w:r>
      <w:r w:rsidR="00AA4ECA" w:rsidRPr="00201778">
        <w:rPr>
          <w:rFonts w:cs="Arial"/>
          <w:szCs w:val="22"/>
        </w:rPr>
        <w:t xml:space="preserve"> programme </w:t>
      </w:r>
      <w:r w:rsidR="00851F6D" w:rsidRPr="00201778">
        <w:rPr>
          <w:rFonts w:cs="Arial"/>
          <w:szCs w:val="22"/>
        </w:rPr>
        <w:t>will need</w:t>
      </w:r>
      <w:r w:rsidR="00AA4ECA" w:rsidRPr="00201778">
        <w:rPr>
          <w:rFonts w:cs="Arial"/>
          <w:szCs w:val="22"/>
        </w:rPr>
        <w:t xml:space="preserve"> to run in para</w:t>
      </w:r>
      <w:r w:rsidR="006106D3" w:rsidRPr="00201778">
        <w:rPr>
          <w:rFonts w:cs="Arial"/>
          <w:szCs w:val="22"/>
        </w:rPr>
        <w:t xml:space="preserve">llel, culminating </w:t>
      </w:r>
      <w:r w:rsidR="006106D3" w:rsidRPr="00201778">
        <w:rPr>
          <w:rFonts w:cs="Arial"/>
        </w:rPr>
        <w:t>with a ‘Launch’ at the beginning of July 2016</w:t>
      </w:r>
      <w:r w:rsidR="00E977A4" w:rsidRPr="00201778">
        <w:rPr>
          <w:rFonts w:cs="Arial"/>
        </w:rPr>
        <w:t xml:space="preserve"> and post launch re</w:t>
      </w:r>
      <w:r w:rsidR="00B66E17" w:rsidRPr="00201778">
        <w:rPr>
          <w:rFonts w:cs="Arial"/>
        </w:rPr>
        <w:t>inforc</w:t>
      </w:r>
      <w:r w:rsidR="00E977A4" w:rsidRPr="00201778">
        <w:rPr>
          <w:rFonts w:cs="Arial"/>
        </w:rPr>
        <w:t>e</w:t>
      </w:r>
      <w:r w:rsidR="00B66E17" w:rsidRPr="00201778">
        <w:rPr>
          <w:rFonts w:cs="Arial"/>
        </w:rPr>
        <w:t>ment.</w:t>
      </w:r>
    </w:p>
    <w:p w:rsidR="00460E5D" w:rsidRPr="00201778" w:rsidRDefault="00DA54F8" w:rsidP="00460E5D">
      <w:pPr>
        <w:pStyle w:val="Heading1"/>
        <w:rPr>
          <w:rFonts w:cs="Arial"/>
        </w:rPr>
      </w:pPr>
      <w:bookmarkStart w:id="11" w:name="_Toc383464503"/>
      <w:bookmarkEnd w:id="6"/>
      <w:bookmarkEnd w:id="8"/>
      <w:r w:rsidRPr="00201778">
        <w:rPr>
          <w:rFonts w:cs="Arial"/>
        </w:rPr>
        <w:t xml:space="preserve">Scope of </w:t>
      </w:r>
      <w:r w:rsidR="00460E5D" w:rsidRPr="00201778">
        <w:rPr>
          <w:rFonts w:cs="Arial"/>
        </w:rPr>
        <w:t>Requirements</w:t>
      </w:r>
      <w:bookmarkEnd w:id="11"/>
    </w:p>
    <w:p w:rsidR="006106D3" w:rsidRDefault="00851F6D" w:rsidP="00EC4701">
      <w:pPr>
        <w:pStyle w:val="Heading2"/>
      </w:pPr>
      <w:r>
        <w:t xml:space="preserve">The Department is seeking to procure professional advice and expertise to support the CD Senior Management Team (CDSMT) to plan for and implement a new culture within CD. The new culture will be underpinned by a new set of values and behaviours, that all of CD will be required to sign up to. </w:t>
      </w:r>
    </w:p>
    <w:p w:rsidR="00851F6D" w:rsidRDefault="00D9482F" w:rsidP="00851F6D">
      <w:pPr>
        <w:pStyle w:val="Heading2"/>
      </w:pPr>
      <w:r>
        <w:t xml:space="preserve">The Contractor </w:t>
      </w:r>
      <w:r w:rsidR="00D31FED">
        <w:t>shall</w:t>
      </w:r>
      <w:r w:rsidR="00851F6D">
        <w:t xml:space="preserve"> be required to </w:t>
      </w:r>
      <w:r>
        <w:t xml:space="preserve">undertake </w:t>
      </w:r>
      <w:r w:rsidR="00036B48">
        <w:t>s</w:t>
      </w:r>
      <w:r w:rsidR="006106D3">
        <w:t>ession planning &amp; stimulus development with a core group of people who will contribute towards and help to drive this programme forward</w:t>
      </w:r>
      <w:r>
        <w:t>.</w:t>
      </w:r>
      <w:r w:rsidR="00851F6D">
        <w:t xml:space="preserve"> The Contractors expertise will be required to develop, support and deliver suitable products, activities and plans to </w:t>
      </w:r>
      <w:r w:rsidR="00D31FED">
        <w:t xml:space="preserve">ensure successful </w:t>
      </w:r>
      <w:r w:rsidR="00851F6D">
        <w:t>deliver</w:t>
      </w:r>
      <w:r w:rsidR="00D31FED">
        <w:t>y of</w:t>
      </w:r>
      <w:r w:rsidR="00851F6D">
        <w:t xml:space="preserve"> the overarching objective at 5.1 above.</w:t>
      </w:r>
    </w:p>
    <w:p w:rsidR="00D31FED" w:rsidRDefault="00D31FED" w:rsidP="00851F6D">
      <w:pPr>
        <w:pStyle w:val="Heading2"/>
      </w:pPr>
      <w:r>
        <w:t>The Contractor shall be required to develop robust implementation plans with task durations and state the products and activities that will be required.</w:t>
      </w:r>
    </w:p>
    <w:p w:rsidR="00EC4701" w:rsidRDefault="00D31FED" w:rsidP="00EC4701">
      <w:pPr>
        <w:pStyle w:val="Heading2"/>
        <w:numPr>
          <w:ilvl w:val="0"/>
          <w:numId w:val="0"/>
        </w:numPr>
        <w:ind w:left="720" w:hanging="720"/>
      </w:pPr>
      <w:r>
        <w:t>5.4</w:t>
      </w:r>
      <w:r w:rsidR="00EC4701">
        <w:tab/>
      </w:r>
      <w:r w:rsidR="00D9482F">
        <w:t>The Contractor will d</w:t>
      </w:r>
      <w:r w:rsidR="006106D3">
        <w:t>evelop a survey</w:t>
      </w:r>
      <w:r w:rsidR="00D9482F">
        <w:t xml:space="preserve"> or </w:t>
      </w:r>
      <w:r w:rsidR="00036B48">
        <w:t xml:space="preserve">utilise </w:t>
      </w:r>
      <w:r w:rsidR="00D9482F">
        <w:t>other industry best practice techniques</w:t>
      </w:r>
      <w:r w:rsidR="006106D3">
        <w:t xml:space="preserve"> in order to delve deeper into the thoughts, experiences and ideas of the wider CD workforce, building on the results of the recent employee survey</w:t>
      </w:r>
      <w:r w:rsidR="00D9482F">
        <w:t>.</w:t>
      </w:r>
      <w:r w:rsidR="00EC4701" w:rsidRPr="00EC4701">
        <w:t xml:space="preserve"> </w:t>
      </w:r>
      <w:r w:rsidR="00EC4701">
        <w:t>The Contractor will involve</w:t>
      </w:r>
      <w:r>
        <w:t xml:space="preserve"> and consult with a CD wide focus group.</w:t>
      </w:r>
    </w:p>
    <w:p w:rsidR="006106D3" w:rsidRDefault="00984DEA" w:rsidP="00984DEA">
      <w:pPr>
        <w:pStyle w:val="Heading2"/>
        <w:numPr>
          <w:ilvl w:val="0"/>
          <w:numId w:val="0"/>
        </w:numPr>
        <w:ind w:left="720" w:hanging="720"/>
      </w:pPr>
      <w:r>
        <w:lastRenderedPageBreak/>
        <w:t>5.5</w:t>
      </w:r>
      <w:r>
        <w:tab/>
      </w:r>
      <w:r w:rsidR="00D9482F" w:rsidRPr="00EC4701">
        <w:t xml:space="preserve">The </w:t>
      </w:r>
      <w:r w:rsidR="00D9482F">
        <w:t xml:space="preserve">Contractor </w:t>
      </w:r>
      <w:r w:rsidR="00D31FED">
        <w:t>shal</w:t>
      </w:r>
      <w:r w:rsidR="00D9482F">
        <w:t>l d</w:t>
      </w:r>
      <w:r w:rsidR="006106D3">
        <w:t xml:space="preserve">evelop staff engagement methods &amp; facilitate events to </w:t>
      </w:r>
      <w:r w:rsidR="00036B48">
        <w:t xml:space="preserve">draw out our </w:t>
      </w:r>
      <w:r>
        <w:t xml:space="preserve">culture, </w:t>
      </w:r>
      <w:r w:rsidR="00036B48">
        <w:t>values and the behavioural change required.</w:t>
      </w:r>
    </w:p>
    <w:p w:rsidR="00EC4701" w:rsidRDefault="00984DEA" w:rsidP="00984DEA">
      <w:pPr>
        <w:pStyle w:val="Heading2"/>
        <w:numPr>
          <w:ilvl w:val="0"/>
          <w:numId w:val="0"/>
        </w:numPr>
        <w:ind w:left="720" w:hanging="720"/>
      </w:pPr>
      <w:r>
        <w:t>5.6</w:t>
      </w:r>
      <w:r>
        <w:tab/>
      </w:r>
      <w:r w:rsidR="00AB5016">
        <w:t>This activity will culminate in the production of a CD lture, values and behaviours proposal. The proposal shall clearly define the culture DWP needs to establish and the behaviours and values that will support DWP’s new culture.</w:t>
      </w:r>
    </w:p>
    <w:p w:rsidR="006106D3" w:rsidRDefault="00984DEA" w:rsidP="00AB5016">
      <w:pPr>
        <w:pStyle w:val="Heading2"/>
        <w:numPr>
          <w:ilvl w:val="0"/>
          <w:numId w:val="0"/>
        </w:numPr>
        <w:ind w:left="720" w:hanging="720"/>
      </w:pPr>
      <w:r>
        <w:t>5.7</w:t>
      </w:r>
      <w:r>
        <w:tab/>
      </w:r>
      <w:r w:rsidR="00EC4701">
        <w:t xml:space="preserve">The Contractor shall </w:t>
      </w:r>
      <w:r w:rsidR="00D9482F">
        <w:t>r</w:t>
      </w:r>
      <w:r w:rsidR="006106D3">
        <w:t>un sessions with Senior Team to sign off</w:t>
      </w:r>
      <w:r w:rsidR="00AB5016">
        <w:t xml:space="preserve"> the new culture, values, behaviours and </w:t>
      </w:r>
      <w:r w:rsidR="006106D3">
        <w:t>mission &amp; vision</w:t>
      </w:r>
      <w:r w:rsidR="00AB5016">
        <w:t xml:space="preserve"> proposals</w:t>
      </w:r>
      <w:r w:rsidR="000B5E7A">
        <w:t>.</w:t>
      </w:r>
    </w:p>
    <w:p w:rsidR="006106D3" w:rsidRDefault="00AB5016" w:rsidP="00AB5016">
      <w:pPr>
        <w:pStyle w:val="Heading2"/>
        <w:numPr>
          <w:ilvl w:val="0"/>
          <w:numId w:val="0"/>
        </w:numPr>
        <w:ind w:left="720" w:hanging="720"/>
      </w:pPr>
      <w:r>
        <w:t>5.8</w:t>
      </w:r>
      <w:r>
        <w:tab/>
      </w:r>
      <w:r w:rsidR="00B66E17">
        <w:t>The Contractor shall</w:t>
      </w:r>
      <w:r w:rsidR="00EC4701">
        <w:t xml:space="preserve"> d</w:t>
      </w:r>
      <w:r w:rsidR="006106D3">
        <w:t xml:space="preserve">esign and develop appropriate tools to drive long-term culture change and </w:t>
      </w:r>
      <w:r w:rsidR="00EC4701">
        <w:t xml:space="preserve">proposals for </w:t>
      </w:r>
      <w:r w:rsidR="006106D3">
        <w:t>embedding the change.</w:t>
      </w:r>
    </w:p>
    <w:p w:rsidR="006106D3" w:rsidRDefault="00AB5016" w:rsidP="00AB5016">
      <w:pPr>
        <w:pStyle w:val="Heading2"/>
        <w:numPr>
          <w:ilvl w:val="0"/>
          <w:numId w:val="0"/>
        </w:numPr>
        <w:ind w:left="720" w:hanging="720"/>
      </w:pPr>
      <w:r>
        <w:t>5.9</w:t>
      </w:r>
      <w:r>
        <w:tab/>
      </w:r>
      <w:r w:rsidR="00EC4701">
        <w:t xml:space="preserve">The Contractor </w:t>
      </w:r>
      <w:r w:rsidR="00B66E17">
        <w:t>shall</w:t>
      </w:r>
      <w:r w:rsidR="00EC4701">
        <w:t xml:space="preserve"> d</w:t>
      </w:r>
      <w:r w:rsidR="006106D3">
        <w:t>esign</w:t>
      </w:r>
      <w:r w:rsidR="00EC4701">
        <w:t xml:space="preserve"> and </w:t>
      </w:r>
      <w:r>
        <w:t>support</w:t>
      </w:r>
      <w:r w:rsidR="006106D3">
        <w:t xml:space="preserve"> the activities</w:t>
      </w:r>
      <w:r>
        <w:t xml:space="preserve"> required</w:t>
      </w:r>
      <w:r w:rsidR="006106D3">
        <w:t xml:space="preserve"> </w:t>
      </w:r>
      <w:r w:rsidR="00EC4701">
        <w:t xml:space="preserve">for the CD </w:t>
      </w:r>
      <w:r w:rsidR="006106D3">
        <w:t xml:space="preserve">launch </w:t>
      </w:r>
      <w:r>
        <w:t>event</w:t>
      </w:r>
      <w:r w:rsidR="00EC4701" w:rsidRPr="00EC4701">
        <w:t xml:space="preserve"> </w:t>
      </w:r>
      <w:r w:rsidR="00531755">
        <w:t>in</w:t>
      </w:r>
      <w:r w:rsidR="00EC4701">
        <w:t xml:space="preserve"> July 2016, w</w:t>
      </w:r>
      <w:r w:rsidR="006106D3">
        <w:t>riting and designing the materials which all 300 employees will work through/experience</w:t>
      </w:r>
      <w:r w:rsidR="00EC4701">
        <w:t>.</w:t>
      </w:r>
    </w:p>
    <w:p w:rsidR="00036B48" w:rsidRPr="00036B48" w:rsidRDefault="00733110" w:rsidP="00733110">
      <w:pPr>
        <w:pStyle w:val="Heading1"/>
        <w:numPr>
          <w:ilvl w:val="0"/>
          <w:numId w:val="0"/>
        </w:numPr>
        <w:ind w:left="720" w:hanging="720"/>
        <w:rPr>
          <w:b w:val="0"/>
        </w:rPr>
      </w:pPr>
      <w:r>
        <w:rPr>
          <w:b w:val="0"/>
          <w:caps w:val="0"/>
        </w:rPr>
        <w:t>5.10</w:t>
      </w:r>
      <w:r>
        <w:rPr>
          <w:b w:val="0"/>
          <w:caps w:val="0"/>
        </w:rPr>
        <w:tab/>
      </w:r>
      <w:r w:rsidR="00036B48">
        <w:rPr>
          <w:b w:val="0"/>
          <w:caps w:val="0"/>
        </w:rPr>
        <w:t>The C</w:t>
      </w:r>
      <w:r w:rsidR="00B66E17">
        <w:rPr>
          <w:b w:val="0"/>
          <w:caps w:val="0"/>
        </w:rPr>
        <w:t>ontractor shall</w:t>
      </w:r>
      <w:r w:rsidR="00036B48" w:rsidRPr="00036B48">
        <w:rPr>
          <w:b w:val="0"/>
          <w:caps w:val="0"/>
        </w:rPr>
        <w:t xml:space="preserve"> facilitate </w:t>
      </w:r>
      <w:r>
        <w:rPr>
          <w:b w:val="0"/>
          <w:caps w:val="0"/>
        </w:rPr>
        <w:t xml:space="preserve">a series of </w:t>
      </w:r>
      <w:r w:rsidR="00B66E17">
        <w:rPr>
          <w:b w:val="0"/>
          <w:caps w:val="0"/>
        </w:rPr>
        <w:t>workshops that</w:t>
      </w:r>
      <w:r>
        <w:rPr>
          <w:b w:val="0"/>
          <w:caps w:val="0"/>
        </w:rPr>
        <w:t xml:space="preserve"> support CDSMT </w:t>
      </w:r>
      <w:r w:rsidR="00036B48" w:rsidRPr="00036B48">
        <w:rPr>
          <w:b w:val="0"/>
          <w:caps w:val="0"/>
        </w:rPr>
        <w:t xml:space="preserve">to embed </w:t>
      </w:r>
      <w:r>
        <w:rPr>
          <w:b w:val="0"/>
          <w:caps w:val="0"/>
        </w:rPr>
        <w:t xml:space="preserve">the new culture, </w:t>
      </w:r>
      <w:r w:rsidR="00036B48" w:rsidRPr="00036B48">
        <w:rPr>
          <w:b w:val="0"/>
          <w:caps w:val="0"/>
        </w:rPr>
        <w:t>behaviour</w:t>
      </w:r>
      <w:r>
        <w:rPr>
          <w:b w:val="0"/>
          <w:caps w:val="0"/>
        </w:rPr>
        <w:t xml:space="preserve">s and </w:t>
      </w:r>
      <w:r w:rsidR="00B66E17">
        <w:rPr>
          <w:b w:val="0"/>
          <w:caps w:val="0"/>
        </w:rPr>
        <w:t>values that will lead to an exit point</w:t>
      </w:r>
      <w:r w:rsidR="00036B48">
        <w:rPr>
          <w:b w:val="0"/>
          <w:caps w:val="0"/>
        </w:rPr>
        <w:t xml:space="preserve"> </w:t>
      </w:r>
      <w:r w:rsidR="00036B48" w:rsidRPr="00036B48">
        <w:rPr>
          <w:b w:val="0"/>
          <w:caps w:val="0"/>
        </w:rPr>
        <w:t>empower</w:t>
      </w:r>
      <w:r w:rsidR="00036B48">
        <w:rPr>
          <w:b w:val="0"/>
          <w:caps w:val="0"/>
        </w:rPr>
        <w:t>ing the</w:t>
      </w:r>
      <w:r w:rsidR="00036B48" w:rsidRPr="00036B48">
        <w:rPr>
          <w:b w:val="0"/>
          <w:caps w:val="0"/>
        </w:rPr>
        <w:t xml:space="preserve"> staff to make the change themselves and take person</w:t>
      </w:r>
      <w:r w:rsidR="00036B48">
        <w:rPr>
          <w:b w:val="0"/>
          <w:caps w:val="0"/>
        </w:rPr>
        <w:t>al responsibility for the change.</w:t>
      </w:r>
    </w:p>
    <w:p w:rsidR="00BD21D6" w:rsidRPr="00BE69E6" w:rsidRDefault="00733110" w:rsidP="00733110">
      <w:pPr>
        <w:pStyle w:val="Heading2"/>
        <w:numPr>
          <w:ilvl w:val="0"/>
          <w:numId w:val="0"/>
        </w:numPr>
        <w:ind w:left="709" w:hanging="709"/>
      </w:pPr>
      <w:r>
        <w:t>5.11</w:t>
      </w:r>
      <w:r>
        <w:tab/>
      </w:r>
      <w:r w:rsidR="00EC4701">
        <w:t>The Contractor will p</w:t>
      </w:r>
      <w:r w:rsidR="006106D3">
        <w:t xml:space="preserve">roduce </w:t>
      </w:r>
      <w:r w:rsidR="00EC4701">
        <w:t xml:space="preserve">a </w:t>
      </w:r>
      <w:r w:rsidR="006106D3">
        <w:t xml:space="preserve">set of embedding tools for CD to </w:t>
      </w:r>
      <w:r>
        <w:t>own, roll-</w:t>
      </w:r>
      <w:r w:rsidR="006106D3">
        <w:t xml:space="preserve">out </w:t>
      </w:r>
      <w:r>
        <w:t xml:space="preserve">and enable re-use </w:t>
      </w:r>
      <w:r w:rsidR="006106D3">
        <w:t>post launch</w:t>
      </w:r>
      <w:r w:rsidR="00EC4701">
        <w:t>.</w:t>
      </w:r>
      <w:r w:rsidR="005514CC" w:rsidRPr="005F48EE">
        <w:rPr>
          <w:color w:val="1F497D"/>
        </w:rPr>
        <w:t xml:space="preserve"> </w:t>
      </w:r>
    </w:p>
    <w:p w:rsidR="00A028E8" w:rsidRDefault="00A028E8" w:rsidP="00FD080D">
      <w:pPr>
        <w:pStyle w:val="Heading1"/>
        <w:tabs>
          <w:tab w:val="clear" w:pos="720"/>
          <w:tab w:val="num" w:pos="0"/>
        </w:tabs>
        <w:overflowPunct w:val="0"/>
        <w:autoSpaceDE w:val="0"/>
        <w:autoSpaceDN w:val="0"/>
        <w:spacing w:after="120"/>
        <w:ind w:left="709" w:hanging="709"/>
        <w:textAlignment w:val="baseline"/>
        <w:rPr>
          <w:rFonts w:cs="Arial"/>
          <w:szCs w:val="22"/>
        </w:rPr>
      </w:pPr>
      <w:bookmarkStart w:id="12" w:name="_Toc302637211"/>
      <w:bookmarkStart w:id="13" w:name="_Toc383464504"/>
      <w:r w:rsidRPr="004E1D36">
        <w:rPr>
          <w:rFonts w:cs="Arial"/>
          <w:szCs w:val="22"/>
        </w:rPr>
        <w:t>service levels a</w:t>
      </w:r>
      <w:r>
        <w:rPr>
          <w:rFonts w:cs="Arial"/>
          <w:szCs w:val="22"/>
        </w:rPr>
        <w:t>nd performance</w:t>
      </w:r>
      <w:bookmarkEnd w:id="12"/>
      <w:bookmarkEnd w:id="13"/>
    </w:p>
    <w:p w:rsidR="00453D4F" w:rsidRDefault="00453D4F" w:rsidP="00FD080D">
      <w:pPr>
        <w:pStyle w:val="Heading2"/>
        <w:tabs>
          <w:tab w:val="clear" w:pos="720"/>
          <w:tab w:val="num" w:pos="132"/>
        </w:tabs>
        <w:overflowPunct w:val="0"/>
        <w:autoSpaceDE w:val="0"/>
        <w:autoSpaceDN w:val="0"/>
        <w:spacing w:after="120"/>
        <w:ind w:left="709" w:hanging="709"/>
        <w:textAlignment w:val="baseline"/>
      </w:pPr>
      <w:r>
        <w:t xml:space="preserve">The Authority will measure the quality of the </w:t>
      </w:r>
      <w:r w:rsidR="00FD080D">
        <w:t xml:space="preserve">Supplier’s </w:t>
      </w:r>
      <w:r>
        <w:t>delivery by:</w:t>
      </w:r>
    </w:p>
    <w:p w:rsidR="00764B11" w:rsidRPr="00FC15AD" w:rsidRDefault="00764B11" w:rsidP="00201778">
      <w:pPr>
        <w:pStyle w:val="Heading3"/>
        <w:numPr>
          <w:ilvl w:val="0"/>
          <w:numId w:val="0"/>
        </w:numPr>
        <w:spacing w:after="120"/>
        <w:ind w:left="720"/>
        <w:rPr>
          <w:b/>
        </w:rPr>
      </w:pPr>
      <w:r w:rsidRPr="00FC15AD">
        <w:t>The Plan as at the Effective Date is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076"/>
        <w:gridCol w:w="1327"/>
        <w:gridCol w:w="1176"/>
      </w:tblGrid>
      <w:tr w:rsidR="00B66E17" w:rsidRPr="009F6433" w:rsidTr="0024589B">
        <w:trPr>
          <w:trHeight w:val="676"/>
          <w:tblHeader/>
        </w:trPr>
        <w:tc>
          <w:tcPr>
            <w:tcW w:w="1440" w:type="dxa"/>
            <w:tcBorders>
              <w:bottom w:val="single" w:sz="4" w:space="0" w:color="auto"/>
            </w:tcBorders>
          </w:tcPr>
          <w:p w:rsidR="000E19FD" w:rsidRPr="00FC15AD" w:rsidRDefault="000E19FD" w:rsidP="00941019">
            <w:pPr>
              <w:pStyle w:val="MarginText"/>
              <w:rPr>
                <w:rFonts w:cs="Arial"/>
                <w:sz w:val="20"/>
              </w:rPr>
            </w:pPr>
            <w:r w:rsidRPr="00FC15AD">
              <w:rPr>
                <w:rFonts w:cs="Arial"/>
                <w:sz w:val="20"/>
              </w:rPr>
              <w:lastRenderedPageBreak/>
              <w:t>Milestone</w:t>
            </w:r>
          </w:p>
        </w:tc>
        <w:tc>
          <w:tcPr>
            <w:tcW w:w="5076" w:type="dxa"/>
            <w:tcBorders>
              <w:bottom w:val="single" w:sz="4" w:space="0" w:color="auto"/>
            </w:tcBorders>
          </w:tcPr>
          <w:p w:rsidR="000E19FD" w:rsidRPr="00FC15AD" w:rsidRDefault="000E19FD" w:rsidP="0024589B">
            <w:pPr>
              <w:pStyle w:val="MarginText"/>
              <w:rPr>
                <w:rFonts w:cs="Arial"/>
                <w:sz w:val="20"/>
              </w:rPr>
            </w:pPr>
            <w:r w:rsidRPr="00FC15AD">
              <w:rPr>
                <w:rFonts w:cs="Arial"/>
                <w:sz w:val="20"/>
              </w:rPr>
              <w:t>Deliverables</w:t>
            </w:r>
          </w:p>
        </w:tc>
        <w:tc>
          <w:tcPr>
            <w:tcW w:w="1327" w:type="dxa"/>
            <w:tcBorders>
              <w:bottom w:val="single" w:sz="4" w:space="0" w:color="auto"/>
            </w:tcBorders>
          </w:tcPr>
          <w:p w:rsidR="000E19FD" w:rsidRPr="00FC15AD" w:rsidRDefault="000E19FD" w:rsidP="0024589B">
            <w:pPr>
              <w:pStyle w:val="MarginText"/>
              <w:rPr>
                <w:rFonts w:cs="Arial"/>
                <w:sz w:val="20"/>
              </w:rPr>
            </w:pPr>
            <w:r w:rsidRPr="00FC15AD">
              <w:rPr>
                <w:rFonts w:cs="Arial"/>
                <w:sz w:val="20"/>
              </w:rPr>
              <w:t>Duration</w:t>
            </w:r>
            <w:r w:rsidR="0024589B">
              <w:rPr>
                <w:rFonts w:cs="Arial"/>
                <w:sz w:val="20"/>
              </w:rPr>
              <w:t xml:space="preserve"> </w:t>
            </w:r>
            <w:r w:rsidRPr="00FC15AD">
              <w:rPr>
                <w:rFonts w:cs="Arial"/>
                <w:sz w:val="20"/>
              </w:rPr>
              <w:t>(Working Days)</w:t>
            </w:r>
          </w:p>
        </w:tc>
        <w:tc>
          <w:tcPr>
            <w:tcW w:w="0" w:type="auto"/>
            <w:tcBorders>
              <w:bottom w:val="single" w:sz="4" w:space="0" w:color="auto"/>
            </w:tcBorders>
          </w:tcPr>
          <w:p w:rsidR="000E19FD" w:rsidRPr="00FC15AD" w:rsidRDefault="000E19FD" w:rsidP="00941019">
            <w:pPr>
              <w:pStyle w:val="MarginText"/>
              <w:rPr>
                <w:rFonts w:cs="Arial"/>
                <w:sz w:val="20"/>
              </w:rPr>
            </w:pPr>
            <w:r w:rsidRPr="00FC15AD">
              <w:rPr>
                <w:rFonts w:cs="Arial"/>
                <w:sz w:val="20"/>
              </w:rPr>
              <w:t>Milestone Date</w:t>
            </w:r>
          </w:p>
        </w:tc>
      </w:tr>
      <w:tr w:rsidR="00B66E17" w:rsidRPr="009F6433" w:rsidTr="0024589B">
        <w:trPr>
          <w:tblHeader/>
        </w:trPr>
        <w:tc>
          <w:tcPr>
            <w:tcW w:w="1440" w:type="dxa"/>
            <w:tcBorders>
              <w:bottom w:val="single" w:sz="4" w:space="0" w:color="auto"/>
            </w:tcBorders>
          </w:tcPr>
          <w:p w:rsidR="000E19FD" w:rsidRPr="00EF7A1D" w:rsidRDefault="000E19FD" w:rsidP="0024589B">
            <w:pPr>
              <w:pStyle w:val="MarginText"/>
              <w:jc w:val="left"/>
              <w:rPr>
                <w:rFonts w:cs="Arial"/>
                <w:szCs w:val="22"/>
              </w:rPr>
            </w:pPr>
            <w:r w:rsidRPr="00EF7A1D">
              <w:rPr>
                <w:rFonts w:cs="Arial"/>
                <w:szCs w:val="22"/>
              </w:rPr>
              <w:t>Programme set up</w:t>
            </w:r>
          </w:p>
        </w:tc>
        <w:tc>
          <w:tcPr>
            <w:tcW w:w="5076" w:type="dxa"/>
            <w:tcBorders>
              <w:bottom w:val="single" w:sz="4" w:space="0" w:color="auto"/>
            </w:tcBorders>
          </w:tcPr>
          <w:p w:rsidR="000E19FD" w:rsidRDefault="000E19FD" w:rsidP="000B5E7A">
            <w:pPr>
              <w:spacing w:after="200" w:line="276" w:lineRule="auto"/>
              <w:ind w:left="720" w:hanging="720"/>
              <w:contextualSpacing/>
            </w:pPr>
            <w:r>
              <w:t>planning &amp; stimulus</w:t>
            </w:r>
          </w:p>
          <w:p w:rsidR="000E19FD" w:rsidRPr="000B5E7A" w:rsidRDefault="000E19FD" w:rsidP="000B5E7A">
            <w:pPr>
              <w:spacing w:after="200" w:line="276" w:lineRule="auto"/>
              <w:contextualSpacing/>
            </w:pPr>
            <w:r>
              <w:t>development with a core group of people who will contribute towards and help to drive this programme forward.</w:t>
            </w:r>
          </w:p>
        </w:tc>
        <w:tc>
          <w:tcPr>
            <w:tcW w:w="1327" w:type="dxa"/>
            <w:tcBorders>
              <w:bottom w:val="single" w:sz="4" w:space="0" w:color="auto"/>
            </w:tcBorders>
          </w:tcPr>
          <w:p w:rsidR="000E19FD" w:rsidRPr="00FC15AD" w:rsidRDefault="000E19FD" w:rsidP="00941019">
            <w:pPr>
              <w:pStyle w:val="MarginText"/>
              <w:rPr>
                <w:rFonts w:cs="Arial"/>
                <w:sz w:val="20"/>
              </w:rPr>
            </w:pPr>
          </w:p>
        </w:tc>
        <w:tc>
          <w:tcPr>
            <w:tcW w:w="0" w:type="auto"/>
            <w:tcBorders>
              <w:bottom w:val="single" w:sz="4" w:space="0" w:color="auto"/>
            </w:tcBorders>
          </w:tcPr>
          <w:p w:rsidR="000E19FD" w:rsidRPr="00FC15AD" w:rsidRDefault="00D60CC8" w:rsidP="00941019">
            <w:pPr>
              <w:pStyle w:val="MarginText"/>
              <w:rPr>
                <w:rFonts w:cs="Arial"/>
                <w:sz w:val="20"/>
              </w:rPr>
            </w:pPr>
            <w:r>
              <w:rPr>
                <w:rFonts w:cs="Arial"/>
                <w:sz w:val="20"/>
              </w:rPr>
              <w:t>April 2016</w:t>
            </w:r>
          </w:p>
        </w:tc>
      </w:tr>
      <w:tr w:rsidR="00B66E17" w:rsidRPr="009F6433" w:rsidTr="0024589B">
        <w:trPr>
          <w:tblHeader/>
        </w:trPr>
        <w:tc>
          <w:tcPr>
            <w:tcW w:w="1440" w:type="dxa"/>
            <w:tcBorders>
              <w:bottom w:val="single" w:sz="4" w:space="0" w:color="auto"/>
            </w:tcBorders>
          </w:tcPr>
          <w:p w:rsidR="000E19FD" w:rsidRPr="00EF7A1D" w:rsidRDefault="000E19FD" w:rsidP="0024589B">
            <w:pPr>
              <w:pStyle w:val="MarginText"/>
              <w:jc w:val="left"/>
              <w:rPr>
                <w:rFonts w:cs="Arial"/>
                <w:szCs w:val="22"/>
              </w:rPr>
            </w:pPr>
            <w:r w:rsidRPr="00EF7A1D">
              <w:rPr>
                <w:rFonts w:cs="Arial"/>
                <w:szCs w:val="22"/>
              </w:rPr>
              <w:t>Staff engagement</w:t>
            </w:r>
          </w:p>
        </w:tc>
        <w:tc>
          <w:tcPr>
            <w:tcW w:w="5076" w:type="dxa"/>
            <w:tcBorders>
              <w:bottom w:val="single" w:sz="4" w:space="0" w:color="auto"/>
            </w:tcBorders>
          </w:tcPr>
          <w:p w:rsidR="000E19FD" w:rsidRDefault="000E19FD" w:rsidP="0024589B">
            <w:pPr>
              <w:spacing w:after="200" w:line="276" w:lineRule="auto"/>
              <w:ind w:left="7" w:hanging="7"/>
              <w:contextualSpacing/>
            </w:pPr>
            <w:r>
              <w:t xml:space="preserve">Engage with all CD staff to draw out our </w:t>
            </w:r>
            <w:r w:rsidR="0024589B">
              <w:t xml:space="preserve">Culture, </w:t>
            </w:r>
            <w:r>
              <w:t>values and the behavioural change required</w:t>
            </w:r>
          </w:p>
        </w:tc>
        <w:tc>
          <w:tcPr>
            <w:tcW w:w="1327" w:type="dxa"/>
            <w:tcBorders>
              <w:bottom w:val="single" w:sz="4" w:space="0" w:color="auto"/>
            </w:tcBorders>
          </w:tcPr>
          <w:p w:rsidR="000E19FD" w:rsidRPr="00FC15AD" w:rsidRDefault="000E19FD" w:rsidP="00941019">
            <w:pPr>
              <w:pStyle w:val="MarginText"/>
              <w:rPr>
                <w:rFonts w:cs="Arial"/>
                <w:sz w:val="20"/>
              </w:rPr>
            </w:pPr>
          </w:p>
        </w:tc>
        <w:tc>
          <w:tcPr>
            <w:tcW w:w="0" w:type="auto"/>
            <w:tcBorders>
              <w:bottom w:val="single" w:sz="4" w:space="0" w:color="auto"/>
            </w:tcBorders>
          </w:tcPr>
          <w:p w:rsidR="000E19FD" w:rsidRPr="00FC15AD" w:rsidRDefault="00D60CC8" w:rsidP="00941019">
            <w:pPr>
              <w:pStyle w:val="MarginText"/>
              <w:rPr>
                <w:rFonts w:cs="Arial"/>
                <w:sz w:val="20"/>
              </w:rPr>
            </w:pPr>
            <w:r>
              <w:rPr>
                <w:rFonts w:cs="Arial"/>
                <w:sz w:val="20"/>
              </w:rPr>
              <w:t>April 2016 Onwards</w:t>
            </w:r>
          </w:p>
        </w:tc>
      </w:tr>
      <w:tr w:rsidR="00B66E17" w:rsidRPr="009F6433" w:rsidTr="0024589B">
        <w:trPr>
          <w:tblHeader/>
        </w:trPr>
        <w:tc>
          <w:tcPr>
            <w:tcW w:w="1440" w:type="dxa"/>
            <w:tcBorders>
              <w:bottom w:val="single" w:sz="4" w:space="0" w:color="auto"/>
            </w:tcBorders>
          </w:tcPr>
          <w:p w:rsidR="000E19FD" w:rsidRPr="00EF7A1D" w:rsidRDefault="000E19FD" w:rsidP="0024589B">
            <w:pPr>
              <w:pStyle w:val="MarginText"/>
              <w:jc w:val="left"/>
              <w:rPr>
                <w:rFonts w:cs="Arial"/>
                <w:szCs w:val="22"/>
              </w:rPr>
            </w:pPr>
            <w:r>
              <w:rPr>
                <w:rFonts w:cs="Arial"/>
                <w:szCs w:val="22"/>
              </w:rPr>
              <w:t>Mission and Vision</w:t>
            </w:r>
          </w:p>
        </w:tc>
        <w:tc>
          <w:tcPr>
            <w:tcW w:w="5076" w:type="dxa"/>
            <w:tcBorders>
              <w:bottom w:val="single" w:sz="4" w:space="0" w:color="auto"/>
            </w:tcBorders>
          </w:tcPr>
          <w:p w:rsidR="000E19FD" w:rsidRPr="00B66E17" w:rsidRDefault="00B66E17" w:rsidP="000B5E7A">
            <w:pPr>
              <w:spacing w:after="200" w:line="276" w:lineRule="auto"/>
              <w:ind w:left="720" w:hanging="720"/>
              <w:contextualSpacing/>
            </w:pPr>
            <w:r>
              <w:t>D</w:t>
            </w:r>
            <w:r w:rsidR="000E19FD" w:rsidRPr="00B66E17">
              <w:t>raft a staff led mission and vision for CD</w:t>
            </w:r>
          </w:p>
        </w:tc>
        <w:tc>
          <w:tcPr>
            <w:tcW w:w="1327" w:type="dxa"/>
            <w:tcBorders>
              <w:bottom w:val="single" w:sz="4" w:space="0" w:color="auto"/>
            </w:tcBorders>
          </w:tcPr>
          <w:p w:rsidR="000E19FD" w:rsidRPr="00FC15AD" w:rsidRDefault="000E19FD" w:rsidP="00941019">
            <w:pPr>
              <w:pStyle w:val="MarginText"/>
              <w:rPr>
                <w:rFonts w:cs="Arial"/>
                <w:sz w:val="20"/>
              </w:rPr>
            </w:pPr>
          </w:p>
        </w:tc>
        <w:tc>
          <w:tcPr>
            <w:tcW w:w="0" w:type="auto"/>
            <w:tcBorders>
              <w:bottom w:val="single" w:sz="4" w:space="0" w:color="auto"/>
            </w:tcBorders>
          </w:tcPr>
          <w:p w:rsidR="000E19FD" w:rsidRPr="00FC15AD" w:rsidRDefault="00D60CC8" w:rsidP="00941019">
            <w:pPr>
              <w:pStyle w:val="MarginText"/>
              <w:rPr>
                <w:rFonts w:cs="Arial"/>
                <w:sz w:val="20"/>
              </w:rPr>
            </w:pPr>
            <w:r>
              <w:rPr>
                <w:rFonts w:cs="Arial"/>
                <w:sz w:val="20"/>
              </w:rPr>
              <w:t>May Onwards</w:t>
            </w:r>
          </w:p>
        </w:tc>
      </w:tr>
      <w:tr w:rsidR="00B66E17" w:rsidRPr="009F6433" w:rsidTr="0024589B">
        <w:trPr>
          <w:tblHeader/>
        </w:trPr>
        <w:tc>
          <w:tcPr>
            <w:tcW w:w="1440" w:type="dxa"/>
            <w:tcBorders>
              <w:bottom w:val="single" w:sz="4" w:space="0" w:color="auto"/>
            </w:tcBorders>
          </w:tcPr>
          <w:p w:rsidR="000E19FD" w:rsidRDefault="000E19FD" w:rsidP="0024589B">
            <w:pPr>
              <w:pStyle w:val="MarginText"/>
              <w:jc w:val="left"/>
              <w:rPr>
                <w:rFonts w:cs="Arial"/>
                <w:szCs w:val="22"/>
              </w:rPr>
            </w:pPr>
            <w:r>
              <w:rPr>
                <w:rFonts w:cs="Arial"/>
                <w:szCs w:val="22"/>
              </w:rPr>
              <w:t>CD Values and Behaviours draft</w:t>
            </w:r>
          </w:p>
        </w:tc>
        <w:tc>
          <w:tcPr>
            <w:tcW w:w="5076" w:type="dxa"/>
            <w:tcBorders>
              <w:bottom w:val="single" w:sz="4" w:space="0" w:color="auto"/>
            </w:tcBorders>
          </w:tcPr>
          <w:p w:rsidR="000E19FD" w:rsidRPr="00EF7A1D" w:rsidRDefault="00B66E17" w:rsidP="0024589B">
            <w:pPr>
              <w:spacing w:after="200" w:line="276" w:lineRule="auto"/>
              <w:ind w:left="7" w:hanging="7"/>
              <w:contextualSpacing/>
              <w:rPr>
                <w:i/>
              </w:rPr>
            </w:pPr>
            <w:r>
              <w:t>P</w:t>
            </w:r>
            <w:r w:rsidR="000E19FD">
              <w:t xml:space="preserve">roduction of a CD </w:t>
            </w:r>
            <w:r>
              <w:t xml:space="preserve">Culture, </w:t>
            </w:r>
            <w:r w:rsidR="000E19FD">
              <w:t>values and behaviours proposal</w:t>
            </w:r>
          </w:p>
        </w:tc>
        <w:tc>
          <w:tcPr>
            <w:tcW w:w="1327" w:type="dxa"/>
            <w:tcBorders>
              <w:bottom w:val="single" w:sz="4" w:space="0" w:color="auto"/>
            </w:tcBorders>
          </w:tcPr>
          <w:p w:rsidR="000E19FD" w:rsidRPr="00FC15AD" w:rsidRDefault="000E19FD" w:rsidP="00941019">
            <w:pPr>
              <w:pStyle w:val="MarginText"/>
              <w:rPr>
                <w:rFonts w:cs="Arial"/>
                <w:sz w:val="20"/>
              </w:rPr>
            </w:pPr>
          </w:p>
        </w:tc>
        <w:tc>
          <w:tcPr>
            <w:tcW w:w="0" w:type="auto"/>
            <w:tcBorders>
              <w:bottom w:val="single" w:sz="4" w:space="0" w:color="auto"/>
            </w:tcBorders>
          </w:tcPr>
          <w:p w:rsidR="000E19FD" w:rsidRPr="00FC15AD" w:rsidRDefault="00D60CC8" w:rsidP="00941019">
            <w:pPr>
              <w:pStyle w:val="MarginText"/>
              <w:rPr>
                <w:rFonts w:cs="Arial"/>
                <w:sz w:val="20"/>
              </w:rPr>
            </w:pPr>
            <w:r>
              <w:rPr>
                <w:rFonts w:cs="Arial"/>
                <w:sz w:val="20"/>
              </w:rPr>
              <w:t>June 2016</w:t>
            </w:r>
          </w:p>
        </w:tc>
      </w:tr>
      <w:tr w:rsidR="00B66E17" w:rsidRPr="009F6433" w:rsidTr="0024589B">
        <w:trPr>
          <w:tblHeader/>
        </w:trPr>
        <w:tc>
          <w:tcPr>
            <w:tcW w:w="1440" w:type="dxa"/>
            <w:tcBorders>
              <w:bottom w:val="single" w:sz="4" w:space="0" w:color="auto"/>
            </w:tcBorders>
          </w:tcPr>
          <w:p w:rsidR="000E19FD" w:rsidRDefault="000E19FD" w:rsidP="0024589B">
            <w:pPr>
              <w:pStyle w:val="MarginText"/>
              <w:jc w:val="left"/>
              <w:rPr>
                <w:rFonts w:cs="Arial"/>
                <w:szCs w:val="22"/>
              </w:rPr>
            </w:pPr>
            <w:r>
              <w:rPr>
                <w:rFonts w:cs="Arial"/>
                <w:szCs w:val="22"/>
              </w:rPr>
              <w:t>Sign off</w:t>
            </w:r>
          </w:p>
        </w:tc>
        <w:tc>
          <w:tcPr>
            <w:tcW w:w="5076" w:type="dxa"/>
            <w:tcBorders>
              <w:bottom w:val="single" w:sz="4" w:space="0" w:color="auto"/>
            </w:tcBorders>
          </w:tcPr>
          <w:p w:rsidR="000E19FD" w:rsidRDefault="000E19FD" w:rsidP="000B5E7A">
            <w:pPr>
              <w:spacing w:after="200" w:line="276" w:lineRule="auto"/>
              <w:ind w:left="720" w:hanging="720"/>
              <w:contextualSpacing/>
            </w:pPr>
            <w:r>
              <w:t>Presentation of draft proposals to Senior Team</w:t>
            </w:r>
          </w:p>
        </w:tc>
        <w:tc>
          <w:tcPr>
            <w:tcW w:w="1327" w:type="dxa"/>
            <w:tcBorders>
              <w:bottom w:val="single" w:sz="4" w:space="0" w:color="auto"/>
            </w:tcBorders>
          </w:tcPr>
          <w:p w:rsidR="000E19FD" w:rsidRPr="00FC15AD" w:rsidRDefault="000E19FD" w:rsidP="00941019">
            <w:pPr>
              <w:pStyle w:val="MarginText"/>
              <w:rPr>
                <w:rFonts w:cs="Arial"/>
                <w:sz w:val="20"/>
              </w:rPr>
            </w:pPr>
          </w:p>
        </w:tc>
        <w:tc>
          <w:tcPr>
            <w:tcW w:w="0" w:type="auto"/>
            <w:tcBorders>
              <w:bottom w:val="single" w:sz="4" w:space="0" w:color="auto"/>
            </w:tcBorders>
          </w:tcPr>
          <w:p w:rsidR="000E19FD" w:rsidRPr="00FC15AD" w:rsidRDefault="00D60CC8" w:rsidP="00941019">
            <w:pPr>
              <w:pStyle w:val="MarginText"/>
              <w:rPr>
                <w:rFonts w:cs="Arial"/>
                <w:sz w:val="20"/>
              </w:rPr>
            </w:pPr>
            <w:r>
              <w:rPr>
                <w:rFonts w:cs="Arial"/>
                <w:sz w:val="20"/>
              </w:rPr>
              <w:t>June 2016</w:t>
            </w:r>
          </w:p>
        </w:tc>
      </w:tr>
      <w:tr w:rsidR="00B66E17" w:rsidRPr="009F6433" w:rsidTr="0024589B">
        <w:trPr>
          <w:tblHeader/>
        </w:trPr>
        <w:tc>
          <w:tcPr>
            <w:tcW w:w="1440" w:type="dxa"/>
            <w:tcBorders>
              <w:bottom w:val="single" w:sz="4" w:space="0" w:color="auto"/>
            </w:tcBorders>
          </w:tcPr>
          <w:p w:rsidR="000E19FD" w:rsidRPr="00EF7A1D" w:rsidRDefault="000E19FD" w:rsidP="0024589B">
            <w:pPr>
              <w:pStyle w:val="MarginText"/>
              <w:jc w:val="left"/>
              <w:rPr>
                <w:rFonts w:cs="Arial"/>
                <w:szCs w:val="22"/>
              </w:rPr>
            </w:pPr>
            <w:r w:rsidRPr="00EF7A1D">
              <w:rPr>
                <w:rFonts w:cs="Arial"/>
                <w:szCs w:val="22"/>
              </w:rPr>
              <w:t>Launch Event</w:t>
            </w:r>
          </w:p>
        </w:tc>
        <w:tc>
          <w:tcPr>
            <w:tcW w:w="5076" w:type="dxa"/>
            <w:tcBorders>
              <w:bottom w:val="single" w:sz="4" w:space="0" w:color="auto"/>
            </w:tcBorders>
          </w:tcPr>
          <w:p w:rsidR="000E19FD" w:rsidRPr="00FC15AD" w:rsidRDefault="000E19FD" w:rsidP="00B66E17">
            <w:pPr>
              <w:pStyle w:val="MarginText"/>
              <w:rPr>
                <w:rFonts w:cs="Arial"/>
                <w:sz w:val="20"/>
              </w:rPr>
            </w:pPr>
            <w:r>
              <w:t xml:space="preserve">The Contractor will design and </w:t>
            </w:r>
            <w:r w:rsidR="00B66E17">
              <w:t>support</w:t>
            </w:r>
            <w:r>
              <w:t xml:space="preserve"> the activities for the CD launch event., writing and designing the materials which all 300 employees will work through/experience</w:t>
            </w:r>
          </w:p>
        </w:tc>
        <w:tc>
          <w:tcPr>
            <w:tcW w:w="1327" w:type="dxa"/>
            <w:tcBorders>
              <w:bottom w:val="single" w:sz="4" w:space="0" w:color="auto"/>
            </w:tcBorders>
          </w:tcPr>
          <w:p w:rsidR="000E19FD" w:rsidRPr="00FC15AD" w:rsidRDefault="000E19FD" w:rsidP="00941019">
            <w:pPr>
              <w:pStyle w:val="MarginText"/>
              <w:rPr>
                <w:rFonts w:cs="Arial"/>
                <w:sz w:val="20"/>
              </w:rPr>
            </w:pPr>
          </w:p>
        </w:tc>
        <w:tc>
          <w:tcPr>
            <w:tcW w:w="0" w:type="auto"/>
            <w:tcBorders>
              <w:bottom w:val="single" w:sz="4" w:space="0" w:color="auto"/>
            </w:tcBorders>
          </w:tcPr>
          <w:p w:rsidR="000E19FD" w:rsidRPr="000B5E7A" w:rsidRDefault="000E19FD" w:rsidP="000B5E7A">
            <w:pPr>
              <w:pStyle w:val="MarginText"/>
              <w:jc w:val="left"/>
            </w:pPr>
            <w:r>
              <w:t>early July 2016</w:t>
            </w:r>
          </w:p>
        </w:tc>
      </w:tr>
      <w:tr w:rsidR="00B66E17" w:rsidRPr="009F6433" w:rsidTr="0024589B">
        <w:trPr>
          <w:tblHeader/>
        </w:trPr>
        <w:tc>
          <w:tcPr>
            <w:tcW w:w="1440" w:type="dxa"/>
            <w:tcBorders>
              <w:bottom w:val="single" w:sz="4" w:space="0" w:color="auto"/>
            </w:tcBorders>
          </w:tcPr>
          <w:p w:rsidR="000E19FD" w:rsidRDefault="000E19FD" w:rsidP="0024589B">
            <w:pPr>
              <w:pStyle w:val="MarginText"/>
              <w:jc w:val="left"/>
              <w:rPr>
                <w:rFonts w:cs="Arial"/>
                <w:szCs w:val="22"/>
              </w:rPr>
            </w:pPr>
            <w:r>
              <w:rPr>
                <w:rFonts w:cs="Arial"/>
                <w:szCs w:val="22"/>
              </w:rPr>
              <w:t>Toolkit</w:t>
            </w:r>
          </w:p>
        </w:tc>
        <w:tc>
          <w:tcPr>
            <w:tcW w:w="5076" w:type="dxa"/>
            <w:tcBorders>
              <w:bottom w:val="single" w:sz="4" w:space="0" w:color="auto"/>
            </w:tcBorders>
          </w:tcPr>
          <w:p w:rsidR="000E19FD" w:rsidRDefault="000E19FD" w:rsidP="00B66E17">
            <w:pPr>
              <w:pStyle w:val="MarginText"/>
            </w:pPr>
            <w:r>
              <w:t xml:space="preserve">Develop and present </w:t>
            </w:r>
            <w:r w:rsidR="00B66E17">
              <w:t xml:space="preserve">a </w:t>
            </w:r>
            <w:r>
              <w:t>culture</w:t>
            </w:r>
            <w:r w:rsidR="00B66E17">
              <w:t>, values and behaviours</w:t>
            </w:r>
            <w:r>
              <w:t xml:space="preserve"> toolkit</w:t>
            </w:r>
            <w:r w:rsidR="00B66E17">
              <w:t>/plan</w:t>
            </w:r>
            <w:r>
              <w:t xml:space="preserve"> to senior team</w:t>
            </w:r>
            <w:r w:rsidR="00B66E17">
              <w:t xml:space="preserve"> for sign off</w:t>
            </w:r>
          </w:p>
        </w:tc>
        <w:tc>
          <w:tcPr>
            <w:tcW w:w="1327" w:type="dxa"/>
            <w:tcBorders>
              <w:bottom w:val="single" w:sz="4" w:space="0" w:color="auto"/>
            </w:tcBorders>
          </w:tcPr>
          <w:p w:rsidR="000E19FD" w:rsidRPr="00FC15AD" w:rsidRDefault="000E19FD" w:rsidP="00941019">
            <w:pPr>
              <w:pStyle w:val="MarginText"/>
              <w:rPr>
                <w:rFonts w:cs="Arial"/>
                <w:sz w:val="20"/>
              </w:rPr>
            </w:pPr>
          </w:p>
        </w:tc>
        <w:tc>
          <w:tcPr>
            <w:tcW w:w="0" w:type="auto"/>
            <w:tcBorders>
              <w:bottom w:val="single" w:sz="4" w:space="0" w:color="auto"/>
            </w:tcBorders>
          </w:tcPr>
          <w:p w:rsidR="000E19FD" w:rsidRDefault="00D60CC8" w:rsidP="000B5E7A">
            <w:pPr>
              <w:pStyle w:val="MarginText"/>
              <w:jc w:val="left"/>
            </w:pPr>
            <w:r>
              <w:t>July 2016</w:t>
            </w:r>
          </w:p>
        </w:tc>
      </w:tr>
      <w:tr w:rsidR="00B66E17" w:rsidRPr="009F6433" w:rsidTr="0024589B">
        <w:trPr>
          <w:tblHeader/>
        </w:trPr>
        <w:tc>
          <w:tcPr>
            <w:tcW w:w="1440" w:type="dxa"/>
            <w:shd w:val="clear" w:color="auto" w:fill="auto"/>
          </w:tcPr>
          <w:p w:rsidR="000E19FD" w:rsidRPr="000B5E7A" w:rsidRDefault="000E19FD" w:rsidP="0024589B">
            <w:pPr>
              <w:pStyle w:val="MarginText"/>
              <w:jc w:val="left"/>
              <w:rPr>
                <w:rFonts w:cs="Arial"/>
                <w:szCs w:val="22"/>
                <w:highlight w:val="yellow"/>
              </w:rPr>
            </w:pPr>
            <w:r w:rsidRPr="000B5E7A">
              <w:rPr>
                <w:rFonts w:cs="Arial"/>
                <w:szCs w:val="22"/>
              </w:rPr>
              <w:t>Skills transfer</w:t>
            </w:r>
          </w:p>
        </w:tc>
        <w:tc>
          <w:tcPr>
            <w:tcW w:w="5076" w:type="dxa"/>
            <w:shd w:val="clear" w:color="auto" w:fill="auto"/>
          </w:tcPr>
          <w:p w:rsidR="000E19FD" w:rsidRPr="000B5E7A" w:rsidRDefault="000E19FD" w:rsidP="00B66E17">
            <w:pPr>
              <w:pStyle w:val="MarginText"/>
              <w:rPr>
                <w:rFonts w:cs="Arial"/>
                <w:szCs w:val="22"/>
                <w:highlight w:val="yellow"/>
              </w:rPr>
            </w:pPr>
            <w:r w:rsidRPr="000B5E7A">
              <w:rPr>
                <w:rFonts w:cs="Arial"/>
                <w:szCs w:val="22"/>
              </w:rPr>
              <w:t>The successful supplier will transfer the necessary skills</w:t>
            </w:r>
            <w:r w:rsidR="00B66E17">
              <w:rPr>
                <w:rFonts w:cs="Arial"/>
                <w:szCs w:val="22"/>
              </w:rPr>
              <w:t xml:space="preserve"> and toolkits</w:t>
            </w:r>
            <w:r w:rsidRPr="000B5E7A">
              <w:rPr>
                <w:rFonts w:cs="Arial"/>
                <w:szCs w:val="22"/>
              </w:rPr>
              <w:t xml:space="preserve"> </w:t>
            </w:r>
            <w:r w:rsidR="00B66E17">
              <w:rPr>
                <w:rFonts w:cs="Arial"/>
                <w:szCs w:val="22"/>
              </w:rPr>
              <w:t xml:space="preserve">as a handover plan, </w:t>
            </w:r>
            <w:r w:rsidRPr="000B5E7A">
              <w:rPr>
                <w:rFonts w:cs="Arial"/>
                <w:szCs w:val="22"/>
              </w:rPr>
              <w:t>to the Head of Performance &amp; Improvement and nominated individuals within the Capability Team</w:t>
            </w:r>
            <w:r w:rsidR="00B66E17">
              <w:rPr>
                <w:rFonts w:cs="Arial"/>
                <w:szCs w:val="22"/>
              </w:rPr>
              <w:t>,</w:t>
            </w:r>
            <w:r w:rsidRPr="000B5E7A">
              <w:rPr>
                <w:rFonts w:cs="Arial"/>
                <w:szCs w:val="22"/>
              </w:rPr>
              <w:t xml:space="preserve"> </w:t>
            </w:r>
            <w:r w:rsidR="00B66E17">
              <w:rPr>
                <w:rFonts w:cs="Arial"/>
                <w:szCs w:val="22"/>
              </w:rPr>
              <w:t xml:space="preserve">clearly outlining how DWP ensure the new culture, values and behaviour can be </w:t>
            </w:r>
            <w:r w:rsidRPr="000B5E7A">
              <w:rPr>
                <w:rFonts w:cs="Arial"/>
                <w:szCs w:val="22"/>
              </w:rPr>
              <w:t>sustained</w:t>
            </w:r>
          </w:p>
        </w:tc>
        <w:tc>
          <w:tcPr>
            <w:tcW w:w="1327" w:type="dxa"/>
            <w:shd w:val="clear" w:color="auto" w:fill="auto"/>
          </w:tcPr>
          <w:p w:rsidR="000E19FD" w:rsidRPr="009F6433" w:rsidRDefault="000E19FD" w:rsidP="00941019">
            <w:pPr>
              <w:pStyle w:val="MarginText"/>
              <w:rPr>
                <w:rFonts w:cs="Arial"/>
                <w:sz w:val="20"/>
                <w:highlight w:val="yellow"/>
              </w:rPr>
            </w:pPr>
          </w:p>
        </w:tc>
        <w:tc>
          <w:tcPr>
            <w:tcW w:w="0" w:type="auto"/>
            <w:shd w:val="clear" w:color="auto" w:fill="auto"/>
          </w:tcPr>
          <w:p w:rsidR="000E19FD" w:rsidRPr="009F6433" w:rsidRDefault="00D60CC8" w:rsidP="00941019">
            <w:pPr>
              <w:pStyle w:val="MarginText"/>
              <w:rPr>
                <w:rFonts w:cs="Arial"/>
                <w:sz w:val="20"/>
                <w:highlight w:val="yellow"/>
              </w:rPr>
            </w:pPr>
            <w:r w:rsidRPr="00201778">
              <w:rPr>
                <w:rFonts w:cs="Arial"/>
                <w:sz w:val="20"/>
              </w:rPr>
              <w:t>July 2016</w:t>
            </w:r>
          </w:p>
        </w:tc>
      </w:tr>
    </w:tbl>
    <w:p w:rsidR="00764B11" w:rsidRPr="009F6433" w:rsidRDefault="00764B11" w:rsidP="00764B11">
      <w:pPr>
        <w:pStyle w:val="Heading3"/>
        <w:numPr>
          <w:ilvl w:val="0"/>
          <w:numId w:val="0"/>
        </w:numPr>
        <w:rPr>
          <w:b/>
          <w:highlight w:val="yellow"/>
        </w:rPr>
      </w:pPr>
    </w:p>
    <w:p w:rsidR="00764B11" w:rsidRPr="00FC15AD" w:rsidRDefault="00764B11" w:rsidP="00764B11">
      <w:pPr>
        <w:pStyle w:val="Heading3"/>
        <w:rPr>
          <w:b/>
        </w:rPr>
      </w:pPr>
      <w:r w:rsidRPr="00FC15AD">
        <w:rPr>
          <w:rFonts w:cs="Arial"/>
          <w:szCs w:val="22"/>
        </w:rPr>
        <w:t>If so required by the Customer, the Supplier shall produce a further version of the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rsidR="00764B11" w:rsidRPr="00FC15AD" w:rsidRDefault="00764B11" w:rsidP="00764B11">
      <w:pPr>
        <w:pStyle w:val="Heading3"/>
        <w:rPr>
          <w:b/>
        </w:rPr>
      </w:pPr>
      <w:r w:rsidRPr="00FC15AD">
        <w:rPr>
          <w:rFonts w:cs="Arial"/>
          <w:szCs w:val="22"/>
        </w:rPr>
        <w:t>The Customer shall have the right to require the Supplier to include any reasonable changes or provisions in each version of the Implementation Plan.</w:t>
      </w:r>
    </w:p>
    <w:p w:rsidR="00764B11" w:rsidRPr="00FC15AD" w:rsidRDefault="00764B11" w:rsidP="00764B11">
      <w:pPr>
        <w:pStyle w:val="Heading3"/>
        <w:rPr>
          <w:b/>
        </w:rPr>
      </w:pPr>
      <w:r w:rsidRPr="00FC15AD">
        <w:rPr>
          <w:rFonts w:cs="Arial"/>
          <w:szCs w:val="22"/>
        </w:rPr>
        <w:lastRenderedPageBreak/>
        <w:t>The Supplier shall perform its obligations so as to achieve each Milestone by the Milestone Date.</w:t>
      </w:r>
    </w:p>
    <w:p w:rsidR="00BA6D3D" w:rsidRPr="00FC15AD" w:rsidRDefault="00BA6D3D" w:rsidP="008A4044">
      <w:pPr>
        <w:pStyle w:val="ListParagraph"/>
        <w:numPr>
          <w:ilvl w:val="0"/>
          <w:numId w:val="25"/>
        </w:numPr>
        <w:jc w:val="both"/>
        <w:rPr>
          <w:rFonts w:cs="Arial"/>
          <w:i/>
          <w:szCs w:val="22"/>
        </w:rPr>
      </w:pPr>
      <w:r w:rsidRPr="00FC15AD">
        <w:rPr>
          <w:rFonts w:cs="Arial"/>
          <w:i/>
          <w:szCs w:val="22"/>
        </w:rPr>
        <w:t>Payment can only be made following satisfactory delivery of pre-agreed certified products and deliverables.</w:t>
      </w:r>
    </w:p>
    <w:p w:rsidR="00BA6D3D" w:rsidRPr="00FC15AD" w:rsidRDefault="00BA6D3D" w:rsidP="00BA6D3D">
      <w:pPr>
        <w:jc w:val="both"/>
        <w:rPr>
          <w:rFonts w:cs="Arial"/>
          <w:i/>
          <w:szCs w:val="22"/>
        </w:rPr>
      </w:pPr>
    </w:p>
    <w:p w:rsidR="00D57358" w:rsidRPr="00FC15AD" w:rsidRDefault="00BA6D3D" w:rsidP="008A4044">
      <w:pPr>
        <w:pStyle w:val="ListParagraph"/>
        <w:numPr>
          <w:ilvl w:val="0"/>
          <w:numId w:val="25"/>
        </w:numPr>
        <w:jc w:val="both"/>
        <w:rPr>
          <w:rFonts w:cs="Arial"/>
          <w:i/>
          <w:szCs w:val="22"/>
        </w:rPr>
      </w:pPr>
      <w:r w:rsidRPr="00FC15AD">
        <w:rPr>
          <w:rFonts w:cs="Arial"/>
          <w:i/>
          <w:szCs w:val="22"/>
        </w:rPr>
        <w:t xml:space="preserve">Before payment can be considered, each invoice must include a detailed elemental breakdown of work completed and the associated costs. </w:t>
      </w:r>
    </w:p>
    <w:p w:rsidR="00BD21D6" w:rsidRPr="00F83B65" w:rsidRDefault="00BD21D6" w:rsidP="00BD21D6">
      <w:pPr>
        <w:pStyle w:val="Heading2"/>
        <w:numPr>
          <w:ilvl w:val="0"/>
          <w:numId w:val="0"/>
        </w:numPr>
        <w:spacing w:after="120"/>
        <w:ind w:left="720"/>
        <w:rPr>
          <w:highlight w:val="yellow"/>
        </w:rPr>
      </w:pPr>
    </w:p>
    <w:p w:rsidR="000C73A3" w:rsidRPr="00FE00B8" w:rsidRDefault="000C73A3" w:rsidP="000C73A3">
      <w:pPr>
        <w:pStyle w:val="Heading1"/>
      </w:pPr>
      <w:bookmarkStart w:id="14" w:name="_Toc383464506"/>
      <w:r w:rsidRPr="00FE00B8">
        <w:t>Location</w:t>
      </w:r>
      <w:bookmarkEnd w:id="14"/>
    </w:p>
    <w:p w:rsidR="00036B48" w:rsidRPr="00FE00B8" w:rsidRDefault="00036B48" w:rsidP="00036B48">
      <w:pPr>
        <w:pStyle w:val="Heading2"/>
      </w:pPr>
      <w:r w:rsidRPr="00FE00B8">
        <w:t xml:space="preserve">The Project is to be based in London and the Consultants will be expected to travel to Hub locations, identified at </w:t>
      </w:r>
      <w:r w:rsidR="00BE69E6" w:rsidRPr="00FE00B8">
        <w:t xml:space="preserve">3.3 </w:t>
      </w:r>
      <w:r w:rsidRPr="00FE00B8">
        <w:t>in order to undertake staff engagement</w:t>
      </w:r>
      <w:r w:rsidR="00BE69E6" w:rsidRPr="00FE00B8">
        <w:t>.</w:t>
      </w:r>
    </w:p>
    <w:p w:rsidR="000C73A3" w:rsidRPr="00FE00B8" w:rsidRDefault="000C73A3" w:rsidP="000C73A3">
      <w:pPr>
        <w:pStyle w:val="Heading1"/>
      </w:pPr>
      <w:bookmarkStart w:id="15" w:name="_Toc383464507"/>
      <w:r w:rsidRPr="00FE00B8">
        <w:t>Security requirements</w:t>
      </w:r>
      <w:bookmarkEnd w:id="15"/>
    </w:p>
    <w:p w:rsidR="006C1417" w:rsidRDefault="00EF7A1D" w:rsidP="006C1417">
      <w:pPr>
        <w:pStyle w:val="Heading2"/>
        <w:numPr>
          <w:ilvl w:val="0"/>
          <w:numId w:val="0"/>
        </w:numPr>
        <w:spacing w:after="120"/>
      </w:pPr>
      <w:r w:rsidRPr="00FE00B8">
        <w:t>9.1</w:t>
      </w:r>
      <w:r w:rsidRPr="00FE00B8">
        <w:tab/>
        <w:t>N</w:t>
      </w:r>
      <w:r w:rsidR="00E977A4" w:rsidRPr="00FE00B8">
        <w:t xml:space="preserve">ot </w:t>
      </w:r>
      <w:r w:rsidRPr="00FE00B8">
        <w:t>A</w:t>
      </w:r>
      <w:r w:rsidR="00E977A4" w:rsidRPr="00FE00B8">
        <w:t>pplicable as we expect it to be covered as part of the Terms and Conditions.</w:t>
      </w:r>
    </w:p>
    <w:p w:rsidR="00EE5BC4" w:rsidRDefault="00EE5BC4" w:rsidP="006C1417">
      <w:pPr>
        <w:pStyle w:val="Heading2"/>
        <w:numPr>
          <w:ilvl w:val="0"/>
          <w:numId w:val="0"/>
        </w:numPr>
        <w:spacing w:after="120"/>
      </w:pPr>
    </w:p>
    <w:p w:rsidR="00273AF5" w:rsidRPr="00FE00B8" w:rsidRDefault="00273AF5" w:rsidP="00273AF5">
      <w:pPr>
        <w:pStyle w:val="Heading1"/>
      </w:pPr>
      <w:bookmarkStart w:id="16" w:name="_Toc383464508"/>
      <w:r w:rsidRPr="00FE00B8">
        <w:t>PROJECT TIMETABLE</w:t>
      </w:r>
      <w:bookmarkEnd w:id="16"/>
    </w:p>
    <w:p w:rsidR="00BD21D6" w:rsidRPr="00FE00B8" w:rsidRDefault="00BD21D6" w:rsidP="00BD21D6">
      <w:pPr>
        <w:pStyle w:val="Heading2"/>
        <w:numPr>
          <w:ilvl w:val="0"/>
          <w:numId w:val="0"/>
        </w:numPr>
        <w:ind w:left="720" w:hanging="720"/>
      </w:pPr>
      <w:r w:rsidRPr="00FE00B8">
        <w:t xml:space="preserve">10.1    </w:t>
      </w:r>
      <w:r w:rsidR="00EF7A1D" w:rsidRPr="00FE00B8">
        <w:t>See 6.1.1</w:t>
      </w:r>
    </w:p>
    <w:p w:rsidR="00A74A55" w:rsidRPr="00FE00B8" w:rsidRDefault="00A74A55" w:rsidP="00A74A55">
      <w:pPr>
        <w:pStyle w:val="Heading1"/>
        <w:spacing w:after="120"/>
      </w:pPr>
      <w:bookmarkStart w:id="17" w:name="_Toc383464509"/>
      <w:r w:rsidRPr="00FE00B8">
        <w:t>BUDGET</w:t>
      </w:r>
      <w:bookmarkEnd w:id="17"/>
    </w:p>
    <w:p w:rsidR="00A74A55" w:rsidRDefault="00A74A55" w:rsidP="00E977A4">
      <w:pPr>
        <w:pStyle w:val="Heading2"/>
      </w:pPr>
      <w:r w:rsidRPr="00EF7A1D">
        <w:t>Prices should be submitted in pounds sterling and be inclusive of</w:t>
      </w:r>
      <w:r w:rsidR="00EF7A1D" w:rsidRPr="00EF7A1D">
        <w:t xml:space="preserve"> expenses and exclusive of VAT</w:t>
      </w:r>
      <w:r w:rsidR="00EF7A1D" w:rsidRPr="000E19FD">
        <w:t>.</w:t>
      </w:r>
    </w:p>
    <w:p w:rsidR="00E977A4" w:rsidRPr="00E559F7" w:rsidRDefault="00E977A4" w:rsidP="00E977A4">
      <w:pPr>
        <w:pStyle w:val="Heading2"/>
      </w:pPr>
      <w:r>
        <w:t xml:space="preserve">The budget allocation is </w:t>
      </w:r>
      <w:r w:rsidRPr="002A186A">
        <w:rPr>
          <w:rFonts w:cs="Arial"/>
          <w:sz w:val="20"/>
        </w:rPr>
        <w:t>£97,160</w:t>
      </w:r>
      <w:r>
        <w:rPr>
          <w:rFonts w:cs="Arial"/>
          <w:sz w:val="20"/>
        </w:rPr>
        <w:t>.</w:t>
      </w:r>
      <w:r w:rsidR="00FE00B8">
        <w:rPr>
          <w:rFonts w:cs="Arial"/>
          <w:sz w:val="20"/>
        </w:rPr>
        <w:t>00.</w:t>
      </w:r>
    </w:p>
    <w:p w:rsidR="00A74A55" w:rsidRPr="00273AF5" w:rsidRDefault="00A74A55" w:rsidP="00273AF5">
      <w:pPr>
        <w:pStyle w:val="Heading2"/>
        <w:numPr>
          <w:ilvl w:val="0"/>
          <w:numId w:val="0"/>
        </w:numPr>
        <w:ind w:left="720"/>
        <w:rPr>
          <w:highlight w:val="yellow"/>
        </w:rPr>
      </w:pPr>
    </w:p>
    <w:p w:rsidR="00273AF5" w:rsidRPr="00273AF5" w:rsidRDefault="00273AF5" w:rsidP="00273AF5">
      <w:pPr>
        <w:pStyle w:val="Heading1"/>
        <w:numPr>
          <w:ilvl w:val="0"/>
          <w:numId w:val="0"/>
        </w:numPr>
        <w:ind w:left="720"/>
        <w:rPr>
          <w:highlight w:val="yellow"/>
        </w:rPr>
      </w:pPr>
    </w:p>
    <w:p w:rsidR="00941019" w:rsidRPr="00FD080D" w:rsidRDefault="00941019" w:rsidP="00952576">
      <w:pPr>
        <w:pStyle w:val="Heading2"/>
        <w:numPr>
          <w:ilvl w:val="0"/>
          <w:numId w:val="0"/>
        </w:numPr>
        <w:spacing w:after="120"/>
        <w:rPr>
          <w:highlight w:val="yellow"/>
        </w:rPr>
      </w:pPr>
    </w:p>
    <w:p w:rsidR="00B459C5" w:rsidRPr="002F4D97" w:rsidRDefault="00B459C5" w:rsidP="00FD080D">
      <w:pPr>
        <w:pStyle w:val="Heading1"/>
        <w:numPr>
          <w:ilvl w:val="0"/>
          <w:numId w:val="0"/>
        </w:numPr>
        <w:spacing w:after="120"/>
        <w:ind w:left="720"/>
      </w:pPr>
    </w:p>
    <w:p w:rsidR="00A028E8" w:rsidRPr="002F4D97" w:rsidRDefault="00A028E8" w:rsidP="00FD080D">
      <w:pPr>
        <w:pStyle w:val="Heading2"/>
        <w:numPr>
          <w:ilvl w:val="0"/>
          <w:numId w:val="0"/>
        </w:numPr>
        <w:spacing w:after="120"/>
      </w:pPr>
    </w:p>
    <w:sectPr w:rsidR="00A028E8" w:rsidRPr="002F4D97"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675" w:rsidRDefault="009E0675">
      <w:pPr>
        <w:spacing w:line="20" w:lineRule="exact"/>
      </w:pPr>
    </w:p>
  </w:endnote>
  <w:endnote w:type="continuationSeparator" w:id="0">
    <w:p w:rsidR="009E0675" w:rsidRDefault="009E0675">
      <w:pPr>
        <w:spacing w:line="20" w:lineRule="exact"/>
      </w:pPr>
      <w:r>
        <w:t xml:space="preserve"> </w:t>
      </w:r>
    </w:p>
  </w:endnote>
  <w:endnote w:type="continuationNotice" w:id="1">
    <w:p w:rsidR="009E0675" w:rsidRDefault="009E067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EB" w:rsidRDefault="008E09EB" w:rsidP="00074357">
    <w:pPr>
      <w:pStyle w:val="Footer"/>
      <w:pBdr>
        <w:top w:val="single" w:sz="6" w:space="1" w:color="auto"/>
      </w:pBdr>
      <w:tabs>
        <w:tab w:val="clear" w:pos="4153"/>
        <w:tab w:val="clear" w:pos="8306"/>
      </w:tabs>
      <w:ind w:right="-43"/>
      <w:jc w:val="center"/>
      <w:rPr>
        <w:sz w:val="18"/>
        <w:szCs w:val="18"/>
      </w:rPr>
    </w:pPr>
  </w:p>
  <w:p w:rsidR="008E09EB" w:rsidRDefault="008E09EB" w:rsidP="00074357">
    <w:pPr>
      <w:pStyle w:val="Footer"/>
      <w:pBdr>
        <w:top w:val="single" w:sz="6" w:space="1" w:color="auto"/>
      </w:pBdr>
      <w:tabs>
        <w:tab w:val="clear" w:pos="4153"/>
        <w:tab w:val="clear" w:pos="8306"/>
      </w:tabs>
      <w:ind w:right="-43"/>
      <w:jc w:val="center"/>
    </w:pPr>
    <w:r>
      <w:rPr>
        <w:sz w:val="18"/>
        <w:szCs w:val="18"/>
      </w:rPr>
      <w:t>OFFICIAL</w:t>
    </w:r>
  </w:p>
  <w:p w:rsidR="008E09EB" w:rsidRPr="00074357" w:rsidRDefault="008E09EB"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4001E9">
      <w:rPr>
        <w:rFonts w:cs="Arial"/>
        <w:noProof/>
        <w:szCs w:val="22"/>
      </w:rPr>
      <w:t>6</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4001E9">
      <w:rPr>
        <w:rFonts w:cs="Arial"/>
        <w:noProof/>
        <w:szCs w:val="22"/>
      </w:rPr>
      <w:t>8</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675" w:rsidRDefault="009E0675">
      <w:r>
        <w:separator/>
      </w:r>
    </w:p>
  </w:footnote>
  <w:footnote w:type="continuationSeparator" w:id="0">
    <w:p w:rsidR="009E0675" w:rsidRDefault="009E0675">
      <w:r>
        <w:continuationSeparator/>
      </w:r>
    </w:p>
  </w:footnote>
  <w:footnote w:type="continuationNotice" w:id="1">
    <w:p w:rsidR="009E0675" w:rsidRDefault="009E06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EB" w:rsidRPr="005924FF" w:rsidRDefault="008E09EB" w:rsidP="00074357">
    <w:pPr>
      <w:pStyle w:val="Header"/>
      <w:jc w:val="center"/>
      <w:rPr>
        <w:sz w:val="18"/>
        <w:szCs w:val="18"/>
      </w:rPr>
    </w:pPr>
    <w:r>
      <w:rPr>
        <w:sz w:val="18"/>
        <w:szCs w:val="18"/>
      </w:rPr>
      <w:t>OFFICIAL</w:t>
    </w:r>
  </w:p>
  <w:p w:rsidR="008E09EB" w:rsidRDefault="008E09EB" w:rsidP="00074357">
    <w:pPr>
      <w:pStyle w:val="Header"/>
      <w:jc w:val="center"/>
      <w:rPr>
        <w:b/>
      </w:rPr>
    </w:pPr>
  </w:p>
  <w:p w:rsidR="008E09EB" w:rsidRDefault="008E09EB" w:rsidP="00806295">
    <w:pPr>
      <w:pStyle w:val="Header"/>
      <w:jc w:val="center"/>
      <w:rPr>
        <w:b/>
      </w:rPr>
    </w:pPr>
  </w:p>
  <w:p w:rsidR="00201778" w:rsidRDefault="00201778" w:rsidP="00201778">
    <w:pPr>
      <w:pStyle w:val="Header"/>
      <w:jc w:val="center"/>
      <w:rPr>
        <w:b/>
      </w:rPr>
    </w:pPr>
    <w:r>
      <w:rPr>
        <w:b/>
      </w:rPr>
      <w:t>SO16503 (</w:t>
    </w:r>
    <w:r w:rsidRPr="00CA3DDB">
      <w:rPr>
        <w:b/>
      </w:rPr>
      <w:t>CCCC16ABB</w:t>
    </w:r>
    <w:r>
      <w:rPr>
        <w:b/>
      </w:rPr>
      <w:t>) – Provision of Consultancy for Continuous Improvement Capability Strand</w:t>
    </w:r>
  </w:p>
  <w:p w:rsidR="008E09EB" w:rsidRPr="00C81EC7" w:rsidRDefault="008E09EB" w:rsidP="00074357">
    <w:pPr>
      <w:pStyle w:val="Header"/>
      <w:jc w:val="center"/>
      <w:rPr>
        <w:b/>
      </w:rPr>
    </w:pPr>
    <w:r>
      <w:rPr>
        <w:b/>
      </w:rPr>
      <w:t>Appendix B – Service Description</w:t>
    </w:r>
  </w:p>
  <w:p w:rsidR="008E09EB" w:rsidRDefault="008E09EB" w:rsidP="00074357">
    <w:pPr>
      <w:pStyle w:val="Header"/>
      <w:tabs>
        <w:tab w:val="clear" w:pos="4153"/>
        <w:tab w:val="clear" w:pos="8306"/>
        <w:tab w:val="center" w:pos="4514"/>
      </w:tabs>
    </w:pPr>
    <w:r>
      <w:tab/>
    </w:r>
  </w:p>
  <w:p w:rsidR="008E09EB" w:rsidRPr="00074357" w:rsidRDefault="008E09EB" w:rsidP="00074357">
    <w:pPr>
      <w:pStyle w:val="Head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DB9B9"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09448E"/>
    <w:multiLevelType w:val="hybridMultilevel"/>
    <w:tmpl w:val="6B36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D56816"/>
    <w:multiLevelType w:val="hybridMultilevel"/>
    <w:tmpl w:val="C1AED044"/>
    <w:lvl w:ilvl="0" w:tplc="D2E08D94">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3A44AB9"/>
    <w:multiLevelType w:val="hybridMultilevel"/>
    <w:tmpl w:val="BB54FC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C632905"/>
    <w:multiLevelType w:val="hybridMultilevel"/>
    <w:tmpl w:val="989AE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23"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862"/>
        </w:tabs>
        <w:ind w:left="862"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17258E5"/>
    <w:multiLevelType w:val="hybridMultilevel"/>
    <w:tmpl w:val="2ED065C4"/>
    <w:lvl w:ilvl="0" w:tplc="12FCA08A">
      <w:start w:val="1"/>
      <w:numFmt w:val="bullet"/>
      <w:lvlText w:val=""/>
      <w:lvlJc w:val="left"/>
      <w:pPr>
        <w:tabs>
          <w:tab w:val="num" w:pos="1332"/>
        </w:tabs>
        <w:ind w:left="1332" w:hanging="360"/>
      </w:pPr>
      <w:rPr>
        <w:rFonts w:ascii="Symbol" w:hAnsi="Symbol" w:hint="default"/>
      </w:rPr>
    </w:lvl>
    <w:lvl w:ilvl="1" w:tplc="4592515E" w:tentative="1">
      <w:start w:val="1"/>
      <w:numFmt w:val="bullet"/>
      <w:lvlText w:val="o"/>
      <w:lvlJc w:val="left"/>
      <w:pPr>
        <w:tabs>
          <w:tab w:val="num" w:pos="2052"/>
        </w:tabs>
        <w:ind w:left="2052" w:hanging="360"/>
      </w:pPr>
      <w:rPr>
        <w:rFonts w:ascii="Courier New" w:hAnsi="Courier New" w:hint="default"/>
      </w:rPr>
    </w:lvl>
    <w:lvl w:ilvl="2" w:tplc="DABC138A" w:tentative="1">
      <w:start w:val="1"/>
      <w:numFmt w:val="bullet"/>
      <w:lvlText w:val=""/>
      <w:lvlJc w:val="left"/>
      <w:pPr>
        <w:tabs>
          <w:tab w:val="num" w:pos="2772"/>
        </w:tabs>
        <w:ind w:left="2772" w:hanging="360"/>
      </w:pPr>
      <w:rPr>
        <w:rFonts w:ascii="Wingdings" w:hAnsi="Wingdings" w:hint="default"/>
      </w:rPr>
    </w:lvl>
    <w:lvl w:ilvl="3" w:tplc="D5BACF3E" w:tentative="1">
      <w:start w:val="1"/>
      <w:numFmt w:val="bullet"/>
      <w:lvlText w:val=""/>
      <w:lvlJc w:val="left"/>
      <w:pPr>
        <w:tabs>
          <w:tab w:val="num" w:pos="3492"/>
        </w:tabs>
        <w:ind w:left="3492" w:hanging="360"/>
      </w:pPr>
      <w:rPr>
        <w:rFonts w:ascii="Symbol" w:hAnsi="Symbol" w:hint="default"/>
      </w:rPr>
    </w:lvl>
    <w:lvl w:ilvl="4" w:tplc="08AE41E6" w:tentative="1">
      <w:start w:val="1"/>
      <w:numFmt w:val="bullet"/>
      <w:lvlText w:val="o"/>
      <w:lvlJc w:val="left"/>
      <w:pPr>
        <w:tabs>
          <w:tab w:val="num" w:pos="4212"/>
        </w:tabs>
        <w:ind w:left="4212" w:hanging="360"/>
      </w:pPr>
      <w:rPr>
        <w:rFonts w:ascii="Courier New" w:hAnsi="Courier New" w:hint="default"/>
      </w:rPr>
    </w:lvl>
    <w:lvl w:ilvl="5" w:tplc="63DEDBD0" w:tentative="1">
      <w:start w:val="1"/>
      <w:numFmt w:val="bullet"/>
      <w:lvlText w:val=""/>
      <w:lvlJc w:val="left"/>
      <w:pPr>
        <w:tabs>
          <w:tab w:val="num" w:pos="4932"/>
        </w:tabs>
        <w:ind w:left="4932" w:hanging="360"/>
      </w:pPr>
      <w:rPr>
        <w:rFonts w:ascii="Wingdings" w:hAnsi="Wingdings" w:hint="default"/>
      </w:rPr>
    </w:lvl>
    <w:lvl w:ilvl="6" w:tplc="4BF444CA" w:tentative="1">
      <w:start w:val="1"/>
      <w:numFmt w:val="bullet"/>
      <w:lvlText w:val=""/>
      <w:lvlJc w:val="left"/>
      <w:pPr>
        <w:tabs>
          <w:tab w:val="num" w:pos="5652"/>
        </w:tabs>
        <w:ind w:left="5652" w:hanging="360"/>
      </w:pPr>
      <w:rPr>
        <w:rFonts w:ascii="Symbol" w:hAnsi="Symbol" w:hint="default"/>
      </w:rPr>
    </w:lvl>
    <w:lvl w:ilvl="7" w:tplc="5134C03C" w:tentative="1">
      <w:start w:val="1"/>
      <w:numFmt w:val="bullet"/>
      <w:lvlText w:val="o"/>
      <w:lvlJc w:val="left"/>
      <w:pPr>
        <w:tabs>
          <w:tab w:val="num" w:pos="6372"/>
        </w:tabs>
        <w:ind w:left="6372" w:hanging="360"/>
      </w:pPr>
      <w:rPr>
        <w:rFonts w:ascii="Courier New" w:hAnsi="Courier New" w:hint="default"/>
      </w:rPr>
    </w:lvl>
    <w:lvl w:ilvl="8" w:tplc="3FFE7DA2" w:tentative="1">
      <w:start w:val="1"/>
      <w:numFmt w:val="bullet"/>
      <w:lvlText w:val=""/>
      <w:lvlJc w:val="left"/>
      <w:pPr>
        <w:tabs>
          <w:tab w:val="num" w:pos="7092"/>
        </w:tabs>
        <w:ind w:left="7092" w:hanging="360"/>
      </w:pPr>
      <w:rPr>
        <w:rFonts w:ascii="Wingdings" w:hAnsi="Wingdings" w:hint="default"/>
      </w:rPr>
    </w:lvl>
  </w:abstractNum>
  <w:abstractNum w:abstractNumId="25" w15:restartNumberingAfterBreak="0">
    <w:nsid w:val="5AA077B7"/>
    <w:multiLevelType w:val="hybridMultilevel"/>
    <w:tmpl w:val="5C4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28" w15:restartNumberingAfterBreak="0">
    <w:nsid w:val="6281407E"/>
    <w:multiLevelType w:val="hybridMultilevel"/>
    <w:tmpl w:val="AEB046F2"/>
    <w:lvl w:ilvl="0" w:tplc="1CC88B04">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1" w15:restartNumberingAfterBreak="0">
    <w:nsid w:val="74EB3363"/>
    <w:multiLevelType w:val="hybridMultilevel"/>
    <w:tmpl w:val="F3408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965273"/>
    <w:multiLevelType w:val="hybridMultilevel"/>
    <w:tmpl w:val="8BAEFE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23"/>
  </w:num>
  <w:num w:numId="3">
    <w:abstractNumId w:val="14"/>
  </w:num>
  <w:num w:numId="4">
    <w:abstractNumId w:val="15"/>
  </w:num>
  <w:num w:numId="5">
    <w:abstractNumId w:val="6"/>
  </w:num>
  <w:num w:numId="6">
    <w:abstractNumId w:val="20"/>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33"/>
  </w:num>
  <w:num w:numId="15">
    <w:abstractNumId w:val="11"/>
  </w:num>
  <w:num w:numId="16">
    <w:abstractNumId w:val="29"/>
  </w:num>
  <w:num w:numId="17">
    <w:abstractNumId w:val="10"/>
  </w:num>
  <w:num w:numId="18">
    <w:abstractNumId w:val="19"/>
  </w:num>
  <w:num w:numId="19">
    <w:abstractNumId w:val="16"/>
  </w:num>
  <w:num w:numId="20">
    <w:abstractNumId w:val="26"/>
  </w:num>
  <w:num w:numId="21">
    <w:abstractNumId w:val="12"/>
  </w:num>
  <w:num w:numId="22">
    <w:abstractNumId w:val="9"/>
  </w:num>
  <w:num w:numId="23">
    <w:abstractNumId w:val="24"/>
  </w:num>
  <w:num w:numId="24">
    <w:abstractNumId w:val="32"/>
  </w:num>
  <w:num w:numId="25">
    <w:abstractNumId w:val="25"/>
  </w:num>
  <w:num w:numId="26">
    <w:abstractNumId w:val="5"/>
  </w:num>
  <w:num w:numId="27">
    <w:abstractNumId w:val="31"/>
  </w:num>
  <w:num w:numId="28">
    <w:abstractNumId w:val="23"/>
  </w:num>
  <w:num w:numId="29">
    <w:abstractNumId w:val="23"/>
    <w:lvlOverride w:ilvl="0">
      <w:startOverride w:val="5"/>
    </w:lvlOverride>
    <w:lvlOverride w:ilvl="1">
      <w:startOverride w:val="10"/>
    </w:lvlOverride>
  </w:num>
  <w:num w:numId="30">
    <w:abstractNumId w:val="23"/>
  </w:num>
  <w:num w:numId="31">
    <w:abstractNumId w:val="8"/>
  </w:num>
  <w:num w:numId="32">
    <w:abstractNumId w:val="23"/>
    <w:lvlOverride w:ilvl="0">
      <w:startOverride w:val="5"/>
    </w:lvlOverride>
    <w:lvlOverride w:ilvl="1">
      <w:startOverride w:val="9"/>
    </w:lvlOverride>
  </w:num>
  <w:num w:numId="33">
    <w:abstractNumId w:val="23"/>
    <w:lvlOverride w:ilvl="0">
      <w:startOverride w:val="5"/>
    </w:lvlOverride>
    <w:lvlOverride w:ilvl="1">
      <w:startOverride w:val="11"/>
    </w:lvlOverride>
  </w:num>
  <w:num w:numId="34">
    <w:abstractNumId w:val="17"/>
  </w:num>
  <w:num w:numId="35">
    <w:abstractNumId w:val="28"/>
  </w:num>
  <w:num w:numId="3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5229"/>
    <w:rsid w:val="00026CBD"/>
    <w:rsid w:val="00026E28"/>
    <w:rsid w:val="00027C05"/>
    <w:rsid w:val="000318CA"/>
    <w:rsid w:val="0003289F"/>
    <w:rsid w:val="00035A45"/>
    <w:rsid w:val="00036B48"/>
    <w:rsid w:val="00037CB6"/>
    <w:rsid w:val="00040A60"/>
    <w:rsid w:val="000459DD"/>
    <w:rsid w:val="00047C2B"/>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4E2D"/>
    <w:rsid w:val="00094F0D"/>
    <w:rsid w:val="00096F76"/>
    <w:rsid w:val="000A0C5F"/>
    <w:rsid w:val="000A0D22"/>
    <w:rsid w:val="000A5E95"/>
    <w:rsid w:val="000B1C66"/>
    <w:rsid w:val="000B29B2"/>
    <w:rsid w:val="000B5C9F"/>
    <w:rsid w:val="000B5E7A"/>
    <w:rsid w:val="000C2484"/>
    <w:rsid w:val="000C2E05"/>
    <w:rsid w:val="000C5EC7"/>
    <w:rsid w:val="000C68BF"/>
    <w:rsid w:val="000C73A3"/>
    <w:rsid w:val="000C7C2B"/>
    <w:rsid w:val="000D5CB0"/>
    <w:rsid w:val="000E19FD"/>
    <w:rsid w:val="000E3471"/>
    <w:rsid w:val="000E4C53"/>
    <w:rsid w:val="000E60D4"/>
    <w:rsid w:val="000E6CD7"/>
    <w:rsid w:val="000F232D"/>
    <w:rsid w:val="000F3348"/>
    <w:rsid w:val="000F3500"/>
    <w:rsid w:val="000F3E1D"/>
    <w:rsid w:val="00100B77"/>
    <w:rsid w:val="0010318E"/>
    <w:rsid w:val="0010453E"/>
    <w:rsid w:val="0010577C"/>
    <w:rsid w:val="00105FBC"/>
    <w:rsid w:val="00106AAD"/>
    <w:rsid w:val="0011078B"/>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3CB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875"/>
    <w:rsid w:val="001C18A7"/>
    <w:rsid w:val="001C210F"/>
    <w:rsid w:val="001C2B41"/>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1778"/>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547"/>
    <w:rsid w:val="00245342"/>
    <w:rsid w:val="0024589B"/>
    <w:rsid w:val="00245B30"/>
    <w:rsid w:val="00246795"/>
    <w:rsid w:val="00250446"/>
    <w:rsid w:val="00257039"/>
    <w:rsid w:val="00257F38"/>
    <w:rsid w:val="002600C6"/>
    <w:rsid w:val="002608F4"/>
    <w:rsid w:val="0026119D"/>
    <w:rsid w:val="002630FA"/>
    <w:rsid w:val="002634FE"/>
    <w:rsid w:val="0027062E"/>
    <w:rsid w:val="00273AF5"/>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285B"/>
    <w:rsid w:val="003031E3"/>
    <w:rsid w:val="00311429"/>
    <w:rsid w:val="00314691"/>
    <w:rsid w:val="00316D27"/>
    <w:rsid w:val="00323541"/>
    <w:rsid w:val="00323EAA"/>
    <w:rsid w:val="003255B1"/>
    <w:rsid w:val="00330C5C"/>
    <w:rsid w:val="003316AA"/>
    <w:rsid w:val="003341DC"/>
    <w:rsid w:val="00336059"/>
    <w:rsid w:val="0034369B"/>
    <w:rsid w:val="00345870"/>
    <w:rsid w:val="00346A23"/>
    <w:rsid w:val="00347685"/>
    <w:rsid w:val="00347DB3"/>
    <w:rsid w:val="00353191"/>
    <w:rsid w:val="003550DB"/>
    <w:rsid w:val="00357E6F"/>
    <w:rsid w:val="003627B1"/>
    <w:rsid w:val="00362983"/>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01E9"/>
    <w:rsid w:val="00402F0D"/>
    <w:rsid w:val="00404F9C"/>
    <w:rsid w:val="0040508D"/>
    <w:rsid w:val="00407320"/>
    <w:rsid w:val="004126C0"/>
    <w:rsid w:val="004128DA"/>
    <w:rsid w:val="00413A43"/>
    <w:rsid w:val="004147A7"/>
    <w:rsid w:val="00415016"/>
    <w:rsid w:val="00416045"/>
    <w:rsid w:val="00416FC4"/>
    <w:rsid w:val="00422823"/>
    <w:rsid w:val="0042602C"/>
    <w:rsid w:val="00426AB4"/>
    <w:rsid w:val="00427A64"/>
    <w:rsid w:val="0043067F"/>
    <w:rsid w:val="004324B4"/>
    <w:rsid w:val="00442EDE"/>
    <w:rsid w:val="00447F11"/>
    <w:rsid w:val="00450BBD"/>
    <w:rsid w:val="0045279B"/>
    <w:rsid w:val="00453D4F"/>
    <w:rsid w:val="00453EE6"/>
    <w:rsid w:val="00460E5D"/>
    <w:rsid w:val="00461688"/>
    <w:rsid w:val="00466CA2"/>
    <w:rsid w:val="00470A2A"/>
    <w:rsid w:val="00476F39"/>
    <w:rsid w:val="004771C4"/>
    <w:rsid w:val="00480506"/>
    <w:rsid w:val="00480E50"/>
    <w:rsid w:val="004900A1"/>
    <w:rsid w:val="004909B0"/>
    <w:rsid w:val="0049625F"/>
    <w:rsid w:val="004A1958"/>
    <w:rsid w:val="004A225E"/>
    <w:rsid w:val="004A2A99"/>
    <w:rsid w:val="004A2D0B"/>
    <w:rsid w:val="004A31F5"/>
    <w:rsid w:val="004A4371"/>
    <w:rsid w:val="004B4E34"/>
    <w:rsid w:val="004B6951"/>
    <w:rsid w:val="004C0636"/>
    <w:rsid w:val="004C1460"/>
    <w:rsid w:val="004C252B"/>
    <w:rsid w:val="004C50CD"/>
    <w:rsid w:val="004C53C2"/>
    <w:rsid w:val="004C5C6B"/>
    <w:rsid w:val="004C63D6"/>
    <w:rsid w:val="004C74D1"/>
    <w:rsid w:val="004D0392"/>
    <w:rsid w:val="004D0A59"/>
    <w:rsid w:val="004D1EED"/>
    <w:rsid w:val="004D267E"/>
    <w:rsid w:val="004D2D01"/>
    <w:rsid w:val="004D34B9"/>
    <w:rsid w:val="004D4D43"/>
    <w:rsid w:val="004D5500"/>
    <w:rsid w:val="004E0FDB"/>
    <w:rsid w:val="004E1F9F"/>
    <w:rsid w:val="004E424F"/>
    <w:rsid w:val="004E445C"/>
    <w:rsid w:val="004E6874"/>
    <w:rsid w:val="004E76A4"/>
    <w:rsid w:val="004F2229"/>
    <w:rsid w:val="004F2D68"/>
    <w:rsid w:val="004F4E7F"/>
    <w:rsid w:val="004F6B43"/>
    <w:rsid w:val="004F6EE0"/>
    <w:rsid w:val="0050062B"/>
    <w:rsid w:val="005009A0"/>
    <w:rsid w:val="00502279"/>
    <w:rsid w:val="00502DB6"/>
    <w:rsid w:val="0050537E"/>
    <w:rsid w:val="00505473"/>
    <w:rsid w:val="0050766C"/>
    <w:rsid w:val="005121E9"/>
    <w:rsid w:val="005147FE"/>
    <w:rsid w:val="00515D51"/>
    <w:rsid w:val="00517904"/>
    <w:rsid w:val="00522AAC"/>
    <w:rsid w:val="00527040"/>
    <w:rsid w:val="00531360"/>
    <w:rsid w:val="00531755"/>
    <w:rsid w:val="0053220D"/>
    <w:rsid w:val="00533F76"/>
    <w:rsid w:val="005364E3"/>
    <w:rsid w:val="0054536C"/>
    <w:rsid w:val="00545E13"/>
    <w:rsid w:val="005514CC"/>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33A"/>
    <w:rsid w:val="005E4793"/>
    <w:rsid w:val="005E4F6C"/>
    <w:rsid w:val="005E5DD9"/>
    <w:rsid w:val="005E77ED"/>
    <w:rsid w:val="005E7C19"/>
    <w:rsid w:val="005F11AF"/>
    <w:rsid w:val="005F2A14"/>
    <w:rsid w:val="005F2F66"/>
    <w:rsid w:val="005F48EE"/>
    <w:rsid w:val="005F6E6D"/>
    <w:rsid w:val="005F79C0"/>
    <w:rsid w:val="00600D97"/>
    <w:rsid w:val="00600EA9"/>
    <w:rsid w:val="00601DFB"/>
    <w:rsid w:val="00605194"/>
    <w:rsid w:val="006054F0"/>
    <w:rsid w:val="006072D7"/>
    <w:rsid w:val="006106D3"/>
    <w:rsid w:val="0061104D"/>
    <w:rsid w:val="00613C61"/>
    <w:rsid w:val="00617599"/>
    <w:rsid w:val="006278EE"/>
    <w:rsid w:val="00627B4B"/>
    <w:rsid w:val="0063134B"/>
    <w:rsid w:val="00632838"/>
    <w:rsid w:val="00635317"/>
    <w:rsid w:val="006373DB"/>
    <w:rsid w:val="00641ACD"/>
    <w:rsid w:val="0064259A"/>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1417"/>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0877"/>
    <w:rsid w:val="00702C1F"/>
    <w:rsid w:val="00704A4D"/>
    <w:rsid w:val="00706FCC"/>
    <w:rsid w:val="007110A9"/>
    <w:rsid w:val="007145F1"/>
    <w:rsid w:val="007160DB"/>
    <w:rsid w:val="0072081F"/>
    <w:rsid w:val="00721548"/>
    <w:rsid w:val="00722394"/>
    <w:rsid w:val="00724885"/>
    <w:rsid w:val="007321C1"/>
    <w:rsid w:val="00733110"/>
    <w:rsid w:val="00733ACF"/>
    <w:rsid w:val="0073540C"/>
    <w:rsid w:val="00735D7F"/>
    <w:rsid w:val="007378D3"/>
    <w:rsid w:val="00740B2E"/>
    <w:rsid w:val="007435B9"/>
    <w:rsid w:val="0075008F"/>
    <w:rsid w:val="0075201A"/>
    <w:rsid w:val="0075444C"/>
    <w:rsid w:val="00755A73"/>
    <w:rsid w:val="00756064"/>
    <w:rsid w:val="00760E17"/>
    <w:rsid w:val="0076417D"/>
    <w:rsid w:val="007642C7"/>
    <w:rsid w:val="00764B11"/>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7BA"/>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5356"/>
    <w:rsid w:val="007D5C41"/>
    <w:rsid w:val="007D758C"/>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0252"/>
    <w:rsid w:val="00821734"/>
    <w:rsid w:val="008227FE"/>
    <w:rsid w:val="00825DD7"/>
    <w:rsid w:val="0082702F"/>
    <w:rsid w:val="00827E8F"/>
    <w:rsid w:val="00830EA9"/>
    <w:rsid w:val="0083566B"/>
    <w:rsid w:val="00836748"/>
    <w:rsid w:val="00837A47"/>
    <w:rsid w:val="00842735"/>
    <w:rsid w:val="00843256"/>
    <w:rsid w:val="008433A5"/>
    <w:rsid w:val="00843CA8"/>
    <w:rsid w:val="00843FCC"/>
    <w:rsid w:val="00845DE9"/>
    <w:rsid w:val="00846256"/>
    <w:rsid w:val="00846B23"/>
    <w:rsid w:val="00847C33"/>
    <w:rsid w:val="008519A1"/>
    <w:rsid w:val="00851F6D"/>
    <w:rsid w:val="0085331D"/>
    <w:rsid w:val="00854513"/>
    <w:rsid w:val="00854DF5"/>
    <w:rsid w:val="008556F2"/>
    <w:rsid w:val="00856E6C"/>
    <w:rsid w:val="00860C31"/>
    <w:rsid w:val="00861D08"/>
    <w:rsid w:val="00862C72"/>
    <w:rsid w:val="00862E1D"/>
    <w:rsid w:val="008633FF"/>
    <w:rsid w:val="008659C2"/>
    <w:rsid w:val="00873E83"/>
    <w:rsid w:val="0087642E"/>
    <w:rsid w:val="00877AA1"/>
    <w:rsid w:val="0088161D"/>
    <w:rsid w:val="00882465"/>
    <w:rsid w:val="00890886"/>
    <w:rsid w:val="008916A4"/>
    <w:rsid w:val="00896FCC"/>
    <w:rsid w:val="008A17B5"/>
    <w:rsid w:val="008A20B1"/>
    <w:rsid w:val="008A3F1A"/>
    <w:rsid w:val="008A4044"/>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9EB"/>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56"/>
    <w:rsid w:val="00911C93"/>
    <w:rsid w:val="00911E47"/>
    <w:rsid w:val="00912B1E"/>
    <w:rsid w:val="0091531E"/>
    <w:rsid w:val="00915583"/>
    <w:rsid w:val="00923A8C"/>
    <w:rsid w:val="00923ACC"/>
    <w:rsid w:val="00926AFD"/>
    <w:rsid w:val="00932346"/>
    <w:rsid w:val="00932D6C"/>
    <w:rsid w:val="00934359"/>
    <w:rsid w:val="00937E14"/>
    <w:rsid w:val="00941019"/>
    <w:rsid w:val="009448C5"/>
    <w:rsid w:val="0094512F"/>
    <w:rsid w:val="00951437"/>
    <w:rsid w:val="00951FEC"/>
    <w:rsid w:val="00952576"/>
    <w:rsid w:val="009572E2"/>
    <w:rsid w:val="00964906"/>
    <w:rsid w:val="0096553E"/>
    <w:rsid w:val="00965F55"/>
    <w:rsid w:val="00970943"/>
    <w:rsid w:val="00970C86"/>
    <w:rsid w:val="00971A11"/>
    <w:rsid w:val="009738CD"/>
    <w:rsid w:val="0097525F"/>
    <w:rsid w:val="009758F3"/>
    <w:rsid w:val="0097705B"/>
    <w:rsid w:val="0098237E"/>
    <w:rsid w:val="00983AEF"/>
    <w:rsid w:val="00984DEA"/>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7801"/>
    <w:rsid w:val="009E0675"/>
    <w:rsid w:val="009E2289"/>
    <w:rsid w:val="009E22EF"/>
    <w:rsid w:val="009E38B3"/>
    <w:rsid w:val="009E4369"/>
    <w:rsid w:val="009E46E8"/>
    <w:rsid w:val="009E7CA6"/>
    <w:rsid w:val="009F0DAB"/>
    <w:rsid w:val="009F6433"/>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0DAC"/>
    <w:rsid w:val="00A520BB"/>
    <w:rsid w:val="00A53C90"/>
    <w:rsid w:val="00A544DF"/>
    <w:rsid w:val="00A54C8F"/>
    <w:rsid w:val="00A5594A"/>
    <w:rsid w:val="00A57890"/>
    <w:rsid w:val="00A6238E"/>
    <w:rsid w:val="00A63F3F"/>
    <w:rsid w:val="00A646DE"/>
    <w:rsid w:val="00A72352"/>
    <w:rsid w:val="00A73E58"/>
    <w:rsid w:val="00A74A55"/>
    <w:rsid w:val="00A81243"/>
    <w:rsid w:val="00A845EC"/>
    <w:rsid w:val="00A852B4"/>
    <w:rsid w:val="00A90772"/>
    <w:rsid w:val="00A9295D"/>
    <w:rsid w:val="00A949A8"/>
    <w:rsid w:val="00A959B8"/>
    <w:rsid w:val="00A9628B"/>
    <w:rsid w:val="00A96390"/>
    <w:rsid w:val="00AA196D"/>
    <w:rsid w:val="00AA220C"/>
    <w:rsid w:val="00AA31FA"/>
    <w:rsid w:val="00AA341B"/>
    <w:rsid w:val="00AA4ECA"/>
    <w:rsid w:val="00AA4F8E"/>
    <w:rsid w:val="00AA7115"/>
    <w:rsid w:val="00AB0220"/>
    <w:rsid w:val="00AB1D5F"/>
    <w:rsid w:val="00AB262A"/>
    <w:rsid w:val="00AB4B48"/>
    <w:rsid w:val="00AB4FFF"/>
    <w:rsid w:val="00AB5016"/>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0C18"/>
    <w:rsid w:val="00B64C19"/>
    <w:rsid w:val="00B66E17"/>
    <w:rsid w:val="00B67970"/>
    <w:rsid w:val="00B720D3"/>
    <w:rsid w:val="00B7286F"/>
    <w:rsid w:val="00B7431E"/>
    <w:rsid w:val="00B74E47"/>
    <w:rsid w:val="00B768E2"/>
    <w:rsid w:val="00B769AD"/>
    <w:rsid w:val="00B81D11"/>
    <w:rsid w:val="00B82F46"/>
    <w:rsid w:val="00B8687D"/>
    <w:rsid w:val="00B92A35"/>
    <w:rsid w:val="00B93EF1"/>
    <w:rsid w:val="00B9425F"/>
    <w:rsid w:val="00B9498B"/>
    <w:rsid w:val="00B951B1"/>
    <w:rsid w:val="00B979BD"/>
    <w:rsid w:val="00B97A23"/>
    <w:rsid w:val="00BA4A84"/>
    <w:rsid w:val="00BA53B5"/>
    <w:rsid w:val="00BA6D3D"/>
    <w:rsid w:val="00BB0A71"/>
    <w:rsid w:val="00BB5C1E"/>
    <w:rsid w:val="00BB6DF6"/>
    <w:rsid w:val="00BB7AA8"/>
    <w:rsid w:val="00BC0359"/>
    <w:rsid w:val="00BC0592"/>
    <w:rsid w:val="00BC1EBF"/>
    <w:rsid w:val="00BC2E68"/>
    <w:rsid w:val="00BC44B6"/>
    <w:rsid w:val="00BC4E67"/>
    <w:rsid w:val="00BC79C0"/>
    <w:rsid w:val="00BD1D37"/>
    <w:rsid w:val="00BD21D6"/>
    <w:rsid w:val="00BD42DB"/>
    <w:rsid w:val="00BD6245"/>
    <w:rsid w:val="00BE1049"/>
    <w:rsid w:val="00BE17A9"/>
    <w:rsid w:val="00BE69E6"/>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1D40"/>
    <w:rsid w:val="00CA2595"/>
    <w:rsid w:val="00CA3052"/>
    <w:rsid w:val="00CA3130"/>
    <w:rsid w:val="00CA69F1"/>
    <w:rsid w:val="00CB14F9"/>
    <w:rsid w:val="00CB1680"/>
    <w:rsid w:val="00CB3318"/>
    <w:rsid w:val="00CC2078"/>
    <w:rsid w:val="00CC2812"/>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1FED"/>
    <w:rsid w:val="00D32B32"/>
    <w:rsid w:val="00D336B8"/>
    <w:rsid w:val="00D34AF5"/>
    <w:rsid w:val="00D353B7"/>
    <w:rsid w:val="00D37BAC"/>
    <w:rsid w:val="00D42A06"/>
    <w:rsid w:val="00D4371F"/>
    <w:rsid w:val="00D440C9"/>
    <w:rsid w:val="00D44A45"/>
    <w:rsid w:val="00D463B4"/>
    <w:rsid w:val="00D47B67"/>
    <w:rsid w:val="00D5114F"/>
    <w:rsid w:val="00D53F84"/>
    <w:rsid w:val="00D57358"/>
    <w:rsid w:val="00D60CC8"/>
    <w:rsid w:val="00D62E47"/>
    <w:rsid w:val="00D70A58"/>
    <w:rsid w:val="00D71B5F"/>
    <w:rsid w:val="00D7211C"/>
    <w:rsid w:val="00D74C4C"/>
    <w:rsid w:val="00D80252"/>
    <w:rsid w:val="00D8251C"/>
    <w:rsid w:val="00D82A24"/>
    <w:rsid w:val="00D82DB4"/>
    <w:rsid w:val="00D83B95"/>
    <w:rsid w:val="00D846CA"/>
    <w:rsid w:val="00D84A3C"/>
    <w:rsid w:val="00D92179"/>
    <w:rsid w:val="00D94567"/>
    <w:rsid w:val="00D9482F"/>
    <w:rsid w:val="00D95773"/>
    <w:rsid w:val="00D9647E"/>
    <w:rsid w:val="00DA54F8"/>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40D9"/>
    <w:rsid w:val="00E255D9"/>
    <w:rsid w:val="00E25C2D"/>
    <w:rsid w:val="00E2791D"/>
    <w:rsid w:val="00E3410E"/>
    <w:rsid w:val="00E35542"/>
    <w:rsid w:val="00E41D60"/>
    <w:rsid w:val="00E420B0"/>
    <w:rsid w:val="00E42476"/>
    <w:rsid w:val="00E43AB0"/>
    <w:rsid w:val="00E450B0"/>
    <w:rsid w:val="00E50B0C"/>
    <w:rsid w:val="00E559F7"/>
    <w:rsid w:val="00E57A45"/>
    <w:rsid w:val="00E57EE4"/>
    <w:rsid w:val="00E613F6"/>
    <w:rsid w:val="00E63383"/>
    <w:rsid w:val="00E63E21"/>
    <w:rsid w:val="00E6642A"/>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977A4"/>
    <w:rsid w:val="00EA3ACD"/>
    <w:rsid w:val="00EA3CBF"/>
    <w:rsid w:val="00EA6A93"/>
    <w:rsid w:val="00EB1275"/>
    <w:rsid w:val="00EB512C"/>
    <w:rsid w:val="00EB78D8"/>
    <w:rsid w:val="00EC00BC"/>
    <w:rsid w:val="00EC1B98"/>
    <w:rsid w:val="00EC212C"/>
    <w:rsid w:val="00EC3A14"/>
    <w:rsid w:val="00EC4701"/>
    <w:rsid w:val="00EC57AA"/>
    <w:rsid w:val="00EC6DAB"/>
    <w:rsid w:val="00ED08E0"/>
    <w:rsid w:val="00ED0E52"/>
    <w:rsid w:val="00ED208B"/>
    <w:rsid w:val="00ED3242"/>
    <w:rsid w:val="00ED3ECF"/>
    <w:rsid w:val="00ED6D4F"/>
    <w:rsid w:val="00EE2602"/>
    <w:rsid w:val="00EE3490"/>
    <w:rsid w:val="00EE3CAE"/>
    <w:rsid w:val="00EE5BC4"/>
    <w:rsid w:val="00EE6DC8"/>
    <w:rsid w:val="00EF0368"/>
    <w:rsid w:val="00EF14C7"/>
    <w:rsid w:val="00EF5B11"/>
    <w:rsid w:val="00EF7A1D"/>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6463B"/>
    <w:rsid w:val="00F70732"/>
    <w:rsid w:val="00F718BA"/>
    <w:rsid w:val="00F722CD"/>
    <w:rsid w:val="00F7526B"/>
    <w:rsid w:val="00F75F09"/>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15AD"/>
    <w:rsid w:val="00FC38BB"/>
    <w:rsid w:val="00FC7CF2"/>
    <w:rsid w:val="00FD080D"/>
    <w:rsid w:val="00FD0FBD"/>
    <w:rsid w:val="00FD330F"/>
    <w:rsid w:val="00FD4289"/>
    <w:rsid w:val="00FD6F08"/>
    <w:rsid w:val="00FE008E"/>
    <w:rsid w:val="00FE00B8"/>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7E5EAD-BF07-44B0-B5F4-C5B2393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tabs>
        <w:tab w:val="clear" w:pos="862"/>
        <w:tab w:val="num" w:pos="720"/>
      </w:tabs>
      <w:ind w:left="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Default">
    <w:name w:val="Default"/>
    <w:rsid w:val="00860C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4115">
      <w:bodyDiv w:val="1"/>
      <w:marLeft w:val="0"/>
      <w:marRight w:val="0"/>
      <w:marTop w:val="0"/>
      <w:marBottom w:val="0"/>
      <w:divBdr>
        <w:top w:val="none" w:sz="0" w:space="0" w:color="auto"/>
        <w:left w:val="none" w:sz="0" w:space="0" w:color="auto"/>
        <w:bottom w:val="none" w:sz="0" w:space="0" w:color="auto"/>
        <w:right w:val="none" w:sz="0" w:space="0" w:color="auto"/>
      </w:divBdr>
      <w:divsChild>
        <w:div w:id="2136752336">
          <w:marLeft w:val="0"/>
          <w:marRight w:val="0"/>
          <w:marTop w:val="0"/>
          <w:marBottom w:val="0"/>
          <w:divBdr>
            <w:top w:val="none" w:sz="0" w:space="0" w:color="auto"/>
            <w:left w:val="none" w:sz="0" w:space="0" w:color="auto"/>
            <w:bottom w:val="none" w:sz="0" w:space="0" w:color="auto"/>
            <w:right w:val="none" w:sz="0" w:space="0" w:color="auto"/>
          </w:divBdr>
          <w:divsChild>
            <w:div w:id="365301244">
              <w:marLeft w:val="0"/>
              <w:marRight w:val="0"/>
              <w:marTop w:val="0"/>
              <w:marBottom w:val="0"/>
              <w:divBdr>
                <w:top w:val="none" w:sz="0" w:space="0" w:color="auto"/>
                <w:left w:val="none" w:sz="0" w:space="0" w:color="auto"/>
                <w:bottom w:val="none" w:sz="0" w:space="0" w:color="auto"/>
                <w:right w:val="none" w:sz="0" w:space="0" w:color="auto"/>
              </w:divBdr>
              <w:divsChild>
                <w:div w:id="14321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1244299040">
      <w:bodyDiv w:val="1"/>
      <w:marLeft w:val="0"/>
      <w:marRight w:val="0"/>
      <w:marTop w:val="0"/>
      <w:marBottom w:val="0"/>
      <w:divBdr>
        <w:top w:val="none" w:sz="0" w:space="0" w:color="auto"/>
        <w:left w:val="none" w:sz="0" w:space="0" w:color="auto"/>
        <w:bottom w:val="none" w:sz="0" w:space="0" w:color="auto"/>
        <w:right w:val="none" w:sz="0" w:space="0" w:color="auto"/>
      </w:divBdr>
    </w:div>
    <w:div w:id="1702903189">
      <w:bodyDiv w:val="1"/>
      <w:marLeft w:val="0"/>
      <w:marRight w:val="0"/>
      <w:marTop w:val="0"/>
      <w:marBottom w:val="0"/>
      <w:divBdr>
        <w:top w:val="none" w:sz="0" w:space="0" w:color="auto"/>
        <w:left w:val="none" w:sz="0" w:space="0" w:color="auto"/>
        <w:bottom w:val="none" w:sz="0" w:space="0" w:color="auto"/>
        <w:right w:val="none" w:sz="0" w:space="0" w:color="auto"/>
      </w:divBdr>
      <w:divsChild>
        <w:div w:id="850485804">
          <w:marLeft w:val="0"/>
          <w:marRight w:val="0"/>
          <w:marTop w:val="0"/>
          <w:marBottom w:val="0"/>
          <w:divBdr>
            <w:top w:val="none" w:sz="0" w:space="0" w:color="auto"/>
            <w:left w:val="none" w:sz="0" w:space="0" w:color="auto"/>
            <w:bottom w:val="none" w:sz="0" w:space="0" w:color="auto"/>
            <w:right w:val="none" w:sz="0" w:space="0" w:color="auto"/>
          </w:divBdr>
          <w:divsChild>
            <w:div w:id="1514026506">
              <w:marLeft w:val="0"/>
              <w:marRight w:val="0"/>
              <w:marTop w:val="0"/>
              <w:marBottom w:val="0"/>
              <w:divBdr>
                <w:top w:val="none" w:sz="0" w:space="0" w:color="auto"/>
                <w:left w:val="none" w:sz="0" w:space="0" w:color="auto"/>
                <w:bottom w:val="none" w:sz="0" w:space="0" w:color="auto"/>
                <w:right w:val="none" w:sz="0" w:space="0" w:color="auto"/>
              </w:divBdr>
              <w:divsChild>
                <w:div w:id="12416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2AC6-A8EF-4294-B810-31423C06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8</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11867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Penny  Haywood</cp:lastModifiedBy>
  <cp:revision>2</cp:revision>
  <cp:lastPrinted>2016-03-01T14:51:00Z</cp:lastPrinted>
  <dcterms:created xsi:type="dcterms:W3CDTF">2016-03-11T10:59:00Z</dcterms:created>
  <dcterms:modified xsi:type="dcterms:W3CDTF">2016-03-11T10:59:00Z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_AdHocReviewCycleID">
    <vt:i4>374882469</vt:i4>
  </property>
  <property fmtid="{D5CDD505-2E9C-101B-9397-08002B2CF9AE}" pid="13" name="_NewReviewCycle">
    <vt:lpwstr/>
  </property>
  <property fmtid="{D5CDD505-2E9C-101B-9397-08002B2CF9AE}" pid="14" name="_EmailSubject">
    <vt:lpwstr>DWP Values procurement</vt:lpwstr>
  </property>
  <property fmtid="{D5CDD505-2E9C-101B-9397-08002B2CF9AE}" pid="15" name="_AuthorEmail">
    <vt:lpwstr>MARCUS.LYNCH1@DWP.GSI.GOV.UK</vt:lpwstr>
  </property>
  <property fmtid="{D5CDD505-2E9C-101B-9397-08002B2CF9AE}" pid="16" name="_AuthorEmailDisplayName">
    <vt:lpwstr>Lynch Marcus DWP CD COMMERCIAL SOLUTIONS</vt:lpwstr>
  </property>
  <property fmtid="{D5CDD505-2E9C-101B-9397-08002B2CF9AE}" pid="17" name="_PreviousAdHocReviewCycleID">
    <vt:i4>105470805</vt:i4>
  </property>
  <property fmtid="{D5CDD505-2E9C-101B-9397-08002B2CF9AE}" pid="18" name="_ReviewingToolsShownOnce">
    <vt:lpwstr/>
  </property>
</Properties>
</file>