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23A9862A" w:rsidR="00BE79E7" w:rsidRDefault="006A02AA" w:rsidP="006A02AA">
      <w:pPr>
        <w:spacing w:before="89" w:line="494" w:lineRule="auto"/>
        <w:ind w:left="3402" w:hanging="1134"/>
        <w:rPr>
          <w:sz w:val="36"/>
        </w:rPr>
      </w:pPr>
      <w:r>
        <w:rPr>
          <w:color w:val="B51233"/>
          <w:sz w:val="36"/>
        </w:rPr>
        <w:t xml:space="preserve">                               </w:t>
      </w:r>
      <w:r w:rsidR="004A2168">
        <w:rPr>
          <w:color w:val="B51233"/>
          <w:sz w:val="36"/>
        </w:rPr>
        <w:t xml:space="preserve">Council of the Isles of </w:t>
      </w:r>
      <w:r w:rsidR="004A2168">
        <w:rPr>
          <w:color w:val="B51233"/>
          <w:spacing w:val="-4"/>
          <w:sz w:val="36"/>
        </w:rPr>
        <w:t xml:space="preserve">Scilly </w:t>
      </w:r>
      <w:r w:rsidR="004A2168">
        <w:rPr>
          <w:color w:val="5F5F5F"/>
          <w:spacing w:val="14"/>
          <w:sz w:val="36"/>
        </w:rPr>
        <w:t xml:space="preserve"> </w:t>
      </w:r>
      <w:r w:rsidR="00C61EF6">
        <w:rPr>
          <w:color w:val="5F5F5F"/>
          <w:spacing w:val="14"/>
          <w:sz w:val="36"/>
        </w:rPr>
        <w:t xml:space="preserve">   </w:t>
      </w:r>
      <w:r w:rsidR="0049248C">
        <w:rPr>
          <w:color w:val="5F5F5F"/>
          <w:spacing w:val="14"/>
          <w:sz w:val="36"/>
        </w:rPr>
        <w:t xml:space="preserve">              </w:t>
      </w:r>
      <w:r>
        <w:rPr>
          <w:color w:val="5F5F5F"/>
          <w:spacing w:val="14"/>
          <w:sz w:val="36"/>
        </w:rPr>
        <w:t>Combined Works Package (2021/22)</w:t>
      </w:r>
    </w:p>
    <w:p w14:paraId="2E3DA3DA" w14:textId="77777777" w:rsidR="00BE79E7" w:rsidRDefault="004A2168">
      <w:pPr>
        <w:spacing w:before="113"/>
        <w:ind w:left="6513"/>
        <w:rPr>
          <w:sz w:val="36"/>
        </w:rPr>
      </w:pPr>
      <w:r>
        <w:rPr>
          <w:color w:val="5F5F5F"/>
          <w:sz w:val="36"/>
        </w:rPr>
        <w:t>Invitation to</w:t>
      </w:r>
      <w:r>
        <w:rPr>
          <w:color w:val="5F5F5F"/>
          <w:spacing w:val="-5"/>
          <w:sz w:val="36"/>
        </w:rPr>
        <w:t xml:space="preserve"> </w:t>
      </w:r>
      <w:r>
        <w:rPr>
          <w:color w:val="5F5F5F"/>
          <w:sz w:val="36"/>
        </w:rPr>
        <w:t>Tender</w:t>
      </w:r>
    </w:p>
    <w:p w14:paraId="0DC3AB8E" w14:textId="77777777" w:rsidR="00BE79E7" w:rsidRDefault="00BE79E7">
      <w:pPr>
        <w:pStyle w:val="BodyText"/>
        <w:rPr>
          <w:sz w:val="40"/>
        </w:rPr>
      </w:pPr>
    </w:p>
    <w:p w14:paraId="26991365" w14:textId="77777777" w:rsidR="00BE79E7" w:rsidRDefault="00BE79E7">
      <w:pPr>
        <w:pStyle w:val="BodyText"/>
        <w:spacing w:before="9"/>
        <w:rPr>
          <w:sz w:val="48"/>
        </w:rPr>
      </w:pPr>
    </w:p>
    <w:p w14:paraId="5989D4FE" w14:textId="6E54D14F" w:rsidR="00BE79E7" w:rsidRDefault="000979A0">
      <w:pPr>
        <w:ind w:right="369"/>
        <w:jc w:val="right"/>
        <w:rPr>
          <w:sz w:val="28"/>
        </w:rPr>
      </w:pPr>
      <w:r>
        <w:rPr>
          <w:color w:val="5F5F5F"/>
          <w:sz w:val="28"/>
        </w:rPr>
        <w:t>8</w:t>
      </w:r>
      <w:r w:rsidRPr="000979A0">
        <w:rPr>
          <w:color w:val="5F5F5F"/>
          <w:sz w:val="28"/>
          <w:vertAlign w:val="superscript"/>
        </w:rPr>
        <w:t>th</w:t>
      </w:r>
      <w:r>
        <w:rPr>
          <w:color w:val="5F5F5F"/>
          <w:sz w:val="28"/>
        </w:rPr>
        <w:t xml:space="preserve"> November</w:t>
      </w:r>
      <w:r w:rsidR="006A02AA">
        <w:rPr>
          <w:color w:val="5F5F5F"/>
          <w:sz w:val="28"/>
        </w:rPr>
        <w:t xml:space="preserve"> 2021</w:t>
      </w:r>
    </w:p>
    <w:p w14:paraId="17BD032C" w14:textId="77777777" w:rsidR="00BE79E7" w:rsidRDefault="00BE79E7">
      <w:pPr>
        <w:pStyle w:val="BodyText"/>
        <w:rPr>
          <w:sz w:val="20"/>
        </w:rPr>
      </w:pPr>
    </w:p>
    <w:p w14:paraId="492F5BDE" w14:textId="77777777" w:rsidR="00BE79E7" w:rsidRDefault="00BE79E7">
      <w:pPr>
        <w:pStyle w:val="BodyText"/>
        <w:rPr>
          <w:sz w:val="20"/>
        </w:rPr>
      </w:pPr>
    </w:p>
    <w:p w14:paraId="38E425EC" w14:textId="77777777" w:rsidR="00BE79E7" w:rsidRDefault="00BE79E7">
      <w:pPr>
        <w:pStyle w:val="BodyText"/>
        <w:rPr>
          <w:sz w:val="20"/>
        </w:rPr>
      </w:pPr>
    </w:p>
    <w:p w14:paraId="238F9325" w14:textId="77777777" w:rsidR="00BE79E7" w:rsidRDefault="00BE79E7">
      <w:pPr>
        <w:pStyle w:val="BodyText"/>
        <w:rPr>
          <w:sz w:val="20"/>
        </w:rPr>
      </w:pPr>
    </w:p>
    <w:p w14:paraId="560CC60F" w14:textId="77777777" w:rsidR="00BE79E7" w:rsidRDefault="00BE79E7">
      <w:pPr>
        <w:pStyle w:val="BodyText"/>
        <w:rPr>
          <w:sz w:val="20"/>
        </w:rPr>
      </w:pPr>
    </w:p>
    <w:p w14:paraId="43172290" w14:textId="77777777" w:rsidR="00BE79E7" w:rsidRDefault="00BE79E7">
      <w:pPr>
        <w:pStyle w:val="BodyText"/>
        <w:rPr>
          <w:sz w:val="20"/>
        </w:rPr>
      </w:pPr>
    </w:p>
    <w:p w14:paraId="6995C47A" w14:textId="77777777" w:rsidR="00BE79E7" w:rsidRDefault="00BE79E7">
      <w:pPr>
        <w:pStyle w:val="BodyText"/>
        <w:rPr>
          <w:sz w:val="20"/>
        </w:rPr>
      </w:pPr>
    </w:p>
    <w:p w14:paraId="319F782E" w14:textId="77777777" w:rsidR="00BE79E7" w:rsidRDefault="00BE79E7">
      <w:pPr>
        <w:pStyle w:val="BodyText"/>
        <w:rPr>
          <w:sz w:val="20"/>
        </w:rPr>
      </w:pPr>
    </w:p>
    <w:p w14:paraId="4DD239DA" w14:textId="77777777" w:rsidR="00BE79E7" w:rsidRDefault="00BE79E7">
      <w:pPr>
        <w:pStyle w:val="BodyText"/>
        <w:rPr>
          <w:sz w:val="20"/>
        </w:rPr>
      </w:pPr>
    </w:p>
    <w:p w14:paraId="1502426E" w14:textId="77777777" w:rsidR="00BE79E7" w:rsidRDefault="00BE79E7">
      <w:pPr>
        <w:pStyle w:val="BodyText"/>
        <w:rPr>
          <w:sz w:val="20"/>
        </w:rPr>
      </w:pPr>
    </w:p>
    <w:p w14:paraId="12BB2E76" w14:textId="77777777" w:rsidR="00BE79E7" w:rsidRDefault="00BE79E7">
      <w:pPr>
        <w:pStyle w:val="BodyText"/>
        <w:rPr>
          <w:sz w:val="20"/>
        </w:rPr>
      </w:pPr>
    </w:p>
    <w:p w14:paraId="31F216B2" w14:textId="77777777" w:rsidR="00BE79E7" w:rsidRDefault="00BE79E7">
      <w:pPr>
        <w:pStyle w:val="BodyText"/>
        <w:rPr>
          <w:sz w:val="20"/>
        </w:rPr>
      </w:pPr>
    </w:p>
    <w:p w14:paraId="2F5D7C7D" w14:textId="77777777" w:rsidR="00BE79E7" w:rsidRDefault="00BE79E7">
      <w:pPr>
        <w:pStyle w:val="BodyText"/>
        <w:rPr>
          <w:sz w:val="20"/>
        </w:rPr>
      </w:pPr>
    </w:p>
    <w:p w14:paraId="307D8860" w14:textId="77777777" w:rsidR="00BE79E7" w:rsidRDefault="00BE79E7">
      <w:pPr>
        <w:pStyle w:val="BodyText"/>
        <w:rPr>
          <w:sz w:val="20"/>
        </w:rPr>
      </w:pPr>
    </w:p>
    <w:p w14:paraId="5AE590DB" w14:textId="77777777" w:rsidR="00BE79E7" w:rsidRDefault="004A2168">
      <w:pPr>
        <w:pStyle w:val="BodyText"/>
        <w:spacing w:before="9"/>
        <w:rPr>
          <w:sz w:val="29"/>
        </w:rPr>
      </w:pPr>
      <w:r>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Default="00BE79E7">
      <w:pPr>
        <w:rPr>
          <w:sz w:val="29"/>
        </w:rPr>
        <w:sectPr w:rsidR="00BE79E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760" w:bottom="280" w:left="1180" w:header="720" w:footer="720" w:gutter="0"/>
          <w:cols w:space="720"/>
        </w:sectPr>
      </w:pPr>
    </w:p>
    <w:p w14:paraId="0F635E89" w14:textId="77777777" w:rsidR="00BE79E7" w:rsidRDefault="00BE79E7">
      <w:pPr>
        <w:pStyle w:val="BodyText"/>
        <w:rPr>
          <w:sz w:val="20"/>
        </w:rPr>
      </w:pPr>
    </w:p>
    <w:p w14:paraId="722E6570" w14:textId="77777777" w:rsidR="00BE79E7" w:rsidRDefault="00BE79E7">
      <w:pPr>
        <w:pStyle w:val="BodyText"/>
        <w:spacing w:before="10"/>
        <w:rPr>
          <w:sz w:val="11"/>
        </w:rPr>
      </w:pPr>
    </w:p>
    <w:p w14:paraId="78F67850" w14:textId="6C77AB82" w:rsidR="00BE79E7" w:rsidRDefault="004A2168">
      <w:pPr>
        <w:pStyle w:val="BodyText"/>
        <w:spacing w:line="20" w:lineRule="exact"/>
        <w:ind w:left="502"/>
        <w:rPr>
          <w:sz w:val="2"/>
        </w:rPr>
      </w:pPr>
      <w:r>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Default="004A2168">
      <w:pPr>
        <w:spacing w:before="126"/>
        <w:ind w:left="522"/>
        <w:rPr>
          <w:sz w:val="28"/>
        </w:rPr>
      </w:pPr>
      <w:r>
        <w:rPr>
          <w:color w:val="B51233"/>
          <w:sz w:val="28"/>
        </w:rPr>
        <w:t>Contact details</w:t>
      </w:r>
    </w:p>
    <w:p w14:paraId="20B2A501" w14:textId="77777777" w:rsidR="00BE79E7" w:rsidRDefault="00BE79E7">
      <w:pPr>
        <w:pStyle w:val="BodyText"/>
        <w:rPr>
          <w:sz w:val="20"/>
        </w:rPr>
      </w:pPr>
    </w:p>
    <w:p w14:paraId="0070DC74" w14:textId="77777777" w:rsidR="00BE79E7"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14:paraId="411BD4F2" w14:textId="77777777" w:rsidTr="00DF4F6B">
        <w:trPr>
          <w:trHeight w:val="318"/>
        </w:trPr>
        <w:tc>
          <w:tcPr>
            <w:tcW w:w="3982" w:type="dxa"/>
          </w:tcPr>
          <w:p w14:paraId="04C5ED64" w14:textId="77777777" w:rsidR="00BE79E7" w:rsidRDefault="004A2168">
            <w:pPr>
              <w:pStyle w:val="TableParagraph"/>
              <w:spacing w:line="236" w:lineRule="exact"/>
              <w:ind w:left="200"/>
              <w:rPr>
                <w:b/>
                <w:sz w:val="21"/>
              </w:rPr>
            </w:pPr>
            <w:r>
              <w:rPr>
                <w:b/>
                <w:color w:val="5F5F5F"/>
                <w:sz w:val="21"/>
              </w:rPr>
              <w:t>Keith Grossett</w:t>
            </w:r>
          </w:p>
        </w:tc>
        <w:tc>
          <w:tcPr>
            <w:tcW w:w="3769" w:type="dxa"/>
          </w:tcPr>
          <w:p w14:paraId="3830BEFD" w14:textId="77777777" w:rsidR="00BE79E7" w:rsidRDefault="00BE79E7">
            <w:pPr>
              <w:pStyle w:val="TableParagraph"/>
              <w:ind w:left="0"/>
              <w:rPr>
                <w:rFonts w:ascii="Times New Roman"/>
                <w:sz w:val="20"/>
              </w:rPr>
            </w:pPr>
          </w:p>
        </w:tc>
      </w:tr>
      <w:tr w:rsidR="00BE79E7" w14:paraId="5202AD64" w14:textId="77777777" w:rsidTr="00DF4F6B">
        <w:trPr>
          <w:trHeight w:val="1359"/>
        </w:trPr>
        <w:tc>
          <w:tcPr>
            <w:tcW w:w="3982" w:type="dxa"/>
          </w:tcPr>
          <w:p w14:paraId="63C52B1E" w14:textId="77777777" w:rsidR="00BE79E7" w:rsidRDefault="004A2168">
            <w:pPr>
              <w:pStyle w:val="TableParagraph"/>
              <w:spacing w:before="76"/>
              <w:ind w:left="200"/>
              <w:rPr>
                <w:sz w:val="21"/>
              </w:rPr>
            </w:pPr>
            <w:r>
              <w:rPr>
                <w:color w:val="5F5F5F"/>
                <w:sz w:val="21"/>
              </w:rPr>
              <w:t>D 01720 424491</w:t>
            </w:r>
          </w:p>
          <w:p w14:paraId="4C85D8A3" w14:textId="77777777" w:rsidR="00BE79E7" w:rsidRDefault="004A2168">
            <w:pPr>
              <w:pStyle w:val="TableParagraph"/>
              <w:spacing w:before="18"/>
              <w:ind w:left="200"/>
              <w:rPr>
                <w:color w:val="0000FF"/>
                <w:sz w:val="21"/>
                <w:u w:val="single" w:color="0000FF"/>
              </w:rPr>
            </w:pPr>
            <w:r>
              <w:rPr>
                <w:color w:val="5F5F5F"/>
                <w:sz w:val="21"/>
              </w:rPr>
              <w:t xml:space="preserve">E </w:t>
            </w:r>
            <w:hyperlink r:id="rId17">
              <w:r>
                <w:rPr>
                  <w:color w:val="0000FF"/>
                  <w:sz w:val="21"/>
                  <w:u w:val="single" w:color="0000FF"/>
                </w:rPr>
                <w:t>Keith.Grossett@scilly.gov.uk</w:t>
              </w:r>
            </w:hyperlink>
          </w:p>
          <w:p w14:paraId="0B08A8AA" w14:textId="398E2C2A" w:rsidR="000979A0" w:rsidRDefault="000979A0">
            <w:pPr>
              <w:pStyle w:val="TableParagraph"/>
              <w:spacing w:before="18"/>
              <w:ind w:left="200"/>
              <w:rPr>
                <w:color w:val="5F5F5F"/>
                <w:sz w:val="21"/>
              </w:rPr>
            </w:pPr>
            <w:hyperlink r:id="rId18" w:history="1">
              <w:r w:rsidRPr="003A0693">
                <w:rPr>
                  <w:rStyle w:val="Hyperlink"/>
                  <w:sz w:val="21"/>
                </w:rPr>
                <w:t>Procurement@scilly.gov.uk</w:t>
              </w:r>
            </w:hyperlink>
          </w:p>
          <w:p w14:paraId="1E140A9F" w14:textId="4F6FB1E6" w:rsidR="000979A0" w:rsidRDefault="000979A0">
            <w:pPr>
              <w:pStyle w:val="TableParagraph"/>
              <w:spacing w:before="18"/>
              <w:ind w:left="200"/>
              <w:rPr>
                <w:sz w:val="21"/>
              </w:rPr>
            </w:pPr>
          </w:p>
        </w:tc>
        <w:tc>
          <w:tcPr>
            <w:tcW w:w="3769" w:type="dxa"/>
          </w:tcPr>
          <w:p w14:paraId="01E83EBF" w14:textId="77777777" w:rsidR="00BE79E7" w:rsidRDefault="004A2168">
            <w:pPr>
              <w:pStyle w:val="TableParagraph"/>
              <w:spacing w:before="76" w:line="259" w:lineRule="auto"/>
              <w:ind w:left="906" w:right="511"/>
              <w:rPr>
                <w:sz w:val="21"/>
              </w:rPr>
            </w:pPr>
            <w:r>
              <w:rPr>
                <w:color w:val="5F5F5F"/>
                <w:sz w:val="21"/>
              </w:rPr>
              <w:t xml:space="preserve">Town Hall, St Mary's, Isles of </w:t>
            </w:r>
            <w:r>
              <w:rPr>
                <w:color w:val="5F5F5F"/>
                <w:spacing w:val="-3"/>
                <w:sz w:val="21"/>
              </w:rPr>
              <w:t xml:space="preserve">Scilly </w:t>
            </w:r>
            <w:r>
              <w:rPr>
                <w:color w:val="5F5F5F"/>
                <w:sz w:val="21"/>
              </w:rPr>
              <w:t>TR21</w:t>
            </w:r>
            <w:r>
              <w:rPr>
                <w:color w:val="5F5F5F"/>
                <w:spacing w:val="-1"/>
                <w:sz w:val="21"/>
              </w:rPr>
              <w:t xml:space="preserve"> </w:t>
            </w:r>
            <w:r>
              <w:rPr>
                <w:color w:val="5F5F5F"/>
                <w:sz w:val="21"/>
              </w:rPr>
              <w:t>0LW</w:t>
            </w:r>
          </w:p>
          <w:p w14:paraId="45BBD5B7" w14:textId="77777777" w:rsidR="00BE79E7" w:rsidRDefault="004A2168">
            <w:pPr>
              <w:pStyle w:val="TableParagraph"/>
              <w:spacing w:line="220" w:lineRule="exact"/>
              <w:ind w:left="906"/>
              <w:rPr>
                <w:sz w:val="21"/>
              </w:rPr>
            </w:pPr>
            <w:r>
              <w:rPr>
                <w:color w:val="5F5F5F"/>
                <w:sz w:val="21"/>
              </w:rPr>
              <w:t>T 01720 424000</w:t>
            </w:r>
          </w:p>
        </w:tc>
      </w:tr>
    </w:tbl>
    <w:p w14:paraId="4BC2B2FD" w14:textId="77777777" w:rsidR="00BE79E7" w:rsidRDefault="00BE79E7">
      <w:pPr>
        <w:pStyle w:val="BodyText"/>
        <w:rPr>
          <w:sz w:val="30"/>
        </w:rPr>
      </w:pPr>
    </w:p>
    <w:p w14:paraId="07596FB3" w14:textId="77777777" w:rsidR="00BE79E7" w:rsidRDefault="00BE79E7">
      <w:pPr>
        <w:pStyle w:val="BodyText"/>
        <w:rPr>
          <w:sz w:val="31"/>
        </w:rPr>
      </w:pPr>
    </w:p>
    <w:p w14:paraId="0D1EED10" w14:textId="77777777" w:rsidR="00BE79E7" w:rsidRDefault="004A2168">
      <w:pPr>
        <w:pStyle w:val="BodyText"/>
        <w:ind w:left="522"/>
      </w:pPr>
      <w:r>
        <w:rPr>
          <w:color w:val="5F5F5F"/>
        </w:rPr>
        <w:t>Advertised at:</w:t>
      </w:r>
    </w:p>
    <w:p w14:paraId="767939C7" w14:textId="77777777" w:rsidR="00BE79E7" w:rsidRDefault="000979A0">
      <w:pPr>
        <w:pStyle w:val="BodyText"/>
        <w:spacing w:before="178"/>
        <w:ind w:left="522"/>
      </w:pPr>
      <w:hyperlink r:id="rId19">
        <w:r w:rsidR="004A2168">
          <w:rPr>
            <w:color w:val="0000FF"/>
            <w:u w:val="single" w:color="0000FF"/>
          </w:rPr>
          <w:t>https://www.gov.uk/contracts-finder</w:t>
        </w:r>
      </w:hyperlink>
    </w:p>
    <w:p w14:paraId="23AA85A0" w14:textId="77777777" w:rsidR="00BE79E7" w:rsidRDefault="000979A0">
      <w:pPr>
        <w:pStyle w:val="BodyText"/>
        <w:spacing w:before="179"/>
        <w:ind w:left="522"/>
      </w:pPr>
      <w:hyperlink r:id="rId20">
        <w:r w:rsidR="004A2168">
          <w:rPr>
            <w:color w:val="0000FF"/>
            <w:u w:val="single" w:color="0000FF"/>
          </w:rPr>
          <w:t>http://www.scilly.gov.uk/business-licensing/contracts/current-contract-opportunities</w:t>
        </w:r>
      </w:hyperlink>
    </w:p>
    <w:p w14:paraId="5FD50831" w14:textId="77777777" w:rsidR="00BE79E7" w:rsidRDefault="00BE79E7">
      <w:pPr>
        <w:pStyle w:val="BodyText"/>
        <w:rPr>
          <w:sz w:val="20"/>
        </w:rPr>
      </w:pPr>
    </w:p>
    <w:p w14:paraId="0AA81B11" w14:textId="77777777" w:rsidR="00BE79E7" w:rsidRDefault="00BE79E7">
      <w:pPr>
        <w:pStyle w:val="BodyText"/>
        <w:rPr>
          <w:sz w:val="20"/>
        </w:rPr>
      </w:pPr>
    </w:p>
    <w:p w14:paraId="6E2317CA" w14:textId="77777777" w:rsidR="00BE79E7" w:rsidRDefault="00BE79E7">
      <w:pPr>
        <w:pStyle w:val="BodyText"/>
        <w:rPr>
          <w:sz w:val="20"/>
        </w:rPr>
      </w:pPr>
    </w:p>
    <w:p w14:paraId="53549E90" w14:textId="77777777" w:rsidR="00BE79E7" w:rsidRDefault="00BE79E7">
      <w:pPr>
        <w:pStyle w:val="BodyText"/>
        <w:spacing w:before="7"/>
        <w:rPr>
          <w:sz w:val="20"/>
        </w:rPr>
      </w:pPr>
    </w:p>
    <w:p w14:paraId="7053CFA7" w14:textId="77777777" w:rsidR="00BE79E7" w:rsidRDefault="004A2168">
      <w:pPr>
        <w:pStyle w:val="BodyText"/>
        <w:spacing w:before="94"/>
        <w:ind w:left="522"/>
      </w:pPr>
      <w:r>
        <w:rPr>
          <w:color w:val="5F5F5F"/>
          <w:u w:val="single" w:color="5F5F5F"/>
        </w:rPr>
        <w:t>REFERENCE NUMBER</w:t>
      </w:r>
    </w:p>
    <w:p w14:paraId="1EDF1935" w14:textId="05E670C0" w:rsidR="00BE79E7" w:rsidRDefault="004A2168" w:rsidP="00107A9C">
      <w:pPr>
        <w:pStyle w:val="BodyText"/>
        <w:spacing w:before="179"/>
        <w:ind w:left="522"/>
        <w:sectPr w:rsidR="00BE79E7">
          <w:headerReference w:type="default" r:id="rId21"/>
          <w:footerReference w:type="default" r:id="rId22"/>
          <w:pgSz w:w="11910" w:h="16840"/>
          <w:pgMar w:top="1120" w:right="760" w:bottom="1280" w:left="1180" w:header="713" w:footer="1091" w:gutter="0"/>
          <w:cols w:space="720"/>
        </w:sectPr>
      </w:pPr>
      <w:r>
        <w:rPr>
          <w:color w:val="5F5F5F"/>
        </w:rPr>
        <w:t xml:space="preserve">CIOS Contract Notice Reference Number: </w:t>
      </w:r>
      <w:r w:rsidR="00CF00DC" w:rsidRPr="00CF00DC">
        <w:rPr>
          <w:color w:val="5F5F5F"/>
        </w:rPr>
        <w:t>PoW_21</w:t>
      </w:r>
      <w:r w:rsidR="000979A0">
        <w:rPr>
          <w:color w:val="5F5F5F"/>
        </w:rPr>
        <w:t>1108</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0979A0">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0979A0">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0979A0">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0979A0">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0979A0">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0979A0">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19DCE6CA" w:rsidR="00BE79E7" w:rsidRDefault="004A2168" w:rsidP="00DF4F6B">
      <w:pPr>
        <w:pStyle w:val="BodyText"/>
        <w:spacing w:before="102" w:line="360" w:lineRule="auto"/>
        <w:ind w:left="522" w:right="2740"/>
      </w:pPr>
      <w:r>
        <w:rPr>
          <w:color w:val="5F5F5F"/>
        </w:rPr>
        <w:t xml:space="preserve">Appendix Five – Health &amp; Safety Information (CDM) </w:t>
      </w:r>
      <w:r w:rsidR="00DF4F6B">
        <w:rPr>
          <w:color w:val="5F5F5F"/>
        </w:rPr>
        <w:t xml:space="preserve"> (PCIP to follow) </w:t>
      </w:r>
      <w:r>
        <w:rPr>
          <w:color w:val="5F5F5F"/>
        </w:rPr>
        <w:t>Appendix Six – Reports</w:t>
      </w:r>
    </w:p>
    <w:p w14:paraId="42AE8FD3" w14:textId="77777777" w:rsidR="00BE79E7" w:rsidRDefault="004A2168">
      <w:pPr>
        <w:pStyle w:val="BodyText"/>
        <w:spacing w:line="239" w:lineRule="exact"/>
        <w:ind w:left="522"/>
      </w:pPr>
      <w:r>
        <w:rPr>
          <w:color w:val="5F5F5F"/>
        </w:rPr>
        <w:t>Appendix Seven – Drawings</w:t>
      </w:r>
    </w:p>
    <w:p w14:paraId="3DD07190" w14:textId="77777777" w:rsidR="00BE79E7" w:rsidRDefault="004A2168">
      <w:pPr>
        <w:pStyle w:val="BodyText"/>
        <w:spacing w:before="119"/>
        <w:ind w:left="522"/>
      </w:pPr>
      <w:r>
        <w:rPr>
          <w:color w:val="5F5F5F"/>
        </w:rPr>
        <w:t>Appendix Eight – Contract Particulars &amp; Amendments</w:t>
      </w:r>
    </w:p>
    <w:p w14:paraId="00A167F9" w14:textId="77777777" w:rsidR="00BE79E7" w:rsidRDefault="00BE79E7">
      <w:pPr>
        <w:sectPr w:rsidR="00BE79E7">
          <w:footerReference w:type="default" r:id="rId23"/>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Default="00BE79E7">
            <w:pPr>
              <w:pStyle w:val="TableParagraph"/>
              <w:spacing w:before="9"/>
              <w:ind w:left="0"/>
              <w:rPr>
                <w:rFonts w:ascii="Times New Roman"/>
                <w:sz w:val="20"/>
              </w:rPr>
            </w:pPr>
          </w:p>
          <w:p w14:paraId="78706BF2" w14:textId="77777777" w:rsidR="00BE79E7" w:rsidRDefault="004A2168">
            <w:pPr>
              <w:pStyle w:val="TableParagraph"/>
              <w:ind w:left="2940" w:right="2935"/>
              <w:jc w:val="center"/>
              <w:rPr>
                <w:b/>
                <w:sz w:val="21"/>
              </w:rPr>
            </w:pPr>
            <w:r>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Default="004A2168">
            <w:pPr>
              <w:pStyle w:val="TableParagraph"/>
              <w:spacing w:line="239" w:lineRule="exact"/>
              <w:rPr>
                <w:b/>
                <w:sz w:val="21"/>
              </w:rPr>
            </w:pPr>
            <w:r>
              <w:rPr>
                <w:b/>
                <w:color w:val="1F1F1F"/>
                <w:sz w:val="21"/>
              </w:rPr>
              <w:t>Contract Name:</w:t>
            </w:r>
          </w:p>
        </w:tc>
        <w:tc>
          <w:tcPr>
            <w:tcW w:w="2583" w:type="dxa"/>
          </w:tcPr>
          <w:p w14:paraId="0B09CA86" w14:textId="6842011F" w:rsidR="00BE79E7" w:rsidRDefault="00CF00DC" w:rsidP="0049248C">
            <w:pPr>
              <w:pStyle w:val="TableParagraph"/>
              <w:spacing w:line="242" w:lineRule="exact"/>
              <w:ind w:right="273"/>
              <w:rPr>
                <w:sz w:val="21"/>
              </w:rPr>
            </w:pPr>
            <w:r>
              <w:rPr>
                <w:color w:val="1F1F1F"/>
                <w:sz w:val="21"/>
              </w:rPr>
              <w:t>Combined Works (2021/22)</w:t>
            </w:r>
            <w:r w:rsidR="0049248C">
              <w:rPr>
                <w:color w:val="1F1F1F"/>
                <w:sz w:val="21"/>
              </w:rPr>
              <w:t xml:space="preserve"> – Council of the Isles of Scilly</w:t>
            </w:r>
          </w:p>
        </w:tc>
        <w:tc>
          <w:tcPr>
            <w:tcW w:w="2410" w:type="dxa"/>
          </w:tcPr>
          <w:p w14:paraId="11AB31A7" w14:textId="77777777" w:rsidR="00BE79E7" w:rsidRDefault="004A2168">
            <w:pPr>
              <w:pStyle w:val="TableParagraph"/>
              <w:spacing w:line="239" w:lineRule="exact"/>
              <w:rPr>
                <w:b/>
                <w:sz w:val="21"/>
              </w:rPr>
            </w:pPr>
            <w:r>
              <w:rPr>
                <w:b/>
                <w:color w:val="1F1F1F"/>
                <w:sz w:val="21"/>
              </w:rPr>
              <w:t>Date of ITT Issue:</w:t>
            </w:r>
          </w:p>
        </w:tc>
        <w:tc>
          <w:tcPr>
            <w:tcW w:w="2089" w:type="dxa"/>
          </w:tcPr>
          <w:p w14:paraId="62B18B58" w14:textId="779BCFB8" w:rsidR="00BE79E7" w:rsidRDefault="000979A0">
            <w:pPr>
              <w:pStyle w:val="TableParagraph"/>
              <w:spacing w:before="1" w:line="222" w:lineRule="exact"/>
              <w:rPr>
                <w:sz w:val="21"/>
              </w:rPr>
            </w:pPr>
            <w:r>
              <w:rPr>
                <w:color w:val="1F1F1F"/>
                <w:sz w:val="21"/>
              </w:rPr>
              <w:t>8</w:t>
            </w:r>
            <w:r w:rsidRPr="000979A0">
              <w:rPr>
                <w:color w:val="1F1F1F"/>
                <w:sz w:val="21"/>
                <w:vertAlign w:val="superscript"/>
              </w:rPr>
              <w:t>th</w:t>
            </w:r>
            <w:r>
              <w:rPr>
                <w:color w:val="1F1F1F"/>
                <w:sz w:val="21"/>
              </w:rPr>
              <w:t xml:space="preserve"> November</w:t>
            </w:r>
            <w:r w:rsidR="00CF00DC">
              <w:rPr>
                <w:color w:val="1F1F1F"/>
                <w:sz w:val="21"/>
              </w:rPr>
              <w:t xml:space="preserve"> 2021</w:t>
            </w:r>
          </w:p>
        </w:tc>
      </w:tr>
      <w:tr w:rsidR="00BE79E7" w14:paraId="56585EED" w14:textId="77777777" w:rsidTr="0049248C">
        <w:trPr>
          <w:trHeight w:val="964"/>
        </w:trPr>
        <w:tc>
          <w:tcPr>
            <w:tcW w:w="1983" w:type="dxa"/>
          </w:tcPr>
          <w:p w14:paraId="1ADED220" w14:textId="77777777" w:rsidR="00BE79E7" w:rsidRDefault="004A2168">
            <w:pPr>
              <w:pStyle w:val="TableParagraph"/>
              <w:spacing w:line="239" w:lineRule="exact"/>
              <w:rPr>
                <w:b/>
                <w:sz w:val="21"/>
              </w:rPr>
            </w:pPr>
            <w:r>
              <w:rPr>
                <w:b/>
                <w:color w:val="1F1F1F"/>
                <w:sz w:val="21"/>
              </w:rPr>
              <w:t>Our Contract Ref:</w:t>
            </w:r>
          </w:p>
        </w:tc>
        <w:tc>
          <w:tcPr>
            <w:tcW w:w="2583" w:type="dxa"/>
          </w:tcPr>
          <w:p w14:paraId="712FE891" w14:textId="6319278C" w:rsidR="00BE79E7" w:rsidRDefault="00CF00DC">
            <w:pPr>
              <w:pStyle w:val="TableParagraph"/>
              <w:spacing w:line="239" w:lineRule="exact"/>
              <w:rPr>
                <w:sz w:val="21"/>
              </w:rPr>
            </w:pPr>
            <w:r w:rsidRPr="00CF00DC">
              <w:rPr>
                <w:color w:val="1F1F1F"/>
                <w:sz w:val="21"/>
              </w:rPr>
              <w:t>PoW_210917</w:t>
            </w:r>
          </w:p>
        </w:tc>
        <w:tc>
          <w:tcPr>
            <w:tcW w:w="2410" w:type="dxa"/>
          </w:tcPr>
          <w:p w14:paraId="55FA05CD" w14:textId="77777777" w:rsidR="00BE79E7" w:rsidRDefault="004A2168">
            <w:pPr>
              <w:pStyle w:val="TableParagraph"/>
              <w:spacing w:line="237" w:lineRule="auto"/>
              <w:ind w:right="664"/>
              <w:rPr>
                <w:b/>
                <w:sz w:val="21"/>
              </w:rPr>
            </w:pPr>
            <w:r>
              <w:rPr>
                <w:b/>
                <w:color w:val="1F1F1F"/>
                <w:sz w:val="21"/>
              </w:rPr>
              <w:t>Clarifications Period</w:t>
            </w:r>
          </w:p>
        </w:tc>
        <w:tc>
          <w:tcPr>
            <w:tcW w:w="2089" w:type="dxa"/>
          </w:tcPr>
          <w:p w14:paraId="1EEF1DD6" w14:textId="2AC32A3B" w:rsidR="00BE79E7" w:rsidRDefault="000979A0" w:rsidP="005777A1">
            <w:pPr>
              <w:pStyle w:val="TableParagraph"/>
              <w:spacing w:line="241" w:lineRule="exact"/>
              <w:rPr>
                <w:sz w:val="21"/>
              </w:rPr>
            </w:pPr>
            <w:r>
              <w:rPr>
                <w:color w:val="1F1F1F"/>
                <w:sz w:val="21"/>
              </w:rPr>
              <w:t>8</w:t>
            </w:r>
            <w:r w:rsidRPr="000979A0">
              <w:rPr>
                <w:color w:val="1F1F1F"/>
                <w:sz w:val="21"/>
                <w:vertAlign w:val="superscript"/>
              </w:rPr>
              <w:t>th</w:t>
            </w:r>
            <w:r>
              <w:rPr>
                <w:color w:val="1F1F1F"/>
                <w:sz w:val="21"/>
              </w:rPr>
              <w:t xml:space="preserve"> November</w:t>
            </w:r>
            <w:r w:rsidR="005777A1">
              <w:rPr>
                <w:color w:val="1F1F1F"/>
                <w:sz w:val="21"/>
              </w:rPr>
              <w:t xml:space="preserve"> 202</w:t>
            </w:r>
            <w:r w:rsidR="00CF00DC">
              <w:rPr>
                <w:color w:val="1F1F1F"/>
                <w:sz w:val="21"/>
              </w:rPr>
              <w:t>1</w:t>
            </w:r>
            <w:r w:rsidR="004A2168">
              <w:rPr>
                <w:color w:val="1F1F1F"/>
                <w:sz w:val="21"/>
              </w:rPr>
              <w:t xml:space="preserve"> </w:t>
            </w:r>
            <w:r>
              <w:rPr>
                <w:color w:val="1F1F1F"/>
                <w:sz w:val="21"/>
              </w:rPr>
              <w:t>15</w:t>
            </w:r>
            <w:r w:rsidRPr="000979A0">
              <w:rPr>
                <w:color w:val="1F1F1F"/>
                <w:sz w:val="21"/>
                <w:vertAlign w:val="superscript"/>
              </w:rPr>
              <w:t>th</w:t>
            </w:r>
            <w:r>
              <w:rPr>
                <w:color w:val="1F1F1F"/>
                <w:sz w:val="21"/>
              </w:rPr>
              <w:t xml:space="preserve"> Novmeber</w:t>
            </w:r>
            <w:r w:rsidR="005777A1">
              <w:rPr>
                <w:color w:val="1F1F1F"/>
                <w:sz w:val="21"/>
              </w:rPr>
              <w:t xml:space="preserve"> 202</w:t>
            </w:r>
            <w:r w:rsidR="00CF00DC">
              <w:rPr>
                <w:color w:val="1F1F1F"/>
                <w:sz w:val="21"/>
              </w:rPr>
              <w:t>1</w:t>
            </w:r>
            <w:r w:rsidR="004A2168">
              <w:rPr>
                <w:color w:val="1F1F1F"/>
                <w:sz w:val="21"/>
              </w:rPr>
              <w:t xml:space="preserve"> @ midnight</w:t>
            </w:r>
          </w:p>
        </w:tc>
      </w:tr>
      <w:tr w:rsidR="00BE79E7" w14:paraId="19B1C723" w14:textId="77777777" w:rsidTr="0049248C">
        <w:trPr>
          <w:trHeight w:val="724"/>
        </w:trPr>
        <w:tc>
          <w:tcPr>
            <w:tcW w:w="1983" w:type="dxa"/>
          </w:tcPr>
          <w:p w14:paraId="173E8F2E" w14:textId="77777777" w:rsidR="00BE79E7" w:rsidRDefault="004A2168">
            <w:pPr>
              <w:pStyle w:val="TableParagraph"/>
              <w:spacing w:line="239" w:lineRule="exact"/>
              <w:rPr>
                <w:b/>
                <w:sz w:val="21"/>
              </w:rPr>
            </w:pPr>
            <w:r>
              <w:rPr>
                <w:b/>
                <w:color w:val="1F1F1F"/>
                <w:sz w:val="21"/>
              </w:rPr>
              <w:t>Contract Type:</w:t>
            </w:r>
          </w:p>
        </w:tc>
        <w:tc>
          <w:tcPr>
            <w:tcW w:w="2583" w:type="dxa"/>
          </w:tcPr>
          <w:p w14:paraId="56078C76" w14:textId="77777777" w:rsidR="00BE79E7" w:rsidRDefault="004A2168">
            <w:pPr>
              <w:pStyle w:val="TableParagraph"/>
              <w:spacing w:line="239" w:lineRule="exact"/>
              <w:rPr>
                <w:sz w:val="21"/>
              </w:rPr>
            </w:pPr>
            <w:r>
              <w:rPr>
                <w:color w:val="1F1F1F"/>
                <w:sz w:val="21"/>
              </w:rPr>
              <w:t>Works</w:t>
            </w:r>
          </w:p>
        </w:tc>
        <w:tc>
          <w:tcPr>
            <w:tcW w:w="2410" w:type="dxa"/>
          </w:tcPr>
          <w:p w14:paraId="7AA45FE8" w14:textId="77777777" w:rsidR="00BE79E7" w:rsidRDefault="004A2168">
            <w:pPr>
              <w:pStyle w:val="TableParagraph"/>
              <w:ind w:right="559"/>
              <w:rPr>
                <w:b/>
                <w:sz w:val="21"/>
              </w:rPr>
            </w:pPr>
            <w:r>
              <w:rPr>
                <w:b/>
                <w:color w:val="1F1F1F"/>
                <w:sz w:val="21"/>
              </w:rPr>
              <w:t>Tender Return Date/Time</w:t>
            </w:r>
          </w:p>
        </w:tc>
        <w:tc>
          <w:tcPr>
            <w:tcW w:w="2089" w:type="dxa"/>
          </w:tcPr>
          <w:p w14:paraId="0F004DB5" w14:textId="0875B9AC" w:rsidR="00BE79E7" w:rsidRDefault="004A2168">
            <w:pPr>
              <w:pStyle w:val="TableParagraph"/>
              <w:ind w:right="265"/>
              <w:rPr>
                <w:sz w:val="21"/>
              </w:rPr>
            </w:pPr>
            <w:r>
              <w:rPr>
                <w:color w:val="1F1F1F"/>
                <w:sz w:val="21"/>
              </w:rPr>
              <w:t xml:space="preserve">16.00 on </w:t>
            </w:r>
            <w:r w:rsidR="000979A0">
              <w:rPr>
                <w:color w:val="1F1F1F"/>
                <w:sz w:val="21"/>
              </w:rPr>
              <w:t>26</w:t>
            </w:r>
            <w:r w:rsidR="000979A0" w:rsidRPr="000979A0">
              <w:rPr>
                <w:color w:val="1F1F1F"/>
                <w:sz w:val="21"/>
                <w:vertAlign w:val="superscript"/>
              </w:rPr>
              <w:t>th</w:t>
            </w:r>
            <w:r w:rsidR="000979A0">
              <w:rPr>
                <w:color w:val="1F1F1F"/>
                <w:sz w:val="21"/>
              </w:rPr>
              <w:t xml:space="preserve"> November</w:t>
            </w:r>
            <w:r w:rsidR="005777A1">
              <w:rPr>
                <w:sz w:val="21"/>
              </w:rPr>
              <w:t xml:space="preserve"> 202</w:t>
            </w:r>
            <w:r w:rsidR="00CF00DC">
              <w:rPr>
                <w:sz w:val="21"/>
              </w:rPr>
              <w:t>1</w:t>
            </w:r>
          </w:p>
        </w:tc>
      </w:tr>
      <w:tr w:rsidR="00BE79E7" w14:paraId="325330E9" w14:textId="77777777" w:rsidTr="0049248C">
        <w:trPr>
          <w:trHeight w:val="964"/>
        </w:trPr>
        <w:tc>
          <w:tcPr>
            <w:tcW w:w="1983" w:type="dxa"/>
          </w:tcPr>
          <w:p w14:paraId="54314DE6" w14:textId="77777777" w:rsidR="00BE79E7" w:rsidRDefault="004A2168">
            <w:pPr>
              <w:pStyle w:val="TableParagraph"/>
              <w:spacing w:line="239" w:lineRule="exact"/>
              <w:rPr>
                <w:b/>
                <w:sz w:val="21"/>
              </w:rPr>
            </w:pPr>
            <w:r>
              <w:rPr>
                <w:b/>
                <w:color w:val="1F1F1F"/>
                <w:sz w:val="21"/>
              </w:rPr>
              <w:t>CPV Codes:</w:t>
            </w:r>
          </w:p>
        </w:tc>
        <w:tc>
          <w:tcPr>
            <w:tcW w:w="2583" w:type="dxa"/>
          </w:tcPr>
          <w:p w14:paraId="028655A3" w14:textId="77777777" w:rsidR="00BE79E7" w:rsidRDefault="004A2168">
            <w:pPr>
              <w:pStyle w:val="TableParagraph"/>
              <w:spacing w:line="239" w:lineRule="exact"/>
              <w:rPr>
                <w:sz w:val="21"/>
              </w:rPr>
            </w:pPr>
            <w:r>
              <w:rPr>
                <w:color w:val="5F5F5F"/>
                <w:sz w:val="21"/>
              </w:rPr>
              <w:t>44221000</w:t>
            </w:r>
          </w:p>
          <w:p w14:paraId="769002F6" w14:textId="77777777" w:rsidR="00BE79E7" w:rsidRDefault="004A2168">
            <w:pPr>
              <w:pStyle w:val="TableParagraph"/>
              <w:spacing w:before="1"/>
              <w:rPr>
                <w:sz w:val="21"/>
              </w:rPr>
            </w:pPr>
            <w:r>
              <w:rPr>
                <w:color w:val="5F5F5F"/>
                <w:sz w:val="21"/>
              </w:rPr>
              <w:t>45000000</w:t>
            </w:r>
          </w:p>
        </w:tc>
        <w:tc>
          <w:tcPr>
            <w:tcW w:w="2410" w:type="dxa"/>
          </w:tcPr>
          <w:p w14:paraId="0DCE92C8" w14:textId="77777777" w:rsidR="00BE79E7" w:rsidRDefault="004A2168">
            <w:pPr>
              <w:pStyle w:val="TableParagraph"/>
              <w:spacing w:line="239" w:lineRule="exact"/>
              <w:rPr>
                <w:b/>
                <w:sz w:val="21"/>
              </w:rPr>
            </w:pPr>
            <w:r>
              <w:rPr>
                <w:b/>
                <w:color w:val="1F1F1F"/>
                <w:sz w:val="21"/>
              </w:rPr>
              <w:t>Evaluation Period</w:t>
            </w:r>
          </w:p>
        </w:tc>
        <w:tc>
          <w:tcPr>
            <w:tcW w:w="2089" w:type="dxa"/>
          </w:tcPr>
          <w:p w14:paraId="3B2B2657" w14:textId="77777777" w:rsidR="000979A0" w:rsidRDefault="000979A0" w:rsidP="0049248C">
            <w:pPr>
              <w:pStyle w:val="TableParagraph"/>
              <w:spacing w:line="237" w:lineRule="auto"/>
              <w:rPr>
                <w:color w:val="1F1F1F"/>
                <w:sz w:val="21"/>
              </w:rPr>
            </w:pPr>
            <w:r>
              <w:rPr>
                <w:color w:val="1F1F1F"/>
                <w:sz w:val="21"/>
              </w:rPr>
              <w:t>29</w:t>
            </w:r>
            <w:r w:rsidR="00CF00DC" w:rsidRPr="00CF00DC">
              <w:rPr>
                <w:color w:val="1F1F1F"/>
                <w:sz w:val="21"/>
                <w:vertAlign w:val="superscript"/>
              </w:rPr>
              <w:t>th</w:t>
            </w:r>
            <w:r w:rsidR="00CF00DC">
              <w:rPr>
                <w:color w:val="1F1F1F"/>
                <w:sz w:val="21"/>
              </w:rPr>
              <w:t xml:space="preserve"> </w:t>
            </w:r>
            <w:r>
              <w:rPr>
                <w:color w:val="1F1F1F"/>
                <w:sz w:val="21"/>
              </w:rPr>
              <w:t>November</w:t>
            </w:r>
            <w:r w:rsidR="0049248C">
              <w:rPr>
                <w:color w:val="1F1F1F"/>
                <w:sz w:val="21"/>
              </w:rPr>
              <w:t xml:space="preserve"> 202</w:t>
            </w:r>
            <w:r w:rsidR="00CF00DC">
              <w:rPr>
                <w:color w:val="1F1F1F"/>
                <w:sz w:val="21"/>
              </w:rPr>
              <w:t>1</w:t>
            </w:r>
          </w:p>
          <w:p w14:paraId="14B657CE" w14:textId="06D72B45" w:rsidR="00BE79E7" w:rsidRDefault="000979A0" w:rsidP="0049248C">
            <w:pPr>
              <w:pStyle w:val="TableParagraph"/>
              <w:spacing w:line="237" w:lineRule="auto"/>
              <w:rPr>
                <w:sz w:val="21"/>
              </w:rPr>
            </w:pPr>
            <w:r>
              <w:rPr>
                <w:color w:val="1F1F1F"/>
                <w:sz w:val="21"/>
              </w:rPr>
              <w:t>1</w:t>
            </w:r>
            <w:r w:rsidRPr="000979A0">
              <w:rPr>
                <w:color w:val="1F1F1F"/>
                <w:sz w:val="21"/>
                <w:vertAlign w:val="superscript"/>
              </w:rPr>
              <w:t>st</w:t>
            </w:r>
            <w:r>
              <w:rPr>
                <w:color w:val="1F1F1F"/>
                <w:sz w:val="21"/>
              </w:rPr>
              <w:t xml:space="preserve"> December</w:t>
            </w:r>
            <w:r w:rsidR="004A2168">
              <w:rPr>
                <w:color w:val="1F1F1F"/>
                <w:sz w:val="21"/>
              </w:rPr>
              <w:t xml:space="preserve"> 202</w:t>
            </w:r>
            <w:r w:rsidR="00CF00DC">
              <w:rPr>
                <w:color w:val="1F1F1F"/>
                <w:sz w:val="21"/>
              </w:rPr>
              <w:t>1</w:t>
            </w:r>
          </w:p>
        </w:tc>
      </w:tr>
      <w:tr w:rsidR="00BE79E7" w14:paraId="39303394" w14:textId="77777777" w:rsidTr="0049248C">
        <w:trPr>
          <w:trHeight w:val="724"/>
        </w:trPr>
        <w:tc>
          <w:tcPr>
            <w:tcW w:w="1983" w:type="dxa"/>
          </w:tcPr>
          <w:p w14:paraId="3C882187" w14:textId="77777777" w:rsidR="00BE79E7" w:rsidRDefault="004A2168">
            <w:pPr>
              <w:pStyle w:val="TableParagraph"/>
              <w:spacing w:line="241" w:lineRule="exact"/>
              <w:rPr>
                <w:b/>
                <w:sz w:val="21"/>
              </w:rPr>
            </w:pPr>
            <w:r>
              <w:rPr>
                <w:b/>
                <w:color w:val="1F1F1F"/>
                <w:sz w:val="21"/>
              </w:rPr>
              <w:t>Place of Delivery:</w:t>
            </w:r>
          </w:p>
        </w:tc>
        <w:tc>
          <w:tcPr>
            <w:tcW w:w="2583" w:type="dxa"/>
          </w:tcPr>
          <w:p w14:paraId="4D7B0B70" w14:textId="77777777" w:rsidR="00BE79E7" w:rsidRDefault="004A2168">
            <w:pPr>
              <w:pStyle w:val="TableParagraph"/>
              <w:ind w:right="710"/>
              <w:rPr>
                <w:sz w:val="21"/>
              </w:rPr>
            </w:pPr>
            <w:r>
              <w:rPr>
                <w:color w:val="1F1F1F"/>
                <w:sz w:val="21"/>
              </w:rPr>
              <w:t>St Mary’s, Isles of Scilly (49.916179, -6.310509)</w:t>
            </w:r>
          </w:p>
        </w:tc>
        <w:tc>
          <w:tcPr>
            <w:tcW w:w="2410" w:type="dxa"/>
          </w:tcPr>
          <w:p w14:paraId="0472A7E6" w14:textId="77777777" w:rsidR="00BE79E7" w:rsidRDefault="004A2168">
            <w:pPr>
              <w:pStyle w:val="TableParagraph"/>
              <w:ind w:right="840"/>
              <w:rPr>
                <w:b/>
                <w:sz w:val="21"/>
              </w:rPr>
            </w:pPr>
            <w:r>
              <w:rPr>
                <w:b/>
                <w:color w:val="1F1F1F"/>
                <w:sz w:val="21"/>
              </w:rPr>
              <w:t>Date of Notification</w:t>
            </w:r>
          </w:p>
        </w:tc>
        <w:tc>
          <w:tcPr>
            <w:tcW w:w="2089" w:type="dxa"/>
          </w:tcPr>
          <w:p w14:paraId="3D9FDEB9" w14:textId="01721EA8" w:rsidR="00BE79E7" w:rsidRDefault="000979A0">
            <w:pPr>
              <w:pStyle w:val="TableParagraph"/>
              <w:ind w:right="265"/>
              <w:rPr>
                <w:sz w:val="21"/>
              </w:rPr>
            </w:pPr>
            <w:r>
              <w:rPr>
                <w:color w:val="1F1F1F"/>
                <w:sz w:val="21"/>
              </w:rPr>
              <w:t>2</w:t>
            </w:r>
            <w:r w:rsidRPr="000979A0">
              <w:rPr>
                <w:color w:val="1F1F1F"/>
                <w:sz w:val="21"/>
                <w:vertAlign w:val="superscript"/>
              </w:rPr>
              <w:t>nd</w:t>
            </w:r>
            <w:r>
              <w:rPr>
                <w:color w:val="1F1F1F"/>
                <w:sz w:val="21"/>
              </w:rPr>
              <w:t xml:space="preserve"> December</w:t>
            </w:r>
            <w:r w:rsidR="00CF00DC">
              <w:rPr>
                <w:color w:val="1F1F1F"/>
                <w:sz w:val="21"/>
              </w:rPr>
              <w:t xml:space="preserve"> 2021</w:t>
            </w:r>
          </w:p>
        </w:tc>
      </w:tr>
      <w:tr w:rsidR="00BE79E7" w14:paraId="65E480F1" w14:textId="77777777" w:rsidTr="0049248C">
        <w:trPr>
          <w:trHeight w:val="966"/>
        </w:trPr>
        <w:tc>
          <w:tcPr>
            <w:tcW w:w="1983" w:type="dxa"/>
          </w:tcPr>
          <w:p w14:paraId="09377C7A" w14:textId="77777777" w:rsidR="00BE79E7" w:rsidRDefault="004A2168">
            <w:pPr>
              <w:pStyle w:val="TableParagraph"/>
              <w:ind w:right="842"/>
              <w:rPr>
                <w:b/>
                <w:sz w:val="21"/>
              </w:rPr>
            </w:pPr>
            <w:r>
              <w:rPr>
                <w:b/>
                <w:color w:val="1F1F1F"/>
                <w:sz w:val="21"/>
              </w:rPr>
              <w:t>Estimated Contract Value:</w:t>
            </w:r>
          </w:p>
        </w:tc>
        <w:tc>
          <w:tcPr>
            <w:tcW w:w="2583" w:type="dxa"/>
          </w:tcPr>
          <w:p w14:paraId="30AF0147" w14:textId="1DB9B3BE" w:rsidR="00BE79E7" w:rsidRDefault="004A2168">
            <w:pPr>
              <w:pStyle w:val="TableParagraph"/>
              <w:spacing w:line="241" w:lineRule="exact"/>
              <w:rPr>
                <w:sz w:val="21"/>
              </w:rPr>
            </w:pPr>
            <w:r>
              <w:rPr>
                <w:color w:val="1F1F1F"/>
                <w:sz w:val="21"/>
              </w:rPr>
              <w:t>£</w:t>
            </w:r>
            <w:r w:rsidR="00CF00DC">
              <w:rPr>
                <w:color w:val="1F1F1F"/>
                <w:sz w:val="21"/>
              </w:rPr>
              <w:t>1</w:t>
            </w:r>
            <w:r w:rsidR="0049248C">
              <w:rPr>
                <w:color w:val="1F1F1F"/>
                <w:sz w:val="21"/>
              </w:rPr>
              <w:t>00</w:t>
            </w:r>
            <w:r>
              <w:rPr>
                <w:color w:val="1F1F1F"/>
                <w:sz w:val="21"/>
              </w:rPr>
              <w:t>,000 – £</w:t>
            </w:r>
            <w:r w:rsidR="00CF00DC">
              <w:rPr>
                <w:color w:val="1F1F1F"/>
                <w:sz w:val="21"/>
              </w:rPr>
              <w:t>1</w:t>
            </w:r>
            <w:r w:rsidR="005777A1">
              <w:rPr>
                <w:color w:val="1F1F1F"/>
                <w:sz w:val="21"/>
              </w:rPr>
              <w:t>50</w:t>
            </w:r>
            <w:r>
              <w:rPr>
                <w:color w:val="1F1F1F"/>
                <w:sz w:val="21"/>
              </w:rPr>
              <w:t>,000</w:t>
            </w:r>
          </w:p>
        </w:tc>
        <w:tc>
          <w:tcPr>
            <w:tcW w:w="2410" w:type="dxa"/>
          </w:tcPr>
          <w:p w14:paraId="44D0DA08" w14:textId="77777777" w:rsidR="00BE79E7" w:rsidRDefault="004A2168">
            <w:pPr>
              <w:pStyle w:val="TableParagraph"/>
              <w:spacing w:line="241" w:lineRule="exact"/>
              <w:rPr>
                <w:b/>
                <w:sz w:val="21"/>
              </w:rPr>
            </w:pPr>
            <w:r>
              <w:rPr>
                <w:b/>
                <w:color w:val="1F1F1F"/>
                <w:sz w:val="21"/>
              </w:rPr>
              <w:t>Standstill Period</w:t>
            </w:r>
          </w:p>
        </w:tc>
        <w:tc>
          <w:tcPr>
            <w:tcW w:w="2089" w:type="dxa"/>
          </w:tcPr>
          <w:p w14:paraId="1B494B90" w14:textId="77777777" w:rsidR="00BE79E7" w:rsidRDefault="004A2168">
            <w:pPr>
              <w:pStyle w:val="TableParagraph"/>
              <w:spacing w:line="241" w:lineRule="exact"/>
              <w:rPr>
                <w:sz w:val="21"/>
              </w:rPr>
            </w:pPr>
            <w:r>
              <w:rPr>
                <w:color w:val="1F1F1F"/>
                <w:sz w:val="21"/>
              </w:rPr>
              <w:t>N/A</w:t>
            </w:r>
          </w:p>
        </w:tc>
      </w:tr>
      <w:tr w:rsidR="00BE79E7" w14:paraId="27D779A7" w14:textId="77777777" w:rsidTr="0049248C">
        <w:trPr>
          <w:trHeight w:val="724"/>
        </w:trPr>
        <w:tc>
          <w:tcPr>
            <w:tcW w:w="1983" w:type="dxa"/>
          </w:tcPr>
          <w:p w14:paraId="0A338F25" w14:textId="77777777" w:rsidR="00BE79E7" w:rsidRDefault="004A2168">
            <w:pPr>
              <w:pStyle w:val="TableParagraph"/>
              <w:spacing w:line="241" w:lineRule="exact"/>
              <w:rPr>
                <w:b/>
                <w:sz w:val="21"/>
              </w:rPr>
            </w:pPr>
            <w:r>
              <w:rPr>
                <w:b/>
                <w:color w:val="1F1F1F"/>
                <w:sz w:val="21"/>
              </w:rPr>
              <w:t>Tender Type:</w:t>
            </w:r>
          </w:p>
        </w:tc>
        <w:tc>
          <w:tcPr>
            <w:tcW w:w="2583" w:type="dxa"/>
          </w:tcPr>
          <w:p w14:paraId="77074000" w14:textId="77777777" w:rsidR="00BE79E7" w:rsidRDefault="004A2168">
            <w:pPr>
              <w:pStyle w:val="TableParagraph"/>
              <w:ind w:right="207"/>
              <w:rPr>
                <w:sz w:val="21"/>
              </w:rPr>
            </w:pPr>
            <w:r>
              <w:rPr>
                <w:color w:val="1F1F1F"/>
                <w:sz w:val="21"/>
              </w:rPr>
              <w:t>Sub threshold, Open Tender, Most Economically</w:t>
            </w:r>
          </w:p>
          <w:p w14:paraId="6C2F3DBA" w14:textId="77777777" w:rsidR="00BE79E7" w:rsidRDefault="004A2168">
            <w:pPr>
              <w:pStyle w:val="TableParagraph"/>
              <w:spacing w:line="222" w:lineRule="exact"/>
              <w:rPr>
                <w:sz w:val="21"/>
              </w:rPr>
            </w:pPr>
            <w:r>
              <w:rPr>
                <w:color w:val="1F1F1F"/>
                <w:sz w:val="21"/>
              </w:rPr>
              <w:t>Advantageous Tender</w:t>
            </w:r>
          </w:p>
        </w:tc>
        <w:tc>
          <w:tcPr>
            <w:tcW w:w="2410" w:type="dxa"/>
          </w:tcPr>
          <w:p w14:paraId="6B6000FA" w14:textId="77777777" w:rsidR="00BE79E7" w:rsidRDefault="004A2168">
            <w:pPr>
              <w:pStyle w:val="TableParagraph"/>
              <w:ind w:right="186"/>
              <w:rPr>
                <w:b/>
                <w:sz w:val="21"/>
              </w:rPr>
            </w:pPr>
            <w:r>
              <w:rPr>
                <w:b/>
                <w:color w:val="1F1F1F"/>
                <w:sz w:val="21"/>
              </w:rPr>
              <w:t>Earliest Date Contract Awarded</w:t>
            </w:r>
          </w:p>
        </w:tc>
        <w:tc>
          <w:tcPr>
            <w:tcW w:w="2089" w:type="dxa"/>
          </w:tcPr>
          <w:p w14:paraId="5D127320" w14:textId="042EFAE7" w:rsidR="00BE79E7" w:rsidRDefault="000979A0">
            <w:pPr>
              <w:pStyle w:val="TableParagraph"/>
              <w:spacing w:line="237" w:lineRule="auto"/>
              <w:ind w:right="265"/>
              <w:rPr>
                <w:sz w:val="21"/>
              </w:rPr>
            </w:pPr>
            <w:r>
              <w:rPr>
                <w:color w:val="1F1F1F"/>
                <w:sz w:val="21"/>
              </w:rPr>
              <w:t>3</w:t>
            </w:r>
            <w:r w:rsidRPr="000979A0">
              <w:rPr>
                <w:color w:val="1F1F1F"/>
                <w:sz w:val="21"/>
                <w:vertAlign w:val="superscript"/>
              </w:rPr>
              <w:t>rd</w:t>
            </w:r>
            <w:r>
              <w:rPr>
                <w:color w:val="1F1F1F"/>
                <w:sz w:val="21"/>
              </w:rPr>
              <w:t xml:space="preserve"> December</w:t>
            </w:r>
            <w:r w:rsidR="00CF00DC">
              <w:rPr>
                <w:color w:val="1F1F1F"/>
                <w:sz w:val="21"/>
              </w:rPr>
              <w:t xml:space="preserve"> 2021</w:t>
            </w:r>
          </w:p>
        </w:tc>
      </w:tr>
      <w:tr w:rsidR="00BE79E7" w14:paraId="64146B0D" w14:textId="77777777" w:rsidTr="0049248C">
        <w:trPr>
          <w:trHeight w:val="724"/>
        </w:trPr>
        <w:tc>
          <w:tcPr>
            <w:tcW w:w="1983" w:type="dxa"/>
          </w:tcPr>
          <w:p w14:paraId="1062CC25" w14:textId="77777777" w:rsidR="00BE79E7" w:rsidRDefault="004A2168">
            <w:pPr>
              <w:pStyle w:val="TableParagraph"/>
              <w:ind w:right="83"/>
              <w:rPr>
                <w:b/>
                <w:sz w:val="21"/>
              </w:rPr>
            </w:pPr>
            <w:r>
              <w:rPr>
                <w:b/>
                <w:color w:val="1F1F1F"/>
                <w:sz w:val="21"/>
              </w:rPr>
              <w:t>Tender Response Requirement</w:t>
            </w:r>
          </w:p>
        </w:tc>
        <w:tc>
          <w:tcPr>
            <w:tcW w:w="2583" w:type="dxa"/>
          </w:tcPr>
          <w:p w14:paraId="393E5E11" w14:textId="77777777" w:rsidR="00BE79E7" w:rsidRDefault="004A2168">
            <w:pPr>
              <w:pStyle w:val="TableParagraph"/>
              <w:spacing w:line="241" w:lineRule="exact"/>
              <w:rPr>
                <w:sz w:val="21"/>
              </w:rPr>
            </w:pPr>
            <w:r>
              <w:rPr>
                <w:color w:val="1F1F1F"/>
                <w:sz w:val="21"/>
              </w:rPr>
              <w:t>Appendix 1, 2, 3 &amp; 4</w:t>
            </w:r>
          </w:p>
        </w:tc>
        <w:tc>
          <w:tcPr>
            <w:tcW w:w="2410" w:type="dxa"/>
          </w:tcPr>
          <w:p w14:paraId="28AB759D" w14:textId="77777777" w:rsidR="00BE79E7" w:rsidRDefault="004A2168">
            <w:pPr>
              <w:pStyle w:val="TableParagraph"/>
              <w:ind w:right="851"/>
              <w:rPr>
                <w:b/>
                <w:sz w:val="21"/>
              </w:rPr>
            </w:pPr>
            <w:r>
              <w:rPr>
                <w:b/>
                <w:color w:val="1F1F1F"/>
                <w:sz w:val="21"/>
              </w:rPr>
              <w:t>Anticipated Contract</w:t>
            </w:r>
          </w:p>
          <w:p w14:paraId="54CBCDCB" w14:textId="77777777" w:rsidR="00BE79E7" w:rsidRDefault="004A2168">
            <w:pPr>
              <w:pStyle w:val="TableParagraph"/>
              <w:spacing w:line="222" w:lineRule="exact"/>
              <w:rPr>
                <w:b/>
                <w:sz w:val="21"/>
              </w:rPr>
            </w:pPr>
            <w:r>
              <w:rPr>
                <w:b/>
                <w:color w:val="1F1F1F"/>
                <w:sz w:val="21"/>
              </w:rPr>
              <w:t>Commencement:</w:t>
            </w:r>
          </w:p>
        </w:tc>
        <w:tc>
          <w:tcPr>
            <w:tcW w:w="2089" w:type="dxa"/>
          </w:tcPr>
          <w:p w14:paraId="29A2C2B5" w14:textId="7F87758D" w:rsidR="00BE79E7" w:rsidRDefault="000979A0">
            <w:pPr>
              <w:pStyle w:val="TableParagraph"/>
              <w:spacing w:line="241" w:lineRule="exact"/>
              <w:rPr>
                <w:sz w:val="21"/>
              </w:rPr>
            </w:pPr>
            <w:r>
              <w:rPr>
                <w:color w:val="1F1F1F"/>
                <w:sz w:val="21"/>
              </w:rPr>
              <w:t>3</w:t>
            </w:r>
            <w:r w:rsidRPr="000979A0">
              <w:rPr>
                <w:color w:val="1F1F1F"/>
                <w:sz w:val="21"/>
                <w:vertAlign w:val="superscript"/>
              </w:rPr>
              <w:t>rd</w:t>
            </w:r>
            <w:r>
              <w:rPr>
                <w:color w:val="1F1F1F"/>
                <w:sz w:val="21"/>
              </w:rPr>
              <w:t xml:space="preserve"> December</w:t>
            </w:r>
            <w:r w:rsidR="004A2168">
              <w:rPr>
                <w:color w:val="1F1F1F"/>
                <w:sz w:val="21"/>
              </w:rPr>
              <w:t xml:space="preserve"> 202</w:t>
            </w:r>
            <w:r w:rsidR="0049248C">
              <w:rPr>
                <w:color w:val="1F1F1F"/>
                <w:sz w:val="21"/>
              </w:rPr>
              <w:t>1</w:t>
            </w:r>
          </w:p>
        </w:tc>
      </w:tr>
      <w:tr w:rsidR="00BE79E7" w14:paraId="633B3747" w14:textId="77777777" w:rsidTr="0049248C">
        <w:trPr>
          <w:trHeight w:val="967"/>
        </w:trPr>
        <w:tc>
          <w:tcPr>
            <w:tcW w:w="1983" w:type="dxa"/>
          </w:tcPr>
          <w:p w14:paraId="7E5BAEA1" w14:textId="77777777" w:rsidR="00BE79E7" w:rsidRDefault="004A2168">
            <w:pPr>
              <w:pStyle w:val="TableParagraph"/>
              <w:ind w:right="562"/>
              <w:rPr>
                <w:b/>
                <w:sz w:val="21"/>
              </w:rPr>
            </w:pPr>
            <w:r>
              <w:rPr>
                <w:b/>
                <w:color w:val="1F1F1F"/>
                <w:sz w:val="21"/>
              </w:rPr>
              <w:t>Quality/Price Ratio:</w:t>
            </w:r>
          </w:p>
        </w:tc>
        <w:tc>
          <w:tcPr>
            <w:tcW w:w="2583" w:type="dxa"/>
          </w:tcPr>
          <w:p w14:paraId="1E475FAF" w14:textId="32A7742E" w:rsidR="00BE79E7" w:rsidRDefault="00CF00DC">
            <w:pPr>
              <w:pStyle w:val="TableParagraph"/>
              <w:spacing w:line="241" w:lineRule="exact"/>
              <w:rPr>
                <w:sz w:val="21"/>
              </w:rPr>
            </w:pPr>
            <w:r>
              <w:rPr>
                <w:color w:val="1F1F1F"/>
                <w:sz w:val="21"/>
              </w:rPr>
              <w:t>40% Quality, 60</w:t>
            </w:r>
            <w:r w:rsidR="005777A1">
              <w:rPr>
                <w:color w:val="1F1F1F"/>
                <w:sz w:val="21"/>
              </w:rPr>
              <w:t>% Cost</w:t>
            </w:r>
          </w:p>
        </w:tc>
        <w:tc>
          <w:tcPr>
            <w:tcW w:w="2410" w:type="dxa"/>
          </w:tcPr>
          <w:p w14:paraId="332E8688" w14:textId="77777777" w:rsidR="00BE79E7" w:rsidRDefault="004A2168">
            <w:pPr>
              <w:pStyle w:val="TableParagraph"/>
              <w:ind w:right="840"/>
              <w:rPr>
                <w:b/>
                <w:sz w:val="21"/>
              </w:rPr>
            </w:pPr>
            <w:r>
              <w:rPr>
                <w:b/>
                <w:color w:val="1F1F1F"/>
                <w:sz w:val="21"/>
              </w:rPr>
              <w:t>Anticipated Contract Completion</w:t>
            </w:r>
          </w:p>
        </w:tc>
        <w:tc>
          <w:tcPr>
            <w:tcW w:w="2089" w:type="dxa"/>
          </w:tcPr>
          <w:p w14:paraId="1AEBCD99" w14:textId="6EE454AA" w:rsidR="00BE79E7" w:rsidRDefault="00CF00DC">
            <w:pPr>
              <w:pStyle w:val="TableParagraph"/>
              <w:spacing w:line="241" w:lineRule="exact"/>
              <w:rPr>
                <w:sz w:val="21"/>
              </w:rPr>
            </w:pPr>
            <w:r>
              <w:rPr>
                <w:color w:val="1F1F1F"/>
                <w:sz w:val="21"/>
              </w:rPr>
              <w:t>2</w:t>
            </w:r>
            <w:r w:rsidR="0049248C">
              <w:rPr>
                <w:color w:val="1F1F1F"/>
                <w:sz w:val="21"/>
              </w:rPr>
              <w:t>1</w:t>
            </w:r>
            <w:r w:rsidR="0049248C" w:rsidRPr="0049248C">
              <w:rPr>
                <w:color w:val="1F1F1F"/>
                <w:sz w:val="21"/>
                <w:vertAlign w:val="superscript"/>
              </w:rPr>
              <w:t>st</w:t>
            </w:r>
            <w:r w:rsidR="0049248C">
              <w:rPr>
                <w:color w:val="1F1F1F"/>
                <w:sz w:val="21"/>
              </w:rPr>
              <w:t xml:space="preserve"> March</w:t>
            </w:r>
            <w:r w:rsidR="004A2168">
              <w:rPr>
                <w:color w:val="1F1F1F"/>
                <w:sz w:val="21"/>
              </w:rPr>
              <w:t xml:space="preserve"> 202</w:t>
            </w:r>
            <w:r>
              <w:rPr>
                <w:color w:val="1F1F1F"/>
                <w:sz w:val="21"/>
              </w:rPr>
              <w:t>2</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5B62F541" w:rsidR="00BE79E7"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CF00DC" w:rsidRPr="00CF00DC">
        <w:rPr>
          <w:color w:val="5F5F5F"/>
          <w:sz w:val="21"/>
        </w:rPr>
        <w:t>PoW_210917</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Pr>
          <w:color w:val="5F5F5F"/>
          <w:sz w:val="21"/>
        </w:rPr>
        <w:t>This is a sub threshold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south west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24">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25">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The Tenderer shall ensure that each and every sub-contractor, consortium member and adviser abides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r>
        <w:rPr>
          <w:color w:val="5F5F5F"/>
          <w:sz w:val="21"/>
        </w:rPr>
        <w:t>exercise;</w:t>
      </w:r>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r>
        <w:rPr>
          <w:color w:val="5F5F5F"/>
          <w:sz w:val="21"/>
        </w:rPr>
        <w:t>exercise;</w:t>
      </w:r>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r>
        <w:rPr>
          <w:color w:val="5F5F5F"/>
          <w:sz w:val="21"/>
        </w:rPr>
        <w:t>domain;</w:t>
      </w:r>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r>
        <w:rPr>
          <w:color w:val="5F5F5F"/>
          <w:sz w:val="21"/>
        </w:rPr>
        <w:t>happen;</w:t>
      </w:r>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6"/>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r>
        <w:rPr>
          <w:color w:val="5F5F5F"/>
          <w:sz w:val="21"/>
        </w:rPr>
        <w:t>sensitive;</w:t>
      </w:r>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Where a Tenderer receives a request for information under the FoIA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Default="004A2168">
            <w:pPr>
              <w:pStyle w:val="TableParagraph"/>
              <w:spacing w:before="2"/>
              <w:rPr>
                <w:sz w:val="21"/>
              </w:rPr>
            </w:pPr>
            <w:r>
              <w:rPr>
                <w:color w:val="5F5F5F"/>
                <w:sz w:val="21"/>
              </w:rPr>
              <w:t>DATE</w:t>
            </w:r>
          </w:p>
        </w:tc>
        <w:tc>
          <w:tcPr>
            <w:tcW w:w="6841" w:type="dxa"/>
          </w:tcPr>
          <w:p w14:paraId="60965A6F" w14:textId="77777777" w:rsidR="00BE79E7" w:rsidRDefault="004A2168">
            <w:pPr>
              <w:pStyle w:val="TableParagraph"/>
              <w:spacing w:before="2"/>
              <w:ind w:left="165"/>
              <w:rPr>
                <w:sz w:val="21"/>
              </w:rPr>
            </w:pPr>
            <w:r>
              <w:rPr>
                <w:color w:val="5F5F5F"/>
                <w:sz w:val="21"/>
              </w:rPr>
              <w:t>STAGE</w:t>
            </w:r>
          </w:p>
        </w:tc>
      </w:tr>
      <w:tr w:rsidR="00BE79E7" w14:paraId="4419A77D" w14:textId="77777777">
        <w:trPr>
          <w:trHeight w:val="419"/>
        </w:trPr>
        <w:tc>
          <w:tcPr>
            <w:tcW w:w="2223" w:type="dxa"/>
          </w:tcPr>
          <w:p w14:paraId="56028123" w14:textId="4D466B7C" w:rsidR="00BE79E7" w:rsidRDefault="000979A0">
            <w:pPr>
              <w:pStyle w:val="TableParagraph"/>
              <w:spacing w:line="241" w:lineRule="exact"/>
              <w:rPr>
                <w:sz w:val="21"/>
              </w:rPr>
            </w:pPr>
            <w:r>
              <w:rPr>
                <w:color w:val="5F5F5F"/>
                <w:sz w:val="21"/>
              </w:rPr>
              <w:t>8/11/</w:t>
            </w:r>
            <w:r w:rsidR="00CF00DC">
              <w:rPr>
                <w:color w:val="5F5F5F"/>
                <w:sz w:val="21"/>
              </w:rPr>
              <w:t>/2021</w:t>
            </w:r>
          </w:p>
        </w:tc>
        <w:tc>
          <w:tcPr>
            <w:tcW w:w="6841" w:type="dxa"/>
          </w:tcPr>
          <w:p w14:paraId="39210DC2" w14:textId="77777777" w:rsidR="00BE79E7" w:rsidRDefault="004A2168">
            <w:pPr>
              <w:pStyle w:val="TableParagraph"/>
              <w:spacing w:line="241" w:lineRule="exact"/>
              <w:rPr>
                <w:sz w:val="21"/>
              </w:rPr>
            </w:pPr>
            <w:r>
              <w:rPr>
                <w:color w:val="5F5F5F"/>
                <w:sz w:val="21"/>
              </w:rPr>
              <w:t>ITT to be issued to Tenderers by the Authority</w:t>
            </w:r>
          </w:p>
        </w:tc>
      </w:tr>
      <w:tr w:rsidR="00BE79E7" w14:paraId="213CD411" w14:textId="77777777">
        <w:trPr>
          <w:trHeight w:val="421"/>
        </w:trPr>
        <w:tc>
          <w:tcPr>
            <w:tcW w:w="2223" w:type="dxa"/>
          </w:tcPr>
          <w:p w14:paraId="273B4259" w14:textId="5293CFDE" w:rsidR="00BE79E7" w:rsidRDefault="000979A0">
            <w:pPr>
              <w:pStyle w:val="TableParagraph"/>
              <w:spacing w:line="241" w:lineRule="exact"/>
              <w:rPr>
                <w:sz w:val="21"/>
              </w:rPr>
            </w:pPr>
            <w:r>
              <w:rPr>
                <w:color w:val="5F5F5F"/>
                <w:sz w:val="21"/>
              </w:rPr>
              <w:t>8/11</w:t>
            </w:r>
            <w:r w:rsidR="00CF00DC">
              <w:rPr>
                <w:color w:val="5F5F5F"/>
                <w:sz w:val="21"/>
              </w:rPr>
              <w:t>/2021</w:t>
            </w:r>
          </w:p>
        </w:tc>
        <w:tc>
          <w:tcPr>
            <w:tcW w:w="6841" w:type="dxa"/>
          </w:tcPr>
          <w:p w14:paraId="276D254D" w14:textId="77777777" w:rsidR="00BE79E7" w:rsidRDefault="004A2168">
            <w:pPr>
              <w:pStyle w:val="TableParagraph"/>
              <w:spacing w:line="241" w:lineRule="exact"/>
              <w:rPr>
                <w:sz w:val="21"/>
              </w:rPr>
            </w:pPr>
            <w:r>
              <w:rPr>
                <w:color w:val="5F5F5F"/>
                <w:sz w:val="21"/>
              </w:rPr>
              <w:t>Clarification period commences</w:t>
            </w:r>
          </w:p>
        </w:tc>
      </w:tr>
      <w:tr w:rsidR="00BE79E7" w14:paraId="7C5552D1" w14:textId="77777777">
        <w:trPr>
          <w:trHeight w:val="2405"/>
        </w:trPr>
        <w:tc>
          <w:tcPr>
            <w:tcW w:w="2223" w:type="dxa"/>
          </w:tcPr>
          <w:p w14:paraId="35A04287" w14:textId="77777777" w:rsidR="00BE79E7" w:rsidRDefault="004A2168">
            <w:pPr>
              <w:pStyle w:val="TableParagraph"/>
              <w:spacing w:line="256" w:lineRule="auto"/>
              <w:ind w:right="252"/>
              <w:rPr>
                <w:sz w:val="21"/>
              </w:rPr>
            </w:pPr>
            <w:r>
              <w:rPr>
                <w:color w:val="5F5F5F"/>
                <w:sz w:val="21"/>
              </w:rPr>
              <w:t>To be agreed on an individual basis.</w:t>
            </w:r>
          </w:p>
        </w:tc>
        <w:tc>
          <w:tcPr>
            <w:tcW w:w="6841" w:type="dxa"/>
          </w:tcPr>
          <w:p w14:paraId="0914C1A3" w14:textId="61AFDC87" w:rsidR="00BE79E7" w:rsidRDefault="004A2168">
            <w:pPr>
              <w:pStyle w:val="TableParagraph"/>
              <w:spacing w:before="160" w:line="259" w:lineRule="auto"/>
              <w:ind w:right="260"/>
              <w:rPr>
                <w:sz w:val="21"/>
              </w:rPr>
            </w:pPr>
            <w:r>
              <w:rPr>
                <w:color w:val="5F5F5F"/>
                <w:sz w:val="21"/>
              </w:rPr>
              <w:t xml:space="preserve">Please note tenderers should contact the person named in C1 to coordinate an appropriate time for their visit to the site. It is noted that site visits requested after </w:t>
            </w:r>
            <w:r w:rsidR="00CF00DC">
              <w:rPr>
                <w:color w:val="5F5F5F"/>
                <w:sz w:val="21"/>
              </w:rPr>
              <w:t>1</w:t>
            </w:r>
            <w:r w:rsidR="00CF00DC" w:rsidRPr="00CF00DC">
              <w:rPr>
                <w:color w:val="5F5F5F"/>
                <w:sz w:val="21"/>
                <w:vertAlign w:val="superscript"/>
              </w:rPr>
              <w:t>st</w:t>
            </w:r>
            <w:r w:rsidR="00CF00DC">
              <w:rPr>
                <w:color w:val="5F5F5F"/>
                <w:sz w:val="21"/>
              </w:rPr>
              <w:t xml:space="preserve"> October 2021</w:t>
            </w:r>
            <w:r>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241FA2AC" w:rsidR="00BE79E7" w:rsidRDefault="004A2168">
            <w:pPr>
              <w:pStyle w:val="TableParagraph"/>
              <w:spacing w:line="241" w:lineRule="exact"/>
              <w:rPr>
                <w:sz w:val="21"/>
              </w:rPr>
            </w:pPr>
            <w:r>
              <w:rPr>
                <w:color w:val="5F5F5F"/>
                <w:sz w:val="21"/>
              </w:rPr>
              <w:t xml:space="preserve">Midnight </w:t>
            </w:r>
            <w:r w:rsidR="000979A0">
              <w:rPr>
                <w:color w:val="5F5F5F"/>
                <w:sz w:val="21"/>
              </w:rPr>
              <w:t>15/11</w:t>
            </w:r>
            <w:r>
              <w:rPr>
                <w:color w:val="5F5F5F"/>
                <w:sz w:val="21"/>
              </w:rPr>
              <w:t>/20</w:t>
            </w:r>
            <w:r w:rsidR="00107A9C">
              <w:rPr>
                <w:color w:val="5F5F5F"/>
                <w:sz w:val="21"/>
              </w:rPr>
              <w:t>2</w:t>
            </w:r>
            <w:r w:rsidR="00CF00DC">
              <w:rPr>
                <w:color w:val="5F5F5F"/>
                <w:sz w:val="21"/>
              </w:rPr>
              <w:t>1</w:t>
            </w:r>
          </w:p>
        </w:tc>
        <w:tc>
          <w:tcPr>
            <w:tcW w:w="6841" w:type="dxa"/>
          </w:tcPr>
          <w:p w14:paraId="58ED4F03" w14:textId="77777777" w:rsidR="00BE79E7" w:rsidRDefault="004A2168">
            <w:pPr>
              <w:pStyle w:val="TableParagraph"/>
              <w:spacing w:line="241" w:lineRule="exact"/>
              <w:rPr>
                <w:sz w:val="21"/>
              </w:rPr>
            </w:pPr>
            <w:r>
              <w:rPr>
                <w:color w:val="5F5F5F"/>
                <w:sz w:val="21"/>
              </w:rPr>
              <w:t>Clarification period closes</w:t>
            </w:r>
          </w:p>
        </w:tc>
      </w:tr>
      <w:tr w:rsidR="00BE79E7" w14:paraId="425D2F9C" w14:textId="77777777">
        <w:trPr>
          <w:trHeight w:val="842"/>
        </w:trPr>
        <w:tc>
          <w:tcPr>
            <w:tcW w:w="2223" w:type="dxa"/>
          </w:tcPr>
          <w:p w14:paraId="618E0121" w14:textId="40EA428C" w:rsidR="00BE79E7" w:rsidRDefault="004A2168">
            <w:pPr>
              <w:pStyle w:val="TableParagraph"/>
              <w:spacing w:line="241" w:lineRule="exact"/>
              <w:rPr>
                <w:sz w:val="21"/>
              </w:rPr>
            </w:pPr>
            <w:r>
              <w:rPr>
                <w:color w:val="5F5F5F"/>
                <w:sz w:val="21"/>
              </w:rPr>
              <w:t xml:space="preserve">16.00 on </w:t>
            </w:r>
            <w:r w:rsidR="000979A0">
              <w:rPr>
                <w:color w:val="5F5F5F"/>
                <w:sz w:val="21"/>
              </w:rPr>
              <w:t>26/11/</w:t>
            </w:r>
            <w:r>
              <w:rPr>
                <w:color w:val="5F5F5F"/>
                <w:sz w:val="21"/>
              </w:rPr>
              <w:t>20</w:t>
            </w:r>
            <w:r w:rsidR="00107A9C">
              <w:rPr>
                <w:color w:val="5F5F5F"/>
                <w:sz w:val="21"/>
              </w:rPr>
              <w:t>2</w:t>
            </w:r>
            <w:r w:rsidR="00CF00DC">
              <w:rPr>
                <w:color w:val="5F5F5F"/>
                <w:sz w:val="21"/>
              </w:rPr>
              <w:t>1</w:t>
            </w:r>
          </w:p>
        </w:tc>
        <w:tc>
          <w:tcPr>
            <w:tcW w:w="6841" w:type="dxa"/>
          </w:tcPr>
          <w:p w14:paraId="1FCE2B61" w14:textId="77777777" w:rsidR="00BE79E7" w:rsidRDefault="004A2168">
            <w:pPr>
              <w:pStyle w:val="TableParagraph"/>
              <w:spacing w:line="241" w:lineRule="exact"/>
              <w:rPr>
                <w:b/>
                <w:sz w:val="21"/>
              </w:rPr>
            </w:pPr>
            <w:r>
              <w:rPr>
                <w:b/>
                <w:color w:val="5F5F5F"/>
                <w:sz w:val="21"/>
              </w:rPr>
              <w:t>Closing date and time for receipt by the Authority of Tenderer</w:t>
            </w:r>
          </w:p>
          <w:p w14:paraId="4362DA4A" w14:textId="77777777" w:rsidR="00BE79E7" w:rsidRDefault="004A2168">
            <w:pPr>
              <w:pStyle w:val="TableParagraph"/>
              <w:spacing w:before="181"/>
              <w:rPr>
                <w:b/>
                <w:sz w:val="21"/>
              </w:rPr>
            </w:pPr>
            <w:r>
              <w:rPr>
                <w:b/>
                <w:color w:val="5F5F5F"/>
                <w:sz w:val="21"/>
              </w:rPr>
              <w:t>Responses to the ITT</w:t>
            </w:r>
          </w:p>
        </w:tc>
      </w:tr>
      <w:tr w:rsidR="00BE79E7" w14:paraId="66E05416" w14:textId="77777777">
        <w:trPr>
          <w:trHeight w:val="419"/>
        </w:trPr>
        <w:tc>
          <w:tcPr>
            <w:tcW w:w="2223" w:type="dxa"/>
          </w:tcPr>
          <w:p w14:paraId="0BF84EA3" w14:textId="0A965A34" w:rsidR="00BE79E7" w:rsidRDefault="000979A0">
            <w:pPr>
              <w:pStyle w:val="TableParagraph"/>
              <w:spacing w:line="241" w:lineRule="exact"/>
              <w:rPr>
                <w:sz w:val="21"/>
              </w:rPr>
            </w:pPr>
            <w:r>
              <w:rPr>
                <w:color w:val="5F5F5F"/>
                <w:sz w:val="21"/>
              </w:rPr>
              <w:t>29/11</w:t>
            </w:r>
            <w:r w:rsidR="00CF00DC">
              <w:rPr>
                <w:color w:val="5F5F5F"/>
                <w:sz w:val="21"/>
              </w:rPr>
              <w:t>/2021</w:t>
            </w:r>
          </w:p>
        </w:tc>
        <w:tc>
          <w:tcPr>
            <w:tcW w:w="6841" w:type="dxa"/>
          </w:tcPr>
          <w:p w14:paraId="4FED8A52" w14:textId="77777777" w:rsidR="00BE79E7" w:rsidRDefault="004A2168">
            <w:pPr>
              <w:pStyle w:val="TableParagraph"/>
              <w:spacing w:line="241" w:lineRule="exact"/>
              <w:rPr>
                <w:sz w:val="21"/>
              </w:rPr>
            </w:pPr>
            <w:r>
              <w:rPr>
                <w:color w:val="5F5F5F"/>
                <w:sz w:val="21"/>
              </w:rPr>
              <w:t>Evaluation of ITT Responses commences</w:t>
            </w:r>
          </w:p>
        </w:tc>
      </w:tr>
      <w:tr w:rsidR="00BE79E7" w14:paraId="7B2FD6E0" w14:textId="77777777">
        <w:trPr>
          <w:trHeight w:val="422"/>
        </w:trPr>
        <w:tc>
          <w:tcPr>
            <w:tcW w:w="2223" w:type="dxa"/>
          </w:tcPr>
          <w:p w14:paraId="4706CA33" w14:textId="054E7914" w:rsidR="00BE79E7" w:rsidRDefault="000979A0">
            <w:pPr>
              <w:pStyle w:val="TableParagraph"/>
              <w:spacing w:line="241" w:lineRule="exact"/>
              <w:rPr>
                <w:sz w:val="21"/>
              </w:rPr>
            </w:pPr>
            <w:r>
              <w:rPr>
                <w:color w:val="5F5F5F"/>
                <w:sz w:val="21"/>
              </w:rPr>
              <w:t>2/12</w:t>
            </w:r>
            <w:r w:rsidR="00CF00DC">
              <w:rPr>
                <w:color w:val="5F5F5F"/>
                <w:sz w:val="21"/>
              </w:rPr>
              <w:t>/2021</w:t>
            </w:r>
          </w:p>
        </w:tc>
        <w:tc>
          <w:tcPr>
            <w:tcW w:w="6841" w:type="dxa"/>
          </w:tcPr>
          <w:p w14:paraId="6A87EA2E" w14:textId="77777777" w:rsidR="00BE79E7" w:rsidRDefault="004A2168">
            <w:pPr>
              <w:pStyle w:val="TableParagraph"/>
              <w:spacing w:line="241" w:lineRule="exact"/>
              <w:rPr>
                <w:sz w:val="21"/>
              </w:rPr>
            </w:pPr>
            <w:r>
              <w:rPr>
                <w:color w:val="5F5F5F"/>
                <w:sz w:val="21"/>
              </w:rPr>
              <w:t>Notification of proposed appointment</w:t>
            </w:r>
          </w:p>
        </w:tc>
      </w:tr>
      <w:tr w:rsidR="00BE79E7" w14:paraId="339682DB" w14:textId="77777777">
        <w:trPr>
          <w:trHeight w:val="840"/>
        </w:trPr>
        <w:tc>
          <w:tcPr>
            <w:tcW w:w="2223" w:type="dxa"/>
          </w:tcPr>
          <w:p w14:paraId="75534C5A" w14:textId="77777777" w:rsidR="00BE79E7" w:rsidRDefault="004A2168">
            <w:pPr>
              <w:pStyle w:val="TableParagraph"/>
              <w:rPr>
                <w:sz w:val="21"/>
              </w:rPr>
            </w:pPr>
            <w:r>
              <w:rPr>
                <w:color w:val="5F5F5F"/>
                <w:sz w:val="21"/>
              </w:rPr>
              <w:t>N/A</w:t>
            </w:r>
          </w:p>
        </w:tc>
        <w:tc>
          <w:tcPr>
            <w:tcW w:w="6841" w:type="dxa"/>
          </w:tcPr>
          <w:p w14:paraId="17A51800" w14:textId="77777777" w:rsidR="00BE79E7" w:rsidRDefault="004A2168">
            <w:pPr>
              <w:pStyle w:val="TableParagraph"/>
              <w:rPr>
                <w:sz w:val="21"/>
              </w:rPr>
            </w:pPr>
            <w:r>
              <w:rPr>
                <w:color w:val="5F5F5F"/>
                <w:sz w:val="21"/>
              </w:rPr>
              <w:t>Standstill Period</w:t>
            </w:r>
          </w:p>
        </w:tc>
      </w:tr>
      <w:tr w:rsidR="00BE79E7" w14:paraId="2EA4643F" w14:textId="77777777">
        <w:trPr>
          <w:trHeight w:val="421"/>
        </w:trPr>
        <w:tc>
          <w:tcPr>
            <w:tcW w:w="2223" w:type="dxa"/>
          </w:tcPr>
          <w:p w14:paraId="3026D0A5" w14:textId="05185DD1" w:rsidR="00BE79E7" w:rsidRDefault="000979A0">
            <w:pPr>
              <w:pStyle w:val="TableParagraph"/>
              <w:spacing w:before="2"/>
              <w:rPr>
                <w:sz w:val="21"/>
              </w:rPr>
            </w:pPr>
            <w:r>
              <w:rPr>
                <w:color w:val="5F5F5F"/>
                <w:sz w:val="21"/>
              </w:rPr>
              <w:t>3/12</w:t>
            </w:r>
            <w:r w:rsidR="00CF00DC">
              <w:rPr>
                <w:color w:val="5F5F5F"/>
                <w:sz w:val="21"/>
              </w:rPr>
              <w:t>/2021</w:t>
            </w:r>
          </w:p>
        </w:tc>
        <w:tc>
          <w:tcPr>
            <w:tcW w:w="6841" w:type="dxa"/>
          </w:tcPr>
          <w:p w14:paraId="5C1F0F8C" w14:textId="77777777" w:rsidR="00BE79E7" w:rsidRDefault="004A2168">
            <w:pPr>
              <w:pStyle w:val="TableParagraph"/>
              <w:spacing w:before="2"/>
              <w:rPr>
                <w:sz w:val="21"/>
              </w:rPr>
            </w:pPr>
            <w:r>
              <w:rPr>
                <w:color w:val="5F5F5F"/>
                <w:sz w:val="21"/>
              </w:rPr>
              <w:t>Anticipated Commencement Date of Contract</w:t>
            </w:r>
          </w:p>
        </w:tc>
      </w:tr>
      <w:tr w:rsidR="00BE79E7" w14:paraId="7C82D77F" w14:textId="77777777">
        <w:trPr>
          <w:trHeight w:val="419"/>
        </w:trPr>
        <w:tc>
          <w:tcPr>
            <w:tcW w:w="2223" w:type="dxa"/>
          </w:tcPr>
          <w:p w14:paraId="73A69E6C" w14:textId="58E64720" w:rsidR="00BE79E7" w:rsidRDefault="00CF00DC">
            <w:pPr>
              <w:pStyle w:val="TableParagraph"/>
              <w:spacing w:line="241" w:lineRule="exact"/>
              <w:rPr>
                <w:sz w:val="21"/>
              </w:rPr>
            </w:pPr>
            <w:r>
              <w:rPr>
                <w:color w:val="5F5F5F"/>
                <w:sz w:val="21"/>
              </w:rPr>
              <w:t>2</w:t>
            </w:r>
            <w:r w:rsidR="00035DC0">
              <w:rPr>
                <w:color w:val="5F5F5F"/>
                <w:sz w:val="21"/>
              </w:rPr>
              <w:t>1/03</w:t>
            </w:r>
            <w:r w:rsidR="004A2168">
              <w:rPr>
                <w:color w:val="5F5F5F"/>
                <w:sz w:val="21"/>
              </w:rPr>
              <w:t>/202</w:t>
            </w:r>
            <w:r>
              <w:rPr>
                <w:color w:val="5F5F5F"/>
                <w:sz w:val="21"/>
              </w:rPr>
              <w:t>2</w:t>
            </w:r>
          </w:p>
        </w:tc>
        <w:tc>
          <w:tcPr>
            <w:tcW w:w="6841" w:type="dxa"/>
          </w:tcPr>
          <w:p w14:paraId="5A1897C2" w14:textId="77777777" w:rsidR="00BE79E7" w:rsidRDefault="004A2168">
            <w:pPr>
              <w:pStyle w:val="TableParagraph"/>
              <w:spacing w:line="241" w:lineRule="exact"/>
              <w:rPr>
                <w:sz w:val="21"/>
              </w:rPr>
            </w:pPr>
            <w:r>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1A97C97C"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CF00DC">
        <w:rPr>
          <w:b/>
          <w:color w:val="5F5F5F"/>
          <w:sz w:val="21"/>
        </w:rPr>
        <w:t xml:space="preserve">Combined </w:t>
      </w:r>
      <w:r w:rsidR="0049248C">
        <w:rPr>
          <w:b/>
          <w:color w:val="5F5F5F"/>
          <w:sz w:val="21"/>
        </w:rPr>
        <w:t>Package of Works</w:t>
      </w:r>
      <w:r w:rsidR="00CF00DC">
        <w:rPr>
          <w:b/>
          <w:color w:val="5F5F5F"/>
          <w:sz w:val="21"/>
        </w:rPr>
        <w:t xml:space="preserve"> (2021/22)</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7">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8">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9">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4B32A67F"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49248C">
        <w:rPr>
          <w:b/>
          <w:color w:val="5F5F5F"/>
          <w:sz w:val="21"/>
        </w:rPr>
        <w:t>Package of Works</w:t>
      </w:r>
      <w:r>
        <w:rPr>
          <w:b/>
          <w:color w:val="5F5F5F"/>
          <w:sz w:val="21"/>
        </w:rPr>
        <w:t xml:space="preserve"> Do not open on receipt. </w:t>
      </w:r>
      <w:r>
        <w:rPr>
          <w:color w:val="5F5F5F"/>
          <w:sz w:val="21"/>
        </w:rPr>
        <w:t>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Lands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The Authority will endeavour to answer all questions as quickly as possible, but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30">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4F3A5C59"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by </w:t>
      </w:r>
      <w:r w:rsidR="00CF00DC">
        <w:rPr>
          <w:color w:val="5F5F5F"/>
          <w:sz w:val="21"/>
        </w:rPr>
        <w:t>10/10/2021</w:t>
      </w:r>
      <w:r>
        <w:rPr>
          <w:color w:val="5F5F5F"/>
          <w:sz w:val="21"/>
        </w:rPr>
        <w:t>.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03A378F4" w14:textId="77777777" w:rsidR="00BE79E7" w:rsidRDefault="00BE79E7">
      <w:pPr>
        <w:pStyle w:val="BodyText"/>
        <w:rPr>
          <w:sz w:val="20"/>
        </w:rPr>
      </w:pPr>
    </w:p>
    <w:p w14:paraId="3163CD82" w14:textId="77777777" w:rsidR="00BE79E7" w:rsidRDefault="00BE79E7">
      <w:pPr>
        <w:pStyle w:val="BodyText"/>
        <w:spacing w:before="10"/>
        <w:rPr>
          <w:sz w:val="11"/>
        </w:rPr>
      </w:pPr>
    </w:p>
    <w:p w14:paraId="5CCFB5CA" w14:textId="7AF327A1" w:rsidR="00BE79E7" w:rsidRDefault="004A2168">
      <w:pPr>
        <w:pStyle w:val="BodyText"/>
        <w:spacing w:line="20" w:lineRule="exact"/>
        <w:ind w:left="502"/>
        <w:rPr>
          <w:sz w:val="2"/>
        </w:rPr>
      </w:pPr>
      <w:r>
        <w:rPr>
          <w:noProof/>
          <w:sz w:val="2"/>
        </w:rPr>
        <mc:AlternateContent>
          <mc:Choice Requires="wpg">
            <w:drawing>
              <wp:inline distT="0" distB="0" distL="0" distR="0" wp14:anchorId="4FA74ED8" wp14:editId="134937EC">
                <wp:extent cx="5771515" cy="6350"/>
                <wp:effectExtent l="10795" t="10795" r="8890" b="1905"/>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1" name="Line 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23F7A210" id="Group 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La3HwcxAgAA0wQAAA4AAAAAAAAAAAAAAAAALgIAAGRy&#10;cy9lMm9Eb2MueG1sUEsBAi0AFAAGAAgAAAAhABkJxmbaAAAAAwEAAA8AAAAAAAAAAAAAAAAAiwQA&#10;AGRycy9kb3ducmV2LnhtbFBLBQYAAAAABAAEAPMAAACSBQAAAAA=&#10;">
                <v:line id="Line 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XLxAAAANsAAAAPAAAAZHJzL2Rvd25yZXYueG1sRI9Ba8JA&#10;FITvBf/D8gQvpW5UqC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JsHZcvEAAAA2wAAAA8A&#10;AAAAAAAAAAAAAAAABwIAAGRycy9kb3ducmV2LnhtbFBLBQYAAAAAAwADALcAAAD4AgAAAAA=&#10;" strokecolor="#b51233" strokeweight=".48pt"/>
                <w10:anchorlock/>
              </v:group>
            </w:pict>
          </mc:Fallback>
        </mc:AlternateContent>
      </w: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that criteria or sub-criteria</w:t>
      </w:r>
      <w:r>
        <w:rPr>
          <w:color w:val="5F5F5F"/>
        </w:rPr>
        <w:t>.</w:t>
      </w:r>
    </w:p>
    <w:p w14:paraId="5424660C" w14:textId="5E6C02DC"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CF00DC">
        <w:rPr>
          <w:b/>
          <w:bCs/>
          <w:color w:val="5F5F5F"/>
        </w:rPr>
        <w:t>2</w:t>
      </w:r>
      <w:r w:rsidR="00035DC0">
        <w:rPr>
          <w:b/>
          <w:bCs/>
          <w:color w:val="5F5F5F"/>
        </w:rPr>
        <w:t>1</w:t>
      </w:r>
      <w:r w:rsidR="00035DC0" w:rsidRPr="00035DC0">
        <w:rPr>
          <w:b/>
          <w:bCs/>
          <w:color w:val="5F5F5F"/>
          <w:vertAlign w:val="superscript"/>
        </w:rPr>
        <w:t>st</w:t>
      </w:r>
      <w:r w:rsidR="00035DC0">
        <w:rPr>
          <w:b/>
          <w:bCs/>
          <w:color w:val="5F5F5F"/>
        </w:rPr>
        <w:t xml:space="preserve"> March</w:t>
      </w:r>
      <w:r w:rsidRPr="00770664">
        <w:rPr>
          <w:b/>
          <w:bCs/>
          <w:color w:val="5F5F5F"/>
        </w:rPr>
        <w:t xml:space="preserve"> 202</w:t>
      </w:r>
      <w:r w:rsidR="00CF00DC">
        <w:rPr>
          <w:b/>
          <w:bCs/>
          <w:color w:val="5F5F5F"/>
        </w:rPr>
        <w:t>2</w:t>
      </w:r>
      <w:r>
        <w:rPr>
          <w:b/>
          <w:bCs/>
          <w:color w:val="5F5F5F"/>
        </w:rPr>
        <w:t xml:space="preserve"> (15%)</w:t>
      </w:r>
    </w:p>
    <w:p w14:paraId="2654558C" w14:textId="3C2B62A2"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CF00DC">
        <w:rPr>
          <w:color w:val="5F5F5F"/>
        </w:rPr>
        <w:t>2</w:t>
      </w:r>
      <w:r w:rsidRPr="00770664">
        <w:rPr>
          <w:color w:val="5F5F5F"/>
        </w:rPr>
        <w:t>1st March 202</w:t>
      </w:r>
      <w:r w:rsidR="00CF00DC">
        <w:rPr>
          <w:color w:val="5F5F5F"/>
        </w:rPr>
        <w:t>2</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7777777" w:rsidR="00770664" w:rsidRPr="00F91AAE" w:rsidRDefault="00770664" w:rsidP="0049248C">
            <w:pPr>
              <w:rPr>
                <w:color w:val="5F5F5F"/>
                <w:sz w:val="21"/>
                <w:szCs w:val="21"/>
              </w:rPr>
            </w:pPr>
            <w:r w:rsidRPr="00F91AAE">
              <w:rPr>
                <w:color w:val="5F5F5F"/>
                <w:sz w:val="21"/>
                <w:szCs w:val="21"/>
              </w:rPr>
              <w:t>0 -10%</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77777777" w:rsidR="00770664" w:rsidRPr="00F91AAE" w:rsidRDefault="00770664" w:rsidP="0049248C">
            <w:pPr>
              <w:rPr>
                <w:color w:val="5F5F5F"/>
                <w:sz w:val="21"/>
                <w:szCs w:val="21"/>
              </w:rPr>
            </w:pPr>
            <w:r w:rsidRPr="00F91AAE">
              <w:rPr>
                <w:color w:val="5F5F5F"/>
                <w:sz w:val="21"/>
                <w:szCs w:val="21"/>
              </w:rPr>
              <w:t>11-40%</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77777777" w:rsidR="00770664" w:rsidRPr="00F91AAE" w:rsidRDefault="00770664" w:rsidP="0049248C">
            <w:pPr>
              <w:rPr>
                <w:color w:val="5F5F5F"/>
                <w:sz w:val="21"/>
                <w:szCs w:val="21"/>
              </w:rPr>
            </w:pPr>
            <w:r w:rsidRPr="00F91AAE">
              <w:rPr>
                <w:color w:val="5F5F5F"/>
                <w:sz w:val="21"/>
                <w:szCs w:val="21"/>
              </w:rPr>
              <w:t>41-60%</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77777777" w:rsidR="00770664" w:rsidRPr="00F91AAE" w:rsidRDefault="00770664" w:rsidP="0049248C">
            <w:pPr>
              <w:rPr>
                <w:color w:val="5F5F5F"/>
                <w:sz w:val="21"/>
                <w:szCs w:val="21"/>
              </w:rPr>
            </w:pPr>
            <w:r w:rsidRPr="00F91AAE">
              <w:rPr>
                <w:color w:val="5F5F5F"/>
                <w:sz w:val="21"/>
                <w:szCs w:val="21"/>
              </w:rPr>
              <w:t>61-80%</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77777777" w:rsidR="00770664" w:rsidRPr="00F91AAE" w:rsidRDefault="00770664" w:rsidP="0049248C">
            <w:pPr>
              <w:rPr>
                <w:color w:val="5F5F5F"/>
                <w:sz w:val="21"/>
                <w:szCs w:val="21"/>
              </w:rPr>
            </w:pPr>
            <w:r w:rsidRPr="00F91AAE">
              <w:rPr>
                <w:color w:val="5F5F5F"/>
                <w:sz w:val="21"/>
                <w:szCs w:val="21"/>
              </w:rPr>
              <w:t>81-100%</w:t>
            </w:r>
          </w:p>
          <w:p w14:paraId="1CFB502C" w14:textId="77777777" w:rsidR="00770664" w:rsidRPr="00F91AAE" w:rsidRDefault="00770664" w:rsidP="0049248C">
            <w:pPr>
              <w:rPr>
                <w:color w:val="5F5F5F"/>
                <w:sz w:val="21"/>
                <w:szCs w:val="21"/>
              </w:rPr>
            </w:pPr>
          </w:p>
        </w:tc>
      </w:tr>
    </w:tbl>
    <w:p w14:paraId="4DEBBE44" w14:textId="3C8A0840"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Experience of tenant liaison (10</w:t>
      </w:r>
      <w:r>
        <w:rPr>
          <w:b/>
          <w:bCs/>
          <w:color w:val="5F5F5F"/>
        </w:rPr>
        <w:t>%)</w:t>
      </w:r>
    </w:p>
    <w:p w14:paraId="67EF12F0" w14:textId="37374B0C" w:rsidR="00770664" w:rsidRDefault="00770664" w:rsidP="00770664">
      <w:pPr>
        <w:pStyle w:val="BodyText"/>
        <w:spacing w:before="120"/>
        <w:ind w:left="522" w:right="329"/>
        <w:jc w:val="both"/>
        <w:rPr>
          <w:color w:val="5F5F5F"/>
        </w:rPr>
      </w:pPr>
      <w:r w:rsidRPr="00770664">
        <w:rPr>
          <w:color w:val="5F5F5F"/>
        </w:rPr>
        <w:t>Tenderers should outline their approach to tenant liaison in particular during the current pandemic. There are vulnerable tenants in some of the properties which are having works undertaken. Liaison through the Council will be key, but tenant liaison is of the upmost importance. Tenderers may wish to consider a named tenant liaison contact etc. (1 singled sided A4 allowance)</w:t>
      </w:r>
    </w:p>
    <w:p w14:paraId="59B67207" w14:textId="77777777" w:rsidR="00770664" w:rsidRDefault="00770664"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77777777" w:rsidR="00770664" w:rsidRPr="00F91AAE" w:rsidRDefault="00770664" w:rsidP="0049248C">
            <w:pPr>
              <w:rPr>
                <w:color w:val="5F5F5F"/>
                <w:sz w:val="21"/>
                <w:szCs w:val="21"/>
              </w:rPr>
            </w:pPr>
            <w:r w:rsidRPr="00F91AAE">
              <w:rPr>
                <w:color w:val="5F5F5F"/>
                <w:sz w:val="21"/>
                <w:szCs w:val="21"/>
              </w:rPr>
              <w:t>0 -10%</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77777777" w:rsidR="00770664" w:rsidRPr="00F91AAE" w:rsidRDefault="00770664" w:rsidP="0049248C">
            <w:pPr>
              <w:rPr>
                <w:color w:val="5F5F5F"/>
                <w:sz w:val="21"/>
                <w:szCs w:val="21"/>
              </w:rPr>
            </w:pPr>
            <w:r w:rsidRPr="00F91AAE">
              <w:rPr>
                <w:color w:val="5F5F5F"/>
                <w:sz w:val="21"/>
                <w:szCs w:val="21"/>
              </w:rPr>
              <w:t>11-40%</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77777777" w:rsidR="00770664" w:rsidRPr="00F91AAE" w:rsidRDefault="00770664" w:rsidP="0049248C">
            <w:pPr>
              <w:rPr>
                <w:color w:val="5F5F5F"/>
                <w:sz w:val="21"/>
                <w:szCs w:val="21"/>
              </w:rPr>
            </w:pPr>
            <w:r w:rsidRPr="00F91AAE">
              <w:rPr>
                <w:color w:val="5F5F5F"/>
                <w:sz w:val="21"/>
                <w:szCs w:val="21"/>
              </w:rPr>
              <w:t>41-60%</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77777777" w:rsidR="00770664" w:rsidRPr="00F91AAE" w:rsidRDefault="00770664" w:rsidP="0049248C">
            <w:pPr>
              <w:rPr>
                <w:color w:val="5F5F5F"/>
                <w:sz w:val="21"/>
                <w:szCs w:val="21"/>
              </w:rPr>
            </w:pPr>
            <w:r w:rsidRPr="00F91AAE">
              <w:rPr>
                <w:color w:val="5F5F5F"/>
                <w:sz w:val="21"/>
                <w:szCs w:val="21"/>
              </w:rPr>
              <w:t>61-80%</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77777777" w:rsidR="00770664" w:rsidRPr="00F91AAE" w:rsidRDefault="00770664" w:rsidP="0049248C">
            <w:pPr>
              <w:rPr>
                <w:color w:val="5F5F5F"/>
                <w:sz w:val="21"/>
                <w:szCs w:val="21"/>
              </w:rPr>
            </w:pPr>
            <w:r w:rsidRPr="00F91AAE">
              <w:rPr>
                <w:color w:val="5F5F5F"/>
                <w:sz w:val="21"/>
                <w:szCs w:val="21"/>
              </w:rPr>
              <w:t>81-100%</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77777777" w:rsidR="00770664" w:rsidRDefault="00770664" w:rsidP="00770664">
      <w:pPr>
        <w:ind w:left="567"/>
        <w:rPr>
          <w:color w:val="5F5F5F"/>
          <w:sz w:val="21"/>
          <w:szCs w:val="21"/>
        </w:rPr>
      </w:pPr>
      <w:r w:rsidRPr="00770664">
        <w:rPr>
          <w:color w:val="5F5F5F"/>
          <w:sz w:val="21"/>
          <w:szCs w:val="21"/>
        </w:rPr>
        <w:t>Tenderers should provide an overview of how they will carry out the works in such a way to minimize disruption to the tenants in particular. Attention should be made towards reducing time required for tenants to be away from their property; the Council has limited premises to de-cant tenants.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77777777" w:rsidR="00770664" w:rsidRPr="00F91AAE" w:rsidRDefault="00770664" w:rsidP="0049248C">
            <w:pPr>
              <w:rPr>
                <w:color w:val="5F5F5F"/>
                <w:sz w:val="21"/>
                <w:szCs w:val="21"/>
              </w:rPr>
            </w:pPr>
            <w:r w:rsidRPr="00F91AAE">
              <w:rPr>
                <w:color w:val="5F5F5F"/>
                <w:sz w:val="21"/>
                <w:szCs w:val="21"/>
              </w:rPr>
              <w:t>0 -10%</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77777777" w:rsidR="00770664" w:rsidRPr="00F91AAE" w:rsidRDefault="00770664" w:rsidP="0049248C">
            <w:pPr>
              <w:rPr>
                <w:color w:val="5F5F5F"/>
                <w:sz w:val="21"/>
                <w:szCs w:val="21"/>
              </w:rPr>
            </w:pPr>
            <w:r w:rsidRPr="00F91AAE">
              <w:rPr>
                <w:color w:val="5F5F5F"/>
                <w:sz w:val="21"/>
                <w:szCs w:val="21"/>
              </w:rPr>
              <w:t>11-40%</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77777777" w:rsidR="00770664" w:rsidRPr="00F91AAE" w:rsidRDefault="00770664" w:rsidP="0049248C">
            <w:pPr>
              <w:rPr>
                <w:color w:val="5F5F5F"/>
                <w:sz w:val="21"/>
                <w:szCs w:val="21"/>
              </w:rPr>
            </w:pPr>
            <w:r w:rsidRPr="00F91AAE">
              <w:rPr>
                <w:color w:val="5F5F5F"/>
                <w:sz w:val="21"/>
                <w:szCs w:val="21"/>
              </w:rPr>
              <w:t>41-60%</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1C602AD6" w14:textId="77777777" w:rsidR="00770664" w:rsidRPr="00F91AAE" w:rsidRDefault="00770664" w:rsidP="0049248C">
            <w:pPr>
              <w:rPr>
                <w:color w:val="5F5F5F"/>
                <w:sz w:val="21"/>
                <w:szCs w:val="21"/>
              </w:rPr>
            </w:pPr>
            <w:r w:rsidRPr="00F91AAE">
              <w:rPr>
                <w:color w:val="5F5F5F"/>
                <w:sz w:val="21"/>
                <w:szCs w:val="21"/>
              </w:rPr>
              <w:t>61-80%</w:t>
            </w:r>
          </w:p>
          <w:p w14:paraId="305803B3" w14:textId="77777777" w:rsidR="00770664" w:rsidRPr="00F91AAE" w:rsidRDefault="00770664" w:rsidP="0049248C">
            <w:pPr>
              <w:rPr>
                <w:color w:val="5F5F5F"/>
                <w:sz w:val="21"/>
                <w:szCs w:val="21"/>
              </w:rPr>
            </w:pP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w:t>
            </w:r>
            <w:r w:rsidRPr="00F91AAE">
              <w:rPr>
                <w:color w:val="5F5F5F"/>
                <w:sz w:val="21"/>
                <w:szCs w:val="21"/>
              </w:rPr>
              <w:lastRenderedPageBreak/>
              <w:t>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05AE662B" w14:textId="77777777" w:rsidR="00770664" w:rsidRPr="00F91AAE" w:rsidRDefault="00770664" w:rsidP="0049248C">
            <w:pPr>
              <w:rPr>
                <w:color w:val="5F5F5F"/>
                <w:sz w:val="21"/>
                <w:szCs w:val="21"/>
              </w:rPr>
            </w:pPr>
            <w:r w:rsidRPr="00F91AAE">
              <w:rPr>
                <w:color w:val="5F5F5F"/>
                <w:sz w:val="21"/>
                <w:szCs w:val="21"/>
              </w:rPr>
              <w:lastRenderedPageBreak/>
              <w:t>81-100%</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 xml:space="preserve">Provide a price submission that is abnormally low by entering costs that are clearly </w:t>
      </w:r>
      <w:r>
        <w:rPr>
          <w:color w:val="5F5F5F"/>
          <w:sz w:val="21"/>
        </w:rPr>
        <w:lastRenderedPageBreak/>
        <w:t>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13588B2C" w14:textId="77777777" w:rsidR="00770664" w:rsidRDefault="00770664" w:rsidP="00770664">
      <w:pPr>
        <w:pStyle w:val="BodyText"/>
        <w:spacing w:before="163" w:line="417" w:lineRule="auto"/>
        <w:ind w:left="522" w:right="5260"/>
      </w:pPr>
      <w:r>
        <w:rPr>
          <w:color w:val="5F5F5F"/>
        </w:rPr>
        <w:t>Appendix One - Qualitative Selection Criteria Appendix Two - Detailed Pricing Schedule Appendix Three - Preliminaries Breakdown</w:t>
      </w:r>
    </w:p>
    <w:p w14:paraId="46DFC930" w14:textId="77777777" w:rsidR="00770664" w:rsidRDefault="00770664" w:rsidP="00770664">
      <w:pPr>
        <w:pStyle w:val="BodyText"/>
        <w:spacing w:before="136"/>
        <w:ind w:left="522"/>
      </w:pPr>
      <w:r>
        <w:rPr>
          <w:color w:val="5F5F5F"/>
        </w:rPr>
        <w:t>Appendix Four – Contingencies and Dayworks</w:t>
      </w:r>
    </w:p>
    <w:p w14:paraId="75D42C80" w14:textId="77777777" w:rsidR="00BE79E7" w:rsidRDefault="00BE79E7">
      <w:pPr>
        <w:pStyle w:val="BodyText"/>
        <w:rPr>
          <w:sz w:val="24"/>
        </w:rPr>
      </w:pPr>
    </w:p>
    <w:p w14:paraId="67BC1DC6" w14:textId="77777777" w:rsidR="00BE79E7" w:rsidRDefault="00BE79E7">
      <w:pPr>
        <w:pStyle w:val="BodyText"/>
        <w:spacing w:before="4"/>
        <w:rPr>
          <w:sz w:val="28"/>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1E8ADDDE" w:rsidR="00BE79E7" w:rsidRDefault="004A2168">
      <w:pPr>
        <w:pStyle w:val="Heading3"/>
        <w:spacing w:before="179"/>
        <w:rPr>
          <w:u w:val="none"/>
        </w:rPr>
      </w:pPr>
      <w:r w:rsidRPr="00770664">
        <w:rPr>
          <w:color w:val="5F5F5F"/>
          <w:u w:val="none"/>
        </w:rPr>
        <w:t xml:space="preserve">1600 Hour GMT </w:t>
      </w:r>
      <w:r w:rsidR="00CF00DC">
        <w:rPr>
          <w:color w:val="5F5F5F"/>
          <w:u w:val="none"/>
        </w:rPr>
        <w:t>15/10/2021</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Pr>
          <w:color w:val="5F5F5F"/>
          <w:sz w:val="21"/>
        </w:rPr>
        <w:t>Tenderers must submit the items in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 xml:space="preserve">Tenderers will be awarded a contract who, in the opinion of the Authority at the conclusion </w:t>
      </w:r>
      <w:r>
        <w:rPr>
          <w:color w:val="5F5F5F"/>
          <w:sz w:val="21"/>
        </w:rPr>
        <w:lastRenderedPageBreak/>
        <w:t>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31"/>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32"/>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The contractual form to be used for this contract is 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33">
        <w:r>
          <w:rPr>
            <w:color w:val="747373"/>
          </w:rPr>
          <w:t>enquiries@curriebrown.com</w:t>
        </w:r>
      </w:hyperlink>
    </w:p>
    <w:sectPr w:rsidR="00BE79E7">
      <w:headerReference w:type="default" r:id="rId34"/>
      <w:footerReference w:type="default" r:id="rId35"/>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FE943" w14:textId="77777777" w:rsidR="000979A0" w:rsidRDefault="00097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7D82" w14:textId="77777777" w:rsidR="000979A0" w:rsidRDefault="00097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277B" w14:textId="77777777" w:rsidR="000979A0" w:rsidRDefault="000979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0979A0">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49248C" w:rsidRDefault="00CF00DC">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0979A0">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49248C" w:rsidRDefault="00CF00DC">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0979A0">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" filled="f" stroked="f">
              <v:textbox inset="0,0,0,0">
                <w:txbxContent>
                  <w:p w14:paraId="0F10F711" w14:textId="77777777" w:rsidR="0049248C" w:rsidRDefault="00CF00DC">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4B6A5" w14:textId="77777777" w:rsidR="000979A0" w:rsidRDefault="00097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94A22" w14:textId="77777777" w:rsidR="000979A0" w:rsidRDefault="00097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3857" w14:textId="77777777" w:rsidR="000979A0" w:rsidRDefault="000979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306A79A4">
              <wp:simplePos x="0" y="0"/>
              <wp:positionH relativeFrom="page">
                <wp:posOffset>1068070</wp:posOffset>
              </wp:positionH>
              <wp:positionV relativeFrom="page">
                <wp:posOffset>440055</wp:posOffset>
              </wp:positionV>
              <wp:extent cx="1612900" cy="285750"/>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71E585ED" w:rsidR="0049248C" w:rsidRDefault="0049248C">
                          <w:pPr>
                            <w:spacing w:before="14"/>
                            <w:ind w:left="20" w:right="-2"/>
                            <w:rPr>
                              <w:sz w:val="18"/>
                            </w:rPr>
                          </w:pPr>
                          <w:r>
                            <w:rPr>
                              <w:color w:val="5F5F5F"/>
                              <w:sz w:val="18"/>
                            </w:rPr>
                            <w:t>Council of the Isles of Scilly 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3675728" id="_x0000_t202" coordsize="21600,21600" o:spt="202" path="m,l,21600r21600,l21600,xe">
              <v:stroke joinstyle="miter"/>
              <v:path gradientshapeok="t" o:connecttype="rect"/>
            </v:shapetype>
            <v:shape id="Text Box 20" o:spid="_x0000_s1026" type="#_x0000_t202" style="position:absolute;margin-left:84.1pt;margin-top:34.65pt;width:127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" filled="f" stroked="f">
              <v:textbox inset="0,0,0,0">
                <w:txbxContent>
                  <w:p w14:paraId="296EF005" w14:textId="71E585ED" w:rsidR="0049248C" w:rsidRDefault="0049248C">
                    <w:pPr>
                      <w:spacing w:before="14"/>
                      <w:ind w:left="20" w:right="-2"/>
                      <w:rPr>
                        <w:sz w:val="18"/>
                      </w:rPr>
                    </w:pPr>
                    <w:r>
                      <w:rPr>
                        <w:color w:val="5F5F5F"/>
                        <w:sz w:val="18"/>
                      </w:rPr>
                      <w:t>Council of the Isles of Scilly Package of Works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6A2B75C1" w:rsidR="0049248C" w:rsidRDefault="0049248C">
                          <w:pPr>
                            <w:spacing w:before="14"/>
                            <w:ind w:left="20" w:right="-2"/>
                            <w:rPr>
                              <w:sz w:val="18"/>
                            </w:rPr>
                          </w:pPr>
                          <w:r>
                            <w:rPr>
                              <w:color w:val="5F5F5F"/>
                              <w:sz w:val="18"/>
                            </w:rPr>
                            <w:t>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6A2B75C1" w:rsidR="0049248C" w:rsidRDefault="0049248C">
                    <w:pPr>
                      <w:spacing w:before="14"/>
                      <w:ind w:left="20" w:right="-2"/>
                      <w:rPr>
                        <w:sz w:val="18"/>
                      </w:rPr>
                    </w:pPr>
                    <w:r>
                      <w:rPr>
                        <w:color w:val="5F5F5F"/>
                        <w:sz w:val="18"/>
                      </w:rPr>
                      <w:t>Package of Works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61163A8" w:rsidR="0049248C" w:rsidRDefault="0049248C">
                          <w:pPr>
                            <w:spacing w:before="14"/>
                            <w:ind w:left="20" w:right="-2"/>
                            <w:rPr>
                              <w:sz w:val="18"/>
                            </w:rPr>
                          </w:pPr>
                          <w:r>
                            <w:rPr>
                              <w:color w:val="5F5F5F"/>
                              <w:sz w:val="18"/>
                            </w:rPr>
                            <w:t>Council of the Isles of Scilly 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761163A8" w:rsidR="0049248C" w:rsidRDefault="0049248C">
                    <w:pPr>
                      <w:spacing w:before="14"/>
                      <w:ind w:left="20" w:right="-2"/>
                      <w:rPr>
                        <w:sz w:val="18"/>
                      </w:rPr>
                    </w:pPr>
                    <w:r>
                      <w:rPr>
                        <w:color w:val="5F5F5F"/>
                        <w:sz w:val="18"/>
                      </w:rPr>
                      <w:t>Council of the Isles of Scilly Package of Works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269CD3C6" w:rsidR="0049248C" w:rsidRDefault="0049248C">
                          <w:pPr>
                            <w:spacing w:before="14"/>
                            <w:ind w:left="20" w:right="-2"/>
                            <w:rPr>
                              <w:sz w:val="18"/>
                            </w:rPr>
                          </w:pPr>
                          <w:r>
                            <w:rPr>
                              <w:color w:val="5F5F5F"/>
                              <w:sz w:val="18"/>
                            </w:rPr>
                            <w:t>Council of the Isles of Scilly 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269CD3C6" w:rsidR="0049248C" w:rsidRDefault="0049248C">
                    <w:pPr>
                      <w:spacing w:before="14"/>
                      <w:ind w:left="20" w:right="-2"/>
                      <w:rPr>
                        <w:sz w:val="18"/>
                      </w:rPr>
                    </w:pPr>
                    <w:r>
                      <w:rPr>
                        <w:color w:val="5F5F5F"/>
                        <w:sz w:val="18"/>
                      </w:rPr>
                      <w:t>Council of the Isles of Scilly Package of Works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615E4"/>
    <w:multiLevelType w:val="multilevel"/>
    <w:tmpl w:val="CB6A26FA"/>
    <w:lvl w:ilvl="0">
      <w:start w:val="2"/>
      <w:numFmt w:val="upperLetter"/>
      <w:lvlText w:val="%1"/>
      <w:lvlJc w:val="left"/>
      <w:pPr>
        <w:ind w:left="522" w:hanging="375"/>
      </w:pPr>
      <w:rPr>
        <w:rFonts w:hint="default"/>
        <w:lang w:val="en-US" w:eastAsia="en-US" w:bidi="en-US"/>
      </w:rPr>
    </w:lvl>
    <w:lvl w:ilvl="1">
      <w:start w:val="1"/>
      <w:numFmt w:val="decimal"/>
      <w:lvlText w:val="%1.%2"/>
      <w:lvlJc w:val="left"/>
      <w:pPr>
        <w:ind w:left="522" w:hanging="375"/>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pPr>
      <w:rPr>
        <w:rFonts w:hint="default"/>
        <w:lang w:val="en-US" w:eastAsia="en-US" w:bidi="en-US"/>
      </w:rPr>
    </w:lvl>
    <w:lvl w:ilvl="1">
      <w:start w:val="5"/>
      <w:numFmt w:val="decimal"/>
      <w:lvlText w:val="%1.%2"/>
      <w:lvlJc w:val="left"/>
      <w:pPr>
        <w:ind w:left="908" w:hanging="387"/>
      </w:pPr>
      <w:rPr>
        <w:rFonts w:hint="default"/>
        <w:b/>
        <w:bCs/>
        <w:spacing w:val="-2"/>
        <w:w w:val="100"/>
        <w:lang w:val="en-US" w:eastAsia="en-US" w:bidi="en-US"/>
      </w:rPr>
    </w:lvl>
    <w:lvl w:ilvl="2">
      <w:start w:val="1"/>
      <w:numFmt w:val="decimal"/>
      <w:lvlText w:val="%1.%2.%3"/>
      <w:lvlJc w:val="left"/>
      <w:pPr>
        <w:ind w:left="522" w:hanging="562"/>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pPr>
      <w:rPr>
        <w:rFonts w:hint="default"/>
        <w:lang w:val="en-US" w:eastAsia="en-US" w:bidi="en-US"/>
      </w:rPr>
    </w:lvl>
    <w:lvl w:ilvl="1">
      <w:start w:val="1"/>
      <w:numFmt w:val="decimal"/>
      <w:lvlText w:val="%1.%2"/>
      <w:lvlJc w:val="left"/>
      <w:pPr>
        <w:ind w:left="522" w:hanging="375"/>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pPr>
      <w:rPr>
        <w:rFonts w:hint="default"/>
        <w:lang w:val="en-US" w:eastAsia="en-US" w:bidi="en-US"/>
      </w:rPr>
    </w:lvl>
    <w:lvl w:ilvl="1">
      <w:start w:val="1"/>
      <w:numFmt w:val="decimal"/>
      <w:lvlText w:val="%1.%2"/>
      <w:lvlJc w:val="left"/>
      <w:pPr>
        <w:ind w:left="522" w:hanging="387"/>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0979A0"/>
    <w:rsid w:val="00107A9C"/>
    <w:rsid w:val="0049248C"/>
    <w:rsid w:val="004A2168"/>
    <w:rsid w:val="005777A1"/>
    <w:rsid w:val="006A02AA"/>
    <w:rsid w:val="00770664"/>
    <w:rsid w:val="007A69BE"/>
    <w:rsid w:val="0097075C"/>
    <w:rsid w:val="00BE79E7"/>
    <w:rsid w:val="00C61EF6"/>
    <w:rsid w:val="00CF00DC"/>
    <w:rsid w:val="00D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9A0"/>
    <w:rPr>
      <w:color w:val="0000FF" w:themeColor="hyperlink"/>
      <w:u w:val="single"/>
    </w:rPr>
  </w:style>
  <w:style w:type="character" w:styleId="UnresolvedMention">
    <w:name w:val="Unresolved Mention"/>
    <w:basedOn w:val="DefaultParagraphFont"/>
    <w:uiPriority w:val="99"/>
    <w:semiHidden/>
    <w:unhideWhenUsed/>
    <w:rsid w:val="00097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mailto:Procurement@scilly.gov.u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Keith.Grossett@scilly.gov.uk" TargetMode="External"/><Relationship Id="rId25" Type="http://schemas.openxmlformats.org/officeDocument/2006/relationships/hyperlink" Target="mailto:procurement@scilly.gov.uk" TargetMode="External"/><Relationship Id="rId33" Type="http://schemas.openxmlformats.org/officeDocument/2006/relationships/hyperlink" Target="mailto:enquiries@curriebrown.co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scilly.gov.uk/business-licensing/contracts/current-contract-opportunities" TargetMode="External"/><Relationship Id="rId29" Type="http://schemas.openxmlformats.org/officeDocument/2006/relationships/hyperlink" Target="mailto:procurement@scill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scilly.gov.uk/"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mailto:procurement@scilly.gov.uk"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gov.uk/contracts-finder"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www.scilly.gov.uk/business/contracts)" TargetMode="External"/><Relationship Id="rId30" Type="http://schemas.openxmlformats.org/officeDocument/2006/relationships/hyperlink" Target="mailto:procurement@scilly.gov.uk" TargetMode="External"/><Relationship Id="rId35" Type="http://schemas.openxmlformats.org/officeDocument/2006/relationships/footer" Target="footer6.xml"/></Relationships>
</file>

<file path=word/_rels/footer4.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7861</Words>
  <Characters>44809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Keith Grossett</cp:lastModifiedBy>
  <cp:revision>2</cp:revision>
  <dcterms:created xsi:type="dcterms:W3CDTF">2021-11-08T10:44:00Z</dcterms:created>
  <dcterms:modified xsi:type="dcterms:W3CDTF">2021-11-08T10:44:00Z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