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Pr="00665252" w:rsidRDefault="00EB10D1" w:rsidP="009B3D04">
      <w:pPr>
        <w:jc w:val="center"/>
        <w:rPr>
          <w:b/>
          <w:sz w:val="44"/>
          <w:szCs w:val="44"/>
        </w:rPr>
      </w:pPr>
      <w:bookmarkStart w:id="0" w:name="_GoBack"/>
      <w:bookmarkEnd w:id="0"/>
      <w:r w:rsidRPr="00665252">
        <w:rPr>
          <w:b/>
          <w:sz w:val="44"/>
          <w:szCs w:val="44"/>
        </w:rPr>
        <w:t xml:space="preserve"> </w:t>
      </w:r>
    </w:p>
    <w:p w:rsidR="0098497B" w:rsidRPr="00665252" w:rsidRDefault="0098497B" w:rsidP="009B3D04">
      <w:pPr>
        <w:jc w:val="center"/>
        <w:rPr>
          <w:b/>
          <w:sz w:val="44"/>
          <w:szCs w:val="44"/>
        </w:rPr>
      </w:pPr>
    </w:p>
    <w:p w:rsidR="0098497B" w:rsidRPr="00665252" w:rsidRDefault="0098497B" w:rsidP="009B3D04">
      <w:pPr>
        <w:jc w:val="center"/>
        <w:rPr>
          <w:b/>
          <w:sz w:val="44"/>
          <w:szCs w:val="44"/>
        </w:rPr>
      </w:pPr>
    </w:p>
    <w:p w:rsidR="0098497B" w:rsidRPr="00665252" w:rsidRDefault="0098497B" w:rsidP="009B3D04">
      <w:pPr>
        <w:jc w:val="center"/>
        <w:rPr>
          <w:b/>
          <w:sz w:val="48"/>
          <w:szCs w:val="48"/>
        </w:rPr>
      </w:pPr>
      <w:smartTag w:uri="urn:schemas-microsoft-com:office:smarttags" w:element="place">
        <w:r w:rsidRPr="00665252">
          <w:rPr>
            <w:b/>
            <w:sz w:val="48"/>
            <w:szCs w:val="48"/>
          </w:rPr>
          <w:t>Essex</w:t>
        </w:r>
      </w:smartTag>
      <w:r w:rsidRPr="00665252">
        <w:rPr>
          <w:b/>
          <w:sz w:val="48"/>
          <w:szCs w:val="48"/>
        </w:rPr>
        <w:t xml:space="preserve"> County Council </w:t>
      </w:r>
    </w:p>
    <w:p w:rsidR="0098497B" w:rsidRPr="00665252" w:rsidRDefault="0098497B" w:rsidP="009B3D04">
      <w:pPr>
        <w:jc w:val="center"/>
        <w:rPr>
          <w:b/>
        </w:rPr>
      </w:pPr>
    </w:p>
    <w:p w:rsidR="0098497B" w:rsidRPr="00665252" w:rsidRDefault="0098497B" w:rsidP="009B3D04">
      <w:pPr>
        <w:jc w:val="center"/>
        <w:rPr>
          <w:b/>
        </w:rPr>
      </w:pPr>
    </w:p>
    <w:p w:rsidR="00B14233" w:rsidRDefault="002403A8" w:rsidP="009B3D04">
      <w:pPr>
        <w:jc w:val="center"/>
        <w:rPr>
          <w:b/>
          <w:sz w:val="40"/>
          <w:szCs w:val="40"/>
        </w:rPr>
      </w:pPr>
      <w:r w:rsidRPr="00665252">
        <w:rPr>
          <w:b/>
          <w:sz w:val="40"/>
          <w:szCs w:val="40"/>
        </w:rPr>
        <w:t>Pre-Qualification Questionnaire</w:t>
      </w:r>
    </w:p>
    <w:p w:rsidR="0040701D" w:rsidRPr="00665252" w:rsidRDefault="0040701D" w:rsidP="009B3D04">
      <w:pPr>
        <w:jc w:val="center"/>
        <w:rPr>
          <w:b/>
          <w:sz w:val="40"/>
          <w:szCs w:val="40"/>
        </w:rPr>
      </w:pPr>
      <w:r>
        <w:rPr>
          <w:b/>
          <w:sz w:val="40"/>
          <w:szCs w:val="40"/>
        </w:rPr>
        <w:t>Instructions and Guidance to Bid</w:t>
      </w:r>
      <w:r w:rsidR="00E733CB">
        <w:rPr>
          <w:b/>
          <w:sz w:val="40"/>
          <w:szCs w:val="40"/>
        </w:rPr>
        <w:t>d</w:t>
      </w:r>
      <w:r>
        <w:rPr>
          <w:b/>
          <w:sz w:val="40"/>
          <w:szCs w:val="40"/>
        </w:rPr>
        <w:t>ers</w:t>
      </w:r>
    </w:p>
    <w:p w:rsidR="0098497B" w:rsidRPr="00665252" w:rsidRDefault="0098497B" w:rsidP="009B3D04">
      <w:pPr>
        <w:jc w:val="center"/>
        <w:rPr>
          <w:b/>
          <w:sz w:val="40"/>
          <w:szCs w:val="40"/>
        </w:rPr>
      </w:pPr>
    </w:p>
    <w:p w:rsidR="00B14233" w:rsidRPr="00665252" w:rsidRDefault="00B14233" w:rsidP="009B3D04">
      <w:pPr>
        <w:jc w:val="center"/>
        <w:rPr>
          <w:b/>
          <w:sz w:val="40"/>
          <w:szCs w:val="40"/>
        </w:rPr>
      </w:pPr>
      <w:r w:rsidRPr="00665252">
        <w:rPr>
          <w:b/>
          <w:sz w:val="40"/>
          <w:szCs w:val="40"/>
        </w:rPr>
        <w:t xml:space="preserve">For </w:t>
      </w:r>
    </w:p>
    <w:p w:rsidR="00B14233" w:rsidRPr="00665252" w:rsidRDefault="00B14233" w:rsidP="009B3D04">
      <w:pPr>
        <w:jc w:val="center"/>
        <w:rPr>
          <w:b/>
          <w:sz w:val="40"/>
          <w:szCs w:val="40"/>
        </w:rPr>
      </w:pPr>
    </w:p>
    <w:p w:rsidR="00494222" w:rsidRPr="00A953F4" w:rsidRDefault="00EF2457" w:rsidP="00494222">
      <w:pPr>
        <w:jc w:val="center"/>
        <w:rPr>
          <w:b/>
          <w:sz w:val="40"/>
          <w:szCs w:val="40"/>
        </w:rPr>
      </w:pPr>
      <w:r w:rsidRPr="00A953F4">
        <w:rPr>
          <w:b/>
          <w:sz w:val="40"/>
          <w:szCs w:val="40"/>
        </w:rPr>
        <w:t xml:space="preserve">(0206) </w:t>
      </w:r>
      <w:r w:rsidR="00494222" w:rsidRPr="00A953F4">
        <w:rPr>
          <w:b/>
          <w:sz w:val="40"/>
          <w:szCs w:val="40"/>
        </w:rPr>
        <w:t>Essex Independent Living Developer Provider Framework</w:t>
      </w:r>
    </w:p>
    <w:p w:rsidR="0098497B" w:rsidRPr="00665252" w:rsidRDefault="0098497B" w:rsidP="009B3D04">
      <w:pPr>
        <w:jc w:val="center"/>
        <w:rPr>
          <w:b/>
          <w:sz w:val="40"/>
          <w:szCs w:val="40"/>
        </w:rPr>
      </w:pPr>
    </w:p>
    <w:p w:rsidR="0098497B" w:rsidRPr="00665252" w:rsidRDefault="0098497B" w:rsidP="009B3D04">
      <w:pPr>
        <w:jc w:val="center"/>
        <w:rPr>
          <w:b/>
          <w:sz w:val="40"/>
          <w:szCs w:val="40"/>
        </w:rPr>
      </w:pPr>
    </w:p>
    <w:p w:rsidR="0098497B" w:rsidRPr="00665252" w:rsidRDefault="0098497B" w:rsidP="00CA4EA6">
      <w:pPr>
        <w:rPr>
          <w:b/>
          <w:sz w:val="40"/>
          <w:szCs w:val="40"/>
        </w:rPr>
      </w:pPr>
    </w:p>
    <w:p w:rsidR="0098497B" w:rsidRPr="00665252" w:rsidRDefault="0098497B" w:rsidP="009B3D04">
      <w:pPr>
        <w:jc w:val="center"/>
        <w:rPr>
          <w:b/>
          <w:sz w:val="40"/>
          <w:szCs w:val="40"/>
        </w:rPr>
      </w:pPr>
    </w:p>
    <w:p w:rsidR="0098497B" w:rsidRPr="00665252" w:rsidRDefault="0098497B" w:rsidP="009B3D04">
      <w:pPr>
        <w:jc w:val="center"/>
        <w:rPr>
          <w:b/>
          <w:sz w:val="40"/>
          <w:szCs w:val="40"/>
        </w:rPr>
      </w:pPr>
    </w:p>
    <w:p w:rsidR="0098497B" w:rsidRPr="00665252" w:rsidRDefault="0098497B" w:rsidP="009B3D04">
      <w:pPr>
        <w:jc w:val="center"/>
        <w:rPr>
          <w:b/>
          <w:sz w:val="40"/>
          <w:szCs w:val="40"/>
        </w:rPr>
      </w:pPr>
    </w:p>
    <w:p w:rsidR="0098497B" w:rsidRPr="00665252" w:rsidRDefault="0098497B" w:rsidP="009B3D04">
      <w:pPr>
        <w:jc w:val="center"/>
        <w:rPr>
          <w:b/>
          <w:sz w:val="40"/>
          <w:szCs w:val="40"/>
        </w:rPr>
      </w:pPr>
      <w:r w:rsidRPr="00665252">
        <w:t xml:space="preserve">    </w:t>
      </w:r>
      <w:r w:rsidR="002A12BB" w:rsidRPr="00665252">
        <w:t xml:space="preserve">  </w:t>
      </w:r>
      <w:r w:rsidR="00695EBC">
        <w:rPr>
          <w:noProof/>
          <w:sz w:val="20"/>
        </w:rPr>
        <w:drawing>
          <wp:inline distT="0" distB="0" distL="0" distR="0">
            <wp:extent cx="16478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7825" cy="809625"/>
                    </a:xfrm>
                    <a:prstGeom prst="rect">
                      <a:avLst/>
                    </a:prstGeom>
                    <a:noFill/>
                    <a:ln>
                      <a:noFill/>
                    </a:ln>
                  </pic:spPr>
                </pic:pic>
              </a:graphicData>
            </a:graphic>
          </wp:inline>
        </w:drawing>
      </w:r>
      <w:r w:rsidR="002A12BB" w:rsidRPr="00665252">
        <w:t xml:space="preserve"> </w:t>
      </w:r>
      <w:r w:rsidRPr="00665252">
        <w:t xml:space="preserve">                     </w:t>
      </w:r>
    </w:p>
    <w:p w:rsidR="009B3D04" w:rsidRPr="00665252" w:rsidRDefault="009B3D04" w:rsidP="009B3D04"/>
    <w:p w:rsidR="0098497B" w:rsidRPr="00665252" w:rsidRDefault="00851FC4" w:rsidP="009B3D04">
      <w:pPr>
        <w:rPr>
          <w:b/>
        </w:rPr>
      </w:pPr>
      <w:r w:rsidRPr="00665252">
        <w:rPr>
          <w:b/>
        </w:rPr>
        <w:t xml:space="preserve"> </w:t>
      </w:r>
    </w:p>
    <w:p w:rsidR="00B14233" w:rsidRPr="00665252" w:rsidRDefault="00B14233" w:rsidP="00665252">
      <w:pPr>
        <w:jc w:val="both"/>
      </w:pPr>
      <w:r w:rsidRPr="00665252">
        <w:rPr>
          <w:b/>
          <w:u w:val="single"/>
        </w:rPr>
        <w:br w:type="page"/>
      </w:r>
    </w:p>
    <w:p w:rsidR="00B14233" w:rsidRPr="00665252" w:rsidRDefault="00B14233" w:rsidP="00665252">
      <w:pPr>
        <w:jc w:val="both"/>
      </w:pPr>
    </w:p>
    <w:p w:rsidR="00B14233" w:rsidRPr="00665252" w:rsidRDefault="00B14233" w:rsidP="00665252">
      <w:pPr>
        <w:jc w:val="both"/>
      </w:pPr>
      <w:r w:rsidRPr="00665252">
        <w:t>This procurement will follow a restricted two stage process. Dates for both the Pre-Qualification Questionnaire (PQQ) and the Invitation to Tender (ITT) stages can be found below.</w:t>
      </w:r>
    </w:p>
    <w:p w:rsidR="00B14233" w:rsidRPr="00665252" w:rsidRDefault="00B14233" w:rsidP="00665252">
      <w:pPr>
        <w:jc w:val="both"/>
      </w:pPr>
    </w:p>
    <w:p w:rsidR="00B14233" w:rsidRPr="00665252" w:rsidRDefault="00B14233" w:rsidP="00665252">
      <w:pPr>
        <w:jc w:val="both"/>
      </w:pPr>
      <w:r w:rsidRPr="00665252">
        <w:t>Suppliers are requested to e</w:t>
      </w:r>
      <w:r w:rsidR="00665252" w:rsidRPr="00665252">
        <w:t xml:space="preserve">xpress an interest by emailing </w:t>
      </w:r>
      <w:hyperlink r:id="rId10" w:history="1">
        <w:r w:rsidR="00D55585" w:rsidRPr="00AB14F4">
          <w:rPr>
            <w:rStyle w:val="Hyperlink"/>
          </w:rPr>
          <w:t>simon.evans@essex.gov.uk</w:t>
        </w:r>
      </w:hyperlink>
      <w:r w:rsidR="00AF24DD">
        <w:t>.</w:t>
      </w:r>
      <w:r w:rsidRPr="00665252">
        <w:t xml:space="preserve"> They will then be provided access to the Ariba event allowing them to complete and submit the Pre-Qualification Questionnaire (PQQ).</w:t>
      </w:r>
    </w:p>
    <w:p w:rsidR="00B14233" w:rsidRPr="00665252" w:rsidRDefault="00B14233" w:rsidP="00665252">
      <w:pPr>
        <w:jc w:val="both"/>
      </w:pPr>
    </w:p>
    <w:p w:rsidR="00B14233" w:rsidRPr="00665252" w:rsidRDefault="00B14233" w:rsidP="00665252">
      <w:pPr>
        <w:jc w:val="both"/>
      </w:pPr>
      <w:r w:rsidRPr="0087746C">
        <w:t>Only those suppliers</w:t>
      </w:r>
      <w:r w:rsidR="0087746C" w:rsidRPr="0087746C">
        <w:t xml:space="preserve"> who are </w:t>
      </w:r>
      <w:r w:rsidRPr="0087746C">
        <w:t>successful at PQQ will progress to the ITT.</w:t>
      </w:r>
    </w:p>
    <w:p w:rsidR="00B14233" w:rsidRPr="00665252" w:rsidRDefault="00B14233" w:rsidP="00665252">
      <w:pPr>
        <w:jc w:val="both"/>
      </w:pPr>
    </w:p>
    <w:p w:rsidR="00B14233" w:rsidRPr="00665252" w:rsidRDefault="00B14233" w:rsidP="00665252">
      <w:pPr>
        <w:jc w:val="both"/>
      </w:pPr>
      <w:r w:rsidRPr="00665252">
        <w:t xml:space="preserve">All communications, enquiries, questions or requests for clarification by Bidders should be addressed in writing using the secure messaging system in the PQQ </w:t>
      </w:r>
      <w:r w:rsidR="00665252" w:rsidRPr="00665252">
        <w:t>event</w:t>
      </w:r>
    </w:p>
    <w:p w:rsidR="00B14233" w:rsidRPr="00665252" w:rsidRDefault="00B14233" w:rsidP="00665252">
      <w:pPr>
        <w:jc w:val="both"/>
      </w:pPr>
    </w:p>
    <w:p w:rsidR="00B14233" w:rsidRPr="00665252" w:rsidRDefault="00B14233" w:rsidP="00665252">
      <w:pPr>
        <w:jc w:val="both"/>
      </w:pPr>
      <w:r w:rsidRPr="00665252">
        <w:t>Bidders should note that the Authority will not respond to any enquiry, question or request not submitted in this manner.</w:t>
      </w:r>
    </w:p>
    <w:p w:rsidR="00B14233" w:rsidRPr="00665252" w:rsidRDefault="00B14233" w:rsidP="00665252">
      <w:pPr>
        <w:jc w:val="both"/>
        <w:rPr>
          <w:b/>
        </w:rPr>
      </w:pPr>
    </w:p>
    <w:p w:rsidR="00665252" w:rsidRPr="00665252" w:rsidRDefault="00B14233" w:rsidP="00665252">
      <w:pPr>
        <w:jc w:val="both"/>
        <w:rPr>
          <w:b/>
        </w:rPr>
      </w:pPr>
      <w:r w:rsidRPr="00665252">
        <w:rPr>
          <w:b/>
        </w:rPr>
        <w:t xml:space="preserve">Please note the content of this document is for information purposes only. </w:t>
      </w:r>
    </w:p>
    <w:p w:rsidR="00665252" w:rsidRPr="00665252" w:rsidRDefault="00665252" w:rsidP="00665252">
      <w:pPr>
        <w:jc w:val="both"/>
        <w:rPr>
          <w:b/>
        </w:rPr>
      </w:pPr>
    </w:p>
    <w:p w:rsidR="00665252" w:rsidRPr="00665252" w:rsidRDefault="00665252" w:rsidP="00665252">
      <w:pPr>
        <w:rPr>
          <w:lang w:val="en-US" w:eastAsia="ja-JP"/>
        </w:rPr>
      </w:pPr>
    </w:p>
    <w:p w:rsidR="00EC3465" w:rsidRPr="00665252" w:rsidRDefault="00EC3465" w:rsidP="00665252">
      <w:pPr>
        <w:rPr>
          <w:b/>
        </w:rPr>
      </w:pPr>
    </w:p>
    <w:p w:rsidR="00A31184" w:rsidRPr="00665252" w:rsidRDefault="00A31184" w:rsidP="00A31184">
      <w:pPr>
        <w:ind w:left="360"/>
      </w:pPr>
    </w:p>
    <w:p w:rsidR="00741D2D" w:rsidRDefault="00741D2D">
      <w:pPr>
        <w:rPr>
          <w:rFonts w:eastAsia="MS Gothic"/>
          <w:bCs/>
          <w:sz w:val="28"/>
          <w:szCs w:val="28"/>
          <w:lang w:val="en-US" w:eastAsia="ja-JP"/>
        </w:rPr>
      </w:pPr>
      <w:r>
        <w:rPr>
          <w:b/>
        </w:rPr>
        <w:br w:type="page"/>
      </w:r>
    </w:p>
    <w:p w:rsidR="00785F41" w:rsidRPr="00347708" w:rsidRDefault="00785F41">
      <w:pPr>
        <w:pStyle w:val="TOCHeading"/>
        <w:rPr>
          <w:rFonts w:ascii="Arial" w:hAnsi="Arial" w:cs="Arial"/>
          <w:b w:val="0"/>
          <w:color w:val="auto"/>
        </w:rPr>
      </w:pPr>
      <w:r w:rsidRPr="00347708">
        <w:rPr>
          <w:rFonts w:ascii="Arial" w:hAnsi="Arial" w:cs="Arial"/>
          <w:b w:val="0"/>
          <w:color w:val="auto"/>
        </w:rPr>
        <w:lastRenderedPageBreak/>
        <w:t>Table of Contents</w:t>
      </w:r>
    </w:p>
    <w:p w:rsidR="00785F41" w:rsidRPr="00665252" w:rsidRDefault="00785F41" w:rsidP="00785F41">
      <w:pPr>
        <w:rPr>
          <w:lang w:val="en-US" w:eastAsia="ja-JP"/>
        </w:rPr>
      </w:pPr>
    </w:p>
    <w:p w:rsidR="002118AA" w:rsidRDefault="00785615">
      <w:pPr>
        <w:pStyle w:val="TOC1"/>
        <w:tabs>
          <w:tab w:val="right" w:leader="dot" w:pos="9017"/>
        </w:tabs>
        <w:rPr>
          <w:rFonts w:asciiTheme="minorHAnsi" w:eastAsiaTheme="minorEastAsia" w:hAnsiTheme="minorHAnsi" w:cstheme="minorBidi"/>
          <w:noProof/>
        </w:rPr>
      </w:pPr>
      <w:r w:rsidRPr="00665252">
        <w:fldChar w:fldCharType="begin"/>
      </w:r>
      <w:r w:rsidRPr="00665252">
        <w:instrText xml:space="preserve"> TOC \o "1-3" \h \z \u </w:instrText>
      </w:r>
      <w:r w:rsidRPr="00665252">
        <w:fldChar w:fldCharType="separate"/>
      </w:r>
      <w:hyperlink w:anchor="_Toc457578386" w:history="1">
        <w:r w:rsidR="002118AA" w:rsidRPr="00724271">
          <w:rPr>
            <w:rStyle w:val="Hyperlink"/>
            <w:noProof/>
          </w:rPr>
          <w:t>Requirement</w:t>
        </w:r>
        <w:r w:rsidR="002118AA">
          <w:rPr>
            <w:noProof/>
            <w:webHidden/>
          </w:rPr>
          <w:tab/>
        </w:r>
        <w:r w:rsidR="002118AA">
          <w:rPr>
            <w:noProof/>
            <w:webHidden/>
          </w:rPr>
          <w:fldChar w:fldCharType="begin"/>
        </w:r>
        <w:r w:rsidR="002118AA">
          <w:rPr>
            <w:noProof/>
            <w:webHidden/>
          </w:rPr>
          <w:instrText xml:space="preserve"> PAGEREF _Toc457578386 \h </w:instrText>
        </w:r>
        <w:r w:rsidR="002118AA">
          <w:rPr>
            <w:noProof/>
            <w:webHidden/>
          </w:rPr>
        </w:r>
        <w:r w:rsidR="002118AA">
          <w:rPr>
            <w:noProof/>
            <w:webHidden/>
          </w:rPr>
          <w:fldChar w:fldCharType="separate"/>
        </w:r>
        <w:r w:rsidR="002118AA">
          <w:rPr>
            <w:noProof/>
            <w:webHidden/>
          </w:rPr>
          <w:t>4</w:t>
        </w:r>
        <w:r w:rsidR="002118AA">
          <w:rPr>
            <w:noProof/>
            <w:webHidden/>
          </w:rPr>
          <w:fldChar w:fldCharType="end"/>
        </w:r>
      </w:hyperlink>
    </w:p>
    <w:p w:rsidR="002118AA" w:rsidRDefault="002D6E30">
      <w:pPr>
        <w:pStyle w:val="TOC1"/>
        <w:tabs>
          <w:tab w:val="right" w:leader="dot" w:pos="9017"/>
        </w:tabs>
        <w:rPr>
          <w:rFonts w:asciiTheme="minorHAnsi" w:eastAsiaTheme="minorEastAsia" w:hAnsiTheme="minorHAnsi" w:cstheme="minorBidi"/>
          <w:noProof/>
        </w:rPr>
      </w:pPr>
      <w:hyperlink w:anchor="_Toc457578387" w:history="1">
        <w:r w:rsidR="002118AA" w:rsidRPr="00724271">
          <w:rPr>
            <w:rStyle w:val="Hyperlink"/>
            <w:noProof/>
          </w:rPr>
          <w:t>PART ONE – GENERAL INSTRUCTIONS AND GUIDANCE</w:t>
        </w:r>
        <w:r w:rsidR="002118AA">
          <w:rPr>
            <w:noProof/>
            <w:webHidden/>
          </w:rPr>
          <w:tab/>
        </w:r>
        <w:r w:rsidR="002118AA">
          <w:rPr>
            <w:noProof/>
            <w:webHidden/>
          </w:rPr>
          <w:fldChar w:fldCharType="begin"/>
        </w:r>
        <w:r w:rsidR="002118AA">
          <w:rPr>
            <w:noProof/>
            <w:webHidden/>
          </w:rPr>
          <w:instrText xml:space="preserve"> PAGEREF _Toc457578387 \h </w:instrText>
        </w:r>
        <w:r w:rsidR="002118AA">
          <w:rPr>
            <w:noProof/>
            <w:webHidden/>
          </w:rPr>
        </w:r>
        <w:r w:rsidR="002118AA">
          <w:rPr>
            <w:noProof/>
            <w:webHidden/>
          </w:rPr>
          <w:fldChar w:fldCharType="separate"/>
        </w:r>
        <w:r w:rsidR="002118AA">
          <w:rPr>
            <w:noProof/>
            <w:webHidden/>
          </w:rPr>
          <w:t>6</w:t>
        </w:r>
        <w:r w:rsidR="002118AA">
          <w:rPr>
            <w:noProof/>
            <w:webHidden/>
          </w:rPr>
          <w:fldChar w:fldCharType="end"/>
        </w:r>
      </w:hyperlink>
    </w:p>
    <w:p w:rsidR="002118AA" w:rsidRDefault="002D6E30">
      <w:pPr>
        <w:pStyle w:val="TOC1"/>
        <w:tabs>
          <w:tab w:val="right" w:leader="dot" w:pos="9017"/>
        </w:tabs>
        <w:rPr>
          <w:rFonts w:asciiTheme="minorHAnsi" w:eastAsiaTheme="minorEastAsia" w:hAnsiTheme="minorHAnsi" w:cstheme="minorBidi"/>
          <w:noProof/>
        </w:rPr>
      </w:pPr>
      <w:hyperlink w:anchor="_Toc457578388" w:history="1">
        <w:r w:rsidR="002118AA" w:rsidRPr="00724271">
          <w:rPr>
            <w:rStyle w:val="Hyperlink"/>
            <w:noProof/>
          </w:rPr>
          <w:t>PART TWO – BIDDER PQQ GUIDANCE</w:t>
        </w:r>
        <w:r w:rsidR="002118AA">
          <w:rPr>
            <w:noProof/>
            <w:webHidden/>
          </w:rPr>
          <w:tab/>
        </w:r>
        <w:r w:rsidR="002118AA">
          <w:rPr>
            <w:noProof/>
            <w:webHidden/>
          </w:rPr>
          <w:fldChar w:fldCharType="begin"/>
        </w:r>
        <w:r w:rsidR="002118AA">
          <w:rPr>
            <w:noProof/>
            <w:webHidden/>
          </w:rPr>
          <w:instrText xml:space="preserve"> PAGEREF _Toc457578388 \h </w:instrText>
        </w:r>
        <w:r w:rsidR="002118AA">
          <w:rPr>
            <w:noProof/>
            <w:webHidden/>
          </w:rPr>
        </w:r>
        <w:r w:rsidR="002118AA">
          <w:rPr>
            <w:noProof/>
            <w:webHidden/>
          </w:rPr>
          <w:fldChar w:fldCharType="separate"/>
        </w:r>
        <w:r w:rsidR="002118AA">
          <w:rPr>
            <w:noProof/>
            <w:webHidden/>
          </w:rPr>
          <w:t>10</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89" w:history="1">
        <w:r w:rsidR="002118AA" w:rsidRPr="00724271">
          <w:rPr>
            <w:rStyle w:val="Hyperlink"/>
            <w:noProof/>
          </w:rPr>
          <w:t>1.</w:t>
        </w:r>
        <w:r w:rsidR="002118AA">
          <w:rPr>
            <w:rFonts w:asciiTheme="minorHAnsi" w:eastAsiaTheme="minorEastAsia" w:hAnsiTheme="minorHAnsi" w:cstheme="minorBidi"/>
            <w:noProof/>
          </w:rPr>
          <w:tab/>
        </w:r>
        <w:r w:rsidR="002118AA" w:rsidRPr="00724271">
          <w:rPr>
            <w:rStyle w:val="Hyperlink"/>
            <w:noProof/>
          </w:rPr>
          <w:t>Introduction</w:t>
        </w:r>
        <w:r w:rsidR="002118AA">
          <w:rPr>
            <w:noProof/>
            <w:webHidden/>
          </w:rPr>
          <w:tab/>
        </w:r>
        <w:r w:rsidR="002118AA">
          <w:rPr>
            <w:noProof/>
            <w:webHidden/>
          </w:rPr>
          <w:fldChar w:fldCharType="begin"/>
        </w:r>
        <w:r w:rsidR="002118AA">
          <w:rPr>
            <w:noProof/>
            <w:webHidden/>
          </w:rPr>
          <w:instrText xml:space="preserve"> PAGEREF _Toc457578389 \h </w:instrText>
        </w:r>
        <w:r w:rsidR="002118AA">
          <w:rPr>
            <w:noProof/>
            <w:webHidden/>
          </w:rPr>
        </w:r>
        <w:r w:rsidR="002118AA">
          <w:rPr>
            <w:noProof/>
            <w:webHidden/>
          </w:rPr>
          <w:fldChar w:fldCharType="separate"/>
        </w:r>
        <w:r w:rsidR="002118AA">
          <w:rPr>
            <w:noProof/>
            <w:webHidden/>
          </w:rPr>
          <w:t>10</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0" w:history="1">
        <w:r w:rsidR="002118AA" w:rsidRPr="00724271">
          <w:rPr>
            <w:rStyle w:val="Hyperlink"/>
            <w:noProof/>
          </w:rPr>
          <w:t>2.</w:t>
        </w:r>
        <w:r w:rsidR="002118AA">
          <w:rPr>
            <w:rFonts w:asciiTheme="minorHAnsi" w:eastAsiaTheme="minorEastAsia" w:hAnsiTheme="minorHAnsi" w:cstheme="minorBidi"/>
            <w:noProof/>
          </w:rPr>
          <w:tab/>
        </w:r>
        <w:r w:rsidR="002118AA" w:rsidRPr="00724271">
          <w:rPr>
            <w:rStyle w:val="Hyperlink"/>
            <w:noProof/>
          </w:rPr>
          <w:t>Instructions, Key Documents &amp; Declarations</w:t>
        </w:r>
        <w:r w:rsidR="002118AA">
          <w:rPr>
            <w:noProof/>
            <w:webHidden/>
          </w:rPr>
          <w:tab/>
        </w:r>
        <w:r w:rsidR="002118AA">
          <w:rPr>
            <w:noProof/>
            <w:webHidden/>
          </w:rPr>
          <w:fldChar w:fldCharType="begin"/>
        </w:r>
        <w:r w:rsidR="002118AA">
          <w:rPr>
            <w:noProof/>
            <w:webHidden/>
          </w:rPr>
          <w:instrText xml:space="preserve"> PAGEREF _Toc457578390 \h </w:instrText>
        </w:r>
        <w:r w:rsidR="002118AA">
          <w:rPr>
            <w:noProof/>
            <w:webHidden/>
          </w:rPr>
        </w:r>
        <w:r w:rsidR="002118AA">
          <w:rPr>
            <w:noProof/>
            <w:webHidden/>
          </w:rPr>
          <w:fldChar w:fldCharType="separate"/>
        </w:r>
        <w:r w:rsidR="002118AA">
          <w:rPr>
            <w:noProof/>
            <w:webHidden/>
          </w:rPr>
          <w:t>10</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1" w:history="1">
        <w:r w:rsidR="002118AA" w:rsidRPr="00724271">
          <w:rPr>
            <w:rStyle w:val="Hyperlink"/>
            <w:noProof/>
          </w:rPr>
          <w:t>4.</w:t>
        </w:r>
        <w:r w:rsidR="002118AA">
          <w:rPr>
            <w:rFonts w:asciiTheme="minorHAnsi" w:eastAsiaTheme="minorEastAsia" w:hAnsiTheme="minorHAnsi" w:cstheme="minorBidi"/>
            <w:noProof/>
          </w:rPr>
          <w:tab/>
        </w:r>
        <w:r w:rsidR="002118AA" w:rsidRPr="00724271">
          <w:rPr>
            <w:rStyle w:val="Hyperlink"/>
            <w:noProof/>
          </w:rPr>
          <w:t>Supplier Information</w:t>
        </w:r>
        <w:r w:rsidR="002118AA">
          <w:rPr>
            <w:noProof/>
            <w:webHidden/>
          </w:rPr>
          <w:tab/>
        </w:r>
        <w:r w:rsidR="002118AA">
          <w:rPr>
            <w:noProof/>
            <w:webHidden/>
          </w:rPr>
          <w:fldChar w:fldCharType="begin"/>
        </w:r>
        <w:r w:rsidR="002118AA">
          <w:rPr>
            <w:noProof/>
            <w:webHidden/>
          </w:rPr>
          <w:instrText xml:space="preserve"> PAGEREF _Toc457578391 \h </w:instrText>
        </w:r>
        <w:r w:rsidR="002118AA">
          <w:rPr>
            <w:noProof/>
            <w:webHidden/>
          </w:rPr>
        </w:r>
        <w:r w:rsidR="002118AA">
          <w:rPr>
            <w:noProof/>
            <w:webHidden/>
          </w:rPr>
          <w:fldChar w:fldCharType="separate"/>
        </w:r>
        <w:r w:rsidR="002118AA">
          <w:rPr>
            <w:noProof/>
            <w:webHidden/>
          </w:rPr>
          <w:t>11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2" w:history="1">
        <w:r w:rsidR="002118AA" w:rsidRPr="00724271">
          <w:rPr>
            <w:rStyle w:val="Hyperlink"/>
            <w:noProof/>
          </w:rPr>
          <w:t>5.</w:t>
        </w:r>
        <w:r w:rsidR="002118AA">
          <w:rPr>
            <w:rFonts w:asciiTheme="minorHAnsi" w:eastAsiaTheme="minorEastAsia" w:hAnsiTheme="minorHAnsi" w:cstheme="minorBidi"/>
            <w:noProof/>
          </w:rPr>
          <w:tab/>
        </w:r>
        <w:r w:rsidR="002118AA" w:rsidRPr="00724271">
          <w:rPr>
            <w:rStyle w:val="Hyperlink"/>
            <w:noProof/>
          </w:rPr>
          <w:t>Grounds for Mandatory Exclusion</w:t>
        </w:r>
        <w:r w:rsidR="002118AA">
          <w:rPr>
            <w:noProof/>
            <w:webHidden/>
          </w:rPr>
          <w:tab/>
        </w:r>
        <w:r w:rsidR="002118AA">
          <w:rPr>
            <w:noProof/>
            <w:webHidden/>
          </w:rPr>
          <w:fldChar w:fldCharType="begin"/>
        </w:r>
        <w:r w:rsidR="002118AA">
          <w:rPr>
            <w:noProof/>
            <w:webHidden/>
          </w:rPr>
          <w:instrText xml:space="preserve"> PAGEREF _Toc457578392 \h </w:instrText>
        </w:r>
        <w:r w:rsidR="002118AA">
          <w:rPr>
            <w:noProof/>
            <w:webHidden/>
          </w:rPr>
        </w:r>
        <w:r w:rsidR="002118AA">
          <w:rPr>
            <w:noProof/>
            <w:webHidden/>
          </w:rPr>
          <w:fldChar w:fldCharType="separate"/>
        </w:r>
        <w:r w:rsidR="002118AA">
          <w:rPr>
            <w:noProof/>
            <w:webHidden/>
          </w:rPr>
          <w:t>11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3" w:history="1">
        <w:r w:rsidR="002118AA" w:rsidRPr="00724271">
          <w:rPr>
            <w:rStyle w:val="Hyperlink"/>
            <w:noProof/>
          </w:rPr>
          <w:t>6.</w:t>
        </w:r>
        <w:r w:rsidR="002118AA">
          <w:rPr>
            <w:rFonts w:asciiTheme="minorHAnsi" w:eastAsiaTheme="minorEastAsia" w:hAnsiTheme="minorHAnsi" w:cstheme="minorBidi"/>
            <w:noProof/>
          </w:rPr>
          <w:tab/>
        </w:r>
        <w:r w:rsidR="002118AA" w:rsidRPr="00724271">
          <w:rPr>
            <w:rStyle w:val="Hyperlink"/>
            <w:noProof/>
          </w:rPr>
          <w:t>Grounds for Discretionary Exclusion – Part One</w:t>
        </w:r>
        <w:r w:rsidR="002118AA">
          <w:rPr>
            <w:noProof/>
            <w:webHidden/>
          </w:rPr>
          <w:tab/>
        </w:r>
        <w:r w:rsidR="002118AA">
          <w:rPr>
            <w:noProof/>
            <w:webHidden/>
          </w:rPr>
          <w:fldChar w:fldCharType="begin"/>
        </w:r>
        <w:r w:rsidR="002118AA">
          <w:rPr>
            <w:noProof/>
            <w:webHidden/>
          </w:rPr>
          <w:instrText xml:space="preserve"> PAGEREF _Toc457578393 \h </w:instrText>
        </w:r>
        <w:r w:rsidR="002118AA">
          <w:rPr>
            <w:noProof/>
            <w:webHidden/>
          </w:rPr>
        </w:r>
        <w:r w:rsidR="002118AA">
          <w:rPr>
            <w:noProof/>
            <w:webHidden/>
          </w:rPr>
          <w:fldChar w:fldCharType="separate"/>
        </w:r>
        <w:r w:rsidR="002118AA">
          <w:rPr>
            <w:noProof/>
            <w:webHidden/>
          </w:rPr>
          <w:t>12</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4" w:history="1">
        <w:r w:rsidR="002118AA" w:rsidRPr="00724271">
          <w:rPr>
            <w:rStyle w:val="Hyperlink"/>
            <w:noProof/>
          </w:rPr>
          <w:t>7.</w:t>
        </w:r>
        <w:r w:rsidR="002118AA">
          <w:rPr>
            <w:rFonts w:asciiTheme="minorHAnsi" w:eastAsiaTheme="minorEastAsia" w:hAnsiTheme="minorHAnsi" w:cstheme="minorBidi"/>
            <w:noProof/>
          </w:rPr>
          <w:tab/>
        </w:r>
        <w:r w:rsidR="002118AA" w:rsidRPr="00724271">
          <w:rPr>
            <w:rStyle w:val="Hyperlink"/>
            <w:noProof/>
          </w:rPr>
          <w:t>Grounds for Discretionary Exclusion – Part Two</w:t>
        </w:r>
        <w:r w:rsidR="002118AA">
          <w:rPr>
            <w:noProof/>
            <w:webHidden/>
          </w:rPr>
          <w:tab/>
        </w:r>
        <w:r w:rsidR="002118AA">
          <w:rPr>
            <w:noProof/>
            <w:webHidden/>
          </w:rPr>
          <w:fldChar w:fldCharType="begin"/>
        </w:r>
        <w:r w:rsidR="002118AA">
          <w:rPr>
            <w:noProof/>
            <w:webHidden/>
          </w:rPr>
          <w:instrText xml:space="preserve"> PAGEREF _Toc457578394 \h </w:instrText>
        </w:r>
        <w:r w:rsidR="002118AA">
          <w:rPr>
            <w:noProof/>
            <w:webHidden/>
          </w:rPr>
        </w:r>
        <w:r w:rsidR="002118AA">
          <w:rPr>
            <w:noProof/>
            <w:webHidden/>
          </w:rPr>
          <w:fldChar w:fldCharType="separate"/>
        </w:r>
        <w:r w:rsidR="002118AA">
          <w:rPr>
            <w:noProof/>
            <w:webHidden/>
          </w:rPr>
          <w:t>12</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5" w:history="1">
        <w:r w:rsidR="002118AA" w:rsidRPr="00724271">
          <w:rPr>
            <w:rStyle w:val="Hyperlink"/>
            <w:noProof/>
          </w:rPr>
          <w:t>8.</w:t>
        </w:r>
        <w:r w:rsidR="002118AA">
          <w:rPr>
            <w:rFonts w:asciiTheme="minorHAnsi" w:eastAsiaTheme="minorEastAsia" w:hAnsiTheme="minorHAnsi" w:cstheme="minorBidi"/>
            <w:noProof/>
          </w:rPr>
          <w:tab/>
        </w:r>
        <w:r w:rsidR="002118AA" w:rsidRPr="00724271">
          <w:rPr>
            <w:rStyle w:val="Hyperlink"/>
            <w:noProof/>
          </w:rPr>
          <w:t>Economic &amp; Financial Standing</w:t>
        </w:r>
        <w:r w:rsidR="002118AA">
          <w:rPr>
            <w:noProof/>
            <w:webHidden/>
          </w:rPr>
          <w:tab/>
        </w:r>
        <w:r w:rsidR="002118AA">
          <w:rPr>
            <w:noProof/>
            <w:webHidden/>
          </w:rPr>
          <w:fldChar w:fldCharType="begin"/>
        </w:r>
        <w:r w:rsidR="002118AA">
          <w:rPr>
            <w:noProof/>
            <w:webHidden/>
          </w:rPr>
          <w:instrText xml:space="preserve"> PAGEREF _Toc457578395 \h </w:instrText>
        </w:r>
        <w:r w:rsidR="002118AA">
          <w:rPr>
            <w:noProof/>
            <w:webHidden/>
          </w:rPr>
        </w:r>
        <w:r w:rsidR="002118AA">
          <w:rPr>
            <w:noProof/>
            <w:webHidden/>
          </w:rPr>
          <w:fldChar w:fldCharType="separate"/>
        </w:r>
        <w:r w:rsidR="002118AA">
          <w:rPr>
            <w:noProof/>
            <w:webHidden/>
          </w:rPr>
          <w:t>15</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6" w:history="1">
        <w:r w:rsidR="002118AA" w:rsidRPr="00724271">
          <w:rPr>
            <w:rStyle w:val="Hyperlink"/>
            <w:noProof/>
          </w:rPr>
          <w:t>9.</w:t>
        </w:r>
        <w:r w:rsidR="002118AA">
          <w:rPr>
            <w:rFonts w:asciiTheme="minorHAnsi" w:eastAsiaTheme="minorEastAsia" w:hAnsiTheme="minorHAnsi" w:cstheme="minorBidi"/>
            <w:noProof/>
          </w:rPr>
          <w:tab/>
        </w:r>
        <w:r w:rsidR="002118AA" w:rsidRPr="00724271">
          <w:rPr>
            <w:rStyle w:val="Hyperlink"/>
            <w:noProof/>
          </w:rPr>
          <w:t>Technical &amp; Professional Ability – All Elements</w:t>
        </w:r>
        <w:r w:rsidR="002118AA">
          <w:rPr>
            <w:noProof/>
            <w:webHidden/>
          </w:rPr>
          <w:tab/>
        </w:r>
        <w:r w:rsidR="002118AA">
          <w:rPr>
            <w:noProof/>
            <w:webHidden/>
          </w:rPr>
          <w:fldChar w:fldCharType="begin"/>
        </w:r>
        <w:r w:rsidR="002118AA">
          <w:rPr>
            <w:noProof/>
            <w:webHidden/>
          </w:rPr>
          <w:instrText xml:space="preserve"> PAGEREF _Toc457578396 \h </w:instrText>
        </w:r>
        <w:r w:rsidR="002118AA">
          <w:rPr>
            <w:noProof/>
            <w:webHidden/>
          </w:rPr>
        </w:r>
        <w:r w:rsidR="002118AA">
          <w:rPr>
            <w:noProof/>
            <w:webHidden/>
          </w:rPr>
          <w:fldChar w:fldCharType="separate"/>
        </w:r>
        <w:r w:rsidR="002118AA">
          <w:rPr>
            <w:noProof/>
            <w:webHidden/>
          </w:rPr>
          <w:t>16</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7" w:history="1">
        <w:r w:rsidR="002118AA" w:rsidRPr="00724271">
          <w:rPr>
            <w:rStyle w:val="Hyperlink"/>
            <w:noProof/>
          </w:rPr>
          <w:t>10.</w:t>
        </w:r>
        <w:r w:rsidR="002118AA">
          <w:rPr>
            <w:rFonts w:asciiTheme="minorHAnsi" w:eastAsiaTheme="minorEastAsia" w:hAnsiTheme="minorHAnsi" w:cstheme="minorBidi"/>
            <w:noProof/>
          </w:rPr>
          <w:tab/>
        </w:r>
        <w:r w:rsidR="002118AA" w:rsidRPr="00724271">
          <w:rPr>
            <w:rStyle w:val="Hyperlink"/>
            <w:noProof/>
          </w:rPr>
          <w:t>Technical &amp; Professional Ability – Development</w:t>
        </w:r>
        <w:r w:rsidR="002118AA">
          <w:rPr>
            <w:noProof/>
            <w:webHidden/>
          </w:rPr>
          <w:tab/>
        </w:r>
        <w:r w:rsidR="002118AA">
          <w:rPr>
            <w:noProof/>
            <w:webHidden/>
          </w:rPr>
          <w:fldChar w:fldCharType="begin"/>
        </w:r>
        <w:r w:rsidR="002118AA">
          <w:rPr>
            <w:noProof/>
            <w:webHidden/>
          </w:rPr>
          <w:instrText xml:space="preserve"> PAGEREF _Toc457578397 \h </w:instrText>
        </w:r>
        <w:r w:rsidR="002118AA">
          <w:rPr>
            <w:noProof/>
            <w:webHidden/>
          </w:rPr>
        </w:r>
        <w:r w:rsidR="002118AA">
          <w:rPr>
            <w:noProof/>
            <w:webHidden/>
          </w:rPr>
          <w:fldChar w:fldCharType="separate"/>
        </w:r>
        <w:r w:rsidR="002118AA">
          <w:rPr>
            <w:noProof/>
            <w:webHidden/>
          </w:rPr>
          <w:t>19</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8" w:history="1">
        <w:r w:rsidR="002118AA" w:rsidRPr="00724271">
          <w:rPr>
            <w:rStyle w:val="Hyperlink"/>
            <w:noProof/>
          </w:rPr>
          <w:t>11.</w:t>
        </w:r>
        <w:r w:rsidR="002118AA">
          <w:rPr>
            <w:rFonts w:asciiTheme="minorHAnsi" w:eastAsiaTheme="minorEastAsia" w:hAnsiTheme="minorHAnsi" w:cstheme="minorBidi"/>
            <w:noProof/>
          </w:rPr>
          <w:tab/>
        </w:r>
        <w:r w:rsidR="002118AA" w:rsidRPr="00724271">
          <w:rPr>
            <w:rStyle w:val="Hyperlink"/>
            <w:noProof/>
          </w:rPr>
          <w:t>Technical &amp; Professional Ability – Housing and Facilities Management</w:t>
        </w:r>
        <w:r w:rsidR="002118AA">
          <w:rPr>
            <w:noProof/>
            <w:webHidden/>
          </w:rPr>
          <w:tab/>
        </w:r>
        <w:r w:rsidR="002118AA">
          <w:rPr>
            <w:noProof/>
            <w:webHidden/>
          </w:rPr>
          <w:fldChar w:fldCharType="begin"/>
        </w:r>
        <w:r w:rsidR="002118AA">
          <w:rPr>
            <w:noProof/>
            <w:webHidden/>
          </w:rPr>
          <w:instrText xml:space="preserve"> PAGEREF _Toc457578398 \h </w:instrText>
        </w:r>
        <w:r w:rsidR="002118AA">
          <w:rPr>
            <w:noProof/>
            <w:webHidden/>
          </w:rPr>
        </w:r>
        <w:r w:rsidR="002118AA">
          <w:rPr>
            <w:noProof/>
            <w:webHidden/>
          </w:rPr>
          <w:fldChar w:fldCharType="separate"/>
        </w:r>
        <w:r w:rsidR="002118AA">
          <w:rPr>
            <w:noProof/>
            <w:webHidden/>
          </w:rPr>
          <w:t>19</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399" w:history="1">
        <w:r w:rsidR="002118AA" w:rsidRPr="00724271">
          <w:rPr>
            <w:rStyle w:val="Hyperlink"/>
            <w:noProof/>
          </w:rPr>
          <w:t>12.</w:t>
        </w:r>
        <w:r w:rsidR="002118AA">
          <w:rPr>
            <w:rFonts w:asciiTheme="minorHAnsi" w:eastAsiaTheme="minorEastAsia" w:hAnsiTheme="minorHAnsi" w:cstheme="minorBidi"/>
            <w:noProof/>
          </w:rPr>
          <w:tab/>
        </w:r>
        <w:r w:rsidR="002118AA" w:rsidRPr="00724271">
          <w:rPr>
            <w:rStyle w:val="Hyperlink"/>
            <w:noProof/>
          </w:rPr>
          <w:t>Technical &amp; Professional Ability – Care Delivery</w:t>
        </w:r>
        <w:r w:rsidR="002118AA">
          <w:rPr>
            <w:noProof/>
            <w:webHidden/>
          </w:rPr>
          <w:tab/>
        </w:r>
        <w:r w:rsidR="002118AA">
          <w:rPr>
            <w:noProof/>
            <w:webHidden/>
          </w:rPr>
          <w:fldChar w:fldCharType="begin"/>
        </w:r>
        <w:r w:rsidR="002118AA">
          <w:rPr>
            <w:noProof/>
            <w:webHidden/>
          </w:rPr>
          <w:instrText xml:space="preserve"> PAGEREF _Toc457578399 \h </w:instrText>
        </w:r>
        <w:r w:rsidR="002118AA">
          <w:rPr>
            <w:noProof/>
            <w:webHidden/>
          </w:rPr>
        </w:r>
        <w:r w:rsidR="002118AA">
          <w:rPr>
            <w:noProof/>
            <w:webHidden/>
          </w:rPr>
          <w:fldChar w:fldCharType="separate"/>
        </w:r>
        <w:r w:rsidR="002118AA">
          <w:rPr>
            <w:noProof/>
            <w:webHidden/>
          </w:rPr>
          <w:t>19</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0" w:history="1">
        <w:r w:rsidR="002118AA" w:rsidRPr="00724271">
          <w:rPr>
            <w:rStyle w:val="Hyperlink"/>
            <w:noProof/>
          </w:rPr>
          <w:t>13.</w:t>
        </w:r>
        <w:r w:rsidR="002118AA">
          <w:rPr>
            <w:rFonts w:asciiTheme="minorHAnsi" w:eastAsiaTheme="minorEastAsia" w:hAnsiTheme="minorHAnsi" w:cstheme="minorBidi"/>
            <w:noProof/>
          </w:rPr>
          <w:tab/>
        </w:r>
        <w:r w:rsidR="002118AA" w:rsidRPr="00724271">
          <w:rPr>
            <w:rStyle w:val="Hyperlink"/>
            <w:noProof/>
          </w:rPr>
          <w:t>Apprenticeship Considerations</w:t>
        </w:r>
        <w:r w:rsidR="002118AA">
          <w:rPr>
            <w:noProof/>
            <w:webHidden/>
          </w:rPr>
          <w:tab/>
        </w:r>
        <w:r w:rsidR="002118AA">
          <w:rPr>
            <w:noProof/>
            <w:webHidden/>
          </w:rPr>
          <w:fldChar w:fldCharType="begin"/>
        </w:r>
        <w:r w:rsidR="002118AA">
          <w:rPr>
            <w:noProof/>
            <w:webHidden/>
          </w:rPr>
          <w:instrText xml:space="preserve"> PAGEREF _Toc457578400 \h </w:instrText>
        </w:r>
        <w:r w:rsidR="002118AA">
          <w:rPr>
            <w:noProof/>
            <w:webHidden/>
          </w:rPr>
        </w:r>
        <w:r w:rsidR="002118AA">
          <w:rPr>
            <w:noProof/>
            <w:webHidden/>
          </w:rPr>
          <w:fldChar w:fldCharType="separate"/>
        </w:r>
        <w:r w:rsidR="002118AA">
          <w:rPr>
            <w:noProof/>
            <w:webHidden/>
          </w:rPr>
          <w:t>20</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1" w:history="1">
        <w:r w:rsidR="002118AA" w:rsidRPr="00724271">
          <w:rPr>
            <w:rStyle w:val="Hyperlink"/>
            <w:noProof/>
          </w:rPr>
          <w:t>14.</w:t>
        </w:r>
        <w:r w:rsidR="002118AA">
          <w:rPr>
            <w:rFonts w:asciiTheme="minorHAnsi" w:eastAsiaTheme="minorEastAsia" w:hAnsiTheme="minorHAnsi" w:cstheme="minorBidi"/>
            <w:noProof/>
          </w:rPr>
          <w:tab/>
        </w:r>
        <w:r w:rsidR="002118AA" w:rsidRPr="00724271">
          <w:rPr>
            <w:rStyle w:val="Hyperlink"/>
            <w:noProof/>
          </w:rPr>
          <w:t>Environmental Management</w:t>
        </w:r>
        <w:r w:rsidR="002118AA">
          <w:rPr>
            <w:noProof/>
            <w:webHidden/>
          </w:rPr>
          <w:tab/>
        </w:r>
        <w:r w:rsidR="002118AA">
          <w:rPr>
            <w:noProof/>
            <w:webHidden/>
          </w:rPr>
          <w:fldChar w:fldCharType="begin"/>
        </w:r>
        <w:r w:rsidR="002118AA">
          <w:rPr>
            <w:noProof/>
            <w:webHidden/>
          </w:rPr>
          <w:instrText xml:space="preserve"> PAGEREF _Toc457578401 \h </w:instrText>
        </w:r>
        <w:r w:rsidR="002118AA">
          <w:rPr>
            <w:noProof/>
            <w:webHidden/>
          </w:rPr>
        </w:r>
        <w:r w:rsidR="002118AA">
          <w:rPr>
            <w:noProof/>
            <w:webHidden/>
          </w:rPr>
          <w:fldChar w:fldCharType="separate"/>
        </w:r>
        <w:r w:rsidR="002118AA">
          <w:rPr>
            <w:noProof/>
            <w:webHidden/>
          </w:rPr>
          <w:t>21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2" w:history="1">
        <w:r w:rsidR="002118AA" w:rsidRPr="00724271">
          <w:rPr>
            <w:rStyle w:val="Hyperlink"/>
            <w:noProof/>
          </w:rPr>
          <w:t>15.</w:t>
        </w:r>
        <w:r w:rsidR="002118AA">
          <w:rPr>
            <w:rFonts w:asciiTheme="minorHAnsi" w:eastAsiaTheme="minorEastAsia" w:hAnsiTheme="minorHAnsi" w:cstheme="minorBidi"/>
            <w:noProof/>
          </w:rPr>
          <w:tab/>
        </w:r>
        <w:r w:rsidR="002118AA" w:rsidRPr="00724271">
          <w:rPr>
            <w:rStyle w:val="Hyperlink"/>
            <w:noProof/>
          </w:rPr>
          <w:t>Freedom of Information</w:t>
        </w:r>
        <w:r w:rsidR="002118AA">
          <w:rPr>
            <w:noProof/>
            <w:webHidden/>
          </w:rPr>
          <w:tab/>
        </w:r>
        <w:r w:rsidR="002118AA">
          <w:rPr>
            <w:noProof/>
            <w:webHidden/>
          </w:rPr>
          <w:fldChar w:fldCharType="begin"/>
        </w:r>
        <w:r w:rsidR="002118AA">
          <w:rPr>
            <w:noProof/>
            <w:webHidden/>
          </w:rPr>
          <w:instrText xml:space="preserve"> PAGEREF _Toc457578402 \h </w:instrText>
        </w:r>
        <w:r w:rsidR="002118AA">
          <w:rPr>
            <w:noProof/>
            <w:webHidden/>
          </w:rPr>
        </w:r>
        <w:r w:rsidR="002118AA">
          <w:rPr>
            <w:noProof/>
            <w:webHidden/>
          </w:rPr>
          <w:fldChar w:fldCharType="separate"/>
        </w:r>
        <w:r w:rsidR="002118AA">
          <w:rPr>
            <w:noProof/>
            <w:webHidden/>
          </w:rPr>
          <w:t>21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3" w:history="1">
        <w:r w:rsidR="002118AA" w:rsidRPr="00724271">
          <w:rPr>
            <w:rStyle w:val="Hyperlink"/>
            <w:noProof/>
          </w:rPr>
          <w:t>16.</w:t>
        </w:r>
        <w:r w:rsidR="002118AA">
          <w:rPr>
            <w:rFonts w:asciiTheme="minorHAnsi" w:eastAsiaTheme="minorEastAsia" w:hAnsiTheme="minorHAnsi" w:cstheme="minorBidi"/>
            <w:noProof/>
          </w:rPr>
          <w:tab/>
        </w:r>
        <w:r w:rsidR="002118AA" w:rsidRPr="00724271">
          <w:rPr>
            <w:rStyle w:val="Hyperlink"/>
            <w:noProof/>
          </w:rPr>
          <w:t>Declaration</w:t>
        </w:r>
        <w:r w:rsidR="002118AA">
          <w:rPr>
            <w:noProof/>
            <w:webHidden/>
          </w:rPr>
          <w:tab/>
        </w:r>
        <w:r w:rsidR="002118AA">
          <w:rPr>
            <w:noProof/>
            <w:webHidden/>
          </w:rPr>
          <w:fldChar w:fldCharType="begin"/>
        </w:r>
        <w:r w:rsidR="002118AA">
          <w:rPr>
            <w:noProof/>
            <w:webHidden/>
          </w:rPr>
          <w:instrText xml:space="preserve"> PAGEREF _Toc457578403 \h </w:instrText>
        </w:r>
        <w:r w:rsidR="002118AA">
          <w:rPr>
            <w:noProof/>
            <w:webHidden/>
          </w:rPr>
        </w:r>
        <w:r w:rsidR="002118AA">
          <w:rPr>
            <w:noProof/>
            <w:webHidden/>
          </w:rPr>
          <w:fldChar w:fldCharType="separate"/>
        </w:r>
        <w:r w:rsidR="002118AA">
          <w:rPr>
            <w:noProof/>
            <w:webHidden/>
          </w:rPr>
          <w:t>21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4" w:history="1">
        <w:r w:rsidR="002118AA" w:rsidRPr="00724271">
          <w:rPr>
            <w:rStyle w:val="Hyperlink"/>
            <w:noProof/>
          </w:rPr>
          <w:t>17.</w:t>
        </w:r>
        <w:r w:rsidR="002118AA">
          <w:rPr>
            <w:rFonts w:asciiTheme="minorHAnsi" w:eastAsiaTheme="minorEastAsia" w:hAnsiTheme="minorHAnsi" w:cstheme="minorBidi"/>
            <w:noProof/>
          </w:rPr>
          <w:tab/>
        </w:r>
        <w:r w:rsidR="002118AA" w:rsidRPr="00724271">
          <w:rPr>
            <w:rStyle w:val="Hyperlink"/>
            <w:noProof/>
          </w:rPr>
          <w:t>Scoring Methodology Table A</w:t>
        </w:r>
        <w:r w:rsidR="002118AA">
          <w:rPr>
            <w:noProof/>
            <w:webHidden/>
          </w:rPr>
          <w:tab/>
        </w:r>
        <w:r w:rsidR="002118AA">
          <w:rPr>
            <w:noProof/>
            <w:webHidden/>
          </w:rPr>
          <w:fldChar w:fldCharType="begin"/>
        </w:r>
        <w:r w:rsidR="002118AA">
          <w:rPr>
            <w:noProof/>
            <w:webHidden/>
          </w:rPr>
          <w:instrText xml:space="preserve"> PAGEREF _Toc457578404 \h </w:instrText>
        </w:r>
        <w:r w:rsidR="002118AA">
          <w:rPr>
            <w:noProof/>
            <w:webHidden/>
          </w:rPr>
        </w:r>
        <w:r w:rsidR="002118AA">
          <w:rPr>
            <w:noProof/>
            <w:webHidden/>
          </w:rPr>
          <w:fldChar w:fldCharType="separate"/>
        </w:r>
        <w:r w:rsidR="002118AA">
          <w:rPr>
            <w:noProof/>
            <w:webHidden/>
          </w:rPr>
          <w:t>21</w:t>
        </w:r>
        <w:r w:rsidR="002118AA">
          <w:rPr>
            <w:noProof/>
            <w:webHidden/>
          </w:rPr>
          <w:fldChar w:fldCharType="end"/>
        </w:r>
      </w:hyperlink>
    </w:p>
    <w:p w:rsidR="002118AA" w:rsidRDefault="002D6E30">
      <w:pPr>
        <w:pStyle w:val="TOC3"/>
        <w:rPr>
          <w:rFonts w:asciiTheme="minorHAnsi" w:eastAsiaTheme="minorEastAsia" w:hAnsiTheme="minorHAnsi" w:cstheme="minorBidi"/>
          <w:noProof/>
        </w:rPr>
      </w:pPr>
      <w:hyperlink w:anchor="_Toc457578405" w:history="1">
        <w:r w:rsidR="002118AA" w:rsidRPr="00724271">
          <w:rPr>
            <w:rStyle w:val="Hyperlink"/>
            <w:noProof/>
          </w:rPr>
          <w:t>18.</w:t>
        </w:r>
        <w:r w:rsidR="002118AA">
          <w:rPr>
            <w:rFonts w:asciiTheme="minorHAnsi" w:eastAsiaTheme="minorEastAsia" w:hAnsiTheme="minorHAnsi" w:cstheme="minorBidi"/>
            <w:noProof/>
          </w:rPr>
          <w:tab/>
        </w:r>
        <w:r w:rsidR="002118AA" w:rsidRPr="00724271">
          <w:rPr>
            <w:rStyle w:val="Hyperlink"/>
            <w:noProof/>
          </w:rPr>
          <w:t>Bidder Feedback</w:t>
        </w:r>
        <w:r w:rsidR="002118AA">
          <w:rPr>
            <w:noProof/>
            <w:webHidden/>
          </w:rPr>
          <w:tab/>
        </w:r>
        <w:r w:rsidR="002118AA">
          <w:rPr>
            <w:noProof/>
            <w:webHidden/>
          </w:rPr>
          <w:fldChar w:fldCharType="begin"/>
        </w:r>
        <w:r w:rsidR="002118AA">
          <w:rPr>
            <w:noProof/>
            <w:webHidden/>
          </w:rPr>
          <w:instrText xml:space="preserve"> PAGEREF _Toc457578405 \h </w:instrText>
        </w:r>
        <w:r w:rsidR="002118AA">
          <w:rPr>
            <w:noProof/>
            <w:webHidden/>
          </w:rPr>
        </w:r>
        <w:r w:rsidR="002118AA">
          <w:rPr>
            <w:noProof/>
            <w:webHidden/>
          </w:rPr>
          <w:fldChar w:fldCharType="separate"/>
        </w:r>
        <w:r w:rsidR="002118AA">
          <w:rPr>
            <w:noProof/>
            <w:webHidden/>
          </w:rPr>
          <w:t>21</w:t>
        </w:r>
        <w:r w:rsidR="002118AA">
          <w:rPr>
            <w:noProof/>
            <w:webHidden/>
          </w:rPr>
          <w:fldChar w:fldCharType="end"/>
        </w:r>
      </w:hyperlink>
    </w:p>
    <w:p w:rsidR="00785F41" w:rsidRPr="00665252" w:rsidRDefault="00785615" w:rsidP="00785F41">
      <w:pPr>
        <w:pStyle w:val="TOC1"/>
        <w:tabs>
          <w:tab w:val="right" w:leader="dot" w:pos="8636"/>
        </w:tabs>
      </w:pPr>
      <w:r w:rsidRPr="00665252">
        <w:fldChar w:fldCharType="end"/>
      </w:r>
    </w:p>
    <w:p w:rsidR="000B79A6" w:rsidRPr="00665252" w:rsidRDefault="000B79A6" w:rsidP="00785F41">
      <w:pPr>
        <w:ind w:left="360"/>
      </w:pPr>
    </w:p>
    <w:p w:rsidR="00655EC0" w:rsidRPr="00665252" w:rsidRDefault="00B12408" w:rsidP="00655EC0">
      <w:r w:rsidRPr="00665252">
        <w:br w:type="page"/>
      </w:r>
    </w:p>
    <w:p w:rsidR="00DF053B" w:rsidRPr="0063179F" w:rsidRDefault="00040BD7" w:rsidP="00785F41">
      <w:pPr>
        <w:pStyle w:val="Heading1"/>
        <w:rPr>
          <w:rFonts w:ascii="Arial" w:hAnsi="Arial" w:cs="Arial"/>
          <w:sz w:val="22"/>
          <w:szCs w:val="22"/>
        </w:rPr>
      </w:pPr>
      <w:bookmarkStart w:id="1" w:name="_Toc457578386"/>
      <w:bookmarkStart w:id="2" w:name="_Toc414560079"/>
      <w:r w:rsidRPr="0063179F">
        <w:rPr>
          <w:rFonts w:ascii="Arial" w:hAnsi="Arial" w:cs="Arial"/>
          <w:sz w:val="22"/>
          <w:szCs w:val="22"/>
        </w:rPr>
        <w:lastRenderedPageBreak/>
        <w:t>Requirement</w:t>
      </w:r>
      <w:bookmarkEnd w:id="1"/>
    </w:p>
    <w:p w:rsidR="009C1C34" w:rsidRPr="0063179F" w:rsidRDefault="009C1C34" w:rsidP="009C1C34"/>
    <w:p w:rsidR="00D55585" w:rsidRPr="0063179F" w:rsidRDefault="0063179F" w:rsidP="002118AA">
      <w:pPr>
        <w:jc w:val="both"/>
      </w:pPr>
      <w:bookmarkStart w:id="3" w:name="_Toc454267197"/>
      <w:bookmarkStart w:id="4" w:name="_Toc454267762"/>
      <w:bookmarkStart w:id="5" w:name="_Toc454280990"/>
      <w:bookmarkStart w:id="6" w:name="_Toc455394720"/>
      <w:bookmarkStart w:id="7" w:name="_Toc455394864"/>
      <w:r w:rsidRPr="0063179F">
        <w:t>A</w:t>
      </w:r>
      <w:r w:rsidR="00D55585" w:rsidRPr="0063179F">
        <w:t xml:space="preserve"> Framework is being established to facilitate the delivery of Independent Living schemes for older people through a single end-to-end process, including the design and build of the scheme; its ongoing operational management; and the delivery of an appropriate care and support service available to residents. The full extent of the requirements will be set out in the terms of each Mini-Competition, as outlined in this document.</w:t>
      </w:r>
      <w:bookmarkEnd w:id="3"/>
      <w:bookmarkEnd w:id="4"/>
      <w:bookmarkEnd w:id="5"/>
      <w:bookmarkEnd w:id="6"/>
      <w:bookmarkEnd w:id="7"/>
    </w:p>
    <w:p w:rsidR="00D55585" w:rsidRPr="0063179F" w:rsidRDefault="00D55585" w:rsidP="002118AA">
      <w:pPr>
        <w:jc w:val="both"/>
      </w:pPr>
    </w:p>
    <w:p w:rsidR="00D55585" w:rsidRPr="0063179F" w:rsidRDefault="00D55585" w:rsidP="002118AA">
      <w:pPr>
        <w:jc w:val="both"/>
      </w:pPr>
      <w:bookmarkStart w:id="8" w:name="_Toc454267198"/>
      <w:bookmarkStart w:id="9" w:name="_Toc454267763"/>
      <w:bookmarkStart w:id="10" w:name="_Toc454280991"/>
      <w:bookmarkStart w:id="11" w:name="_Toc455394721"/>
      <w:bookmarkStart w:id="12" w:name="_Toc455394865"/>
      <w:r w:rsidRPr="0063179F">
        <w:t xml:space="preserve">By establishing this Framework, ECC aims to facilitate a substantial growth in the quantity and pace of delivery of Independent Living accommodation across Essex. In doing so ECC hopes to meet the needs and aspirations of its ageing population; achieve revenue savings by reducing avoidable admissions to residential care and hospital; and achieve its corporate outcome: </w:t>
      </w:r>
      <w:r w:rsidRPr="0063179F">
        <w:rPr>
          <w:i/>
        </w:rPr>
        <w:t>‘People in Essex live independently and exercise control over their lives’</w:t>
      </w:r>
      <w:r w:rsidRPr="0063179F">
        <w:t>.</w:t>
      </w:r>
      <w:bookmarkEnd w:id="8"/>
      <w:bookmarkEnd w:id="9"/>
      <w:bookmarkEnd w:id="10"/>
      <w:bookmarkEnd w:id="11"/>
      <w:bookmarkEnd w:id="12"/>
    </w:p>
    <w:p w:rsidR="00D55585" w:rsidRPr="0063179F" w:rsidRDefault="00D55585" w:rsidP="002118AA">
      <w:pPr>
        <w:jc w:val="both"/>
      </w:pPr>
    </w:p>
    <w:p w:rsidR="00D55585" w:rsidRPr="0063179F" w:rsidRDefault="00D55585" w:rsidP="002118AA">
      <w:pPr>
        <w:jc w:val="both"/>
      </w:pPr>
      <w:bookmarkStart w:id="13" w:name="_Toc454267199"/>
      <w:bookmarkStart w:id="14" w:name="_Toc454267764"/>
      <w:bookmarkStart w:id="15" w:name="_Toc454280992"/>
      <w:bookmarkStart w:id="16" w:name="_Toc455394722"/>
      <w:bookmarkStart w:id="17" w:name="_Toc455394866"/>
      <w:r w:rsidRPr="0063179F">
        <w:t>Being part of this Framework will give Providers the opportunity to work with ECC as it continues to develop its vision and strategy for Independent Living in Essex. Once the Framework has been established ECC envisages an ongoing dialogue with organisations on the Framework to ensure that Independent Living schemes in Essex continue to realise benefits for both residents and ECC</w:t>
      </w:r>
      <w:bookmarkEnd w:id="13"/>
      <w:bookmarkEnd w:id="14"/>
      <w:bookmarkEnd w:id="15"/>
      <w:r w:rsidRPr="0063179F">
        <w:t>.</w:t>
      </w:r>
      <w:bookmarkEnd w:id="16"/>
      <w:bookmarkEnd w:id="17"/>
      <w:r w:rsidRPr="0063179F">
        <w:t xml:space="preserve"> </w:t>
      </w:r>
    </w:p>
    <w:p w:rsidR="00D55585" w:rsidRPr="0063179F" w:rsidRDefault="00D55585" w:rsidP="002118AA">
      <w:pPr>
        <w:jc w:val="both"/>
      </w:pPr>
    </w:p>
    <w:p w:rsidR="00D55585" w:rsidRPr="002118AA" w:rsidRDefault="00D55585" w:rsidP="002118AA">
      <w:pPr>
        <w:jc w:val="both"/>
        <w:rPr>
          <w:b/>
        </w:rPr>
      </w:pPr>
      <w:bookmarkStart w:id="18" w:name="_Toc455394868"/>
      <w:bookmarkStart w:id="19" w:name="_Toc454267201"/>
      <w:bookmarkStart w:id="20" w:name="_Toc454267766"/>
      <w:r w:rsidRPr="002118AA">
        <w:rPr>
          <w:b/>
        </w:rPr>
        <w:t>Scope of the Framework</w:t>
      </w:r>
      <w:bookmarkEnd w:id="18"/>
    </w:p>
    <w:p w:rsidR="00D55585" w:rsidRPr="0063179F" w:rsidRDefault="00D55585" w:rsidP="002118AA">
      <w:pPr>
        <w:jc w:val="both"/>
      </w:pPr>
      <w:bookmarkStart w:id="21" w:name="_Toc454280995"/>
      <w:bookmarkStart w:id="22" w:name="_Toc455394725"/>
      <w:r w:rsidRPr="0063179F">
        <w:t>This Framework will increase the provision of Independent Living schemes for older people over the next seven years (2016–2023) across Essex by establishing a Framework of five suitably qualified organisations (or consortia) which are able to develop, deliver and operate this model of accommodation for older people.</w:t>
      </w:r>
      <w:bookmarkEnd w:id="19"/>
      <w:bookmarkEnd w:id="20"/>
      <w:bookmarkEnd w:id="21"/>
      <w:bookmarkEnd w:id="22"/>
    </w:p>
    <w:p w:rsidR="00D55585" w:rsidRPr="0063179F" w:rsidRDefault="00D55585" w:rsidP="002118AA">
      <w:pPr>
        <w:jc w:val="both"/>
      </w:pPr>
    </w:p>
    <w:p w:rsidR="00D55585" w:rsidRPr="0063179F" w:rsidRDefault="00D55585" w:rsidP="002118AA">
      <w:pPr>
        <w:jc w:val="both"/>
      </w:pPr>
      <w:bookmarkStart w:id="23" w:name="_Toc455394726"/>
      <w:bookmarkStart w:id="24" w:name="_Toc454267202"/>
      <w:bookmarkStart w:id="25" w:name="_Toc454267767"/>
      <w:bookmarkStart w:id="26" w:name="_Toc454280996"/>
      <w:r w:rsidRPr="0063179F">
        <w:t>This will happen through the release of public sector land – identified and made available by ECC and/or other public sector bodies – for the development of Independent Living schemes. These sites will have generally already been through a pre-application process with the Local Planning Authority (LPA) to ensure the development of an Independent Living scheme in that location is supported in town planning terms.</w:t>
      </w:r>
      <w:bookmarkEnd w:id="23"/>
      <w:bookmarkEnd w:id="24"/>
      <w:bookmarkEnd w:id="25"/>
      <w:bookmarkEnd w:id="26"/>
    </w:p>
    <w:p w:rsidR="00D55585" w:rsidRPr="0063179F" w:rsidRDefault="00D55585" w:rsidP="002118AA">
      <w:pPr>
        <w:jc w:val="both"/>
      </w:pPr>
    </w:p>
    <w:p w:rsidR="00D55585" w:rsidRPr="0063179F" w:rsidRDefault="00D55585" w:rsidP="002118AA">
      <w:pPr>
        <w:jc w:val="both"/>
      </w:pPr>
      <w:bookmarkStart w:id="27" w:name="_Toc455394727"/>
      <w:r w:rsidRPr="0063179F">
        <w:t>The draft Heads of Terms for the long leasehold/freehold disposal of the site will be provided at Invitation to Tender stage.</w:t>
      </w:r>
      <w:bookmarkEnd w:id="27"/>
    </w:p>
    <w:p w:rsidR="00D55585" w:rsidRPr="0063179F" w:rsidRDefault="00D55585" w:rsidP="002118AA">
      <w:pPr>
        <w:jc w:val="both"/>
      </w:pPr>
    </w:p>
    <w:p w:rsidR="00D55585" w:rsidRPr="002118AA" w:rsidRDefault="00D55585" w:rsidP="002118AA">
      <w:pPr>
        <w:jc w:val="both"/>
        <w:rPr>
          <w:b/>
          <w:lang w:eastAsia="en-US"/>
        </w:rPr>
      </w:pPr>
      <w:bookmarkStart w:id="28" w:name="_Toc454267212"/>
      <w:bookmarkStart w:id="29" w:name="_Toc455394869"/>
      <w:r w:rsidRPr="002118AA">
        <w:rPr>
          <w:b/>
          <w:lang w:eastAsia="en-US"/>
        </w:rPr>
        <w:t>Length of the Framework</w:t>
      </w:r>
      <w:bookmarkEnd w:id="28"/>
      <w:bookmarkEnd w:id="29"/>
    </w:p>
    <w:p w:rsidR="00D55585" w:rsidRPr="0063179F" w:rsidRDefault="00D55585" w:rsidP="002118AA">
      <w:pPr>
        <w:jc w:val="both"/>
      </w:pPr>
      <w:bookmarkStart w:id="30" w:name="_Toc454267213"/>
      <w:bookmarkStart w:id="31" w:name="_Toc454267778"/>
      <w:bookmarkStart w:id="32" w:name="_Toc454280999"/>
      <w:bookmarkStart w:id="33" w:name="_Toc455394729"/>
      <w:r w:rsidRPr="0063179F">
        <w:t>The Framework will run for seven years; after which time it will cease to operate. Schemes still in development and Call-Off Contracts already awarded through the Framework will continue until discharged.</w:t>
      </w:r>
      <w:bookmarkEnd w:id="30"/>
      <w:bookmarkEnd w:id="31"/>
      <w:bookmarkEnd w:id="32"/>
      <w:bookmarkEnd w:id="33"/>
    </w:p>
    <w:p w:rsidR="00D55585" w:rsidRPr="0063179F" w:rsidRDefault="00D55585" w:rsidP="002118AA">
      <w:pPr>
        <w:jc w:val="both"/>
      </w:pPr>
    </w:p>
    <w:p w:rsidR="00D55585" w:rsidRPr="0063179F" w:rsidRDefault="00D55585" w:rsidP="002118AA">
      <w:pPr>
        <w:jc w:val="both"/>
      </w:pPr>
      <w:bookmarkStart w:id="34" w:name="_Toc455394730"/>
      <w:r w:rsidRPr="0063179F">
        <w:t>ECC reserves the right to end the Framework if the number of Provider organisations/consortia remaining on the Framework falls to 50% of those originally appointed or lower, or if the framework ceases to meet the objectives against which it was established.</w:t>
      </w:r>
      <w:bookmarkEnd w:id="34"/>
    </w:p>
    <w:p w:rsidR="00D55585" w:rsidRPr="0063179F" w:rsidRDefault="00D55585" w:rsidP="002118AA">
      <w:pPr>
        <w:jc w:val="both"/>
      </w:pPr>
    </w:p>
    <w:p w:rsidR="00D55585" w:rsidRDefault="00D55585" w:rsidP="002118AA">
      <w:pPr>
        <w:jc w:val="both"/>
      </w:pPr>
      <w:bookmarkStart w:id="35" w:name="_Toc454267214"/>
      <w:bookmarkStart w:id="36" w:name="_Toc454267779"/>
      <w:bookmarkStart w:id="37" w:name="_Toc454281000"/>
      <w:bookmarkStart w:id="38" w:name="_Toc455394731"/>
      <w:r w:rsidRPr="0063179F">
        <w:t>Please see the Framework Agreement and call-off documentation to be provided at Invitation to Tender stage for further information.</w:t>
      </w:r>
      <w:bookmarkEnd w:id="35"/>
      <w:bookmarkEnd w:id="36"/>
      <w:bookmarkEnd w:id="37"/>
      <w:bookmarkEnd w:id="38"/>
    </w:p>
    <w:p w:rsidR="002118AA" w:rsidRPr="0063179F" w:rsidRDefault="002118AA" w:rsidP="002118AA">
      <w:pPr>
        <w:jc w:val="both"/>
      </w:pPr>
    </w:p>
    <w:p w:rsidR="00D55585" w:rsidRPr="002118AA" w:rsidRDefault="00D55585" w:rsidP="002118AA">
      <w:pPr>
        <w:jc w:val="both"/>
        <w:rPr>
          <w:b/>
          <w:caps/>
        </w:rPr>
      </w:pPr>
      <w:bookmarkStart w:id="39" w:name="_Toc454267215"/>
      <w:bookmarkStart w:id="40" w:name="_Toc455394870"/>
      <w:r w:rsidRPr="002118AA">
        <w:rPr>
          <w:b/>
        </w:rPr>
        <w:t>Value of the Framework</w:t>
      </w:r>
      <w:bookmarkEnd w:id="39"/>
      <w:bookmarkEnd w:id="40"/>
    </w:p>
    <w:p w:rsidR="00D55585" w:rsidRPr="0063179F" w:rsidRDefault="00D55585" w:rsidP="002118AA">
      <w:pPr>
        <w:jc w:val="both"/>
      </w:pPr>
      <w:bookmarkStart w:id="41" w:name="_Toc454267217"/>
      <w:bookmarkStart w:id="42" w:name="_Toc454267782"/>
      <w:bookmarkStart w:id="43" w:name="_Toc454281003"/>
      <w:bookmarkStart w:id="44" w:name="_Toc455394733"/>
      <w:r w:rsidRPr="0063179F">
        <w:t>ECC is unable to give any guarantee as to the number and value of developments to be delivered through the Framework. However, the overall value of the Framework will not exceed £50 million.</w:t>
      </w:r>
      <w:bookmarkEnd w:id="41"/>
      <w:bookmarkEnd w:id="42"/>
      <w:bookmarkEnd w:id="43"/>
      <w:bookmarkEnd w:id="44"/>
    </w:p>
    <w:p w:rsidR="00D55585" w:rsidRPr="0063179F" w:rsidRDefault="00D55585" w:rsidP="002118AA">
      <w:pPr>
        <w:jc w:val="both"/>
      </w:pPr>
    </w:p>
    <w:p w:rsidR="00D55585" w:rsidRPr="0063179F" w:rsidRDefault="00D55585" w:rsidP="002118AA">
      <w:pPr>
        <w:jc w:val="both"/>
      </w:pPr>
      <w:bookmarkStart w:id="45" w:name="_Toc454267218"/>
      <w:bookmarkStart w:id="46" w:name="_Toc454267783"/>
      <w:bookmarkStart w:id="47" w:name="_Toc454281004"/>
      <w:bookmarkStart w:id="48" w:name="_Toc455394734"/>
      <w:r w:rsidRPr="0063179F">
        <w:lastRenderedPageBreak/>
        <w:t>ECC anticipates that it will use the Framework to deliver approximately 15 Independent Living schemes of approximately 60 units per scheme</w:t>
      </w:r>
      <w:bookmarkEnd w:id="45"/>
      <w:bookmarkEnd w:id="46"/>
      <w:bookmarkEnd w:id="47"/>
      <w:r w:rsidRPr="0063179F">
        <w:t>.</w:t>
      </w:r>
      <w:bookmarkEnd w:id="48"/>
    </w:p>
    <w:p w:rsidR="00D55585" w:rsidRPr="0063179F" w:rsidRDefault="00D55585" w:rsidP="002118AA">
      <w:pPr>
        <w:jc w:val="both"/>
      </w:pPr>
    </w:p>
    <w:p w:rsidR="00D55585" w:rsidRPr="0063179F" w:rsidRDefault="00D55585" w:rsidP="002118AA">
      <w:pPr>
        <w:jc w:val="both"/>
      </w:pPr>
      <w:bookmarkStart w:id="49" w:name="_Toc454267219"/>
      <w:bookmarkStart w:id="50" w:name="_Toc454267784"/>
      <w:bookmarkStart w:id="51" w:name="_Toc454281005"/>
      <w:bookmarkStart w:id="52" w:name="_Toc455394735"/>
      <w:r w:rsidRPr="0063179F">
        <w:t xml:space="preserve">ECC </w:t>
      </w:r>
      <w:r w:rsidR="00671E7B">
        <w:t>anticipates</w:t>
      </w:r>
      <w:r w:rsidR="001C64B9" w:rsidRPr="0063179F">
        <w:t xml:space="preserve"> </w:t>
      </w:r>
      <w:r w:rsidRPr="0063179F">
        <w:t xml:space="preserve">investment of c.£15 million </w:t>
      </w:r>
      <w:r w:rsidR="001C64B9">
        <w:t>(made up from land and capital investment</w:t>
      </w:r>
      <w:r w:rsidR="00506D9B">
        <w:t>)</w:t>
      </w:r>
      <w:r w:rsidR="001C64B9">
        <w:t xml:space="preserve"> </w:t>
      </w:r>
      <w:r w:rsidRPr="0063179F">
        <w:t xml:space="preserve">to </w:t>
      </w:r>
      <w:r w:rsidR="00671E7B">
        <w:t>be made</w:t>
      </w:r>
      <w:r w:rsidR="00671E7B" w:rsidRPr="0063179F">
        <w:t xml:space="preserve"> </w:t>
      </w:r>
      <w:r w:rsidRPr="0063179F">
        <w:t>available under the Framework, where appropriate, to support development of Independent Living schemes. ECC will also encourage and support bids to the Homes and Communities Agency for grant funding to support proposed developments.</w:t>
      </w:r>
      <w:bookmarkEnd w:id="49"/>
      <w:bookmarkEnd w:id="50"/>
      <w:bookmarkEnd w:id="51"/>
      <w:bookmarkEnd w:id="52"/>
      <w:r w:rsidR="00506D9B">
        <w:t xml:space="preserve"> </w:t>
      </w:r>
    </w:p>
    <w:p w:rsidR="00A248DC" w:rsidRDefault="00A248DC" w:rsidP="00D55585">
      <w:pPr>
        <w:rPr>
          <w:b/>
          <w:bCs/>
          <w:kern w:val="32"/>
        </w:rPr>
      </w:pPr>
      <w:r>
        <w:br w:type="page"/>
      </w:r>
    </w:p>
    <w:p w:rsidR="00655EC0" w:rsidRPr="00665252" w:rsidRDefault="00655EC0" w:rsidP="00785F41">
      <w:pPr>
        <w:pStyle w:val="Heading1"/>
        <w:rPr>
          <w:rFonts w:ascii="Arial" w:hAnsi="Arial" w:cs="Arial"/>
          <w:sz w:val="22"/>
          <w:szCs w:val="22"/>
        </w:rPr>
      </w:pPr>
      <w:bookmarkStart w:id="53" w:name="_Toc457578387"/>
      <w:r w:rsidRPr="00665252">
        <w:rPr>
          <w:rFonts w:ascii="Arial" w:hAnsi="Arial" w:cs="Arial"/>
          <w:sz w:val="22"/>
          <w:szCs w:val="22"/>
        </w:rPr>
        <w:lastRenderedPageBreak/>
        <w:t>PART ONE – GENERAL INSTRUCTIONS AND GUIDANCE</w:t>
      </w:r>
      <w:bookmarkEnd w:id="2"/>
      <w:bookmarkEnd w:id="53"/>
    </w:p>
    <w:p w:rsidR="00655EC0" w:rsidRPr="00665252" w:rsidRDefault="00655EC0" w:rsidP="00655EC0">
      <w:pPr>
        <w:ind w:left="720" w:hanging="720"/>
        <w:rPr>
          <w:szCs w:val="20"/>
          <w:lang w:eastAsia="en-US"/>
        </w:rPr>
      </w:pPr>
    </w:p>
    <w:p w:rsidR="008E79BB" w:rsidRPr="00665252" w:rsidRDefault="00655EC0" w:rsidP="000F6C87">
      <w:pPr>
        <w:numPr>
          <w:ilvl w:val="0"/>
          <w:numId w:val="22"/>
        </w:numPr>
        <w:ind w:hanging="720"/>
        <w:jc w:val="both"/>
      </w:pPr>
      <w:r w:rsidRPr="00665252">
        <w:rPr>
          <w:lang w:eastAsia="en-US"/>
        </w:rPr>
        <w:t>Essex County Council (</w:t>
      </w:r>
      <w:r w:rsidRPr="00665252">
        <w:rPr>
          <w:b/>
          <w:lang w:eastAsia="en-US"/>
        </w:rPr>
        <w:t>the Authority</w:t>
      </w:r>
      <w:r w:rsidR="002403A8" w:rsidRPr="00665252">
        <w:rPr>
          <w:lang w:eastAsia="en-US"/>
        </w:rPr>
        <w:t>) invites tenders</w:t>
      </w:r>
      <w:r w:rsidRPr="00665252">
        <w:rPr>
          <w:lang w:eastAsia="en-US"/>
        </w:rPr>
        <w:t xml:space="preserve"> for</w:t>
      </w:r>
      <w:r w:rsidR="008E79BB" w:rsidRPr="00665252">
        <w:rPr>
          <w:lang w:eastAsia="en-US"/>
        </w:rPr>
        <w:t xml:space="preserve"> the provision of the requirement</w:t>
      </w:r>
      <w:r w:rsidRPr="00665252">
        <w:rPr>
          <w:lang w:eastAsia="en-US"/>
        </w:rPr>
        <w:t>.</w:t>
      </w:r>
      <w:r w:rsidR="008E79BB" w:rsidRPr="00665252">
        <w:t xml:space="preserve">  Bidders should make themselves fully aware of the content of these General Instructions and Guidance, together with any other information/instructions issued by the Authority during this procurement exercise.</w:t>
      </w:r>
    </w:p>
    <w:p w:rsidR="00655EC0" w:rsidRPr="00665252" w:rsidRDefault="00655EC0" w:rsidP="000F6C87">
      <w:pPr>
        <w:jc w:val="both"/>
        <w:rPr>
          <w:lang w:eastAsia="en-US"/>
        </w:rPr>
      </w:pPr>
    </w:p>
    <w:p w:rsidR="00655EC0" w:rsidRPr="00665252" w:rsidRDefault="00655EC0" w:rsidP="000F6C87">
      <w:pPr>
        <w:numPr>
          <w:ilvl w:val="0"/>
          <w:numId w:val="18"/>
        </w:numPr>
        <w:jc w:val="both"/>
        <w:rPr>
          <w:lang w:eastAsia="en-US"/>
        </w:rPr>
      </w:pPr>
      <w:r w:rsidRPr="00665252">
        <w:rPr>
          <w:lang w:eastAsia="en-US"/>
        </w:rPr>
        <w:t>The estimated timetable for the award of a contract is as follows:</w:t>
      </w:r>
    </w:p>
    <w:p w:rsidR="00655EC0" w:rsidRPr="00665252" w:rsidRDefault="00655EC0" w:rsidP="000F6C87">
      <w:pPr>
        <w:jc w:val="both"/>
        <w:rPr>
          <w:lang w:eastAsia="en-US"/>
        </w:rPr>
      </w:pPr>
    </w:p>
    <w:p w:rsidR="00655EC0" w:rsidRPr="000F6C87" w:rsidRDefault="002403A8" w:rsidP="00DF053B">
      <w:pPr>
        <w:tabs>
          <w:tab w:val="left" w:pos="5760"/>
        </w:tabs>
        <w:ind w:left="720"/>
        <w:jc w:val="both"/>
        <w:rPr>
          <w:lang w:eastAsia="en-US"/>
        </w:rPr>
      </w:pPr>
      <w:r w:rsidRPr="000F6C87">
        <w:rPr>
          <w:lang w:eastAsia="en-US"/>
        </w:rPr>
        <w:t>Pre-Qualification</w:t>
      </w:r>
      <w:r w:rsidR="00655EC0" w:rsidRPr="000F6C87">
        <w:rPr>
          <w:lang w:eastAsia="en-US"/>
        </w:rPr>
        <w:t xml:space="preserve"> issued</w:t>
      </w:r>
      <w:r w:rsidR="00655EC0" w:rsidRPr="000F6C87">
        <w:rPr>
          <w:lang w:eastAsia="en-US"/>
        </w:rPr>
        <w:tab/>
      </w:r>
      <w:r w:rsidR="008A334D">
        <w:rPr>
          <w:lang w:eastAsia="en-US"/>
        </w:rPr>
        <w:t>02</w:t>
      </w:r>
      <w:r w:rsidR="0063179F">
        <w:rPr>
          <w:lang w:eastAsia="en-US"/>
        </w:rPr>
        <w:t>/08/2016</w:t>
      </w:r>
    </w:p>
    <w:p w:rsidR="00655EC0" w:rsidRPr="000F6C87" w:rsidRDefault="00655EC0" w:rsidP="00DF053B">
      <w:pPr>
        <w:tabs>
          <w:tab w:val="left" w:pos="5760"/>
        </w:tabs>
        <w:ind w:left="720"/>
        <w:jc w:val="both"/>
        <w:rPr>
          <w:lang w:eastAsia="en-US"/>
        </w:rPr>
      </w:pPr>
      <w:r w:rsidRPr="000F6C87">
        <w:rPr>
          <w:lang w:eastAsia="en-US"/>
        </w:rPr>
        <w:t>Final date for cla</w:t>
      </w:r>
      <w:r w:rsidR="00CA5A71" w:rsidRPr="000F6C87">
        <w:rPr>
          <w:lang w:eastAsia="en-US"/>
        </w:rPr>
        <w:t>rifications from Bidders</w:t>
      </w:r>
      <w:r w:rsidR="00CA5A71" w:rsidRPr="000F6C87">
        <w:rPr>
          <w:lang w:eastAsia="en-US"/>
        </w:rPr>
        <w:tab/>
      </w:r>
      <w:r w:rsidR="008A334D">
        <w:rPr>
          <w:lang w:eastAsia="en-US"/>
        </w:rPr>
        <w:t>26</w:t>
      </w:r>
      <w:r w:rsidR="0063179F">
        <w:rPr>
          <w:lang w:eastAsia="en-US"/>
        </w:rPr>
        <w:t>/08/2016</w:t>
      </w:r>
      <w:r w:rsidR="005B4A29">
        <w:rPr>
          <w:lang w:eastAsia="en-US"/>
        </w:rPr>
        <w:t xml:space="preserve">  17.00 hrs</w:t>
      </w:r>
    </w:p>
    <w:p w:rsidR="00655EC0" w:rsidRPr="000F6C87" w:rsidRDefault="002403A8" w:rsidP="00DF053B">
      <w:pPr>
        <w:tabs>
          <w:tab w:val="left" w:pos="5760"/>
        </w:tabs>
        <w:ind w:left="720"/>
        <w:jc w:val="both"/>
        <w:rPr>
          <w:lang w:eastAsia="en-US"/>
        </w:rPr>
      </w:pPr>
      <w:r w:rsidRPr="000F6C87">
        <w:rPr>
          <w:lang w:eastAsia="en-US"/>
        </w:rPr>
        <w:t>PQQ</w:t>
      </w:r>
      <w:r w:rsidR="00655EC0" w:rsidRPr="000F6C87">
        <w:rPr>
          <w:lang w:eastAsia="en-US"/>
        </w:rPr>
        <w:t xml:space="preserve"> Return Date </w:t>
      </w:r>
      <w:r w:rsidR="008E79BB" w:rsidRPr="000F6C87">
        <w:rPr>
          <w:lang w:eastAsia="en-US"/>
        </w:rPr>
        <w:tab/>
      </w:r>
      <w:r w:rsidR="008A334D">
        <w:rPr>
          <w:lang w:eastAsia="en-US"/>
        </w:rPr>
        <w:t>02</w:t>
      </w:r>
      <w:r w:rsidR="0063179F">
        <w:rPr>
          <w:lang w:eastAsia="en-US"/>
        </w:rPr>
        <w:t>/09</w:t>
      </w:r>
      <w:r w:rsidR="008029DF">
        <w:rPr>
          <w:lang w:eastAsia="en-US"/>
        </w:rPr>
        <w:t>/</w:t>
      </w:r>
      <w:r w:rsidR="0063179F">
        <w:rPr>
          <w:lang w:eastAsia="en-US"/>
        </w:rPr>
        <w:t>2016</w:t>
      </w:r>
      <w:r w:rsidR="00230B97">
        <w:rPr>
          <w:lang w:eastAsia="en-US"/>
        </w:rPr>
        <w:t xml:space="preserve"> </w:t>
      </w:r>
      <w:r w:rsidR="00697A5A" w:rsidRPr="000F6C87">
        <w:rPr>
          <w:lang w:eastAsia="en-US"/>
        </w:rPr>
        <w:t>12:00 noon</w:t>
      </w:r>
    </w:p>
    <w:p w:rsidR="00655EC0" w:rsidRPr="000F6C87" w:rsidRDefault="00655EC0" w:rsidP="00DF053B">
      <w:pPr>
        <w:tabs>
          <w:tab w:val="left" w:pos="5760"/>
        </w:tabs>
        <w:ind w:left="720"/>
        <w:jc w:val="both"/>
        <w:rPr>
          <w:lang w:eastAsia="en-US"/>
        </w:rPr>
      </w:pPr>
      <w:r w:rsidRPr="000F6C87">
        <w:rPr>
          <w:lang w:eastAsia="en-US"/>
        </w:rPr>
        <w:t>N</w:t>
      </w:r>
      <w:r w:rsidR="007C0B7B">
        <w:rPr>
          <w:lang w:eastAsia="en-US"/>
        </w:rPr>
        <w:t xml:space="preserve">otification of Tender Short list </w:t>
      </w:r>
      <w:r w:rsidR="00DF053B">
        <w:rPr>
          <w:lang w:eastAsia="en-US"/>
        </w:rPr>
        <w:tab/>
      </w:r>
      <w:r w:rsidR="0063179F">
        <w:rPr>
          <w:lang w:eastAsia="en-US"/>
        </w:rPr>
        <w:t>19/09/2016</w:t>
      </w:r>
    </w:p>
    <w:p w:rsidR="002403A8" w:rsidRPr="000F6C87" w:rsidRDefault="002403A8" w:rsidP="00DF053B">
      <w:pPr>
        <w:tabs>
          <w:tab w:val="left" w:pos="5760"/>
        </w:tabs>
        <w:ind w:left="720"/>
        <w:jc w:val="both"/>
        <w:rPr>
          <w:lang w:eastAsia="en-US"/>
        </w:rPr>
      </w:pPr>
      <w:r w:rsidRPr="000F6C87">
        <w:rPr>
          <w:lang w:eastAsia="en-US"/>
        </w:rPr>
        <w:t>Invit</w:t>
      </w:r>
      <w:r w:rsidR="00CA5A71" w:rsidRPr="000F6C87">
        <w:rPr>
          <w:lang w:eastAsia="en-US"/>
        </w:rPr>
        <w:t>ation To Tender issued</w:t>
      </w:r>
      <w:r w:rsidR="00CA5A71" w:rsidRPr="000F6C87">
        <w:rPr>
          <w:lang w:eastAsia="en-US"/>
        </w:rPr>
        <w:tab/>
      </w:r>
      <w:r w:rsidR="0063179F">
        <w:rPr>
          <w:lang w:eastAsia="en-US"/>
        </w:rPr>
        <w:t>19/09/2016</w:t>
      </w:r>
    </w:p>
    <w:p w:rsidR="002403A8" w:rsidRPr="000F6C87" w:rsidRDefault="002403A8" w:rsidP="00DF053B">
      <w:pPr>
        <w:tabs>
          <w:tab w:val="left" w:pos="5760"/>
        </w:tabs>
        <w:ind w:left="720"/>
        <w:jc w:val="both"/>
        <w:rPr>
          <w:lang w:eastAsia="en-US"/>
        </w:rPr>
      </w:pPr>
      <w:r w:rsidRPr="000F6C87">
        <w:rPr>
          <w:lang w:eastAsia="en-US"/>
        </w:rPr>
        <w:t>Final date for ITT clar</w:t>
      </w:r>
      <w:r w:rsidR="00CA5A71" w:rsidRPr="000F6C87">
        <w:rPr>
          <w:lang w:eastAsia="en-US"/>
        </w:rPr>
        <w:t>ifications from Bidders</w:t>
      </w:r>
      <w:r w:rsidR="00CA5A71" w:rsidRPr="000F6C87">
        <w:rPr>
          <w:lang w:eastAsia="en-US"/>
        </w:rPr>
        <w:tab/>
      </w:r>
      <w:r w:rsidR="008A334D">
        <w:rPr>
          <w:lang w:eastAsia="en-US"/>
        </w:rPr>
        <w:t>27</w:t>
      </w:r>
      <w:r w:rsidR="0063179F">
        <w:rPr>
          <w:lang w:eastAsia="en-US"/>
        </w:rPr>
        <w:t>/10/2016</w:t>
      </w:r>
      <w:r w:rsidR="008029DF" w:rsidRPr="000F6C87">
        <w:rPr>
          <w:lang w:eastAsia="en-US"/>
        </w:rPr>
        <w:t xml:space="preserve"> </w:t>
      </w:r>
    </w:p>
    <w:p w:rsidR="002403A8" w:rsidRPr="000F6C87" w:rsidRDefault="002403A8" w:rsidP="00DF053B">
      <w:pPr>
        <w:tabs>
          <w:tab w:val="left" w:pos="5760"/>
        </w:tabs>
        <w:ind w:left="720"/>
        <w:jc w:val="both"/>
        <w:rPr>
          <w:lang w:eastAsia="en-US"/>
        </w:rPr>
      </w:pPr>
      <w:r w:rsidRPr="000F6C87">
        <w:rPr>
          <w:lang w:eastAsia="en-US"/>
        </w:rPr>
        <w:t>ITT evaluation</w:t>
      </w:r>
      <w:r w:rsidRPr="000F6C87">
        <w:rPr>
          <w:lang w:eastAsia="en-US"/>
        </w:rPr>
        <w:tab/>
      </w:r>
      <w:r w:rsidR="008A334D">
        <w:rPr>
          <w:lang w:eastAsia="en-US"/>
        </w:rPr>
        <w:t>04</w:t>
      </w:r>
      <w:r w:rsidR="0063179F">
        <w:rPr>
          <w:lang w:eastAsia="en-US"/>
        </w:rPr>
        <w:t>/1</w:t>
      </w:r>
      <w:r w:rsidR="008A334D">
        <w:rPr>
          <w:lang w:eastAsia="en-US"/>
        </w:rPr>
        <w:t>1</w:t>
      </w:r>
      <w:r w:rsidR="0063179F">
        <w:rPr>
          <w:lang w:eastAsia="en-US"/>
        </w:rPr>
        <w:t>/2016</w:t>
      </w:r>
      <w:r w:rsidR="00230B97">
        <w:rPr>
          <w:lang w:eastAsia="en-US"/>
        </w:rPr>
        <w:t xml:space="preserve"> </w:t>
      </w:r>
      <w:r w:rsidR="00317AF9">
        <w:rPr>
          <w:lang w:eastAsia="en-US"/>
        </w:rPr>
        <w:t>12:00 noon</w:t>
      </w:r>
    </w:p>
    <w:p w:rsidR="00655EC0" w:rsidRPr="000F6C87" w:rsidRDefault="00655EC0" w:rsidP="00DF053B">
      <w:pPr>
        <w:tabs>
          <w:tab w:val="left" w:pos="5760"/>
        </w:tabs>
        <w:ind w:left="720"/>
        <w:jc w:val="both"/>
        <w:rPr>
          <w:lang w:eastAsia="en-US"/>
        </w:rPr>
      </w:pPr>
      <w:r w:rsidRPr="000F6C87">
        <w:rPr>
          <w:lang w:eastAsia="en-US"/>
        </w:rPr>
        <w:t>Preferred bidder</w:t>
      </w:r>
      <w:r w:rsidR="0063179F">
        <w:rPr>
          <w:lang w:eastAsia="en-US"/>
        </w:rPr>
        <w:t>s</w:t>
      </w:r>
      <w:r w:rsidRPr="000F6C87">
        <w:rPr>
          <w:lang w:eastAsia="en-US"/>
        </w:rPr>
        <w:t xml:space="preserve"> shortlisted</w:t>
      </w:r>
      <w:r w:rsidRPr="000F6C87">
        <w:rPr>
          <w:lang w:eastAsia="en-US"/>
        </w:rPr>
        <w:tab/>
      </w:r>
      <w:r w:rsidR="008A334D">
        <w:rPr>
          <w:lang w:eastAsia="en-US"/>
        </w:rPr>
        <w:t>16</w:t>
      </w:r>
      <w:r w:rsidR="0063179F">
        <w:rPr>
          <w:lang w:eastAsia="en-US"/>
        </w:rPr>
        <w:t>/</w:t>
      </w:r>
      <w:r w:rsidR="008A334D">
        <w:rPr>
          <w:lang w:eastAsia="en-US"/>
        </w:rPr>
        <w:t>0</w:t>
      </w:r>
      <w:r w:rsidR="0063179F">
        <w:rPr>
          <w:lang w:eastAsia="en-US"/>
        </w:rPr>
        <w:t>1/201</w:t>
      </w:r>
      <w:r w:rsidR="008A334D">
        <w:rPr>
          <w:lang w:eastAsia="en-US"/>
        </w:rPr>
        <w:t>7</w:t>
      </w:r>
    </w:p>
    <w:p w:rsidR="002403A8" w:rsidRPr="000F6C87" w:rsidRDefault="00B97E80" w:rsidP="00DF053B">
      <w:pPr>
        <w:tabs>
          <w:tab w:val="left" w:pos="5760"/>
        </w:tabs>
        <w:ind w:left="720"/>
        <w:jc w:val="both"/>
        <w:rPr>
          <w:lang w:eastAsia="en-US"/>
        </w:rPr>
      </w:pPr>
      <w:r w:rsidRPr="000F6C87">
        <w:rPr>
          <w:lang w:eastAsia="en-US"/>
        </w:rPr>
        <w:t>Standstill period</w:t>
      </w:r>
      <w:r w:rsidR="000F6C87" w:rsidRPr="000F6C87">
        <w:rPr>
          <w:lang w:eastAsia="en-US"/>
        </w:rPr>
        <w:t xml:space="preserve"> starts</w:t>
      </w:r>
      <w:r w:rsidRPr="000F6C87">
        <w:rPr>
          <w:lang w:eastAsia="en-US"/>
        </w:rPr>
        <w:tab/>
      </w:r>
      <w:r w:rsidR="008A334D">
        <w:rPr>
          <w:lang w:eastAsia="en-US"/>
        </w:rPr>
        <w:t>16</w:t>
      </w:r>
      <w:r w:rsidR="0063179F">
        <w:rPr>
          <w:lang w:eastAsia="en-US"/>
        </w:rPr>
        <w:t>/</w:t>
      </w:r>
      <w:r w:rsidR="008A334D">
        <w:rPr>
          <w:lang w:eastAsia="en-US"/>
        </w:rPr>
        <w:t>01</w:t>
      </w:r>
      <w:r w:rsidR="0063179F">
        <w:rPr>
          <w:lang w:eastAsia="en-US"/>
        </w:rPr>
        <w:t>/201</w:t>
      </w:r>
      <w:r w:rsidR="008A334D">
        <w:rPr>
          <w:lang w:eastAsia="en-US"/>
        </w:rPr>
        <w:t>7</w:t>
      </w:r>
    </w:p>
    <w:p w:rsidR="000F6C87" w:rsidRPr="000F6C87" w:rsidRDefault="000F6C87" w:rsidP="00DF053B">
      <w:pPr>
        <w:tabs>
          <w:tab w:val="left" w:pos="5760"/>
        </w:tabs>
        <w:ind w:left="720"/>
        <w:jc w:val="both"/>
        <w:rPr>
          <w:lang w:eastAsia="en-US"/>
        </w:rPr>
      </w:pPr>
      <w:r w:rsidRPr="000F6C87">
        <w:rPr>
          <w:lang w:eastAsia="en-US"/>
        </w:rPr>
        <w:t>Standstill period finishes</w:t>
      </w:r>
      <w:r w:rsidRPr="000F6C87">
        <w:rPr>
          <w:lang w:eastAsia="en-US"/>
        </w:rPr>
        <w:tab/>
      </w:r>
      <w:r w:rsidR="008A334D">
        <w:rPr>
          <w:lang w:eastAsia="en-US"/>
        </w:rPr>
        <w:t>26</w:t>
      </w:r>
      <w:r w:rsidR="0063179F">
        <w:rPr>
          <w:lang w:eastAsia="en-US"/>
        </w:rPr>
        <w:t>/</w:t>
      </w:r>
      <w:r w:rsidR="008A334D">
        <w:rPr>
          <w:lang w:eastAsia="en-US"/>
        </w:rPr>
        <w:t>0</w:t>
      </w:r>
      <w:r w:rsidR="0063179F">
        <w:rPr>
          <w:lang w:eastAsia="en-US"/>
        </w:rPr>
        <w:t>1/201</w:t>
      </w:r>
      <w:r w:rsidR="008A334D">
        <w:rPr>
          <w:lang w:eastAsia="en-US"/>
        </w:rPr>
        <w:t>7</w:t>
      </w:r>
    </w:p>
    <w:p w:rsidR="00DF053B" w:rsidRDefault="00B97E80" w:rsidP="00DF053B">
      <w:pPr>
        <w:tabs>
          <w:tab w:val="left" w:pos="5760"/>
        </w:tabs>
        <w:ind w:left="720"/>
        <w:jc w:val="both"/>
        <w:rPr>
          <w:lang w:eastAsia="en-US"/>
        </w:rPr>
      </w:pPr>
      <w:r w:rsidRPr="000F6C87">
        <w:rPr>
          <w:lang w:eastAsia="en-US"/>
        </w:rPr>
        <w:t>Contract Award</w:t>
      </w:r>
      <w:r w:rsidRPr="000F6C87">
        <w:rPr>
          <w:lang w:eastAsia="en-US"/>
        </w:rPr>
        <w:tab/>
      </w:r>
      <w:r w:rsidR="008A334D">
        <w:rPr>
          <w:lang w:eastAsia="en-US"/>
        </w:rPr>
        <w:t>26</w:t>
      </w:r>
      <w:r w:rsidR="0063179F">
        <w:rPr>
          <w:lang w:eastAsia="en-US"/>
        </w:rPr>
        <w:t>/</w:t>
      </w:r>
      <w:r w:rsidR="008A334D">
        <w:rPr>
          <w:lang w:eastAsia="en-US"/>
        </w:rPr>
        <w:t>0</w:t>
      </w:r>
      <w:r w:rsidR="0063179F">
        <w:rPr>
          <w:lang w:eastAsia="en-US"/>
        </w:rPr>
        <w:t>1/201</w:t>
      </w:r>
      <w:r w:rsidR="008A334D">
        <w:rPr>
          <w:lang w:eastAsia="en-US"/>
        </w:rPr>
        <w:t>7</w:t>
      </w:r>
    </w:p>
    <w:p w:rsidR="00655EC0" w:rsidRPr="000F6C87" w:rsidRDefault="00655EC0" w:rsidP="00DF053B">
      <w:pPr>
        <w:tabs>
          <w:tab w:val="left" w:pos="5760"/>
        </w:tabs>
        <w:ind w:left="720"/>
        <w:jc w:val="both"/>
        <w:rPr>
          <w:lang w:eastAsia="en-US"/>
        </w:rPr>
      </w:pPr>
      <w:r w:rsidRPr="000F6C87">
        <w:rPr>
          <w:lang w:eastAsia="en-US"/>
        </w:rPr>
        <w:t>Contract Signature</w:t>
      </w:r>
      <w:r w:rsidRPr="000F6C87">
        <w:rPr>
          <w:lang w:eastAsia="en-US"/>
        </w:rPr>
        <w:tab/>
      </w:r>
      <w:r w:rsidR="0063179F">
        <w:rPr>
          <w:lang w:eastAsia="en-US"/>
        </w:rPr>
        <w:t>30/12/2016</w:t>
      </w:r>
    </w:p>
    <w:p w:rsidR="00655EC0" w:rsidRPr="00665252" w:rsidRDefault="00655EC0" w:rsidP="000F6C87">
      <w:pPr>
        <w:ind w:left="720"/>
        <w:jc w:val="both"/>
        <w:rPr>
          <w:lang w:eastAsia="en-US"/>
        </w:rPr>
      </w:pPr>
    </w:p>
    <w:p w:rsidR="00655EC0" w:rsidRPr="00665252" w:rsidRDefault="00655EC0" w:rsidP="000F6C87">
      <w:pPr>
        <w:ind w:left="720"/>
        <w:jc w:val="both"/>
        <w:rPr>
          <w:lang w:eastAsia="en-US"/>
        </w:rPr>
      </w:pPr>
      <w:r w:rsidRPr="00665252">
        <w:rPr>
          <w:lang w:eastAsia="en-US"/>
        </w:rPr>
        <w:t>The Authority will not be bound by this timetable if extensive bid clarification is required during evaluation.</w:t>
      </w:r>
    </w:p>
    <w:p w:rsidR="00655EC0" w:rsidRPr="00665252" w:rsidRDefault="00655EC0" w:rsidP="000F6C87">
      <w:pPr>
        <w:ind w:left="720" w:hanging="720"/>
        <w:jc w:val="both"/>
        <w:rPr>
          <w:lang w:eastAsia="en-US"/>
        </w:rPr>
      </w:pPr>
    </w:p>
    <w:p w:rsidR="00655EC0" w:rsidRPr="00665252" w:rsidRDefault="00655EC0" w:rsidP="000F6C87">
      <w:pPr>
        <w:numPr>
          <w:ilvl w:val="0"/>
          <w:numId w:val="18"/>
        </w:numPr>
        <w:jc w:val="both"/>
        <w:rPr>
          <w:lang w:eastAsia="en-US"/>
        </w:rPr>
      </w:pPr>
      <w:r w:rsidRPr="00665252">
        <w:rPr>
          <w:lang w:eastAsia="en-US"/>
        </w:rPr>
        <w:t xml:space="preserve">All </w:t>
      </w:r>
      <w:r w:rsidR="008E79BB" w:rsidRPr="00665252">
        <w:rPr>
          <w:lang w:eastAsia="en-US"/>
        </w:rPr>
        <w:t xml:space="preserve">communications, </w:t>
      </w:r>
      <w:r w:rsidRPr="00665252">
        <w:rPr>
          <w:lang w:eastAsia="en-US"/>
        </w:rPr>
        <w:t>enquiries, questions or requests for clarification by Bidders should be addressed in writing using the secure messaging system i</w:t>
      </w:r>
      <w:r w:rsidR="00EF2961" w:rsidRPr="00665252">
        <w:rPr>
          <w:lang w:eastAsia="en-US"/>
        </w:rPr>
        <w:t xml:space="preserve">n the Pre-Qualification </w:t>
      </w:r>
      <w:r w:rsidR="00FB695D" w:rsidRPr="00665252">
        <w:rPr>
          <w:lang w:eastAsia="en-US"/>
        </w:rPr>
        <w:t>Questionnaire;</w:t>
      </w:r>
      <w:r w:rsidRPr="00665252">
        <w:rPr>
          <w:lang w:eastAsia="en-US"/>
        </w:rPr>
        <w:t xml:space="preserve"> Bidders should note that the Authority will not respond to any enquiry, question or request not submitted in this manner.</w:t>
      </w:r>
    </w:p>
    <w:p w:rsidR="00655EC0" w:rsidRPr="00665252" w:rsidRDefault="00655EC0" w:rsidP="000F6C87">
      <w:pPr>
        <w:ind w:left="720" w:hanging="720"/>
        <w:jc w:val="both"/>
        <w:rPr>
          <w:lang w:eastAsia="en-US"/>
        </w:rPr>
      </w:pPr>
    </w:p>
    <w:p w:rsidR="00655EC0" w:rsidRPr="00665252" w:rsidRDefault="00655EC0" w:rsidP="000F6C87">
      <w:pPr>
        <w:numPr>
          <w:ilvl w:val="0"/>
          <w:numId w:val="18"/>
        </w:numPr>
        <w:jc w:val="both"/>
        <w:rPr>
          <w:lang w:eastAsia="en-US"/>
        </w:rPr>
      </w:pPr>
      <w:r w:rsidRPr="00665252">
        <w:rPr>
          <w:lang w:eastAsia="en-US"/>
        </w:rPr>
        <w:t>Bidders should be aware that where a clarification has a fundamental and/or material impact on the</w:t>
      </w:r>
      <w:r w:rsidR="00EF2961" w:rsidRPr="00665252">
        <w:rPr>
          <w:lang w:eastAsia="en-US"/>
        </w:rPr>
        <w:t xml:space="preserve"> PQQ</w:t>
      </w:r>
      <w:r w:rsidR="008E79BB" w:rsidRPr="00665252">
        <w:rPr>
          <w:lang w:eastAsia="en-US"/>
        </w:rPr>
        <w:t>, that clarification and</w:t>
      </w:r>
      <w:r w:rsidRPr="00665252">
        <w:rPr>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665252" w:rsidRDefault="00655EC0" w:rsidP="000F6C87">
      <w:pPr>
        <w:ind w:left="720" w:hanging="720"/>
        <w:jc w:val="both"/>
        <w:rPr>
          <w:lang w:eastAsia="en-US"/>
        </w:rPr>
      </w:pPr>
    </w:p>
    <w:p w:rsidR="00655EC0" w:rsidRPr="00665252" w:rsidRDefault="00655EC0" w:rsidP="000F6C87">
      <w:pPr>
        <w:numPr>
          <w:ilvl w:val="0"/>
          <w:numId w:val="18"/>
        </w:numPr>
        <w:jc w:val="both"/>
        <w:rPr>
          <w:lang w:eastAsia="en-US"/>
        </w:rPr>
      </w:pPr>
      <w:r w:rsidRPr="00665252">
        <w:rPr>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665252" w:rsidRDefault="00655EC0" w:rsidP="000F6C87">
      <w:pPr>
        <w:jc w:val="both"/>
        <w:rPr>
          <w:lang w:eastAsia="en-US"/>
        </w:rPr>
      </w:pPr>
    </w:p>
    <w:p w:rsidR="00655EC0" w:rsidRPr="00665252" w:rsidRDefault="00D977D6" w:rsidP="000F6C87">
      <w:pPr>
        <w:ind w:left="720" w:hanging="720"/>
        <w:jc w:val="both"/>
        <w:rPr>
          <w:lang w:eastAsia="en-US"/>
        </w:rPr>
      </w:pPr>
      <w:r w:rsidRPr="00665252">
        <w:rPr>
          <w:lang w:eastAsia="en-US"/>
        </w:rPr>
        <w:t>6</w:t>
      </w:r>
      <w:r w:rsidR="00655EC0" w:rsidRPr="00665252">
        <w:rPr>
          <w:lang w:eastAsia="en-US"/>
        </w:rPr>
        <w:t>.</w:t>
      </w:r>
      <w:r w:rsidR="00655EC0" w:rsidRPr="00665252">
        <w:rPr>
          <w:lang w:eastAsia="en-US"/>
        </w:rPr>
        <w:tab/>
        <w:t>It is the responsibility of Bidders to obtain for themselves at their own expense all information necessary for the preparation of their tenders.  Information supplied by t</w:t>
      </w:r>
      <w:r w:rsidR="00EF2961" w:rsidRPr="00665252">
        <w:rPr>
          <w:lang w:eastAsia="en-US"/>
        </w:rPr>
        <w:t>he Authority (whether in the PQQ</w:t>
      </w:r>
      <w:r w:rsidR="00655EC0" w:rsidRPr="00665252">
        <w:rPr>
          <w:lang w:eastAsia="en-US"/>
        </w:rPr>
        <w:t xml:space="preserve">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665252" w:rsidRDefault="00655EC0" w:rsidP="000F6C87">
      <w:pPr>
        <w:ind w:left="720" w:hanging="720"/>
        <w:jc w:val="both"/>
        <w:rPr>
          <w:lang w:eastAsia="en-US"/>
        </w:rPr>
      </w:pPr>
    </w:p>
    <w:p w:rsidR="00655EC0" w:rsidRPr="00665252" w:rsidRDefault="00D977D6" w:rsidP="000F6C87">
      <w:pPr>
        <w:ind w:left="720" w:hanging="720"/>
        <w:jc w:val="both"/>
        <w:rPr>
          <w:lang w:eastAsia="en-US"/>
        </w:rPr>
      </w:pPr>
      <w:r w:rsidRPr="00665252">
        <w:rPr>
          <w:lang w:eastAsia="en-US"/>
        </w:rPr>
        <w:t>7</w:t>
      </w:r>
      <w:r w:rsidR="00655EC0" w:rsidRPr="00665252">
        <w:rPr>
          <w:lang w:eastAsia="en-US"/>
        </w:rPr>
        <w:t>.</w:t>
      </w:r>
      <w:r w:rsidR="00655EC0" w:rsidRPr="00665252">
        <w:rPr>
          <w:lang w:eastAsia="en-US"/>
        </w:rPr>
        <w:tab/>
        <w:t>All information supplied by the Autho</w:t>
      </w:r>
      <w:r w:rsidR="00EF2961" w:rsidRPr="00665252">
        <w:rPr>
          <w:lang w:eastAsia="en-US"/>
        </w:rPr>
        <w:t>rity in connection with this PQQ</w:t>
      </w:r>
      <w:r w:rsidR="00655EC0" w:rsidRPr="00665252">
        <w:rPr>
          <w:lang w:eastAsia="en-US"/>
        </w:rPr>
        <w:t xml:space="preserve"> shall be regarded as confidential by the Bidder except that such information may be disclosed </w:t>
      </w:r>
      <w:r w:rsidR="00655EC0" w:rsidRPr="00665252">
        <w:rPr>
          <w:lang w:eastAsia="en-US"/>
        </w:rPr>
        <w:lastRenderedPageBreak/>
        <w:t>for the purpose of obtaining sureties and quotations necessary for the preparation of the tender.</w:t>
      </w:r>
    </w:p>
    <w:p w:rsidR="00655EC0" w:rsidRPr="00665252" w:rsidRDefault="00655EC0" w:rsidP="000F6C87">
      <w:pPr>
        <w:jc w:val="both"/>
        <w:rPr>
          <w:lang w:eastAsia="en-US"/>
        </w:rPr>
      </w:pPr>
    </w:p>
    <w:p w:rsidR="00655EC0" w:rsidRPr="00665252" w:rsidRDefault="00D977D6" w:rsidP="000F6C87">
      <w:pPr>
        <w:ind w:left="720" w:hanging="720"/>
        <w:jc w:val="both"/>
        <w:rPr>
          <w:lang w:eastAsia="en-US"/>
        </w:rPr>
      </w:pPr>
      <w:r w:rsidRPr="00665252">
        <w:rPr>
          <w:lang w:eastAsia="en-US"/>
        </w:rPr>
        <w:t>8</w:t>
      </w:r>
      <w:r w:rsidR="00655EC0" w:rsidRPr="00665252">
        <w:rPr>
          <w:lang w:eastAsia="en-US"/>
        </w:rPr>
        <w:t>.</w:t>
      </w:r>
      <w:r w:rsidR="00655EC0" w:rsidRPr="00665252">
        <w:rPr>
          <w:lang w:eastAsia="en-US"/>
        </w:rPr>
        <w:tab/>
        <w:t>No servant or agent of the Authority has authority to v</w:t>
      </w:r>
      <w:r w:rsidR="00EF2961" w:rsidRPr="00665252">
        <w:rPr>
          <w:lang w:eastAsia="en-US"/>
        </w:rPr>
        <w:t>ary or waive any part of the PQQ</w:t>
      </w:r>
      <w:r w:rsidR="00655EC0" w:rsidRPr="00665252">
        <w:rPr>
          <w:lang w:eastAsia="en-US"/>
        </w:rPr>
        <w:t xml:space="preserve"> other than the Authorised Officer nominated by the Authority who shall only do so in writing.</w:t>
      </w:r>
    </w:p>
    <w:p w:rsidR="00655EC0" w:rsidRPr="00665252" w:rsidRDefault="00655EC0" w:rsidP="000F6C87">
      <w:pPr>
        <w:ind w:left="720" w:hanging="720"/>
        <w:jc w:val="both"/>
        <w:rPr>
          <w:lang w:eastAsia="en-US"/>
        </w:rPr>
      </w:pPr>
    </w:p>
    <w:p w:rsidR="00655EC0" w:rsidRPr="00665252" w:rsidRDefault="00EF2961" w:rsidP="000F6C87">
      <w:pPr>
        <w:numPr>
          <w:ilvl w:val="0"/>
          <w:numId w:val="19"/>
        </w:numPr>
        <w:jc w:val="both"/>
        <w:rPr>
          <w:lang w:eastAsia="en-US"/>
        </w:rPr>
      </w:pPr>
      <w:r w:rsidRPr="00665252">
        <w:rPr>
          <w:lang w:eastAsia="en-US"/>
        </w:rPr>
        <w:t>The PQQ</w:t>
      </w:r>
      <w:r w:rsidR="00655EC0" w:rsidRPr="00665252">
        <w:rPr>
          <w:lang w:eastAsia="en-US"/>
        </w:rPr>
        <w:t xml:space="preserve"> submission web form questions and/or documents must be fully completed and be accompanied by all requested s</w:t>
      </w:r>
      <w:r w:rsidRPr="00665252">
        <w:rPr>
          <w:lang w:eastAsia="en-US"/>
        </w:rPr>
        <w:t>upporting information.  Any PQQ</w:t>
      </w:r>
      <w:r w:rsidR="00655EC0" w:rsidRPr="00665252">
        <w:rPr>
          <w:lang w:eastAsia="en-US"/>
        </w:rPr>
        <w:t xml:space="preserve"> containing gaps or </w:t>
      </w:r>
      <w:r w:rsidR="008E79BB" w:rsidRPr="00665252">
        <w:rPr>
          <w:lang w:eastAsia="en-US"/>
        </w:rPr>
        <w:t>omissions are</w:t>
      </w:r>
      <w:r w:rsidR="00655EC0" w:rsidRPr="00665252">
        <w:rPr>
          <w:lang w:eastAsia="en-US"/>
        </w:rPr>
        <w:t xml:space="preserve"> like</w:t>
      </w:r>
      <w:r w:rsidRPr="00665252">
        <w:rPr>
          <w:lang w:eastAsia="en-US"/>
        </w:rPr>
        <w:t xml:space="preserve">ly to be rejected.   Any PQQ </w:t>
      </w:r>
      <w:r w:rsidR="00655EC0" w:rsidRPr="00665252">
        <w:rPr>
          <w:lang w:eastAsia="en-US"/>
        </w:rPr>
        <w:t>containing information which has not been requested is likely to be rejected.  Bidders must comply with the limit to the number of words or</w:t>
      </w:r>
      <w:r w:rsidRPr="00665252">
        <w:rPr>
          <w:lang w:eastAsia="en-US"/>
        </w:rPr>
        <w:t xml:space="preserve"> pages stated within this PQQ</w:t>
      </w:r>
      <w:r w:rsidR="00655EC0" w:rsidRPr="00665252">
        <w:rPr>
          <w:lang w:eastAsia="en-US"/>
        </w:rPr>
        <w:t>.  Failure to do so may result in your tender being rejected.</w:t>
      </w:r>
    </w:p>
    <w:p w:rsidR="00655EC0" w:rsidRPr="00665252" w:rsidRDefault="00655EC0" w:rsidP="000F6C87">
      <w:pPr>
        <w:ind w:left="720" w:hanging="720"/>
        <w:jc w:val="both"/>
        <w:rPr>
          <w:lang w:eastAsia="en-US"/>
        </w:rPr>
      </w:pPr>
    </w:p>
    <w:p w:rsidR="00655EC0" w:rsidRPr="00665252" w:rsidRDefault="005B3446" w:rsidP="000F6C87">
      <w:pPr>
        <w:ind w:left="720" w:hanging="720"/>
        <w:jc w:val="both"/>
        <w:rPr>
          <w:lang w:eastAsia="en-US"/>
        </w:rPr>
      </w:pPr>
      <w:r w:rsidRPr="00665252">
        <w:rPr>
          <w:lang w:eastAsia="en-US"/>
        </w:rPr>
        <w:t>10</w:t>
      </w:r>
      <w:r w:rsidR="00EF2961" w:rsidRPr="00665252">
        <w:rPr>
          <w:lang w:eastAsia="en-US"/>
        </w:rPr>
        <w:t>.</w:t>
      </w:r>
      <w:r w:rsidR="00EF2961" w:rsidRPr="00665252">
        <w:rPr>
          <w:lang w:eastAsia="en-US"/>
        </w:rPr>
        <w:tab/>
        <w:t>PQQ</w:t>
      </w:r>
      <w:r w:rsidR="00655EC0" w:rsidRPr="00665252">
        <w:rPr>
          <w:lang w:eastAsia="en-US"/>
        </w:rPr>
        <w:t xml:space="preserve"> must be for the supply of the whole of the services upon the</w:t>
      </w:r>
      <w:r w:rsidR="00EF2961" w:rsidRPr="00665252">
        <w:rPr>
          <w:lang w:eastAsia="en-US"/>
        </w:rPr>
        <w:t xml:space="preserve"> terms of the Contract.  PQQ</w:t>
      </w:r>
      <w:r w:rsidR="00655EC0" w:rsidRPr="00665252">
        <w:rPr>
          <w:lang w:eastAsia="en-US"/>
        </w:rPr>
        <w:t xml:space="preserve">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665252" w:rsidRDefault="00655EC0" w:rsidP="000F6C87">
      <w:pPr>
        <w:ind w:left="720" w:hanging="720"/>
        <w:jc w:val="both"/>
        <w:rPr>
          <w:lang w:eastAsia="en-US"/>
        </w:rPr>
      </w:pPr>
    </w:p>
    <w:p w:rsidR="00655EC0" w:rsidRPr="00665252" w:rsidRDefault="005B3446" w:rsidP="000F6C87">
      <w:pPr>
        <w:ind w:left="720" w:hanging="720"/>
        <w:jc w:val="both"/>
        <w:rPr>
          <w:lang w:eastAsia="en-US"/>
        </w:rPr>
      </w:pPr>
      <w:r w:rsidRPr="00665252">
        <w:rPr>
          <w:lang w:eastAsia="en-US"/>
        </w:rPr>
        <w:t>11</w:t>
      </w:r>
      <w:r w:rsidR="00655EC0" w:rsidRPr="00665252">
        <w:rPr>
          <w:lang w:eastAsia="en-US"/>
        </w:rPr>
        <w:t>.</w:t>
      </w:r>
      <w:r w:rsidR="00655EC0" w:rsidRPr="00665252">
        <w:rPr>
          <w:lang w:eastAsia="en-US"/>
        </w:rPr>
        <w:tab/>
        <w:t>Any document requiring a signature must be signed:</w:t>
      </w:r>
    </w:p>
    <w:p w:rsidR="00655EC0" w:rsidRPr="00665252" w:rsidRDefault="00655EC0" w:rsidP="000F6C87">
      <w:pPr>
        <w:ind w:left="720" w:hanging="720"/>
        <w:jc w:val="both"/>
        <w:rPr>
          <w:lang w:eastAsia="en-US"/>
        </w:rPr>
      </w:pPr>
    </w:p>
    <w:p w:rsidR="00655EC0" w:rsidRPr="00665252" w:rsidRDefault="00655EC0" w:rsidP="000F6C87">
      <w:pPr>
        <w:ind w:left="720" w:hanging="720"/>
        <w:jc w:val="both"/>
        <w:rPr>
          <w:lang w:eastAsia="en-US"/>
        </w:rPr>
      </w:pPr>
      <w:r w:rsidRPr="00665252">
        <w:rPr>
          <w:lang w:eastAsia="en-US"/>
        </w:rPr>
        <w:tab/>
        <w:t>(i)</w:t>
      </w:r>
      <w:r w:rsidRPr="00665252">
        <w:rPr>
          <w:lang w:eastAsia="en-US"/>
        </w:rPr>
        <w:tab/>
        <w:t>where the Bidder is an individual by the individual;</w:t>
      </w:r>
    </w:p>
    <w:p w:rsidR="00655EC0" w:rsidRPr="00665252" w:rsidRDefault="00655EC0" w:rsidP="000F6C87">
      <w:pPr>
        <w:ind w:left="720" w:hanging="720"/>
        <w:jc w:val="both"/>
        <w:rPr>
          <w:szCs w:val="20"/>
          <w:lang w:eastAsia="en-US"/>
        </w:rPr>
      </w:pPr>
    </w:p>
    <w:p w:rsidR="00655EC0" w:rsidRPr="00665252" w:rsidRDefault="00655EC0" w:rsidP="000F6C87">
      <w:pPr>
        <w:ind w:left="720" w:hanging="720"/>
        <w:jc w:val="both"/>
        <w:rPr>
          <w:lang w:eastAsia="en-US"/>
        </w:rPr>
      </w:pPr>
      <w:r w:rsidRPr="00665252">
        <w:rPr>
          <w:szCs w:val="20"/>
          <w:lang w:eastAsia="en-US"/>
        </w:rPr>
        <w:tab/>
        <w:t>(ii)</w:t>
      </w:r>
      <w:r w:rsidRPr="00665252">
        <w:rPr>
          <w:szCs w:val="20"/>
          <w:lang w:eastAsia="en-US"/>
        </w:rPr>
        <w:tab/>
      </w:r>
      <w:r w:rsidRPr="00665252">
        <w:rPr>
          <w:lang w:eastAsia="en-US"/>
        </w:rPr>
        <w:t xml:space="preserve">where the Bidder is a partnership, by two duly authorised </w:t>
      </w:r>
    </w:p>
    <w:p w:rsidR="00655EC0" w:rsidRPr="00665252" w:rsidRDefault="00655EC0" w:rsidP="000F6C87">
      <w:pPr>
        <w:ind w:left="720" w:hanging="720"/>
        <w:jc w:val="both"/>
        <w:rPr>
          <w:lang w:eastAsia="en-US"/>
        </w:rPr>
      </w:pPr>
      <w:r w:rsidRPr="00665252">
        <w:rPr>
          <w:lang w:eastAsia="en-US"/>
        </w:rPr>
        <w:tab/>
      </w:r>
      <w:r w:rsidRPr="00665252">
        <w:rPr>
          <w:lang w:eastAsia="en-US"/>
        </w:rPr>
        <w:tab/>
      </w:r>
      <w:r w:rsidR="00FB695D" w:rsidRPr="00665252">
        <w:rPr>
          <w:lang w:eastAsia="en-US"/>
        </w:rPr>
        <w:t>Partners</w:t>
      </w:r>
      <w:r w:rsidRPr="00665252">
        <w:rPr>
          <w:lang w:eastAsia="en-US"/>
        </w:rPr>
        <w:t>;</w:t>
      </w:r>
    </w:p>
    <w:p w:rsidR="00655EC0" w:rsidRPr="00665252" w:rsidRDefault="00655EC0" w:rsidP="000F6C87">
      <w:pPr>
        <w:ind w:left="720" w:hanging="720"/>
        <w:jc w:val="both"/>
        <w:rPr>
          <w:lang w:eastAsia="en-US"/>
        </w:rPr>
      </w:pPr>
    </w:p>
    <w:p w:rsidR="00655EC0" w:rsidRPr="00665252" w:rsidRDefault="00655EC0" w:rsidP="000F6C87">
      <w:pPr>
        <w:numPr>
          <w:ilvl w:val="0"/>
          <w:numId w:val="20"/>
        </w:numPr>
        <w:jc w:val="both"/>
        <w:rPr>
          <w:lang w:eastAsia="en-US"/>
        </w:rPr>
      </w:pPr>
      <w:r w:rsidRPr="00665252">
        <w:rPr>
          <w:lang w:eastAsia="en-US"/>
        </w:rPr>
        <w:t>where the Bidder is a company, by two Directors or by a Director and the Secretary of the Company, such persons being duly authorised for that purpose.</w:t>
      </w:r>
    </w:p>
    <w:p w:rsidR="00655EC0" w:rsidRPr="00665252" w:rsidRDefault="00655EC0" w:rsidP="000F6C87">
      <w:pPr>
        <w:ind w:left="720" w:hanging="720"/>
        <w:jc w:val="both"/>
        <w:rPr>
          <w:lang w:eastAsia="en-US"/>
        </w:rPr>
      </w:pPr>
    </w:p>
    <w:p w:rsidR="00655EC0" w:rsidRPr="00665252" w:rsidRDefault="005B3446" w:rsidP="000F6C87">
      <w:pPr>
        <w:ind w:left="720" w:hanging="720"/>
        <w:jc w:val="both"/>
        <w:rPr>
          <w:lang w:eastAsia="en-US"/>
        </w:rPr>
      </w:pPr>
      <w:r w:rsidRPr="00665252">
        <w:rPr>
          <w:lang w:eastAsia="en-US"/>
        </w:rPr>
        <w:t>12</w:t>
      </w:r>
      <w:r w:rsidR="00655EC0" w:rsidRPr="00665252">
        <w:rPr>
          <w:lang w:eastAsia="en-US"/>
        </w:rPr>
        <w:t>.</w:t>
      </w:r>
      <w:r w:rsidR="00655EC0" w:rsidRPr="00665252">
        <w:rPr>
          <w:lang w:eastAsia="en-US"/>
        </w:rPr>
        <w:tab/>
        <w:t>In addition to any more specific obligations imposed by the terms of the Contract, Bidders must satisfy the Authority of their ability to provide the service set out in the Contract.</w:t>
      </w:r>
    </w:p>
    <w:p w:rsidR="00655EC0" w:rsidRPr="00665252" w:rsidRDefault="00655EC0" w:rsidP="000F6C87">
      <w:pPr>
        <w:ind w:left="720" w:hanging="720"/>
        <w:jc w:val="both"/>
        <w:rPr>
          <w:lang w:eastAsia="en-US"/>
        </w:rPr>
      </w:pPr>
    </w:p>
    <w:p w:rsidR="00655EC0" w:rsidRPr="00665252" w:rsidRDefault="005B3446" w:rsidP="000F6C87">
      <w:pPr>
        <w:ind w:left="720" w:hanging="720"/>
        <w:jc w:val="both"/>
        <w:rPr>
          <w:lang w:eastAsia="en-US"/>
        </w:rPr>
      </w:pPr>
      <w:r w:rsidRPr="00665252">
        <w:rPr>
          <w:lang w:eastAsia="en-US"/>
        </w:rPr>
        <w:t>13</w:t>
      </w:r>
      <w:r w:rsidR="00EF2961" w:rsidRPr="00665252">
        <w:rPr>
          <w:lang w:eastAsia="en-US"/>
        </w:rPr>
        <w:t>.</w:t>
      </w:r>
      <w:r w:rsidR="00EF2961" w:rsidRPr="00665252">
        <w:rPr>
          <w:lang w:eastAsia="en-US"/>
        </w:rPr>
        <w:tab/>
        <w:t>Every PQQ</w:t>
      </w:r>
      <w:r w:rsidR="00655EC0" w:rsidRPr="00665252">
        <w:rPr>
          <w:lang w:eastAsia="en-US"/>
        </w:rPr>
        <w:t xml:space="preserve">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665252" w:rsidRDefault="00655EC0" w:rsidP="000F6C87">
      <w:pPr>
        <w:ind w:left="720" w:hanging="720"/>
        <w:jc w:val="both"/>
        <w:rPr>
          <w:lang w:eastAsia="en-US"/>
        </w:rPr>
      </w:pPr>
    </w:p>
    <w:p w:rsidR="00655EC0" w:rsidRPr="00665252" w:rsidRDefault="005B3446" w:rsidP="000F6C87">
      <w:pPr>
        <w:ind w:left="720" w:hanging="720"/>
        <w:jc w:val="both"/>
        <w:rPr>
          <w:lang w:eastAsia="en-US"/>
        </w:rPr>
      </w:pPr>
      <w:r w:rsidRPr="00665252">
        <w:rPr>
          <w:lang w:eastAsia="en-US"/>
        </w:rPr>
        <w:t>14</w:t>
      </w:r>
      <w:r w:rsidR="00EF2961" w:rsidRPr="00665252">
        <w:rPr>
          <w:lang w:eastAsia="en-US"/>
        </w:rPr>
        <w:t>.</w:t>
      </w:r>
      <w:r w:rsidR="00EF2961" w:rsidRPr="00665252">
        <w:rPr>
          <w:lang w:eastAsia="en-US"/>
        </w:rPr>
        <w:tab/>
        <w:t>Your PQQ</w:t>
      </w:r>
      <w:r w:rsidR="00655EC0" w:rsidRPr="00665252">
        <w:rPr>
          <w:lang w:eastAsia="en-US"/>
        </w:rPr>
        <w:t xml:space="preserve"> submission must be submitted to the Authority electronicall</w:t>
      </w:r>
      <w:r w:rsidR="00EF2961" w:rsidRPr="00665252">
        <w:rPr>
          <w:lang w:eastAsia="en-US"/>
        </w:rPr>
        <w:t>y by publishing through this PQQ</w:t>
      </w:r>
      <w:r w:rsidR="00655EC0" w:rsidRPr="00665252">
        <w:rPr>
          <w:lang w:eastAsia="en-US"/>
        </w:rPr>
        <w:t xml:space="preserve"> </w:t>
      </w:r>
      <w:r w:rsidR="0030265A" w:rsidRPr="0030265A">
        <w:rPr>
          <w:lang w:eastAsia="en-US"/>
        </w:rPr>
        <w:t>(0206) Essex Independent Living Developer Provider Framework PQQ</w:t>
      </w:r>
      <w:r w:rsidR="0030265A">
        <w:rPr>
          <w:lang w:eastAsia="en-US"/>
        </w:rPr>
        <w:t xml:space="preserve"> (</w:t>
      </w:r>
      <w:r w:rsidR="0030265A" w:rsidRPr="0030265A">
        <w:rPr>
          <w:lang w:eastAsia="en-US"/>
        </w:rPr>
        <w:t>Doc711333355)</w:t>
      </w:r>
      <w:r w:rsidR="0030265A">
        <w:t xml:space="preserve"> </w:t>
      </w:r>
      <w:r w:rsidR="0087746C">
        <w:rPr>
          <w:lang w:eastAsia="en-US"/>
        </w:rPr>
        <w:t xml:space="preserve"> </w:t>
      </w:r>
      <w:r w:rsidR="00655EC0" w:rsidRPr="00665252">
        <w:rPr>
          <w:lang w:eastAsia="en-US"/>
        </w:rPr>
        <w:t xml:space="preserve">at </w:t>
      </w:r>
      <w:r w:rsidR="00655EC0" w:rsidRPr="00665252">
        <w:rPr>
          <w:b/>
          <w:color w:val="008080"/>
          <w:u w:val="single"/>
          <w:lang w:eastAsia="en-US"/>
        </w:rPr>
        <w:t>http://ecc.supplier.ariba.com</w:t>
      </w:r>
      <w:r w:rsidR="00655EC0" w:rsidRPr="00665252">
        <w:rPr>
          <w:u w:val="single"/>
          <w:lang w:eastAsia="en-US"/>
        </w:rPr>
        <w:t xml:space="preserve"> </w:t>
      </w:r>
      <w:r w:rsidR="00655EC0" w:rsidRPr="00665252">
        <w:rPr>
          <w:lang w:eastAsia="en-US"/>
        </w:rPr>
        <w:t>:-</w:t>
      </w:r>
    </w:p>
    <w:p w:rsidR="00655EC0" w:rsidRPr="00665252" w:rsidRDefault="00655EC0" w:rsidP="000F6C87">
      <w:pPr>
        <w:ind w:left="450"/>
        <w:jc w:val="both"/>
        <w:rPr>
          <w:lang w:eastAsia="en-US"/>
        </w:rPr>
      </w:pPr>
    </w:p>
    <w:p w:rsidR="00655EC0" w:rsidRPr="00665252" w:rsidRDefault="00655EC0" w:rsidP="000F6C87">
      <w:pPr>
        <w:ind w:left="720" w:hanging="720"/>
        <w:jc w:val="both"/>
        <w:rPr>
          <w:color w:val="FF0000"/>
          <w:lang w:eastAsia="en-US"/>
        </w:rPr>
      </w:pPr>
      <w:r w:rsidRPr="00665252">
        <w:rPr>
          <w:lang w:eastAsia="en-US"/>
        </w:rPr>
        <w:tab/>
        <w:t xml:space="preserve">not later </w:t>
      </w:r>
      <w:r w:rsidRPr="00B37C71">
        <w:rPr>
          <w:lang w:eastAsia="en-US"/>
        </w:rPr>
        <w:t xml:space="preserve">than </w:t>
      </w:r>
      <w:r w:rsidR="00B37C71" w:rsidRPr="00B37C71">
        <w:rPr>
          <w:lang w:eastAsia="en-US"/>
        </w:rPr>
        <w:t>12:00 noon</w:t>
      </w:r>
      <w:r w:rsidRPr="00B37C71">
        <w:rPr>
          <w:lang w:eastAsia="en-US"/>
        </w:rPr>
        <w:t xml:space="preserve"> </w:t>
      </w:r>
      <w:r w:rsidRPr="00665252">
        <w:rPr>
          <w:lang w:eastAsia="en-US"/>
        </w:rPr>
        <w:t>on</w:t>
      </w:r>
      <w:r w:rsidR="00FB5A2F">
        <w:rPr>
          <w:lang w:eastAsia="en-US"/>
        </w:rPr>
        <w:t xml:space="preserve"> </w:t>
      </w:r>
      <w:r w:rsidR="0030265A">
        <w:rPr>
          <w:lang w:eastAsia="en-US"/>
        </w:rPr>
        <w:t>1</w:t>
      </w:r>
      <w:r w:rsidR="0030265A" w:rsidRPr="0030265A">
        <w:rPr>
          <w:vertAlign w:val="superscript"/>
          <w:lang w:eastAsia="en-US"/>
        </w:rPr>
        <w:t>st</w:t>
      </w:r>
      <w:r w:rsidR="0030265A">
        <w:rPr>
          <w:lang w:eastAsia="en-US"/>
        </w:rPr>
        <w:t xml:space="preserve"> September 2016.</w:t>
      </w:r>
    </w:p>
    <w:p w:rsidR="00655EC0" w:rsidRPr="00665252" w:rsidRDefault="00655EC0" w:rsidP="000F6C87">
      <w:pPr>
        <w:ind w:left="720" w:hanging="720"/>
        <w:jc w:val="both"/>
        <w:rPr>
          <w:color w:val="FF0000"/>
          <w:lang w:eastAsia="en-US"/>
        </w:rPr>
      </w:pPr>
    </w:p>
    <w:p w:rsidR="00655EC0" w:rsidRDefault="00655EC0" w:rsidP="000F6C87">
      <w:pPr>
        <w:ind w:left="720" w:hanging="720"/>
        <w:jc w:val="both"/>
        <w:rPr>
          <w:lang w:eastAsia="en-US"/>
        </w:rPr>
      </w:pPr>
      <w:r w:rsidRPr="00665252">
        <w:rPr>
          <w:color w:val="FF0000"/>
          <w:lang w:eastAsia="en-US"/>
        </w:rPr>
        <w:tab/>
      </w:r>
      <w:r w:rsidRPr="00665252">
        <w:rPr>
          <w:lang w:eastAsia="en-US"/>
        </w:rPr>
        <w:t>It’s is the Authority’s policy to reject any tenders received after the above deadline.</w:t>
      </w:r>
    </w:p>
    <w:p w:rsidR="00695EBC" w:rsidRDefault="00695EBC" w:rsidP="000F6C87">
      <w:pPr>
        <w:ind w:left="720" w:hanging="720"/>
        <w:jc w:val="both"/>
        <w:rPr>
          <w:lang w:eastAsia="en-US"/>
        </w:rPr>
      </w:pPr>
    </w:p>
    <w:p w:rsidR="00695EBC" w:rsidRPr="00665252" w:rsidRDefault="00695EBC" w:rsidP="000F6C87">
      <w:pPr>
        <w:ind w:left="720" w:hanging="720"/>
        <w:jc w:val="both"/>
        <w:rPr>
          <w:lang w:eastAsia="en-US"/>
        </w:rPr>
      </w:pPr>
      <w:r>
        <w:rPr>
          <w:lang w:eastAsia="en-US"/>
        </w:rPr>
        <w:t>15.</w:t>
      </w:r>
      <w:r>
        <w:rPr>
          <w:lang w:eastAsia="en-US"/>
        </w:rPr>
        <w:tab/>
        <w:t>Bidders should pay regard to the weighting allocated to each question and the maximum submission size. Q</w:t>
      </w:r>
      <w:r>
        <w:t xml:space="preserve">uestions that require an attachment as an answer specify within them a maximum submission size. A page equals one side of A4 with text in Arial 12 point. Where a bidder submits a response that is larger than the </w:t>
      </w:r>
      <w:r>
        <w:lastRenderedPageBreak/>
        <w:t>maximum their response will be read up to the maximum limit and the remainder not read and will be discounted.</w:t>
      </w:r>
    </w:p>
    <w:p w:rsidR="00655EC0" w:rsidRPr="00665252" w:rsidRDefault="00655EC0" w:rsidP="000F6C87">
      <w:pPr>
        <w:ind w:left="720" w:hanging="720"/>
        <w:jc w:val="both"/>
        <w:rPr>
          <w:color w:val="FF0000"/>
          <w:lang w:eastAsia="en-US"/>
        </w:rPr>
      </w:pPr>
    </w:p>
    <w:p w:rsidR="00655EC0" w:rsidRPr="00665252" w:rsidRDefault="00695EBC" w:rsidP="000F6C87">
      <w:pPr>
        <w:ind w:left="720" w:hanging="720"/>
        <w:jc w:val="both"/>
        <w:rPr>
          <w:lang w:eastAsia="en-US"/>
        </w:rPr>
      </w:pPr>
      <w:r>
        <w:rPr>
          <w:lang w:eastAsia="en-US"/>
        </w:rPr>
        <w:t>16</w:t>
      </w:r>
      <w:r w:rsidR="00655EC0" w:rsidRPr="00665252">
        <w:rPr>
          <w:lang w:eastAsia="en-US"/>
        </w:rPr>
        <w:t>.</w:t>
      </w:r>
      <w:r w:rsidR="00655EC0" w:rsidRPr="00665252">
        <w:rPr>
          <w:lang w:eastAsia="en-US"/>
        </w:rPr>
        <w:tab/>
        <w:t>Do not attempt to edit your response after the deadline has passed.  Should you do this your tender will be considered late and will be rejected.</w:t>
      </w:r>
    </w:p>
    <w:p w:rsidR="00655EC0" w:rsidRPr="00665252" w:rsidRDefault="00655EC0" w:rsidP="000F6C87">
      <w:pPr>
        <w:ind w:left="720" w:hanging="720"/>
        <w:jc w:val="both"/>
        <w:rPr>
          <w:lang w:eastAsia="en-US"/>
        </w:rPr>
      </w:pPr>
      <w:r w:rsidRPr="00665252">
        <w:rPr>
          <w:lang w:eastAsia="en-US"/>
        </w:rPr>
        <w:tab/>
      </w:r>
    </w:p>
    <w:p w:rsidR="00655EC0" w:rsidRPr="00665252" w:rsidRDefault="00695EBC" w:rsidP="000F6C87">
      <w:pPr>
        <w:ind w:left="720" w:hanging="720"/>
        <w:jc w:val="both"/>
        <w:rPr>
          <w:lang w:eastAsia="en-US"/>
        </w:rPr>
      </w:pPr>
      <w:r>
        <w:rPr>
          <w:lang w:eastAsia="en-US"/>
        </w:rPr>
        <w:t>17</w:t>
      </w:r>
      <w:r w:rsidR="00655EC0" w:rsidRPr="00665252">
        <w:rPr>
          <w:lang w:eastAsia="en-US"/>
        </w:rPr>
        <w:t>.</w:t>
      </w:r>
      <w:r w:rsidR="00655EC0" w:rsidRPr="00665252">
        <w:rPr>
          <w:lang w:eastAsia="en-US"/>
        </w:rPr>
        <w:tab/>
        <w:t>The Authority will not consider individual requests for extension</w:t>
      </w:r>
      <w:r w:rsidR="00D977D6" w:rsidRPr="00665252">
        <w:rPr>
          <w:lang w:eastAsia="en-US"/>
        </w:rPr>
        <w:t>s</w:t>
      </w:r>
      <w:r w:rsidR="00655EC0" w:rsidRPr="00665252">
        <w:rPr>
          <w:lang w:eastAsia="en-US"/>
        </w:rPr>
        <w:t xml:space="preserve"> to the closing date and the time s</w:t>
      </w:r>
      <w:r w:rsidR="00D977D6" w:rsidRPr="00665252">
        <w:rPr>
          <w:lang w:eastAsia="en-US"/>
        </w:rPr>
        <w:t xml:space="preserve">pecified in </w:t>
      </w:r>
      <w:r w:rsidR="00655EC0" w:rsidRPr="00665252">
        <w:rPr>
          <w:lang w:eastAsia="en-US"/>
        </w:rPr>
        <w:t>above but may at its own absolute discretion extend generally the closing date and time. Where the Authority extends that deadline it will notify all Bidders in writing via the alerts generated from the Ariba system.</w:t>
      </w:r>
    </w:p>
    <w:p w:rsidR="00655EC0" w:rsidRPr="00665252" w:rsidRDefault="00655EC0" w:rsidP="000F6C87">
      <w:pPr>
        <w:ind w:left="720" w:hanging="720"/>
        <w:jc w:val="both"/>
        <w:rPr>
          <w:lang w:eastAsia="en-US"/>
        </w:rPr>
      </w:pPr>
    </w:p>
    <w:p w:rsidR="00655EC0" w:rsidRPr="00665252" w:rsidRDefault="00695EBC" w:rsidP="000F6C87">
      <w:pPr>
        <w:ind w:left="720" w:hanging="720"/>
        <w:jc w:val="both"/>
        <w:rPr>
          <w:lang w:eastAsia="en-US"/>
        </w:rPr>
      </w:pPr>
      <w:r>
        <w:rPr>
          <w:lang w:eastAsia="en-US"/>
        </w:rPr>
        <w:t>18</w:t>
      </w:r>
      <w:r w:rsidR="00655EC0" w:rsidRPr="00665252">
        <w:rPr>
          <w:lang w:eastAsia="en-US"/>
        </w:rPr>
        <w:t>.</w:t>
      </w:r>
      <w:r w:rsidR="00655EC0" w:rsidRPr="00665252">
        <w:rPr>
          <w:lang w:eastAsia="en-US"/>
        </w:rPr>
        <w:tab/>
        <w:t>The Bidde</w:t>
      </w:r>
      <w:r w:rsidR="00EF2961" w:rsidRPr="00665252">
        <w:rPr>
          <w:lang w:eastAsia="en-US"/>
        </w:rPr>
        <w:t>r is expected to keep his PQQ</w:t>
      </w:r>
      <w:r w:rsidR="00655EC0" w:rsidRPr="00665252">
        <w:rPr>
          <w:lang w:eastAsia="en-US"/>
        </w:rPr>
        <w:t xml:space="preserve"> valid for acceptance for a period of 90 days from the cl</w:t>
      </w:r>
      <w:r w:rsidR="00D977D6" w:rsidRPr="00665252">
        <w:rPr>
          <w:lang w:eastAsia="en-US"/>
        </w:rPr>
        <w:t xml:space="preserve">osing date specified </w:t>
      </w:r>
      <w:r w:rsidR="00655EC0" w:rsidRPr="00665252">
        <w:rPr>
          <w:lang w:eastAsia="en-US"/>
        </w:rPr>
        <w:t>above.</w:t>
      </w:r>
    </w:p>
    <w:p w:rsidR="00655EC0" w:rsidRPr="00665252" w:rsidRDefault="00655EC0" w:rsidP="000F6C87">
      <w:pPr>
        <w:ind w:left="720" w:hanging="720"/>
        <w:jc w:val="both"/>
        <w:rPr>
          <w:lang w:eastAsia="en-US"/>
        </w:rPr>
      </w:pPr>
    </w:p>
    <w:p w:rsidR="00655EC0" w:rsidRPr="00665252" w:rsidRDefault="00695EBC" w:rsidP="000F6C87">
      <w:pPr>
        <w:jc w:val="both"/>
        <w:rPr>
          <w:lang w:eastAsia="en-US"/>
        </w:rPr>
      </w:pPr>
      <w:r>
        <w:rPr>
          <w:lang w:eastAsia="en-US"/>
        </w:rPr>
        <w:t>19</w:t>
      </w:r>
      <w:r w:rsidR="00655EC0" w:rsidRPr="00665252">
        <w:rPr>
          <w:lang w:eastAsia="en-US"/>
        </w:rPr>
        <w:t>.</w:t>
      </w:r>
      <w:r w:rsidR="00655EC0" w:rsidRPr="00665252">
        <w:rPr>
          <w:lang w:eastAsia="en-US"/>
        </w:rPr>
        <w:tab/>
        <w:t>The Authority is not bound to accept the lowest or any tender.</w:t>
      </w:r>
    </w:p>
    <w:p w:rsidR="00EF2961" w:rsidRPr="00665252" w:rsidRDefault="00EF2961" w:rsidP="000F6C87">
      <w:pPr>
        <w:jc w:val="both"/>
        <w:rPr>
          <w:lang w:eastAsia="en-US"/>
        </w:rPr>
      </w:pPr>
    </w:p>
    <w:p w:rsidR="00655EC0" w:rsidRPr="00665252" w:rsidRDefault="00655EC0" w:rsidP="000F6C87">
      <w:pPr>
        <w:ind w:left="720"/>
        <w:jc w:val="both"/>
        <w:rPr>
          <w:lang w:eastAsia="en-US"/>
        </w:rPr>
      </w:pPr>
      <w:r w:rsidRPr="00665252">
        <w:rPr>
          <w:lang w:eastAsia="en-US"/>
        </w:rPr>
        <w:t>The tender process will be conducted to ensure that tenders are evaluated fairly to ascertain the most economically advantageous tender.  Your respo</w:t>
      </w:r>
      <w:r w:rsidR="00EF4492" w:rsidRPr="00665252">
        <w:rPr>
          <w:lang w:eastAsia="en-US"/>
        </w:rPr>
        <w:t xml:space="preserve">nse to this PQQ </w:t>
      </w:r>
      <w:r w:rsidRPr="00665252">
        <w:rPr>
          <w:lang w:eastAsia="en-US"/>
        </w:rPr>
        <w:t xml:space="preserve">will be evaluated as per the </w:t>
      </w:r>
      <w:r w:rsidR="00D977D6" w:rsidRPr="00665252">
        <w:rPr>
          <w:lang w:eastAsia="en-US"/>
        </w:rPr>
        <w:t xml:space="preserve">published </w:t>
      </w:r>
      <w:r w:rsidRPr="00665252">
        <w:rPr>
          <w:lang w:eastAsia="en-US"/>
        </w:rPr>
        <w:t>evaluation cri</w:t>
      </w:r>
      <w:r w:rsidR="00D977D6" w:rsidRPr="00665252">
        <w:rPr>
          <w:lang w:eastAsia="en-US"/>
        </w:rPr>
        <w:t>teria</w:t>
      </w:r>
      <w:r w:rsidRPr="00665252">
        <w:rPr>
          <w:lang w:eastAsia="en-US"/>
        </w:rPr>
        <w:t xml:space="preserve">. </w:t>
      </w:r>
      <w:r w:rsidRPr="00665252">
        <w:rPr>
          <w:lang w:eastAsia="en-US"/>
        </w:rPr>
        <w:tab/>
      </w:r>
    </w:p>
    <w:p w:rsidR="00655EC0" w:rsidRPr="00665252" w:rsidRDefault="00655EC0" w:rsidP="000F6C87">
      <w:pPr>
        <w:jc w:val="both"/>
        <w:rPr>
          <w:lang w:eastAsia="en-US"/>
        </w:rPr>
      </w:pPr>
    </w:p>
    <w:p w:rsidR="00D977D6" w:rsidRPr="00665252" w:rsidRDefault="00695EBC" w:rsidP="004C6328">
      <w:pPr>
        <w:ind w:left="720" w:hanging="720"/>
        <w:jc w:val="both"/>
      </w:pPr>
      <w:r w:rsidRPr="00B37C71">
        <w:rPr>
          <w:iCs/>
          <w:lang w:eastAsia="en-US"/>
        </w:rPr>
        <w:t>20.</w:t>
      </w:r>
      <w:r w:rsidRPr="00B37C71">
        <w:rPr>
          <w:iCs/>
          <w:lang w:eastAsia="en-US"/>
        </w:rPr>
        <w:tab/>
      </w:r>
      <w:r w:rsidR="00D977D6" w:rsidRPr="00665252">
        <w:t>Please find below the details regarding the weightings for the evaluation of this requirement:</w:t>
      </w:r>
    </w:p>
    <w:p w:rsidR="00C7304F" w:rsidRDefault="00C7304F">
      <w:pPr>
        <w:rPr>
          <w:b/>
          <w:bCs/>
          <w:lang w:eastAsia="en-US"/>
        </w:rPr>
      </w:pPr>
    </w:p>
    <w:tbl>
      <w:tblPr>
        <w:tblStyle w:val="TableGrid"/>
        <w:tblW w:w="0" w:type="auto"/>
        <w:tblLayout w:type="fixed"/>
        <w:tblLook w:val="04A0" w:firstRow="1" w:lastRow="0" w:firstColumn="1" w:lastColumn="0" w:noHBand="0" w:noVBand="1"/>
      </w:tblPr>
      <w:tblGrid>
        <w:gridCol w:w="1098"/>
        <w:gridCol w:w="5670"/>
        <w:gridCol w:w="1260"/>
        <w:gridCol w:w="1215"/>
      </w:tblGrid>
      <w:tr w:rsidR="004C6328" w:rsidRPr="004C6328" w:rsidTr="004C6328">
        <w:trPr>
          <w:trHeight w:val="287"/>
        </w:trPr>
        <w:tc>
          <w:tcPr>
            <w:tcW w:w="1098" w:type="dxa"/>
            <w:hideMark/>
          </w:tcPr>
          <w:p w:rsidR="004C6328" w:rsidRPr="004C6328" w:rsidRDefault="004C6328" w:rsidP="004C6328">
            <w:pPr>
              <w:rPr>
                <w:b/>
                <w:bCs/>
                <w:color w:val="000000"/>
                <w:sz w:val="20"/>
                <w:szCs w:val="20"/>
              </w:rPr>
            </w:pPr>
            <w:r w:rsidRPr="004C6328">
              <w:rPr>
                <w:b/>
                <w:bCs/>
                <w:color w:val="000000"/>
                <w:sz w:val="20"/>
                <w:szCs w:val="20"/>
              </w:rPr>
              <w:t>Question No</w:t>
            </w:r>
          </w:p>
        </w:tc>
        <w:tc>
          <w:tcPr>
            <w:tcW w:w="5670" w:type="dxa"/>
            <w:hideMark/>
          </w:tcPr>
          <w:p w:rsidR="004C6328" w:rsidRPr="004C6328" w:rsidRDefault="004C6328" w:rsidP="004C6328">
            <w:pPr>
              <w:rPr>
                <w:b/>
                <w:bCs/>
                <w:color w:val="000000"/>
                <w:sz w:val="20"/>
                <w:szCs w:val="20"/>
              </w:rPr>
            </w:pPr>
            <w:r w:rsidRPr="004C6328">
              <w:rPr>
                <w:b/>
                <w:bCs/>
                <w:color w:val="000000"/>
                <w:sz w:val="20"/>
                <w:szCs w:val="20"/>
              </w:rPr>
              <w:t>Question</w:t>
            </w:r>
          </w:p>
        </w:tc>
        <w:tc>
          <w:tcPr>
            <w:tcW w:w="1260" w:type="dxa"/>
            <w:hideMark/>
          </w:tcPr>
          <w:p w:rsidR="004C6328" w:rsidRPr="004C6328" w:rsidRDefault="004C6328" w:rsidP="004C6328">
            <w:pPr>
              <w:rPr>
                <w:b/>
                <w:bCs/>
                <w:color w:val="000000"/>
                <w:sz w:val="20"/>
                <w:szCs w:val="20"/>
              </w:rPr>
            </w:pPr>
            <w:r w:rsidRPr="004C6328">
              <w:rPr>
                <w:b/>
                <w:bCs/>
                <w:color w:val="000000"/>
                <w:sz w:val="20"/>
                <w:szCs w:val="20"/>
              </w:rPr>
              <w:t xml:space="preserve">Section Weighting </w:t>
            </w:r>
          </w:p>
        </w:tc>
        <w:tc>
          <w:tcPr>
            <w:tcW w:w="1215" w:type="dxa"/>
            <w:hideMark/>
          </w:tcPr>
          <w:p w:rsidR="004C6328" w:rsidRPr="004C6328" w:rsidRDefault="004C6328" w:rsidP="004C6328">
            <w:pPr>
              <w:rPr>
                <w:b/>
                <w:bCs/>
                <w:color w:val="000000"/>
                <w:sz w:val="20"/>
                <w:szCs w:val="20"/>
              </w:rPr>
            </w:pPr>
            <w:r w:rsidRPr="004C6328">
              <w:rPr>
                <w:b/>
                <w:bCs/>
                <w:color w:val="000000"/>
                <w:sz w:val="20"/>
                <w:szCs w:val="20"/>
              </w:rPr>
              <w:t xml:space="preserve">Question Weighting </w:t>
            </w:r>
          </w:p>
        </w:tc>
      </w:tr>
      <w:tr w:rsidR="004C6328" w:rsidRPr="004C6328" w:rsidTr="004C6328">
        <w:trPr>
          <w:trHeight w:val="269"/>
        </w:trPr>
        <w:tc>
          <w:tcPr>
            <w:tcW w:w="1098" w:type="dxa"/>
            <w:hideMark/>
          </w:tcPr>
          <w:p w:rsidR="004C6328" w:rsidRPr="004C6328" w:rsidRDefault="004C6328" w:rsidP="004C6328">
            <w:pPr>
              <w:rPr>
                <w:b/>
                <w:bCs/>
                <w:sz w:val="20"/>
                <w:szCs w:val="20"/>
              </w:rPr>
            </w:pPr>
            <w:r w:rsidRPr="004C6328">
              <w:rPr>
                <w:b/>
                <w:bCs/>
                <w:sz w:val="20"/>
                <w:szCs w:val="20"/>
              </w:rPr>
              <w:t>9</w:t>
            </w:r>
          </w:p>
        </w:tc>
        <w:tc>
          <w:tcPr>
            <w:tcW w:w="5670" w:type="dxa"/>
            <w:hideMark/>
          </w:tcPr>
          <w:p w:rsidR="004C6328" w:rsidRPr="004C6328" w:rsidRDefault="004C6328" w:rsidP="004C6328">
            <w:pPr>
              <w:rPr>
                <w:b/>
                <w:bCs/>
                <w:sz w:val="20"/>
                <w:szCs w:val="20"/>
              </w:rPr>
            </w:pPr>
            <w:r w:rsidRPr="004C6328">
              <w:rPr>
                <w:b/>
                <w:bCs/>
                <w:sz w:val="20"/>
                <w:szCs w:val="20"/>
              </w:rPr>
              <w:t>Technical &amp; Professional Ability - All elements</w:t>
            </w:r>
          </w:p>
        </w:tc>
        <w:tc>
          <w:tcPr>
            <w:tcW w:w="1260" w:type="dxa"/>
            <w:hideMark/>
          </w:tcPr>
          <w:p w:rsidR="004C6328" w:rsidRPr="004C6328" w:rsidRDefault="00671E7B" w:rsidP="004C6328">
            <w:pPr>
              <w:rPr>
                <w:b/>
                <w:bCs/>
                <w:sz w:val="20"/>
                <w:szCs w:val="20"/>
              </w:rPr>
            </w:pPr>
            <w:r>
              <w:rPr>
                <w:b/>
                <w:bCs/>
                <w:sz w:val="20"/>
                <w:szCs w:val="20"/>
              </w:rPr>
              <w:t>40</w:t>
            </w:r>
            <w:r w:rsidR="004C6328" w:rsidRPr="004C6328">
              <w:rPr>
                <w:b/>
                <w:bCs/>
                <w:sz w:val="20"/>
                <w:szCs w:val="20"/>
              </w:rPr>
              <w:t>%</w:t>
            </w:r>
          </w:p>
        </w:tc>
        <w:tc>
          <w:tcPr>
            <w:tcW w:w="1215" w:type="dxa"/>
            <w:hideMark/>
          </w:tcPr>
          <w:p w:rsidR="004C6328" w:rsidRPr="004C6328" w:rsidRDefault="004C6328" w:rsidP="004C6328">
            <w:pPr>
              <w:rPr>
                <w:b/>
                <w:bCs/>
                <w:sz w:val="20"/>
                <w:szCs w:val="20"/>
              </w:rPr>
            </w:pPr>
            <w:r w:rsidRPr="004C6328">
              <w:rPr>
                <w:b/>
                <w:bCs/>
                <w:sz w:val="20"/>
                <w:szCs w:val="20"/>
              </w:rPr>
              <w:t> </w:t>
            </w:r>
          </w:p>
        </w:tc>
      </w:tr>
      <w:tr w:rsidR="004C6328" w:rsidRPr="004C6328" w:rsidTr="004C6328">
        <w:trPr>
          <w:trHeight w:val="179"/>
        </w:trPr>
        <w:tc>
          <w:tcPr>
            <w:tcW w:w="1098" w:type="dxa"/>
            <w:hideMark/>
          </w:tcPr>
          <w:p w:rsidR="004C6328" w:rsidRPr="004C6328" w:rsidRDefault="004C6328" w:rsidP="004C6328">
            <w:pPr>
              <w:rPr>
                <w:sz w:val="20"/>
                <w:szCs w:val="20"/>
              </w:rPr>
            </w:pPr>
            <w:r w:rsidRPr="004C6328">
              <w:rPr>
                <w:sz w:val="20"/>
                <w:szCs w:val="20"/>
              </w:rPr>
              <w:t>9.5</w:t>
            </w:r>
          </w:p>
        </w:tc>
        <w:tc>
          <w:tcPr>
            <w:tcW w:w="5670" w:type="dxa"/>
            <w:hideMark/>
          </w:tcPr>
          <w:p w:rsidR="004C6328" w:rsidRPr="004C6328" w:rsidRDefault="004C6328" w:rsidP="004C6328">
            <w:pPr>
              <w:rPr>
                <w:sz w:val="20"/>
                <w:szCs w:val="20"/>
              </w:rPr>
            </w:pPr>
            <w:r w:rsidRPr="004C6328">
              <w:rPr>
                <w:bCs/>
                <w:sz w:val="20"/>
                <w:szCs w:val="20"/>
              </w:rPr>
              <w:t xml:space="preserve">Relevant experience and contract examples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15%</w:t>
            </w:r>
          </w:p>
        </w:tc>
      </w:tr>
      <w:tr w:rsidR="004C6328" w:rsidRPr="004C6328" w:rsidTr="004C6328">
        <w:trPr>
          <w:trHeight w:val="206"/>
        </w:trPr>
        <w:tc>
          <w:tcPr>
            <w:tcW w:w="1098" w:type="dxa"/>
            <w:hideMark/>
          </w:tcPr>
          <w:p w:rsidR="004C6328" w:rsidRPr="004C6328" w:rsidRDefault="004C6328" w:rsidP="004C6328">
            <w:pPr>
              <w:rPr>
                <w:sz w:val="20"/>
                <w:szCs w:val="20"/>
              </w:rPr>
            </w:pPr>
            <w:r w:rsidRPr="004C6328">
              <w:rPr>
                <w:sz w:val="20"/>
                <w:szCs w:val="20"/>
              </w:rPr>
              <w:t>9.6</w:t>
            </w:r>
          </w:p>
        </w:tc>
        <w:tc>
          <w:tcPr>
            <w:tcW w:w="5670" w:type="dxa"/>
            <w:hideMark/>
          </w:tcPr>
          <w:p w:rsidR="004C6328" w:rsidRPr="004C6328" w:rsidRDefault="004C6328" w:rsidP="004C6328">
            <w:pPr>
              <w:rPr>
                <w:sz w:val="20"/>
                <w:szCs w:val="20"/>
              </w:rPr>
            </w:pPr>
            <w:r w:rsidRPr="004C6328">
              <w:rPr>
                <w:bCs/>
                <w:sz w:val="20"/>
                <w:szCs w:val="20"/>
              </w:rPr>
              <w:t>Organisation Management Structure</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10%</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9.7</w:t>
            </w:r>
          </w:p>
        </w:tc>
        <w:tc>
          <w:tcPr>
            <w:tcW w:w="5670" w:type="dxa"/>
            <w:hideMark/>
          </w:tcPr>
          <w:p w:rsidR="004C6328" w:rsidRPr="004C6328" w:rsidRDefault="004C6328" w:rsidP="004C6328">
            <w:pPr>
              <w:rPr>
                <w:sz w:val="20"/>
                <w:szCs w:val="20"/>
              </w:rPr>
            </w:pPr>
            <w:r w:rsidRPr="004C6328">
              <w:rPr>
                <w:bCs/>
                <w:sz w:val="20"/>
                <w:szCs w:val="20"/>
              </w:rPr>
              <w:t xml:space="preserve">Resources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5%</w:t>
            </w:r>
          </w:p>
        </w:tc>
      </w:tr>
      <w:tr w:rsidR="004C6328" w:rsidRPr="004C6328" w:rsidTr="004C6328">
        <w:trPr>
          <w:trHeight w:val="179"/>
        </w:trPr>
        <w:tc>
          <w:tcPr>
            <w:tcW w:w="1098" w:type="dxa"/>
            <w:hideMark/>
          </w:tcPr>
          <w:p w:rsidR="004C6328" w:rsidRPr="004C6328" w:rsidRDefault="004C6328" w:rsidP="004C6328">
            <w:pPr>
              <w:rPr>
                <w:sz w:val="20"/>
                <w:szCs w:val="20"/>
              </w:rPr>
            </w:pPr>
            <w:r w:rsidRPr="004C6328">
              <w:rPr>
                <w:sz w:val="20"/>
                <w:szCs w:val="20"/>
              </w:rPr>
              <w:t>9.8</w:t>
            </w:r>
          </w:p>
        </w:tc>
        <w:tc>
          <w:tcPr>
            <w:tcW w:w="5670" w:type="dxa"/>
            <w:hideMark/>
          </w:tcPr>
          <w:p w:rsidR="004C6328" w:rsidRPr="004C6328" w:rsidRDefault="004C6328" w:rsidP="004C6328">
            <w:pPr>
              <w:rPr>
                <w:sz w:val="20"/>
                <w:szCs w:val="20"/>
              </w:rPr>
            </w:pPr>
            <w:r w:rsidRPr="004C6328">
              <w:rPr>
                <w:bCs/>
                <w:sz w:val="20"/>
                <w:szCs w:val="20"/>
              </w:rPr>
              <w:t>Public Services (Social Value) Act 2012</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5%</w:t>
            </w:r>
          </w:p>
        </w:tc>
      </w:tr>
      <w:tr w:rsidR="00671E7B" w:rsidRPr="004C6328" w:rsidTr="004C6328">
        <w:trPr>
          <w:trHeight w:val="58"/>
        </w:trPr>
        <w:tc>
          <w:tcPr>
            <w:tcW w:w="1098" w:type="dxa"/>
          </w:tcPr>
          <w:p w:rsidR="00671E7B" w:rsidRPr="004C6328" w:rsidRDefault="00671E7B" w:rsidP="004C6328">
            <w:pPr>
              <w:rPr>
                <w:sz w:val="20"/>
                <w:szCs w:val="20"/>
              </w:rPr>
            </w:pPr>
            <w:r>
              <w:rPr>
                <w:sz w:val="20"/>
                <w:szCs w:val="20"/>
              </w:rPr>
              <w:t>9.10</w:t>
            </w:r>
          </w:p>
        </w:tc>
        <w:tc>
          <w:tcPr>
            <w:tcW w:w="5670" w:type="dxa"/>
            <w:noWrap/>
          </w:tcPr>
          <w:p w:rsidR="00671E7B" w:rsidRPr="006D2E04" w:rsidRDefault="00671E7B" w:rsidP="004C6328">
            <w:pPr>
              <w:rPr>
                <w:bCs/>
                <w:color w:val="000000"/>
                <w:sz w:val="20"/>
                <w:szCs w:val="20"/>
              </w:rPr>
            </w:pPr>
            <w:r w:rsidRPr="006D2E04">
              <w:rPr>
                <w:bCs/>
                <w:color w:val="000000"/>
                <w:sz w:val="20"/>
                <w:szCs w:val="20"/>
              </w:rPr>
              <w:t>Apprenticeships Considerations</w:t>
            </w:r>
          </w:p>
        </w:tc>
        <w:tc>
          <w:tcPr>
            <w:tcW w:w="1260" w:type="dxa"/>
            <w:noWrap/>
          </w:tcPr>
          <w:p w:rsidR="00671E7B" w:rsidRPr="004C6328" w:rsidRDefault="00671E7B" w:rsidP="004C6328">
            <w:pPr>
              <w:rPr>
                <w:b/>
                <w:bCs/>
                <w:color w:val="000000"/>
                <w:sz w:val="20"/>
                <w:szCs w:val="20"/>
              </w:rPr>
            </w:pPr>
          </w:p>
        </w:tc>
        <w:tc>
          <w:tcPr>
            <w:tcW w:w="1215" w:type="dxa"/>
          </w:tcPr>
          <w:p w:rsidR="00671E7B" w:rsidRPr="004C6328" w:rsidRDefault="00671E7B" w:rsidP="004C6328">
            <w:pPr>
              <w:rPr>
                <w:sz w:val="20"/>
                <w:szCs w:val="20"/>
              </w:rPr>
            </w:pPr>
            <w:r>
              <w:rPr>
                <w:sz w:val="20"/>
                <w:szCs w:val="20"/>
              </w:rPr>
              <w:t>5%</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w:t>
            </w:r>
          </w:p>
        </w:tc>
        <w:tc>
          <w:tcPr>
            <w:tcW w:w="5670" w:type="dxa"/>
            <w:noWrap/>
            <w:hideMark/>
          </w:tcPr>
          <w:p w:rsidR="004C6328" w:rsidRPr="004C6328" w:rsidRDefault="004C6328" w:rsidP="004C6328">
            <w:pPr>
              <w:rPr>
                <w:b/>
                <w:bCs/>
                <w:color w:val="000000"/>
                <w:sz w:val="20"/>
                <w:szCs w:val="20"/>
              </w:rPr>
            </w:pPr>
            <w:r w:rsidRPr="004C6328">
              <w:rPr>
                <w:b/>
                <w:bCs/>
                <w:color w:val="000000"/>
                <w:sz w:val="20"/>
                <w:szCs w:val="20"/>
              </w:rPr>
              <w:t>Technical and Professional Ability - Development</w:t>
            </w:r>
          </w:p>
        </w:tc>
        <w:tc>
          <w:tcPr>
            <w:tcW w:w="1260" w:type="dxa"/>
            <w:noWrap/>
            <w:hideMark/>
          </w:tcPr>
          <w:p w:rsidR="004C6328" w:rsidRPr="004C6328" w:rsidRDefault="004C6328" w:rsidP="004C6328">
            <w:pPr>
              <w:rPr>
                <w:b/>
                <w:bCs/>
                <w:color w:val="000000"/>
                <w:sz w:val="20"/>
                <w:szCs w:val="20"/>
              </w:rPr>
            </w:pPr>
            <w:r w:rsidRPr="004C6328">
              <w:rPr>
                <w:b/>
                <w:bCs/>
                <w:color w:val="000000"/>
                <w:sz w:val="20"/>
                <w:szCs w:val="20"/>
              </w:rPr>
              <w:t>10%</w:t>
            </w:r>
          </w:p>
        </w:tc>
        <w:tc>
          <w:tcPr>
            <w:tcW w:w="1215" w:type="dxa"/>
            <w:hideMark/>
          </w:tcPr>
          <w:p w:rsidR="004C6328" w:rsidRPr="004C6328" w:rsidRDefault="004C6328" w:rsidP="004C6328">
            <w:pPr>
              <w:rPr>
                <w:sz w:val="20"/>
                <w:szCs w:val="20"/>
              </w:rPr>
            </w:pPr>
            <w:r w:rsidRPr="004C6328">
              <w:rPr>
                <w:sz w:val="20"/>
                <w:szCs w:val="20"/>
              </w:rPr>
              <w:t> </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10.1</w:t>
            </w:r>
          </w:p>
        </w:tc>
        <w:tc>
          <w:tcPr>
            <w:tcW w:w="5670" w:type="dxa"/>
            <w:hideMark/>
          </w:tcPr>
          <w:p w:rsidR="004C6328" w:rsidRPr="004C6328" w:rsidRDefault="004C6328" w:rsidP="004C6328">
            <w:pPr>
              <w:rPr>
                <w:sz w:val="20"/>
                <w:szCs w:val="20"/>
              </w:rPr>
            </w:pPr>
            <w:r w:rsidRPr="004C6328">
              <w:rPr>
                <w:sz w:val="20"/>
                <w:szCs w:val="20"/>
              </w:rPr>
              <w:t xml:space="preserve">Delivery model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2%</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10.2</w:t>
            </w:r>
          </w:p>
        </w:tc>
        <w:tc>
          <w:tcPr>
            <w:tcW w:w="5670" w:type="dxa"/>
            <w:hideMark/>
          </w:tcPr>
          <w:p w:rsidR="004C6328" w:rsidRPr="004C6328" w:rsidRDefault="004C6328" w:rsidP="004C6328">
            <w:pPr>
              <w:rPr>
                <w:sz w:val="20"/>
                <w:szCs w:val="20"/>
              </w:rPr>
            </w:pPr>
            <w:r w:rsidRPr="004C6328">
              <w:rPr>
                <w:sz w:val="20"/>
                <w:szCs w:val="20"/>
              </w:rPr>
              <w:t>Raising funding</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2%</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10.3</w:t>
            </w:r>
          </w:p>
        </w:tc>
        <w:tc>
          <w:tcPr>
            <w:tcW w:w="5670" w:type="dxa"/>
            <w:hideMark/>
          </w:tcPr>
          <w:p w:rsidR="004C6328" w:rsidRPr="004C6328" w:rsidRDefault="004C6328" w:rsidP="004C6328">
            <w:pPr>
              <w:rPr>
                <w:sz w:val="20"/>
                <w:szCs w:val="20"/>
              </w:rPr>
            </w:pPr>
            <w:r w:rsidRPr="004C6328">
              <w:rPr>
                <w:sz w:val="20"/>
                <w:szCs w:val="20"/>
              </w:rPr>
              <w:t xml:space="preserve">Scheme viability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2%</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10.4</w:t>
            </w:r>
          </w:p>
        </w:tc>
        <w:tc>
          <w:tcPr>
            <w:tcW w:w="5670" w:type="dxa"/>
            <w:hideMark/>
          </w:tcPr>
          <w:p w:rsidR="004C6328" w:rsidRPr="004C6328" w:rsidRDefault="004C6328" w:rsidP="004C6328">
            <w:pPr>
              <w:rPr>
                <w:sz w:val="20"/>
                <w:szCs w:val="20"/>
              </w:rPr>
            </w:pPr>
            <w:r w:rsidRPr="004C6328">
              <w:rPr>
                <w:sz w:val="20"/>
                <w:szCs w:val="20"/>
              </w:rPr>
              <w:t xml:space="preserve">Stakeholder management.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2%</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10.5</w:t>
            </w:r>
          </w:p>
        </w:tc>
        <w:tc>
          <w:tcPr>
            <w:tcW w:w="5670" w:type="dxa"/>
            <w:hideMark/>
          </w:tcPr>
          <w:p w:rsidR="004C6328" w:rsidRPr="004C6328" w:rsidRDefault="004C6328" w:rsidP="004C6328">
            <w:pPr>
              <w:rPr>
                <w:sz w:val="20"/>
                <w:szCs w:val="20"/>
              </w:rPr>
            </w:pPr>
            <w:r w:rsidRPr="004C6328">
              <w:rPr>
                <w:sz w:val="20"/>
                <w:szCs w:val="20"/>
              </w:rPr>
              <w:t>Setbacks to the delivery of a development scheme</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2%</w:t>
            </w:r>
          </w:p>
        </w:tc>
      </w:tr>
      <w:tr w:rsidR="004C6328" w:rsidRPr="004C6328" w:rsidTr="004C6328">
        <w:trPr>
          <w:trHeight w:val="58"/>
        </w:trPr>
        <w:tc>
          <w:tcPr>
            <w:tcW w:w="1098" w:type="dxa"/>
            <w:hideMark/>
          </w:tcPr>
          <w:p w:rsidR="004C6328" w:rsidRPr="004C6328" w:rsidRDefault="004C6328" w:rsidP="004C6328">
            <w:pPr>
              <w:rPr>
                <w:b/>
                <w:bCs/>
                <w:sz w:val="20"/>
                <w:szCs w:val="20"/>
              </w:rPr>
            </w:pPr>
            <w:r w:rsidRPr="004C6328">
              <w:rPr>
                <w:b/>
                <w:bCs/>
                <w:sz w:val="20"/>
                <w:szCs w:val="20"/>
              </w:rPr>
              <w:t>11</w:t>
            </w:r>
          </w:p>
        </w:tc>
        <w:tc>
          <w:tcPr>
            <w:tcW w:w="5670" w:type="dxa"/>
            <w:hideMark/>
          </w:tcPr>
          <w:p w:rsidR="004C6328" w:rsidRPr="004C6328" w:rsidRDefault="004C6328" w:rsidP="004C6328">
            <w:pPr>
              <w:rPr>
                <w:b/>
                <w:bCs/>
                <w:sz w:val="20"/>
                <w:szCs w:val="20"/>
              </w:rPr>
            </w:pPr>
            <w:r w:rsidRPr="004C6328">
              <w:rPr>
                <w:b/>
                <w:bCs/>
                <w:sz w:val="20"/>
                <w:szCs w:val="20"/>
              </w:rPr>
              <w:t>Technical and Professional Ability - Facilities Management</w:t>
            </w:r>
          </w:p>
        </w:tc>
        <w:tc>
          <w:tcPr>
            <w:tcW w:w="1260" w:type="dxa"/>
            <w:hideMark/>
          </w:tcPr>
          <w:p w:rsidR="004C6328" w:rsidRPr="004C6328" w:rsidRDefault="004C6328" w:rsidP="004C6328">
            <w:pPr>
              <w:rPr>
                <w:b/>
                <w:bCs/>
                <w:sz w:val="20"/>
                <w:szCs w:val="20"/>
              </w:rPr>
            </w:pPr>
            <w:r w:rsidRPr="004C6328">
              <w:rPr>
                <w:b/>
                <w:bCs/>
                <w:sz w:val="20"/>
                <w:szCs w:val="20"/>
              </w:rPr>
              <w:t>20%</w:t>
            </w:r>
          </w:p>
        </w:tc>
        <w:tc>
          <w:tcPr>
            <w:tcW w:w="1215" w:type="dxa"/>
            <w:hideMark/>
          </w:tcPr>
          <w:p w:rsidR="004C6328" w:rsidRPr="004C6328" w:rsidRDefault="004C6328" w:rsidP="004C6328">
            <w:pPr>
              <w:rPr>
                <w:sz w:val="20"/>
                <w:szCs w:val="20"/>
              </w:rPr>
            </w:pPr>
            <w:r w:rsidRPr="004C6328">
              <w:rPr>
                <w:sz w:val="20"/>
                <w:szCs w:val="20"/>
              </w:rPr>
              <w:t> </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11.1</w:t>
            </w:r>
          </w:p>
        </w:tc>
        <w:tc>
          <w:tcPr>
            <w:tcW w:w="5670" w:type="dxa"/>
            <w:hideMark/>
          </w:tcPr>
          <w:p w:rsidR="004C6328" w:rsidRPr="004C6328" w:rsidRDefault="004C6328" w:rsidP="004C6328">
            <w:pPr>
              <w:rPr>
                <w:sz w:val="20"/>
                <w:szCs w:val="20"/>
              </w:rPr>
            </w:pPr>
            <w:r w:rsidRPr="004C6328">
              <w:rPr>
                <w:sz w:val="20"/>
                <w:szCs w:val="20"/>
              </w:rPr>
              <w:t>Model of Landlord duties</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7.50%</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11.2</w:t>
            </w:r>
          </w:p>
        </w:tc>
        <w:tc>
          <w:tcPr>
            <w:tcW w:w="5670" w:type="dxa"/>
            <w:hideMark/>
          </w:tcPr>
          <w:p w:rsidR="004C6328" w:rsidRPr="004C6328" w:rsidRDefault="004C6328" w:rsidP="004C6328">
            <w:pPr>
              <w:rPr>
                <w:sz w:val="20"/>
                <w:szCs w:val="20"/>
              </w:rPr>
            </w:pPr>
            <w:r w:rsidRPr="004C6328">
              <w:rPr>
                <w:sz w:val="20"/>
                <w:szCs w:val="20"/>
              </w:rPr>
              <w:t>Hard and Soft FM</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7.50%</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11.3</w:t>
            </w:r>
          </w:p>
        </w:tc>
        <w:tc>
          <w:tcPr>
            <w:tcW w:w="5670" w:type="dxa"/>
            <w:hideMark/>
          </w:tcPr>
          <w:p w:rsidR="004C6328" w:rsidRPr="004C6328" w:rsidRDefault="004C6328" w:rsidP="004C6328">
            <w:pPr>
              <w:rPr>
                <w:sz w:val="20"/>
                <w:szCs w:val="20"/>
              </w:rPr>
            </w:pPr>
            <w:r w:rsidRPr="004C6328">
              <w:rPr>
                <w:sz w:val="20"/>
                <w:szCs w:val="20"/>
              </w:rPr>
              <w:t xml:space="preserve">Filling voids </w:t>
            </w:r>
          </w:p>
        </w:tc>
        <w:tc>
          <w:tcPr>
            <w:tcW w:w="1260" w:type="dxa"/>
            <w:hideMark/>
          </w:tcPr>
          <w:p w:rsidR="004C6328" w:rsidRPr="004C6328" w:rsidRDefault="004C6328" w:rsidP="004C6328">
            <w:pPr>
              <w:rPr>
                <w:sz w:val="20"/>
                <w:szCs w:val="20"/>
              </w:rPr>
            </w:pPr>
            <w:r w:rsidRPr="004C6328">
              <w:rPr>
                <w:sz w:val="20"/>
                <w:szCs w:val="20"/>
              </w:rPr>
              <w:t> </w:t>
            </w:r>
          </w:p>
        </w:tc>
        <w:tc>
          <w:tcPr>
            <w:tcW w:w="1215" w:type="dxa"/>
            <w:hideMark/>
          </w:tcPr>
          <w:p w:rsidR="004C6328" w:rsidRPr="004C6328" w:rsidRDefault="004C6328" w:rsidP="004C6328">
            <w:pPr>
              <w:rPr>
                <w:sz w:val="20"/>
                <w:szCs w:val="20"/>
              </w:rPr>
            </w:pPr>
            <w:r w:rsidRPr="004C6328">
              <w:rPr>
                <w:sz w:val="20"/>
                <w:szCs w:val="20"/>
              </w:rPr>
              <w:t>5%</w:t>
            </w:r>
          </w:p>
        </w:tc>
      </w:tr>
      <w:tr w:rsidR="004C6328" w:rsidRPr="004C6328" w:rsidTr="004C6328">
        <w:trPr>
          <w:trHeight w:val="188"/>
        </w:trPr>
        <w:tc>
          <w:tcPr>
            <w:tcW w:w="1098" w:type="dxa"/>
            <w:hideMark/>
          </w:tcPr>
          <w:p w:rsidR="004C6328" w:rsidRPr="004C6328" w:rsidRDefault="004C6328" w:rsidP="004C6328">
            <w:pPr>
              <w:rPr>
                <w:b/>
                <w:bCs/>
                <w:sz w:val="20"/>
                <w:szCs w:val="20"/>
              </w:rPr>
            </w:pPr>
            <w:r w:rsidRPr="004C6328">
              <w:rPr>
                <w:b/>
                <w:bCs/>
                <w:sz w:val="20"/>
                <w:szCs w:val="20"/>
              </w:rPr>
              <w:t>12</w:t>
            </w:r>
          </w:p>
        </w:tc>
        <w:tc>
          <w:tcPr>
            <w:tcW w:w="5670" w:type="dxa"/>
            <w:noWrap/>
            <w:hideMark/>
          </w:tcPr>
          <w:p w:rsidR="004C6328" w:rsidRPr="004C6328" w:rsidRDefault="004C6328" w:rsidP="004C6328">
            <w:pPr>
              <w:rPr>
                <w:b/>
                <w:bCs/>
                <w:color w:val="000000"/>
                <w:sz w:val="20"/>
                <w:szCs w:val="20"/>
              </w:rPr>
            </w:pPr>
            <w:r w:rsidRPr="004C6328">
              <w:rPr>
                <w:b/>
                <w:bCs/>
                <w:color w:val="000000"/>
                <w:sz w:val="20"/>
                <w:szCs w:val="20"/>
              </w:rPr>
              <w:t>Technical and Professional Ability - Care Delivery</w:t>
            </w:r>
          </w:p>
        </w:tc>
        <w:tc>
          <w:tcPr>
            <w:tcW w:w="1260" w:type="dxa"/>
            <w:noWrap/>
            <w:hideMark/>
          </w:tcPr>
          <w:p w:rsidR="004C6328" w:rsidRPr="004C6328" w:rsidRDefault="004C6328" w:rsidP="004C6328">
            <w:pPr>
              <w:rPr>
                <w:b/>
                <w:bCs/>
                <w:color w:val="000000"/>
                <w:sz w:val="20"/>
                <w:szCs w:val="20"/>
              </w:rPr>
            </w:pPr>
            <w:r w:rsidRPr="004C6328">
              <w:rPr>
                <w:b/>
                <w:bCs/>
                <w:color w:val="000000"/>
                <w:sz w:val="20"/>
                <w:szCs w:val="20"/>
              </w:rPr>
              <w:t>30%</w:t>
            </w:r>
          </w:p>
        </w:tc>
        <w:tc>
          <w:tcPr>
            <w:tcW w:w="1215" w:type="dxa"/>
            <w:hideMark/>
          </w:tcPr>
          <w:p w:rsidR="004C6328" w:rsidRPr="004C6328" w:rsidRDefault="004C6328" w:rsidP="004C6328">
            <w:pPr>
              <w:rPr>
                <w:sz w:val="20"/>
                <w:szCs w:val="20"/>
              </w:rPr>
            </w:pPr>
            <w:r w:rsidRPr="004C6328">
              <w:rPr>
                <w:sz w:val="20"/>
                <w:szCs w:val="20"/>
              </w:rPr>
              <w:t> </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12.13</w:t>
            </w:r>
          </w:p>
        </w:tc>
        <w:tc>
          <w:tcPr>
            <w:tcW w:w="5670" w:type="dxa"/>
            <w:noWrap/>
            <w:hideMark/>
          </w:tcPr>
          <w:p w:rsidR="004C6328" w:rsidRPr="004C6328" w:rsidRDefault="004C6328" w:rsidP="004C6328">
            <w:pPr>
              <w:rPr>
                <w:color w:val="000000"/>
                <w:sz w:val="20"/>
                <w:szCs w:val="20"/>
              </w:rPr>
            </w:pPr>
            <w:r w:rsidRPr="004C6328">
              <w:rPr>
                <w:color w:val="000000"/>
                <w:sz w:val="20"/>
                <w:szCs w:val="20"/>
              </w:rPr>
              <w:t>Reducing Isolation and Social Integration</w:t>
            </w:r>
          </w:p>
        </w:tc>
        <w:tc>
          <w:tcPr>
            <w:tcW w:w="1260" w:type="dxa"/>
            <w:noWrap/>
            <w:hideMark/>
          </w:tcPr>
          <w:p w:rsidR="004C6328" w:rsidRPr="004C6328" w:rsidRDefault="004C6328" w:rsidP="004C6328">
            <w:pPr>
              <w:rPr>
                <w:b/>
                <w:bCs/>
                <w:color w:val="000000"/>
                <w:sz w:val="20"/>
                <w:szCs w:val="20"/>
              </w:rPr>
            </w:pPr>
            <w:r w:rsidRPr="004C6328">
              <w:rPr>
                <w:b/>
                <w:bCs/>
                <w:color w:val="000000"/>
                <w:sz w:val="20"/>
                <w:szCs w:val="20"/>
              </w:rPr>
              <w:t> </w:t>
            </w:r>
          </w:p>
        </w:tc>
        <w:tc>
          <w:tcPr>
            <w:tcW w:w="1215" w:type="dxa"/>
            <w:hideMark/>
          </w:tcPr>
          <w:p w:rsidR="004C6328" w:rsidRPr="004C6328" w:rsidRDefault="004C6328" w:rsidP="004C6328">
            <w:pPr>
              <w:rPr>
                <w:sz w:val="20"/>
                <w:szCs w:val="20"/>
              </w:rPr>
            </w:pPr>
            <w:r w:rsidRPr="004C6328">
              <w:rPr>
                <w:sz w:val="20"/>
                <w:szCs w:val="20"/>
              </w:rPr>
              <w:t>10%</w:t>
            </w:r>
          </w:p>
        </w:tc>
      </w:tr>
      <w:tr w:rsidR="004C6328" w:rsidRPr="004C6328" w:rsidTr="004C6328">
        <w:trPr>
          <w:trHeight w:val="58"/>
        </w:trPr>
        <w:tc>
          <w:tcPr>
            <w:tcW w:w="1098" w:type="dxa"/>
            <w:hideMark/>
          </w:tcPr>
          <w:p w:rsidR="004C6328" w:rsidRPr="004C6328" w:rsidRDefault="004C6328" w:rsidP="004C6328">
            <w:pPr>
              <w:rPr>
                <w:sz w:val="20"/>
                <w:szCs w:val="20"/>
              </w:rPr>
            </w:pPr>
            <w:r w:rsidRPr="004C6328">
              <w:rPr>
                <w:sz w:val="20"/>
                <w:szCs w:val="20"/>
              </w:rPr>
              <w:t>12.14</w:t>
            </w:r>
          </w:p>
        </w:tc>
        <w:tc>
          <w:tcPr>
            <w:tcW w:w="5670" w:type="dxa"/>
            <w:noWrap/>
            <w:hideMark/>
          </w:tcPr>
          <w:p w:rsidR="004C6328" w:rsidRPr="004C6328" w:rsidRDefault="004C6328" w:rsidP="004C6328">
            <w:pPr>
              <w:rPr>
                <w:color w:val="000000"/>
                <w:sz w:val="20"/>
                <w:szCs w:val="20"/>
              </w:rPr>
            </w:pPr>
            <w:r w:rsidRPr="004C6328">
              <w:rPr>
                <w:color w:val="000000"/>
                <w:sz w:val="20"/>
                <w:szCs w:val="20"/>
              </w:rPr>
              <w:t>Personalised Individual Support</w:t>
            </w:r>
          </w:p>
        </w:tc>
        <w:tc>
          <w:tcPr>
            <w:tcW w:w="1260" w:type="dxa"/>
            <w:hideMark/>
          </w:tcPr>
          <w:p w:rsidR="004C6328" w:rsidRPr="004C6328" w:rsidRDefault="004C6328" w:rsidP="004C6328">
            <w:pPr>
              <w:rPr>
                <w:color w:val="000000"/>
                <w:sz w:val="20"/>
                <w:szCs w:val="20"/>
              </w:rPr>
            </w:pPr>
            <w:r w:rsidRPr="004C6328">
              <w:rPr>
                <w:color w:val="000000"/>
                <w:sz w:val="20"/>
                <w:szCs w:val="20"/>
              </w:rPr>
              <w:t> </w:t>
            </w:r>
          </w:p>
        </w:tc>
        <w:tc>
          <w:tcPr>
            <w:tcW w:w="1215" w:type="dxa"/>
            <w:hideMark/>
          </w:tcPr>
          <w:p w:rsidR="004C6328" w:rsidRPr="004C6328" w:rsidRDefault="004C6328" w:rsidP="004C6328">
            <w:pPr>
              <w:rPr>
                <w:sz w:val="20"/>
                <w:szCs w:val="20"/>
              </w:rPr>
            </w:pPr>
            <w:r w:rsidRPr="004C6328">
              <w:rPr>
                <w:sz w:val="20"/>
                <w:szCs w:val="20"/>
              </w:rPr>
              <w:t>10%</w:t>
            </w:r>
          </w:p>
        </w:tc>
      </w:tr>
      <w:tr w:rsidR="004C6328" w:rsidRPr="004C6328" w:rsidTr="004C6328">
        <w:trPr>
          <w:trHeight w:val="188"/>
        </w:trPr>
        <w:tc>
          <w:tcPr>
            <w:tcW w:w="1098" w:type="dxa"/>
            <w:hideMark/>
          </w:tcPr>
          <w:p w:rsidR="004C6328" w:rsidRPr="004C6328" w:rsidRDefault="004C6328" w:rsidP="004C6328">
            <w:pPr>
              <w:rPr>
                <w:sz w:val="20"/>
                <w:szCs w:val="20"/>
              </w:rPr>
            </w:pPr>
            <w:r w:rsidRPr="004C6328">
              <w:rPr>
                <w:sz w:val="20"/>
                <w:szCs w:val="20"/>
              </w:rPr>
              <w:t>12.15</w:t>
            </w:r>
          </w:p>
        </w:tc>
        <w:tc>
          <w:tcPr>
            <w:tcW w:w="5670" w:type="dxa"/>
            <w:noWrap/>
            <w:hideMark/>
          </w:tcPr>
          <w:p w:rsidR="004C6328" w:rsidRPr="004C6328" w:rsidRDefault="004C6328" w:rsidP="004C6328">
            <w:pPr>
              <w:rPr>
                <w:color w:val="000000"/>
                <w:sz w:val="20"/>
                <w:szCs w:val="20"/>
              </w:rPr>
            </w:pPr>
            <w:r w:rsidRPr="004C6328">
              <w:rPr>
                <w:color w:val="000000"/>
                <w:sz w:val="20"/>
                <w:szCs w:val="20"/>
              </w:rPr>
              <w:t xml:space="preserve">Staffing </w:t>
            </w:r>
          </w:p>
        </w:tc>
        <w:tc>
          <w:tcPr>
            <w:tcW w:w="1260" w:type="dxa"/>
            <w:hideMark/>
          </w:tcPr>
          <w:p w:rsidR="004C6328" w:rsidRPr="004C6328" w:rsidRDefault="004C6328" w:rsidP="004C6328">
            <w:pPr>
              <w:rPr>
                <w:b/>
                <w:bCs/>
                <w:color w:val="000000"/>
                <w:sz w:val="20"/>
                <w:szCs w:val="20"/>
              </w:rPr>
            </w:pPr>
            <w:r w:rsidRPr="004C6328">
              <w:rPr>
                <w:b/>
                <w:bCs/>
                <w:color w:val="000000"/>
                <w:sz w:val="20"/>
                <w:szCs w:val="20"/>
              </w:rPr>
              <w:t> </w:t>
            </w:r>
          </w:p>
        </w:tc>
        <w:tc>
          <w:tcPr>
            <w:tcW w:w="1215" w:type="dxa"/>
            <w:hideMark/>
          </w:tcPr>
          <w:p w:rsidR="004C6328" w:rsidRPr="004C6328" w:rsidRDefault="004C6328" w:rsidP="004C6328">
            <w:pPr>
              <w:rPr>
                <w:sz w:val="20"/>
                <w:szCs w:val="20"/>
              </w:rPr>
            </w:pPr>
            <w:r w:rsidRPr="004C6328">
              <w:rPr>
                <w:sz w:val="20"/>
                <w:szCs w:val="20"/>
              </w:rPr>
              <w:t>10%</w:t>
            </w:r>
          </w:p>
        </w:tc>
      </w:tr>
    </w:tbl>
    <w:p w:rsidR="00347708" w:rsidRPr="005B48B3" w:rsidRDefault="005B48B3" w:rsidP="00655EC0">
      <w:pPr>
        <w:ind w:left="720" w:hanging="720"/>
        <w:jc w:val="both"/>
        <w:rPr>
          <w:bCs/>
          <w:lang w:eastAsia="en-US"/>
        </w:rPr>
      </w:pPr>
      <w:r>
        <w:rPr>
          <w:b/>
          <w:bCs/>
          <w:lang w:eastAsia="en-US"/>
        </w:rPr>
        <w:tab/>
      </w:r>
    </w:p>
    <w:p w:rsidR="005B48B3" w:rsidRPr="005B48B3" w:rsidRDefault="005B48B3" w:rsidP="000F6C87">
      <w:pPr>
        <w:ind w:left="720" w:hanging="720"/>
        <w:jc w:val="both"/>
        <w:rPr>
          <w:bCs/>
          <w:lang w:eastAsia="en-US"/>
        </w:rPr>
      </w:pPr>
      <w:r w:rsidRPr="005B48B3">
        <w:rPr>
          <w:bCs/>
          <w:lang w:eastAsia="en-US"/>
        </w:rPr>
        <w:tab/>
        <w:t>Please see attached document for the</w:t>
      </w:r>
      <w:r w:rsidR="004C6328">
        <w:rPr>
          <w:bCs/>
          <w:lang w:eastAsia="en-US"/>
        </w:rPr>
        <w:t xml:space="preserve"> detailed</w:t>
      </w:r>
      <w:r w:rsidRPr="005B48B3">
        <w:rPr>
          <w:bCs/>
          <w:lang w:eastAsia="en-US"/>
        </w:rPr>
        <w:t xml:space="preserve"> evaluation criteria. </w:t>
      </w:r>
    </w:p>
    <w:p w:rsidR="005B48B3" w:rsidRDefault="005B48B3" w:rsidP="000F6C87">
      <w:pPr>
        <w:ind w:left="720" w:hanging="720"/>
        <w:jc w:val="both"/>
        <w:rPr>
          <w:b/>
          <w:bCs/>
          <w:lang w:eastAsia="en-US"/>
        </w:rPr>
      </w:pPr>
    </w:p>
    <w:p w:rsidR="005B48B3" w:rsidRDefault="005B48B3" w:rsidP="000F6C87">
      <w:pPr>
        <w:ind w:left="720" w:hanging="720"/>
        <w:jc w:val="both"/>
        <w:rPr>
          <w:b/>
          <w:bCs/>
          <w:lang w:eastAsia="en-US"/>
        </w:rPr>
      </w:pPr>
      <w:r>
        <w:rPr>
          <w:b/>
          <w:bCs/>
          <w:lang w:eastAsia="en-US"/>
        </w:rPr>
        <w:tab/>
      </w:r>
      <w:r w:rsidR="00A57B48">
        <w:rPr>
          <w:b/>
          <w:bCs/>
          <w:lang w:eastAsia="en-US"/>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1" o:title=""/>
          </v:shape>
          <o:OLEObject Type="Embed" ProgID="Excel.Sheet.12" ShapeID="_x0000_i1025" DrawAspect="Icon" ObjectID="_1531656705" r:id="rId12"/>
        </w:object>
      </w:r>
    </w:p>
    <w:p w:rsidR="005B48B3" w:rsidRDefault="005B48B3" w:rsidP="000F6C87">
      <w:pPr>
        <w:ind w:left="720" w:hanging="720"/>
        <w:jc w:val="both"/>
        <w:rPr>
          <w:b/>
          <w:bCs/>
          <w:lang w:eastAsia="en-US"/>
        </w:rPr>
      </w:pPr>
    </w:p>
    <w:p w:rsidR="005B48B3" w:rsidRDefault="005B48B3" w:rsidP="000F6C87">
      <w:pPr>
        <w:ind w:left="720" w:hanging="720"/>
        <w:jc w:val="both"/>
        <w:rPr>
          <w:b/>
          <w:bCs/>
          <w:lang w:eastAsia="en-US"/>
        </w:rPr>
      </w:pPr>
    </w:p>
    <w:p w:rsidR="00741D2D" w:rsidRPr="00230B97" w:rsidRDefault="005C6A80" w:rsidP="00230B97">
      <w:pPr>
        <w:tabs>
          <w:tab w:val="left" w:pos="720"/>
        </w:tabs>
        <w:ind w:left="720" w:hanging="720"/>
        <w:jc w:val="both"/>
        <w:rPr>
          <w:bCs/>
          <w:lang w:eastAsia="en-US"/>
        </w:rPr>
      </w:pPr>
      <w:r w:rsidRPr="005C6A80">
        <w:rPr>
          <w:bCs/>
          <w:lang w:eastAsia="en-US"/>
        </w:rPr>
        <w:lastRenderedPageBreak/>
        <w:t>23</w:t>
      </w:r>
      <w:r>
        <w:rPr>
          <w:bCs/>
          <w:lang w:eastAsia="en-US"/>
        </w:rPr>
        <w:t>.</w:t>
      </w:r>
      <w:r w:rsidRPr="005C6A80">
        <w:rPr>
          <w:bCs/>
          <w:lang w:eastAsia="en-US"/>
        </w:rPr>
        <w:tab/>
      </w:r>
      <w:r w:rsidR="005B4A29">
        <w:rPr>
          <w:bCs/>
          <w:lang w:eastAsia="en-US"/>
        </w:rPr>
        <w:t>T</w:t>
      </w:r>
      <w:r w:rsidR="00BB5B94">
        <w:rPr>
          <w:bCs/>
          <w:lang w:eastAsia="en-US"/>
        </w:rPr>
        <w:t>he</w:t>
      </w:r>
      <w:r w:rsidRPr="00487ECF">
        <w:rPr>
          <w:bCs/>
          <w:lang w:eastAsia="en-US"/>
        </w:rPr>
        <w:t xml:space="preserve"> top </w:t>
      </w:r>
      <w:r w:rsidR="00230B97">
        <w:rPr>
          <w:bCs/>
          <w:lang w:eastAsia="en-US"/>
        </w:rPr>
        <w:t>10</w:t>
      </w:r>
      <w:r w:rsidRPr="00487ECF">
        <w:rPr>
          <w:bCs/>
          <w:lang w:eastAsia="en-US"/>
        </w:rPr>
        <w:t xml:space="preserve"> scoring PQQ </w:t>
      </w:r>
      <w:r w:rsidR="005B4A29">
        <w:rPr>
          <w:bCs/>
          <w:lang w:eastAsia="en-US"/>
        </w:rPr>
        <w:t>applications</w:t>
      </w:r>
      <w:r w:rsidR="005B4A29" w:rsidRPr="00487ECF">
        <w:rPr>
          <w:bCs/>
          <w:lang w:eastAsia="en-US"/>
        </w:rPr>
        <w:t xml:space="preserve"> </w:t>
      </w:r>
      <w:r w:rsidRPr="00487ECF">
        <w:rPr>
          <w:bCs/>
          <w:lang w:eastAsia="en-US"/>
        </w:rPr>
        <w:t xml:space="preserve">will be brought forward to the </w:t>
      </w:r>
      <w:r w:rsidR="00230B97">
        <w:rPr>
          <w:bCs/>
          <w:lang w:eastAsia="en-US"/>
        </w:rPr>
        <w:t>Invitation to Tender</w:t>
      </w:r>
      <w:r w:rsidRPr="00487ECF">
        <w:rPr>
          <w:bCs/>
          <w:lang w:eastAsia="en-US"/>
        </w:rPr>
        <w:t xml:space="preserve"> stage and invited to submit an ITT response.</w:t>
      </w:r>
      <w:r w:rsidR="00605A2C">
        <w:rPr>
          <w:bCs/>
          <w:lang w:eastAsia="en-US"/>
        </w:rPr>
        <w:t xml:space="preserve">  In the even</w:t>
      </w:r>
      <w:r w:rsidR="005B48B3">
        <w:rPr>
          <w:bCs/>
          <w:lang w:eastAsia="en-US"/>
        </w:rPr>
        <w:t xml:space="preserve">t of a tie for the </w:t>
      </w:r>
      <w:r w:rsidR="00230B97">
        <w:rPr>
          <w:bCs/>
          <w:lang w:eastAsia="en-US"/>
        </w:rPr>
        <w:t>10</w:t>
      </w:r>
      <w:r w:rsidR="005B48B3" w:rsidRPr="005B48B3">
        <w:rPr>
          <w:bCs/>
          <w:vertAlign w:val="superscript"/>
          <w:lang w:eastAsia="en-US"/>
        </w:rPr>
        <w:t>th</w:t>
      </w:r>
      <w:r w:rsidR="005B48B3">
        <w:rPr>
          <w:bCs/>
          <w:lang w:eastAsia="en-US"/>
        </w:rPr>
        <w:t xml:space="preserve"> place</w:t>
      </w:r>
      <w:r w:rsidR="005B4A29">
        <w:rPr>
          <w:bCs/>
          <w:lang w:eastAsia="en-US"/>
        </w:rPr>
        <w:t>,</w:t>
      </w:r>
      <w:r w:rsidR="005B48B3">
        <w:rPr>
          <w:bCs/>
          <w:lang w:eastAsia="en-US"/>
        </w:rPr>
        <w:t xml:space="preserve"> all </w:t>
      </w:r>
      <w:r w:rsidR="005B4A29">
        <w:rPr>
          <w:bCs/>
          <w:lang w:eastAsia="en-US"/>
        </w:rPr>
        <w:t>of the 10</w:t>
      </w:r>
      <w:r w:rsidR="005B4A29" w:rsidRPr="003C04A0">
        <w:rPr>
          <w:bCs/>
          <w:vertAlign w:val="superscript"/>
          <w:lang w:eastAsia="en-US"/>
        </w:rPr>
        <w:t>th</w:t>
      </w:r>
      <w:r w:rsidR="005B4A29">
        <w:rPr>
          <w:bCs/>
          <w:lang w:eastAsia="en-US"/>
        </w:rPr>
        <w:t xml:space="preserve"> placed bidders </w:t>
      </w:r>
      <w:r w:rsidR="008334EB">
        <w:rPr>
          <w:bCs/>
          <w:lang w:eastAsia="en-US"/>
        </w:rPr>
        <w:t>will be invited to the ITT</w:t>
      </w:r>
      <w:r w:rsidR="005B48B3">
        <w:rPr>
          <w:bCs/>
          <w:lang w:eastAsia="en-US"/>
        </w:rPr>
        <w:t>.</w:t>
      </w:r>
      <w:r w:rsidR="00230B97">
        <w:rPr>
          <w:bCs/>
          <w:lang w:eastAsia="en-US"/>
        </w:rPr>
        <w:t xml:space="preserve">  </w:t>
      </w:r>
    </w:p>
    <w:p w:rsidR="00D977D6" w:rsidRPr="00741D2D" w:rsidRDefault="00655EC0" w:rsidP="000F6C87">
      <w:pPr>
        <w:pStyle w:val="Heading1"/>
        <w:jc w:val="both"/>
        <w:rPr>
          <w:rFonts w:ascii="Arial" w:hAnsi="Arial" w:cs="Arial"/>
          <w:sz w:val="22"/>
          <w:szCs w:val="22"/>
          <w:lang w:eastAsia="en-US"/>
        </w:rPr>
      </w:pPr>
      <w:r w:rsidRPr="005C6A80">
        <w:rPr>
          <w:rFonts w:ascii="Arial" w:hAnsi="Arial" w:cs="Arial"/>
          <w:b w:val="0"/>
          <w:sz w:val="22"/>
          <w:szCs w:val="22"/>
          <w:lang w:eastAsia="en-US"/>
        </w:rPr>
        <w:br w:type="page"/>
      </w:r>
      <w:bookmarkStart w:id="54" w:name="_Toc457578388"/>
      <w:r w:rsidR="00D977D6" w:rsidRPr="00665252">
        <w:rPr>
          <w:rFonts w:ascii="Arial" w:hAnsi="Arial" w:cs="Arial"/>
          <w:sz w:val="22"/>
          <w:szCs w:val="22"/>
        </w:rPr>
        <w:lastRenderedPageBreak/>
        <w:t>PART TWO – BIDD</w:t>
      </w:r>
      <w:r w:rsidR="00EF2961" w:rsidRPr="00665252">
        <w:rPr>
          <w:rFonts w:ascii="Arial" w:hAnsi="Arial" w:cs="Arial"/>
          <w:sz w:val="22"/>
          <w:szCs w:val="22"/>
        </w:rPr>
        <w:t>ER PQQ</w:t>
      </w:r>
      <w:r w:rsidR="00D977D6" w:rsidRPr="00665252">
        <w:rPr>
          <w:rFonts w:ascii="Arial" w:hAnsi="Arial" w:cs="Arial"/>
          <w:sz w:val="22"/>
          <w:szCs w:val="22"/>
        </w:rPr>
        <w:t xml:space="preserve"> GUIDANCE</w:t>
      </w:r>
      <w:bookmarkEnd w:id="54"/>
    </w:p>
    <w:p w:rsidR="00B12408" w:rsidRPr="00665252" w:rsidRDefault="00365D80" w:rsidP="00BD10EC">
      <w:pPr>
        <w:pStyle w:val="Heading3"/>
        <w:keepNext w:val="0"/>
        <w:widowControl w:val="0"/>
        <w:numPr>
          <w:ilvl w:val="0"/>
          <w:numId w:val="27"/>
        </w:numPr>
        <w:ind w:left="0" w:firstLine="0"/>
        <w:rPr>
          <w:rFonts w:ascii="Arial" w:hAnsi="Arial" w:cs="Arial"/>
          <w:sz w:val="22"/>
          <w:szCs w:val="22"/>
        </w:rPr>
      </w:pPr>
      <w:bookmarkStart w:id="55" w:name="_Toc457578389"/>
      <w:r w:rsidRPr="00665252">
        <w:rPr>
          <w:rFonts w:ascii="Arial" w:hAnsi="Arial" w:cs="Arial"/>
          <w:sz w:val="22"/>
          <w:szCs w:val="22"/>
        </w:rPr>
        <w:t>Introduction</w:t>
      </w:r>
      <w:bookmarkEnd w:id="55"/>
    </w:p>
    <w:p w:rsidR="00B12408" w:rsidRPr="00665252" w:rsidRDefault="00B12408" w:rsidP="00BD10EC"/>
    <w:p w:rsidR="00EC3465" w:rsidRPr="00665252" w:rsidRDefault="00803CC3" w:rsidP="00BD10EC">
      <w:pPr>
        <w:jc w:val="both"/>
      </w:pPr>
      <w:r w:rsidRPr="00665252">
        <w:t>This Pre-Qualification Questionnaire (PQQ)</w:t>
      </w:r>
      <w:r w:rsidR="00EC3465" w:rsidRPr="00665252">
        <w:t xml:space="preserve"> has been issued by the Authority in connection with a competitive procurement conducted under the Public Contract Regulations 20</w:t>
      </w:r>
      <w:r w:rsidR="00724610" w:rsidRPr="00665252">
        <w:t>15</w:t>
      </w:r>
    </w:p>
    <w:p w:rsidR="00EC3465" w:rsidRPr="00665252" w:rsidRDefault="00EC3465" w:rsidP="00BD10EC">
      <w:pPr>
        <w:jc w:val="both"/>
      </w:pPr>
    </w:p>
    <w:p w:rsidR="00724610" w:rsidRPr="00665252" w:rsidRDefault="00EC3465" w:rsidP="00BD10EC">
      <w:pPr>
        <w:jc w:val="both"/>
      </w:pPr>
      <w:r w:rsidRPr="00665252">
        <w:t xml:space="preserve">Below, please find some guidance </w:t>
      </w:r>
      <w:r w:rsidR="00803CC3" w:rsidRPr="00665252">
        <w:t>regarding the content of the PQQ</w:t>
      </w:r>
      <w:r w:rsidRPr="00665252">
        <w:t xml:space="preserve">.  </w:t>
      </w:r>
    </w:p>
    <w:p w:rsidR="00803CC3" w:rsidRPr="00665252" w:rsidRDefault="00803CC3" w:rsidP="00BD10EC">
      <w:pPr>
        <w:jc w:val="both"/>
      </w:pPr>
    </w:p>
    <w:p w:rsidR="00ED03B6" w:rsidRPr="00665252" w:rsidRDefault="00ED03B6" w:rsidP="00BD10EC">
      <w:pPr>
        <w:jc w:val="both"/>
      </w:pPr>
      <w:r w:rsidRPr="00665252">
        <w:t>Please note the b</w:t>
      </w:r>
      <w:r w:rsidR="00803CC3" w:rsidRPr="00665252">
        <w:t>uyer will adapt the standard PQQ</w:t>
      </w:r>
      <w:r w:rsidRPr="00665252">
        <w:t xml:space="preserve"> template </w:t>
      </w:r>
      <w:r w:rsidR="00B910B3" w:rsidRPr="00665252">
        <w:t>by selecting the</w:t>
      </w:r>
      <w:r w:rsidRPr="00665252">
        <w:t xml:space="preserve"> appropriate </w:t>
      </w:r>
      <w:r w:rsidR="00B910B3" w:rsidRPr="00665252">
        <w:t xml:space="preserve">questions for the requirement. </w:t>
      </w:r>
    </w:p>
    <w:p w:rsidR="00ED03B6" w:rsidRPr="00665252" w:rsidRDefault="00ED03B6" w:rsidP="00BD10EC">
      <w:pPr>
        <w:jc w:val="both"/>
      </w:pPr>
    </w:p>
    <w:p w:rsidR="00B12408" w:rsidRPr="00665252" w:rsidRDefault="00EC3465" w:rsidP="00BD10EC">
      <w:pPr>
        <w:jc w:val="both"/>
      </w:pPr>
      <w:r w:rsidRPr="00665252">
        <w:t xml:space="preserve">Should a bidder have any questions or </w:t>
      </w:r>
      <w:r w:rsidR="00803CC3" w:rsidRPr="00665252">
        <w:t>clarifications regarding the PQQ</w:t>
      </w:r>
      <w:r w:rsidRPr="00665252">
        <w:t xml:space="preserve">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rsidR="00D84E00" w:rsidRDefault="00005C35" w:rsidP="00BD10EC">
      <w:pPr>
        <w:pStyle w:val="Heading3"/>
        <w:keepNext w:val="0"/>
        <w:widowControl w:val="0"/>
        <w:numPr>
          <w:ilvl w:val="0"/>
          <w:numId w:val="27"/>
        </w:numPr>
        <w:ind w:left="0" w:firstLine="0"/>
        <w:jc w:val="both"/>
        <w:rPr>
          <w:rFonts w:ascii="Arial" w:hAnsi="Arial" w:cs="Arial"/>
          <w:sz w:val="22"/>
          <w:szCs w:val="22"/>
        </w:rPr>
      </w:pPr>
      <w:bookmarkStart w:id="56" w:name="_Toc457578390"/>
      <w:r w:rsidRPr="00665252">
        <w:rPr>
          <w:rFonts w:ascii="Arial" w:hAnsi="Arial" w:cs="Arial"/>
          <w:sz w:val="22"/>
          <w:szCs w:val="22"/>
        </w:rPr>
        <w:t>Instructions, Key Documents &amp; Declarations</w:t>
      </w:r>
      <w:bookmarkEnd w:id="56"/>
    </w:p>
    <w:p w:rsidR="002118AA" w:rsidRPr="002118AA" w:rsidRDefault="002118AA" w:rsidP="002118AA"/>
    <w:p w:rsidR="00D84E00" w:rsidRDefault="00D84E00" w:rsidP="002118AA">
      <w:r w:rsidRPr="002118AA">
        <w:t>Bidder, please note that the PQQ event starts at Section 2.</w:t>
      </w:r>
    </w:p>
    <w:p w:rsidR="002118AA" w:rsidRPr="002118AA" w:rsidRDefault="002118AA" w:rsidP="002118AA"/>
    <w:p w:rsidR="00D84E00" w:rsidRDefault="00D84E00" w:rsidP="002118AA">
      <w:r w:rsidRPr="002118AA">
        <w:t>This procurement is being undertaken using a two stage tender process - Pre Qualification Questionnaire (PQQ) and the Invitation to Tender (ITT) processes.</w:t>
      </w:r>
    </w:p>
    <w:p w:rsidR="002118AA" w:rsidRPr="002118AA" w:rsidRDefault="002118AA" w:rsidP="002118AA"/>
    <w:p w:rsidR="00D84E00" w:rsidRDefault="00D84E00" w:rsidP="002118AA">
      <w:r w:rsidRPr="002118AA">
        <w:t>The bidder is to note that the PQQ is a standard template which allows the buyer to select appropriate questions for the PQQ process. Due to this flexibility the numbering within the template may not run in sequence.</w:t>
      </w:r>
    </w:p>
    <w:p w:rsidR="002118AA" w:rsidRPr="002118AA" w:rsidRDefault="002118AA" w:rsidP="002118AA"/>
    <w:p w:rsidR="00D84E00" w:rsidRDefault="00D84E00" w:rsidP="002118AA">
      <w:r w:rsidRPr="002118AA">
        <w:t>This is the Pre-Qualification Questionnaire stage of the procurement process and bidders are to complete all the required questions detailed within the PQQ, only the top ten highest scoring bidders who are successfully met the required pre-qualification required scoring criteria shall be invited to the ITT stage of the process</w:t>
      </w:r>
    </w:p>
    <w:p w:rsidR="002118AA" w:rsidRPr="002118AA" w:rsidRDefault="002118AA" w:rsidP="002118AA"/>
    <w:p w:rsidR="00D84E00" w:rsidRDefault="00D84E00" w:rsidP="002118AA">
      <w:r w:rsidRPr="002118AA">
        <w:t>BEFORE YOU CAN SEE OR ANSWER QUESTIONS YOU MUST ACCEPT THE PREREQUISITES BY CLICKING ON THE "2. Review and accept prerequisites" LINK ON THE LEFT HAND SIDE OF THIS PAGE.</w:t>
      </w:r>
    </w:p>
    <w:p w:rsidR="002118AA" w:rsidRPr="002118AA" w:rsidRDefault="002118AA" w:rsidP="002118AA"/>
    <w:p w:rsidR="00D84E00" w:rsidRPr="002118AA" w:rsidRDefault="00D84E00" w:rsidP="002118AA">
      <w:r w:rsidRPr="002118AA">
        <w:t>Bidders will need to access these documents by clicking on "references".</w:t>
      </w:r>
    </w:p>
    <w:p w:rsidR="00D84E00" w:rsidRPr="002118AA" w:rsidRDefault="00D84E00" w:rsidP="002118AA">
      <w:r w:rsidRPr="002118AA">
        <w:t xml:space="preserve">This section includes pre-requisite questions that consist of a drop-down answer, which is the only answer bidders can give.  If a bidder </w:t>
      </w:r>
      <w:r w:rsidRPr="002118AA">
        <w:rPr>
          <w:rStyle w:val="Strong"/>
          <w:color w:val="000000"/>
        </w:rPr>
        <w:t>does not agree</w:t>
      </w:r>
      <w:r w:rsidRPr="002118AA">
        <w:t xml:space="preserve"> with the drop-down response on the pre-requisite questions, it will not be able to submit the pre-requisite response and will therefore not be able to progress through to the full ITT response.</w:t>
      </w:r>
    </w:p>
    <w:p w:rsidR="00D84E00" w:rsidRPr="002118AA" w:rsidRDefault="00D84E00" w:rsidP="002118AA"/>
    <w:p w:rsidR="00D84E00" w:rsidRPr="002118AA" w:rsidRDefault="00D84E00" w:rsidP="002118AA">
      <w:r w:rsidRPr="002118AA">
        <w:t>This section also contains the following key documents:</w:t>
      </w:r>
    </w:p>
    <w:p w:rsidR="00D84E00" w:rsidRPr="002118AA" w:rsidRDefault="00D84E00" w:rsidP="002118AA">
      <w:r w:rsidRPr="002118AA">
        <w:t>Instructions and Guidance to bidders</w:t>
      </w:r>
    </w:p>
    <w:p w:rsidR="00D84E00" w:rsidRPr="002118AA" w:rsidRDefault="00D84E00" w:rsidP="002118AA">
      <w:r w:rsidRPr="002118AA">
        <w:t>PQQ evaluation matrix</w:t>
      </w:r>
    </w:p>
    <w:p w:rsidR="00D84E00" w:rsidRPr="002118AA" w:rsidRDefault="00D84E00" w:rsidP="002118AA">
      <w:r w:rsidRPr="002118AA">
        <w:t xml:space="preserve">Framework overview (Essex Framework for the Development, Delivery and Operation of Independent Living Accommodation for Older People) </w:t>
      </w:r>
    </w:p>
    <w:p w:rsidR="00D84E00" w:rsidRPr="002118AA" w:rsidRDefault="00D84E00" w:rsidP="002118AA"/>
    <w:p w:rsidR="00D84E00" w:rsidRPr="002118AA" w:rsidRDefault="00D84E00" w:rsidP="002118AA">
      <w:r w:rsidRPr="002118AA">
        <w:t>You will need to access these documents by clicking word ‘references’.</w:t>
      </w:r>
    </w:p>
    <w:p w:rsidR="00D84E00" w:rsidRPr="002118AA" w:rsidRDefault="00D84E00" w:rsidP="002118AA"/>
    <w:p w:rsidR="00D84E00" w:rsidRPr="002118AA" w:rsidRDefault="00D84E00" w:rsidP="002118AA">
      <w:r w:rsidRPr="002118AA">
        <w:t xml:space="preserve">If you have questions concerning the documentation (which are not related to functionality of the system), you will need to select messages enter the question where prompted and send </w:t>
      </w:r>
      <w:r w:rsidRPr="002118AA">
        <w:lastRenderedPageBreak/>
        <w:t>it</w:t>
      </w:r>
      <w:r w:rsidR="00BD10EC" w:rsidRPr="002118AA">
        <w:t xml:space="preserve"> </w:t>
      </w:r>
      <w:r w:rsidRPr="002118AA">
        <w:t>to us. Only questions asked in this manner will be responded to and responses will be broadcast to all bidders</w:t>
      </w:r>
    </w:p>
    <w:p w:rsidR="00D84E00" w:rsidRPr="002118AA" w:rsidRDefault="00D84E00" w:rsidP="002118AA"/>
    <w:p w:rsidR="00D84E00" w:rsidRPr="002118AA" w:rsidRDefault="00D84E00" w:rsidP="002118AA">
      <w:r w:rsidRPr="002118AA">
        <w:t xml:space="preserve">The last date for questions to be asked is </w:t>
      </w:r>
      <w:r w:rsidR="005B4A29">
        <w:t xml:space="preserve">17.00 </w:t>
      </w:r>
      <w:r w:rsidR="005B4A29" w:rsidRPr="00160955">
        <w:t>hrs</w:t>
      </w:r>
      <w:r w:rsidR="00160955">
        <w:t xml:space="preserve"> 26</w:t>
      </w:r>
      <w:r w:rsidR="00160955" w:rsidRPr="00160955">
        <w:rPr>
          <w:vertAlign w:val="superscript"/>
        </w:rPr>
        <w:t>th</w:t>
      </w:r>
      <w:r w:rsidR="00160955">
        <w:t xml:space="preserve"> August 2016</w:t>
      </w:r>
      <w:r w:rsidRPr="002118AA">
        <w:t xml:space="preserve">. Questions asked after this date will be responded to at the discretion of the Authority. </w:t>
      </w:r>
    </w:p>
    <w:p w:rsidR="00D84E00" w:rsidRPr="002118AA" w:rsidRDefault="00D84E00" w:rsidP="002118AA"/>
    <w:p w:rsidR="00A465F0" w:rsidRPr="002118AA" w:rsidRDefault="00D84E00" w:rsidP="002118AA">
      <w:r w:rsidRPr="002118AA">
        <w:t xml:space="preserve">The closing date for Expressions of Interest is Monday </w:t>
      </w:r>
      <w:r w:rsidR="00BD10EC" w:rsidRPr="002118AA">
        <w:t>1</w:t>
      </w:r>
      <w:r w:rsidR="00BD10EC" w:rsidRPr="002118AA">
        <w:rPr>
          <w:vertAlign w:val="superscript"/>
        </w:rPr>
        <w:t>st</w:t>
      </w:r>
      <w:r w:rsidR="00BD10EC" w:rsidRPr="002118AA">
        <w:t xml:space="preserve"> September 12:00 noon.  </w:t>
      </w:r>
      <w:r w:rsidRPr="002118AA">
        <w:t>Late responses will not be accepted by the Authority</w:t>
      </w:r>
      <w:r w:rsidR="003C518E">
        <w:t>.</w:t>
      </w:r>
    </w:p>
    <w:p w:rsidR="00BD10EC" w:rsidRPr="00BD10EC" w:rsidRDefault="00BD10EC" w:rsidP="00BD10EC"/>
    <w:p w:rsidR="00BD10EC" w:rsidRDefault="00BD10EC" w:rsidP="00BD10EC">
      <w:pPr>
        <w:pStyle w:val="ListParagraph"/>
        <w:numPr>
          <w:ilvl w:val="0"/>
          <w:numId w:val="27"/>
        </w:numPr>
        <w:ind w:left="90" w:hanging="90"/>
        <w:rPr>
          <w:rFonts w:eastAsia="Times New Roman"/>
          <w:b/>
          <w:bCs/>
          <w:lang w:eastAsia="en-GB"/>
        </w:rPr>
      </w:pPr>
      <w:r w:rsidRPr="00BD10EC">
        <w:rPr>
          <w:rFonts w:eastAsia="Times New Roman"/>
          <w:b/>
          <w:bCs/>
          <w:lang w:eastAsia="en-GB"/>
        </w:rPr>
        <w:t>Instructions, Key Documents &amp; Declarations</w:t>
      </w:r>
    </w:p>
    <w:p w:rsidR="00BD10EC" w:rsidRPr="00BD10EC" w:rsidRDefault="00BD10EC" w:rsidP="00BD10EC">
      <w:r w:rsidRPr="00BD10EC">
        <w:t>The PQQ has been designed to assess the suitability of a Supplier to deliver the Authority’s contract requirements.</w:t>
      </w:r>
    </w:p>
    <w:p w:rsidR="00BD10EC" w:rsidRPr="00BD10EC" w:rsidRDefault="00BD10EC" w:rsidP="00BD10EC"/>
    <w:p w:rsidR="00BD10EC" w:rsidRPr="00BD10EC" w:rsidRDefault="00BD10EC" w:rsidP="00BD10EC">
      <w:r w:rsidRPr="00BD10EC">
        <w:t>Please ensure that you read the information detailed in the headings below, these will provide instructions and guidance how to complete the PQQ.</w:t>
      </w:r>
    </w:p>
    <w:p w:rsidR="00BD10EC" w:rsidRPr="00BD10EC" w:rsidRDefault="00BD10EC" w:rsidP="00BD10EC"/>
    <w:p w:rsidR="00BD10EC" w:rsidRPr="00BD10EC" w:rsidRDefault="00BD10EC" w:rsidP="00BD10EC">
      <w:pPr>
        <w:ind w:left="720" w:hanging="360"/>
      </w:pPr>
      <w:r w:rsidRPr="00BD10EC">
        <w:t>•</w:t>
      </w:r>
      <w:r w:rsidRPr="00BD10EC">
        <w:tab/>
        <w:t>Notes for completion</w:t>
      </w:r>
    </w:p>
    <w:p w:rsidR="00BD10EC" w:rsidRPr="00BD10EC" w:rsidRDefault="00BD10EC" w:rsidP="00BD10EC">
      <w:pPr>
        <w:ind w:left="720" w:hanging="360"/>
      </w:pPr>
      <w:r w:rsidRPr="00BD10EC">
        <w:t>•</w:t>
      </w:r>
      <w:r w:rsidRPr="00BD10EC">
        <w:tab/>
        <w:t xml:space="preserve">Verification of Information Provided </w:t>
      </w:r>
    </w:p>
    <w:p w:rsidR="00BD10EC" w:rsidRPr="00BD10EC" w:rsidRDefault="00BD10EC" w:rsidP="00BD10EC">
      <w:pPr>
        <w:ind w:left="720" w:hanging="360"/>
      </w:pPr>
      <w:r w:rsidRPr="00BD10EC">
        <w:t>•</w:t>
      </w:r>
      <w:r w:rsidRPr="00BD10EC">
        <w:tab/>
        <w:t>Sub-contracting arrangements</w:t>
      </w:r>
    </w:p>
    <w:p w:rsidR="00BD10EC" w:rsidRPr="00BD10EC" w:rsidRDefault="00BD10EC" w:rsidP="00BD10EC">
      <w:pPr>
        <w:ind w:left="720" w:hanging="360"/>
      </w:pPr>
      <w:r w:rsidRPr="00BD10EC">
        <w:t>•</w:t>
      </w:r>
      <w:r w:rsidRPr="00BD10EC">
        <w:tab/>
        <w:t>Consortium arrangements</w:t>
      </w:r>
    </w:p>
    <w:p w:rsidR="00BD10EC" w:rsidRPr="00BD10EC" w:rsidRDefault="00BD10EC" w:rsidP="00BD10EC">
      <w:pPr>
        <w:ind w:left="720" w:hanging="360"/>
      </w:pPr>
      <w:r w:rsidRPr="00BD10EC">
        <w:t>•</w:t>
      </w:r>
      <w:r w:rsidRPr="00BD10EC">
        <w:tab/>
        <w:t>Confidentiality</w:t>
      </w:r>
    </w:p>
    <w:p w:rsidR="005E2B30" w:rsidRPr="00665252" w:rsidRDefault="005E2B30" w:rsidP="00BD10EC">
      <w:pPr>
        <w:pStyle w:val="Heading3"/>
        <w:keepNext w:val="0"/>
        <w:widowControl w:val="0"/>
        <w:numPr>
          <w:ilvl w:val="0"/>
          <w:numId w:val="27"/>
        </w:numPr>
        <w:ind w:left="0" w:firstLine="0"/>
        <w:jc w:val="both"/>
        <w:rPr>
          <w:rFonts w:ascii="Arial" w:hAnsi="Arial" w:cs="Arial"/>
          <w:sz w:val="22"/>
          <w:szCs w:val="22"/>
        </w:rPr>
      </w:pPr>
      <w:bookmarkStart w:id="57" w:name="_Toc457578391"/>
      <w:r w:rsidRPr="00665252">
        <w:rPr>
          <w:rFonts w:ascii="Arial" w:hAnsi="Arial" w:cs="Arial"/>
          <w:sz w:val="22"/>
          <w:szCs w:val="22"/>
        </w:rPr>
        <w:t>Supplier Information</w:t>
      </w:r>
      <w:bookmarkEnd w:id="57"/>
    </w:p>
    <w:p w:rsidR="005E2B30" w:rsidRPr="00665252" w:rsidRDefault="005E2B30" w:rsidP="00BD10EC">
      <w:pPr>
        <w:jc w:val="both"/>
        <w:rPr>
          <w:b/>
        </w:rPr>
      </w:pPr>
    </w:p>
    <w:p w:rsidR="005E2B30" w:rsidRPr="00BD10EC" w:rsidRDefault="005E2B30" w:rsidP="00BD10EC">
      <w:pPr>
        <w:jc w:val="both"/>
      </w:pPr>
      <w:r w:rsidRPr="00BD10EC">
        <w:t>The Bidder is to complete the required information concerning their organisation and provide details of their organisations bidding model. The Bidder is to identify if they are bidding as Prime Contractor or a Consortium</w:t>
      </w:r>
      <w:r w:rsidR="00FD13ED" w:rsidRPr="00BD10EC">
        <w:t>.</w:t>
      </w:r>
    </w:p>
    <w:p w:rsidR="00803CC3" w:rsidRPr="00BD10EC" w:rsidRDefault="00803CC3" w:rsidP="00BD10EC">
      <w:pPr>
        <w:jc w:val="both"/>
      </w:pPr>
    </w:p>
    <w:p w:rsidR="00861D33" w:rsidRPr="00BD10EC" w:rsidRDefault="00A25A39" w:rsidP="00BD10EC">
      <w:pPr>
        <w:jc w:val="both"/>
      </w:pPr>
      <w:r w:rsidRPr="00BD10EC">
        <w:t>Where reference is made to a consortium, this should be read as also including any other proposed partnership, joint venture or significant sub-contracting arrangement.</w:t>
      </w:r>
    </w:p>
    <w:p w:rsidR="00A25A39" w:rsidRPr="00BD10EC" w:rsidRDefault="00A25A39" w:rsidP="00BD10EC">
      <w:pPr>
        <w:jc w:val="both"/>
      </w:pPr>
    </w:p>
    <w:p w:rsidR="00A25A39" w:rsidRPr="00BD10EC" w:rsidRDefault="00A25A39" w:rsidP="00BD10EC">
      <w:pPr>
        <w:jc w:val="both"/>
      </w:pPr>
      <w:r w:rsidRPr="00BD10EC">
        <w:t xml:space="preserve">For bidding purposes, a consortium bid is acceptable but for the purposes of entering into a contract, </w:t>
      </w:r>
      <w:r w:rsidR="00FD13ED" w:rsidRPr="00BD10EC">
        <w:t xml:space="preserve">the Authority </w:t>
      </w:r>
      <w:r w:rsidRPr="00BD10EC">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BD10EC" w:rsidRDefault="00A25A39" w:rsidP="00BD10EC">
      <w:pPr>
        <w:jc w:val="both"/>
      </w:pPr>
    </w:p>
    <w:p w:rsidR="00A25A39" w:rsidRPr="00BD10EC" w:rsidRDefault="00A25A39" w:rsidP="00BD10EC">
      <w:pPr>
        <w:tabs>
          <w:tab w:val="left" w:pos="284"/>
        </w:tabs>
        <w:jc w:val="both"/>
      </w:pPr>
      <w:r w:rsidRPr="00BD10EC">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BD10EC">
        <w:t>the Authority</w:t>
      </w:r>
      <w:r w:rsidRPr="00BD10EC">
        <w:t xml:space="preserve"> to assess the overall service proposed.</w:t>
      </w:r>
    </w:p>
    <w:p w:rsidR="00A25A39" w:rsidRPr="00BD10EC" w:rsidRDefault="00A25A39" w:rsidP="00BD10EC">
      <w:pPr>
        <w:jc w:val="both"/>
      </w:pPr>
    </w:p>
    <w:p w:rsidR="00A25A39" w:rsidRPr="00BD10EC" w:rsidRDefault="00A25A39" w:rsidP="00BD10EC">
      <w:pPr>
        <w:jc w:val="both"/>
      </w:pPr>
      <w:r w:rsidRPr="00BD10EC">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BD10EC">
        <w:t>the Authority</w:t>
      </w:r>
      <w:r w:rsidRPr="00BD10EC">
        <w:t xml:space="preserve"> so that it can make a further assessment by applying the selection criteria to the new information provided and </w:t>
      </w:r>
      <w:r w:rsidR="00FD13ED" w:rsidRPr="00BD10EC">
        <w:t xml:space="preserve">the Authority </w:t>
      </w:r>
      <w:r w:rsidRPr="00BD10EC">
        <w:t>reserves the right to reject any change which does not satisfy the selection criteria and any bidder who no longer satisfies the selection criteria.</w:t>
      </w:r>
    </w:p>
    <w:p w:rsidR="003F4BC9" w:rsidRDefault="003F4BC9" w:rsidP="00BD10EC">
      <w:pPr>
        <w:jc w:val="both"/>
      </w:pPr>
    </w:p>
    <w:p w:rsidR="003C518E" w:rsidRPr="00BD10EC" w:rsidRDefault="003C518E" w:rsidP="00BD10EC">
      <w:pPr>
        <w:jc w:val="both"/>
      </w:pPr>
    </w:p>
    <w:p w:rsidR="00D402BB" w:rsidRPr="00665252" w:rsidRDefault="00D402BB" w:rsidP="00BD10EC">
      <w:pPr>
        <w:pStyle w:val="Heading3"/>
        <w:keepNext w:val="0"/>
        <w:widowControl w:val="0"/>
        <w:numPr>
          <w:ilvl w:val="0"/>
          <w:numId w:val="27"/>
        </w:numPr>
        <w:ind w:left="0" w:firstLine="0"/>
        <w:jc w:val="both"/>
        <w:rPr>
          <w:rFonts w:ascii="Arial" w:hAnsi="Arial" w:cs="Arial"/>
          <w:sz w:val="22"/>
          <w:szCs w:val="22"/>
        </w:rPr>
      </w:pPr>
      <w:bookmarkStart w:id="58" w:name="_Toc457578392"/>
      <w:r w:rsidRPr="00665252">
        <w:rPr>
          <w:rFonts w:ascii="Arial" w:hAnsi="Arial" w:cs="Arial"/>
          <w:sz w:val="22"/>
          <w:szCs w:val="22"/>
        </w:rPr>
        <w:lastRenderedPageBreak/>
        <w:t>Grounds for Mandatory Exclusion</w:t>
      </w:r>
      <w:bookmarkEnd w:id="58"/>
    </w:p>
    <w:p w:rsidR="00D402BB" w:rsidRPr="00665252" w:rsidRDefault="00D402BB" w:rsidP="00BD10EC">
      <w:pPr>
        <w:jc w:val="both"/>
      </w:pPr>
    </w:p>
    <w:p w:rsidR="00D402BB" w:rsidRPr="00665252" w:rsidRDefault="00D402BB" w:rsidP="00BD10EC">
      <w:pPr>
        <w:jc w:val="both"/>
      </w:pPr>
      <w:r w:rsidRPr="00665252">
        <w:t>The purpose of this section is to establish the propriety of bidders.</w:t>
      </w:r>
    </w:p>
    <w:p w:rsidR="00D402BB" w:rsidRPr="00665252" w:rsidRDefault="00D402BB" w:rsidP="00BD10EC">
      <w:pPr>
        <w:jc w:val="both"/>
      </w:pPr>
      <w:r w:rsidRPr="00665252">
        <w:t xml:space="preserve"> </w:t>
      </w:r>
    </w:p>
    <w:p w:rsidR="00D402BB" w:rsidRPr="00665252" w:rsidRDefault="00D402BB" w:rsidP="00BD10EC">
      <w:pPr>
        <w:tabs>
          <w:tab w:val="left" w:pos="426"/>
        </w:tabs>
        <w:jc w:val="both"/>
      </w:pPr>
      <w:r w:rsidRPr="00665252">
        <w:t>If a bidder answers “Yes” to any of the questions in this section there will be serious doubts about propriety and the council is obliged to reject them from the procurement.</w:t>
      </w:r>
    </w:p>
    <w:p w:rsidR="00D402BB" w:rsidRPr="00665252" w:rsidRDefault="00D402BB" w:rsidP="00BD10EC">
      <w:pPr>
        <w:tabs>
          <w:tab w:val="left" w:pos="426"/>
        </w:tabs>
        <w:jc w:val="both"/>
      </w:pPr>
    </w:p>
    <w:p w:rsidR="00D402BB" w:rsidRPr="00665252" w:rsidRDefault="00D402BB" w:rsidP="00BD10EC">
      <w:pPr>
        <w:tabs>
          <w:tab w:val="left" w:pos="426"/>
        </w:tabs>
        <w:jc w:val="both"/>
      </w:pPr>
      <w:r w:rsidRPr="00665252">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sidRPr="00665252">
        <w:t xml:space="preserve"> the situation referred to in the questions. The bidder has to demonstrate it has taken such remedial action, to the satisfaction of the authority.</w:t>
      </w:r>
    </w:p>
    <w:p w:rsidR="00D402BB" w:rsidRPr="00665252" w:rsidRDefault="00D402BB" w:rsidP="00BD10EC">
      <w:pPr>
        <w:tabs>
          <w:tab w:val="left" w:pos="426"/>
        </w:tabs>
        <w:jc w:val="both"/>
      </w:pPr>
    </w:p>
    <w:p w:rsidR="0055304C" w:rsidRPr="00665252" w:rsidRDefault="0055304C" w:rsidP="00BD10EC">
      <w:pPr>
        <w:tabs>
          <w:tab w:val="left" w:pos="426"/>
        </w:tabs>
        <w:jc w:val="both"/>
      </w:pPr>
      <w:r w:rsidRPr="00665252">
        <w:t>The bidder is to note that the scoring methodology for this section is the following:</w:t>
      </w:r>
    </w:p>
    <w:p w:rsidR="0055304C" w:rsidRPr="00665252" w:rsidRDefault="0055304C" w:rsidP="00BD10EC">
      <w:pPr>
        <w:tabs>
          <w:tab w:val="left" w:pos="426"/>
        </w:tabs>
        <w:jc w:val="both"/>
      </w:pPr>
    </w:p>
    <w:p w:rsidR="0055304C" w:rsidRPr="00665252" w:rsidRDefault="0055304C" w:rsidP="00BD10EC">
      <w:pPr>
        <w:tabs>
          <w:tab w:val="left" w:pos="426"/>
        </w:tabs>
        <w:jc w:val="both"/>
      </w:pPr>
      <w:r w:rsidRPr="00665252">
        <w:t xml:space="preserve">Pass or Fail (where </w:t>
      </w:r>
      <w:r w:rsidR="005C455B">
        <w:t>‘No’ or with satisfactory self-</w:t>
      </w:r>
      <w:r w:rsidRPr="00665252">
        <w:t>cleaning = Pass and ‘Yes’ with no satisfactory self-cleaning = Fails</w:t>
      </w:r>
    </w:p>
    <w:p w:rsidR="0055304C" w:rsidRPr="00665252" w:rsidRDefault="0055304C" w:rsidP="00BD10EC">
      <w:pPr>
        <w:tabs>
          <w:tab w:val="left" w:pos="426"/>
        </w:tabs>
        <w:jc w:val="both"/>
      </w:pPr>
    </w:p>
    <w:p w:rsidR="0055304C" w:rsidRPr="00665252" w:rsidRDefault="0055304C" w:rsidP="00BD10EC">
      <w:pPr>
        <w:pStyle w:val="Heading3"/>
        <w:numPr>
          <w:ilvl w:val="0"/>
          <w:numId w:val="27"/>
        </w:numPr>
        <w:ind w:left="0" w:firstLine="0"/>
        <w:jc w:val="both"/>
        <w:rPr>
          <w:rFonts w:ascii="Arial" w:hAnsi="Arial" w:cs="Arial"/>
          <w:sz w:val="22"/>
          <w:szCs w:val="22"/>
        </w:rPr>
      </w:pPr>
      <w:bookmarkStart w:id="59" w:name="_Toc457578393"/>
      <w:r w:rsidRPr="00665252">
        <w:rPr>
          <w:rFonts w:ascii="Arial" w:hAnsi="Arial" w:cs="Arial"/>
          <w:sz w:val="22"/>
          <w:szCs w:val="22"/>
        </w:rPr>
        <w:t>Grounds for Discretionary Exclusion</w:t>
      </w:r>
      <w:r w:rsidR="00EB10D1" w:rsidRPr="00665252">
        <w:rPr>
          <w:rFonts w:ascii="Arial" w:hAnsi="Arial" w:cs="Arial"/>
          <w:sz w:val="22"/>
          <w:szCs w:val="22"/>
        </w:rPr>
        <w:t xml:space="preserve"> – Part </w:t>
      </w:r>
      <w:r w:rsidR="000F6C87">
        <w:rPr>
          <w:rFonts w:ascii="Arial" w:hAnsi="Arial" w:cs="Arial"/>
          <w:sz w:val="22"/>
          <w:szCs w:val="22"/>
        </w:rPr>
        <w:t>One</w:t>
      </w:r>
      <w:bookmarkEnd w:id="59"/>
      <w:r w:rsidRPr="00665252">
        <w:rPr>
          <w:rFonts w:ascii="Arial" w:hAnsi="Arial" w:cs="Arial"/>
          <w:sz w:val="22"/>
          <w:szCs w:val="22"/>
        </w:rPr>
        <w:t xml:space="preserve"> </w:t>
      </w:r>
    </w:p>
    <w:p w:rsidR="0055304C" w:rsidRPr="00665252" w:rsidRDefault="0055304C" w:rsidP="00BD10EC">
      <w:pPr>
        <w:jc w:val="both"/>
      </w:pPr>
    </w:p>
    <w:p w:rsidR="0055304C" w:rsidRPr="00665252" w:rsidRDefault="0055304C" w:rsidP="00BD10EC">
      <w:pPr>
        <w:jc w:val="both"/>
      </w:pPr>
      <w:r w:rsidRPr="00665252">
        <w:t>The purpose of this section is to establish the propriety of bidders.</w:t>
      </w:r>
    </w:p>
    <w:p w:rsidR="0055304C" w:rsidRPr="00665252" w:rsidRDefault="0055304C" w:rsidP="00BD10EC">
      <w:pPr>
        <w:jc w:val="both"/>
      </w:pPr>
      <w:r w:rsidRPr="00665252">
        <w:t xml:space="preserve"> </w:t>
      </w:r>
    </w:p>
    <w:p w:rsidR="0055304C" w:rsidRPr="00665252" w:rsidRDefault="0055304C" w:rsidP="00BD10EC">
      <w:pPr>
        <w:jc w:val="both"/>
      </w:pPr>
      <w:r w:rsidRPr="00665252">
        <w:t>If a bidder answers “Yes” to any of the questions in this section there may be doubts about the propriety of the bidd</w:t>
      </w:r>
      <w:r w:rsidR="00F70F43" w:rsidRPr="00665252">
        <w:t>er. However, the Authority</w:t>
      </w:r>
      <w:r w:rsidRPr="00665252">
        <w:t xml:space="preserve"> will consider any information that the bidder provides which clearly indicates that any past conduct or problem has been resolved and that steps have been taken to prevent its recurrence.</w:t>
      </w:r>
    </w:p>
    <w:p w:rsidR="00F70F43" w:rsidRPr="00665252" w:rsidRDefault="00F70F43" w:rsidP="00BD10EC">
      <w:pPr>
        <w:jc w:val="both"/>
      </w:pPr>
    </w:p>
    <w:p w:rsidR="00F70F43" w:rsidRPr="00665252" w:rsidRDefault="00F70F43" w:rsidP="00BD10EC">
      <w:pPr>
        <w:jc w:val="both"/>
      </w:pPr>
      <w:r w:rsidRPr="00665252">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665252" w:rsidRDefault="00F70F43" w:rsidP="00BD10EC">
      <w:pPr>
        <w:jc w:val="both"/>
      </w:pPr>
    </w:p>
    <w:p w:rsidR="00F70F43" w:rsidRPr="00665252" w:rsidRDefault="00F70F43" w:rsidP="00BD10EC">
      <w:pPr>
        <w:jc w:val="both"/>
      </w:pPr>
      <w:r w:rsidRPr="00665252">
        <w:t>The bidder is to note that the scoring methodology for this section is the following:</w:t>
      </w:r>
    </w:p>
    <w:p w:rsidR="00F70F43" w:rsidRPr="00665252" w:rsidRDefault="00F70F43" w:rsidP="00BD10EC">
      <w:pPr>
        <w:jc w:val="both"/>
      </w:pPr>
    </w:p>
    <w:p w:rsidR="00F70F43" w:rsidRPr="00665252" w:rsidRDefault="00F70F43" w:rsidP="00BD10EC">
      <w:pPr>
        <w:jc w:val="both"/>
      </w:pPr>
      <w:r w:rsidRPr="00665252">
        <w:t>Pass or Fail (where ‘No’ or with satisfactory self- cleaning = Pass and ‘Yes’ with no satisfactory self-cleaning = Fails</w:t>
      </w:r>
    </w:p>
    <w:p w:rsidR="00EB10D1" w:rsidRPr="00896E27" w:rsidRDefault="00EB10D1" w:rsidP="00BD10EC">
      <w:pPr>
        <w:pStyle w:val="Heading3"/>
        <w:numPr>
          <w:ilvl w:val="0"/>
          <w:numId w:val="27"/>
        </w:numPr>
        <w:ind w:left="0" w:firstLine="0"/>
        <w:rPr>
          <w:rFonts w:ascii="Arial" w:hAnsi="Arial" w:cs="Arial"/>
          <w:sz w:val="22"/>
          <w:szCs w:val="22"/>
        </w:rPr>
      </w:pPr>
      <w:bookmarkStart w:id="60" w:name="_Toc457578394"/>
      <w:r w:rsidRPr="00896E27">
        <w:rPr>
          <w:rFonts w:ascii="Arial" w:hAnsi="Arial" w:cs="Arial"/>
          <w:sz w:val="22"/>
          <w:szCs w:val="22"/>
        </w:rPr>
        <w:t>Grounds for Discretionary Exclusion – Part Two</w:t>
      </w:r>
      <w:bookmarkEnd w:id="60"/>
    </w:p>
    <w:p w:rsidR="00EB10D1" w:rsidRPr="00896E27" w:rsidRDefault="00EB10D1" w:rsidP="00BD10EC"/>
    <w:p w:rsidR="00EB10D1" w:rsidRPr="00896E27" w:rsidRDefault="00B31E97" w:rsidP="00BD10EC">
      <w:pPr>
        <w:jc w:val="both"/>
      </w:pPr>
      <w:r w:rsidRPr="00896E27">
        <w:t xml:space="preserve">This section relates to tax compliance where the authority has indicated that the contract is over £5 million in value and the authority is a Central Government Department (including their Executive Agencies and Non Departmental Public Bodies) </w:t>
      </w:r>
    </w:p>
    <w:p w:rsidR="00EB10D1" w:rsidRPr="00896E27" w:rsidRDefault="00EB10D1" w:rsidP="00BD10EC">
      <w:pPr>
        <w:jc w:val="both"/>
      </w:pPr>
    </w:p>
    <w:p w:rsidR="00B31E97" w:rsidRPr="00896E27" w:rsidRDefault="00B31E97" w:rsidP="00BD10EC">
      <w:pPr>
        <w:tabs>
          <w:tab w:val="left" w:pos="426"/>
        </w:tabs>
        <w:jc w:val="both"/>
      </w:pPr>
      <w:r w:rsidRPr="00896E27">
        <w:t xml:space="preserve">The Authority </w:t>
      </w:r>
      <w:r w:rsidR="003C3713" w:rsidRPr="00896E27">
        <w:t>reserves</w:t>
      </w:r>
      <w:r w:rsidRPr="00896E27">
        <w:t xml:space="preserve"> the right to use its discretion to exclude a Supplier where it can demonstrate the Supplier’s non-payment of taxes/social contribution where no binding legal decision has been taken.</w:t>
      </w:r>
    </w:p>
    <w:p w:rsidR="003C3713" w:rsidRPr="00896E27" w:rsidRDefault="003C3713" w:rsidP="00BD10EC">
      <w:pPr>
        <w:tabs>
          <w:tab w:val="left" w:pos="426"/>
        </w:tabs>
        <w:jc w:val="both"/>
      </w:pPr>
    </w:p>
    <w:p w:rsidR="003C3713" w:rsidRPr="00896E27" w:rsidRDefault="003C3713" w:rsidP="00BD10EC">
      <w:pPr>
        <w:tabs>
          <w:tab w:val="left" w:pos="426"/>
        </w:tabs>
        <w:jc w:val="both"/>
      </w:pPr>
      <w:r w:rsidRPr="00896E27">
        <w:t>The key provision for this requirement is that a bidder must state whether, from 1 April 2013 onwards:</w:t>
      </w:r>
    </w:p>
    <w:p w:rsidR="003C3713" w:rsidRPr="00896E27" w:rsidRDefault="003C3713" w:rsidP="00BD10EC">
      <w:pPr>
        <w:tabs>
          <w:tab w:val="left" w:pos="426"/>
        </w:tabs>
        <w:jc w:val="both"/>
      </w:pPr>
    </w:p>
    <w:p w:rsidR="003C3713" w:rsidRPr="00896E27" w:rsidRDefault="003C3713" w:rsidP="002610B3">
      <w:pPr>
        <w:numPr>
          <w:ilvl w:val="0"/>
          <w:numId w:val="28"/>
        </w:numPr>
        <w:tabs>
          <w:tab w:val="left" w:pos="720"/>
        </w:tabs>
        <w:ind w:left="720"/>
        <w:jc w:val="both"/>
      </w:pPr>
      <w:r w:rsidRPr="00896E27">
        <w:lastRenderedPageBreak/>
        <w:t>If the organisation tax returns submitted on or after 1 October 2012 have given rise to a criminal conviction for tax related offences which is under spend, or to a civil penalty for fraud or evasion</w:t>
      </w:r>
      <w:r w:rsidR="004D7FD9" w:rsidRPr="00896E27">
        <w:t>; and/or</w:t>
      </w:r>
    </w:p>
    <w:p w:rsidR="004D7FD9" w:rsidRPr="00896E27" w:rsidRDefault="004D7FD9" w:rsidP="002610B3">
      <w:pPr>
        <w:numPr>
          <w:ilvl w:val="0"/>
          <w:numId w:val="28"/>
        </w:numPr>
        <w:tabs>
          <w:tab w:val="left" w:pos="720"/>
        </w:tabs>
        <w:ind w:left="720"/>
        <w:jc w:val="both"/>
      </w:pPr>
      <w:r w:rsidRPr="00896E27">
        <w:t>Have any of your company’s tax submitted on or after 1 October 2012; been found to be incorrect as a result of:</w:t>
      </w:r>
    </w:p>
    <w:p w:rsidR="00F603CE" w:rsidRPr="00896E27" w:rsidRDefault="00F603CE" w:rsidP="00BD10EC">
      <w:pPr>
        <w:tabs>
          <w:tab w:val="left" w:pos="426"/>
        </w:tabs>
        <w:jc w:val="both"/>
      </w:pPr>
    </w:p>
    <w:p w:rsidR="004D7FD9" w:rsidRPr="00896E27" w:rsidRDefault="004D7FD9" w:rsidP="002610B3">
      <w:pPr>
        <w:numPr>
          <w:ilvl w:val="1"/>
          <w:numId w:val="28"/>
        </w:numPr>
        <w:tabs>
          <w:tab w:val="left" w:pos="426"/>
        </w:tabs>
        <w:ind w:left="1080"/>
        <w:jc w:val="both"/>
      </w:pPr>
      <w:r w:rsidRPr="00896E27">
        <w:t>HMRC successfully challenging it under the General Anti-Abuse Rule (GAAR) or after the “Halifax” abuse principle: or</w:t>
      </w:r>
    </w:p>
    <w:p w:rsidR="00F603CE" w:rsidRPr="00896E27" w:rsidRDefault="00F603CE" w:rsidP="002610B3">
      <w:pPr>
        <w:tabs>
          <w:tab w:val="left" w:pos="426"/>
        </w:tabs>
        <w:ind w:left="1080" w:hanging="360"/>
        <w:jc w:val="both"/>
      </w:pPr>
    </w:p>
    <w:p w:rsidR="004D7FD9" w:rsidRPr="00896E27" w:rsidRDefault="004D7FD9" w:rsidP="002610B3">
      <w:pPr>
        <w:numPr>
          <w:ilvl w:val="1"/>
          <w:numId w:val="28"/>
        </w:numPr>
        <w:tabs>
          <w:tab w:val="left" w:pos="426"/>
        </w:tabs>
        <w:ind w:left="1080"/>
        <w:jc w:val="both"/>
      </w:pPr>
      <w:r w:rsidRPr="00896E27">
        <w:t xml:space="preserve">A Tax Authority in a jurisdiction in which the legal entity is established successfully challenging it under any tax rules or legislation </w:t>
      </w:r>
      <w:r w:rsidR="00FB695D" w:rsidRPr="00896E27">
        <w:t>that</w:t>
      </w:r>
      <w:r w:rsidRPr="00896E27">
        <w:t xml:space="preserve"> have effect equivalent or similar to the GAAR or the “Halifax” abuse principle: or</w:t>
      </w:r>
    </w:p>
    <w:p w:rsidR="00F603CE" w:rsidRPr="00896E27" w:rsidRDefault="00F603CE" w:rsidP="002610B3">
      <w:pPr>
        <w:tabs>
          <w:tab w:val="left" w:pos="426"/>
        </w:tabs>
        <w:ind w:left="1080" w:hanging="360"/>
        <w:jc w:val="both"/>
      </w:pPr>
    </w:p>
    <w:p w:rsidR="004D7FD9" w:rsidRPr="00896E27" w:rsidRDefault="004D7FD9" w:rsidP="002610B3">
      <w:pPr>
        <w:numPr>
          <w:ilvl w:val="1"/>
          <w:numId w:val="28"/>
        </w:numPr>
        <w:tabs>
          <w:tab w:val="left" w:pos="426"/>
        </w:tabs>
        <w:ind w:left="1080"/>
        <w:jc w:val="both"/>
      </w:pPr>
      <w:r w:rsidRPr="00896E27">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p w:rsidR="004D7FD9" w:rsidRPr="00896E27" w:rsidRDefault="004D7FD9" w:rsidP="00BD10EC">
      <w:pPr>
        <w:tabs>
          <w:tab w:val="left" w:pos="426"/>
        </w:tabs>
        <w:jc w:val="both"/>
      </w:pPr>
      <w:r w:rsidRPr="00896E27">
        <w:tab/>
      </w:r>
    </w:p>
    <w:p w:rsidR="00F603CE" w:rsidRPr="00896E27" w:rsidRDefault="00F603CE" w:rsidP="00BD10EC">
      <w:pPr>
        <w:tabs>
          <w:tab w:val="left" w:pos="426"/>
        </w:tabs>
        <w:jc w:val="both"/>
      </w:pPr>
      <w:r w:rsidRPr="00896E27">
        <w:t xml:space="preserve">The date on which a return is “submitted” for the purposes of this requirement is when it is first submitted to HMRC and any subsequent amendments or re-submissions do not change that. For example, if a return is submitted on 30 September 2012 and then requires amendment and “re-submission” after 1 October 2012 that return would still count as being submitted before 1 October and therefore outside of the effect of this requirement.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HMRC, or an equivalent tax authority, will not be deemed to have “successfully challenged” a bidder until all appeal avenues are completed.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Bidders are not required to certify on behalf of any subcontractor or any other members of the supply chain or any member of their group.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Where a bidder declares that it has had an Occasion </w:t>
      </w:r>
      <w:r w:rsidR="00FB695D" w:rsidRPr="00896E27">
        <w:t>of</w:t>
      </w:r>
      <w:r w:rsidRPr="00896E27">
        <w:t xml:space="preserve"> Non Compliance (“OONC”), the Authority can, at its discretion, decide whether or not to exclude that bidder from the procurement process. In reaching a judgement, the Authority may take into account any mitigating factors provided as part of the bidder’s response; for example measures that the bidder has implemented to ensure future tax compliance. However, it should be noted that if an OONC also falls within the mandatory exclusion criteria under the Regulations then the Authority will have no discretion.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This requirement applies to all suppliers (technically all “economic operators” as defined by the Public Contracts Regulations 2015 and the Defence and Security Public Contracts Regulations 2011) bidding for contracts of £5 million or more. It applies equally to suppliers which are: </w:t>
      </w:r>
    </w:p>
    <w:p w:rsidR="00F603CE" w:rsidRPr="00896E27" w:rsidRDefault="00F603CE" w:rsidP="00BD10EC">
      <w:pPr>
        <w:tabs>
          <w:tab w:val="left" w:pos="426"/>
        </w:tabs>
        <w:jc w:val="both"/>
      </w:pPr>
    </w:p>
    <w:p w:rsidR="00F603CE" w:rsidRPr="00896E27" w:rsidRDefault="00F603CE" w:rsidP="002610B3">
      <w:pPr>
        <w:tabs>
          <w:tab w:val="left" w:pos="720"/>
        </w:tabs>
        <w:ind w:left="720" w:hanging="360"/>
        <w:jc w:val="both"/>
      </w:pPr>
      <w:r w:rsidRPr="00896E27">
        <w:t>•</w:t>
      </w:r>
      <w:r w:rsidRPr="00896E27">
        <w:tab/>
        <w:t xml:space="preserve">a body corporate or association, or an individual. </w:t>
      </w:r>
    </w:p>
    <w:p w:rsidR="00F603CE" w:rsidRPr="00896E27" w:rsidRDefault="00F603CE" w:rsidP="002610B3">
      <w:pPr>
        <w:tabs>
          <w:tab w:val="left" w:pos="720"/>
        </w:tabs>
        <w:ind w:left="720" w:hanging="360"/>
        <w:jc w:val="both"/>
      </w:pPr>
      <w:r w:rsidRPr="00896E27">
        <w:t>•</w:t>
      </w:r>
      <w:r w:rsidRPr="00896E27">
        <w:tab/>
        <w:t xml:space="preserve">a joint venture or consortium, where the self-certification must cover all members of the joint venture or consortium; </w:t>
      </w:r>
    </w:p>
    <w:p w:rsidR="00F603CE" w:rsidRPr="00896E27" w:rsidRDefault="00F603CE" w:rsidP="002610B3">
      <w:pPr>
        <w:tabs>
          <w:tab w:val="left" w:pos="720"/>
        </w:tabs>
        <w:ind w:left="720" w:hanging="360"/>
        <w:jc w:val="both"/>
      </w:pPr>
      <w:r w:rsidRPr="00896E27">
        <w:t>•</w:t>
      </w:r>
      <w:r w:rsidRPr="00896E27">
        <w:tab/>
        <w:t xml:space="preserve">a partnership, limited partnership or limited-liability partnership (LLP), in which case the self-certification must cover that partnership, limited partnership or LLP, but not the individual members; and/or </w:t>
      </w:r>
    </w:p>
    <w:p w:rsidR="00F603CE" w:rsidRPr="00896E27" w:rsidRDefault="00F603CE" w:rsidP="002610B3">
      <w:pPr>
        <w:tabs>
          <w:tab w:val="left" w:pos="720"/>
        </w:tabs>
        <w:ind w:left="720" w:hanging="360"/>
        <w:jc w:val="both"/>
      </w:pPr>
      <w:r w:rsidRPr="00896E27">
        <w:t>•</w:t>
      </w:r>
      <w:r w:rsidRPr="00896E27">
        <w:tab/>
        <w:t xml:space="preserve">a member of a group although in that case the self-certification does not cover other group companies, whether UK or non UK based.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The requirement covers: </w:t>
      </w:r>
    </w:p>
    <w:p w:rsidR="00F603CE" w:rsidRPr="00896E27" w:rsidRDefault="00F603CE" w:rsidP="00BD10EC">
      <w:pPr>
        <w:tabs>
          <w:tab w:val="left" w:pos="426"/>
        </w:tabs>
        <w:jc w:val="both"/>
      </w:pPr>
    </w:p>
    <w:p w:rsidR="00F603CE" w:rsidRPr="00896E27" w:rsidRDefault="00F603CE" w:rsidP="002610B3">
      <w:pPr>
        <w:tabs>
          <w:tab w:val="left" w:pos="426"/>
        </w:tabs>
        <w:ind w:left="720" w:hanging="360"/>
        <w:jc w:val="both"/>
      </w:pPr>
      <w:r w:rsidRPr="00896E27">
        <w:t>•</w:t>
      </w:r>
      <w:r w:rsidRPr="00896E27">
        <w:tab/>
        <w:t xml:space="preserve">all HMRC administered taxes and foreign equivalents; </w:t>
      </w:r>
    </w:p>
    <w:p w:rsidR="00F603CE" w:rsidRPr="00896E27" w:rsidRDefault="00F603CE" w:rsidP="002610B3">
      <w:pPr>
        <w:tabs>
          <w:tab w:val="left" w:pos="709"/>
        </w:tabs>
        <w:ind w:left="720" w:hanging="360"/>
        <w:jc w:val="both"/>
      </w:pPr>
      <w:r w:rsidRPr="00896E27">
        <w:lastRenderedPageBreak/>
        <w:t>•</w:t>
      </w:r>
      <w:r w:rsidRPr="00896E27">
        <w:tab/>
        <w:t xml:space="preserve">an OONC occurring in a period of 6 years prior to the self-certification date, but only where the OONC: </w:t>
      </w:r>
    </w:p>
    <w:p w:rsidR="00F603CE" w:rsidRPr="00896E27" w:rsidRDefault="00F603CE" w:rsidP="002610B3">
      <w:pPr>
        <w:pStyle w:val="ListParagraph"/>
        <w:numPr>
          <w:ilvl w:val="0"/>
          <w:numId w:val="34"/>
        </w:numPr>
        <w:ind w:left="1080"/>
        <w:jc w:val="both"/>
      </w:pPr>
      <w:r w:rsidRPr="00896E27">
        <w:t xml:space="preserve">occurs on or after 1 April 2013; and </w:t>
      </w:r>
    </w:p>
    <w:p w:rsidR="00F603CE" w:rsidRPr="00896E27" w:rsidRDefault="00F603CE" w:rsidP="002610B3">
      <w:pPr>
        <w:pStyle w:val="ListParagraph"/>
        <w:numPr>
          <w:ilvl w:val="0"/>
          <w:numId w:val="34"/>
        </w:numPr>
        <w:ind w:left="1080"/>
        <w:jc w:val="both"/>
      </w:pPr>
      <w:r w:rsidRPr="00896E27">
        <w:t xml:space="preserve">is in respect of tax returns submitted on or after 1 October 2012.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If a bidder answers ‘Yes’ to either question, they may provide details of any mitigating factors that it considers relevant and that it wishes the Authority to take into consideration in 7.2 and 7.4. This could include, for example: </w:t>
      </w:r>
    </w:p>
    <w:p w:rsidR="00F603CE" w:rsidRPr="00896E27" w:rsidRDefault="00F603CE" w:rsidP="00BD10EC">
      <w:pPr>
        <w:tabs>
          <w:tab w:val="left" w:pos="426"/>
        </w:tabs>
        <w:jc w:val="both"/>
      </w:pPr>
    </w:p>
    <w:p w:rsidR="00F603CE" w:rsidRPr="00896E27" w:rsidRDefault="00F603CE" w:rsidP="002610B3">
      <w:pPr>
        <w:ind w:left="720" w:hanging="360"/>
        <w:jc w:val="both"/>
      </w:pPr>
      <w:r w:rsidRPr="00896E27">
        <w:t>•</w:t>
      </w:r>
      <w:r w:rsidRPr="00896E27">
        <w:tab/>
        <w:t xml:space="preserve">Corrective action undertaken by the bidder to date; </w:t>
      </w:r>
    </w:p>
    <w:p w:rsidR="00F603CE" w:rsidRPr="00896E27" w:rsidRDefault="00F603CE" w:rsidP="002610B3">
      <w:pPr>
        <w:ind w:left="720" w:hanging="360"/>
        <w:jc w:val="both"/>
      </w:pPr>
      <w:r w:rsidRPr="00896E27">
        <w:t>•</w:t>
      </w:r>
      <w:r w:rsidRPr="00896E27">
        <w:tab/>
        <w:t xml:space="preserve">Planned corrective action to be taken; </w:t>
      </w:r>
    </w:p>
    <w:p w:rsidR="00F603CE" w:rsidRPr="00896E27" w:rsidRDefault="00F603CE" w:rsidP="002610B3">
      <w:pPr>
        <w:ind w:left="720" w:hanging="360"/>
        <w:jc w:val="both"/>
      </w:pPr>
      <w:r w:rsidRPr="00896E27">
        <w:t>•</w:t>
      </w:r>
      <w:r w:rsidRPr="00896E27">
        <w:tab/>
        <w:t xml:space="preserve">Changes in personnel or ownership since the OONC; or </w:t>
      </w:r>
    </w:p>
    <w:p w:rsidR="00F603CE" w:rsidRPr="00896E27" w:rsidRDefault="00F603CE" w:rsidP="002610B3">
      <w:pPr>
        <w:ind w:left="720" w:hanging="360"/>
        <w:jc w:val="both"/>
      </w:pPr>
      <w:r w:rsidRPr="00896E27">
        <w:t>•</w:t>
      </w:r>
      <w:r w:rsidRPr="00896E27">
        <w:tab/>
        <w:t xml:space="preserve">Changes in financial, accounting, audit or management procedures since the OONC.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In order to consider any factors raised by the bidder the Authority will find it helpful to have the following information:</w:t>
      </w:r>
    </w:p>
    <w:p w:rsidR="00F603CE" w:rsidRPr="00896E27" w:rsidRDefault="00F603CE" w:rsidP="00BD10EC">
      <w:pPr>
        <w:tabs>
          <w:tab w:val="left" w:pos="426"/>
        </w:tabs>
        <w:jc w:val="both"/>
      </w:pPr>
      <w:r w:rsidRPr="00896E27">
        <w:t xml:space="preserve"> </w:t>
      </w:r>
    </w:p>
    <w:p w:rsidR="00F603CE" w:rsidRPr="00896E27" w:rsidRDefault="00F603CE" w:rsidP="002610B3">
      <w:pPr>
        <w:tabs>
          <w:tab w:val="left" w:pos="709"/>
        </w:tabs>
        <w:ind w:left="720" w:hanging="360"/>
        <w:jc w:val="both"/>
      </w:pPr>
      <w:r w:rsidRPr="00896E27">
        <w:t>•</w:t>
      </w:r>
      <w:r w:rsidRPr="00896E27">
        <w:tab/>
        <w:t xml:space="preserve">A brief description of the occasion, the tax to which it applied, and the type of “non-compliance” e.g. whether HMRC or the foreign tax authority has challenged pursuant to the GAAR, the “Halifax” abuse principle etc. </w:t>
      </w:r>
    </w:p>
    <w:p w:rsidR="00F603CE" w:rsidRPr="00896E27" w:rsidRDefault="00F603CE" w:rsidP="002610B3">
      <w:pPr>
        <w:tabs>
          <w:tab w:val="left" w:pos="426"/>
          <w:tab w:val="left" w:pos="709"/>
        </w:tabs>
        <w:ind w:left="720" w:hanging="360"/>
        <w:jc w:val="both"/>
      </w:pPr>
      <w:r w:rsidRPr="00896E27">
        <w:t>•</w:t>
      </w:r>
      <w:r w:rsidRPr="00896E27">
        <w:tab/>
      </w:r>
      <w:r w:rsidRPr="00896E27">
        <w:tab/>
        <w:t xml:space="preserve">Where the OONC relates to a DOTAS, the number of the relevant scheme. </w:t>
      </w:r>
    </w:p>
    <w:p w:rsidR="00F603CE" w:rsidRPr="00896E27" w:rsidRDefault="00F603CE" w:rsidP="002610B3">
      <w:pPr>
        <w:tabs>
          <w:tab w:val="left" w:pos="426"/>
          <w:tab w:val="left" w:pos="709"/>
        </w:tabs>
        <w:ind w:left="720" w:hanging="360"/>
        <w:jc w:val="both"/>
      </w:pPr>
      <w:r w:rsidRPr="00896E27">
        <w:t>•</w:t>
      </w:r>
      <w:r w:rsidRPr="00896E27">
        <w:tab/>
        <w:t xml:space="preserve">The date of the original “non-compliance” and the date of any judgement against the supplier, or date when the return was amended. </w:t>
      </w:r>
    </w:p>
    <w:p w:rsidR="00F603CE" w:rsidRPr="00896E27" w:rsidRDefault="00F603CE" w:rsidP="002610B3">
      <w:pPr>
        <w:tabs>
          <w:tab w:val="left" w:pos="426"/>
          <w:tab w:val="left" w:pos="709"/>
        </w:tabs>
        <w:ind w:left="720" w:hanging="360"/>
        <w:jc w:val="both"/>
      </w:pPr>
      <w:r w:rsidRPr="00896E27">
        <w:t>•</w:t>
      </w:r>
      <w:r w:rsidRPr="00896E27">
        <w:tab/>
        <w:t xml:space="preserve">The level of any penalty or criminal conviction applied. </w:t>
      </w:r>
    </w:p>
    <w:p w:rsidR="00F603CE" w:rsidRPr="00896E27" w:rsidRDefault="00F603CE" w:rsidP="00BD10EC">
      <w:pPr>
        <w:tabs>
          <w:tab w:val="left" w:pos="426"/>
        </w:tabs>
        <w:jc w:val="both"/>
      </w:pPr>
    </w:p>
    <w:p w:rsidR="003C3713" w:rsidRPr="00896E27" w:rsidRDefault="00F603CE" w:rsidP="00BD10EC">
      <w:pPr>
        <w:tabs>
          <w:tab w:val="left" w:pos="426"/>
        </w:tabs>
        <w:jc w:val="both"/>
      </w:pPr>
      <w:r w:rsidRPr="00896E27">
        <w:t>The Authority will use the information provided by bidders in their responses as part of the overall assessment of the selection stage.</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If bidders respond ‘yes’ to the tax compliance questions (i.e. they declare that they have had an OONC) then the Authority may decide to exclude them on this basis. Any such decision is at the discretion of the Authority on the basis that the tax compliance provisions are discretionary exclusion criteria under the Regulations. It is entirely appropriate for Authorities to use their judgement in reaching any decision on whether or not to exclude a bidder from </w:t>
      </w:r>
      <w:r w:rsidR="00FB695D" w:rsidRPr="00896E27">
        <w:t>procurement</w:t>
      </w:r>
      <w:r w:rsidRPr="00896E27">
        <w:t xml:space="preserve">. However, it should be noted that if an OONC also falls within the mandatory exclusion criteria under the Regulations then the Authority will have no discretion.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The questions provide for a bidder to cite mitigating factors where they have had an OONC.</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The requirement allows for mitigating factors to be set against a self-certification of an OONC. This gives the Authority discretion in relation to how to respond to an OONC and can also be a means by which the government's intention to encourage better tax compliance in future, rather than simply to punish past actions, is implemented. The acceptability of mitigating factors will be set against the particular context and nature of the OONC that is certified, using some general guidelines: </w:t>
      </w:r>
    </w:p>
    <w:p w:rsidR="00F603CE" w:rsidRPr="00896E27" w:rsidRDefault="00F603CE" w:rsidP="00BD10EC">
      <w:pPr>
        <w:tabs>
          <w:tab w:val="left" w:pos="426"/>
        </w:tabs>
        <w:jc w:val="both"/>
      </w:pPr>
    </w:p>
    <w:p w:rsidR="00F603CE" w:rsidRPr="00896E27" w:rsidRDefault="00F603CE" w:rsidP="002610B3">
      <w:pPr>
        <w:tabs>
          <w:tab w:val="left" w:pos="709"/>
        </w:tabs>
        <w:ind w:left="720" w:hanging="360"/>
        <w:jc w:val="both"/>
      </w:pPr>
      <w:r w:rsidRPr="00896E27">
        <w:t>•</w:t>
      </w:r>
      <w:r w:rsidRPr="00896E27">
        <w:tab/>
        <w:t xml:space="preserve">Since the transactions were entered into which gave rise to the OONC, the company’s senior management, or key senior personnel with responsibility for tax matters, have changed and the new personnel have stated to the contracting authority that they will not engage in similar tax avoidance; </w:t>
      </w:r>
    </w:p>
    <w:p w:rsidR="00F603CE" w:rsidRPr="00896E27" w:rsidRDefault="00F603CE" w:rsidP="002610B3">
      <w:pPr>
        <w:tabs>
          <w:tab w:val="left" w:pos="426"/>
        </w:tabs>
        <w:ind w:left="720" w:hanging="360"/>
        <w:jc w:val="both"/>
      </w:pPr>
    </w:p>
    <w:p w:rsidR="00F603CE" w:rsidRPr="00896E27" w:rsidRDefault="00F603CE" w:rsidP="002610B3">
      <w:pPr>
        <w:tabs>
          <w:tab w:val="left" w:pos="709"/>
        </w:tabs>
        <w:ind w:left="720" w:hanging="360"/>
        <w:jc w:val="both"/>
      </w:pPr>
      <w:r w:rsidRPr="00896E27">
        <w:t>•</w:t>
      </w:r>
      <w:r w:rsidRPr="00896E27">
        <w:tab/>
        <w:t xml:space="preserve">The company’s overall policy concerning tax planning has changed to become more in line with government objectives regarding tax avoidance; </w:t>
      </w:r>
    </w:p>
    <w:p w:rsidR="00F603CE" w:rsidRPr="00896E27" w:rsidRDefault="00F603CE" w:rsidP="002610B3">
      <w:pPr>
        <w:tabs>
          <w:tab w:val="left" w:pos="426"/>
        </w:tabs>
        <w:ind w:left="720" w:hanging="360"/>
        <w:jc w:val="both"/>
      </w:pPr>
    </w:p>
    <w:p w:rsidR="00F603CE" w:rsidRPr="00896E27" w:rsidRDefault="00F603CE" w:rsidP="002610B3">
      <w:pPr>
        <w:tabs>
          <w:tab w:val="left" w:pos="709"/>
        </w:tabs>
        <w:ind w:left="720" w:hanging="360"/>
        <w:jc w:val="both"/>
      </w:pPr>
      <w:r w:rsidRPr="00896E27">
        <w:t>•</w:t>
      </w:r>
      <w:r w:rsidRPr="00896E27">
        <w:tab/>
        <w:t xml:space="preserve">The OONC was an isolated one and there is no indication that the business generally adopts an “aggressive” tax stance;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Both the GAAR and the “Halifax” abuse principle are, as their names indicate, aimed at abusive tax schemes. These are schemes which involve contrived or abnormal transactions which serve no purpose other than to achieve a tax saving. The tax saving is also one that is contrary to the intentions of Parliament in relation to the legislation. The Halifax abuse principle relates to an ECJ case involving Halifax. Broadly, the ECJ ruled that whilst the tax authority can’t consider the motives of taxpayers when considering whether or not a transaction is structured primarily to avoid tax, if there is no commercial substance to the relevant transaction(s) that will, prima facie, be abuse.</w:t>
      </w:r>
    </w:p>
    <w:p w:rsidR="00F603CE" w:rsidRPr="00896E27" w:rsidRDefault="00F603CE" w:rsidP="00BD10EC">
      <w:pPr>
        <w:tabs>
          <w:tab w:val="left" w:pos="426"/>
        </w:tabs>
        <w:jc w:val="both"/>
      </w:pPr>
      <w:r w:rsidRPr="00896E27">
        <w:t xml:space="preserve"> </w:t>
      </w:r>
      <w:r w:rsidRPr="00896E27">
        <w:tab/>
      </w:r>
    </w:p>
    <w:p w:rsidR="00F603CE" w:rsidRPr="00896E27" w:rsidRDefault="00F603CE" w:rsidP="00BD10EC">
      <w:pPr>
        <w:tabs>
          <w:tab w:val="left" w:pos="426"/>
        </w:tabs>
        <w:jc w:val="both"/>
      </w:pPr>
      <w:r w:rsidRPr="00896E27">
        <w:t xml:space="preserve">The DOTAS rules apply to transactions which contain certain "hallmarks" where one of the main aims is to achieve a tax saving. The aim of the DOTAS regime is to provide HMRC with information on new schemes as they arise and on the users of those schemes. By their nature, the DOTAS rules can capture transactions which, while partly motivated by a tax saving, may still be regarded as acceptable by HMRC. An OONC only arises when a DOTAS scheme is shown to have failed and this will typically cover a wider range of scenarios than the GAAR or “Halifax” abuse principle. “Shown to have failed” will generally mean that the taxpayer has accepted the arrangement does not achieve the tax saving anticipated and this may be shown by his amending the return; accepting a tax assessment; or failing in litigation and not appealing any further.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 xml:space="preserve">Criminal convictions and civil fraud penalties giving rise to OONCs will always constitute serious matters and any mitigating factors must be considered in that context. </w:t>
      </w:r>
    </w:p>
    <w:p w:rsidR="00F603CE" w:rsidRPr="00896E27" w:rsidRDefault="00F603CE" w:rsidP="00BD10EC">
      <w:pPr>
        <w:tabs>
          <w:tab w:val="left" w:pos="426"/>
        </w:tabs>
        <w:jc w:val="both"/>
      </w:pPr>
      <w:r w:rsidRPr="00896E27">
        <w:t xml:space="preserve"> </w:t>
      </w:r>
    </w:p>
    <w:p w:rsidR="00F603CE" w:rsidRPr="00896E27" w:rsidRDefault="00F603CE" w:rsidP="00BD10EC">
      <w:pPr>
        <w:tabs>
          <w:tab w:val="left" w:pos="426"/>
        </w:tabs>
        <w:jc w:val="both"/>
      </w:pPr>
      <w:r w:rsidRPr="00896E27">
        <w:t>To ensure that UK bidders are not unfairly disadvantaged, and to meet the UK’s international commitments/ commitments under EU law in respect of foreign suppliers, any suppliers with tax obligations in foreign jurisdictions will be required to certify that there has not been an OONC in relation to the equivalent foreign tax rules.</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An OONC can arise if a business has a scheme which fails under rules in other countries which are equivalent to the UK's DOTAS and GAAR rules or to the “Halifax” abuse principle. A number of countries have general anti-abuse or general anti-avoidance rules, and some have avoidance scheme disclosure regulations. Additionally, the “Halifax” abuse principle is common to all EU member states but does not have force outside of the EU.</w:t>
      </w:r>
    </w:p>
    <w:p w:rsidR="00F603CE" w:rsidRPr="00896E27" w:rsidRDefault="00F603CE" w:rsidP="00BD10EC">
      <w:pPr>
        <w:tabs>
          <w:tab w:val="left" w:pos="426"/>
        </w:tabs>
        <w:jc w:val="both"/>
      </w:pPr>
      <w:r w:rsidRPr="00896E27">
        <w:t xml:space="preserve"> </w:t>
      </w:r>
    </w:p>
    <w:p w:rsidR="00F603CE" w:rsidRPr="00896E27" w:rsidRDefault="00F603CE" w:rsidP="00BD10EC">
      <w:pPr>
        <w:tabs>
          <w:tab w:val="left" w:pos="426"/>
        </w:tabs>
        <w:jc w:val="both"/>
      </w:pPr>
      <w:r w:rsidRPr="00896E27">
        <w:t xml:space="preserve">Large international operators should be familiar with the tax rules applicable in those territories where they are required to pay tax, and this will include those rules which relate to avoidance or abuse. Therefore, there should not be particular difficulties for international operators when self-certifying. </w:t>
      </w:r>
    </w:p>
    <w:p w:rsidR="00F603CE" w:rsidRPr="00896E27" w:rsidRDefault="00F603CE" w:rsidP="00BD10EC">
      <w:pPr>
        <w:tabs>
          <w:tab w:val="left" w:pos="426"/>
        </w:tabs>
        <w:jc w:val="both"/>
      </w:pPr>
    </w:p>
    <w:p w:rsidR="00F603CE" w:rsidRPr="00896E27" w:rsidRDefault="00F603CE" w:rsidP="00BD10EC">
      <w:pPr>
        <w:tabs>
          <w:tab w:val="left" w:pos="426"/>
        </w:tabs>
        <w:jc w:val="both"/>
      </w:pPr>
      <w:r w:rsidRPr="00896E27">
        <w:t>All other countries have criminal and civil fraud sanctions for tax evasion and therefore there is a dire</w:t>
      </w:r>
      <w:r w:rsidR="00896E27" w:rsidRPr="00896E27">
        <w:t>ct equivalent for such an OONC.</w:t>
      </w:r>
    </w:p>
    <w:p w:rsidR="000B79A6" w:rsidRPr="00665252" w:rsidRDefault="00005C35" w:rsidP="00BD10EC">
      <w:pPr>
        <w:pStyle w:val="Heading3"/>
        <w:numPr>
          <w:ilvl w:val="0"/>
          <w:numId w:val="27"/>
        </w:numPr>
        <w:ind w:left="0" w:firstLine="0"/>
        <w:jc w:val="both"/>
        <w:rPr>
          <w:rFonts w:ascii="Arial" w:hAnsi="Arial" w:cs="Arial"/>
          <w:sz w:val="22"/>
          <w:szCs w:val="22"/>
        </w:rPr>
      </w:pPr>
      <w:bookmarkStart w:id="61" w:name="_Toc457578395"/>
      <w:r w:rsidRPr="00665252">
        <w:rPr>
          <w:rFonts w:ascii="Arial" w:hAnsi="Arial" w:cs="Arial"/>
          <w:sz w:val="22"/>
          <w:szCs w:val="22"/>
        </w:rPr>
        <w:t>Economic &amp; Financial Standing</w:t>
      </w:r>
      <w:bookmarkEnd w:id="61"/>
    </w:p>
    <w:p w:rsidR="000B79A6" w:rsidRPr="00665252" w:rsidRDefault="000B79A6" w:rsidP="00BD10EC">
      <w:pPr>
        <w:jc w:val="both"/>
        <w:rPr>
          <w:b/>
        </w:rPr>
      </w:pPr>
    </w:p>
    <w:p w:rsidR="00744C02" w:rsidRPr="00665252" w:rsidRDefault="00B32FF7" w:rsidP="00BD10EC">
      <w:pPr>
        <w:jc w:val="both"/>
        <w:rPr>
          <w:lang w:eastAsia="en-US"/>
        </w:rPr>
      </w:pPr>
      <w:r w:rsidRPr="00665252">
        <w:rPr>
          <w:lang w:eastAsia="en-US"/>
        </w:rPr>
        <w:t>The purpose of this section is to ascertain bidders’</w:t>
      </w:r>
      <w:r w:rsidR="00744C02" w:rsidRPr="00665252">
        <w:rPr>
          <w:lang w:eastAsia="en-US"/>
        </w:rPr>
        <w:t xml:space="preserve"> financial stability. </w:t>
      </w:r>
    </w:p>
    <w:p w:rsidR="00B32FF7" w:rsidRPr="00665252" w:rsidRDefault="00B32FF7" w:rsidP="00BD10EC">
      <w:pPr>
        <w:jc w:val="both"/>
        <w:rPr>
          <w:lang w:eastAsia="en-US"/>
        </w:rPr>
      </w:pPr>
      <w:r w:rsidRPr="00665252">
        <w:rPr>
          <w:lang w:eastAsia="en-US"/>
        </w:rPr>
        <w:t>The</w:t>
      </w:r>
      <w:r w:rsidR="00744C02" w:rsidRPr="00665252">
        <w:rPr>
          <w:lang w:eastAsia="en-US"/>
        </w:rPr>
        <w:t xml:space="preserve"> questions </w:t>
      </w:r>
      <w:r w:rsidRPr="00665252">
        <w:rPr>
          <w:lang w:eastAsia="en-US"/>
        </w:rPr>
        <w:t xml:space="preserve">in this section </w:t>
      </w:r>
      <w:r w:rsidR="00744C02" w:rsidRPr="00665252">
        <w:rPr>
          <w:lang w:eastAsia="en-US"/>
        </w:rPr>
        <w:t>are intended to gain a ba</w:t>
      </w:r>
      <w:r w:rsidRPr="00665252">
        <w:rPr>
          <w:lang w:eastAsia="en-US"/>
        </w:rPr>
        <w:t>sic indication that the bidder</w:t>
      </w:r>
      <w:r w:rsidR="00744C02" w:rsidRPr="00665252">
        <w:rPr>
          <w:lang w:eastAsia="en-US"/>
        </w:rPr>
        <w:t xml:space="preserve"> is not a significant financial risk in relation to the particular procurement.</w:t>
      </w:r>
    </w:p>
    <w:p w:rsidR="00744C02" w:rsidRPr="00665252" w:rsidRDefault="00744C02" w:rsidP="00BD10EC">
      <w:pPr>
        <w:jc w:val="both"/>
        <w:rPr>
          <w:lang w:eastAsia="en-US"/>
        </w:rPr>
      </w:pPr>
    </w:p>
    <w:p w:rsidR="00744C02" w:rsidRPr="00665252" w:rsidRDefault="00744C02" w:rsidP="00BD10EC">
      <w:pPr>
        <w:jc w:val="both"/>
        <w:rPr>
          <w:lang w:eastAsia="en-US"/>
        </w:rPr>
      </w:pPr>
      <w:r w:rsidRPr="00665252">
        <w:rPr>
          <w:lang w:eastAsia="en-US"/>
        </w:rPr>
        <w:t>The key objective of financial ap</w:t>
      </w:r>
      <w:r w:rsidR="00B32FF7" w:rsidRPr="00665252">
        <w:rPr>
          <w:lang w:eastAsia="en-US"/>
        </w:rPr>
        <w:t>praisal is to analyse a bidder</w:t>
      </w:r>
      <w:r w:rsidRPr="00665252">
        <w:rPr>
          <w:rFonts w:eastAsia="MS Mincho"/>
          <w:lang w:eastAsia="en-US"/>
        </w:rPr>
        <w:t>’</w:t>
      </w:r>
      <w:r w:rsidRPr="00665252">
        <w:rPr>
          <w:lang w:eastAsia="en-US"/>
        </w:rPr>
        <w:t>s financial position and determine the level of risk that it would represent to the council – having regard to the contract requirement and value, criticality, and the nature of the marke</w:t>
      </w:r>
      <w:r w:rsidR="00B32FF7" w:rsidRPr="00665252">
        <w:rPr>
          <w:lang w:eastAsia="en-US"/>
        </w:rPr>
        <w:t>t. The assessment of risk will</w:t>
      </w:r>
      <w:r w:rsidRPr="00665252">
        <w:rPr>
          <w:lang w:eastAsia="en-US"/>
        </w:rPr>
        <w:t xml:space="preserve"> be based on sound business judgement rather than just the mechanistic application of financial formulae. </w:t>
      </w:r>
    </w:p>
    <w:p w:rsidR="00F70F43" w:rsidRPr="00665252" w:rsidRDefault="00F70F43" w:rsidP="00BD10EC">
      <w:pPr>
        <w:jc w:val="both"/>
        <w:rPr>
          <w:lang w:eastAsia="en-US"/>
        </w:rPr>
      </w:pPr>
    </w:p>
    <w:p w:rsidR="002610B3" w:rsidRDefault="00F70F43" w:rsidP="00BD10EC">
      <w:pPr>
        <w:jc w:val="both"/>
        <w:rPr>
          <w:lang w:eastAsia="en-US"/>
        </w:rPr>
      </w:pPr>
      <w:r w:rsidRPr="00665252">
        <w:rPr>
          <w:lang w:eastAsia="en-US"/>
        </w:rPr>
        <w:t xml:space="preserve">The bidder is to note that under Regulation 58 (9) to (14) of the Public Contract Regulation 2015, the minimum yearly turnover that a bidder is required to have shall not be less than twice the estimated contract value, except in duly justified cases. </w:t>
      </w:r>
    </w:p>
    <w:p w:rsidR="002610B3" w:rsidRDefault="002610B3" w:rsidP="00BD10EC">
      <w:pPr>
        <w:jc w:val="both"/>
        <w:rPr>
          <w:lang w:eastAsia="en-US"/>
        </w:rPr>
      </w:pPr>
    </w:p>
    <w:p w:rsidR="00F70F43" w:rsidRPr="00665252" w:rsidRDefault="009626A7" w:rsidP="00BD10EC">
      <w:pPr>
        <w:jc w:val="both"/>
        <w:rPr>
          <w:lang w:eastAsia="en-US"/>
        </w:rPr>
      </w:pPr>
      <w:r>
        <w:rPr>
          <w:lang w:eastAsia="en-US"/>
        </w:rPr>
        <w:t>For this</w:t>
      </w:r>
      <w:r w:rsidR="00F70F43" w:rsidRPr="00665252">
        <w:rPr>
          <w:lang w:eastAsia="en-US"/>
        </w:rPr>
        <w:t xml:space="preserve"> framework </w:t>
      </w:r>
      <w:r>
        <w:rPr>
          <w:lang w:eastAsia="en-US"/>
        </w:rPr>
        <w:t xml:space="preserve">the estimated value to develop a scheme is considered to be </w:t>
      </w:r>
      <w:r w:rsidR="002C5C7E">
        <w:rPr>
          <w:lang w:eastAsia="en-US"/>
        </w:rPr>
        <w:t xml:space="preserve">circa </w:t>
      </w:r>
      <w:r>
        <w:rPr>
          <w:lang w:eastAsia="en-US"/>
        </w:rPr>
        <w:t>£9 million</w:t>
      </w:r>
      <w:r w:rsidR="002C5C7E">
        <w:rPr>
          <w:lang w:eastAsia="en-US"/>
        </w:rPr>
        <w:t>.</w:t>
      </w:r>
      <w:r>
        <w:rPr>
          <w:lang w:eastAsia="en-US"/>
        </w:rPr>
        <w:t xml:space="preserve">  </w:t>
      </w:r>
      <w:r w:rsidR="002C5C7E">
        <w:rPr>
          <w:lang w:eastAsia="en-US"/>
        </w:rPr>
        <w:t>T</w:t>
      </w:r>
      <w:r>
        <w:rPr>
          <w:lang w:eastAsia="en-US"/>
        </w:rPr>
        <w:t>his</w:t>
      </w:r>
      <w:r w:rsidR="002C5C7E">
        <w:rPr>
          <w:lang w:eastAsia="en-US"/>
        </w:rPr>
        <w:t xml:space="preserve"> estimated</w:t>
      </w:r>
      <w:r>
        <w:rPr>
          <w:lang w:eastAsia="en-US"/>
        </w:rPr>
        <w:t xml:space="preserve"> figure will be used for each development to determine the maximum number of schemes a bidder will be able to develop at any one time</w:t>
      </w:r>
      <w:r w:rsidR="002C5C7E">
        <w:rPr>
          <w:lang w:eastAsia="en-US"/>
        </w:rPr>
        <w:t xml:space="preserve"> during the life of the framework</w:t>
      </w:r>
      <w:r w:rsidR="00F70F43" w:rsidRPr="00665252">
        <w:rPr>
          <w:lang w:eastAsia="en-US"/>
        </w:rPr>
        <w:t>.</w:t>
      </w:r>
      <w:r w:rsidR="002C5C7E">
        <w:rPr>
          <w:lang w:eastAsia="en-US"/>
        </w:rPr>
        <w:t xml:space="preserve"> </w:t>
      </w:r>
    </w:p>
    <w:p w:rsidR="00744C02" w:rsidRPr="00665252" w:rsidRDefault="00744C02" w:rsidP="00BD10EC">
      <w:pPr>
        <w:jc w:val="both"/>
        <w:rPr>
          <w:color w:val="0070C0"/>
          <w:lang w:eastAsia="en-US"/>
        </w:rPr>
      </w:pPr>
    </w:p>
    <w:p w:rsidR="00724610" w:rsidRPr="00665252" w:rsidRDefault="00724610" w:rsidP="00BD10EC">
      <w:pPr>
        <w:jc w:val="both"/>
        <w:rPr>
          <w:lang w:eastAsia="en-US"/>
        </w:rPr>
      </w:pPr>
      <w:r w:rsidRPr="00665252">
        <w:rPr>
          <w:lang w:eastAsia="en-US"/>
        </w:rPr>
        <w:t xml:space="preserve">The Financial standing assessment will be considered as part of the overall selection criteria, however the Authority shall </w:t>
      </w:r>
      <w:r w:rsidR="004439FD" w:rsidRPr="00665252">
        <w:rPr>
          <w:lang w:eastAsia="en-US"/>
        </w:rPr>
        <w:t xml:space="preserve">reserve the right to </w:t>
      </w:r>
      <w:r w:rsidR="00EF4492" w:rsidRPr="00665252">
        <w:rPr>
          <w:lang w:eastAsia="en-US"/>
        </w:rPr>
        <w:t xml:space="preserve">reject any bidder’s PQQ </w:t>
      </w:r>
      <w:r w:rsidRPr="00665252">
        <w:rPr>
          <w:lang w:eastAsia="en-US"/>
        </w:rPr>
        <w:t>submission where no formal guarantee can be provided by the bidder e.g. parent company guarantee, bank bond or performance bond when the orga</w:t>
      </w:r>
      <w:r w:rsidR="00F70F43" w:rsidRPr="00665252">
        <w:rPr>
          <w:lang w:eastAsia="en-US"/>
        </w:rPr>
        <w:t>nisation consolidated risk category</w:t>
      </w:r>
      <w:r w:rsidRPr="00665252">
        <w:rPr>
          <w:lang w:eastAsia="en-US"/>
        </w:rPr>
        <w:t xml:space="preserve"> </w:t>
      </w:r>
      <w:r w:rsidR="004439FD" w:rsidRPr="00665252">
        <w:rPr>
          <w:lang w:eastAsia="en-US"/>
        </w:rPr>
        <w:t>is</w:t>
      </w:r>
      <w:r w:rsidRPr="00665252">
        <w:rPr>
          <w:lang w:eastAsia="en-US"/>
        </w:rPr>
        <w:t xml:space="preserve"> </w:t>
      </w:r>
      <w:r w:rsidR="00F70F43" w:rsidRPr="00665252">
        <w:rPr>
          <w:lang w:eastAsia="en-US"/>
        </w:rPr>
        <w:t>“</w:t>
      </w:r>
      <w:r w:rsidRPr="00665252">
        <w:rPr>
          <w:lang w:eastAsia="en-US"/>
        </w:rPr>
        <w:t>high</w:t>
      </w:r>
      <w:r w:rsidR="003F1D70">
        <w:rPr>
          <w:lang w:eastAsia="en-US"/>
        </w:rPr>
        <w:t>”.</w:t>
      </w:r>
      <w:r w:rsidR="001C64B9">
        <w:rPr>
          <w:lang w:eastAsia="en-US"/>
        </w:rPr>
        <w:t>.</w:t>
      </w:r>
    </w:p>
    <w:p w:rsidR="00724610" w:rsidRPr="00665252" w:rsidRDefault="00724610" w:rsidP="00BD10EC">
      <w:pPr>
        <w:jc w:val="both"/>
        <w:rPr>
          <w:color w:val="0070C0"/>
          <w:lang w:eastAsia="en-US"/>
        </w:rPr>
      </w:pPr>
    </w:p>
    <w:p w:rsidR="00744C02" w:rsidRPr="00665252" w:rsidRDefault="00B32FF7" w:rsidP="00BD10EC">
      <w:pPr>
        <w:jc w:val="both"/>
        <w:rPr>
          <w:lang w:eastAsia="en-US"/>
        </w:rPr>
      </w:pPr>
      <w:r w:rsidRPr="00665252">
        <w:rPr>
          <w:lang w:eastAsia="en-US"/>
        </w:rPr>
        <w:t>The bidder</w:t>
      </w:r>
      <w:r w:rsidR="00744C02" w:rsidRPr="00665252">
        <w:rPr>
          <w:lang w:eastAsia="en-US"/>
        </w:rPr>
        <w:t xml:space="preserve"> </w:t>
      </w:r>
      <w:r w:rsidRPr="00665252">
        <w:rPr>
          <w:lang w:eastAsia="en-US"/>
        </w:rPr>
        <w:t xml:space="preserve">is requested to provide a copy of their accounts for the most recent two years, </w:t>
      </w:r>
      <w:r w:rsidR="00190DBC" w:rsidRPr="00665252">
        <w:rPr>
          <w:lang w:eastAsia="en-US"/>
        </w:rPr>
        <w:t>where legally applicable these should be audited accounts. In the event that the bidder is not in a position to present accounts, then required financial information is to</w:t>
      </w:r>
      <w:r w:rsidR="004E74ED" w:rsidRPr="00665252">
        <w:rPr>
          <w:lang w:eastAsia="en-US"/>
        </w:rPr>
        <w:t xml:space="preserve"> be</w:t>
      </w:r>
      <w:r w:rsidR="00190DBC" w:rsidRPr="00665252">
        <w:rPr>
          <w:lang w:eastAsia="en-US"/>
        </w:rPr>
        <w:t xml:space="preserve"> </w:t>
      </w:r>
      <w:r w:rsidR="00303DBA" w:rsidRPr="00665252">
        <w:rPr>
          <w:lang w:eastAsia="en-US"/>
        </w:rPr>
        <w:t>presented in the spread sheet provided by the Authority</w:t>
      </w:r>
      <w:r w:rsidR="00744C02" w:rsidRPr="00665252">
        <w:rPr>
          <w:lang w:eastAsia="en-US"/>
        </w:rPr>
        <w:t>. If n</w:t>
      </w:r>
      <w:r w:rsidRPr="00665252">
        <w:rPr>
          <w:lang w:eastAsia="en-US"/>
        </w:rPr>
        <w:t>ot it suggests that the bidder</w:t>
      </w:r>
      <w:r w:rsidR="00744C02" w:rsidRPr="00665252">
        <w:rPr>
          <w:lang w:eastAsia="en-US"/>
        </w:rPr>
        <w:t xml:space="preserve"> could lack effective financial controls or inform</w:t>
      </w:r>
      <w:r w:rsidRPr="00665252">
        <w:rPr>
          <w:lang w:eastAsia="en-US"/>
        </w:rPr>
        <w:t>ation. In that case the bidder</w:t>
      </w:r>
      <w:r w:rsidR="00744C02" w:rsidRPr="00665252">
        <w:rPr>
          <w:lang w:eastAsia="en-US"/>
        </w:rPr>
        <w:t xml:space="preserve"> might be at financial risk and therefore represent a risk to contract delivery as a potential contractor. </w:t>
      </w:r>
    </w:p>
    <w:p w:rsidR="00B32FF7" w:rsidRPr="00896E27" w:rsidRDefault="00B32FF7" w:rsidP="00BD10EC">
      <w:pPr>
        <w:jc w:val="both"/>
        <w:rPr>
          <w:lang w:eastAsia="en-US"/>
        </w:rPr>
      </w:pPr>
    </w:p>
    <w:p w:rsidR="00744C02" w:rsidRPr="00896E27" w:rsidRDefault="00ED03B6" w:rsidP="00BD10EC">
      <w:pPr>
        <w:jc w:val="both"/>
        <w:rPr>
          <w:lang w:eastAsia="en-US"/>
        </w:rPr>
      </w:pPr>
      <w:r w:rsidRPr="00896E27">
        <w:rPr>
          <w:lang w:eastAsia="en-US"/>
        </w:rPr>
        <w:t>Where TUPE applies to the requirement, the financial appraisal will also be used to assess the suitability of the Bidder to be able to provide Admitted Body Status.</w:t>
      </w:r>
    </w:p>
    <w:p w:rsidR="00650EC1" w:rsidRPr="00665252" w:rsidRDefault="00650EC1" w:rsidP="00BD10EC">
      <w:pPr>
        <w:jc w:val="both"/>
        <w:rPr>
          <w:b/>
        </w:rPr>
      </w:pPr>
    </w:p>
    <w:p w:rsidR="00984163" w:rsidRPr="00665252" w:rsidRDefault="00934C7A" w:rsidP="00BD10EC">
      <w:pPr>
        <w:jc w:val="both"/>
      </w:pPr>
      <w:r w:rsidRPr="00665252">
        <w:t>There is no scoring criterion for this section but bidders will be categorised by the following consolidated risk category:-</w:t>
      </w:r>
    </w:p>
    <w:p w:rsidR="00934C7A" w:rsidRPr="00665252" w:rsidRDefault="00934C7A" w:rsidP="009626A7">
      <w:pPr>
        <w:ind w:left="720" w:hanging="360"/>
        <w:jc w:val="both"/>
      </w:pPr>
    </w:p>
    <w:p w:rsidR="00934C7A" w:rsidRPr="00665252" w:rsidRDefault="00934C7A" w:rsidP="009626A7">
      <w:pPr>
        <w:numPr>
          <w:ilvl w:val="0"/>
          <w:numId w:val="26"/>
        </w:numPr>
        <w:ind w:left="720"/>
        <w:jc w:val="both"/>
      </w:pPr>
      <w:r w:rsidRPr="00665252">
        <w:t>Low Risk</w:t>
      </w:r>
    </w:p>
    <w:p w:rsidR="00934C7A" w:rsidRPr="00665252" w:rsidRDefault="00934C7A" w:rsidP="009626A7">
      <w:pPr>
        <w:numPr>
          <w:ilvl w:val="0"/>
          <w:numId w:val="26"/>
        </w:numPr>
        <w:ind w:left="720"/>
        <w:jc w:val="both"/>
      </w:pPr>
      <w:r w:rsidRPr="00665252">
        <w:t>Acceptable</w:t>
      </w:r>
    </w:p>
    <w:p w:rsidR="001C64B9" w:rsidRPr="00665252" w:rsidRDefault="00934C7A" w:rsidP="001C64B9">
      <w:pPr>
        <w:numPr>
          <w:ilvl w:val="0"/>
          <w:numId w:val="26"/>
        </w:numPr>
        <w:ind w:left="720"/>
        <w:jc w:val="both"/>
      </w:pPr>
      <w:r w:rsidRPr="00665252">
        <w:t>High Risk</w:t>
      </w:r>
    </w:p>
    <w:p w:rsidR="001C64B9" w:rsidRDefault="001C64B9" w:rsidP="006D2E04">
      <w:pPr>
        <w:jc w:val="both"/>
      </w:pPr>
    </w:p>
    <w:p w:rsidR="00934C7A" w:rsidRPr="00665252" w:rsidRDefault="00934C7A" w:rsidP="006D2E04">
      <w:pPr>
        <w:jc w:val="both"/>
      </w:pPr>
      <w:r w:rsidRPr="00665252">
        <w:t xml:space="preserve">The Financial Methodology </w:t>
      </w:r>
      <w:r w:rsidR="004439FD" w:rsidRPr="00665252">
        <w:t xml:space="preserve">in the attachment below </w:t>
      </w:r>
      <w:r w:rsidRPr="00665252">
        <w:t xml:space="preserve">will show </w:t>
      </w:r>
      <w:r w:rsidR="004E74ED" w:rsidRPr="00665252">
        <w:t>how</w:t>
      </w:r>
      <w:r w:rsidRPr="00665252">
        <w:t xml:space="preserve"> each of the consolidated risk categories </w:t>
      </w:r>
      <w:r w:rsidR="009F5D91" w:rsidRPr="00665252">
        <w:t>are</w:t>
      </w:r>
      <w:r w:rsidRPr="00665252">
        <w:t xml:space="preserve"> calculated.</w:t>
      </w:r>
    </w:p>
    <w:p w:rsidR="004439FD" w:rsidRPr="00665252" w:rsidRDefault="004439FD" w:rsidP="00BD10EC">
      <w:pPr>
        <w:tabs>
          <w:tab w:val="left" w:pos="426"/>
        </w:tabs>
        <w:jc w:val="both"/>
      </w:pPr>
    </w:p>
    <w:p w:rsidR="00984163" w:rsidRPr="00665252" w:rsidRDefault="00B14BDE" w:rsidP="00BD10EC">
      <w:pPr>
        <w:jc w:val="both"/>
      </w:pPr>
      <w:r>
        <w:object w:dxaOrig="1532" w:dyaOrig="961">
          <v:shape id="_x0000_i1026" type="#_x0000_t75" style="width:76.5pt;height:48pt" o:ole="">
            <v:imagedata r:id="rId13" o:title=""/>
          </v:shape>
          <o:OLEObject Type="Embed" ProgID="Excel.Sheet.12" ShapeID="_x0000_i1026" DrawAspect="Icon" ObjectID="_1531656706" r:id="rId14"/>
        </w:object>
      </w:r>
    </w:p>
    <w:p w:rsidR="004B6CD0" w:rsidRPr="00665252" w:rsidRDefault="004B6CD0" w:rsidP="00BD10EC">
      <w:pPr>
        <w:pStyle w:val="Heading3"/>
        <w:numPr>
          <w:ilvl w:val="0"/>
          <w:numId w:val="27"/>
        </w:numPr>
        <w:ind w:left="0" w:firstLine="0"/>
        <w:jc w:val="both"/>
        <w:rPr>
          <w:rFonts w:ascii="Arial" w:hAnsi="Arial" w:cs="Arial"/>
          <w:sz w:val="22"/>
          <w:szCs w:val="22"/>
        </w:rPr>
      </w:pPr>
      <w:bookmarkStart w:id="62" w:name="_Toc457578396"/>
      <w:r w:rsidRPr="00665252">
        <w:rPr>
          <w:rFonts w:ascii="Arial" w:hAnsi="Arial" w:cs="Arial"/>
          <w:sz w:val="22"/>
          <w:szCs w:val="22"/>
        </w:rPr>
        <w:t>Technical &amp; Professional Ability</w:t>
      </w:r>
      <w:r w:rsidR="00E72E44">
        <w:rPr>
          <w:rFonts w:ascii="Arial" w:hAnsi="Arial" w:cs="Arial"/>
          <w:sz w:val="22"/>
          <w:szCs w:val="22"/>
        </w:rPr>
        <w:t xml:space="preserve"> </w:t>
      </w:r>
      <w:r w:rsidR="001B2F28">
        <w:rPr>
          <w:rFonts w:ascii="Arial" w:hAnsi="Arial" w:cs="Arial"/>
          <w:sz w:val="22"/>
          <w:szCs w:val="22"/>
        </w:rPr>
        <w:t>– All Elements</w:t>
      </w:r>
      <w:bookmarkEnd w:id="62"/>
    </w:p>
    <w:p w:rsidR="004B6CD0" w:rsidRPr="00E72E44" w:rsidRDefault="004B6CD0" w:rsidP="00BD10EC">
      <w:pPr>
        <w:jc w:val="both"/>
      </w:pPr>
    </w:p>
    <w:p w:rsidR="00605A2C" w:rsidRDefault="00E72E44" w:rsidP="00BD10EC">
      <w:pPr>
        <w:jc w:val="both"/>
      </w:pPr>
      <w:r w:rsidRPr="00E72E44">
        <w:t>All submission</w:t>
      </w:r>
      <w:r>
        <w:t>s</w:t>
      </w:r>
      <w:r w:rsidRPr="00E72E44">
        <w:t xml:space="preserve"> in this section are scored using Table A</w:t>
      </w:r>
      <w:r>
        <w:t>.</w:t>
      </w:r>
      <w:r w:rsidR="00605A2C">
        <w:t xml:space="preserve">  Bidders who do not achieve a minimum score of 2 for each question will be excluded from progressing to the next stage of this procurement.</w:t>
      </w:r>
    </w:p>
    <w:p w:rsidR="00D45E60" w:rsidRDefault="00D45E60" w:rsidP="00BD10EC">
      <w:pPr>
        <w:jc w:val="both"/>
      </w:pPr>
    </w:p>
    <w:p w:rsidR="00D45E60" w:rsidRPr="00665252" w:rsidRDefault="00D45E60" w:rsidP="00D45E60">
      <w:pPr>
        <w:tabs>
          <w:tab w:val="left" w:pos="426"/>
        </w:tabs>
        <w:jc w:val="both"/>
        <w:rPr>
          <w:b/>
        </w:rPr>
      </w:pPr>
      <w:r>
        <w:rPr>
          <w:b/>
        </w:rPr>
        <w:t xml:space="preserve">9.1 </w:t>
      </w:r>
      <w:r w:rsidRPr="00665252">
        <w:rPr>
          <w:b/>
        </w:rPr>
        <w:t>Insurance</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PQQ will outline the insurance requirements applicable for the procurement exercise.  If a Bidder answers ‘Yes</w:t>
      </w:r>
      <w:r>
        <w:t>, already have</w:t>
      </w:r>
      <w:r w:rsidRPr="00665252">
        <w:t>’ or ‘Wil</w:t>
      </w:r>
      <w:r>
        <w:t>l commit to o</w:t>
      </w:r>
      <w:r w:rsidRPr="00665252">
        <w:t>btain</w:t>
      </w:r>
      <w:r>
        <w:t xml:space="preserve"> prior to commencement</w:t>
      </w:r>
      <w:r w:rsidRPr="00665252">
        <w:t>’ it is likely that ECC will require evidence of the insurance cover at an appropriate stage during the procurement exercise, and prior to contract award.</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lastRenderedPageBreak/>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D45E60" w:rsidRDefault="00D45E60" w:rsidP="00BD10EC">
      <w:pPr>
        <w:jc w:val="both"/>
      </w:pPr>
    </w:p>
    <w:p w:rsidR="00D45E60" w:rsidRPr="00665252" w:rsidRDefault="00D45E60" w:rsidP="00D45E60">
      <w:pPr>
        <w:tabs>
          <w:tab w:val="left" w:pos="426"/>
        </w:tabs>
        <w:jc w:val="both"/>
        <w:rPr>
          <w:b/>
        </w:rPr>
      </w:pPr>
      <w:r>
        <w:rPr>
          <w:b/>
        </w:rPr>
        <w:t xml:space="preserve">9.2 Compliance with </w:t>
      </w:r>
      <w:r w:rsidRPr="00665252">
        <w:rPr>
          <w:b/>
        </w:rPr>
        <w:t>Equality Legislation</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bidder is to detail if there has been any finding of unlawful discrimination against their organisation by an Employment Tribunal, an Employment Appeal or any other court. A summary of the investigation is to be provided, as well as any remedial action that organisation has undertaken to prevent reoccurrence.</w:t>
      </w:r>
    </w:p>
    <w:p w:rsidR="00D45E60" w:rsidRPr="00665252" w:rsidRDefault="00D45E60" w:rsidP="00D45E60">
      <w:pPr>
        <w:tabs>
          <w:tab w:val="left" w:pos="426"/>
        </w:tabs>
        <w:jc w:val="both"/>
      </w:pPr>
    </w:p>
    <w:p w:rsidR="00D45E60" w:rsidRPr="00665252" w:rsidRDefault="00D45E60" w:rsidP="00D45E60">
      <w:pPr>
        <w:tabs>
          <w:tab w:val="left" w:pos="426"/>
        </w:tabs>
        <w:jc w:val="both"/>
      </w:pPr>
      <w:r>
        <w:t>If</w:t>
      </w:r>
      <w:r w:rsidRPr="00665252">
        <w:t xml:space="preserve"> you are an organisation located outside of UK please refer to equivalent legislation in the country you are based.</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bidder is to provide details of any complaint upheld by the Equality and Human Rights Commission in the last three year. A summary of the investigation is to be provided, as well as any remedial action that organisation has undertaken to prevent reoccurrence</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bidder is also required to provide overview of any processes they have in place to check whether any of the above circumstances apply to any of their sub-contractors.</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Further information regarding the areas covered in this section can be found at:</w:t>
      </w:r>
    </w:p>
    <w:p w:rsidR="00D45E60" w:rsidRPr="00665252" w:rsidRDefault="00D45E60" w:rsidP="00D45E60">
      <w:pPr>
        <w:tabs>
          <w:tab w:val="left" w:pos="426"/>
        </w:tabs>
        <w:jc w:val="both"/>
      </w:pPr>
    </w:p>
    <w:p w:rsidR="00D45E60" w:rsidRPr="00665252" w:rsidRDefault="002D6E30" w:rsidP="00D45E60">
      <w:pPr>
        <w:tabs>
          <w:tab w:val="left" w:pos="426"/>
        </w:tabs>
        <w:jc w:val="both"/>
      </w:pPr>
      <w:hyperlink r:id="rId15" w:history="1">
        <w:r w:rsidR="00D45E60" w:rsidRPr="00665252">
          <w:rPr>
            <w:rStyle w:val="Hyperlink"/>
          </w:rPr>
          <w:t>www.equalityhumanrights.com</w:t>
        </w:r>
      </w:hyperlink>
      <w:r w:rsidR="00D45E60" w:rsidRPr="00665252">
        <w:t xml:space="preserve"> or </w:t>
      </w:r>
      <w:hyperlink r:id="rId16" w:history="1">
        <w:r w:rsidR="00D45E60" w:rsidRPr="00665252">
          <w:rPr>
            <w:rStyle w:val="Hyperlink"/>
          </w:rPr>
          <w:t>www.gov.uk</w:t>
        </w:r>
      </w:hyperlink>
      <w:r w:rsidR="00D45E60" w:rsidRPr="00665252">
        <w:t>.</w:t>
      </w:r>
    </w:p>
    <w:p w:rsidR="00D45E60" w:rsidRDefault="00D45E60" w:rsidP="00BD10EC">
      <w:pPr>
        <w:jc w:val="both"/>
      </w:pPr>
    </w:p>
    <w:p w:rsidR="00D45E60" w:rsidRPr="00665252" w:rsidRDefault="00D45E60" w:rsidP="00D45E60">
      <w:pPr>
        <w:tabs>
          <w:tab w:val="left" w:pos="426"/>
        </w:tabs>
        <w:jc w:val="both"/>
        <w:rPr>
          <w:b/>
        </w:rPr>
      </w:pPr>
      <w:r>
        <w:rPr>
          <w:b/>
        </w:rPr>
        <w:t xml:space="preserve">9.3 </w:t>
      </w:r>
      <w:r w:rsidRPr="00665252">
        <w:rPr>
          <w:b/>
        </w:rPr>
        <w:t>Health &amp; Safety</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bidder is to self-certify that their organisation has a Health and Safety Policy that complies with current legislation.</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 xml:space="preserve">The bidder is to provide details of receipts of any enforcement orders in relation to the Health and Safety Executive given to their Directors or Executive Officers in the last three years.  A summary of the investigation is to be provided, as well as any remedial action that organisation has undertaken to prevent reoccurrence. </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The bidder is also required to provide an overview of any processes they have in place to check whether any of the above circumstances apply to any of their sub-contractors.</w:t>
      </w:r>
    </w:p>
    <w:p w:rsidR="00D45E60" w:rsidRPr="00665252" w:rsidRDefault="00D45E60" w:rsidP="00D45E60">
      <w:pPr>
        <w:tabs>
          <w:tab w:val="left" w:pos="426"/>
        </w:tabs>
        <w:jc w:val="both"/>
      </w:pPr>
    </w:p>
    <w:p w:rsidR="00D45E60" w:rsidRDefault="00D45E60" w:rsidP="00D45E60">
      <w:pPr>
        <w:jc w:val="both"/>
      </w:pPr>
      <w:r w:rsidRPr="00665252">
        <w:t xml:space="preserve">Further information regarding the areas covered </w:t>
      </w:r>
      <w:r>
        <w:t xml:space="preserve">in this section can be found at </w:t>
      </w:r>
      <w:hyperlink r:id="rId17" w:history="1">
        <w:r w:rsidRPr="00665252">
          <w:rPr>
            <w:rStyle w:val="Hyperlink"/>
          </w:rPr>
          <w:t>www.hse.gov.uk</w:t>
        </w:r>
      </w:hyperlink>
    </w:p>
    <w:p w:rsidR="00D45E60" w:rsidRDefault="00D45E60" w:rsidP="00BD10EC">
      <w:pPr>
        <w:jc w:val="both"/>
      </w:pPr>
    </w:p>
    <w:p w:rsidR="00D45E60" w:rsidRPr="00665252" w:rsidRDefault="00D45E60" w:rsidP="00D45E60">
      <w:pPr>
        <w:tabs>
          <w:tab w:val="left" w:pos="426"/>
        </w:tabs>
        <w:jc w:val="both"/>
        <w:rPr>
          <w:b/>
        </w:rPr>
      </w:pPr>
      <w:r>
        <w:rPr>
          <w:b/>
        </w:rPr>
        <w:t xml:space="preserve">9.4 </w:t>
      </w:r>
      <w:r w:rsidRPr="00665252">
        <w:rPr>
          <w:b/>
        </w:rPr>
        <w:t>E-Procurement</w:t>
      </w:r>
    </w:p>
    <w:p w:rsidR="00D45E60" w:rsidRPr="00665252" w:rsidRDefault="00D45E60" w:rsidP="00D45E60">
      <w:pPr>
        <w:tabs>
          <w:tab w:val="left" w:pos="426"/>
        </w:tabs>
        <w:jc w:val="both"/>
        <w:rPr>
          <w:b/>
        </w:rPr>
      </w:pPr>
    </w:p>
    <w:p w:rsidR="00D45E60" w:rsidRPr="00665252" w:rsidRDefault="00D45E60" w:rsidP="00D45E60">
      <w:pPr>
        <w:tabs>
          <w:tab w:val="left" w:pos="426"/>
        </w:tabs>
        <w:jc w:val="both"/>
      </w:pPr>
      <w:r w:rsidRPr="00665252">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lastRenderedPageBreak/>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D45E60" w:rsidRPr="00665252" w:rsidRDefault="00D45E60" w:rsidP="00D45E60">
      <w:pPr>
        <w:tabs>
          <w:tab w:val="left" w:pos="426"/>
        </w:tabs>
        <w:jc w:val="both"/>
      </w:pPr>
    </w:p>
    <w:p w:rsidR="00D45E60" w:rsidRPr="00665252" w:rsidRDefault="00D45E60" w:rsidP="00D45E60">
      <w:pPr>
        <w:tabs>
          <w:tab w:val="left" w:pos="426"/>
        </w:tabs>
        <w:jc w:val="both"/>
      </w:pPr>
      <w:r w:rsidRPr="00665252">
        <w:t>Please familiarise yourself with IDeA:marketplace, information on which can be found on our website.</w:t>
      </w:r>
    </w:p>
    <w:p w:rsidR="00D45E60" w:rsidRDefault="00D45E60" w:rsidP="00BD10EC">
      <w:pPr>
        <w:jc w:val="both"/>
      </w:pPr>
    </w:p>
    <w:p w:rsidR="00E72E44" w:rsidRPr="00E72E44" w:rsidRDefault="00536408" w:rsidP="00BD10EC">
      <w:pPr>
        <w:jc w:val="both"/>
        <w:rPr>
          <w:b/>
        </w:rPr>
      </w:pPr>
      <w:r>
        <w:rPr>
          <w:b/>
        </w:rPr>
        <w:t>9.</w:t>
      </w:r>
      <w:r w:rsidR="001B2F28">
        <w:rPr>
          <w:b/>
        </w:rPr>
        <w:t>5</w:t>
      </w:r>
      <w:r>
        <w:rPr>
          <w:b/>
        </w:rPr>
        <w:t xml:space="preserve"> </w:t>
      </w:r>
      <w:r w:rsidR="00077BFC">
        <w:rPr>
          <w:b/>
        </w:rPr>
        <w:t>Relevant experience and contract examples</w:t>
      </w:r>
    </w:p>
    <w:p w:rsidR="00E72E44" w:rsidRDefault="00E72E44" w:rsidP="00BD10EC">
      <w:pPr>
        <w:jc w:val="both"/>
      </w:pPr>
    </w:p>
    <w:p w:rsidR="00044463" w:rsidRDefault="00044463" w:rsidP="00044463">
      <w:pPr>
        <w:jc w:val="both"/>
      </w:pPr>
      <w:r>
        <w:t xml:space="preserve">Evidence is required of applicant’s experience of successfully fulfilling contracted service delivery of each of the three main service requirements to 3 separate Independent Living schemes completed during the last five years.  The evidence can be in any combination from either the public or private sector that are relevant to the Authority’s requirements.  </w:t>
      </w:r>
    </w:p>
    <w:p w:rsidR="00044463" w:rsidRDefault="00044463" w:rsidP="00044463">
      <w:pPr>
        <w:jc w:val="both"/>
      </w:pPr>
    </w:p>
    <w:p w:rsidR="00044463" w:rsidRDefault="00044463" w:rsidP="00044463">
      <w:pPr>
        <w:jc w:val="both"/>
      </w:pPr>
      <w:r>
        <w:t xml:space="preserve">Service Requirements: </w:t>
      </w:r>
    </w:p>
    <w:p w:rsidR="00044463" w:rsidRDefault="00044463" w:rsidP="00044463">
      <w:pPr>
        <w:jc w:val="both"/>
      </w:pPr>
      <w:r>
        <w:t>a) Scheme development</w:t>
      </w:r>
    </w:p>
    <w:p w:rsidR="00044463" w:rsidRDefault="00044463" w:rsidP="00044463">
      <w:pPr>
        <w:jc w:val="both"/>
      </w:pPr>
      <w:r>
        <w:t>b) FM and Landlord services</w:t>
      </w:r>
    </w:p>
    <w:p w:rsidR="00044463" w:rsidRDefault="00044463" w:rsidP="00044463">
      <w:pPr>
        <w:jc w:val="both"/>
      </w:pPr>
      <w:r>
        <w:t xml:space="preserve">c) 24/7 care and other individual care </w:t>
      </w:r>
      <w:r w:rsidR="00B45259">
        <w:t xml:space="preserve">delivery </w:t>
      </w:r>
      <w:r>
        <w:t>requirements for residents</w:t>
      </w:r>
    </w:p>
    <w:p w:rsidR="00044463" w:rsidRDefault="00044463" w:rsidP="00044463">
      <w:pPr>
        <w:jc w:val="both"/>
      </w:pPr>
    </w:p>
    <w:p w:rsidR="00044463" w:rsidRDefault="00044463" w:rsidP="00044463">
      <w:pPr>
        <w:jc w:val="both"/>
      </w:pPr>
      <w:r>
        <w:t xml:space="preserve"> A single applicant delivering all 3 of the services can demonstrate such experience from references to be provided by completion of the reference template as directed within the question on Ariba. The named customer contact provided should be prepared to provide written evidence to the Authority to confirm the accuracy of the information provided. Only projects that are fully delivered may be put forward.          </w:t>
      </w:r>
    </w:p>
    <w:p w:rsidR="00044463" w:rsidRDefault="00044463" w:rsidP="00044463">
      <w:pPr>
        <w:jc w:val="both"/>
      </w:pPr>
    </w:p>
    <w:p w:rsidR="00044463" w:rsidRDefault="00044463" w:rsidP="00044463">
      <w:pPr>
        <w:jc w:val="both"/>
      </w:pPr>
      <w:r>
        <w:t xml:space="preserve">Information to be included:       </w:t>
      </w:r>
    </w:p>
    <w:p w:rsidR="00044463" w:rsidRDefault="00044463" w:rsidP="00044463">
      <w:pPr>
        <w:jc w:val="both"/>
      </w:pPr>
      <w:r>
        <w:t>a) Name and contact details of the employer and the end user for each project</w:t>
      </w:r>
    </w:p>
    <w:p w:rsidR="00044463" w:rsidRDefault="00044463" w:rsidP="00044463">
      <w:pPr>
        <w:jc w:val="both"/>
      </w:pPr>
      <w:r>
        <w:t xml:space="preserve">b) Nature of contract relevant to this contract proposal                                                               </w:t>
      </w:r>
    </w:p>
    <w:p w:rsidR="00044463" w:rsidRDefault="00044463" w:rsidP="00044463">
      <w:pPr>
        <w:jc w:val="both"/>
      </w:pPr>
      <w:r>
        <w:t>c) Construction start and finish date</w:t>
      </w:r>
    </w:p>
    <w:p w:rsidR="00044463" w:rsidRDefault="00044463" w:rsidP="00044463">
      <w:pPr>
        <w:jc w:val="both"/>
      </w:pPr>
      <w:r>
        <w:t xml:space="preserve">d) Contract value </w:t>
      </w:r>
    </w:p>
    <w:p w:rsidR="00044463" w:rsidRDefault="00044463" w:rsidP="00044463">
      <w:pPr>
        <w:jc w:val="both"/>
      </w:pPr>
      <w:r>
        <w:t xml:space="preserve">e) Client Time/Cost/Quality Outcome/s achieved </w:t>
      </w:r>
    </w:p>
    <w:p w:rsidR="00044463" w:rsidRDefault="00044463" w:rsidP="00044463">
      <w:pPr>
        <w:jc w:val="both"/>
      </w:pPr>
      <w:r>
        <w:t>f) Reason for selecting the lead design company</w:t>
      </w:r>
    </w:p>
    <w:p w:rsidR="00044463" w:rsidRDefault="00044463" w:rsidP="00044463">
      <w:pPr>
        <w:jc w:val="both"/>
      </w:pPr>
    </w:p>
    <w:p w:rsidR="00044463" w:rsidRDefault="00044463" w:rsidP="00044463">
      <w:pPr>
        <w:jc w:val="both"/>
      </w:pPr>
      <w:r>
        <w:t>Consortia bids should provide relevant examples of where the consortium has delivered these requirements; if this is not possible (e.g. the consortium is newly formed or a Special Purpose Vehicle will be created for this contract) then 3 separate examples, showing how each service has been delivered by the consortium members over 3 separate contracts, should be provided.</w:t>
      </w:r>
    </w:p>
    <w:p w:rsidR="00044463" w:rsidRDefault="00044463" w:rsidP="00044463">
      <w:pPr>
        <w:jc w:val="both"/>
      </w:pPr>
    </w:p>
    <w:p w:rsidR="008A334D" w:rsidRDefault="00044463" w:rsidP="00BD10EC">
      <w:pPr>
        <w:jc w:val="both"/>
      </w:pPr>
      <w:r>
        <w:t>Where the applicant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CC27B9" w:rsidRDefault="00CC27B9" w:rsidP="00BD10EC">
      <w:pPr>
        <w:jc w:val="both"/>
      </w:pPr>
    </w:p>
    <w:p w:rsidR="001B2F28" w:rsidRPr="00665252" w:rsidRDefault="001B2F28" w:rsidP="001B2F28">
      <w:pPr>
        <w:tabs>
          <w:tab w:val="left" w:pos="426"/>
        </w:tabs>
        <w:jc w:val="both"/>
        <w:rPr>
          <w:b/>
        </w:rPr>
      </w:pPr>
      <w:r>
        <w:rPr>
          <w:b/>
        </w:rPr>
        <w:t xml:space="preserve">9.6 </w:t>
      </w:r>
      <w:r w:rsidRPr="00665252">
        <w:rPr>
          <w:b/>
        </w:rPr>
        <w:t>Organisation Management Structure</w:t>
      </w:r>
    </w:p>
    <w:p w:rsidR="001B2F28" w:rsidRPr="00665252" w:rsidRDefault="001B2F28" w:rsidP="001B2F28">
      <w:pPr>
        <w:tabs>
          <w:tab w:val="left" w:pos="426"/>
        </w:tabs>
        <w:jc w:val="both"/>
        <w:rPr>
          <w:b/>
        </w:rPr>
      </w:pPr>
    </w:p>
    <w:p w:rsidR="001B2F28" w:rsidRDefault="001B2F28" w:rsidP="001B2F28">
      <w:pPr>
        <w:tabs>
          <w:tab w:val="left" w:pos="426"/>
        </w:tabs>
        <w:jc w:val="both"/>
      </w:pPr>
      <w:r w:rsidRPr="00665252">
        <w:t xml:space="preserve">The responses to the question in this section enable the Buyer to understand the organisational structure, key personnel/managers and their qualifications and seniority. </w:t>
      </w:r>
    </w:p>
    <w:p w:rsidR="001B2F28" w:rsidRDefault="001B2F28" w:rsidP="001B2F28">
      <w:pPr>
        <w:tabs>
          <w:tab w:val="left" w:pos="426"/>
        </w:tabs>
        <w:jc w:val="both"/>
      </w:pPr>
    </w:p>
    <w:p w:rsidR="001B2F28" w:rsidRPr="00665252" w:rsidRDefault="001B2F28" w:rsidP="001B2F28">
      <w:pPr>
        <w:tabs>
          <w:tab w:val="left" w:pos="426"/>
        </w:tabs>
        <w:jc w:val="both"/>
      </w:pPr>
      <w:r>
        <w:lastRenderedPageBreak/>
        <w:t>If bidding as a consortium please demonstrate how the consortium will be structured and how the requirement will be coordinated between each member etc.</w:t>
      </w:r>
    </w:p>
    <w:p w:rsidR="001B2F28" w:rsidRPr="00665252" w:rsidRDefault="001B2F28" w:rsidP="001B2F28">
      <w:pPr>
        <w:tabs>
          <w:tab w:val="left" w:pos="426"/>
        </w:tabs>
        <w:jc w:val="both"/>
        <w:rPr>
          <w:b/>
        </w:rPr>
      </w:pPr>
    </w:p>
    <w:p w:rsidR="001B2F28" w:rsidRPr="00665252" w:rsidRDefault="001B2F28" w:rsidP="001B2F28">
      <w:pPr>
        <w:tabs>
          <w:tab w:val="left" w:pos="426"/>
        </w:tabs>
        <w:jc w:val="both"/>
        <w:rPr>
          <w:b/>
        </w:rPr>
      </w:pPr>
      <w:r>
        <w:rPr>
          <w:b/>
        </w:rPr>
        <w:t xml:space="preserve">9.7 </w:t>
      </w:r>
      <w:r w:rsidRPr="00665252">
        <w:rPr>
          <w:b/>
        </w:rPr>
        <w:t>Resources</w:t>
      </w:r>
    </w:p>
    <w:p w:rsidR="001B2F28" w:rsidRPr="00665252" w:rsidRDefault="001B2F28" w:rsidP="001B2F28">
      <w:pPr>
        <w:tabs>
          <w:tab w:val="left" w:pos="426"/>
        </w:tabs>
        <w:jc w:val="both"/>
        <w:rPr>
          <w:b/>
        </w:rPr>
      </w:pPr>
    </w:p>
    <w:p w:rsidR="001B2F28" w:rsidRPr="00665252" w:rsidRDefault="001B2F28" w:rsidP="001B2F28">
      <w:pPr>
        <w:tabs>
          <w:tab w:val="left" w:pos="426"/>
        </w:tabs>
        <w:jc w:val="both"/>
      </w:pPr>
      <w:r w:rsidRPr="00665252">
        <w:t>The response to the question in this section enables the Buyer to understand the resources you have drawn on, including any intent to sub-contract, or employ apprentices in order to help deliver similar contracts.</w:t>
      </w:r>
    </w:p>
    <w:p w:rsidR="001B2F28" w:rsidRPr="00665252" w:rsidRDefault="001B2F28" w:rsidP="001B2F28">
      <w:pPr>
        <w:tabs>
          <w:tab w:val="left" w:pos="426"/>
        </w:tabs>
        <w:jc w:val="both"/>
      </w:pPr>
    </w:p>
    <w:p w:rsidR="001B2F28" w:rsidRPr="00665252" w:rsidRDefault="001B2F28" w:rsidP="001B2F28">
      <w:pPr>
        <w:tabs>
          <w:tab w:val="left" w:pos="426"/>
        </w:tabs>
        <w:jc w:val="both"/>
      </w:pPr>
      <w:r w:rsidRPr="00665252">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1B2F28" w:rsidRPr="00665252" w:rsidRDefault="001B2F28" w:rsidP="001B2F28">
      <w:pPr>
        <w:tabs>
          <w:tab w:val="left" w:pos="426"/>
        </w:tabs>
        <w:jc w:val="both"/>
      </w:pPr>
    </w:p>
    <w:p w:rsidR="001B2F28" w:rsidRPr="00665252" w:rsidRDefault="001B2F28" w:rsidP="001B2F28">
      <w:pPr>
        <w:tabs>
          <w:tab w:val="left" w:pos="426"/>
        </w:tabs>
        <w:jc w:val="both"/>
      </w:pPr>
      <w:r w:rsidRPr="00665252">
        <w:t>Bidders may show an awareness of how they have supported the local economy through similar contracts, for example recruiting local labour and sub-contracting to local SME’s.</w:t>
      </w:r>
    </w:p>
    <w:p w:rsidR="001B2F28" w:rsidRPr="00665252" w:rsidRDefault="001B2F28" w:rsidP="001B2F28">
      <w:pPr>
        <w:tabs>
          <w:tab w:val="left" w:pos="426"/>
        </w:tabs>
        <w:jc w:val="both"/>
      </w:pPr>
    </w:p>
    <w:p w:rsidR="001B2F28" w:rsidRPr="00665252" w:rsidRDefault="001B2F28" w:rsidP="001B2F28">
      <w:pPr>
        <w:tabs>
          <w:tab w:val="left" w:pos="426"/>
        </w:tabs>
        <w:jc w:val="both"/>
      </w:pPr>
      <w:r w:rsidRPr="00665252">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contracts you have undertaken previously are within an industry which is likely to support roles which provide an entry to the job market, this should be considered in your response.</w:t>
      </w:r>
    </w:p>
    <w:p w:rsidR="001B2F28" w:rsidRDefault="001B2F28" w:rsidP="00BD10EC">
      <w:pPr>
        <w:jc w:val="both"/>
      </w:pPr>
    </w:p>
    <w:p w:rsidR="001B2F28" w:rsidRPr="00665252" w:rsidRDefault="001B2F28" w:rsidP="001B2F28">
      <w:pPr>
        <w:tabs>
          <w:tab w:val="left" w:pos="426"/>
        </w:tabs>
        <w:jc w:val="both"/>
        <w:rPr>
          <w:b/>
        </w:rPr>
      </w:pPr>
      <w:r>
        <w:rPr>
          <w:b/>
        </w:rPr>
        <w:t>9.</w:t>
      </w:r>
      <w:r w:rsidR="00BF007D">
        <w:rPr>
          <w:b/>
        </w:rPr>
        <w:t>8</w:t>
      </w:r>
      <w:r>
        <w:rPr>
          <w:b/>
        </w:rPr>
        <w:t xml:space="preserve"> Public Services (</w:t>
      </w:r>
      <w:r w:rsidRPr="00665252">
        <w:rPr>
          <w:b/>
        </w:rPr>
        <w:t>Social Value</w:t>
      </w:r>
      <w:r>
        <w:rPr>
          <w:b/>
        </w:rPr>
        <w:t>)</w:t>
      </w:r>
      <w:r w:rsidRPr="00665252">
        <w:rPr>
          <w:b/>
        </w:rPr>
        <w:t xml:space="preserve"> </w:t>
      </w:r>
      <w:r>
        <w:rPr>
          <w:b/>
        </w:rPr>
        <w:t>Act 2012</w:t>
      </w:r>
    </w:p>
    <w:p w:rsidR="001B2F28" w:rsidRPr="00665252" w:rsidRDefault="001B2F28" w:rsidP="001B2F28">
      <w:pPr>
        <w:tabs>
          <w:tab w:val="left" w:pos="426"/>
        </w:tabs>
        <w:jc w:val="both"/>
        <w:rPr>
          <w:b/>
        </w:rPr>
      </w:pPr>
    </w:p>
    <w:p w:rsidR="001B2F28" w:rsidRPr="00665252" w:rsidRDefault="001B2F28" w:rsidP="001B2F28">
      <w:pPr>
        <w:tabs>
          <w:tab w:val="left" w:pos="426"/>
        </w:tabs>
        <w:jc w:val="both"/>
      </w:pPr>
      <w:r w:rsidRPr="00665252">
        <w:t>The Public Services (Social Value) Act 2012 requires public authorities to consider how what is proposed to be procured might improve the economic, social and environmental well-being of the relevant area, and how, in conducting the process of procurement, it might act with a view to securing that improvement.</w:t>
      </w:r>
    </w:p>
    <w:p w:rsidR="001B2F28" w:rsidRPr="00665252" w:rsidRDefault="001B2F28" w:rsidP="001B2F28">
      <w:pPr>
        <w:tabs>
          <w:tab w:val="left" w:pos="426"/>
        </w:tabs>
        <w:jc w:val="both"/>
      </w:pPr>
    </w:p>
    <w:p w:rsidR="001B2F28" w:rsidRDefault="001B2F28" w:rsidP="001B2F28">
      <w:pPr>
        <w:tabs>
          <w:tab w:val="left" w:pos="426"/>
        </w:tabs>
        <w:jc w:val="both"/>
        <w:rPr>
          <w:b/>
        </w:rPr>
      </w:pPr>
      <w:r w:rsidRPr="00665252">
        <w:t>The potential economic, social and environmental improvements for this requirement have been considered pre-procurement and have resulted in a decision to evaluate social value as part of this procurement exercise</w:t>
      </w:r>
      <w:r w:rsidRPr="00665252">
        <w:rPr>
          <w:b/>
        </w:rPr>
        <w:t>.</w:t>
      </w:r>
    </w:p>
    <w:p w:rsidR="00BF007D" w:rsidRDefault="00BF007D" w:rsidP="001B2F28">
      <w:pPr>
        <w:tabs>
          <w:tab w:val="left" w:pos="426"/>
        </w:tabs>
        <w:jc w:val="both"/>
        <w:rPr>
          <w:b/>
        </w:rPr>
      </w:pPr>
    </w:p>
    <w:p w:rsidR="00BF007D" w:rsidRDefault="00BF007D" w:rsidP="001B2F28">
      <w:pPr>
        <w:tabs>
          <w:tab w:val="left" w:pos="426"/>
        </w:tabs>
        <w:jc w:val="both"/>
        <w:rPr>
          <w:b/>
        </w:rPr>
      </w:pPr>
      <w:r>
        <w:rPr>
          <w:b/>
        </w:rPr>
        <w:t>9.9 Environmental Management</w:t>
      </w:r>
    </w:p>
    <w:p w:rsidR="00BF007D" w:rsidRDefault="00BF007D" w:rsidP="001B2F28">
      <w:pPr>
        <w:tabs>
          <w:tab w:val="left" w:pos="426"/>
        </w:tabs>
        <w:jc w:val="both"/>
        <w:rPr>
          <w:b/>
        </w:rPr>
      </w:pPr>
    </w:p>
    <w:p w:rsidR="00BF007D" w:rsidRPr="00665252" w:rsidRDefault="00BF007D" w:rsidP="00BF007D">
      <w:r w:rsidRPr="00665252">
        <w:t xml:space="preserve">The bidder is to provide details of any breaches of the environmental legislations in the last three years.  A summary of the investigation is to be provided, as well as any remedial action that the organisation has undertaken to prevent reoccurrence. </w:t>
      </w:r>
    </w:p>
    <w:p w:rsidR="00BF007D" w:rsidRPr="00665252" w:rsidRDefault="00BF007D" w:rsidP="00BF007D">
      <w:pPr>
        <w:ind w:hanging="426"/>
      </w:pPr>
    </w:p>
    <w:p w:rsidR="00BF007D" w:rsidRPr="00665252" w:rsidRDefault="00BF007D" w:rsidP="00BF007D">
      <w:r w:rsidRPr="00665252">
        <w:t>The bidder is also required to provide an overview of any processes they have in place to check whether any of the above circumstances apply to any of their sub-contractors.</w:t>
      </w:r>
    </w:p>
    <w:p w:rsidR="00BF007D" w:rsidRPr="00665252" w:rsidRDefault="00BF007D" w:rsidP="00BF007D">
      <w:r w:rsidRPr="00665252">
        <w:t xml:space="preserve">  </w:t>
      </w:r>
    </w:p>
    <w:p w:rsidR="00BF007D" w:rsidRPr="00665252" w:rsidRDefault="00BF007D" w:rsidP="00BF007D">
      <w:r w:rsidRPr="00665252">
        <w:t>Further information regarding the areas covered in this section can be found at:</w:t>
      </w:r>
    </w:p>
    <w:p w:rsidR="00BF007D" w:rsidRDefault="00BF007D" w:rsidP="00BF007D"/>
    <w:p w:rsidR="00BF007D" w:rsidRPr="00665252" w:rsidRDefault="00BF007D" w:rsidP="00BF007D">
      <w:r w:rsidRPr="0041713A">
        <w:t>www.gov.uk/government/organisations/environment-agency</w:t>
      </w:r>
    </w:p>
    <w:p w:rsidR="00BF007D" w:rsidRPr="00B1095C" w:rsidRDefault="00BF007D" w:rsidP="00BF007D">
      <w:pPr>
        <w:tabs>
          <w:tab w:val="left" w:pos="426"/>
        </w:tabs>
        <w:jc w:val="both"/>
        <w:rPr>
          <w:b/>
        </w:rPr>
      </w:pPr>
      <w:r w:rsidRPr="0041713A">
        <w:t>www.gov.uk/government/organisations/department-for-environment-food-rural-affairs</w:t>
      </w:r>
      <w:r w:rsidRPr="0041713A" w:rsidDel="0041713A">
        <w:t xml:space="preserve"> </w:t>
      </w:r>
    </w:p>
    <w:p w:rsidR="00BF007D" w:rsidRDefault="00BF007D" w:rsidP="001B2F28">
      <w:pPr>
        <w:tabs>
          <w:tab w:val="left" w:pos="426"/>
        </w:tabs>
        <w:jc w:val="both"/>
        <w:rPr>
          <w:b/>
        </w:rPr>
      </w:pPr>
    </w:p>
    <w:p w:rsidR="00BF007D" w:rsidRDefault="00BF007D" w:rsidP="001B2F28">
      <w:pPr>
        <w:tabs>
          <w:tab w:val="left" w:pos="426"/>
        </w:tabs>
        <w:jc w:val="both"/>
        <w:rPr>
          <w:b/>
        </w:rPr>
      </w:pPr>
      <w:r>
        <w:rPr>
          <w:b/>
        </w:rPr>
        <w:t>9.10 Apprenticeships Considerations</w:t>
      </w:r>
    </w:p>
    <w:p w:rsidR="00BF007D" w:rsidRDefault="00BF007D" w:rsidP="001B2F28">
      <w:pPr>
        <w:tabs>
          <w:tab w:val="left" w:pos="426"/>
        </w:tabs>
        <w:jc w:val="both"/>
        <w:rPr>
          <w:b/>
        </w:rPr>
      </w:pPr>
    </w:p>
    <w:p w:rsidR="00BF007D" w:rsidRPr="000B73E3" w:rsidRDefault="00BF007D" w:rsidP="00BF007D">
      <w:pPr>
        <w:tabs>
          <w:tab w:val="left" w:pos="426"/>
        </w:tabs>
        <w:jc w:val="both"/>
      </w:pPr>
      <w:r w:rsidRPr="000B73E3">
        <w:t xml:space="preserve">Apprenticeships are seen as a way of minimising the social and economic impacts of youth unemployment which is high on the political agenda.  The Authority supports the expansion </w:t>
      </w:r>
      <w:r w:rsidRPr="000B73E3">
        <w:lastRenderedPageBreak/>
        <w:t>of the use of apprenticeships, with many of our suppliers already employing apprenticeships in the delivery of services.</w:t>
      </w:r>
    </w:p>
    <w:p w:rsidR="00BF007D" w:rsidRPr="000B73E3" w:rsidRDefault="00BF007D" w:rsidP="00BF007D">
      <w:pPr>
        <w:tabs>
          <w:tab w:val="left" w:pos="426"/>
        </w:tabs>
        <w:jc w:val="both"/>
      </w:pPr>
    </w:p>
    <w:p w:rsidR="00BF007D" w:rsidRPr="000B73E3" w:rsidRDefault="00BF007D" w:rsidP="00BF007D">
      <w:pPr>
        <w:tabs>
          <w:tab w:val="left" w:pos="426"/>
        </w:tabs>
        <w:jc w:val="both"/>
      </w:pPr>
      <w:r w:rsidRPr="000B73E3">
        <w:t>Bidders should provide details demonstrating how they have provided apprenticeship opportunities to date, including how the number of apprenticeships are calculated (e.g. value of contract or another mechanism).  The Authority is also interested to understand how individual apprentices are developed and progressed, including the Bidder’s apprenticeship completion rate and succession rate.</w:t>
      </w:r>
    </w:p>
    <w:p w:rsidR="00BF007D" w:rsidRDefault="00BF007D" w:rsidP="001B2F28">
      <w:pPr>
        <w:tabs>
          <w:tab w:val="left" w:pos="426"/>
        </w:tabs>
        <w:jc w:val="both"/>
        <w:rPr>
          <w:b/>
        </w:rPr>
      </w:pPr>
    </w:p>
    <w:p w:rsidR="00BF007D" w:rsidRDefault="00BF007D" w:rsidP="001B2F28">
      <w:pPr>
        <w:tabs>
          <w:tab w:val="left" w:pos="426"/>
        </w:tabs>
        <w:jc w:val="both"/>
        <w:rPr>
          <w:b/>
        </w:rPr>
      </w:pPr>
      <w:r>
        <w:rPr>
          <w:b/>
        </w:rPr>
        <w:t>9.11 Information Security and Handling</w:t>
      </w:r>
    </w:p>
    <w:p w:rsidR="00BF007D" w:rsidRDefault="00BF007D" w:rsidP="001B2F28">
      <w:pPr>
        <w:tabs>
          <w:tab w:val="left" w:pos="426"/>
        </w:tabs>
        <w:jc w:val="both"/>
        <w:rPr>
          <w:b/>
        </w:rPr>
      </w:pPr>
    </w:p>
    <w:p w:rsidR="00BF007D" w:rsidRDefault="00BF007D" w:rsidP="001B2F28">
      <w:pPr>
        <w:tabs>
          <w:tab w:val="left" w:pos="426"/>
        </w:tabs>
        <w:jc w:val="both"/>
        <w:rPr>
          <w:b/>
        </w:rPr>
      </w:pPr>
      <w:r w:rsidRPr="006E1145">
        <w:t>Information Security &amp; Handling</w:t>
      </w:r>
      <w:r>
        <w:t>, t</w:t>
      </w:r>
      <w:r w:rsidRPr="006E1145">
        <w:rPr>
          <w:rFonts w:eastAsia="Calibri"/>
          <w:lang w:eastAsia="en-US"/>
        </w:rPr>
        <w:t>he bidder is required to download and complete the Information Governance questionnaire attached to this question. Evidence can be attached to each question within the questionnaire by the bidder, please ensure all questions are completed.  Bidders must achieve a minimum score of two using scoring methodology table A.  Bidders who do not score a minimum score of two will have their submission excluded.</w:t>
      </w:r>
    </w:p>
    <w:p w:rsidR="00BF007D" w:rsidRPr="00665252" w:rsidRDefault="00BF007D" w:rsidP="001B2F28">
      <w:pPr>
        <w:tabs>
          <w:tab w:val="left" w:pos="426"/>
        </w:tabs>
        <w:jc w:val="both"/>
        <w:rPr>
          <w:b/>
        </w:rPr>
      </w:pPr>
    </w:p>
    <w:p w:rsidR="001B2F28" w:rsidRDefault="001B2F28" w:rsidP="001B2F28">
      <w:pPr>
        <w:pStyle w:val="Heading3"/>
        <w:numPr>
          <w:ilvl w:val="0"/>
          <w:numId w:val="27"/>
        </w:numPr>
        <w:ind w:left="0" w:firstLine="0"/>
        <w:jc w:val="both"/>
        <w:rPr>
          <w:rFonts w:ascii="Arial" w:hAnsi="Arial" w:cs="Arial"/>
          <w:sz w:val="22"/>
          <w:szCs w:val="22"/>
        </w:rPr>
      </w:pPr>
      <w:bookmarkStart w:id="63" w:name="_Toc457578397"/>
      <w:r w:rsidRPr="00665252">
        <w:rPr>
          <w:rFonts w:ascii="Arial" w:hAnsi="Arial" w:cs="Arial"/>
          <w:sz w:val="22"/>
          <w:szCs w:val="22"/>
        </w:rPr>
        <w:t>Technical &amp; Professional Ability</w:t>
      </w:r>
      <w:r>
        <w:rPr>
          <w:rFonts w:ascii="Arial" w:hAnsi="Arial" w:cs="Arial"/>
          <w:sz w:val="22"/>
          <w:szCs w:val="22"/>
        </w:rPr>
        <w:t xml:space="preserve"> – Development</w:t>
      </w:r>
      <w:bookmarkEnd w:id="63"/>
    </w:p>
    <w:p w:rsidR="001B2F28" w:rsidRPr="001B2F28" w:rsidRDefault="001B2F28" w:rsidP="001B2F28"/>
    <w:p w:rsidR="00216BDE" w:rsidRDefault="001B2F28" w:rsidP="001B2F28">
      <w:r>
        <w:t>This</w:t>
      </w:r>
      <w:r w:rsidR="00216BDE">
        <w:t xml:space="preserve"> section </w:t>
      </w:r>
      <w:r>
        <w:t>is to provide the buyer with the assurance the bidder has</w:t>
      </w:r>
      <w:r w:rsidR="00216BDE">
        <w:t xml:space="preserve"> the</w:t>
      </w:r>
      <w:r>
        <w:t xml:space="preserve"> </w:t>
      </w:r>
      <w:r w:rsidR="00216BDE">
        <w:t xml:space="preserve">ability and experience of developing Independent Living schemes by: </w:t>
      </w:r>
    </w:p>
    <w:p w:rsidR="00216BDE" w:rsidRPr="00216BDE" w:rsidRDefault="00216BDE" w:rsidP="00216BDE">
      <w:pPr>
        <w:pStyle w:val="ListParagraph"/>
        <w:numPr>
          <w:ilvl w:val="0"/>
          <w:numId w:val="48"/>
        </w:numPr>
      </w:pPr>
      <w:r w:rsidRPr="00216BDE">
        <w:t>obtaining the relevant planning permissions</w:t>
      </w:r>
    </w:p>
    <w:p w:rsidR="00216BDE" w:rsidRPr="00216BDE" w:rsidRDefault="00216BDE" w:rsidP="00216BDE">
      <w:pPr>
        <w:pStyle w:val="ListParagraph"/>
        <w:numPr>
          <w:ilvl w:val="0"/>
          <w:numId w:val="48"/>
        </w:numPr>
      </w:pPr>
      <w:r w:rsidRPr="00216BDE">
        <w:t>design the scheme to meet residents and local needs</w:t>
      </w:r>
    </w:p>
    <w:p w:rsidR="00216BDE" w:rsidRPr="00216BDE" w:rsidRDefault="00216BDE" w:rsidP="00216BDE">
      <w:pPr>
        <w:pStyle w:val="ListParagraph"/>
        <w:numPr>
          <w:ilvl w:val="0"/>
          <w:numId w:val="48"/>
        </w:numPr>
      </w:pPr>
      <w:r w:rsidRPr="00216BDE">
        <w:t>prepare the sire for development</w:t>
      </w:r>
    </w:p>
    <w:p w:rsidR="00216BDE" w:rsidRPr="00216BDE" w:rsidRDefault="00216BDE" w:rsidP="00216BDE">
      <w:pPr>
        <w:pStyle w:val="ListParagraph"/>
        <w:numPr>
          <w:ilvl w:val="0"/>
          <w:numId w:val="48"/>
        </w:numPr>
      </w:pPr>
      <w:r w:rsidRPr="00216BDE">
        <w:t>secure and manage funding</w:t>
      </w:r>
    </w:p>
    <w:p w:rsidR="00216BDE" w:rsidRPr="00216BDE" w:rsidRDefault="00216BDE" w:rsidP="00216BDE">
      <w:pPr>
        <w:pStyle w:val="ListParagraph"/>
        <w:numPr>
          <w:ilvl w:val="0"/>
          <w:numId w:val="48"/>
        </w:numPr>
      </w:pPr>
      <w:r w:rsidRPr="00216BDE">
        <w:t>manage the stakeholder groups</w:t>
      </w:r>
    </w:p>
    <w:p w:rsidR="00216BDE" w:rsidRPr="00216BDE" w:rsidRDefault="00216BDE" w:rsidP="00216BDE">
      <w:pPr>
        <w:pStyle w:val="ListParagraph"/>
        <w:numPr>
          <w:ilvl w:val="0"/>
          <w:numId w:val="48"/>
        </w:numPr>
      </w:pPr>
      <w:r w:rsidRPr="00216BDE">
        <w:t xml:space="preserve">project management </w:t>
      </w:r>
    </w:p>
    <w:p w:rsidR="001B2F28" w:rsidRPr="001B2F28" w:rsidRDefault="00216BDE" w:rsidP="001B2F28">
      <w:r>
        <w:t xml:space="preserve"> </w:t>
      </w:r>
      <w:r w:rsidR="001B2F28">
        <w:t xml:space="preserve">  </w:t>
      </w:r>
    </w:p>
    <w:p w:rsidR="000B73E3" w:rsidRDefault="000B73E3" w:rsidP="000B73E3">
      <w:pPr>
        <w:pStyle w:val="Heading3"/>
        <w:numPr>
          <w:ilvl w:val="0"/>
          <w:numId w:val="27"/>
        </w:numPr>
        <w:ind w:left="0" w:firstLine="0"/>
        <w:jc w:val="both"/>
        <w:rPr>
          <w:rFonts w:ascii="Arial" w:hAnsi="Arial" w:cs="Arial"/>
          <w:sz w:val="22"/>
          <w:szCs w:val="22"/>
        </w:rPr>
      </w:pPr>
      <w:bookmarkStart w:id="64" w:name="_Toc457578398"/>
      <w:r w:rsidRPr="00665252">
        <w:rPr>
          <w:rFonts w:ascii="Arial" w:hAnsi="Arial" w:cs="Arial"/>
          <w:sz w:val="22"/>
          <w:szCs w:val="22"/>
        </w:rPr>
        <w:t>Technical &amp; Professional Ability</w:t>
      </w:r>
      <w:r>
        <w:rPr>
          <w:rFonts w:ascii="Arial" w:hAnsi="Arial" w:cs="Arial"/>
          <w:sz w:val="22"/>
          <w:szCs w:val="22"/>
        </w:rPr>
        <w:t xml:space="preserve"> – Housing and Facilities Management</w:t>
      </w:r>
      <w:bookmarkEnd w:id="64"/>
    </w:p>
    <w:p w:rsidR="000B73E3" w:rsidRPr="000B73E3" w:rsidRDefault="000B73E3" w:rsidP="000B73E3"/>
    <w:p w:rsidR="001B2F28" w:rsidRPr="001B2F28" w:rsidRDefault="002118AA" w:rsidP="001B2F28">
      <w:r>
        <w:t xml:space="preserve">This section </w:t>
      </w:r>
      <w:r w:rsidR="00A01A99">
        <w:t>collects</w:t>
      </w:r>
      <w:r>
        <w:t xml:space="preserve"> information on </w:t>
      </w:r>
      <w:r w:rsidR="00A01A99">
        <w:t xml:space="preserve">  </w:t>
      </w:r>
      <w:r>
        <w:t>bidder experience of housing and facilities management and how this service supports individual</w:t>
      </w:r>
      <w:r w:rsidR="00A01A99">
        <w:t>s</w:t>
      </w:r>
      <w:r>
        <w:t xml:space="preserve"> to live independently.  </w:t>
      </w:r>
    </w:p>
    <w:p w:rsidR="000B73E3" w:rsidRDefault="000B73E3" w:rsidP="000B73E3">
      <w:pPr>
        <w:pStyle w:val="Heading3"/>
        <w:numPr>
          <w:ilvl w:val="0"/>
          <w:numId w:val="27"/>
        </w:numPr>
        <w:ind w:left="0" w:firstLine="0"/>
        <w:jc w:val="both"/>
        <w:rPr>
          <w:rFonts w:ascii="Arial" w:hAnsi="Arial" w:cs="Arial"/>
          <w:sz w:val="22"/>
          <w:szCs w:val="22"/>
        </w:rPr>
      </w:pPr>
      <w:bookmarkStart w:id="65" w:name="_Toc457578399"/>
      <w:r w:rsidRPr="00665252">
        <w:rPr>
          <w:rFonts w:ascii="Arial" w:hAnsi="Arial" w:cs="Arial"/>
          <w:sz w:val="22"/>
          <w:szCs w:val="22"/>
        </w:rPr>
        <w:t>Technical &amp; Professional Ability</w:t>
      </w:r>
      <w:r>
        <w:rPr>
          <w:rFonts w:ascii="Arial" w:hAnsi="Arial" w:cs="Arial"/>
          <w:sz w:val="22"/>
          <w:szCs w:val="22"/>
        </w:rPr>
        <w:t xml:space="preserve"> – Care Delivery</w:t>
      </w:r>
      <w:bookmarkEnd w:id="65"/>
    </w:p>
    <w:p w:rsidR="000B73E3" w:rsidRPr="000B73E3" w:rsidRDefault="000B73E3" w:rsidP="000B73E3"/>
    <w:p w:rsidR="001B2F28" w:rsidRDefault="009C0C0D" w:rsidP="009C0C0D">
      <w:pPr>
        <w:jc w:val="both"/>
      </w:pPr>
      <w:r>
        <w:t>12.1 to 12.10 The purpose of this section is to ensure the bidder has the appropriate policy and procedure in place to be able to deliver a safe service.  Bidders are asked to self-certify that these policies and procedures are in place. Bidders are also asked if their policies are accredited, this is for information purposed only.  The Council reserve the right to request copies of these policies and procedure either during the procurement process or throughout the term of the contract.</w:t>
      </w:r>
    </w:p>
    <w:p w:rsidR="009C0C0D" w:rsidRDefault="009C0C0D" w:rsidP="009C0C0D">
      <w:pPr>
        <w:jc w:val="both"/>
      </w:pPr>
    </w:p>
    <w:p w:rsidR="009C0C0D" w:rsidRDefault="009C0C0D" w:rsidP="009C0C0D">
      <w:pPr>
        <w:jc w:val="both"/>
      </w:pPr>
      <w:r>
        <w:t xml:space="preserve">12.11 This is the check the care provider is registered with the Care Quality Commission (CQC) to deliver personal care.  Additional questions will be asked at the call-off stage of this framework to ensure the CQC rating is achieving </w:t>
      </w:r>
      <w:r w:rsidR="00A01A99">
        <w:t xml:space="preserve">any </w:t>
      </w:r>
      <w:r>
        <w:t>minimum requirement at the point of</w:t>
      </w:r>
      <w:r w:rsidR="00A01A99">
        <w:t xml:space="preserve"> mini-competition</w:t>
      </w:r>
      <w:r>
        <w:t xml:space="preserve"> award.</w:t>
      </w:r>
    </w:p>
    <w:p w:rsidR="009C0C0D" w:rsidRDefault="009C0C0D" w:rsidP="009C0C0D">
      <w:pPr>
        <w:jc w:val="both"/>
      </w:pPr>
    </w:p>
    <w:p w:rsidR="009C0C0D" w:rsidRPr="009C0C0D" w:rsidRDefault="009C0C0D" w:rsidP="009C0C0D">
      <w:pPr>
        <w:spacing w:line="276" w:lineRule="auto"/>
        <w:jc w:val="both"/>
        <w:rPr>
          <w:rFonts w:eastAsia="Calibri"/>
          <w:lang w:eastAsia="en-US"/>
        </w:rPr>
      </w:pPr>
      <w:r>
        <w:t xml:space="preserve">12.12 </w:t>
      </w:r>
      <w:r w:rsidRPr="009C0C0D">
        <w:rPr>
          <w:rFonts w:eastAsia="Calibri"/>
          <w:lang w:eastAsia="en-US"/>
        </w:rPr>
        <w:t xml:space="preserve">Safeguarding provisions are required where the service requires the supplier to undertake Regulated Activity.  </w:t>
      </w:r>
    </w:p>
    <w:p w:rsidR="009C0C0D" w:rsidRPr="009C0C0D" w:rsidRDefault="009C0C0D" w:rsidP="009C0C0D">
      <w:pPr>
        <w:spacing w:line="276" w:lineRule="auto"/>
        <w:jc w:val="both"/>
        <w:rPr>
          <w:rFonts w:eastAsia="Calibri"/>
          <w:lang w:eastAsia="en-US"/>
        </w:rPr>
      </w:pPr>
      <w:r w:rsidRPr="009C0C0D">
        <w:rPr>
          <w:rFonts w:eastAsia="Calibri"/>
          <w:lang w:eastAsia="en-US"/>
        </w:rPr>
        <w:t>Regulated Activity is defined within the Safeguarding Vulnerable Groups Act schedule 4. This includes;</w:t>
      </w:r>
    </w:p>
    <w:p w:rsidR="009C0C0D" w:rsidRPr="009C0C0D" w:rsidRDefault="009C0C0D" w:rsidP="009C0C0D">
      <w:pPr>
        <w:numPr>
          <w:ilvl w:val="0"/>
          <w:numId w:val="17"/>
        </w:numPr>
        <w:spacing w:after="200" w:line="276" w:lineRule="auto"/>
        <w:contextualSpacing/>
        <w:jc w:val="both"/>
        <w:rPr>
          <w:rFonts w:eastAsia="Calibri"/>
          <w:lang w:eastAsia="en-US"/>
        </w:rPr>
      </w:pPr>
      <w:r w:rsidRPr="009C0C0D">
        <w:lastRenderedPageBreak/>
        <w:t>Working on a Regulated Activity Site, examples include:</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Schools</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Care Homes</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Children’s nurseries</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Children’s detention Centres</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GP surgeries</w:t>
      </w:r>
    </w:p>
    <w:p w:rsidR="009C0C0D" w:rsidRPr="009C0C0D" w:rsidRDefault="009C0C0D" w:rsidP="009C0C0D">
      <w:pPr>
        <w:numPr>
          <w:ilvl w:val="1"/>
          <w:numId w:val="17"/>
        </w:numPr>
        <w:spacing w:after="200" w:line="276" w:lineRule="auto"/>
        <w:ind w:left="1080"/>
        <w:contextualSpacing/>
        <w:jc w:val="both"/>
        <w:rPr>
          <w:rFonts w:eastAsia="Calibri"/>
          <w:lang w:eastAsia="en-US"/>
        </w:rPr>
      </w:pPr>
      <w:r w:rsidRPr="009C0C0D">
        <w:t xml:space="preserve">Dental Practices </w:t>
      </w:r>
    </w:p>
    <w:p w:rsidR="009C0C0D" w:rsidRPr="009C0C0D" w:rsidRDefault="009C0C0D" w:rsidP="009C0C0D">
      <w:pPr>
        <w:numPr>
          <w:ilvl w:val="0"/>
          <w:numId w:val="17"/>
        </w:numPr>
        <w:spacing w:after="200" w:line="276" w:lineRule="auto"/>
        <w:contextualSpacing/>
        <w:jc w:val="both"/>
        <w:rPr>
          <w:rFonts w:eastAsia="Calibri"/>
          <w:lang w:eastAsia="en-US"/>
        </w:rPr>
      </w:pPr>
      <w:r w:rsidRPr="009C0C0D">
        <w:t xml:space="preserve">Carrying out a specific nature of work e.g. Training, Transport, Supervision, Advice, all with </w:t>
      </w:r>
      <w:hyperlink r:id="rId18" w:tooltip="Regulated Activity Relating to Children" w:history="1">
        <w:r w:rsidRPr="009C0C0D">
          <w:t>children</w:t>
        </w:r>
      </w:hyperlink>
      <w:r w:rsidRPr="009C0C0D">
        <w:t xml:space="preserve"> or </w:t>
      </w:r>
      <w:hyperlink r:id="rId19" w:tooltip="Regulated Activity Relating to Vulnerable Groups" w:history="1">
        <w:r w:rsidRPr="009C0C0D">
          <w:t>vulnerable adults</w:t>
        </w:r>
      </w:hyperlink>
    </w:p>
    <w:p w:rsidR="009C0C0D" w:rsidRPr="009C0C0D" w:rsidRDefault="009C0C0D" w:rsidP="009C0C0D">
      <w:pPr>
        <w:numPr>
          <w:ilvl w:val="0"/>
          <w:numId w:val="17"/>
        </w:numPr>
        <w:spacing w:after="200" w:line="276" w:lineRule="auto"/>
        <w:contextualSpacing/>
        <w:jc w:val="both"/>
        <w:rPr>
          <w:rFonts w:eastAsia="Calibri"/>
          <w:lang w:eastAsia="en-US"/>
        </w:rPr>
      </w:pPr>
      <w:r w:rsidRPr="009C0C0D">
        <w:t>The frequency of working on a Regulated Activity Site must be at least 4 times within a month or once a week</w:t>
      </w:r>
    </w:p>
    <w:p w:rsidR="009C0C0D" w:rsidRPr="009C0C0D" w:rsidRDefault="009C0C0D" w:rsidP="009C0C0D">
      <w:pPr>
        <w:numPr>
          <w:ilvl w:val="0"/>
          <w:numId w:val="17"/>
        </w:numPr>
        <w:spacing w:after="200" w:line="276" w:lineRule="auto"/>
        <w:contextualSpacing/>
        <w:jc w:val="both"/>
        <w:rPr>
          <w:rFonts w:eastAsia="Calibri"/>
          <w:lang w:eastAsia="en-US"/>
        </w:rPr>
      </w:pPr>
      <w:r w:rsidRPr="009C0C0D">
        <w:t>Providing a regulated Activity to an individual in the community.</w:t>
      </w:r>
    </w:p>
    <w:p w:rsidR="009C0C0D" w:rsidRPr="009C0C0D" w:rsidRDefault="009C0C0D" w:rsidP="009C0C0D">
      <w:pPr>
        <w:spacing w:line="276" w:lineRule="auto"/>
        <w:contextualSpacing/>
        <w:jc w:val="both"/>
      </w:pPr>
    </w:p>
    <w:p w:rsidR="009C0C0D" w:rsidRPr="009C0C0D" w:rsidRDefault="009C0C0D" w:rsidP="009C0C0D">
      <w:pPr>
        <w:spacing w:line="276" w:lineRule="auto"/>
        <w:contextualSpacing/>
        <w:jc w:val="both"/>
        <w:rPr>
          <w:rFonts w:eastAsia="Calibri"/>
          <w:lang w:eastAsia="en-US"/>
        </w:rPr>
      </w:pPr>
      <w:r w:rsidRPr="009C0C0D">
        <w:t>The following link provides further information regarding the Safeguarding Vulnerable Groups Act 2006:</w:t>
      </w:r>
    </w:p>
    <w:p w:rsidR="009C0C0D" w:rsidRPr="009C0C0D" w:rsidRDefault="009C0C0D" w:rsidP="009C0C0D">
      <w:pPr>
        <w:spacing w:line="276" w:lineRule="auto"/>
        <w:jc w:val="both"/>
        <w:rPr>
          <w:rFonts w:eastAsia="Calibri"/>
          <w:lang w:eastAsia="en-US"/>
        </w:rPr>
      </w:pPr>
      <w:r w:rsidRPr="009C0C0D">
        <w:rPr>
          <w:rFonts w:eastAsia="Calibri"/>
          <w:lang w:eastAsia="en-US"/>
        </w:rPr>
        <w:tab/>
      </w:r>
    </w:p>
    <w:p w:rsidR="009C0C0D" w:rsidRPr="00B1095C" w:rsidRDefault="002D6E30" w:rsidP="009C0C0D">
      <w:pPr>
        <w:tabs>
          <w:tab w:val="left" w:pos="426"/>
        </w:tabs>
        <w:jc w:val="both"/>
        <w:rPr>
          <w:b/>
        </w:rPr>
      </w:pPr>
      <w:hyperlink r:id="rId20" w:history="1">
        <w:r w:rsidR="009C0C0D" w:rsidRPr="009C0C0D">
          <w:rPr>
            <w:u w:val="single"/>
          </w:rPr>
          <w:t>http://www.legislation.gov.uk/ukpga/2006/47/contents</w:t>
        </w:r>
      </w:hyperlink>
    </w:p>
    <w:p w:rsidR="009C0C0D" w:rsidRPr="001B2F28" w:rsidRDefault="009C0C0D" w:rsidP="009C0C0D">
      <w:pPr>
        <w:jc w:val="both"/>
      </w:pPr>
    </w:p>
    <w:p w:rsidR="001B2F28" w:rsidRPr="001B2F28" w:rsidRDefault="006E1145" w:rsidP="001B2F28">
      <w:r>
        <w:t>12.13 and 12.14 these sections are to gage the care providers experience in delivering person centre care which meets the individual outcomes and reduces isolation at the same time as promote social integration.</w:t>
      </w:r>
    </w:p>
    <w:p w:rsidR="001B2F28" w:rsidRPr="001B2F28" w:rsidRDefault="001B2F28" w:rsidP="001B2F28"/>
    <w:p w:rsidR="004732C9" w:rsidRPr="006E1145" w:rsidRDefault="006E1145" w:rsidP="00160955">
      <w:pPr>
        <w:jc w:val="both"/>
      </w:pPr>
      <w:r>
        <w:t xml:space="preserve">12.15 The bidder is to provide information on their practices used to recruited and retain staff, undertake staff supervision and appraisals, as well as how individual training requirement are identified. </w:t>
      </w:r>
    </w:p>
    <w:p w:rsidR="002403A8" w:rsidRPr="00665252" w:rsidRDefault="002403A8" w:rsidP="00BD10EC">
      <w:pPr>
        <w:pStyle w:val="Heading3"/>
        <w:keepNext w:val="0"/>
        <w:widowControl w:val="0"/>
        <w:numPr>
          <w:ilvl w:val="0"/>
          <w:numId w:val="27"/>
        </w:numPr>
        <w:ind w:left="0" w:firstLine="0"/>
        <w:jc w:val="both"/>
        <w:rPr>
          <w:rFonts w:ascii="Arial" w:hAnsi="Arial" w:cs="Arial"/>
          <w:sz w:val="22"/>
          <w:szCs w:val="22"/>
        </w:rPr>
      </w:pPr>
      <w:bookmarkStart w:id="66" w:name="_Toc457578402"/>
      <w:r w:rsidRPr="00665252">
        <w:rPr>
          <w:rFonts w:ascii="Arial" w:hAnsi="Arial" w:cs="Arial"/>
          <w:sz w:val="22"/>
          <w:szCs w:val="22"/>
        </w:rPr>
        <w:t>Freedom of Information</w:t>
      </w:r>
      <w:bookmarkEnd w:id="66"/>
    </w:p>
    <w:p w:rsidR="002403A8" w:rsidRPr="00665252" w:rsidRDefault="002403A8" w:rsidP="00BD10EC">
      <w:pPr>
        <w:jc w:val="both"/>
        <w:rPr>
          <w:b/>
        </w:rPr>
      </w:pPr>
    </w:p>
    <w:p w:rsidR="002403A8" w:rsidRPr="00665252" w:rsidRDefault="002403A8" w:rsidP="00BD10EC">
      <w:pPr>
        <w:jc w:val="both"/>
      </w:pPr>
      <w:r w:rsidRPr="00665252">
        <w:t>If a Bidder considers that any information supplied for the purposes of this PQQ is either confidential in nature or commercially sensitive and an exemption applies this should be highlighted in the body of the PQQ submission and the reasons for its sensitivity given in the table in the form supplied.</w:t>
      </w:r>
    </w:p>
    <w:p w:rsidR="002403A8" w:rsidRPr="00665252" w:rsidRDefault="002403A8" w:rsidP="00BD10EC">
      <w:pPr>
        <w:jc w:val="both"/>
      </w:pPr>
    </w:p>
    <w:p w:rsidR="002403A8" w:rsidRPr="00665252" w:rsidRDefault="002403A8" w:rsidP="00BD10EC">
      <w:pPr>
        <w:jc w:val="both"/>
      </w:pPr>
      <w:r w:rsidRPr="00665252">
        <w:t xml:space="preserve">Submission of a completed table does not guarantee that the information highlighted will be recognised as an exemption, this will be subject to clarification.  </w:t>
      </w:r>
    </w:p>
    <w:p w:rsidR="00FB4134" w:rsidRPr="00665252" w:rsidRDefault="00FB4134" w:rsidP="00BD10EC">
      <w:pPr>
        <w:pStyle w:val="Heading3"/>
        <w:keepNext w:val="0"/>
        <w:widowControl w:val="0"/>
        <w:numPr>
          <w:ilvl w:val="0"/>
          <w:numId w:val="27"/>
        </w:numPr>
        <w:ind w:left="0" w:firstLine="0"/>
        <w:jc w:val="both"/>
        <w:rPr>
          <w:rFonts w:ascii="Arial" w:hAnsi="Arial" w:cs="Arial"/>
          <w:sz w:val="22"/>
          <w:szCs w:val="22"/>
        </w:rPr>
      </w:pPr>
      <w:bookmarkStart w:id="67" w:name="_Toc457578403"/>
      <w:r w:rsidRPr="00665252">
        <w:rPr>
          <w:rFonts w:ascii="Arial" w:hAnsi="Arial" w:cs="Arial"/>
          <w:sz w:val="22"/>
          <w:szCs w:val="22"/>
        </w:rPr>
        <w:t>Declaration</w:t>
      </w:r>
      <w:bookmarkEnd w:id="67"/>
    </w:p>
    <w:p w:rsidR="00FB4134" w:rsidRPr="00665252" w:rsidRDefault="00FB4134" w:rsidP="00BD10EC">
      <w:pPr>
        <w:jc w:val="both"/>
        <w:rPr>
          <w:b/>
        </w:rPr>
      </w:pPr>
    </w:p>
    <w:p w:rsidR="00FB4134" w:rsidRPr="00665252" w:rsidRDefault="00FB4134" w:rsidP="00BD10EC">
      <w:pPr>
        <w:jc w:val="both"/>
        <w:rPr>
          <w:b/>
        </w:rPr>
      </w:pPr>
      <w:r w:rsidRPr="00665252">
        <w:t>The bidder i</w:t>
      </w:r>
      <w:r w:rsidR="00803CC3" w:rsidRPr="00665252">
        <w:t>s to read and sign the</w:t>
      </w:r>
      <w:r w:rsidRPr="00665252">
        <w:t xml:space="preserve"> Declaration document and attach the signed copy to this section</w:t>
      </w:r>
      <w:r w:rsidRPr="00665252">
        <w:rPr>
          <w:b/>
        </w:rPr>
        <w:t>.</w:t>
      </w:r>
    </w:p>
    <w:p w:rsidR="005B3446" w:rsidRPr="00665252" w:rsidRDefault="005B3446" w:rsidP="00BD10EC">
      <w:pPr>
        <w:jc w:val="both"/>
        <w:rPr>
          <w:b/>
        </w:rPr>
      </w:pPr>
    </w:p>
    <w:p w:rsidR="005B3446" w:rsidRPr="00665252" w:rsidRDefault="005B3446" w:rsidP="00BD10EC">
      <w:pPr>
        <w:jc w:val="both"/>
      </w:pPr>
      <w:r w:rsidRPr="00665252">
        <w:t>The bidder has the facility within this section to add additional appendices to aid their response to any of the PQQ questions. Please ensure that the template provided is completed and that any additional appendices are clearly numbered with the appropriate question number reference.</w:t>
      </w:r>
    </w:p>
    <w:p w:rsidR="00005C35" w:rsidRPr="00665252" w:rsidRDefault="00744C02" w:rsidP="00BD10EC">
      <w:pPr>
        <w:pStyle w:val="Heading3"/>
        <w:keepNext w:val="0"/>
        <w:widowControl w:val="0"/>
        <w:numPr>
          <w:ilvl w:val="0"/>
          <w:numId w:val="27"/>
        </w:numPr>
        <w:ind w:left="0" w:firstLine="0"/>
        <w:jc w:val="both"/>
        <w:rPr>
          <w:rFonts w:ascii="Arial" w:hAnsi="Arial" w:cs="Arial"/>
          <w:sz w:val="22"/>
          <w:szCs w:val="22"/>
        </w:rPr>
      </w:pPr>
      <w:bookmarkStart w:id="68" w:name="_Toc457578404"/>
      <w:r w:rsidRPr="00665252">
        <w:rPr>
          <w:rFonts w:ascii="Arial" w:hAnsi="Arial" w:cs="Arial"/>
          <w:sz w:val="22"/>
          <w:szCs w:val="22"/>
        </w:rPr>
        <w:t>Scoring Methodology Table A</w:t>
      </w:r>
      <w:bookmarkEnd w:id="68"/>
    </w:p>
    <w:p w:rsidR="009C7E50" w:rsidRPr="00665252" w:rsidRDefault="009C7E50" w:rsidP="00BD10EC">
      <w:pPr>
        <w:jc w:val="both"/>
        <w:rPr>
          <w:b/>
        </w:rPr>
      </w:pPr>
    </w:p>
    <w:p w:rsidR="009C7E50" w:rsidRPr="00665252" w:rsidRDefault="009C7E50" w:rsidP="00BD10EC">
      <w:pPr>
        <w:jc w:val="both"/>
      </w:pPr>
      <w:r w:rsidRPr="00665252">
        <w:t xml:space="preserve">This section confirms the </w:t>
      </w:r>
      <w:r w:rsidR="00934C7A" w:rsidRPr="00665252">
        <w:t xml:space="preserve">following </w:t>
      </w:r>
      <w:r w:rsidRPr="00665252">
        <w:t>Scoring Methodology that</w:t>
      </w:r>
      <w:r w:rsidR="00472D6F" w:rsidRPr="00665252">
        <w:t xml:space="preserve"> will be used for the scored</w:t>
      </w:r>
      <w:r w:rsidRPr="00665252">
        <w:t xml:space="preserve"> questions</w:t>
      </w:r>
      <w:r w:rsidR="00472D6F" w:rsidRPr="00665252">
        <w:t xml:space="preserve"> i</w:t>
      </w:r>
      <w:r w:rsidR="002403A8" w:rsidRPr="00665252">
        <w:t xml:space="preserve">n </w:t>
      </w:r>
      <w:r w:rsidR="00FB695D" w:rsidRPr="00665252">
        <w:t>PQQ (</w:t>
      </w:r>
      <w:r w:rsidRPr="00665252">
        <w:t>unless otherwise stated).</w:t>
      </w:r>
    </w:p>
    <w:p w:rsidR="00934C7A" w:rsidRDefault="00934C7A" w:rsidP="00BD10EC">
      <w:pPr>
        <w:jc w:val="both"/>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8155"/>
      </w:tblGrid>
      <w:tr w:rsidR="0041713A" w:rsidTr="00671E7B">
        <w:trPr>
          <w:trHeight w:val="330"/>
        </w:trPr>
        <w:tc>
          <w:tcPr>
            <w:tcW w:w="884" w:type="dxa"/>
            <w:tcMar>
              <w:top w:w="0" w:type="dxa"/>
              <w:left w:w="108" w:type="dxa"/>
              <w:bottom w:w="0" w:type="dxa"/>
              <w:right w:w="108" w:type="dxa"/>
            </w:tcMar>
            <w:hideMark/>
          </w:tcPr>
          <w:p w:rsidR="0041713A" w:rsidRDefault="0041713A">
            <w:pPr>
              <w:rPr>
                <w:rFonts w:eastAsiaTheme="minorHAnsi"/>
                <w:b/>
                <w:bCs/>
                <w:u w:val="single"/>
                <w:lang w:eastAsia="en-US"/>
              </w:rPr>
            </w:pPr>
            <w:r>
              <w:rPr>
                <w:b/>
                <w:bCs/>
                <w:u w:val="single"/>
              </w:rPr>
              <w:lastRenderedPageBreak/>
              <w:t>Score</w:t>
            </w:r>
          </w:p>
        </w:tc>
        <w:tc>
          <w:tcPr>
            <w:tcW w:w="8155" w:type="dxa"/>
            <w:tcMar>
              <w:top w:w="0" w:type="dxa"/>
              <w:left w:w="108" w:type="dxa"/>
              <w:bottom w:w="0" w:type="dxa"/>
              <w:right w:w="108" w:type="dxa"/>
            </w:tcMar>
            <w:hideMark/>
          </w:tcPr>
          <w:p w:rsidR="0041713A" w:rsidRDefault="0041713A">
            <w:pPr>
              <w:rPr>
                <w:rFonts w:eastAsiaTheme="minorHAnsi"/>
                <w:b/>
                <w:bCs/>
                <w:u w:val="single"/>
                <w:lang w:eastAsia="en-US"/>
              </w:rPr>
            </w:pPr>
            <w:r>
              <w:rPr>
                <w:b/>
                <w:bCs/>
                <w:u w:val="single"/>
              </w:rPr>
              <w:t>Scoring Rationale</w:t>
            </w:r>
          </w:p>
        </w:tc>
      </w:tr>
      <w:tr w:rsidR="0041713A" w:rsidTr="00671E7B">
        <w:trPr>
          <w:trHeight w:val="1380"/>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5</w:t>
            </w:r>
          </w:p>
        </w:tc>
        <w:tc>
          <w:tcPr>
            <w:tcW w:w="8155" w:type="dxa"/>
            <w:tcMar>
              <w:top w:w="0" w:type="dxa"/>
              <w:left w:w="108" w:type="dxa"/>
              <w:bottom w:w="0" w:type="dxa"/>
              <w:right w:w="108" w:type="dxa"/>
            </w:tcMar>
            <w:hideMark/>
          </w:tcPr>
          <w:p w:rsidR="0041713A" w:rsidRDefault="0041713A" w:rsidP="00671E7B">
            <w:pPr>
              <w:jc w:val="both"/>
              <w:rPr>
                <w:rFonts w:eastAsiaTheme="minorHAnsi"/>
                <w:lang w:eastAsia="en-US"/>
              </w:rPr>
            </w:pPr>
            <w:r>
              <w:t xml:space="preserve">All of the criteria within the question have been addressed in full with relevant, credible evidence of the applicant’s logical and thorough approach and capability supplied to support the answer. The answer provides total confidence that the applicant has the capability to deliver the contract requirements. </w:t>
            </w:r>
          </w:p>
        </w:tc>
      </w:tr>
      <w:tr w:rsidR="0041713A" w:rsidTr="00671E7B">
        <w:trPr>
          <w:trHeight w:val="1395"/>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4</w:t>
            </w:r>
          </w:p>
        </w:tc>
        <w:tc>
          <w:tcPr>
            <w:tcW w:w="8155" w:type="dxa"/>
            <w:tcMar>
              <w:top w:w="0" w:type="dxa"/>
              <w:left w:w="108" w:type="dxa"/>
              <w:bottom w:w="0" w:type="dxa"/>
              <w:right w:w="108" w:type="dxa"/>
            </w:tcMar>
            <w:hideMark/>
          </w:tcPr>
          <w:p w:rsidR="0041713A" w:rsidRDefault="0041713A" w:rsidP="00671E7B">
            <w:pPr>
              <w:jc w:val="both"/>
              <w:rPr>
                <w:rFonts w:eastAsiaTheme="minorHAnsi"/>
                <w:lang w:eastAsia="en-US"/>
              </w:rPr>
            </w:pPr>
            <w:r>
              <w:t>All of the criteria within the question have been addressed, but some areas contain limited relevant</w:t>
            </w:r>
            <w:r>
              <w:rPr>
                <w:color w:val="1F497D"/>
              </w:rPr>
              <w:t xml:space="preserve"> </w:t>
            </w:r>
            <w:r>
              <w:t xml:space="preserve">or credible evidence of the applicant’s logical and thorough approach and capability supplied to support the answer. The answer provides confidence that the applicant has the capability to deliver the contract requirements. </w:t>
            </w:r>
          </w:p>
        </w:tc>
      </w:tr>
      <w:tr w:rsidR="0041713A" w:rsidTr="00671E7B">
        <w:trPr>
          <w:trHeight w:val="1485"/>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3</w:t>
            </w:r>
          </w:p>
        </w:tc>
        <w:tc>
          <w:tcPr>
            <w:tcW w:w="8155" w:type="dxa"/>
            <w:tcMar>
              <w:top w:w="0" w:type="dxa"/>
              <w:left w:w="108" w:type="dxa"/>
              <w:bottom w:w="0" w:type="dxa"/>
              <w:right w:w="108" w:type="dxa"/>
            </w:tcMar>
            <w:hideMark/>
          </w:tcPr>
          <w:p w:rsidR="0041713A" w:rsidRDefault="0041713A" w:rsidP="00671E7B">
            <w:pPr>
              <w:jc w:val="both"/>
              <w:rPr>
                <w:rFonts w:eastAsiaTheme="minorHAnsi"/>
                <w:lang w:eastAsia="en-US"/>
              </w:rPr>
            </w:pPr>
            <w:r>
              <w:t>An aspect of the criteria within the question was not addressed  and/or there is a concern that an aspect of the response was not relevant or there was no</w:t>
            </w:r>
            <w:r>
              <w:rPr>
                <w:b/>
                <w:bCs/>
                <w:color w:val="0070C0"/>
              </w:rPr>
              <w:t xml:space="preserve"> </w:t>
            </w:r>
            <w:r>
              <w:t xml:space="preserve">credible evidence of the applicant’s logical and thorough approach and capability to support the answer. The answer provides limited confidence that the applicant has the capability to deliver the contract requirements. </w:t>
            </w:r>
          </w:p>
        </w:tc>
      </w:tr>
      <w:tr w:rsidR="0041713A" w:rsidTr="00671E7B">
        <w:trPr>
          <w:trHeight w:val="1560"/>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2</w:t>
            </w:r>
          </w:p>
        </w:tc>
        <w:tc>
          <w:tcPr>
            <w:tcW w:w="8155" w:type="dxa"/>
            <w:tcMar>
              <w:top w:w="0" w:type="dxa"/>
              <w:left w:w="108" w:type="dxa"/>
              <w:bottom w:w="0" w:type="dxa"/>
              <w:right w:w="108" w:type="dxa"/>
            </w:tcMar>
            <w:hideMark/>
          </w:tcPr>
          <w:p w:rsidR="0041713A" w:rsidRDefault="0041713A" w:rsidP="00671E7B">
            <w:pPr>
              <w:jc w:val="both"/>
              <w:rPr>
                <w:rFonts w:eastAsiaTheme="minorHAnsi"/>
                <w:lang w:eastAsia="en-US"/>
              </w:rPr>
            </w:pPr>
            <w:r>
              <w:t>Some aspects of the criteria within the question were not addressed and/or there is a concern that aspects of the response were not relevant</w:t>
            </w:r>
            <w:r>
              <w:rPr>
                <w:color w:val="1F497D"/>
              </w:rPr>
              <w:t>. </w:t>
            </w:r>
            <w:r>
              <w:t>There is limited credible evidence of the applicant’s logical and thorough approach and capability to support the answer. Such omissions suggest that it is unlikely that successful delivery of the contract requirements would be achieved.</w:t>
            </w:r>
          </w:p>
        </w:tc>
      </w:tr>
      <w:tr w:rsidR="0041713A" w:rsidTr="00671E7B">
        <w:trPr>
          <w:trHeight w:val="1560"/>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1</w:t>
            </w:r>
          </w:p>
        </w:tc>
        <w:tc>
          <w:tcPr>
            <w:tcW w:w="8155" w:type="dxa"/>
            <w:tcMar>
              <w:top w:w="0" w:type="dxa"/>
              <w:left w:w="108" w:type="dxa"/>
              <w:bottom w:w="0" w:type="dxa"/>
              <w:right w:w="108" w:type="dxa"/>
            </w:tcMar>
            <w:hideMark/>
          </w:tcPr>
          <w:p w:rsidR="0041713A" w:rsidRDefault="0041713A" w:rsidP="00671E7B">
            <w:pPr>
              <w:jc w:val="both"/>
              <w:rPr>
                <w:rFonts w:eastAsiaTheme="minorHAnsi"/>
                <w:lang w:eastAsia="en-US"/>
              </w:rPr>
            </w:pPr>
            <w:r>
              <w:t>The response only superficially covers a minor amount of the criteria and/or there are major concerns that aspects of the response were not relevant</w:t>
            </w:r>
            <w:r>
              <w:rPr>
                <w:color w:val="1F497D"/>
              </w:rPr>
              <w:t>. </w:t>
            </w:r>
            <w:r>
              <w:t>There is no or minimal credible evidence of the applicants logical and thorough approach and capability to support the answer. Such omissions suggest that it is highly unlikely that successful delivery of the contract requirements would be achieved.</w:t>
            </w:r>
          </w:p>
        </w:tc>
      </w:tr>
      <w:tr w:rsidR="0041713A" w:rsidTr="00671E7B">
        <w:trPr>
          <w:trHeight w:val="1020"/>
        </w:trPr>
        <w:tc>
          <w:tcPr>
            <w:tcW w:w="884" w:type="dxa"/>
            <w:tcMar>
              <w:top w:w="0" w:type="dxa"/>
              <w:left w:w="108" w:type="dxa"/>
              <w:bottom w:w="0" w:type="dxa"/>
              <w:right w:w="108" w:type="dxa"/>
            </w:tcMar>
            <w:vAlign w:val="center"/>
            <w:hideMark/>
          </w:tcPr>
          <w:p w:rsidR="0041713A" w:rsidRDefault="0041713A" w:rsidP="00671E7B">
            <w:pPr>
              <w:jc w:val="center"/>
              <w:rPr>
                <w:rFonts w:eastAsiaTheme="minorHAnsi"/>
                <w:lang w:eastAsia="en-US"/>
              </w:rPr>
            </w:pPr>
            <w:r>
              <w:t>0</w:t>
            </w:r>
          </w:p>
        </w:tc>
        <w:tc>
          <w:tcPr>
            <w:tcW w:w="8155" w:type="dxa"/>
            <w:tcMar>
              <w:top w:w="0" w:type="dxa"/>
              <w:left w:w="108" w:type="dxa"/>
              <w:bottom w:w="0" w:type="dxa"/>
              <w:right w:w="108" w:type="dxa"/>
            </w:tcMar>
            <w:hideMark/>
          </w:tcPr>
          <w:p w:rsidR="0041713A" w:rsidRDefault="0041713A" w:rsidP="00671E7B">
            <w:pPr>
              <w:jc w:val="both"/>
            </w:pPr>
            <w:r>
              <w:t xml:space="preserve">No response or the whole response is totally irrelevant to the criteria with no supporting evidence supplied.  Zero confidence that successful delivery of the contract requirements would be achieved. Any scores of zero will lead to rejection from the process. </w:t>
            </w:r>
          </w:p>
          <w:p w:rsidR="00F2751B" w:rsidRDefault="00F2751B" w:rsidP="00671E7B">
            <w:pPr>
              <w:jc w:val="both"/>
              <w:rPr>
                <w:rFonts w:eastAsiaTheme="minorHAnsi"/>
                <w:lang w:eastAsia="en-US"/>
              </w:rPr>
            </w:pPr>
          </w:p>
        </w:tc>
      </w:tr>
    </w:tbl>
    <w:p w:rsidR="0041713A" w:rsidRPr="000B73E3" w:rsidRDefault="0041713A" w:rsidP="00BD10EC">
      <w:pPr>
        <w:jc w:val="both"/>
        <w:rPr>
          <w:color w:val="0070C0"/>
        </w:rPr>
      </w:pPr>
    </w:p>
    <w:p w:rsidR="00472D6F" w:rsidRPr="00665252" w:rsidRDefault="00325660" w:rsidP="00BD10EC">
      <w:pPr>
        <w:pStyle w:val="Heading3"/>
        <w:keepNext w:val="0"/>
        <w:widowControl w:val="0"/>
        <w:numPr>
          <w:ilvl w:val="0"/>
          <w:numId w:val="27"/>
        </w:numPr>
        <w:ind w:left="0" w:firstLine="0"/>
        <w:jc w:val="both"/>
        <w:rPr>
          <w:rFonts w:ascii="Arial" w:hAnsi="Arial" w:cs="Arial"/>
          <w:sz w:val="22"/>
          <w:szCs w:val="22"/>
        </w:rPr>
      </w:pPr>
      <w:bookmarkStart w:id="69" w:name="_Toc457578405"/>
      <w:r w:rsidRPr="00665252">
        <w:rPr>
          <w:rFonts w:ascii="Arial" w:hAnsi="Arial" w:cs="Arial"/>
          <w:sz w:val="22"/>
          <w:szCs w:val="22"/>
        </w:rPr>
        <w:t>Bidder Feedback</w:t>
      </w:r>
      <w:bookmarkEnd w:id="69"/>
    </w:p>
    <w:p w:rsidR="00325660" w:rsidRPr="00665252" w:rsidRDefault="00325660" w:rsidP="00BD10EC">
      <w:pPr>
        <w:jc w:val="both"/>
        <w:rPr>
          <w:b/>
        </w:rPr>
      </w:pPr>
    </w:p>
    <w:p w:rsidR="00325660" w:rsidRPr="00665252" w:rsidRDefault="00325660" w:rsidP="00BD10EC">
      <w:pPr>
        <w:jc w:val="both"/>
        <w:rPr>
          <w:rFonts w:eastAsia="Calibri"/>
          <w:lang w:eastAsia="en-US"/>
        </w:rPr>
      </w:pPr>
      <w:r w:rsidRPr="00665252">
        <w:rPr>
          <w:rFonts w:eastAsia="Calibri"/>
          <w:lang w:eastAsia="en-US"/>
        </w:rPr>
        <w:t>This section provides Bidders with an opportunity to provide feedback or comments regarding the structure or f</w:t>
      </w:r>
      <w:r w:rsidR="002403A8" w:rsidRPr="00665252">
        <w:rPr>
          <w:rFonts w:eastAsia="Calibri"/>
          <w:lang w:eastAsia="en-US"/>
        </w:rPr>
        <w:t>ormat of this PQQ</w:t>
      </w:r>
      <w:r w:rsidRPr="00665252">
        <w:rPr>
          <w:rFonts w:eastAsia="Calibri"/>
          <w:lang w:eastAsia="en-US"/>
        </w:rPr>
        <w:t>.</w:t>
      </w:r>
    </w:p>
    <w:p w:rsidR="00801831" w:rsidRPr="00665252" w:rsidRDefault="00801831" w:rsidP="00BD10EC">
      <w:pPr>
        <w:jc w:val="both"/>
        <w:rPr>
          <w:rFonts w:eastAsia="Calibri"/>
          <w:lang w:eastAsia="en-US"/>
        </w:rPr>
      </w:pPr>
    </w:p>
    <w:p w:rsidR="00325660" w:rsidRPr="00665252" w:rsidRDefault="00325660" w:rsidP="00BD10EC">
      <w:pPr>
        <w:jc w:val="both"/>
        <w:rPr>
          <w:rFonts w:eastAsia="Calibri"/>
          <w:lang w:eastAsia="en-US"/>
        </w:rPr>
      </w:pPr>
      <w:r w:rsidRPr="00665252">
        <w:rPr>
          <w:rFonts w:eastAsia="Calibri"/>
          <w:lang w:eastAsia="en-US"/>
        </w:rPr>
        <w:t>We are continuing work to update and improve our standard</w:t>
      </w:r>
      <w:r w:rsidR="00801831" w:rsidRPr="00665252">
        <w:rPr>
          <w:rFonts w:eastAsia="Calibri"/>
          <w:lang w:eastAsia="en-US"/>
        </w:rPr>
        <w:t xml:space="preserve"> tender</w:t>
      </w:r>
      <w:r w:rsidRPr="00665252">
        <w:rPr>
          <w:rFonts w:eastAsia="Calibri"/>
          <w:lang w:eastAsia="en-US"/>
        </w:rPr>
        <w:t xml:space="preserve"> templates and welcome any constructive feedback from Bidders. </w:t>
      </w:r>
    </w:p>
    <w:p w:rsidR="00325660" w:rsidRPr="00665252" w:rsidRDefault="00325660" w:rsidP="00BD10EC">
      <w:pPr>
        <w:rPr>
          <w:b/>
        </w:rPr>
      </w:pPr>
    </w:p>
    <w:p w:rsidR="00A31184" w:rsidRPr="009429C2" w:rsidRDefault="00A31184" w:rsidP="009429C2">
      <w:pPr>
        <w:rPr>
          <w:b/>
        </w:rPr>
      </w:pPr>
    </w:p>
    <w:sectPr w:rsidR="00A31184" w:rsidRPr="009429C2" w:rsidSect="00837D35">
      <w:headerReference w:type="default" r:id="rId21"/>
      <w:footerReference w:type="even" r:id="rId22"/>
      <w:footerReference w:type="default" r:id="rId23"/>
      <w:pgSz w:w="11907" w:h="16839" w:code="9"/>
      <w:pgMar w:top="1440" w:right="1440" w:bottom="1440" w:left="1440"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F4" w:rsidRDefault="00A953F4">
      <w:r>
        <w:separator/>
      </w:r>
    </w:p>
  </w:endnote>
  <w:endnote w:type="continuationSeparator" w:id="0">
    <w:p w:rsidR="00A953F4" w:rsidRDefault="00A9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F4" w:rsidRDefault="00A953F4"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53F4" w:rsidRDefault="00A953F4"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F4" w:rsidRPr="00B12408" w:rsidRDefault="00A953F4" w:rsidP="006D7580">
    <w:pPr>
      <w:pStyle w:val="Footer"/>
      <w:framePr w:wrap="around" w:vAnchor="text" w:hAnchor="margin" w:xAlign="right" w:y="1"/>
      <w:rPr>
        <w:rStyle w:val="PageNumber"/>
        <w:sz w:val="18"/>
        <w:szCs w:val="18"/>
      </w:rPr>
    </w:pPr>
    <w:r w:rsidRPr="00B12408">
      <w:rPr>
        <w:rStyle w:val="PageNumber"/>
        <w:sz w:val="18"/>
        <w:szCs w:val="18"/>
      </w:rPr>
      <w:fldChar w:fldCharType="begin"/>
    </w:r>
    <w:r w:rsidRPr="00B12408">
      <w:rPr>
        <w:rStyle w:val="PageNumber"/>
        <w:sz w:val="18"/>
        <w:szCs w:val="18"/>
      </w:rPr>
      <w:instrText xml:space="preserve">PAGE  </w:instrText>
    </w:r>
    <w:r w:rsidRPr="00B12408">
      <w:rPr>
        <w:rStyle w:val="PageNumber"/>
        <w:sz w:val="18"/>
        <w:szCs w:val="18"/>
      </w:rPr>
      <w:fldChar w:fldCharType="separate"/>
    </w:r>
    <w:r w:rsidR="002D6E30">
      <w:rPr>
        <w:rStyle w:val="PageNumber"/>
        <w:noProof/>
        <w:sz w:val="18"/>
        <w:szCs w:val="18"/>
      </w:rPr>
      <w:t>1</w:t>
    </w:r>
    <w:r w:rsidRPr="00B12408">
      <w:rPr>
        <w:rStyle w:val="PageNumber"/>
        <w:sz w:val="18"/>
        <w:szCs w:val="18"/>
      </w:rPr>
      <w:fldChar w:fldCharType="end"/>
    </w:r>
  </w:p>
  <w:p w:rsidR="00A953F4" w:rsidRPr="00B12408" w:rsidRDefault="00A953F4" w:rsidP="009B3D04">
    <w:pPr>
      <w:pStyle w:val="Footer"/>
      <w:ind w:right="360"/>
      <w:rPr>
        <w:sz w:val="18"/>
        <w:szCs w:val="18"/>
      </w:rPr>
    </w:pPr>
    <w:r>
      <w:rPr>
        <w:sz w:val="18"/>
        <w:szCs w:val="18"/>
      </w:rPr>
      <w:t>PQQ Bidders Guidance v1.</w:t>
    </w:r>
    <w:r w:rsidR="00160955">
      <w:rPr>
        <w:sz w:val="18"/>
        <w:szCs w:val="18"/>
      </w:rPr>
      <w:t>5</w:t>
    </w:r>
    <w:r w:rsidRPr="00B12408">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F4" w:rsidRDefault="00A953F4">
      <w:r>
        <w:separator/>
      </w:r>
    </w:p>
  </w:footnote>
  <w:footnote w:type="continuationSeparator" w:id="0">
    <w:p w:rsidR="00A953F4" w:rsidRDefault="00A95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F4" w:rsidRDefault="00A953F4">
    <w:pPr>
      <w:pStyle w:val="Header"/>
      <w:rPr>
        <w:sz w:val="18"/>
        <w:szCs w:val="18"/>
      </w:rPr>
    </w:pPr>
    <w:r>
      <w:rPr>
        <w:sz w:val="18"/>
        <w:szCs w:val="18"/>
      </w:rPr>
      <w:t>PQQ Stage Bidder Guidance</w:t>
    </w:r>
    <w:r>
      <w:rPr>
        <w:sz w:val="18"/>
        <w:szCs w:val="18"/>
      </w:rPr>
      <w:tab/>
    </w:r>
    <w:r w:rsidRPr="0098497B">
      <w:rPr>
        <w:sz w:val="18"/>
        <w:szCs w:val="18"/>
      </w:rPr>
      <w:t xml:space="preserve">               </w:t>
    </w:r>
    <w:r w:rsidRPr="0098497B">
      <w:rPr>
        <w:sz w:val="18"/>
        <w:szCs w:val="18"/>
      </w:rPr>
      <w:tab/>
    </w:r>
  </w:p>
  <w:p w:rsidR="00A953F4" w:rsidRDefault="00A953F4" w:rsidP="00C97B8F">
    <w:pPr>
      <w:pStyle w:val="Header"/>
      <w:pBdr>
        <w:bottom w:val="single" w:sz="12" w:space="1" w:color="auto"/>
      </w:pBdr>
      <w:jc w:val="center"/>
      <w:rPr>
        <w:sz w:val="18"/>
        <w:szCs w:val="18"/>
      </w:rPr>
    </w:pPr>
  </w:p>
  <w:p w:rsidR="00A953F4" w:rsidRPr="0098497B" w:rsidRDefault="00A953F4" w:rsidP="00C97B8F">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22067"/>
    <w:multiLevelType w:val="hybridMultilevel"/>
    <w:tmpl w:val="AABA1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04943F8F"/>
    <w:multiLevelType w:val="hybridMultilevel"/>
    <w:tmpl w:val="02E45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2F7252"/>
    <w:multiLevelType w:val="hybridMultilevel"/>
    <w:tmpl w:val="27543210"/>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1B20228"/>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DE673C"/>
    <w:multiLevelType w:val="hybridMultilevel"/>
    <w:tmpl w:val="6746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8202E3E"/>
    <w:multiLevelType w:val="hybridMultilevel"/>
    <w:tmpl w:val="5D42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86F60FA"/>
    <w:multiLevelType w:val="hybridMultilevel"/>
    <w:tmpl w:val="9B08F08C"/>
    <w:lvl w:ilvl="0" w:tplc="08090001">
      <w:start w:val="1"/>
      <w:numFmt w:val="bullet"/>
      <w:lvlText w:val=""/>
      <w:lvlJc w:val="left"/>
      <w:pPr>
        <w:ind w:left="1080" w:hanging="360"/>
      </w:pPr>
      <w:rPr>
        <w:rFonts w:ascii="Symbol" w:hAnsi="Symbol" w:hint="default"/>
      </w:rPr>
    </w:lvl>
    <w:lvl w:ilvl="1" w:tplc="B4FCB948">
      <w:start w:val="1"/>
      <w:numFmt w:val="bullet"/>
      <w:lvlText w:val="o"/>
      <w:lvlJc w:val="left"/>
      <w:pPr>
        <w:ind w:left="1800" w:hanging="360"/>
      </w:pPr>
      <w:rPr>
        <w:rFonts w:ascii="Courier New" w:hAnsi="Courier New" w:cs="Courier New"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AAC42AE"/>
    <w:multiLevelType w:val="hybridMultilevel"/>
    <w:tmpl w:val="AF6081C6"/>
    <w:lvl w:ilvl="0" w:tplc="0BA402E6">
      <w:start w:val="1"/>
      <w:numFmt w:val="decimal"/>
      <w:lvlText w:val="%1."/>
      <w:lvlJc w:val="left"/>
      <w:pPr>
        <w:tabs>
          <w:tab w:val="num" w:pos="720"/>
        </w:tabs>
        <w:ind w:left="720" w:hanging="360"/>
      </w:pPr>
    </w:lvl>
    <w:lvl w:ilvl="1" w:tplc="933CE8CA">
      <w:start w:val="1534"/>
      <w:numFmt w:val="bullet"/>
      <w:lvlText w:val="–"/>
      <w:lvlJc w:val="left"/>
      <w:pPr>
        <w:tabs>
          <w:tab w:val="num" w:pos="1440"/>
        </w:tabs>
        <w:ind w:left="1440" w:hanging="360"/>
      </w:pPr>
      <w:rPr>
        <w:rFonts w:ascii="Times New Roman" w:hAnsi="Times New Roman" w:hint="default"/>
      </w:rPr>
    </w:lvl>
    <w:lvl w:ilvl="2" w:tplc="2DA43D3E" w:tentative="1">
      <w:start w:val="1"/>
      <w:numFmt w:val="decimal"/>
      <w:lvlText w:val="%3."/>
      <w:lvlJc w:val="left"/>
      <w:pPr>
        <w:tabs>
          <w:tab w:val="num" w:pos="2160"/>
        </w:tabs>
        <w:ind w:left="2160" w:hanging="360"/>
      </w:pPr>
    </w:lvl>
    <w:lvl w:ilvl="3" w:tplc="F1D2C9AA" w:tentative="1">
      <w:start w:val="1"/>
      <w:numFmt w:val="decimal"/>
      <w:lvlText w:val="%4."/>
      <w:lvlJc w:val="left"/>
      <w:pPr>
        <w:tabs>
          <w:tab w:val="num" w:pos="2880"/>
        </w:tabs>
        <w:ind w:left="2880" w:hanging="360"/>
      </w:pPr>
    </w:lvl>
    <w:lvl w:ilvl="4" w:tplc="1D8CC608" w:tentative="1">
      <w:start w:val="1"/>
      <w:numFmt w:val="decimal"/>
      <w:lvlText w:val="%5."/>
      <w:lvlJc w:val="left"/>
      <w:pPr>
        <w:tabs>
          <w:tab w:val="num" w:pos="3600"/>
        </w:tabs>
        <w:ind w:left="3600" w:hanging="360"/>
      </w:pPr>
    </w:lvl>
    <w:lvl w:ilvl="5" w:tplc="CA62B936" w:tentative="1">
      <w:start w:val="1"/>
      <w:numFmt w:val="decimal"/>
      <w:lvlText w:val="%6."/>
      <w:lvlJc w:val="left"/>
      <w:pPr>
        <w:tabs>
          <w:tab w:val="num" w:pos="4320"/>
        </w:tabs>
        <w:ind w:left="4320" w:hanging="360"/>
      </w:pPr>
    </w:lvl>
    <w:lvl w:ilvl="6" w:tplc="C0E6C246" w:tentative="1">
      <w:start w:val="1"/>
      <w:numFmt w:val="decimal"/>
      <w:lvlText w:val="%7."/>
      <w:lvlJc w:val="left"/>
      <w:pPr>
        <w:tabs>
          <w:tab w:val="num" w:pos="5040"/>
        </w:tabs>
        <w:ind w:left="5040" w:hanging="360"/>
      </w:pPr>
    </w:lvl>
    <w:lvl w:ilvl="7" w:tplc="A190B0B0" w:tentative="1">
      <w:start w:val="1"/>
      <w:numFmt w:val="decimal"/>
      <w:lvlText w:val="%8."/>
      <w:lvlJc w:val="left"/>
      <w:pPr>
        <w:tabs>
          <w:tab w:val="num" w:pos="5760"/>
        </w:tabs>
        <w:ind w:left="5760" w:hanging="360"/>
      </w:pPr>
    </w:lvl>
    <w:lvl w:ilvl="8" w:tplc="FA0A01D2" w:tentative="1">
      <w:start w:val="1"/>
      <w:numFmt w:val="decimal"/>
      <w:lvlText w:val="%9."/>
      <w:lvlJc w:val="left"/>
      <w:pPr>
        <w:tabs>
          <w:tab w:val="num" w:pos="6480"/>
        </w:tabs>
        <w:ind w:left="6480" w:hanging="360"/>
      </w:pPr>
    </w:lvl>
  </w:abstractNum>
  <w:abstractNum w:abstractNumId="20">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383B73D3"/>
    <w:multiLevelType w:val="hybridMultilevel"/>
    <w:tmpl w:val="82AA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24">
    <w:nsid w:val="3AC02381"/>
    <w:multiLevelType w:val="hybridMultilevel"/>
    <w:tmpl w:val="8AF6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2F5E22"/>
    <w:multiLevelType w:val="multilevel"/>
    <w:tmpl w:val="21FE6D7E"/>
    <w:lvl w:ilvl="0">
      <w:start w:val="9"/>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6">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8">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ADC298B"/>
    <w:multiLevelType w:val="hybridMultilevel"/>
    <w:tmpl w:val="EE5E2A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nsid w:val="4F0D7932"/>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1090833"/>
    <w:multiLevelType w:val="hybridMultilevel"/>
    <w:tmpl w:val="741A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E2721B"/>
    <w:multiLevelType w:val="hybridMultilevel"/>
    <w:tmpl w:val="87C4F4F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546157A2"/>
    <w:multiLevelType w:val="hybridMultilevel"/>
    <w:tmpl w:val="27543210"/>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743C1A"/>
    <w:multiLevelType w:val="hybridMultilevel"/>
    <w:tmpl w:val="FFF2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BFF1042"/>
    <w:multiLevelType w:val="hybridMultilevel"/>
    <w:tmpl w:val="F3AA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4A371C"/>
    <w:multiLevelType w:val="hybridMultilevel"/>
    <w:tmpl w:val="C5DE4E00"/>
    <w:lvl w:ilvl="0" w:tplc="006EE9D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6800BFC"/>
    <w:multiLevelType w:val="hybridMultilevel"/>
    <w:tmpl w:val="E41C8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8D15779"/>
    <w:multiLevelType w:val="singleLevel"/>
    <w:tmpl w:val="A5508E1E"/>
    <w:lvl w:ilvl="0">
      <w:start w:val="2"/>
      <w:numFmt w:val="decimal"/>
      <w:lvlText w:val="%1."/>
      <w:lvlJc w:val="left"/>
      <w:pPr>
        <w:tabs>
          <w:tab w:val="num" w:pos="720"/>
        </w:tabs>
        <w:ind w:left="720" w:hanging="720"/>
      </w:pPr>
      <w:rPr>
        <w:rFonts w:hint="default"/>
      </w:rPr>
    </w:lvl>
  </w:abstractNum>
  <w:abstractNum w:abstractNumId="45">
    <w:nsid w:val="695A6927"/>
    <w:multiLevelType w:val="singleLevel"/>
    <w:tmpl w:val="AA5E455C"/>
    <w:lvl w:ilvl="0">
      <w:start w:val="3"/>
      <w:numFmt w:val="lowerRoman"/>
      <w:lvlText w:val="(%1)"/>
      <w:lvlJc w:val="left"/>
      <w:pPr>
        <w:tabs>
          <w:tab w:val="num" w:pos="1440"/>
        </w:tabs>
        <w:ind w:left="1440" w:hanging="720"/>
      </w:pPr>
      <w:rPr>
        <w:rFonts w:hint="default"/>
      </w:rPr>
    </w:lvl>
  </w:abstractNum>
  <w:abstractNum w:abstractNumId="46">
    <w:nsid w:val="7448397B"/>
    <w:multiLevelType w:val="multilevel"/>
    <w:tmpl w:val="351AB75A"/>
    <w:lvl w:ilvl="0">
      <w:start w:val="1"/>
      <w:numFmt w:val="decimal"/>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7BB170A"/>
    <w:multiLevelType w:val="hybridMultilevel"/>
    <w:tmpl w:val="0174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13"/>
  </w:num>
  <w:num w:numId="4">
    <w:abstractNumId w:val="8"/>
  </w:num>
  <w:num w:numId="5">
    <w:abstractNumId w:val="29"/>
  </w:num>
  <w:num w:numId="6">
    <w:abstractNumId w:val="28"/>
  </w:num>
  <w:num w:numId="7">
    <w:abstractNumId w:val="17"/>
  </w:num>
  <w:num w:numId="8">
    <w:abstractNumId w:val="36"/>
  </w:num>
  <w:num w:numId="9">
    <w:abstractNumId w:val="0"/>
  </w:num>
  <w:num w:numId="10">
    <w:abstractNumId w:val="20"/>
  </w:num>
  <w:num w:numId="11">
    <w:abstractNumId w:val="1"/>
  </w:num>
  <w:num w:numId="12">
    <w:abstractNumId w:val="40"/>
  </w:num>
  <w:num w:numId="13">
    <w:abstractNumId w:val="5"/>
  </w:num>
  <w:num w:numId="14">
    <w:abstractNumId w:val="42"/>
  </w:num>
  <w:num w:numId="15">
    <w:abstractNumId w:val="15"/>
  </w:num>
  <w:num w:numId="16">
    <w:abstractNumId w:val="14"/>
  </w:num>
  <w:num w:numId="17">
    <w:abstractNumId w:val="24"/>
  </w:num>
  <w:num w:numId="18">
    <w:abstractNumId w:val="27"/>
  </w:num>
  <w:num w:numId="19">
    <w:abstractNumId w:val="25"/>
  </w:num>
  <w:num w:numId="20">
    <w:abstractNumId w:val="23"/>
  </w:num>
  <w:num w:numId="21">
    <w:abstractNumId w:val="41"/>
  </w:num>
  <w:num w:numId="22">
    <w:abstractNumId w:val="34"/>
  </w:num>
  <w:num w:numId="23">
    <w:abstractNumId w:val="3"/>
  </w:num>
  <w:num w:numId="24">
    <w:abstractNumId w:val="16"/>
  </w:num>
  <w:num w:numId="25">
    <w:abstractNumId w:val="7"/>
  </w:num>
  <w:num w:numId="26">
    <w:abstractNumId w:val="11"/>
  </w:num>
  <w:num w:numId="27">
    <w:abstractNumId w:val="26"/>
  </w:num>
  <w:num w:numId="28">
    <w:abstractNumId w:val="18"/>
  </w:num>
  <w:num w:numId="29">
    <w:abstractNumId w:val="10"/>
  </w:num>
  <w:num w:numId="30">
    <w:abstractNumId w:val="12"/>
  </w:num>
  <w:num w:numId="31">
    <w:abstractNumId w:val="38"/>
  </w:num>
  <w:num w:numId="32">
    <w:abstractNumId w:val="22"/>
  </w:num>
  <w:num w:numId="33">
    <w:abstractNumId w:val="30"/>
  </w:num>
  <w:num w:numId="34">
    <w:abstractNumId w:val="33"/>
  </w:num>
  <w:num w:numId="35">
    <w:abstractNumId w:val="9"/>
  </w:num>
  <w:num w:numId="36">
    <w:abstractNumId w:val="44"/>
  </w:num>
  <w:num w:numId="37">
    <w:abstractNumId w:val="6"/>
  </w:num>
  <w:num w:numId="38">
    <w:abstractNumId w:val="39"/>
  </w:num>
  <w:num w:numId="39">
    <w:abstractNumId w:val="45"/>
  </w:num>
  <w:num w:numId="40">
    <w:abstractNumId w:val="31"/>
  </w:num>
  <w:num w:numId="41">
    <w:abstractNumId w:val="19"/>
  </w:num>
  <w:num w:numId="42">
    <w:abstractNumId w:val="46"/>
  </w:num>
  <w:num w:numId="43">
    <w:abstractNumId w:val="43"/>
  </w:num>
  <w:num w:numId="44">
    <w:abstractNumId w:val="2"/>
  </w:num>
  <w:num w:numId="45">
    <w:abstractNumId w:val="35"/>
  </w:num>
  <w:num w:numId="46">
    <w:abstractNumId w:val="32"/>
  </w:num>
  <w:num w:numId="47">
    <w:abstractNumId w:val="47"/>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03"/>
    <w:rsid w:val="0000077B"/>
    <w:rsid w:val="00000D2F"/>
    <w:rsid w:val="00001484"/>
    <w:rsid w:val="00005C35"/>
    <w:rsid w:val="000112C7"/>
    <w:rsid w:val="00011712"/>
    <w:rsid w:val="000173B3"/>
    <w:rsid w:val="0002068C"/>
    <w:rsid w:val="00020F9C"/>
    <w:rsid w:val="00026CA6"/>
    <w:rsid w:val="000333A7"/>
    <w:rsid w:val="00033E3D"/>
    <w:rsid w:val="00040240"/>
    <w:rsid w:val="00040BD7"/>
    <w:rsid w:val="00044463"/>
    <w:rsid w:val="00044AED"/>
    <w:rsid w:val="000460E2"/>
    <w:rsid w:val="0004703F"/>
    <w:rsid w:val="00054E75"/>
    <w:rsid w:val="00063FDF"/>
    <w:rsid w:val="00070D2C"/>
    <w:rsid w:val="0007292C"/>
    <w:rsid w:val="00075A15"/>
    <w:rsid w:val="00077BFC"/>
    <w:rsid w:val="00080F13"/>
    <w:rsid w:val="0008246A"/>
    <w:rsid w:val="00087600"/>
    <w:rsid w:val="0009134C"/>
    <w:rsid w:val="00096B31"/>
    <w:rsid w:val="000A250F"/>
    <w:rsid w:val="000A6610"/>
    <w:rsid w:val="000B0DB9"/>
    <w:rsid w:val="000B3184"/>
    <w:rsid w:val="000B36FB"/>
    <w:rsid w:val="000B73E3"/>
    <w:rsid w:val="000B79A6"/>
    <w:rsid w:val="000C43FA"/>
    <w:rsid w:val="000C551A"/>
    <w:rsid w:val="000E3075"/>
    <w:rsid w:val="000E3307"/>
    <w:rsid w:val="000E50C8"/>
    <w:rsid w:val="000E6936"/>
    <w:rsid w:val="000E6FB6"/>
    <w:rsid w:val="000F1330"/>
    <w:rsid w:val="000F33C3"/>
    <w:rsid w:val="000F6C87"/>
    <w:rsid w:val="00101F31"/>
    <w:rsid w:val="0010265B"/>
    <w:rsid w:val="00113D76"/>
    <w:rsid w:val="00120BD2"/>
    <w:rsid w:val="00121525"/>
    <w:rsid w:val="00122D7F"/>
    <w:rsid w:val="001300A2"/>
    <w:rsid w:val="00131D06"/>
    <w:rsid w:val="0014393A"/>
    <w:rsid w:val="00160955"/>
    <w:rsid w:val="00162C66"/>
    <w:rsid w:val="00165765"/>
    <w:rsid w:val="00181597"/>
    <w:rsid w:val="00190DBC"/>
    <w:rsid w:val="00192F29"/>
    <w:rsid w:val="00193D14"/>
    <w:rsid w:val="001B2F28"/>
    <w:rsid w:val="001B54B0"/>
    <w:rsid w:val="001B69F2"/>
    <w:rsid w:val="001C0BAE"/>
    <w:rsid w:val="001C5102"/>
    <w:rsid w:val="001C64B9"/>
    <w:rsid w:val="001D45E8"/>
    <w:rsid w:val="001D5CEE"/>
    <w:rsid w:val="001E1768"/>
    <w:rsid w:val="001E4BEB"/>
    <w:rsid w:val="001F050D"/>
    <w:rsid w:val="001F2031"/>
    <w:rsid w:val="001F7CA1"/>
    <w:rsid w:val="00203F09"/>
    <w:rsid w:val="002118AA"/>
    <w:rsid w:val="00216BDE"/>
    <w:rsid w:val="002178DE"/>
    <w:rsid w:val="00224C99"/>
    <w:rsid w:val="00227A87"/>
    <w:rsid w:val="00230B97"/>
    <w:rsid w:val="00231C0F"/>
    <w:rsid w:val="00235D2F"/>
    <w:rsid w:val="002403A8"/>
    <w:rsid w:val="002418FA"/>
    <w:rsid w:val="002479BF"/>
    <w:rsid w:val="00247CC8"/>
    <w:rsid w:val="0025387E"/>
    <w:rsid w:val="00260483"/>
    <w:rsid w:val="002610B3"/>
    <w:rsid w:val="002626F2"/>
    <w:rsid w:val="00263AF1"/>
    <w:rsid w:val="00263DD1"/>
    <w:rsid w:val="00266829"/>
    <w:rsid w:val="00267294"/>
    <w:rsid w:val="00271AE0"/>
    <w:rsid w:val="00272C40"/>
    <w:rsid w:val="00272EA0"/>
    <w:rsid w:val="00276A90"/>
    <w:rsid w:val="002854D5"/>
    <w:rsid w:val="002942A8"/>
    <w:rsid w:val="00297824"/>
    <w:rsid w:val="002A12BB"/>
    <w:rsid w:val="002B14EB"/>
    <w:rsid w:val="002B1CDB"/>
    <w:rsid w:val="002B1DC8"/>
    <w:rsid w:val="002B2B32"/>
    <w:rsid w:val="002B509A"/>
    <w:rsid w:val="002B6EF9"/>
    <w:rsid w:val="002C5C7E"/>
    <w:rsid w:val="002D2088"/>
    <w:rsid w:val="002D6E30"/>
    <w:rsid w:val="002E26E3"/>
    <w:rsid w:val="002E5E22"/>
    <w:rsid w:val="002F3BFD"/>
    <w:rsid w:val="0030265A"/>
    <w:rsid w:val="00303DBA"/>
    <w:rsid w:val="003056A9"/>
    <w:rsid w:val="003107C6"/>
    <w:rsid w:val="00313972"/>
    <w:rsid w:val="00314023"/>
    <w:rsid w:val="00315440"/>
    <w:rsid w:val="00317AF9"/>
    <w:rsid w:val="003215CA"/>
    <w:rsid w:val="00325660"/>
    <w:rsid w:val="003260EB"/>
    <w:rsid w:val="00331287"/>
    <w:rsid w:val="003346BC"/>
    <w:rsid w:val="00347708"/>
    <w:rsid w:val="00350DCA"/>
    <w:rsid w:val="0036320D"/>
    <w:rsid w:val="00365D80"/>
    <w:rsid w:val="00370305"/>
    <w:rsid w:val="0037074E"/>
    <w:rsid w:val="003729E1"/>
    <w:rsid w:val="00377CD6"/>
    <w:rsid w:val="00382DC5"/>
    <w:rsid w:val="00383F2F"/>
    <w:rsid w:val="00395A64"/>
    <w:rsid w:val="003A16DB"/>
    <w:rsid w:val="003A1ACB"/>
    <w:rsid w:val="003B0FC8"/>
    <w:rsid w:val="003B6038"/>
    <w:rsid w:val="003C04A0"/>
    <w:rsid w:val="003C304A"/>
    <w:rsid w:val="003C3713"/>
    <w:rsid w:val="003C518E"/>
    <w:rsid w:val="003D41DC"/>
    <w:rsid w:val="003E7CA3"/>
    <w:rsid w:val="003F1D70"/>
    <w:rsid w:val="003F4BC9"/>
    <w:rsid w:val="00400E90"/>
    <w:rsid w:val="00402BCC"/>
    <w:rsid w:val="0040448F"/>
    <w:rsid w:val="0040701D"/>
    <w:rsid w:val="0041039F"/>
    <w:rsid w:val="004137AD"/>
    <w:rsid w:val="0041713A"/>
    <w:rsid w:val="00421BB1"/>
    <w:rsid w:val="00424A10"/>
    <w:rsid w:val="0043225E"/>
    <w:rsid w:val="0043316C"/>
    <w:rsid w:val="00437432"/>
    <w:rsid w:val="004403AD"/>
    <w:rsid w:val="004439FD"/>
    <w:rsid w:val="00444836"/>
    <w:rsid w:val="004458D0"/>
    <w:rsid w:val="004506BD"/>
    <w:rsid w:val="0045722B"/>
    <w:rsid w:val="004661A5"/>
    <w:rsid w:val="00467E33"/>
    <w:rsid w:val="00471911"/>
    <w:rsid w:val="00472D6F"/>
    <w:rsid w:val="004732C9"/>
    <w:rsid w:val="004758EA"/>
    <w:rsid w:val="00484249"/>
    <w:rsid w:val="00487322"/>
    <w:rsid w:val="00487ECF"/>
    <w:rsid w:val="00494222"/>
    <w:rsid w:val="004A231D"/>
    <w:rsid w:val="004A54EA"/>
    <w:rsid w:val="004B6CD0"/>
    <w:rsid w:val="004C6328"/>
    <w:rsid w:val="004D5592"/>
    <w:rsid w:val="004D7FD9"/>
    <w:rsid w:val="004E74ED"/>
    <w:rsid w:val="004F19A3"/>
    <w:rsid w:val="004F4FC0"/>
    <w:rsid w:val="00506D9B"/>
    <w:rsid w:val="0052048F"/>
    <w:rsid w:val="00521353"/>
    <w:rsid w:val="005225C1"/>
    <w:rsid w:val="00531F3C"/>
    <w:rsid w:val="00532D1F"/>
    <w:rsid w:val="00536408"/>
    <w:rsid w:val="00540D17"/>
    <w:rsid w:val="0054206D"/>
    <w:rsid w:val="005431D0"/>
    <w:rsid w:val="00544041"/>
    <w:rsid w:val="005477D4"/>
    <w:rsid w:val="0055304C"/>
    <w:rsid w:val="00554BAF"/>
    <w:rsid w:val="00555803"/>
    <w:rsid w:val="00566383"/>
    <w:rsid w:val="00570179"/>
    <w:rsid w:val="005812E5"/>
    <w:rsid w:val="005840A2"/>
    <w:rsid w:val="0059268B"/>
    <w:rsid w:val="00592858"/>
    <w:rsid w:val="00597EDD"/>
    <w:rsid w:val="005B22BF"/>
    <w:rsid w:val="005B3446"/>
    <w:rsid w:val="005B48B3"/>
    <w:rsid w:val="005B4A29"/>
    <w:rsid w:val="005B6376"/>
    <w:rsid w:val="005C024C"/>
    <w:rsid w:val="005C455B"/>
    <w:rsid w:val="005C4AD6"/>
    <w:rsid w:val="005C6A80"/>
    <w:rsid w:val="005D6793"/>
    <w:rsid w:val="005E0C58"/>
    <w:rsid w:val="005E2B30"/>
    <w:rsid w:val="005E2D25"/>
    <w:rsid w:val="005E38FC"/>
    <w:rsid w:val="005F4781"/>
    <w:rsid w:val="005F4A80"/>
    <w:rsid w:val="005F6348"/>
    <w:rsid w:val="0060189A"/>
    <w:rsid w:val="0060419F"/>
    <w:rsid w:val="00605A2C"/>
    <w:rsid w:val="00605D06"/>
    <w:rsid w:val="00606585"/>
    <w:rsid w:val="00606FE0"/>
    <w:rsid w:val="00611C81"/>
    <w:rsid w:val="0062013E"/>
    <w:rsid w:val="0063179F"/>
    <w:rsid w:val="00631D01"/>
    <w:rsid w:val="006328AC"/>
    <w:rsid w:val="00634303"/>
    <w:rsid w:val="006360E4"/>
    <w:rsid w:val="00643BFE"/>
    <w:rsid w:val="00646EA4"/>
    <w:rsid w:val="006509EC"/>
    <w:rsid w:val="00650EC1"/>
    <w:rsid w:val="00655083"/>
    <w:rsid w:val="00655EC0"/>
    <w:rsid w:val="00657CFA"/>
    <w:rsid w:val="00661938"/>
    <w:rsid w:val="00662D03"/>
    <w:rsid w:val="00663A32"/>
    <w:rsid w:val="00664926"/>
    <w:rsid w:val="00665252"/>
    <w:rsid w:val="00671E7B"/>
    <w:rsid w:val="00674B7A"/>
    <w:rsid w:val="00677952"/>
    <w:rsid w:val="00682BEA"/>
    <w:rsid w:val="00684187"/>
    <w:rsid w:val="00695EBC"/>
    <w:rsid w:val="00696EC5"/>
    <w:rsid w:val="00697A5A"/>
    <w:rsid w:val="00697E57"/>
    <w:rsid w:val="006B3A68"/>
    <w:rsid w:val="006B4A52"/>
    <w:rsid w:val="006D2E04"/>
    <w:rsid w:val="006D37A7"/>
    <w:rsid w:val="006D7580"/>
    <w:rsid w:val="006E1145"/>
    <w:rsid w:val="006E5F9D"/>
    <w:rsid w:val="006E7A81"/>
    <w:rsid w:val="006F29C2"/>
    <w:rsid w:val="006F7974"/>
    <w:rsid w:val="0070071E"/>
    <w:rsid w:val="00704435"/>
    <w:rsid w:val="00706452"/>
    <w:rsid w:val="00715BB6"/>
    <w:rsid w:val="00720058"/>
    <w:rsid w:val="00724610"/>
    <w:rsid w:val="0072471C"/>
    <w:rsid w:val="00724AC3"/>
    <w:rsid w:val="0073020D"/>
    <w:rsid w:val="00734BCB"/>
    <w:rsid w:val="0074031D"/>
    <w:rsid w:val="00741D2D"/>
    <w:rsid w:val="00743BC5"/>
    <w:rsid w:val="00744C02"/>
    <w:rsid w:val="00745B42"/>
    <w:rsid w:val="00745CFC"/>
    <w:rsid w:val="007542D3"/>
    <w:rsid w:val="00755E28"/>
    <w:rsid w:val="007606B4"/>
    <w:rsid w:val="00760768"/>
    <w:rsid w:val="00762477"/>
    <w:rsid w:val="007636B6"/>
    <w:rsid w:val="0076384B"/>
    <w:rsid w:val="007642F3"/>
    <w:rsid w:val="007667F0"/>
    <w:rsid w:val="007714DC"/>
    <w:rsid w:val="00772564"/>
    <w:rsid w:val="00785615"/>
    <w:rsid w:val="00785F41"/>
    <w:rsid w:val="00791486"/>
    <w:rsid w:val="00794B78"/>
    <w:rsid w:val="00797B19"/>
    <w:rsid w:val="007A1241"/>
    <w:rsid w:val="007A5BCC"/>
    <w:rsid w:val="007A5E66"/>
    <w:rsid w:val="007A6A77"/>
    <w:rsid w:val="007C0B7B"/>
    <w:rsid w:val="007C4A4E"/>
    <w:rsid w:val="007E4EDC"/>
    <w:rsid w:val="007F103D"/>
    <w:rsid w:val="007F7EB7"/>
    <w:rsid w:val="00801831"/>
    <w:rsid w:val="00801DAD"/>
    <w:rsid w:val="008029DF"/>
    <w:rsid w:val="008031D9"/>
    <w:rsid w:val="00803CC3"/>
    <w:rsid w:val="008042E7"/>
    <w:rsid w:val="00814BF3"/>
    <w:rsid w:val="008214F4"/>
    <w:rsid w:val="00824B6F"/>
    <w:rsid w:val="00830575"/>
    <w:rsid w:val="008334E8"/>
    <w:rsid w:val="008334EB"/>
    <w:rsid w:val="00837D35"/>
    <w:rsid w:val="008412D6"/>
    <w:rsid w:val="00843CDB"/>
    <w:rsid w:val="00845941"/>
    <w:rsid w:val="00851B59"/>
    <w:rsid w:val="00851FC4"/>
    <w:rsid w:val="00861D33"/>
    <w:rsid w:val="008702C3"/>
    <w:rsid w:val="00871652"/>
    <w:rsid w:val="00875638"/>
    <w:rsid w:val="0087746C"/>
    <w:rsid w:val="00877B03"/>
    <w:rsid w:val="00880B7F"/>
    <w:rsid w:val="00881739"/>
    <w:rsid w:val="00881CD2"/>
    <w:rsid w:val="00896258"/>
    <w:rsid w:val="00896E27"/>
    <w:rsid w:val="008A334D"/>
    <w:rsid w:val="008B3CAD"/>
    <w:rsid w:val="008B71B3"/>
    <w:rsid w:val="008C4076"/>
    <w:rsid w:val="008D1E4E"/>
    <w:rsid w:val="008E25E2"/>
    <w:rsid w:val="008E4280"/>
    <w:rsid w:val="008E4AEE"/>
    <w:rsid w:val="008E79BB"/>
    <w:rsid w:val="008F0F6F"/>
    <w:rsid w:val="008F1B91"/>
    <w:rsid w:val="008F511F"/>
    <w:rsid w:val="00904901"/>
    <w:rsid w:val="00905439"/>
    <w:rsid w:val="0091257E"/>
    <w:rsid w:val="0092427F"/>
    <w:rsid w:val="00924E89"/>
    <w:rsid w:val="0092521F"/>
    <w:rsid w:val="00932074"/>
    <w:rsid w:val="00934C7A"/>
    <w:rsid w:val="00940F6A"/>
    <w:rsid w:val="009429C2"/>
    <w:rsid w:val="00944110"/>
    <w:rsid w:val="00944AF5"/>
    <w:rsid w:val="00944D27"/>
    <w:rsid w:val="00944F8C"/>
    <w:rsid w:val="00946B14"/>
    <w:rsid w:val="00950381"/>
    <w:rsid w:val="009626A7"/>
    <w:rsid w:val="009703F1"/>
    <w:rsid w:val="00972D09"/>
    <w:rsid w:val="009767BB"/>
    <w:rsid w:val="00984163"/>
    <w:rsid w:val="0098497B"/>
    <w:rsid w:val="009A2A0F"/>
    <w:rsid w:val="009A3A27"/>
    <w:rsid w:val="009B063B"/>
    <w:rsid w:val="009B3D04"/>
    <w:rsid w:val="009B571B"/>
    <w:rsid w:val="009C02E2"/>
    <w:rsid w:val="009C0585"/>
    <w:rsid w:val="009C06B5"/>
    <w:rsid w:val="009C0C0D"/>
    <w:rsid w:val="009C1C34"/>
    <w:rsid w:val="009C5681"/>
    <w:rsid w:val="009C7E50"/>
    <w:rsid w:val="009D3E19"/>
    <w:rsid w:val="009D530D"/>
    <w:rsid w:val="009D562E"/>
    <w:rsid w:val="009D6FB0"/>
    <w:rsid w:val="009E0897"/>
    <w:rsid w:val="009F0024"/>
    <w:rsid w:val="009F5D91"/>
    <w:rsid w:val="009F66BB"/>
    <w:rsid w:val="009F7873"/>
    <w:rsid w:val="00A01A99"/>
    <w:rsid w:val="00A10854"/>
    <w:rsid w:val="00A248DC"/>
    <w:rsid w:val="00A25A39"/>
    <w:rsid w:val="00A2764E"/>
    <w:rsid w:val="00A27FA1"/>
    <w:rsid w:val="00A31184"/>
    <w:rsid w:val="00A35AF7"/>
    <w:rsid w:val="00A373B1"/>
    <w:rsid w:val="00A440C5"/>
    <w:rsid w:val="00A465F0"/>
    <w:rsid w:val="00A467E9"/>
    <w:rsid w:val="00A54E9F"/>
    <w:rsid w:val="00A5586E"/>
    <w:rsid w:val="00A57387"/>
    <w:rsid w:val="00A57B48"/>
    <w:rsid w:val="00A62594"/>
    <w:rsid w:val="00A82A18"/>
    <w:rsid w:val="00A8454F"/>
    <w:rsid w:val="00A93984"/>
    <w:rsid w:val="00A953F4"/>
    <w:rsid w:val="00AA2097"/>
    <w:rsid w:val="00AA2D8D"/>
    <w:rsid w:val="00AA393C"/>
    <w:rsid w:val="00AA6311"/>
    <w:rsid w:val="00AA799F"/>
    <w:rsid w:val="00AB1421"/>
    <w:rsid w:val="00AB725E"/>
    <w:rsid w:val="00AD29A9"/>
    <w:rsid w:val="00AE0465"/>
    <w:rsid w:val="00AE2DA8"/>
    <w:rsid w:val="00AF087F"/>
    <w:rsid w:val="00AF0BD9"/>
    <w:rsid w:val="00AF24DD"/>
    <w:rsid w:val="00B05BD5"/>
    <w:rsid w:val="00B1095C"/>
    <w:rsid w:val="00B10B14"/>
    <w:rsid w:val="00B12408"/>
    <w:rsid w:val="00B12788"/>
    <w:rsid w:val="00B14233"/>
    <w:rsid w:val="00B14BDE"/>
    <w:rsid w:val="00B155F6"/>
    <w:rsid w:val="00B157C8"/>
    <w:rsid w:val="00B31E97"/>
    <w:rsid w:val="00B32D05"/>
    <w:rsid w:val="00B32FF7"/>
    <w:rsid w:val="00B33395"/>
    <w:rsid w:val="00B33AB0"/>
    <w:rsid w:val="00B37C71"/>
    <w:rsid w:val="00B40017"/>
    <w:rsid w:val="00B4251A"/>
    <w:rsid w:val="00B43267"/>
    <w:rsid w:val="00B45259"/>
    <w:rsid w:val="00B50AE2"/>
    <w:rsid w:val="00B56E95"/>
    <w:rsid w:val="00B60ADB"/>
    <w:rsid w:val="00B60DAE"/>
    <w:rsid w:val="00B6525A"/>
    <w:rsid w:val="00B7381A"/>
    <w:rsid w:val="00B73AE9"/>
    <w:rsid w:val="00B75520"/>
    <w:rsid w:val="00B8259B"/>
    <w:rsid w:val="00B910B3"/>
    <w:rsid w:val="00B944DB"/>
    <w:rsid w:val="00B96C88"/>
    <w:rsid w:val="00B97E80"/>
    <w:rsid w:val="00BA1335"/>
    <w:rsid w:val="00BA1F1A"/>
    <w:rsid w:val="00BA5ECF"/>
    <w:rsid w:val="00BB5569"/>
    <w:rsid w:val="00BB5B94"/>
    <w:rsid w:val="00BB5BBC"/>
    <w:rsid w:val="00BC091F"/>
    <w:rsid w:val="00BC3AE2"/>
    <w:rsid w:val="00BC6619"/>
    <w:rsid w:val="00BC6A33"/>
    <w:rsid w:val="00BD0D46"/>
    <w:rsid w:val="00BD10EC"/>
    <w:rsid w:val="00BD2DCE"/>
    <w:rsid w:val="00BD429C"/>
    <w:rsid w:val="00BD76C4"/>
    <w:rsid w:val="00BE0329"/>
    <w:rsid w:val="00BE1E80"/>
    <w:rsid w:val="00BE30E7"/>
    <w:rsid w:val="00BF007D"/>
    <w:rsid w:val="00BF27E7"/>
    <w:rsid w:val="00BF3127"/>
    <w:rsid w:val="00BF5389"/>
    <w:rsid w:val="00C00208"/>
    <w:rsid w:val="00C00DB4"/>
    <w:rsid w:val="00C014E8"/>
    <w:rsid w:val="00C0385E"/>
    <w:rsid w:val="00C03B4F"/>
    <w:rsid w:val="00C0697A"/>
    <w:rsid w:val="00C14676"/>
    <w:rsid w:val="00C20968"/>
    <w:rsid w:val="00C219F8"/>
    <w:rsid w:val="00C2794F"/>
    <w:rsid w:val="00C32EAA"/>
    <w:rsid w:val="00C3428E"/>
    <w:rsid w:val="00C36F30"/>
    <w:rsid w:val="00C40D1D"/>
    <w:rsid w:val="00C43636"/>
    <w:rsid w:val="00C4444C"/>
    <w:rsid w:val="00C44546"/>
    <w:rsid w:val="00C5121D"/>
    <w:rsid w:val="00C6121C"/>
    <w:rsid w:val="00C619BD"/>
    <w:rsid w:val="00C62B1E"/>
    <w:rsid w:val="00C70560"/>
    <w:rsid w:val="00C7304F"/>
    <w:rsid w:val="00C75CA4"/>
    <w:rsid w:val="00C8162B"/>
    <w:rsid w:val="00C84044"/>
    <w:rsid w:val="00C84C17"/>
    <w:rsid w:val="00C90103"/>
    <w:rsid w:val="00C90AC6"/>
    <w:rsid w:val="00C97B8F"/>
    <w:rsid w:val="00CA1FB7"/>
    <w:rsid w:val="00CA2C9E"/>
    <w:rsid w:val="00CA4EA6"/>
    <w:rsid w:val="00CA5A71"/>
    <w:rsid w:val="00CA74D0"/>
    <w:rsid w:val="00CB5C7A"/>
    <w:rsid w:val="00CC27B9"/>
    <w:rsid w:val="00CD01C9"/>
    <w:rsid w:val="00CD5D4A"/>
    <w:rsid w:val="00CE3751"/>
    <w:rsid w:val="00CE4569"/>
    <w:rsid w:val="00CE7FF0"/>
    <w:rsid w:val="00CF3CE5"/>
    <w:rsid w:val="00D043BB"/>
    <w:rsid w:val="00D054FE"/>
    <w:rsid w:val="00D27B1C"/>
    <w:rsid w:val="00D3025C"/>
    <w:rsid w:val="00D31AEE"/>
    <w:rsid w:val="00D3453E"/>
    <w:rsid w:val="00D402BB"/>
    <w:rsid w:val="00D44119"/>
    <w:rsid w:val="00D44192"/>
    <w:rsid w:val="00D45E60"/>
    <w:rsid w:val="00D46049"/>
    <w:rsid w:val="00D55585"/>
    <w:rsid w:val="00D56643"/>
    <w:rsid w:val="00D612AC"/>
    <w:rsid w:val="00D625E2"/>
    <w:rsid w:val="00D62EF5"/>
    <w:rsid w:val="00D678D4"/>
    <w:rsid w:val="00D703B3"/>
    <w:rsid w:val="00D74B6C"/>
    <w:rsid w:val="00D778C1"/>
    <w:rsid w:val="00D807CE"/>
    <w:rsid w:val="00D83FE7"/>
    <w:rsid w:val="00D84E00"/>
    <w:rsid w:val="00D93068"/>
    <w:rsid w:val="00D96E85"/>
    <w:rsid w:val="00D977D6"/>
    <w:rsid w:val="00DB0041"/>
    <w:rsid w:val="00DB02AA"/>
    <w:rsid w:val="00DB1309"/>
    <w:rsid w:val="00DB2162"/>
    <w:rsid w:val="00DB35BF"/>
    <w:rsid w:val="00DB56D4"/>
    <w:rsid w:val="00DB5F8A"/>
    <w:rsid w:val="00DB6243"/>
    <w:rsid w:val="00DC2307"/>
    <w:rsid w:val="00DC53DA"/>
    <w:rsid w:val="00DD2E24"/>
    <w:rsid w:val="00DD3D26"/>
    <w:rsid w:val="00DD65A6"/>
    <w:rsid w:val="00DF053B"/>
    <w:rsid w:val="00DF0754"/>
    <w:rsid w:val="00DF15CD"/>
    <w:rsid w:val="00DF1BF9"/>
    <w:rsid w:val="00E00F4B"/>
    <w:rsid w:val="00E012E8"/>
    <w:rsid w:val="00E13E1A"/>
    <w:rsid w:val="00E14E88"/>
    <w:rsid w:val="00E15BD6"/>
    <w:rsid w:val="00E208DE"/>
    <w:rsid w:val="00E23555"/>
    <w:rsid w:val="00E27A52"/>
    <w:rsid w:val="00E27BA8"/>
    <w:rsid w:val="00E3054F"/>
    <w:rsid w:val="00E36734"/>
    <w:rsid w:val="00E3687F"/>
    <w:rsid w:val="00E40573"/>
    <w:rsid w:val="00E412E7"/>
    <w:rsid w:val="00E43171"/>
    <w:rsid w:val="00E47E98"/>
    <w:rsid w:val="00E719AE"/>
    <w:rsid w:val="00E72751"/>
    <w:rsid w:val="00E72E44"/>
    <w:rsid w:val="00E733CB"/>
    <w:rsid w:val="00E7545F"/>
    <w:rsid w:val="00E81E1D"/>
    <w:rsid w:val="00E8270E"/>
    <w:rsid w:val="00E8275B"/>
    <w:rsid w:val="00E959E2"/>
    <w:rsid w:val="00EA7E4C"/>
    <w:rsid w:val="00EB10D1"/>
    <w:rsid w:val="00EC3465"/>
    <w:rsid w:val="00EC68BB"/>
    <w:rsid w:val="00ED03B6"/>
    <w:rsid w:val="00ED21B6"/>
    <w:rsid w:val="00ED73C6"/>
    <w:rsid w:val="00EF2457"/>
    <w:rsid w:val="00EF2961"/>
    <w:rsid w:val="00EF4492"/>
    <w:rsid w:val="00F054C4"/>
    <w:rsid w:val="00F05EE9"/>
    <w:rsid w:val="00F126C4"/>
    <w:rsid w:val="00F1399F"/>
    <w:rsid w:val="00F159B4"/>
    <w:rsid w:val="00F20664"/>
    <w:rsid w:val="00F2751B"/>
    <w:rsid w:val="00F3570E"/>
    <w:rsid w:val="00F35A28"/>
    <w:rsid w:val="00F37B66"/>
    <w:rsid w:val="00F40700"/>
    <w:rsid w:val="00F412D8"/>
    <w:rsid w:val="00F44E23"/>
    <w:rsid w:val="00F45CBA"/>
    <w:rsid w:val="00F50365"/>
    <w:rsid w:val="00F548CB"/>
    <w:rsid w:val="00F603CE"/>
    <w:rsid w:val="00F61BB0"/>
    <w:rsid w:val="00F630D1"/>
    <w:rsid w:val="00F70F43"/>
    <w:rsid w:val="00F71E7A"/>
    <w:rsid w:val="00F87ABB"/>
    <w:rsid w:val="00F906D7"/>
    <w:rsid w:val="00F973DA"/>
    <w:rsid w:val="00FA5EB6"/>
    <w:rsid w:val="00FB1E29"/>
    <w:rsid w:val="00FB3788"/>
    <w:rsid w:val="00FB4134"/>
    <w:rsid w:val="00FB49D7"/>
    <w:rsid w:val="00FB5A2F"/>
    <w:rsid w:val="00FB695D"/>
    <w:rsid w:val="00FD09E5"/>
    <w:rsid w:val="00FD13ED"/>
    <w:rsid w:val="00FD1C3B"/>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2"/>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F28"/>
    <w:rPr>
      <w:sz w:val="22"/>
    </w:rPr>
  </w:style>
  <w:style w:type="paragraph" w:styleId="Heading1">
    <w:name w:val="heading 1"/>
    <w:basedOn w:val="Normal"/>
    <w:next w:val="Normal"/>
    <w:link w:val="Heading1Char"/>
    <w:qFormat/>
    <w:rsid w:val="008B3CAD"/>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555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8561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link w:val="ListParagraphChar"/>
    <w:uiPriority w:val="34"/>
    <w:qFormat/>
    <w:rsid w:val="00216BDE"/>
    <w:pPr>
      <w:ind w:left="720"/>
      <w:contextualSpacing/>
    </w:pPr>
    <w:rPr>
      <w:rFonts w:eastAsia="Calibri"/>
      <w:lang w:eastAsia="en-US"/>
    </w:rPr>
  </w:style>
  <w:style w:type="paragraph" w:customStyle="1" w:styleId="Default">
    <w:name w:val="Default"/>
    <w:rsid w:val="00325660"/>
    <w:pPr>
      <w:autoSpaceDE w:val="0"/>
      <w:autoSpaceDN w:val="0"/>
      <w:adjustRightInd w:val="0"/>
    </w:pPr>
    <w:rPr>
      <w:color w:val="000000"/>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semiHidden/>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40701D"/>
    <w:pPr>
      <w:tabs>
        <w:tab w:val="left" w:pos="1100"/>
        <w:tab w:val="right" w:leader="dot" w:pos="9017"/>
      </w:tabs>
      <w:ind w:left="1170" w:hanging="690"/>
    </w:pPr>
  </w:style>
  <w:style w:type="paragraph" w:styleId="NormalWeb">
    <w:name w:val="Normal (Web)"/>
    <w:basedOn w:val="Normal"/>
    <w:uiPriority w:val="99"/>
    <w:unhideWhenUsed/>
    <w:rsid w:val="00C7304F"/>
    <w:rPr>
      <w:rFonts w:ascii="Times New Roman" w:hAnsi="Times New Roman" w:cs="Times New Roman"/>
      <w:szCs w:val="24"/>
    </w:rPr>
  </w:style>
  <w:style w:type="character" w:styleId="Strong">
    <w:name w:val="Strong"/>
    <w:basedOn w:val="DefaultParagraphFont"/>
    <w:uiPriority w:val="22"/>
    <w:qFormat/>
    <w:rsid w:val="00C7304F"/>
    <w:rPr>
      <w:b/>
      <w:bCs/>
    </w:rPr>
  </w:style>
  <w:style w:type="paragraph" w:customStyle="1" w:styleId="level2">
    <w:name w:val="level 2"/>
    <w:basedOn w:val="ListParagraph"/>
    <w:link w:val="level2Char"/>
    <w:qFormat/>
    <w:rsid w:val="00A248DC"/>
    <w:pPr>
      <w:numPr>
        <w:ilvl w:val="1"/>
        <w:numId w:val="42"/>
      </w:numPr>
      <w:contextualSpacing w:val="0"/>
      <w:jc w:val="both"/>
    </w:pPr>
    <w:rPr>
      <w:color w:val="000000"/>
    </w:rPr>
  </w:style>
  <w:style w:type="character" w:customStyle="1" w:styleId="ListParagraphChar">
    <w:name w:val="List Paragraph Char"/>
    <w:basedOn w:val="DefaultParagraphFont"/>
    <w:link w:val="ListParagraph"/>
    <w:uiPriority w:val="34"/>
    <w:rsid w:val="00216BDE"/>
    <w:rPr>
      <w:rFonts w:eastAsia="Calibri"/>
      <w:sz w:val="22"/>
      <w:lang w:eastAsia="en-US"/>
    </w:rPr>
  </w:style>
  <w:style w:type="character" w:customStyle="1" w:styleId="level2Char">
    <w:name w:val="level 2 Char"/>
    <w:basedOn w:val="ListParagraphChar"/>
    <w:link w:val="level2"/>
    <w:rsid w:val="00A248DC"/>
    <w:rPr>
      <w:rFonts w:ascii="Calibri" w:eastAsia="Calibri" w:hAnsi="Calibri"/>
      <w:color w:val="000000"/>
      <w:sz w:val="22"/>
      <w:lang w:eastAsia="en-US"/>
    </w:rPr>
  </w:style>
  <w:style w:type="character" w:customStyle="1" w:styleId="Heading2Char">
    <w:name w:val="Heading 2 Char"/>
    <w:basedOn w:val="DefaultParagraphFont"/>
    <w:link w:val="Heading2"/>
    <w:semiHidden/>
    <w:rsid w:val="00D55585"/>
    <w:rPr>
      <w:rFonts w:asciiTheme="majorHAnsi" w:eastAsiaTheme="majorEastAsia" w:hAnsiTheme="majorHAnsi" w:cstheme="majorBidi"/>
      <w:b/>
      <w:bCs/>
      <w:color w:val="4F81BD" w:themeColor="accent1"/>
      <w:sz w:val="26"/>
      <w:szCs w:val="26"/>
    </w:rPr>
  </w:style>
  <w:style w:type="character" w:customStyle="1" w:styleId="color-span">
    <w:name w:val="color-span"/>
    <w:basedOn w:val="DefaultParagraphFont"/>
    <w:rsid w:val="00D84E00"/>
  </w:style>
  <w:style w:type="paragraph" w:styleId="TOC2">
    <w:name w:val="toc 2"/>
    <w:basedOn w:val="Normal"/>
    <w:next w:val="Normal"/>
    <w:autoRedefine/>
    <w:uiPriority w:val="39"/>
    <w:rsid w:val="002118AA"/>
    <w:pPr>
      <w:spacing w:after="100"/>
      <w:ind w:left="220"/>
    </w:pPr>
  </w:style>
  <w:style w:type="paragraph" w:styleId="Revision">
    <w:name w:val="Revision"/>
    <w:hidden/>
    <w:uiPriority w:val="99"/>
    <w:semiHidden/>
    <w:rsid w:val="006D2E0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2"/>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F28"/>
    <w:rPr>
      <w:sz w:val="22"/>
    </w:rPr>
  </w:style>
  <w:style w:type="paragraph" w:styleId="Heading1">
    <w:name w:val="heading 1"/>
    <w:basedOn w:val="Normal"/>
    <w:next w:val="Normal"/>
    <w:link w:val="Heading1Char"/>
    <w:qFormat/>
    <w:rsid w:val="008B3CAD"/>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555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8561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link w:val="ListParagraphChar"/>
    <w:uiPriority w:val="34"/>
    <w:qFormat/>
    <w:rsid w:val="00216BDE"/>
    <w:pPr>
      <w:ind w:left="720"/>
      <w:contextualSpacing/>
    </w:pPr>
    <w:rPr>
      <w:rFonts w:eastAsia="Calibri"/>
      <w:lang w:eastAsia="en-US"/>
    </w:rPr>
  </w:style>
  <w:style w:type="paragraph" w:customStyle="1" w:styleId="Default">
    <w:name w:val="Default"/>
    <w:rsid w:val="00325660"/>
    <w:pPr>
      <w:autoSpaceDE w:val="0"/>
      <w:autoSpaceDN w:val="0"/>
      <w:adjustRightInd w:val="0"/>
    </w:pPr>
    <w:rPr>
      <w:color w:val="000000"/>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semiHidden/>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40701D"/>
    <w:pPr>
      <w:tabs>
        <w:tab w:val="left" w:pos="1100"/>
        <w:tab w:val="right" w:leader="dot" w:pos="9017"/>
      </w:tabs>
      <w:ind w:left="1170" w:hanging="690"/>
    </w:pPr>
  </w:style>
  <w:style w:type="paragraph" w:styleId="NormalWeb">
    <w:name w:val="Normal (Web)"/>
    <w:basedOn w:val="Normal"/>
    <w:uiPriority w:val="99"/>
    <w:unhideWhenUsed/>
    <w:rsid w:val="00C7304F"/>
    <w:rPr>
      <w:rFonts w:ascii="Times New Roman" w:hAnsi="Times New Roman" w:cs="Times New Roman"/>
      <w:szCs w:val="24"/>
    </w:rPr>
  </w:style>
  <w:style w:type="character" w:styleId="Strong">
    <w:name w:val="Strong"/>
    <w:basedOn w:val="DefaultParagraphFont"/>
    <w:uiPriority w:val="22"/>
    <w:qFormat/>
    <w:rsid w:val="00C7304F"/>
    <w:rPr>
      <w:b/>
      <w:bCs/>
    </w:rPr>
  </w:style>
  <w:style w:type="paragraph" w:customStyle="1" w:styleId="level2">
    <w:name w:val="level 2"/>
    <w:basedOn w:val="ListParagraph"/>
    <w:link w:val="level2Char"/>
    <w:qFormat/>
    <w:rsid w:val="00A248DC"/>
    <w:pPr>
      <w:numPr>
        <w:ilvl w:val="1"/>
        <w:numId w:val="42"/>
      </w:numPr>
      <w:contextualSpacing w:val="0"/>
      <w:jc w:val="both"/>
    </w:pPr>
    <w:rPr>
      <w:color w:val="000000"/>
    </w:rPr>
  </w:style>
  <w:style w:type="character" w:customStyle="1" w:styleId="ListParagraphChar">
    <w:name w:val="List Paragraph Char"/>
    <w:basedOn w:val="DefaultParagraphFont"/>
    <w:link w:val="ListParagraph"/>
    <w:uiPriority w:val="34"/>
    <w:rsid w:val="00216BDE"/>
    <w:rPr>
      <w:rFonts w:eastAsia="Calibri"/>
      <w:sz w:val="22"/>
      <w:lang w:eastAsia="en-US"/>
    </w:rPr>
  </w:style>
  <w:style w:type="character" w:customStyle="1" w:styleId="level2Char">
    <w:name w:val="level 2 Char"/>
    <w:basedOn w:val="ListParagraphChar"/>
    <w:link w:val="level2"/>
    <w:rsid w:val="00A248DC"/>
    <w:rPr>
      <w:rFonts w:ascii="Calibri" w:eastAsia="Calibri" w:hAnsi="Calibri"/>
      <w:color w:val="000000"/>
      <w:sz w:val="22"/>
      <w:lang w:eastAsia="en-US"/>
    </w:rPr>
  </w:style>
  <w:style w:type="character" w:customStyle="1" w:styleId="Heading2Char">
    <w:name w:val="Heading 2 Char"/>
    <w:basedOn w:val="DefaultParagraphFont"/>
    <w:link w:val="Heading2"/>
    <w:semiHidden/>
    <w:rsid w:val="00D55585"/>
    <w:rPr>
      <w:rFonts w:asciiTheme="majorHAnsi" w:eastAsiaTheme="majorEastAsia" w:hAnsiTheme="majorHAnsi" w:cstheme="majorBidi"/>
      <w:b/>
      <w:bCs/>
      <w:color w:val="4F81BD" w:themeColor="accent1"/>
      <w:sz w:val="26"/>
      <w:szCs w:val="26"/>
    </w:rPr>
  </w:style>
  <w:style w:type="character" w:customStyle="1" w:styleId="color-span">
    <w:name w:val="color-span"/>
    <w:basedOn w:val="DefaultParagraphFont"/>
    <w:rsid w:val="00D84E00"/>
  </w:style>
  <w:style w:type="paragraph" w:styleId="TOC2">
    <w:name w:val="toc 2"/>
    <w:basedOn w:val="Normal"/>
    <w:next w:val="Normal"/>
    <w:autoRedefine/>
    <w:uiPriority w:val="39"/>
    <w:rsid w:val="002118AA"/>
    <w:pPr>
      <w:spacing w:after="100"/>
      <w:ind w:left="220"/>
    </w:pPr>
  </w:style>
  <w:style w:type="paragraph" w:styleId="Revision">
    <w:name w:val="Revision"/>
    <w:hidden/>
    <w:uiPriority w:val="99"/>
    <w:semiHidden/>
    <w:rsid w:val="006D2E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7016182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481117379">
      <w:bodyDiv w:val="1"/>
      <w:marLeft w:val="0"/>
      <w:marRight w:val="0"/>
      <w:marTop w:val="0"/>
      <w:marBottom w:val="0"/>
      <w:divBdr>
        <w:top w:val="none" w:sz="0" w:space="0" w:color="auto"/>
        <w:left w:val="none" w:sz="0" w:space="0" w:color="auto"/>
        <w:bottom w:val="none" w:sz="0" w:space="0" w:color="auto"/>
        <w:right w:val="none" w:sz="0" w:space="0" w:color="auto"/>
      </w:divBdr>
      <w:divsChild>
        <w:div w:id="386493508">
          <w:marLeft w:val="720"/>
          <w:marRight w:val="0"/>
          <w:marTop w:val="96"/>
          <w:marBottom w:val="0"/>
          <w:divBdr>
            <w:top w:val="none" w:sz="0" w:space="0" w:color="auto"/>
            <w:left w:val="none" w:sz="0" w:space="0" w:color="auto"/>
            <w:bottom w:val="none" w:sz="0" w:space="0" w:color="auto"/>
            <w:right w:val="none" w:sz="0" w:space="0" w:color="auto"/>
          </w:divBdr>
        </w:div>
        <w:div w:id="1274441333">
          <w:marLeft w:val="1166"/>
          <w:marRight w:val="0"/>
          <w:marTop w:val="86"/>
          <w:marBottom w:val="0"/>
          <w:divBdr>
            <w:top w:val="none" w:sz="0" w:space="0" w:color="auto"/>
            <w:left w:val="none" w:sz="0" w:space="0" w:color="auto"/>
            <w:bottom w:val="none" w:sz="0" w:space="0" w:color="auto"/>
            <w:right w:val="none" w:sz="0" w:space="0" w:color="auto"/>
          </w:divBdr>
        </w:div>
        <w:div w:id="1632788974">
          <w:marLeft w:val="1166"/>
          <w:marRight w:val="0"/>
          <w:marTop w:val="86"/>
          <w:marBottom w:val="0"/>
          <w:divBdr>
            <w:top w:val="none" w:sz="0" w:space="0" w:color="auto"/>
            <w:left w:val="none" w:sz="0" w:space="0" w:color="auto"/>
            <w:bottom w:val="none" w:sz="0" w:space="0" w:color="auto"/>
            <w:right w:val="none" w:sz="0" w:space="0" w:color="auto"/>
          </w:divBdr>
        </w:div>
        <w:div w:id="493381375">
          <w:marLeft w:val="1166"/>
          <w:marRight w:val="0"/>
          <w:marTop w:val="86"/>
          <w:marBottom w:val="0"/>
          <w:divBdr>
            <w:top w:val="none" w:sz="0" w:space="0" w:color="auto"/>
            <w:left w:val="none" w:sz="0" w:space="0" w:color="auto"/>
            <w:bottom w:val="none" w:sz="0" w:space="0" w:color="auto"/>
            <w:right w:val="none" w:sz="0" w:space="0" w:color="auto"/>
          </w:divBdr>
        </w:div>
        <w:div w:id="279532080">
          <w:marLeft w:val="720"/>
          <w:marRight w:val="0"/>
          <w:marTop w:val="96"/>
          <w:marBottom w:val="0"/>
          <w:divBdr>
            <w:top w:val="none" w:sz="0" w:space="0" w:color="auto"/>
            <w:left w:val="none" w:sz="0" w:space="0" w:color="auto"/>
            <w:bottom w:val="none" w:sz="0" w:space="0" w:color="auto"/>
            <w:right w:val="none" w:sz="0" w:space="0" w:color="auto"/>
          </w:divBdr>
        </w:div>
        <w:div w:id="943658820">
          <w:marLeft w:val="1166"/>
          <w:marRight w:val="0"/>
          <w:marTop w:val="86"/>
          <w:marBottom w:val="0"/>
          <w:divBdr>
            <w:top w:val="none" w:sz="0" w:space="0" w:color="auto"/>
            <w:left w:val="none" w:sz="0" w:space="0" w:color="auto"/>
            <w:bottom w:val="none" w:sz="0" w:space="0" w:color="auto"/>
            <w:right w:val="none" w:sz="0" w:space="0" w:color="auto"/>
          </w:divBdr>
        </w:div>
        <w:div w:id="1515026148">
          <w:marLeft w:val="1166"/>
          <w:marRight w:val="0"/>
          <w:marTop w:val="86"/>
          <w:marBottom w:val="0"/>
          <w:divBdr>
            <w:top w:val="none" w:sz="0" w:space="0" w:color="auto"/>
            <w:left w:val="none" w:sz="0" w:space="0" w:color="auto"/>
            <w:bottom w:val="none" w:sz="0" w:space="0" w:color="auto"/>
            <w:right w:val="none" w:sz="0" w:space="0" w:color="auto"/>
          </w:divBdr>
        </w:div>
        <w:div w:id="813108017">
          <w:marLeft w:val="1166"/>
          <w:marRight w:val="0"/>
          <w:marTop w:val="86"/>
          <w:marBottom w:val="0"/>
          <w:divBdr>
            <w:top w:val="none" w:sz="0" w:space="0" w:color="auto"/>
            <w:left w:val="none" w:sz="0" w:space="0" w:color="auto"/>
            <w:bottom w:val="none" w:sz="0" w:space="0" w:color="auto"/>
            <w:right w:val="none" w:sz="0" w:space="0" w:color="auto"/>
          </w:divBdr>
        </w:div>
        <w:div w:id="1733232577">
          <w:marLeft w:val="720"/>
          <w:marRight w:val="0"/>
          <w:marTop w:val="96"/>
          <w:marBottom w:val="0"/>
          <w:divBdr>
            <w:top w:val="none" w:sz="0" w:space="0" w:color="auto"/>
            <w:left w:val="none" w:sz="0" w:space="0" w:color="auto"/>
            <w:bottom w:val="none" w:sz="0" w:space="0" w:color="auto"/>
            <w:right w:val="none" w:sz="0" w:space="0" w:color="auto"/>
          </w:divBdr>
        </w:div>
        <w:div w:id="111555508">
          <w:marLeft w:val="1138"/>
          <w:marRight w:val="0"/>
          <w:marTop w:val="86"/>
          <w:marBottom w:val="0"/>
          <w:divBdr>
            <w:top w:val="none" w:sz="0" w:space="0" w:color="auto"/>
            <w:left w:val="none" w:sz="0" w:space="0" w:color="auto"/>
            <w:bottom w:val="none" w:sz="0" w:space="0" w:color="auto"/>
            <w:right w:val="none" w:sz="0" w:space="0" w:color="auto"/>
          </w:divBdr>
        </w:div>
        <w:div w:id="1669013527">
          <w:marLeft w:val="1166"/>
          <w:marRight w:val="0"/>
          <w:marTop w:val="86"/>
          <w:marBottom w:val="0"/>
          <w:divBdr>
            <w:top w:val="none" w:sz="0" w:space="0" w:color="auto"/>
            <w:left w:val="none" w:sz="0" w:space="0" w:color="auto"/>
            <w:bottom w:val="none" w:sz="0" w:space="0" w:color="auto"/>
            <w:right w:val="none" w:sz="0" w:space="0" w:color="auto"/>
          </w:divBdr>
        </w:div>
        <w:div w:id="1624921294">
          <w:marLeft w:val="1166"/>
          <w:marRight w:val="0"/>
          <w:marTop w:val="86"/>
          <w:marBottom w:val="0"/>
          <w:divBdr>
            <w:top w:val="none" w:sz="0" w:space="0" w:color="auto"/>
            <w:left w:val="none" w:sz="0" w:space="0" w:color="auto"/>
            <w:bottom w:val="none" w:sz="0" w:space="0" w:color="auto"/>
            <w:right w:val="none" w:sz="0" w:space="0" w:color="auto"/>
          </w:divBdr>
        </w:div>
        <w:div w:id="1132358130">
          <w:marLeft w:val="1166"/>
          <w:marRight w:val="0"/>
          <w:marTop w:val="86"/>
          <w:marBottom w:val="0"/>
          <w:divBdr>
            <w:top w:val="none" w:sz="0" w:space="0" w:color="auto"/>
            <w:left w:val="none" w:sz="0" w:space="0" w:color="auto"/>
            <w:bottom w:val="none" w:sz="0" w:space="0" w:color="auto"/>
            <w:right w:val="none" w:sz="0" w:space="0" w:color="auto"/>
          </w:divBdr>
        </w:div>
      </w:divsChild>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394935461">
      <w:bodyDiv w:val="1"/>
      <w:marLeft w:val="30"/>
      <w:marRight w:val="30"/>
      <w:marTop w:val="30"/>
      <w:marBottom w:val="3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83247">
      <w:bodyDiv w:val="1"/>
      <w:marLeft w:val="0"/>
      <w:marRight w:val="0"/>
      <w:marTop w:val="0"/>
      <w:marBottom w:val="0"/>
      <w:divBdr>
        <w:top w:val="none" w:sz="0" w:space="0" w:color="auto"/>
        <w:left w:val="none" w:sz="0" w:space="0" w:color="auto"/>
        <w:bottom w:val="none" w:sz="0" w:space="0" w:color="auto"/>
        <w:right w:val="none" w:sz="0" w:space="0" w:color="auto"/>
      </w:divBdr>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1816141846">
      <w:bodyDiv w:val="1"/>
      <w:marLeft w:val="0"/>
      <w:marRight w:val="0"/>
      <w:marTop w:val="0"/>
      <w:marBottom w:val="0"/>
      <w:divBdr>
        <w:top w:val="none" w:sz="0" w:space="0" w:color="auto"/>
        <w:left w:val="none" w:sz="0" w:space="0" w:color="auto"/>
        <w:bottom w:val="none" w:sz="0" w:space="0" w:color="auto"/>
        <w:right w:val="none" w:sz="0" w:space="0" w:color="auto"/>
      </w:divBdr>
    </w:div>
    <w:div w:id="20050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personnelchecks.co.uk/dbs-checks/regulated-activity-relating-to-childr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hyperlink" Target="http://www.hse.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hyperlink" Target="http://www.legislation.gov.uk/ukpga/2006/47/cont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qualityhumanrights.com" TargetMode="External"/><Relationship Id="rId23" Type="http://schemas.openxmlformats.org/officeDocument/2006/relationships/footer" Target="footer2.xml"/><Relationship Id="rId10" Type="http://schemas.openxmlformats.org/officeDocument/2006/relationships/hyperlink" Target="mailto:simon.evans@essex.gov.uk" TargetMode="External"/><Relationship Id="rId19" Type="http://schemas.openxmlformats.org/officeDocument/2006/relationships/hyperlink" Target="http://www.personnelchecks.co.uk/dbs-checks/regulated-activity-relating-to-vulnerable-group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5786-EC06-41D3-8F58-B3E3AC96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B388FD11</Template>
  <TotalTime>0</TotalTime>
  <Pages>22</Pages>
  <Words>7709</Words>
  <Characters>43943</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51549</CharactersWithSpaces>
  <SharedDoc>false</SharedDoc>
  <HLinks>
    <vt:vector size="156" baseType="variant">
      <vt:variant>
        <vt:i4>4587597</vt:i4>
      </vt:variant>
      <vt:variant>
        <vt:i4>132</vt:i4>
      </vt:variant>
      <vt:variant>
        <vt:i4>0</vt:i4>
      </vt:variant>
      <vt:variant>
        <vt:i4>5</vt:i4>
      </vt:variant>
      <vt:variant>
        <vt:lpwstr>http://www.legislation.gov.uk/ukpga/2006/47/contents</vt:lpwstr>
      </vt:variant>
      <vt:variant>
        <vt:lpwstr/>
      </vt:variant>
      <vt:variant>
        <vt:i4>65562</vt:i4>
      </vt:variant>
      <vt:variant>
        <vt:i4>129</vt:i4>
      </vt:variant>
      <vt:variant>
        <vt:i4>0</vt:i4>
      </vt:variant>
      <vt:variant>
        <vt:i4>5</vt:i4>
      </vt:variant>
      <vt:variant>
        <vt:lpwstr>http://www.personnelchecks.co.uk/dbs-checks/regulated-activity-relating-to-vulnerable-groups/</vt:lpwstr>
      </vt:variant>
      <vt:variant>
        <vt:lpwstr/>
      </vt:variant>
      <vt:variant>
        <vt:i4>917524</vt:i4>
      </vt:variant>
      <vt:variant>
        <vt:i4>126</vt:i4>
      </vt:variant>
      <vt:variant>
        <vt:i4>0</vt:i4>
      </vt:variant>
      <vt:variant>
        <vt:i4>5</vt:i4>
      </vt:variant>
      <vt:variant>
        <vt:lpwstr>http://www.personnelchecks.co.uk/dbs-checks/regulated-activity-relating-to-children/</vt:lpwstr>
      </vt:variant>
      <vt:variant>
        <vt:lpwstr/>
      </vt:variant>
      <vt:variant>
        <vt:i4>8323114</vt:i4>
      </vt:variant>
      <vt:variant>
        <vt:i4>123</vt:i4>
      </vt:variant>
      <vt:variant>
        <vt:i4>0</vt:i4>
      </vt:variant>
      <vt:variant>
        <vt:i4>5</vt:i4>
      </vt:variant>
      <vt:variant>
        <vt:lpwstr>http://www.ico.org.uk/</vt:lpwstr>
      </vt:variant>
      <vt:variant>
        <vt:lpwstr/>
      </vt:variant>
      <vt:variant>
        <vt:i4>2556030</vt:i4>
      </vt:variant>
      <vt:variant>
        <vt:i4>120</vt:i4>
      </vt:variant>
      <vt:variant>
        <vt:i4>0</vt:i4>
      </vt:variant>
      <vt:variant>
        <vt:i4>5</vt:i4>
      </vt:variant>
      <vt:variant>
        <vt:lpwstr>http://www.gov.uk/government/publications/cyber-essentials-scheme-overview</vt:lpwstr>
      </vt:variant>
      <vt:variant>
        <vt:lpwstr/>
      </vt:variant>
      <vt:variant>
        <vt:i4>7143463</vt:i4>
      </vt:variant>
      <vt:variant>
        <vt:i4>117</vt:i4>
      </vt:variant>
      <vt:variant>
        <vt:i4>0</vt:i4>
      </vt:variant>
      <vt:variant>
        <vt:i4>5</vt:i4>
      </vt:variant>
      <vt:variant>
        <vt:lpwstr>http://www.hse.gov.uk/</vt:lpwstr>
      </vt:variant>
      <vt:variant>
        <vt:lpwstr/>
      </vt:variant>
      <vt:variant>
        <vt:i4>6291578</vt:i4>
      </vt:variant>
      <vt:variant>
        <vt:i4>114</vt:i4>
      </vt:variant>
      <vt:variant>
        <vt:i4>0</vt:i4>
      </vt:variant>
      <vt:variant>
        <vt:i4>5</vt:i4>
      </vt:variant>
      <vt:variant>
        <vt:lpwstr>http://www.gov.uk/</vt:lpwstr>
      </vt:variant>
      <vt:variant>
        <vt:lpwstr/>
      </vt:variant>
      <vt:variant>
        <vt:i4>6291578</vt:i4>
      </vt:variant>
      <vt:variant>
        <vt:i4>111</vt:i4>
      </vt:variant>
      <vt:variant>
        <vt:i4>0</vt:i4>
      </vt:variant>
      <vt:variant>
        <vt:i4>5</vt:i4>
      </vt:variant>
      <vt:variant>
        <vt:lpwstr>http://www.gov.uk/</vt:lpwstr>
      </vt:variant>
      <vt:variant>
        <vt:lpwstr/>
      </vt:variant>
      <vt:variant>
        <vt:i4>3407972</vt:i4>
      </vt:variant>
      <vt:variant>
        <vt:i4>108</vt:i4>
      </vt:variant>
      <vt:variant>
        <vt:i4>0</vt:i4>
      </vt:variant>
      <vt:variant>
        <vt:i4>5</vt:i4>
      </vt:variant>
      <vt:variant>
        <vt:lpwstr>http://www.equalityhumanrights.com/</vt:lpwstr>
      </vt:variant>
      <vt:variant>
        <vt:lpwstr/>
      </vt:variant>
      <vt:variant>
        <vt:i4>1048637</vt:i4>
      </vt:variant>
      <vt:variant>
        <vt:i4>98</vt:i4>
      </vt:variant>
      <vt:variant>
        <vt:i4>0</vt:i4>
      </vt:variant>
      <vt:variant>
        <vt:i4>5</vt:i4>
      </vt:variant>
      <vt:variant>
        <vt:lpwstr/>
      </vt:variant>
      <vt:variant>
        <vt:lpwstr>_Toc416778894</vt:lpwstr>
      </vt:variant>
      <vt:variant>
        <vt:i4>1048637</vt:i4>
      </vt:variant>
      <vt:variant>
        <vt:i4>92</vt:i4>
      </vt:variant>
      <vt:variant>
        <vt:i4>0</vt:i4>
      </vt:variant>
      <vt:variant>
        <vt:i4>5</vt:i4>
      </vt:variant>
      <vt:variant>
        <vt:lpwstr/>
      </vt:variant>
      <vt:variant>
        <vt:lpwstr>_Toc416778893</vt:lpwstr>
      </vt:variant>
      <vt:variant>
        <vt:i4>1048637</vt:i4>
      </vt:variant>
      <vt:variant>
        <vt:i4>86</vt:i4>
      </vt:variant>
      <vt:variant>
        <vt:i4>0</vt:i4>
      </vt:variant>
      <vt:variant>
        <vt:i4>5</vt:i4>
      </vt:variant>
      <vt:variant>
        <vt:lpwstr/>
      </vt:variant>
      <vt:variant>
        <vt:lpwstr>_Toc416778892</vt:lpwstr>
      </vt:variant>
      <vt:variant>
        <vt:i4>1048637</vt:i4>
      </vt:variant>
      <vt:variant>
        <vt:i4>80</vt:i4>
      </vt:variant>
      <vt:variant>
        <vt:i4>0</vt:i4>
      </vt:variant>
      <vt:variant>
        <vt:i4>5</vt:i4>
      </vt:variant>
      <vt:variant>
        <vt:lpwstr/>
      </vt:variant>
      <vt:variant>
        <vt:lpwstr>_Toc416778891</vt:lpwstr>
      </vt:variant>
      <vt:variant>
        <vt:i4>1048637</vt:i4>
      </vt:variant>
      <vt:variant>
        <vt:i4>74</vt:i4>
      </vt:variant>
      <vt:variant>
        <vt:i4>0</vt:i4>
      </vt:variant>
      <vt:variant>
        <vt:i4>5</vt:i4>
      </vt:variant>
      <vt:variant>
        <vt:lpwstr/>
      </vt:variant>
      <vt:variant>
        <vt:lpwstr>_Toc416778890</vt:lpwstr>
      </vt:variant>
      <vt:variant>
        <vt:i4>1114173</vt:i4>
      </vt:variant>
      <vt:variant>
        <vt:i4>68</vt:i4>
      </vt:variant>
      <vt:variant>
        <vt:i4>0</vt:i4>
      </vt:variant>
      <vt:variant>
        <vt:i4>5</vt:i4>
      </vt:variant>
      <vt:variant>
        <vt:lpwstr/>
      </vt:variant>
      <vt:variant>
        <vt:lpwstr>_Toc416778889</vt:lpwstr>
      </vt:variant>
      <vt:variant>
        <vt:i4>1114173</vt:i4>
      </vt:variant>
      <vt:variant>
        <vt:i4>62</vt:i4>
      </vt:variant>
      <vt:variant>
        <vt:i4>0</vt:i4>
      </vt:variant>
      <vt:variant>
        <vt:i4>5</vt:i4>
      </vt:variant>
      <vt:variant>
        <vt:lpwstr/>
      </vt:variant>
      <vt:variant>
        <vt:lpwstr>_Toc416778888</vt:lpwstr>
      </vt:variant>
      <vt:variant>
        <vt:i4>1114173</vt:i4>
      </vt:variant>
      <vt:variant>
        <vt:i4>56</vt:i4>
      </vt:variant>
      <vt:variant>
        <vt:i4>0</vt:i4>
      </vt:variant>
      <vt:variant>
        <vt:i4>5</vt:i4>
      </vt:variant>
      <vt:variant>
        <vt:lpwstr/>
      </vt:variant>
      <vt:variant>
        <vt:lpwstr>_Toc416778887</vt:lpwstr>
      </vt:variant>
      <vt:variant>
        <vt:i4>1114173</vt:i4>
      </vt:variant>
      <vt:variant>
        <vt:i4>50</vt:i4>
      </vt:variant>
      <vt:variant>
        <vt:i4>0</vt:i4>
      </vt:variant>
      <vt:variant>
        <vt:i4>5</vt:i4>
      </vt:variant>
      <vt:variant>
        <vt:lpwstr/>
      </vt:variant>
      <vt:variant>
        <vt:lpwstr>_Toc416778886</vt:lpwstr>
      </vt:variant>
      <vt:variant>
        <vt:i4>1114173</vt:i4>
      </vt:variant>
      <vt:variant>
        <vt:i4>44</vt:i4>
      </vt:variant>
      <vt:variant>
        <vt:i4>0</vt:i4>
      </vt:variant>
      <vt:variant>
        <vt:i4>5</vt:i4>
      </vt:variant>
      <vt:variant>
        <vt:lpwstr/>
      </vt:variant>
      <vt:variant>
        <vt:lpwstr>_Toc416778885</vt:lpwstr>
      </vt:variant>
      <vt:variant>
        <vt:i4>1114173</vt:i4>
      </vt:variant>
      <vt:variant>
        <vt:i4>38</vt:i4>
      </vt:variant>
      <vt:variant>
        <vt:i4>0</vt:i4>
      </vt:variant>
      <vt:variant>
        <vt:i4>5</vt:i4>
      </vt:variant>
      <vt:variant>
        <vt:lpwstr/>
      </vt:variant>
      <vt:variant>
        <vt:lpwstr>_Toc416778884</vt:lpwstr>
      </vt:variant>
      <vt:variant>
        <vt:i4>1114173</vt:i4>
      </vt:variant>
      <vt:variant>
        <vt:i4>32</vt:i4>
      </vt:variant>
      <vt:variant>
        <vt:i4>0</vt:i4>
      </vt:variant>
      <vt:variant>
        <vt:i4>5</vt:i4>
      </vt:variant>
      <vt:variant>
        <vt:lpwstr/>
      </vt:variant>
      <vt:variant>
        <vt:lpwstr>_Toc416778883</vt:lpwstr>
      </vt:variant>
      <vt:variant>
        <vt:i4>1114173</vt:i4>
      </vt:variant>
      <vt:variant>
        <vt:i4>26</vt:i4>
      </vt:variant>
      <vt:variant>
        <vt:i4>0</vt:i4>
      </vt:variant>
      <vt:variant>
        <vt:i4>5</vt:i4>
      </vt:variant>
      <vt:variant>
        <vt:lpwstr/>
      </vt:variant>
      <vt:variant>
        <vt:lpwstr>_Toc416778882</vt:lpwstr>
      </vt:variant>
      <vt:variant>
        <vt:i4>1114173</vt:i4>
      </vt:variant>
      <vt:variant>
        <vt:i4>20</vt:i4>
      </vt:variant>
      <vt:variant>
        <vt:i4>0</vt:i4>
      </vt:variant>
      <vt:variant>
        <vt:i4>5</vt:i4>
      </vt:variant>
      <vt:variant>
        <vt:lpwstr/>
      </vt:variant>
      <vt:variant>
        <vt:lpwstr>_Toc416778881</vt:lpwstr>
      </vt:variant>
      <vt:variant>
        <vt:i4>1114173</vt:i4>
      </vt:variant>
      <vt:variant>
        <vt:i4>14</vt:i4>
      </vt:variant>
      <vt:variant>
        <vt:i4>0</vt:i4>
      </vt:variant>
      <vt:variant>
        <vt:i4>5</vt:i4>
      </vt:variant>
      <vt:variant>
        <vt:lpwstr/>
      </vt:variant>
      <vt:variant>
        <vt:lpwstr>_Toc416778880</vt:lpwstr>
      </vt:variant>
      <vt:variant>
        <vt:i4>1966141</vt:i4>
      </vt:variant>
      <vt:variant>
        <vt:i4>8</vt:i4>
      </vt:variant>
      <vt:variant>
        <vt:i4>0</vt:i4>
      </vt:variant>
      <vt:variant>
        <vt:i4>5</vt:i4>
      </vt:variant>
      <vt:variant>
        <vt:lpwstr/>
      </vt:variant>
      <vt:variant>
        <vt:lpwstr>_Toc416778879</vt:lpwstr>
      </vt:variant>
      <vt:variant>
        <vt:i4>1966141</vt:i4>
      </vt:variant>
      <vt:variant>
        <vt:i4>2</vt:i4>
      </vt:variant>
      <vt:variant>
        <vt:i4>0</vt:i4>
      </vt:variant>
      <vt:variant>
        <vt:i4>5</vt:i4>
      </vt:variant>
      <vt:variant>
        <vt:lpwstr/>
      </vt:variant>
      <vt:variant>
        <vt:lpwstr>_Toc416778878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mel.bailey</cp:lastModifiedBy>
  <cp:revision>2</cp:revision>
  <cp:lastPrinted>2016-07-29T15:04:00Z</cp:lastPrinted>
  <dcterms:created xsi:type="dcterms:W3CDTF">2016-08-02T14:25:00Z</dcterms:created>
  <dcterms:modified xsi:type="dcterms:W3CDTF">2016-08-02T14:25:00Z</dcterms:modified>
</cp:coreProperties>
</file>