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 </w:t>
      </w:r>
      <w:r w:rsidDel="00000000" w:rsidR="00000000" w:rsidRPr="00000000">
        <w:rPr>
          <w:rFonts w:ascii="Arial" w:cs="Arial" w:eastAsia="Arial" w:hAnsi="Arial"/>
          <w:color w:val="ff0000"/>
          <w:rtl w:val="0"/>
        </w:rPr>
        <w:t xml:space="preserve">RM[XXXX] [INSERT FRAMEWORK NAME] </w:t>
      </w:r>
      <w:r w:rsidDel="00000000" w:rsidR="00000000" w:rsidRPr="00000000">
        <w:rPr>
          <w:rFonts w:ascii="Arial" w:cs="Arial" w:eastAsia="Arial" w:hAnsi="Arial"/>
          <w:rtl w:val="0"/>
        </w:rPr>
        <w:t xml:space="preserve">(the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