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4957A267"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E719AA">
        <w:rPr>
          <w:rFonts w:ascii="Arial" w:hAnsi="Arial" w:cs="Arial"/>
          <w:b/>
          <w:sz w:val="22"/>
          <w:szCs w:val="22"/>
        </w:rPr>
        <w:t>WP6 Diesel Tank</w:t>
      </w:r>
      <w:r w:rsidR="00CF4194">
        <w:rPr>
          <w:rFonts w:ascii="Arial" w:hAnsi="Arial" w:cs="Arial"/>
          <w:b/>
          <w:sz w:val="22"/>
          <w:szCs w:val="22"/>
        </w:rPr>
        <w:t xml:space="preserve">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07BE3DBD"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E719AA">
        <w:rPr>
          <w:rFonts w:ascii="Arial" w:hAnsi="Arial" w:cs="Arial"/>
          <w:b/>
          <w:sz w:val="22"/>
          <w:szCs w:val="22"/>
        </w:rPr>
        <w:t>30</w:t>
      </w:r>
      <w:r w:rsidR="004A7555" w:rsidRPr="004A7555">
        <w:rPr>
          <w:rFonts w:ascii="Arial" w:hAnsi="Arial" w:cs="Arial"/>
          <w:b/>
          <w:sz w:val="22"/>
          <w:szCs w:val="22"/>
          <w:vertAlign w:val="superscript"/>
        </w:rPr>
        <w:t>th</w:t>
      </w:r>
      <w:r w:rsidR="004A7555">
        <w:rPr>
          <w:rFonts w:ascii="Arial" w:hAnsi="Arial" w:cs="Arial"/>
          <w:b/>
          <w:sz w:val="22"/>
          <w:szCs w:val="22"/>
        </w:rPr>
        <w:t xml:space="preserve"> </w:t>
      </w:r>
      <w:r w:rsidR="00BB1BDB">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78069434"/>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4DF49835" w14:textId="61E198C5" w:rsidR="00062CBA"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78069434" w:history="1">
            <w:r w:rsidR="00062CBA" w:rsidRPr="00281D1C">
              <w:rPr>
                <w:rStyle w:val="Hyperlink"/>
                <w:noProof/>
              </w:rPr>
              <w:t>Table of Contents</w:t>
            </w:r>
            <w:r w:rsidR="00062CBA">
              <w:rPr>
                <w:noProof/>
                <w:webHidden/>
              </w:rPr>
              <w:tab/>
            </w:r>
            <w:r w:rsidR="00062CBA">
              <w:rPr>
                <w:noProof/>
                <w:webHidden/>
              </w:rPr>
              <w:fldChar w:fldCharType="begin"/>
            </w:r>
            <w:r w:rsidR="00062CBA">
              <w:rPr>
                <w:noProof/>
                <w:webHidden/>
              </w:rPr>
              <w:instrText xml:space="preserve"> PAGEREF _Toc178069434 \h </w:instrText>
            </w:r>
            <w:r w:rsidR="00062CBA">
              <w:rPr>
                <w:noProof/>
                <w:webHidden/>
              </w:rPr>
            </w:r>
            <w:r w:rsidR="00062CBA">
              <w:rPr>
                <w:noProof/>
                <w:webHidden/>
              </w:rPr>
              <w:fldChar w:fldCharType="separate"/>
            </w:r>
            <w:r w:rsidR="00062CBA">
              <w:rPr>
                <w:noProof/>
                <w:webHidden/>
              </w:rPr>
              <w:t>2</w:t>
            </w:r>
            <w:r w:rsidR="00062CBA">
              <w:rPr>
                <w:noProof/>
                <w:webHidden/>
              </w:rPr>
              <w:fldChar w:fldCharType="end"/>
            </w:r>
          </w:hyperlink>
        </w:p>
        <w:p w14:paraId="3B7FFCA6" w14:textId="3221E778" w:rsidR="00062CBA" w:rsidRDefault="00062CBA">
          <w:pPr>
            <w:pStyle w:val="TOC1"/>
            <w:rPr>
              <w:rFonts w:asciiTheme="minorHAnsi" w:eastAsiaTheme="minorEastAsia" w:hAnsiTheme="minorHAnsi" w:cstheme="minorBidi"/>
              <w:b w:val="0"/>
              <w:noProof/>
              <w:kern w:val="2"/>
              <w14:ligatures w14:val="standardContextual"/>
            </w:rPr>
          </w:pPr>
          <w:hyperlink w:anchor="_Toc178069435" w:history="1">
            <w:r w:rsidRPr="00281D1C">
              <w:rPr>
                <w:rStyle w:val="Hyperlink"/>
                <w:noProof/>
              </w:rPr>
              <w:t>1</w:t>
            </w:r>
            <w:r>
              <w:rPr>
                <w:rFonts w:asciiTheme="minorHAnsi" w:eastAsiaTheme="minorEastAsia" w:hAnsiTheme="minorHAnsi" w:cstheme="minorBidi"/>
                <w:b w:val="0"/>
                <w:noProof/>
                <w:kern w:val="2"/>
                <w14:ligatures w14:val="standardContextual"/>
              </w:rPr>
              <w:tab/>
            </w:r>
            <w:r w:rsidRPr="00281D1C">
              <w:rPr>
                <w:rStyle w:val="Hyperlink"/>
                <w:noProof/>
              </w:rPr>
              <w:t>Introduction</w:t>
            </w:r>
            <w:r>
              <w:rPr>
                <w:noProof/>
                <w:webHidden/>
              </w:rPr>
              <w:tab/>
            </w:r>
            <w:r>
              <w:rPr>
                <w:noProof/>
                <w:webHidden/>
              </w:rPr>
              <w:fldChar w:fldCharType="begin"/>
            </w:r>
            <w:r>
              <w:rPr>
                <w:noProof/>
                <w:webHidden/>
              </w:rPr>
              <w:instrText xml:space="preserve"> PAGEREF _Toc178069435 \h </w:instrText>
            </w:r>
            <w:r>
              <w:rPr>
                <w:noProof/>
                <w:webHidden/>
              </w:rPr>
            </w:r>
            <w:r>
              <w:rPr>
                <w:noProof/>
                <w:webHidden/>
              </w:rPr>
              <w:fldChar w:fldCharType="separate"/>
            </w:r>
            <w:r>
              <w:rPr>
                <w:noProof/>
                <w:webHidden/>
              </w:rPr>
              <w:t>3</w:t>
            </w:r>
            <w:r>
              <w:rPr>
                <w:noProof/>
                <w:webHidden/>
              </w:rPr>
              <w:fldChar w:fldCharType="end"/>
            </w:r>
          </w:hyperlink>
        </w:p>
        <w:p w14:paraId="380C4C83" w14:textId="2DD9D395" w:rsidR="00062CBA" w:rsidRDefault="00062CBA">
          <w:pPr>
            <w:pStyle w:val="TOC1"/>
            <w:rPr>
              <w:rFonts w:asciiTheme="minorHAnsi" w:eastAsiaTheme="minorEastAsia" w:hAnsiTheme="minorHAnsi" w:cstheme="minorBidi"/>
              <w:b w:val="0"/>
              <w:noProof/>
              <w:kern w:val="2"/>
              <w14:ligatures w14:val="standardContextual"/>
            </w:rPr>
          </w:pPr>
          <w:hyperlink w:anchor="_Toc178069436" w:history="1">
            <w:r w:rsidRPr="00281D1C">
              <w:rPr>
                <w:rStyle w:val="Hyperlink"/>
                <w:noProof/>
              </w:rPr>
              <w:t>2</w:t>
            </w:r>
            <w:r>
              <w:rPr>
                <w:rFonts w:asciiTheme="minorHAnsi" w:eastAsiaTheme="minorEastAsia" w:hAnsiTheme="minorHAnsi" w:cstheme="minorBidi"/>
                <w:b w:val="0"/>
                <w:noProof/>
                <w:kern w:val="2"/>
                <w14:ligatures w14:val="standardContextual"/>
              </w:rPr>
              <w:tab/>
            </w:r>
            <w:r w:rsidRPr="00281D1C">
              <w:rPr>
                <w:rStyle w:val="Hyperlink"/>
                <w:noProof/>
              </w:rPr>
              <w:t>Contract Scope</w:t>
            </w:r>
            <w:r>
              <w:rPr>
                <w:noProof/>
                <w:webHidden/>
              </w:rPr>
              <w:tab/>
            </w:r>
            <w:r>
              <w:rPr>
                <w:noProof/>
                <w:webHidden/>
              </w:rPr>
              <w:fldChar w:fldCharType="begin"/>
            </w:r>
            <w:r>
              <w:rPr>
                <w:noProof/>
                <w:webHidden/>
              </w:rPr>
              <w:instrText xml:space="preserve"> PAGEREF _Toc178069436 \h </w:instrText>
            </w:r>
            <w:r>
              <w:rPr>
                <w:noProof/>
                <w:webHidden/>
              </w:rPr>
            </w:r>
            <w:r>
              <w:rPr>
                <w:noProof/>
                <w:webHidden/>
              </w:rPr>
              <w:fldChar w:fldCharType="separate"/>
            </w:r>
            <w:r>
              <w:rPr>
                <w:noProof/>
                <w:webHidden/>
              </w:rPr>
              <w:t>4</w:t>
            </w:r>
            <w:r>
              <w:rPr>
                <w:noProof/>
                <w:webHidden/>
              </w:rPr>
              <w:fldChar w:fldCharType="end"/>
            </w:r>
          </w:hyperlink>
        </w:p>
        <w:p w14:paraId="4AE0201F" w14:textId="26FD7D5B"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37" w:history="1">
            <w:r w:rsidRPr="00281D1C">
              <w:rPr>
                <w:rStyle w:val="Hyperlink"/>
                <w:noProof/>
              </w:rPr>
              <w:t>2.1</w:t>
            </w:r>
            <w:r>
              <w:rPr>
                <w:rFonts w:asciiTheme="minorHAnsi" w:eastAsiaTheme="minorEastAsia" w:hAnsiTheme="minorHAnsi" w:cstheme="minorBidi"/>
                <w:b w:val="0"/>
                <w:noProof/>
                <w:kern w:val="2"/>
                <w:sz w:val="24"/>
                <w14:ligatures w14:val="standardContextual"/>
              </w:rPr>
              <w:tab/>
            </w:r>
            <w:r w:rsidRPr="00281D1C">
              <w:rPr>
                <w:rStyle w:val="Hyperlink"/>
                <w:noProof/>
              </w:rPr>
              <w:t>Document Purpose</w:t>
            </w:r>
            <w:r>
              <w:rPr>
                <w:noProof/>
                <w:webHidden/>
              </w:rPr>
              <w:tab/>
            </w:r>
            <w:r>
              <w:rPr>
                <w:noProof/>
                <w:webHidden/>
              </w:rPr>
              <w:fldChar w:fldCharType="begin"/>
            </w:r>
            <w:r>
              <w:rPr>
                <w:noProof/>
                <w:webHidden/>
              </w:rPr>
              <w:instrText xml:space="preserve"> PAGEREF _Toc178069437 \h </w:instrText>
            </w:r>
            <w:r>
              <w:rPr>
                <w:noProof/>
                <w:webHidden/>
              </w:rPr>
            </w:r>
            <w:r>
              <w:rPr>
                <w:noProof/>
                <w:webHidden/>
              </w:rPr>
              <w:fldChar w:fldCharType="separate"/>
            </w:r>
            <w:r>
              <w:rPr>
                <w:noProof/>
                <w:webHidden/>
              </w:rPr>
              <w:t>5</w:t>
            </w:r>
            <w:r>
              <w:rPr>
                <w:noProof/>
                <w:webHidden/>
              </w:rPr>
              <w:fldChar w:fldCharType="end"/>
            </w:r>
          </w:hyperlink>
        </w:p>
        <w:p w14:paraId="133D19A2" w14:textId="66258405"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38" w:history="1">
            <w:r w:rsidRPr="00281D1C">
              <w:rPr>
                <w:rStyle w:val="Hyperlink"/>
                <w:noProof/>
              </w:rPr>
              <w:t>2.2</w:t>
            </w:r>
            <w:r>
              <w:rPr>
                <w:rFonts w:asciiTheme="minorHAnsi" w:eastAsiaTheme="minorEastAsia" w:hAnsiTheme="minorHAnsi" w:cstheme="minorBidi"/>
                <w:b w:val="0"/>
                <w:noProof/>
                <w:kern w:val="2"/>
                <w:sz w:val="24"/>
                <w14:ligatures w14:val="standardContextual"/>
              </w:rPr>
              <w:tab/>
            </w:r>
            <w:r w:rsidRPr="00281D1C">
              <w:rPr>
                <w:rStyle w:val="Hyperlink"/>
                <w:noProof/>
              </w:rPr>
              <w:t>Contract Notice</w:t>
            </w:r>
            <w:r>
              <w:rPr>
                <w:noProof/>
                <w:webHidden/>
              </w:rPr>
              <w:tab/>
            </w:r>
            <w:r>
              <w:rPr>
                <w:noProof/>
                <w:webHidden/>
              </w:rPr>
              <w:fldChar w:fldCharType="begin"/>
            </w:r>
            <w:r>
              <w:rPr>
                <w:noProof/>
                <w:webHidden/>
              </w:rPr>
              <w:instrText xml:space="preserve"> PAGEREF _Toc178069438 \h </w:instrText>
            </w:r>
            <w:r>
              <w:rPr>
                <w:noProof/>
                <w:webHidden/>
              </w:rPr>
            </w:r>
            <w:r>
              <w:rPr>
                <w:noProof/>
                <w:webHidden/>
              </w:rPr>
              <w:fldChar w:fldCharType="separate"/>
            </w:r>
            <w:r>
              <w:rPr>
                <w:noProof/>
                <w:webHidden/>
              </w:rPr>
              <w:t>5</w:t>
            </w:r>
            <w:r>
              <w:rPr>
                <w:noProof/>
                <w:webHidden/>
              </w:rPr>
              <w:fldChar w:fldCharType="end"/>
            </w:r>
          </w:hyperlink>
        </w:p>
        <w:p w14:paraId="2A0D238F" w14:textId="09D8BE90"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39" w:history="1">
            <w:r w:rsidRPr="00281D1C">
              <w:rPr>
                <w:rStyle w:val="Hyperlink"/>
                <w:noProof/>
              </w:rPr>
              <w:t>2.3</w:t>
            </w:r>
            <w:r>
              <w:rPr>
                <w:rFonts w:asciiTheme="minorHAnsi" w:eastAsiaTheme="minorEastAsia" w:hAnsiTheme="minorHAnsi" w:cstheme="minorBidi"/>
                <w:b w:val="0"/>
                <w:noProof/>
                <w:kern w:val="2"/>
                <w:sz w:val="24"/>
                <w14:ligatures w14:val="standardContextual"/>
              </w:rPr>
              <w:tab/>
            </w:r>
            <w:r w:rsidRPr="00281D1C">
              <w:rPr>
                <w:rStyle w:val="Hyperlink"/>
                <w:noProof/>
              </w:rPr>
              <w:t>Form of Contract</w:t>
            </w:r>
            <w:r>
              <w:rPr>
                <w:noProof/>
                <w:webHidden/>
              </w:rPr>
              <w:tab/>
            </w:r>
            <w:r>
              <w:rPr>
                <w:noProof/>
                <w:webHidden/>
              </w:rPr>
              <w:fldChar w:fldCharType="begin"/>
            </w:r>
            <w:r>
              <w:rPr>
                <w:noProof/>
                <w:webHidden/>
              </w:rPr>
              <w:instrText xml:space="preserve"> PAGEREF _Toc178069439 \h </w:instrText>
            </w:r>
            <w:r>
              <w:rPr>
                <w:noProof/>
                <w:webHidden/>
              </w:rPr>
            </w:r>
            <w:r>
              <w:rPr>
                <w:noProof/>
                <w:webHidden/>
              </w:rPr>
              <w:fldChar w:fldCharType="separate"/>
            </w:r>
            <w:r>
              <w:rPr>
                <w:noProof/>
                <w:webHidden/>
              </w:rPr>
              <w:t>5</w:t>
            </w:r>
            <w:r>
              <w:rPr>
                <w:noProof/>
                <w:webHidden/>
              </w:rPr>
              <w:fldChar w:fldCharType="end"/>
            </w:r>
          </w:hyperlink>
        </w:p>
        <w:p w14:paraId="5519F845" w14:textId="257D0144"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0" w:history="1">
            <w:r w:rsidRPr="00281D1C">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281D1C">
              <w:rPr>
                <w:rStyle w:val="Hyperlink"/>
                <w:rFonts w:eastAsia="Calibri"/>
                <w:noProof/>
              </w:rPr>
              <w:t>Contract Duration</w:t>
            </w:r>
            <w:r>
              <w:rPr>
                <w:noProof/>
                <w:webHidden/>
              </w:rPr>
              <w:tab/>
            </w:r>
            <w:r>
              <w:rPr>
                <w:noProof/>
                <w:webHidden/>
              </w:rPr>
              <w:fldChar w:fldCharType="begin"/>
            </w:r>
            <w:r>
              <w:rPr>
                <w:noProof/>
                <w:webHidden/>
              </w:rPr>
              <w:instrText xml:space="preserve"> PAGEREF _Toc178069440 \h </w:instrText>
            </w:r>
            <w:r>
              <w:rPr>
                <w:noProof/>
                <w:webHidden/>
              </w:rPr>
            </w:r>
            <w:r>
              <w:rPr>
                <w:noProof/>
                <w:webHidden/>
              </w:rPr>
              <w:fldChar w:fldCharType="separate"/>
            </w:r>
            <w:r>
              <w:rPr>
                <w:noProof/>
                <w:webHidden/>
              </w:rPr>
              <w:t>5</w:t>
            </w:r>
            <w:r>
              <w:rPr>
                <w:noProof/>
                <w:webHidden/>
              </w:rPr>
              <w:fldChar w:fldCharType="end"/>
            </w:r>
          </w:hyperlink>
        </w:p>
        <w:p w14:paraId="6056484E" w14:textId="622604DC"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1" w:history="1">
            <w:r w:rsidRPr="00281D1C">
              <w:rPr>
                <w:rStyle w:val="Hyperlink"/>
                <w:rFonts w:eastAsia="Calibri"/>
                <w:noProof/>
              </w:rPr>
              <w:t>2.5</w:t>
            </w:r>
            <w:r>
              <w:rPr>
                <w:rFonts w:asciiTheme="minorHAnsi" w:eastAsiaTheme="minorEastAsia" w:hAnsiTheme="minorHAnsi" w:cstheme="minorBidi"/>
                <w:b w:val="0"/>
                <w:noProof/>
                <w:kern w:val="2"/>
                <w:sz w:val="24"/>
                <w14:ligatures w14:val="standardContextual"/>
              </w:rPr>
              <w:tab/>
            </w:r>
            <w:r w:rsidRPr="00281D1C">
              <w:rPr>
                <w:rStyle w:val="Hyperlink"/>
                <w:rFonts w:eastAsia="Calibri"/>
                <w:noProof/>
              </w:rPr>
              <w:t>Suggested Payment Schedule</w:t>
            </w:r>
            <w:r>
              <w:rPr>
                <w:noProof/>
                <w:webHidden/>
              </w:rPr>
              <w:tab/>
            </w:r>
            <w:r>
              <w:rPr>
                <w:noProof/>
                <w:webHidden/>
              </w:rPr>
              <w:fldChar w:fldCharType="begin"/>
            </w:r>
            <w:r>
              <w:rPr>
                <w:noProof/>
                <w:webHidden/>
              </w:rPr>
              <w:instrText xml:space="preserve"> PAGEREF _Toc178069441 \h </w:instrText>
            </w:r>
            <w:r>
              <w:rPr>
                <w:noProof/>
                <w:webHidden/>
              </w:rPr>
            </w:r>
            <w:r>
              <w:rPr>
                <w:noProof/>
                <w:webHidden/>
              </w:rPr>
              <w:fldChar w:fldCharType="separate"/>
            </w:r>
            <w:r>
              <w:rPr>
                <w:noProof/>
                <w:webHidden/>
              </w:rPr>
              <w:t>5</w:t>
            </w:r>
            <w:r>
              <w:rPr>
                <w:noProof/>
                <w:webHidden/>
              </w:rPr>
              <w:fldChar w:fldCharType="end"/>
            </w:r>
          </w:hyperlink>
        </w:p>
        <w:p w14:paraId="6920BEFC" w14:textId="7671453D" w:rsidR="00062CBA" w:rsidRDefault="00062CBA">
          <w:pPr>
            <w:pStyle w:val="TOC1"/>
            <w:rPr>
              <w:rFonts w:asciiTheme="minorHAnsi" w:eastAsiaTheme="minorEastAsia" w:hAnsiTheme="minorHAnsi" w:cstheme="minorBidi"/>
              <w:b w:val="0"/>
              <w:noProof/>
              <w:kern w:val="2"/>
              <w14:ligatures w14:val="standardContextual"/>
            </w:rPr>
          </w:pPr>
          <w:hyperlink w:anchor="_Toc178069442" w:history="1">
            <w:r w:rsidRPr="00281D1C">
              <w:rPr>
                <w:rStyle w:val="Hyperlink"/>
                <w:noProof/>
              </w:rPr>
              <w:t>3</w:t>
            </w:r>
            <w:r>
              <w:rPr>
                <w:rFonts w:asciiTheme="minorHAnsi" w:eastAsiaTheme="minorEastAsia" w:hAnsiTheme="minorHAnsi" w:cstheme="minorBidi"/>
                <w:b w:val="0"/>
                <w:noProof/>
                <w:kern w:val="2"/>
                <w14:ligatures w14:val="standardContextual"/>
              </w:rPr>
              <w:tab/>
            </w:r>
            <w:r w:rsidRPr="00281D1C">
              <w:rPr>
                <w:rStyle w:val="Hyperlink"/>
                <w:noProof/>
              </w:rPr>
              <w:t>Instructions to Tenderers</w:t>
            </w:r>
            <w:r>
              <w:rPr>
                <w:noProof/>
                <w:webHidden/>
              </w:rPr>
              <w:tab/>
            </w:r>
            <w:r>
              <w:rPr>
                <w:noProof/>
                <w:webHidden/>
              </w:rPr>
              <w:fldChar w:fldCharType="begin"/>
            </w:r>
            <w:r>
              <w:rPr>
                <w:noProof/>
                <w:webHidden/>
              </w:rPr>
              <w:instrText xml:space="preserve"> PAGEREF _Toc178069442 \h </w:instrText>
            </w:r>
            <w:r>
              <w:rPr>
                <w:noProof/>
                <w:webHidden/>
              </w:rPr>
            </w:r>
            <w:r>
              <w:rPr>
                <w:noProof/>
                <w:webHidden/>
              </w:rPr>
              <w:fldChar w:fldCharType="separate"/>
            </w:r>
            <w:r>
              <w:rPr>
                <w:noProof/>
                <w:webHidden/>
              </w:rPr>
              <w:t>6</w:t>
            </w:r>
            <w:r>
              <w:rPr>
                <w:noProof/>
                <w:webHidden/>
              </w:rPr>
              <w:fldChar w:fldCharType="end"/>
            </w:r>
          </w:hyperlink>
        </w:p>
        <w:p w14:paraId="284BC3E8" w14:textId="558A8F2C"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3" w:history="1">
            <w:r w:rsidRPr="00281D1C">
              <w:rPr>
                <w:rStyle w:val="Hyperlink"/>
                <w:noProof/>
              </w:rPr>
              <w:t>3.1</w:t>
            </w:r>
            <w:r>
              <w:rPr>
                <w:rFonts w:asciiTheme="minorHAnsi" w:eastAsiaTheme="minorEastAsia" w:hAnsiTheme="minorHAnsi" w:cstheme="minorBidi"/>
                <w:b w:val="0"/>
                <w:noProof/>
                <w:kern w:val="2"/>
                <w:sz w:val="24"/>
                <w14:ligatures w14:val="standardContextual"/>
              </w:rPr>
              <w:tab/>
            </w:r>
            <w:r w:rsidRPr="00281D1C">
              <w:rPr>
                <w:rStyle w:val="Hyperlink"/>
                <w:noProof/>
              </w:rPr>
              <w:t>Location of Works</w:t>
            </w:r>
            <w:r>
              <w:rPr>
                <w:noProof/>
                <w:webHidden/>
              </w:rPr>
              <w:tab/>
            </w:r>
            <w:r>
              <w:rPr>
                <w:noProof/>
                <w:webHidden/>
              </w:rPr>
              <w:fldChar w:fldCharType="begin"/>
            </w:r>
            <w:r>
              <w:rPr>
                <w:noProof/>
                <w:webHidden/>
              </w:rPr>
              <w:instrText xml:space="preserve"> PAGEREF _Toc178069443 \h </w:instrText>
            </w:r>
            <w:r>
              <w:rPr>
                <w:noProof/>
                <w:webHidden/>
              </w:rPr>
            </w:r>
            <w:r>
              <w:rPr>
                <w:noProof/>
                <w:webHidden/>
              </w:rPr>
              <w:fldChar w:fldCharType="separate"/>
            </w:r>
            <w:r>
              <w:rPr>
                <w:noProof/>
                <w:webHidden/>
              </w:rPr>
              <w:t>6</w:t>
            </w:r>
            <w:r>
              <w:rPr>
                <w:noProof/>
                <w:webHidden/>
              </w:rPr>
              <w:fldChar w:fldCharType="end"/>
            </w:r>
          </w:hyperlink>
        </w:p>
        <w:p w14:paraId="7DA76681" w14:textId="60CD1855"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4" w:history="1">
            <w:r w:rsidRPr="00281D1C">
              <w:rPr>
                <w:rStyle w:val="Hyperlink"/>
                <w:noProof/>
              </w:rPr>
              <w:t>3.2</w:t>
            </w:r>
            <w:r>
              <w:rPr>
                <w:rFonts w:asciiTheme="minorHAnsi" w:eastAsiaTheme="minorEastAsia" w:hAnsiTheme="minorHAnsi" w:cstheme="minorBidi"/>
                <w:b w:val="0"/>
                <w:noProof/>
                <w:kern w:val="2"/>
                <w:sz w:val="24"/>
                <w14:ligatures w14:val="standardContextual"/>
              </w:rPr>
              <w:tab/>
            </w:r>
            <w:r w:rsidRPr="00281D1C">
              <w:rPr>
                <w:rStyle w:val="Hyperlink"/>
                <w:noProof/>
              </w:rPr>
              <w:t>Procurement Timetable</w:t>
            </w:r>
            <w:r>
              <w:rPr>
                <w:noProof/>
                <w:webHidden/>
              </w:rPr>
              <w:tab/>
            </w:r>
            <w:r>
              <w:rPr>
                <w:noProof/>
                <w:webHidden/>
              </w:rPr>
              <w:fldChar w:fldCharType="begin"/>
            </w:r>
            <w:r>
              <w:rPr>
                <w:noProof/>
                <w:webHidden/>
              </w:rPr>
              <w:instrText xml:space="preserve"> PAGEREF _Toc178069444 \h </w:instrText>
            </w:r>
            <w:r>
              <w:rPr>
                <w:noProof/>
                <w:webHidden/>
              </w:rPr>
            </w:r>
            <w:r>
              <w:rPr>
                <w:noProof/>
                <w:webHidden/>
              </w:rPr>
              <w:fldChar w:fldCharType="separate"/>
            </w:r>
            <w:r>
              <w:rPr>
                <w:noProof/>
                <w:webHidden/>
              </w:rPr>
              <w:t>6</w:t>
            </w:r>
            <w:r>
              <w:rPr>
                <w:noProof/>
                <w:webHidden/>
              </w:rPr>
              <w:fldChar w:fldCharType="end"/>
            </w:r>
          </w:hyperlink>
        </w:p>
        <w:p w14:paraId="1A147128" w14:textId="4958AC4A"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5" w:history="1">
            <w:r w:rsidRPr="00281D1C">
              <w:rPr>
                <w:rStyle w:val="Hyperlink"/>
                <w:noProof/>
              </w:rPr>
              <w:t>3.3</w:t>
            </w:r>
            <w:r>
              <w:rPr>
                <w:rFonts w:asciiTheme="minorHAnsi" w:eastAsiaTheme="minorEastAsia" w:hAnsiTheme="minorHAnsi" w:cstheme="minorBidi"/>
                <w:b w:val="0"/>
                <w:noProof/>
                <w:kern w:val="2"/>
                <w:sz w:val="24"/>
                <w14:ligatures w14:val="standardContextual"/>
              </w:rPr>
              <w:tab/>
            </w:r>
            <w:r w:rsidRPr="00281D1C">
              <w:rPr>
                <w:rStyle w:val="Hyperlink"/>
                <w:noProof/>
              </w:rPr>
              <w:t>Tender Submission Requirements</w:t>
            </w:r>
            <w:r>
              <w:rPr>
                <w:noProof/>
                <w:webHidden/>
              </w:rPr>
              <w:tab/>
            </w:r>
            <w:r>
              <w:rPr>
                <w:noProof/>
                <w:webHidden/>
              </w:rPr>
              <w:fldChar w:fldCharType="begin"/>
            </w:r>
            <w:r>
              <w:rPr>
                <w:noProof/>
                <w:webHidden/>
              </w:rPr>
              <w:instrText xml:space="preserve"> PAGEREF _Toc178069445 \h </w:instrText>
            </w:r>
            <w:r>
              <w:rPr>
                <w:noProof/>
                <w:webHidden/>
              </w:rPr>
            </w:r>
            <w:r>
              <w:rPr>
                <w:noProof/>
                <w:webHidden/>
              </w:rPr>
              <w:fldChar w:fldCharType="separate"/>
            </w:r>
            <w:r>
              <w:rPr>
                <w:noProof/>
                <w:webHidden/>
              </w:rPr>
              <w:t>7</w:t>
            </w:r>
            <w:r>
              <w:rPr>
                <w:noProof/>
                <w:webHidden/>
              </w:rPr>
              <w:fldChar w:fldCharType="end"/>
            </w:r>
          </w:hyperlink>
        </w:p>
        <w:p w14:paraId="1D45BC9D" w14:textId="48C52EC7"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6" w:history="1">
            <w:r w:rsidRPr="00281D1C">
              <w:rPr>
                <w:rStyle w:val="Hyperlink"/>
                <w:noProof/>
              </w:rPr>
              <w:t>3.4</w:t>
            </w:r>
            <w:r>
              <w:rPr>
                <w:rFonts w:asciiTheme="minorHAnsi" w:eastAsiaTheme="minorEastAsia" w:hAnsiTheme="minorHAnsi" w:cstheme="minorBidi"/>
                <w:b w:val="0"/>
                <w:noProof/>
                <w:kern w:val="2"/>
                <w:sz w:val="24"/>
                <w14:ligatures w14:val="standardContextual"/>
              </w:rPr>
              <w:tab/>
            </w:r>
            <w:r w:rsidRPr="00281D1C">
              <w:rPr>
                <w:rStyle w:val="Hyperlink"/>
                <w:noProof/>
              </w:rPr>
              <w:t>Tender Submission and Clarifications</w:t>
            </w:r>
            <w:r>
              <w:rPr>
                <w:noProof/>
                <w:webHidden/>
              </w:rPr>
              <w:tab/>
            </w:r>
            <w:r>
              <w:rPr>
                <w:noProof/>
                <w:webHidden/>
              </w:rPr>
              <w:fldChar w:fldCharType="begin"/>
            </w:r>
            <w:r>
              <w:rPr>
                <w:noProof/>
                <w:webHidden/>
              </w:rPr>
              <w:instrText xml:space="preserve"> PAGEREF _Toc178069446 \h </w:instrText>
            </w:r>
            <w:r>
              <w:rPr>
                <w:noProof/>
                <w:webHidden/>
              </w:rPr>
            </w:r>
            <w:r>
              <w:rPr>
                <w:noProof/>
                <w:webHidden/>
              </w:rPr>
              <w:fldChar w:fldCharType="separate"/>
            </w:r>
            <w:r>
              <w:rPr>
                <w:noProof/>
                <w:webHidden/>
              </w:rPr>
              <w:t>7</w:t>
            </w:r>
            <w:r>
              <w:rPr>
                <w:noProof/>
                <w:webHidden/>
              </w:rPr>
              <w:fldChar w:fldCharType="end"/>
            </w:r>
          </w:hyperlink>
        </w:p>
        <w:p w14:paraId="1761858A" w14:textId="57B974BA"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7" w:history="1">
            <w:r w:rsidRPr="00281D1C">
              <w:rPr>
                <w:rStyle w:val="Hyperlink"/>
                <w:noProof/>
              </w:rPr>
              <w:t>3.5</w:t>
            </w:r>
            <w:r>
              <w:rPr>
                <w:rFonts w:asciiTheme="minorHAnsi" w:eastAsiaTheme="minorEastAsia" w:hAnsiTheme="minorHAnsi" w:cstheme="minorBidi"/>
                <w:b w:val="0"/>
                <w:noProof/>
                <w:kern w:val="2"/>
                <w:sz w:val="24"/>
                <w14:ligatures w14:val="standardContextual"/>
              </w:rPr>
              <w:tab/>
            </w:r>
            <w:r w:rsidRPr="00281D1C">
              <w:rPr>
                <w:rStyle w:val="Hyperlink"/>
                <w:noProof/>
              </w:rPr>
              <w:t>Tender Evaluation</w:t>
            </w:r>
            <w:r>
              <w:rPr>
                <w:noProof/>
                <w:webHidden/>
              </w:rPr>
              <w:tab/>
            </w:r>
            <w:r>
              <w:rPr>
                <w:noProof/>
                <w:webHidden/>
              </w:rPr>
              <w:fldChar w:fldCharType="begin"/>
            </w:r>
            <w:r>
              <w:rPr>
                <w:noProof/>
                <w:webHidden/>
              </w:rPr>
              <w:instrText xml:space="preserve"> PAGEREF _Toc178069447 \h </w:instrText>
            </w:r>
            <w:r>
              <w:rPr>
                <w:noProof/>
                <w:webHidden/>
              </w:rPr>
            </w:r>
            <w:r>
              <w:rPr>
                <w:noProof/>
                <w:webHidden/>
              </w:rPr>
              <w:fldChar w:fldCharType="separate"/>
            </w:r>
            <w:r>
              <w:rPr>
                <w:noProof/>
                <w:webHidden/>
              </w:rPr>
              <w:t>8</w:t>
            </w:r>
            <w:r>
              <w:rPr>
                <w:noProof/>
                <w:webHidden/>
              </w:rPr>
              <w:fldChar w:fldCharType="end"/>
            </w:r>
          </w:hyperlink>
        </w:p>
        <w:p w14:paraId="134CC2F2" w14:textId="0C66920E"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8" w:history="1">
            <w:r w:rsidRPr="00281D1C">
              <w:rPr>
                <w:rStyle w:val="Hyperlink"/>
                <w:noProof/>
              </w:rPr>
              <w:t>3.6</w:t>
            </w:r>
            <w:r>
              <w:rPr>
                <w:rFonts w:asciiTheme="minorHAnsi" w:eastAsiaTheme="minorEastAsia" w:hAnsiTheme="minorHAnsi" w:cstheme="minorBidi"/>
                <w:b w:val="0"/>
                <w:noProof/>
                <w:kern w:val="2"/>
                <w:sz w:val="24"/>
                <w14:ligatures w14:val="standardContextual"/>
              </w:rPr>
              <w:tab/>
            </w:r>
            <w:r w:rsidRPr="00281D1C">
              <w:rPr>
                <w:rStyle w:val="Hyperlink"/>
                <w:noProof/>
              </w:rPr>
              <w:t>Confidentiality</w:t>
            </w:r>
            <w:r>
              <w:rPr>
                <w:noProof/>
                <w:webHidden/>
              </w:rPr>
              <w:tab/>
            </w:r>
            <w:r>
              <w:rPr>
                <w:noProof/>
                <w:webHidden/>
              </w:rPr>
              <w:fldChar w:fldCharType="begin"/>
            </w:r>
            <w:r>
              <w:rPr>
                <w:noProof/>
                <w:webHidden/>
              </w:rPr>
              <w:instrText xml:space="preserve"> PAGEREF _Toc178069448 \h </w:instrText>
            </w:r>
            <w:r>
              <w:rPr>
                <w:noProof/>
                <w:webHidden/>
              </w:rPr>
            </w:r>
            <w:r>
              <w:rPr>
                <w:noProof/>
                <w:webHidden/>
              </w:rPr>
              <w:fldChar w:fldCharType="separate"/>
            </w:r>
            <w:r>
              <w:rPr>
                <w:noProof/>
                <w:webHidden/>
              </w:rPr>
              <w:t>8</w:t>
            </w:r>
            <w:r>
              <w:rPr>
                <w:noProof/>
                <w:webHidden/>
              </w:rPr>
              <w:fldChar w:fldCharType="end"/>
            </w:r>
          </w:hyperlink>
        </w:p>
        <w:p w14:paraId="02DF8028" w14:textId="720BCBD2" w:rsidR="00062CBA" w:rsidRDefault="00062CBA">
          <w:pPr>
            <w:pStyle w:val="TOC2"/>
            <w:rPr>
              <w:rFonts w:asciiTheme="minorHAnsi" w:eastAsiaTheme="minorEastAsia" w:hAnsiTheme="minorHAnsi" w:cstheme="minorBidi"/>
              <w:b w:val="0"/>
              <w:noProof/>
              <w:kern w:val="2"/>
              <w:sz w:val="24"/>
              <w14:ligatures w14:val="standardContextual"/>
            </w:rPr>
          </w:pPr>
          <w:hyperlink w:anchor="_Toc178069449" w:history="1">
            <w:r w:rsidRPr="00281D1C">
              <w:rPr>
                <w:rStyle w:val="Hyperlink"/>
                <w:noProof/>
              </w:rPr>
              <w:t>3.7</w:t>
            </w:r>
            <w:r>
              <w:rPr>
                <w:rFonts w:asciiTheme="minorHAnsi" w:eastAsiaTheme="minorEastAsia" w:hAnsiTheme="minorHAnsi" w:cstheme="minorBidi"/>
                <w:b w:val="0"/>
                <w:noProof/>
                <w:kern w:val="2"/>
                <w:sz w:val="24"/>
                <w14:ligatures w14:val="standardContextual"/>
              </w:rPr>
              <w:tab/>
            </w:r>
            <w:r w:rsidRPr="00281D1C">
              <w:rPr>
                <w:rStyle w:val="Hyperlink"/>
                <w:noProof/>
              </w:rPr>
              <w:t>Conditions of Tender</w:t>
            </w:r>
            <w:r>
              <w:rPr>
                <w:noProof/>
                <w:webHidden/>
              </w:rPr>
              <w:tab/>
            </w:r>
            <w:r>
              <w:rPr>
                <w:noProof/>
                <w:webHidden/>
              </w:rPr>
              <w:fldChar w:fldCharType="begin"/>
            </w:r>
            <w:r>
              <w:rPr>
                <w:noProof/>
                <w:webHidden/>
              </w:rPr>
              <w:instrText xml:space="preserve"> PAGEREF _Toc178069449 \h </w:instrText>
            </w:r>
            <w:r>
              <w:rPr>
                <w:noProof/>
                <w:webHidden/>
              </w:rPr>
            </w:r>
            <w:r>
              <w:rPr>
                <w:noProof/>
                <w:webHidden/>
              </w:rPr>
              <w:fldChar w:fldCharType="separate"/>
            </w:r>
            <w:r>
              <w:rPr>
                <w:noProof/>
                <w:webHidden/>
              </w:rPr>
              <w:t>9</w:t>
            </w:r>
            <w:r>
              <w:rPr>
                <w:noProof/>
                <w:webHidden/>
              </w:rPr>
              <w:fldChar w:fldCharType="end"/>
            </w:r>
          </w:hyperlink>
        </w:p>
        <w:p w14:paraId="53442186" w14:textId="5E150711" w:rsidR="00062CBA" w:rsidRDefault="00062CBA">
          <w:pPr>
            <w:pStyle w:val="TOC1"/>
            <w:rPr>
              <w:rFonts w:asciiTheme="minorHAnsi" w:eastAsiaTheme="minorEastAsia" w:hAnsiTheme="minorHAnsi" w:cstheme="minorBidi"/>
              <w:b w:val="0"/>
              <w:noProof/>
              <w:kern w:val="2"/>
              <w14:ligatures w14:val="standardContextual"/>
            </w:rPr>
          </w:pPr>
          <w:hyperlink w:anchor="_Toc178069450" w:history="1">
            <w:r w:rsidRPr="00281D1C">
              <w:rPr>
                <w:rStyle w:val="Hyperlink"/>
                <w:noProof/>
              </w:rPr>
              <w:t>4</w:t>
            </w:r>
            <w:r>
              <w:rPr>
                <w:rFonts w:asciiTheme="minorHAnsi" w:eastAsiaTheme="minorEastAsia" w:hAnsiTheme="minorHAnsi" w:cstheme="minorBidi"/>
                <w:b w:val="0"/>
                <w:noProof/>
                <w:kern w:val="2"/>
                <w14:ligatures w14:val="standardContextual"/>
              </w:rPr>
              <w:tab/>
            </w:r>
            <w:r w:rsidRPr="00281D1C">
              <w:rPr>
                <w:rStyle w:val="Hyperlink"/>
                <w:noProof/>
              </w:rPr>
              <w:t>APPENDICES</w:t>
            </w:r>
            <w:r>
              <w:rPr>
                <w:noProof/>
                <w:webHidden/>
              </w:rPr>
              <w:tab/>
            </w:r>
            <w:r>
              <w:rPr>
                <w:noProof/>
                <w:webHidden/>
              </w:rPr>
              <w:fldChar w:fldCharType="begin"/>
            </w:r>
            <w:r>
              <w:rPr>
                <w:noProof/>
                <w:webHidden/>
              </w:rPr>
              <w:instrText xml:space="preserve"> PAGEREF _Toc178069450 \h </w:instrText>
            </w:r>
            <w:r>
              <w:rPr>
                <w:noProof/>
                <w:webHidden/>
              </w:rPr>
            </w:r>
            <w:r>
              <w:rPr>
                <w:noProof/>
                <w:webHidden/>
              </w:rPr>
              <w:fldChar w:fldCharType="separate"/>
            </w:r>
            <w:r>
              <w:rPr>
                <w:noProof/>
                <w:webHidden/>
              </w:rPr>
              <w:t>10</w:t>
            </w:r>
            <w:r>
              <w:rPr>
                <w:noProof/>
                <w:webHidden/>
              </w:rPr>
              <w:fldChar w:fldCharType="end"/>
            </w:r>
          </w:hyperlink>
        </w:p>
        <w:p w14:paraId="643D53C6" w14:textId="77C6E4D9"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78069435"/>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principle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biorisk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652FE286"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the </w:t>
      </w:r>
      <w:bookmarkStart w:id="6" w:name="_Hlk175236191"/>
      <w:r w:rsidRPr="001B6523">
        <w:rPr>
          <w:rFonts w:ascii="Arial" w:hAnsi="Arial" w:cs="Arial"/>
          <w:b/>
          <w:bCs/>
        </w:rPr>
        <w:t xml:space="preserve">Design and Build of Work Package </w:t>
      </w:r>
      <w:bookmarkEnd w:id="6"/>
      <w:r w:rsidR="00E719AA">
        <w:rPr>
          <w:rFonts w:ascii="Arial" w:hAnsi="Arial" w:cs="Arial"/>
          <w:b/>
          <w:bCs/>
        </w:rPr>
        <w:t xml:space="preserve">6 </w:t>
      </w:r>
      <w:r w:rsidR="00E432B6">
        <w:rPr>
          <w:rFonts w:ascii="Arial" w:hAnsi="Arial" w:cs="Arial"/>
          <w:b/>
          <w:bCs/>
        </w:rPr>
        <w:t>–</w:t>
      </w:r>
      <w:r w:rsidR="00E719AA">
        <w:rPr>
          <w:rFonts w:ascii="Arial" w:hAnsi="Arial" w:cs="Arial"/>
          <w:b/>
          <w:bCs/>
        </w:rPr>
        <w:t xml:space="preserve"> </w:t>
      </w:r>
      <w:bookmarkStart w:id="7" w:name="_Hlk177118526"/>
      <w:bookmarkStart w:id="8" w:name="_Hlk177390380"/>
      <w:r w:rsidR="00E432B6">
        <w:rPr>
          <w:rFonts w:ascii="Arial" w:hAnsi="Arial" w:cs="Arial"/>
          <w:b/>
          <w:bCs/>
        </w:rPr>
        <w:t xml:space="preserve">Design and Build of </w:t>
      </w:r>
      <w:r w:rsidR="00E719AA" w:rsidRPr="00E719AA">
        <w:rPr>
          <w:rFonts w:ascii="Arial" w:hAnsi="Arial" w:cs="Arial"/>
          <w:b/>
          <w:bCs/>
        </w:rPr>
        <w:t>Diesel fuel system upgrade and fuel tank replacement</w:t>
      </w:r>
      <w:bookmarkEnd w:id="7"/>
      <w:r w:rsidR="00E719AA" w:rsidRPr="00E719AA">
        <w:rPr>
          <w:rFonts w:ascii="Arial" w:hAnsi="Arial" w:cs="Arial"/>
          <w:b/>
          <w:bCs/>
        </w:rPr>
        <w:t>.</w:t>
      </w:r>
      <w:bookmarkEnd w:id="8"/>
    </w:p>
    <w:p w14:paraId="07DBD4A9" w14:textId="7E9638DD" w:rsidR="006E2BA9" w:rsidRDefault="00E719AA" w:rsidP="001B6523">
      <w:pPr>
        <w:spacing w:after="120" w:line="276" w:lineRule="auto"/>
        <w:rPr>
          <w:rFonts w:ascii="Arial" w:hAnsi="Arial" w:cs="Arial"/>
        </w:rPr>
      </w:pPr>
      <w:r>
        <w:rPr>
          <w:rFonts w:ascii="Arial" w:hAnsi="Arial" w:cs="Arial"/>
        </w:rPr>
        <w:t>The burner on the incinerator uses diesel fuel and there have been some recent upgrade works carried out on the system to upgrade the burners and the diesel fuel pumps.  However, the tank is of an unknown age and is in a poor condition.  Currently the condition of the tank is causing fuel contamination and poses risk of legal breaches of environmental law.  A report is attached in Appendix E2.</w:t>
      </w:r>
    </w:p>
    <w:p w14:paraId="6F994570" w14:textId="0FBF8DCA" w:rsidR="001B75F7" w:rsidRDefault="001B75F7" w:rsidP="001B6523">
      <w:pPr>
        <w:spacing w:after="120" w:line="276" w:lineRule="auto"/>
        <w:rPr>
          <w:rFonts w:ascii="Arial" w:hAnsi="Arial" w:cs="Arial"/>
        </w:rPr>
      </w:pPr>
      <w:r>
        <w:rPr>
          <w:rFonts w:ascii="Arial" w:hAnsi="Arial" w:cs="Arial"/>
        </w:rPr>
        <w:t xml:space="preserve">The scope of works in this tender aims </w:t>
      </w:r>
      <w:bookmarkStart w:id="9" w:name="_Hlk177118585"/>
      <w:r>
        <w:rPr>
          <w:rFonts w:ascii="Arial" w:hAnsi="Arial" w:cs="Arial"/>
        </w:rPr>
        <w:t>to install a new diesel fuel tank with pump set in an alternative location close to the incinerator, to provide diesel fuel to the burners.  Pipework will need to be installed to transport the diesel fuel and this will be tied into existing pipework at the incinerator building.</w:t>
      </w:r>
      <w:bookmarkEnd w:id="9"/>
      <w:r>
        <w:rPr>
          <w:rFonts w:ascii="Arial" w:hAnsi="Arial" w:cs="Arial"/>
        </w:rPr>
        <w:t xml:space="preserve">  All new equipment and pipework is to be specified to the latest safety and engineering standards.</w:t>
      </w:r>
    </w:p>
    <w:p w14:paraId="476FC3BA" w14:textId="32F632C3" w:rsidR="001B75F7" w:rsidRPr="006E2BA9" w:rsidRDefault="001B75F7" w:rsidP="001B6523">
      <w:pPr>
        <w:spacing w:after="120" w:line="276" w:lineRule="auto"/>
        <w:rPr>
          <w:rFonts w:ascii="Arial" w:hAnsi="Arial" w:cs="Arial"/>
        </w:rPr>
      </w:pPr>
      <w:r>
        <w:rPr>
          <w:rFonts w:ascii="Arial" w:hAnsi="Arial" w:cs="Arial"/>
        </w:rPr>
        <w:lastRenderedPageBreak/>
        <w:t>Finally, once the new Diesel Tank is commissioned, the supplier is required to remove and dispose of the existing tank and pass on all waste disposal certificates to The Pirbright Institute.</w:t>
      </w:r>
    </w:p>
    <w:p w14:paraId="3EBBBCF8" w14:textId="0C6EF211" w:rsidR="005921CA" w:rsidRPr="00F852DD" w:rsidRDefault="005921CA" w:rsidP="00BB1BDB">
      <w:pPr>
        <w:spacing w:line="276" w:lineRule="auto"/>
        <w:rPr>
          <w:rFonts w:ascii="Arial" w:hAnsi="Arial" w:cs="Arial"/>
        </w:rPr>
      </w:pPr>
      <w:r>
        <w:rPr>
          <w:rFonts w:ascii="Arial" w:hAnsi="Arial" w:cs="Arial"/>
        </w:rPr>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bookmarkStart w:id="10" w:name="_Hlk177118463"/>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bookmarkEnd w:id="10"/>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11" w:name="_Toc153980483"/>
      <w:bookmarkStart w:id="12" w:name="_Toc178069436"/>
      <w:r>
        <w:t xml:space="preserve">Contract </w:t>
      </w:r>
      <w:r w:rsidR="008E2648">
        <w:t>Scope</w:t>
      </w:r>
      <w:bookmarkEnd w:id="11"/>
      <w:bookmarkEnd w:id="12"/>
    </w:p>
    <w:p w14:paraId="27CB058E" w14:textId="1403B609" w:rsidR="00EC3F16" w:rsidRDefault="00EC3F16" w:rsidP="001B6523">
      <w:pPr>
        <w:spacing w:after="120" w:line="276" w:lineRule="auto"/>
        <w:rPr>
          <w:rFonts w:ascii="Arial" w:hAnsi="Arial" w:cs="Arial"/>
        </w:rPr>
      </w:pPr>
      <w:bookmarkStart w:id="13" w:name="_Hlk175289888"/>
      <w:r w:rsidRPr="0028165D">
        <w:rPr>
          <w:rFonts w:ascii="Arial" w:hAnsi="Arial" w:cs="Arial"/>
        </w:rPr>
        <w:t xml:space="preserve">The contract is for a single supplier to provide </w:t>
      </w:r>
      <w:r w:rsidRPr="00EC3F16">
        <w:rPr>
          <w:rFonts w:ascii="Arial" w:hAnsi="Arial" w:cs="Arial"/>
        </w:rPr>
        <w:t xml:space="preserve">Design and Build of Work Package </w:t>
      </w:r>
      <w:r w:rsidR="001B75F7">
        <w:rPr>
          <w:rFonts w:ascii="Arial" w:hAnsi="Arial" w:cs="Arial"/>
        </w:rPr>
        <w:t>6</w:t>
      </w:r>
      <w:r w:rsidRPr="00EC3F16">
        <w:rPr>
          <w:rFonts w:ascii="Arial" w:hAnsi="Arial" w:cs="Arial"/>
        </w:rPr>
        <w:t xml:space="preserve"> - </w:t>
      </w:r>
      <w:r w:rsidR="001B75F7" w:rsidRPr="001B75F7">
        <w:rPr>
          <w:rFonts w:ascii="Arial" w:hAnsi="Arial" w:cs="Arial"/>
        </w:rPr>
        <w:t>Diesel fuel system upgrade and fuel tank replacement</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3"/>
    <w:p w14:paraId="0418002A" w14:textId="77777777" w:rsidR="00EC3F16" w:rsidRDefault="00EC3F16" w:rsidP="009A778A">
      <w:pPr>
        <w:rPr>
          <w:rFonts w:ascii="Arial" w:hAnsi="Arial" w:cs="Arial"/>
        </w:rPr>
      </w:pPr>
    </w:p>
    <w:p w14:paraId="672D4509" w14:textId="33877C72"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4" w:name="_Hlk175292744"/>
      <w:r w:rsidRPr="005B7C37">
        <w:rPr>
          <w:rFonts w:ascii="Arial" w:hAnsi="Arial" w:cs="Arial"/>
        </w:rPr>
        <w:t xml:space="preserve">is to </w:t>
      </w:r>
      <w:r w:rsidR="005E5BEA">
        <w:rPr>
          <w:rFonts w:ascii="Arial" w:hAnsi="Arial" w:cs="Arial"/>
        </w:rPr>
        <w:t xml:space="preserve">replace the </w:t>
      </w:r>
      <w:r w:rsidR="00E432B6">
        <w:rPr>
          <w:rFonts w:ascii="Arial" w:hAnsi="Arial" w:cs="Arial"/>
        </w:rPr>
        <w:t>Diesel Fuel System</w:t>
      </w:r>
      <w:r w:rsidR="005E5BEA">
        <w:rPr>
          <w:rFonts w:ascii="Arial" w:hAnsi="Arial" w:cs="Arial"/>
        </w:rPr>
        <w:t xml:space="preserve">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4"/>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2856B436" w14:textId="3EC96CBF" w:rsidR="001B75F7" w:rsidRDefault="009B62E3" w:rsidP="009B62E3">
      <w:pPr>
        <w:pStyle w:val="ListParagraph"/>
        <w:numPr>
          <w:ilvl w:val="0"/>
          <w:numId w:val="29"/>
        </w:numPr>
        <w:rPr>
          <w:rFonts w:ascii="Arial" w:hAnsi="Arial" w:cs="Arial"/>
        </w:rPr>
      </w:pPr>
      <w:bookmarkStart w:id="15" w:name="_Hlk177118617"/>
      <w:r w:rsidRPr="009B62E3">
        <w:rPr>
          <w:rFonts w:ascii="Arial" w:hAnsi="Arial" w:cs="Arial"/>
        </w:rPr>
        <w:t xml:space="preserve">Detailed design </w:t>
      </w:r>
      <w:r w:rsidR="001B75F7">
        <w:rPr>
          <w:rFonts w:ascii="Arial" w:hAnsi="Arial" w:cs="Arial"/>
        </w:rPr>
        <w:t xml:space="preserve">work for the new diesel tank system, with all calculations (tank sizing, pump sizing, pipe pressure loss, etc) </w:t>
      </w:r>
    </w:p>
    <w:p w14:paraId="6C2F36DC" w14:textId="2341F1D6" w:rsidR="001B75F7" w:rsidRDefault="009B62E3" w:rsidP="001B75F7">
      <w:pPr>
        <w:pStyle w:val="ListParagraph"/>
        <w:numPr>
          <w:ilvl w:val="0"/>
          <w:numId w:val="29"/>
        </w:numPr>
        <w:rPr>
          <w:rFonts w:ascii="Arial" w:hAnsi="Arial" w:cs="Arial"/>
        </w:rPr>
      </w:pPr>
      <w:r w:rsidRPr="009B62E3">
        <w:rPr>
          <w:rFonts w:ascii="Arial" w:hAnsi="Arial" w:cs="Arial"/>
        </w:rPr>
        <w:t>Suppl</w:t>
      </w:r>
      <w:r w:rsidR="001B75F7">
        <w:rPr>
          <w:rFonts w:ascii="Arial" w:hAnsi="Arial" w:cs="Arial"/>
        </w:rPr>
        <w:t>y, manufacture, delivery and installation of the new diesel tank system</w:t>
      </w:r>
    </w:p>
    <w:p w14:paraId="2C59C0EB" w14:textId="39D89A3B" w:rsidR="001B75F7" w:rsidRDefault="001B75F7" w:rsidP="001B75F7">
      <w:pPr>
        <w:pStyle w:val="ListParagraph"/>
        <w:numPr>
          <w:ilvl w:val="0"/>
          <w:numId w:val="29"/>
        </w:numPr>
        <w:rPr>
          <w:rFonts w:ascii="Arial" w:hAnsi="Arial" w:cs="Arial"/>
        </w:rPr>
      </w:pPr>
      <w:r>
        <w:rPr>
          <w:rFonts w:ascii="Arial" w:hAnsi="Arial" w:cs="Arial"/>
        </w:rPr>
        <w:t>Offline commissioning of the new diesel tank system</w:t>
      </w:r>
    </w:p>
    <w:p w14:paraId="6A425680" w14:textId="26CF9C20" w:rsidR="001B75F7" w:rsidRDefault="001B75F7" w:rsidP="001B75F7">
      <w:pPr>
        <w:pStyle w:val="ListParagraph"/>
        <w:numPr>
          <w:ilvl w:val="1"/>
          <w:numId w:val="29"/>
        </w:numPr>
        <w:rPr>
          <w:rFonts w:ascii="Arial" w:hAnsi="Arial" w:cs="Arial"/>
        </w:rPr>
      </w:pPr>
      <w:r>
        <w:rPr>
          <w:rFonts w:ascii="Arial" w:hAnsi="Arial" w:cs="Arial"/>
        </w:rPr>
        <w:t>It is a requirement that prior to connecting to existing pipework, the new diesel tank system proves that there is the required pressure up to the point of connection.</w:t>
      </w:r>
    </w:p>
    <w:p w14:paraId="31F0F6E1" w14:textId="62CB6824" w:rsidR="001B75F7" w:rsidRDefault="001B75F7" w:rsidP="001B75F7">
      <w:pPr>
        <w:pStyle w:val="ListParagraph"/>
        <w:numPr>
          <w:ilvl w:val="0"/>
          <w:numId w:val="29"/>
        </w:numPr>
        <w:rPr>
          <w:rFonts w:ascii="Arial" w:hAnsi="Arial" w:cs="Arial"/>
        </w:rPr>
      </w:pPr>
      <w:r>
        <w:rPr>
          <w:rFonts w:ascii="Arial" w:hAnsi="Arial" w:cs="Arial"/>
        </w:rPr>
        <w:t>During the scheduled shutdown, the new diesel tank system is connected to existing pipework.</w:t>
      </w:r>
    </w:p>
    <w:p w14:paraId="7D0DE531" w14:textId="670A7DDB" w:rsidR="001B75F7" w:rsidRDefault="001B75F7" w:rsidP="001B75F7">
      <w:pPr>
        <w:pStyle w:val="ListParagraph"/>
        <w:numPr>
          <w:ilvl w:val="0"/>
          <w:numId w:val="29"/>
        </w:numPr>
        <w:rPr>
          <w:rFonts w:ascii="Arial" w:hAnsi="Arial" w:cs="Arial"/>
        </w:rPr>
      </w:pPr>
      <w:r>
        <w:rPr>
          <w:rFonts w:ascii="Arial" w:hAnsi="Arial" w:cs="Arial"/>
        </w:rPr>
        <w:t>Final commissioning with the burners in operation.</w:t>
      </w:r>
    </w:p>
    <w:p w14:paraId="2E04376A" w14:textId="5D9358E9" w:rsidR="001B75F7" w:rsidRPr="001B75F7" w:rsidRDefault="001B75F7" w:rsidP="001B75F7">
      <w:pPr>
        <w:pStyle w:val="ListParagraph"/>
        <w:numPr>
          <w:ilvl w:val="0"/>
          <w:numId w:val="29"/>
        </w:numPr>
        <w:rPr>
          <w:rFonts w:ascii="Arial" w:hAnsi="Arial" w:cs="Arial"/>
        </w:rPr>
      </w:pPr>
      <w:r>
        <w:rPr>
          <w:rFonts w:ascii="Arial" w:hAnsi="Arial" w:cs="Arial"/>
        </w:rPr>
        <w:t>On completion of commissioning, dismantle, remove and dispose of the existing diesel tank</w:t>
      </w:r>
      <w:r w:rsidR="00FF1519">
        <w:rPr>
          <w:rFonts w:ascii="Arial" w:hAnsi="Arial" w:cs="Arial"/>
        </w:rPr>
        <w:t>,</w:t>
      </w:r>
      <w:r>
        <w:rPr>
          <w:rFonts w:ascii="Arial" w:hAnsi="Arial" w:cs="Arial"/>
        </w:rPr>
        <w:t xml:space="preserve"> all ancillaries</w:t>
      </w:r>
      <w:r w:rsidR="00FF1519">
        <w:rPr>
          <w:rFonts w:ascii="Arial" w:hAnsi="Arial" w:cs="Arial"/>
        </w:rPr>
        <w:t xml:space="preserve"> and any redundant diesel fuel pipework</w:t>
      </w:r>
      <w:r>
        <w:rPr>
          <w:rFonts w:ascii="Arial" w:hAnsi="Arial" w:cs="Arial"/>
        </w:rPr>
        <w:t>.</w:t>
      </w:r>
    </w:p>
    <w:p w14:paraId="19D5805E"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2EAA4B46" w14:textId="35965261" w:rsidR="009B62E3" w:rsidRPr="009B62E3" w:rsidRDefault="009B62E3" w:rsidP="009B62E3">
      <w:pPr>
        <w:pStyle w:val="ListParagraph"/>
        <w:numPr>
          <w:ilvl w:val="0"/>
          <w:numId w:val="29"/>
        </w:numPr>
        <w:rPr>
          <w:rFonts w:ascii="Arial" w:hAnsi="Arial" w:cs="Arial"/>
        </w:rPr>
      </w:pPr>
      <w:r w:rsidRPr="009B62E3">
        <w:rPr>
          <w:rFonts w:ascii="Arial" w:hAnsi="Arial" w:cs="Arial"/>
        </w:rPr>
        <w:t xml:space="preserve">On completion, an O&amp;M is to be submitted which provides details of works from design to completion.  The O&amp;M should include all relevant items shown in the PIF </w:t>
      </w:r>
      <w:r w:rsidR="00E01A66">
        <w:rPr>
          <w:rFonts w:ascii="Arial" w:hAnsi="Arial" w:cs="Arial"/>
        </w:rPr>
        <w:t>and should include all valves/components labelled with a schedule of components included.  A</w:t>
      </w:r>
      <w:r w:rsidRPr="009B62E3">
        <w:rPr>
          <w:rFonts w:ascii="Arial" w:hAnsi="Arial" w:cs="Arial"/>
        </w:rPr>
        <w:t xml:space="preserve"> separate section which provides details of the following</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5D4B9E63"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As part of the works, the supplier should also provide the following:</w:t>
      </w:r>
    </w:p>
    <w:p w14:paraId="3908247E" w14:textId="133514DE" w:rsidR="009B62E3" w:rsidRPr="009B62E3" w:rsidRDefault="009B62E3" w:rsidP="009B62E3">
      <w:pPr>
        <w:pStyle w:val="ListParagraph"/>
        <w:numPr>
          <w:ilvl w:val="1"/>
          <w:numId w:val="29"/>
        </w:numPr>
        <w:rPr>
          <w:rFonts w:ascii="Arial" w:hAnsi="Arial" w:cs="Arial"/>
        </w:rPr>
      </w:pPr>
      <w:r w:rsidRPr="009B62E3">
        <w:rPr>
          <w:rFonts w:ascii="Arial" w:hAnsi="Arial" w:cs="Arial"/>
        </w:rPr>
        <w:lastRenderedPageBreak/>
        <w:t xml:space="preserve">Provision to ensure safe access and egress to </w:t>
      </w:r>
      <w:r w:rsidR="001B75F7">
        <w:rPr>
          <w:rFonts w:ascii="Arial" w:hAnsi="Arial" w:cs="Arial"/>
        </w:rPr>
        <w:t xml:space="preserve">any </w:t>
      </w:r>
      <w:r w:rsidRPr="009B62E3">
        <w:rPr>
          <w:rFonts w:ascii="Arial" w:hAnsi="Arial" w:cs="Arial"/>
        </w:rPr>
        <w:t>confined spaces (Gas monitors, Rescue Personnel, Outside Watchman, etc)</w:t>
      </w:r>
      <w:r w:rsidR="001B75F7">
        <w:rPr>
          <w:rFonts w:ascii="Arial" w:hAnsi="Arial" w:cs="Arial"/>
        </w:rPr>
        <w:t>.  This may not be applicable but needs to be considered.</w:t>
      </w:r>
    </w:p>
    <w:p w14:paraId="086CB82A" w14:textId="7F025DEA" w:rsidR="009B62E3" w:rsidRPr="009B62E3" w:rsidRDefault="009B62E3" w:rsidP="009B62E3">
      <w:pPr>
        <w:pStyle w:val="ListParagraph"/>
        <w:numPr>
          <w:ilvl w:val="1"/>
          <w:numId w:val="29"/>
        </w:numPr>
        <w:rPr>
          <w:rFonts w:ascii="Arial" w:hAnsi="Arial" w:cs="Arial"/>
        </w:rPr>
      </w:pPr>
      <w:r w:rsidRPr="009B62E3">
        <w:rPr>
          <w:rFonts w:ascii="Arial" w:hAnsi="Arial" w:cs="Arial"/>
        </w:rPr>
        <w:t xml:space="preserve">All provisions for the </w:t>
      </w:r>
      <w:r w:rsidR="001B75F7">
        <w:rPr>
          <w:rFonts w:ascii="Arial" w:hAnsi="Arial" w:cs="Arial"/>
        </w:rPr>
        <w:t>installation and deconstruction work</w:t>
      </w:r>
      <w:r w:rsidRPr="009B62E3">
        <w:rPr>
          <w:rFonts w:ascii="Arial" w:hAnsi="Arial" w:cs="Arial"/>
        </w:rPr>
        <w:t>, including but not limited to:</w:t>
      </w:r>
    </w:p>
    <w:p w14:paraId="4DE1D42F"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necessary machinery and equipment required for the works.</w:t>
      </w:r>
    </w:p>
    <w:p w14:paraId="6B96005D" w14:textId="1D743E53" w:rsidR="009B62E3" w:rsidRPr="009B62E3" w:rsidRDefault="009B62E3" w:rsidP="009B62E3">
      <w:pPr>
        <w:pStyle w:val="ListParagraph"/>
        <w:numPr>
          <w:ilvl w:val="2"/>
          <w:numId w:val="29"/>
        </w:numPr>
        <w:rPr>
          <w:rFonts w:ascii="Arial" w:hAnsi="Arial" w:cs="Arial"/>
        </w:rPr>
      </w:pPr>
      <w:r w:rsidRPr="009B62E3">
        <w:rPr>
          <w:rFonts w:ascii="Arial" w:hAnsi="Arial" w:cs="Arial"/>
        </w:rPr>
        <w:t xml:space="preserve">Provision of lighting </w:t>
      </w:r>
      <w:r w:rsidR="001B75F7">
        <w:rPr>
          <w:rFonts w:ascii="Arial" w:hAnsi="Arial" w:cs="Arial"/>
        </w:rPr>
        <w:t>if needed during winter months</w:t>
      </w:r>
    </w:p>
    <w:p w14:paraId="7498E23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transport vehicles required for the works which is not listed as part of the CDM site below.</w:t>
      </w:r>
    </w:p>
    <w:p w14:paraId="282AA674" w14:textId="70BB4221"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weather protection for any equipment and materials used/stored outside.</w:t>
      </w:r>
    </w:p>
    <w:p w14:paraId="3DD6F57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PPE required for safe working during all works.</w:t>
      </w:r>
    </w:p>
    <w:p w14:paraId="68DC1145" w14:textId="59890CA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bookmarkEnd w:id="15"/>
    <w:p w14:paraId="6777F0EF" w14:textId="77777777" w:rsidR="00EC3F16" w:rsidRDefault="00EC3F16" w:rsidP="00EC3F16">
      <w:pPr>
        <w:rPr>
          <w:rFonts w:ascii="Arial" w:hAnsi="Arial" w:cs="Arial"/>
          <w:b/>
          <w:bCs/>
          <w:u w:val="single"/>
        </w:rPr>
      </w:pPr>
    </w:p>
    <w:p w14:paraId="20AC2D19" w14:textId="2CF1CF8A" w:rsidR="001F16BE" w:rsidRPr="001F16BE" w:rsidRDefault="001F16BE" w:rsidP="001F16BE">
      <w:pPr>
        <w:spacing w:after="120" w:line="276" w:lineRule="auto"/>
        <w:rPr>
          <w:rFonts w:ascii="Arial" w:hAnsi="Arial" w:cs="Arial"/>
        </w:rPr>
      </w:pPr>
      <w:r w:rsidRPr="001F16BE">
        <w:rPr>
          <w:rFonts w:ascii="Arial" w:hAnsi="Arial" w:cs="Arial"/>
        </w:rPr>
        <w:t>For this tender</w:t>
      </w:r>
      <w:r>
        <w:rPr>
          <w:rFonts w:ascii="Arial" w:hAnsi="Arial" w:cs="Arial"/>
        </w:rPr>
        <w:t>, the supplier is required to provide a cost to upgrade the existing diesel tank system to include a day tank of 2,500 litres with a fuel polisher.  Since the burners have been replaced recently, this would be a benefit for the new diesel fuel system.  Please submit this as a separate price and reference this as an option to upgrade the existing system.</w:t>
      </w:r>
    </w:p>
    <w:p w14:paraId="564C86E6" w14:textId="77777777" w:rsidR="006A6FC8" w:rsidRPr="00834004" w:rsidRDefault="006A6FC8" w:rsidP="00B94E98">
      <w:pPr>
        <w:pStyle w:val="Heading2"/>
      </w:pPr>
      <w:bookmarkStart w:id="16" w:name="_Toc178069437"/>
      <w:r w:rsidRPr="00834004">
        <w:t>Document Purpose</w:t>
      </w:r>
      <w:bookmarkEnd w:id="16"/>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7" w:name="_Toc178069438"/>
      <w:r w:rsidRPr="00834004">
        <w:t xml:space="preserve">Contract </w:t>
      </w:r>
      <w:r w:rsidR="00B94E98" w:rsidRPr="00834004">
        <w:t>Notice</w:t>
      </w:r>
      <w:bookmarkEnd w:id="17"/>
    </w:p>
    <w:p w14:paraId="179CE065" w14:textId="18D1B07A"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0D4487">
        <w:rPr>
          <w:rFonts w:ascii="Arial" w:hAnsi="Arial" w:cs="Arial"/>
          <w:highlight w:val="yellow"/>
        </w:rPr>
        <w:t>24</w:t>
      </w:r>
      <w:r w:rsidR="004A7555" w:rsidRPr="00F24525">
        <w:rPr>
          <w:rFonts w:ascii="Arial" w:hAnsi="Arial" w:cs="Arial"/>
          <w:highlight w:val="yellow"/>
          <w:vertAlign w:val="superscript"/>
        </w:rPr>
        <w:t>th</w:t>
      </w:r>
      <w:r w:rsidR="004A7555" w:rsidRPr="00F24525">
        <w:rPr>
          <w:rFonts w:ascii="Arial" w:hAnsi="Arial" w:cs="Arial"/>
          <w:highlight w:val="yellow"/>
        </w:rPr>
        <w:t xml:space="preserve"> September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8" w:name="_Toc178069439"/>
      <w:r>
        <w:t>Form of Contract</w:t>
      </w:r>
      <w:bookmarkEnd w:id="18"/>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19" w:name="_Toc178069440"/>
      <w:r>
        <w:rPr>
          <w:rFonts w:eastAsia="Calibri"/>
        </w:rPr>
        <w:t>Contract Duration</w:t>
      </w:r>
      <w:bookmarkEnd w:id="19"/>
    </w:p>
    <w:p w14:paraId="085516A2" w14:textId="32DFD10D" w:rsidR="000F68C3" w:rsidRPr="001B6523" w:rsidRDefault="000F68C3" w:rsidP="001B6523">
      <w:pPr>
        <w:spacing w:after="120" w:line="276" w:lineRule="auto"/>
        <w:rPr>
          <w:rFonts w:ascii="Arial" w:hAnsi="Arial" w:cs="Arial"/>
        </w:rPr>
      </w:pPr>
      <w:bookmarkStart w:id="20" w:name="_Hlk175290086"/>
      <w:r w:rsidRPr="00215E12">
        <w:rPr>
          <w:rFonts w:ascii="Arial" w:hAnsi="Arial" w:cs="Arial"/>
        </w:rPr>
        <w:t xml:space="preserve">The contract duration will be </w:t>
      </w:r>
      <w:r w:rsidR="001B75F7">
        <w:rPr>
          <w:rFonts w:ascii="Arial" w:hAnsi="Arial" w:cs="Arial"/>
          <w:b/>
          <w:bCs/>
        </w:rPr>
        <w:t>16</w:t>
      </w:r>
      <w:r w:rsidR="001B75F7" w:rsidRPr="001B75F7">
        <w:rPr>
          <w:rFonts w:ascii="Arial" w:hAnsi="Arial" w:cs="Arial"/>
          <w:b/>
          <w:bCs/>
          <w:vertAlign w:val="superscript"/>
        </w:rPr>
        <w:t>th</w:t>
      </w:r>
      <w:r w:rsidR="001B75F7">
        <w:rPr>
          <w:rFonts w:ascii="Arial" w:hAnsi="Arial" w:cs="Arial"/>
          <w:b/>
          <w:bCs/>
        </w:rPr>
        <w:t xml:space="preserve"> December</w:t>
      </w:r>
      <w:r w:rsidR="00EC3F16" w:rsidRPr="001B6523">
        <w:rPr>
          <w:rFonts w:ascii="Arial" w:hAnsi="Arial" w:cs="Arial"/>
          <w:b/>
          <w:bCs/>
        </w:rPr>
        <w:t xml:space="preserve"> 2024 – </w:t>
      </w:r>
      <w:r w:rsidR="004F28A4">
        <w:rPr>
          <w:rFonts w:ascii="Arial" w:hAnsi="Arial" w:cs="Arial"/>
          <w:b/>
          <w:bCs/>
        </w:rPr>
        <w:t>28</w:t>
      </w:r>
      <w:r w:rsidR="004F28A4" w:rsidRPr="004F28A4">
        <w:rPr>
          <w:rFonts w:ascii="Arial" w:hAnsi="Arial" w:cs="Arial"/>
          <w:b/>
          <w:bCs/>
          <w:vertAlign w:val="superscript"/>
        </w:rPr>
        <w:t>th</w:t>
      </w:r>
      <w:r w:rsidR="004F28A4">
        <w:rPr>
          <w:rFonts w:ascii="Arial" w:hAnsi="Arial" w:cs="Arial"/>
          <w:b/>
          <w:bCs/>
        </w:rPr>
        <w:t xml:space="preserve"> November 2025</w:t>
      </w:r>
      <w:r w:rsidRPr="001B6523">
        <w:rPr>
          <w:rFonts w:ascii="Arial" w:hAnsi="Arial" w:cs="Arial"/>
        </w:rPr>
        <w:t>.</w:t>
      </w:r>
    </w:p>
    <w:p w14:paraId="1C1C0D37" w14:textId="544CEE82" w:rsidR="001B6523" w:rsidRDefault="008C436D" w:rsidP="001B6523">
      <w:pPr>
        <w:pStyle w:val="Heading2"/>
        <w:rPr>
          <w:rFonts w:eastAsia="Calibri"/>
        </w:rPr>
      </w:pPr>
      <w:bookmarkStart w:id="21" w:name="_Toc178069441"/>
      <w:bookmarkEnd w:id="20"/>
      <w:r>
        <w:rPr>
          <w:rFonts w:eastAsia="Calibri"/>
        </w:rPr>
        <w:t>Suggested</w:t>
      </w:r>
      <w:r w:rsidR="001B6523">
        <w:rPr>
          <w:rFonts w:eastAsia="Calibri"/>
        </w:rPr>
        <w:t xml:space="preserve"> Payment Schedule</w:t>
      </w:r>
      <w:bookmarkEnd w:id="21"/>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lastRenderedPageBreak/>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22" w:name="_Toc178069442"/>
      <w:r w:rsidRPr="00834004">
        <w:t>Instructions to Tenderers</w:t>
      </w:r>
      <w:bookmarkEnd w:id="22"/>
    </w:p>
    <w:p w14:paraId="4E0D9F5C" w14:textId="77777777" w:rsidR="007E758C" w:rsidRPr="00834004" w:rsidRDefault="007E758C" w:rsidP="00B94E98">
      <w:pPr>
        <w:pStyle w:val="Heading2"/>
      </w:pPr>
      <w:bookmarkStart w:id="23" w:name="_Toc178069443"/>
      <w:r w:rsidRPr="00834004">
        <w:t>Location of Works</w:t>
      </w:r>
      <w:bookmarkEnd w:id="23"/>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4" w:name="_Toc178069444"/>
      <w:r w:rsidRPr="00D52A07">
        <w:t>Procurement Timetable</w:t>
      </w:r>
      <w:bookmarkEnd w:id="24"/>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5"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25F21651" w:rsidR="00363492" w:rsidRPr="00D52A07" w:rsidRDefault="000D4487"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24</w:t>
            </w:r>
            <w:r w:rsidR="00CF262D" w:rsidRPr="00D52A07">
              <w:rPr>
                <w:rFonts w:ascii="Arial" w:eastAsia="Calibri" w:hAnsi="Arial" w:cs="Arial"/>
                <w:sz w:val="20"/>
                <w:szCs w:val="20"/>
                <w:vertAlign w:val="superscript"/>
                <w:lang w:bidi="en-US"/>
              </w:rPr>
              <w:t>th</w:t>
            </w:r>
            <w:r w:rsidR="00CF262D" w:rsidRPr="00D52A07">
              <w:rPr>
                <w:rFonts w:ascii="Arial" w:eastAsia="Calibri" w:hAnsi="Arial" w:cs="Arial"/>
                <w:sz w:val="20"/>
                <w:szCs w:val="20"/>
                <w:lang w:bidi="en-US"/>
              </w:rPr>
              <w:t xml:space="preserve"> September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08AB5A90" w:rsidR="00363492" w:rsidRPr="00D52A07" w:rsidRDefault="000D4487"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9</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00363492" w:rsidRPr="00D52A07">
              <w:rPr>
                <w:rFonts w:ascii="Arial" w:eastAsia="Calibri" w:hAnsi="Arial" w:cs="Arial"/>
                <w:sz w:val="20"/>
                <w:szCs w:val="20"/>
                <w:lang w:bidi="en-US"/>
              </w:rPr>
              <w:t xml:space="preserve">- </w:t>
            </w:r>
            <w:r>
              <w:rPr>
                <w:rFonts w:ascii="Arial" w:eastAsia="Calibri" w:hAnsi="Arial" w:cs="Arial"/>
                <w:sz w:val="20"/>
                <w:szCs w:val="20"/>
                <w:lang w:bidi="en-US"/>
              </w:rPr>
              <w:t>11</w:t>
            </w:r>
            <w:r w:rsidR="007140D1"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00362613">
              <w:rPr>
                <w:rFonts w:ascii="Arial" w:eastAsia="Calibri" w:hAnsi="Arial" w:cs="Arial"/>
                <w:sz w:val="20"/>
                <w:szCs w:val="20"/>
                <w:lang w:bidi="en-US"/>
              </w:rPr>
              <w:t xml:space="preserve">October </w:t>
            </w:r>
            <w:r w:rsidR="00363492" w:rsidRPr="00D52A07">
              <w:rPr>
                <w:rFonts w:ascii="Arial" w:eastAsia="Calibri" w:hAnsi="Arial" w:cs="Arial"/>
                <w:sz w:val="20"/>
                <w:szCs w:val="20"/>
                <w:lang w:bidi="en-US"/>
              </w:rPr>
              <w:t>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673D7735" w:rsidR="00363492" w:rsidRPr="00D52A07" w:rsidRDefault="00363492" w:rsidP="00363492">
            <w:pPr>
              <w:spacing w:after="120" w:line="276" w:lineRule="auto"/>
              <w:jc w:val="center"/>
              <w:rPr>
                <w:rFonts w:ascii="Arial" w:eastAsia="Calibri" w:hAnsi="Arial" w:cs="Arial"/>
                <w:sz w:val="20"/>
                <w:szCs w:val="20"/>
                <w:lang w:bidi="en-US"/>
              </w:rPr>
            </w:pPr>
            <w:bookmarkStart w:id="26" w:name="_Hlk102561193"/>
            <w:bookmarkStart w:id="27" w:name="_Hlk152665002"/>
            <w:r w:rsidRPr="00D52A07">
              <w:rPr>
                <w:rFonts w:ascii="Arial" w:eastAsia="Calibri" w:hAnsi="Arial" w:cs="Arial"/>
                <w:sz w:val="20"/>
                <w:szCs w:val="20"/>
                <w:lang w:bidi="en-US"/>
              </w:rPr>
              <w:t xml:space="preserve">12:00 (Noon) </w:t>
            </w:r>
            <w:bookmarkEnd w:id="26"/>
            <w:r w:rsidR="000D4487">
              <w:rPr>
                <w:rFonts w:ascii="Arial" w:eastAsia="Calibri" w:hAnsi="Arial" w:cs="Arial"/>
                <w:sz w:val="20"/>
                <w:szCs w:val="20"/>
                <w:lang w:bidi="en-US"/>
              </w:rPr>
              <w:t>17</w:t>
            </w:r>
            <w:r w:rsidR="00362613" w:rsidRPr="00362613">
              <w:rPr>
                <w:rFonts w:ascii="Arial" w:eastAsia="Calibri" w:hAnsi="Arial" w:cs="Arial"/>
                <w:sz w:val="20"/>
                <w:szCs w:val="20"/>
                <w:vertAlign w:val="superscript"/>
                <w:lang w:bidi="en-US"/>
              </w:rPr>
              <w:t>th</w:t>
            </w:r>
            <w:r w:rsidR="00362613">
              <w:rPr>
                <w:rFonts w:ascii="Arial" w:eastAsia="Calibri" w:hAnsi="Arial" w:cs="Arial"/>
                <w:sz w:val="20"/>
                <w:szCs w:val="20"/>
                <w:lang w:bidi="en-US"/>
              </w:rPr>
              <w:t xml:space="preserve"> October</w:t>
            </w:r>
            <w:r w:rsidRPr="00D52A07">
              <w:rPr>
                <w:rFonts w:ascii="Arial" w:eastAsia="Calibri" w:hAnsi="Arial" w:cs="Arial"/>
                <w:sz w:val="20"/>
                <w:szCs w:val="20"/>
                <w:lang w:bidi="en-US"/>
              </w:rPr>
              <w:t xml:space="preserve"> 2024</w:t>
            </w:r>
            <w:bookmarkEnd w:id="27"/>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60C392E5"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0D4487">
              <w:rPr>
                <w:rFonts w:ascii="Arial" w:eastAsia="Calibri" w:hAnsi="Arial" w:cs="Arial"/>
                <w:sz w:val="20"/>
                <w:szCs w:val="20"/>
                <w:lang w:bidi="en-US"/>
              </w:rPr>
              <w:t>24</w:t>
            </w:r>
            <w:r w:rsidR="000D4487" w:rsidRPr="000D4487">
              <w:rPr>
                <w:rFonts w:ascii="Arial" w:eastAsia="Calibri" w:hAnsi="Arial" w:cs="Arial"/>
                <w:sz w:val="20"/>
                <w:szCs w:val="20"/>
                <w:vertAlign w:val="superscript"/>
                <w:lang w:bidi="en-US"/>
              </w:rPr>
              <w:t>th</w:t>
            </w:r>
            <w:r w:rsidR="000D4487">
              <w:rPr>
                <w:rFonts w:ascii="Arial" w:eastAsia="Calibri" w:hAnsi="Arial" w:cs="Arial"/>
                <w:sz w:val="20"/>
                <w:szCs w:val="20"/>
                <w:lang w:bidi="en-US"/>
              </w:rPr>
              <w:t xml:space="preserve"> </w:t>
            </w:r>
            <w:r w:rsidR="00CF262D" w:rsidRPr="00D52A07">
              <w:rPr>
                <w:rFonts w:ascii="Arial" w:eastAsia="Calibri" w:hAnsi="Arial" w:cs="Arial"/>
                <w:sz w:val="20"/>
                <w:szCs w:val="20"/>
                <w:lang w:bidi="en-US"/>
              </w:rPr>
              <w:t>October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28" w:name="_Hlk103696126"/>
            <w:r w:rsidRPr="00363492">
              <w:rPr>
                <w:rFonts w:ascii="Arial" w:eastAsia="Calibri" w:hAnsi="Arial" w:cs="Arial"/>
                <w:sz w:val="20"/>
                <w:szCs w:val="20"/>
              </w:rPr>
              <w:t>Date for receipt of Tender Submissions</w:t>
            </w:r>
            <w:bookmarkEnd w:id="28"/>
          </w:p>
        </w:tc>
        <w:tc>
          <w:tcPr>
            <w:tcW w:w="3090" w:type="dxa"/>
            <w:shd w:val="clear" w:color="auto" w:fill="FFFF00"/>
          </w:tcPr>
          <w:p w14:paraId="35C36109" w14:textId="563602C3" w:rsidR="00363492" w:rsidRPr="00D52A07" w:rsidRDefault="00363492" w:rsidP="00363492">
            <w:pPr>
              <w:spacing w:after="120" w:line="276" w:lineRule="auto"/>
              <w:jc w:val="center"/>
              <w:rPr>
                <w:rFonts w:ascii="Arial" w:eastAsia="Calibri" w:hAnsi="Arial" w:cs="Arial"/>
                <w:sz w:val="20"/>
                <w:szCs w:val="20"/>
                <w:lang w:bidi="en-US"/>
              </w:rPr>
            </w:pPr>
            <w:bookmarkStart w:id="29" w:name="_Hlk102486941"/>
            <w:r w:rsidRPr="00D52A07">
              <w:rPr>
                <w:rFonts w:ascii="Arial" w:eastAsia="Calibri" w:hAnsi="Arial" w:cs="Arial"/>
                <w:sz w:val="20"/>
                <w:szCs w:val="20"/>
                <w:lang w:bidi="en-US"/>
              </w:rPr>
              <w:t xml:space="preserve">12:00 (Noon) </w:t>
            </w:r>
            <w:r w:rsidR="000D4487">
              <w:rPr>
                <w:rFonts w:ascii="Arial" w:eastAsia="Calibri" w:hAnsi="Arial" w:cs="Arial"/>
                <w:sz w:val="20"/>
                <w:szCs w:val="20"/>
                <w:lang w:bidi="en-US"/>
              </w:rPr>
              <w:t>1</w:t>
            </w:r>
            <w:r w:rsidR="000D4487" w:rsidRPr="000D4487">
              <w:rPr>
                <w:rFonts w:ascii="Arial" w:eastAsia="Calibri" w:hAnsi="Arial" w:cs="Arial"/>
                <w:sz w:val="20"/>
                <w:szCs w:val="20"/>
                <w:vertAlign w:val="superscript"/>
                <w:lang w:bidi="en-US"/>
              </w:rPr>
              <w:t>st</w:t>
            </w:r>
            <w:r w:rsidR="000D4487">
              <w:rPr>
                <w:rFonts w:ascii="Arial" w:eastAsia="Calibri" w:hAnsi="Arial" w:cs="Arial"/>
                <w:sz w:val="20"/>
                <w:szCs w:val="20"/>
                <w:lang w:bidi="en-US"/>
              </w:rPr>
              <w:t xml:space="preserve"> </w:t>
            </w:r>
            <w:r w:rsidR="00362613">
              <w:rPr>
                <w:rFonts w:ascii="Arial" w:eastAsia="Calibri" w:hAnsi="Arial" w:cs="Arial"/>
                <w:sz w:val="20"/>
                <w:szCs w:val="20"/>
                <w:lang w:bidi="en-US"/>
              </w:rPr>
              <w:t>November</w:t>
            </w:r>
            <w:r w:rsidRPr="00D52A07">
              <w:rPr>
                <w:rFonts w:ascii="Arial" w:eastAsia="Calibri" w:hAnsi="Arial" w:cs="Arial"/>
                <w:sz w:val="20"/>
                <w:szCs w:val="20"/>
                <w:lang w:bidi="en-US"/>
              </w:rPr>
              <w:t xml:space="preserve"> 2024</w:t>
            </w:r>
            <w:bookmarkEnd w:id="29"/>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6F0C382D" w:rsidR="00363492" w:rsidRPr="00D52A07" w:rsidRDefault="000D4487"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4</w:t>
            </w:r>
            <w:r w:rsidR="00CF262D" w:rsidRPr="00D52A07">
              <w:rPr>
                <w:rFonts w:ascii="Arial" w:eastAsia="Calibri" w:hAnsi="Arial" w:cs="Arial"/>
                <w:sz w:val="20"/>
                <w:szCs w:val="20"/>
                <w:vertAlign w:val="superscript"/>
                <w:lang w:bidi="en-US"/>
              </w:rPr>
              <w:t>th</w:t>
            </w:r>
            <w:r>
              <w:rPr>
                <w:rFonts w:ascii="Arial" w:eastAsia="Calibri" w:hAnsi="Arial" w:cs="Arial"/>
                <w:sz w:val="20"/>
                <w:szCs w:val="20"/>
                <w:vertAlign w:val="superscript"/>
                <w:lang w:bidi="en-US"/>
              </w:rPr>
              <w:t xml:space="preserve"> </w:t>
            </w:r>
            <w:r>
              <w:rPr>
                <w:rFonts w:ascii="Arial" w:eastAsia="Calibri" w:hAnsi="Arial" w:cs="Arial"/>
                <w:sz w:val="20"/>
                <w:szCs w:val="20"/>
                <w:lang w:bidi="en-US"/>
              </w:rPr>
              <w:t xml:space="preserve">- </w:t>
            </w:r>
            <w:r w:rsidR="00362613">
              <w:rPr>
                <w:rFonts w:ascii="Arial" w:eastAsia="Calibri" w:hAnsi="Arial" w:cs="Arial"/>
                <w:sz w:val="20"/>
                <w:szCs w:val="20"/>
                <w:lang w:bidi="en-US"/>
              </w:rPr>
              <w:t>2</w:t>
            </w:r>
            <w:r>
              <w:rPr>
                <w:rFonts w:ascii="Arial" w:eastAsia="Calibri" w:hAnsi="Arial" w:cs="Arial"/>
                <w:sz w:val="20"/>
                <w:szCs w:val="20"/>
                <w:lang w:bidi="en-US"/>
              </w:rPr>
              <w:t>2</w:t>
            </w:r>
            <w:r w:rsidRPr="000D4487">
              <w:rPr>
                <w:rFonts w:ascii="Arial" w:eastAsia="Calibri" w:hAnsi="Arial" w:cs="Arial"/>
                <w:sz w:val="20"/>
                <w:szCs w:val="20"/>
                <w:vertAlign w:val="superscript"/>
                <w:lang w:bidi="en-US"/>
              </w:rPr>
              <w:t>nd</w:t>
            </w:r>
            <w:r>
              <w:rPr>
                <w:rFonts w:ascii="Arial" w:eastAsia="Calibri" w:hAnsi="Arial" w:cs="Arial"/>
                <w:sz w:val="20"/>
                <w:szCs w:val="20"/>
                <w:lang w:bidi="en-US"/>
              </w:rPr>
              <w:t xml:space="preserve"> </w:t>
            </w:r>
            <w:r w:rsidR="00362613">
              <w:rPr>
                <w:rFonts w:ascii="Arial" w:eastAsia="Calibri" w:hAnsi="Arial" w:cs="Arial"/>
                <w:sz w:val="20"/>
                <w:szCs w:val="20"/>
                <w:lang w:bidi="en-US"/>
              </w:rPr>
              <w:t>Novem</w:t>
            </w:r>
            <w:r w:rsidR="00CF262D" w:rsidRPr="00D52A07">
              <w:rPr>
                <w:rFonts w:ascii="Arial" w:eastAsia="Calibri" w:hAnsi="Arial" w:cs="Arial"/>
                <w:sz w:val="20"/>
                <w:szCs w:val="20"/>
                <w:lang w:bidi="en-US"/>
              </w:rPr>
              <w:t>ber</w:t>
            </w:r>
            <w:r w:rsidR="00363492" w:rsidRPr="00D52A07">
              <w:rPr>
                <w:rFonts w:ascii="Arial" w:eastAsia="Calibri" w:hAnsi="Arial" w:cs="Arial"/>
                <w:sz w:val="20"/>
                <w:szCs w:val="20"/>
                <w:lang w:bidi="en-US"/>
              </w:rPr>
              <w:t xml:space="preserve">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3BABCC78" w:rsidR="003C0450" w:rsidRPr="00363492" w:rsidRDefault="003C0450" w:rsidP="008210DD">
            <w:pPr>
              <w:spacing w:after="120" w:line="276" w:lineRule="auto"/>
              <w:rPr>
                <w:rFonts w:ascii="Arial" w:eastAsia="Calibri" w:hAnsi="Arial" w:cs="Arial"/>
                <w:sz w:val="20"/>
                <w:szCs w:val="20"/>
                <w:lang w:bidi="en-US"/>
              </w:rPr>
            </w:pPr>
            <w:bookmarkStart w:id="30" w:name="_Hlk151979117"/>
            <w:r w:rsidRPr="00363492">
              <w:rPr>
                <w:rFonts w:ascii="Arial" w:eastAsia="Calibri" w:hAnsi="Arial" w:cs="Arial"/>
                <w:sz w:val="20"/>
                <w:szCs w:val="20"/>
              </w:rPr>
              <w:t>Notification of award decision</w:t>
            </w:r>
            <w:bookmarkEnd w:id="30"/>
          </w:p>
        </w:tc>
        <w:tc>
          <w:tcPr>
            <w:tcW w:w="3090" w:type="dxa"/>
            <w:shd w:val="clear" w:color="auto" w:fill="FFFF00"/>
          </w:tcPr>
          <w:p w14:paraId="1B3503D3" w14:textId="34358901" w:rsidR="003C0450" w:rsidRPr="00D52A07" w:rsidRDefault="000D4487" w:rsidP="008210DD">
            <w:pPr>
              <w:tabs>
                <w:tab w:val="left" w:pos="1389"/>
              </w:tabs>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w:t>
            </w:r>
            <w:r>
              <w:rPr>
                <w:rFonts w:ascii="Arial" w:eastAsia="Calibri" w:hAnsi="Arial" w:cs="Arial"/>
                <w:sz w:val="20"/>
                <w:szCs w:val="20"/>
                <w:lang w:bidi="en-US"/>
              </w:rPr>
              <w:t>6</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w:t>
            </w:r>
            <w:r>
              <w:rPr>
                <w:rFonts w:ascii="Arial" w:eastAsia="Calibri" w:hAnsi="Arial" w:cs="Arial"/>
                <w:sz w:val="20"/>
                <w:szCs w:val="20"/>
                <w:lang w:bidi="en-US"/>
              </w:rPr>
              <w:t>Novem</w:t>
            </w:r>
            <w:r w:rsidRPr="00D52A07">
              <w:rPr>
                <w:rFonts w:ascii="Arial" w:eastAsia="Calibri" w:hAnsi="Arial" w:cs="Arial"/>
                <w:sz w:val="20"/>
                <w:szCs w:val="20"/>
                <w:lang w:bidi="en-US"/>
              </w:rPr>
              <w:t>ber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2DA09BF4" w:rsidR="003C0450" w:rsidRPr="00D52A07" w:rsidRDefault="000D4487"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29</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w:t>
            </w:r>
            <w:r>
              <w:rPr>
                <w:rFonts w:ascii="Arial" w:eastAsia="Calibri" w:hAnsi="Arial" w:cs="Arial"/>
                <w:sz w:val="20"/>
                <w:szCs w:val="20"/>
                <w:lang w:bidi="en-US"/>
              </w:rPr>
              <w:t>Novem</w:t>
            </w:r>
            <w:r w:rsidRPr="00D52A07">
              <w:rPr>
                <w:rFonts w:ascii="Arial" w:eastAsia="Calibri" w:hAnsi="Arial" w:cs="Arial"/>
                <w:sz w:val="20"/>
                <w:szCs w:val="20"/>
                <w:lang w:bidi="en-US"/>
              </w:rPr>
              <w:t>ber</w:t>
            </w:r>
            <w:r w:rsidR="003C0450" w:rsidRPr="00D52A07">
              <w:rPr>
                <w:rFonts w:ascii="Arial" w:eastAsia="Calibri" w:hAnsi="Arial" w:cs="Arial"/>
                <w:sz w:val="20"/>
                <w:szCs w:val="20"/>
                <w:lang w:bidi="en-US"/>
              </w:rPr>
              <w:t xml:space="preserve">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5DC8DBC3" w:rsidR="003C0450" w:rsidRPr="00D52A07" w:rsidRDefault="000D4487"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9</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w:t>
            </w:r>
            <w:r w:rsidR="00362613">
              <w:rPr>
                <w:rFonts w:ascii="Arial" w:eastAsia="Calibri" w:hAnsi="Arial" w:cs="Arial"/>
                <w:sz w:val="20"/>
                <w:szCs w:val="20"/>
                <w:lang w:bidi="en-US"/>
              </w:rPr>
              <w:t>Decem</w:t>
            </w:r>
            <w:r w:rsidR="003C0450" w:rsidRPr="00D52A07">
              <w:rPr>
                <w:rFonts w:ascii="Arial" w:eastAsia="Calibri" w:hAnsi="Arial" w:cs="Arial"/>
                <w:sz w:val="20"/>
                <w:szCs w:val="20"/>
                <w:lang w:bidi="en-US"/>
              </w:rPr>
              <w:t>ber 2024</w:t>
            </w:r>
          </w:p>
        </w:tc>
      </w:tr>
      <w:bookmarkEnd w:id="25"/>
    </w:tbl>
    <w:p w14:paraId="7DDC9834" w14:textId="31BA00BA" w:rsidR="00327326" w:rsidRDefault="00327326" w:rsidP="00820305">
      <w:pPr>
        <w:rPr>
          <w:rFonts w:cstheme="minorHAnsi"/>
          <w:highlight w:val="yellow"/>
        </w:rPr>
      </w:pPr>
    </w:p>
    <w:p w14:paraId="7E24B39C" w14:textId="77777777" w:rsidR="00DB2067" w:rsidRDefault="00DB2067" w:rsidP="00820305">
      <w:pPr>
        <w:rPr>
          <w:rFonts w:cstheme="minorHAnsi"/>
          <w:highlight w:val="yellow"/>
        </w:rPr>
      </w:pPr>
    </w:p>
    <w:p w14:paraId="022C9802" w14:textId="77777777" w:rsidR="00DB2067" w:rsidRDefault="00DB2067" w:rsidP="00820305">
      <w:pPr>
        <w:rPr>
          <w:rFonts w:cstheme="minorHAnsi"/>
          <w:highlight w:val="yellow"/>
        </w:rPr>
      </w:pPr>
    </w:p>
    <w:p w14:paraId="7398BD0A" w14:textId="77777777" w:rsidR="008C38B3" w:rsidRPr="00834004" w:rsidRDefault="008C38B3" w:rsidP="00B94E98">
      <w:pPr>
        <w:pStyle w:val="Heading2"/>
      </w:pPr>
      <w:bookmarkStart w:id="31" w:name="_Toc178069445"/>
      <w:r w:rsidRPr="00834004">
        <w:lastRenderedPageBreak/>
        <w:t>Tender Submission Requirements</w:t>
      </w:r>
      <w:bookmarkEnd w:id="31"/>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5010E32C" w14:textId="0CF9E4DD" w:rsidR="0050743C" w:rsidRDefault="0050743C" w:rsidP="008C436D">
      <w:pPr>
        <w:pStyle w:val="ListParagraph"/>
        <w:numPr>
          <w:ilvl w:val="0"/>
          <w:numId w:val="1"/>
        </w:numPr>
        <w:rPr>
          <w:rFonts w:ascii="Arial" w:hAnsi="Arial" w:cs="Arial"/>
        </w:rPr>
      </w:pPr>
      <w:r w:rsidRPr="0050743C">
        <w:rPr>
          <w:rFonts w:ascii="Arial" w:hAnsi="Arial" w:cs="Arial"/>
        </w:rPr>
        <w:t xml:space="preserve">Details of 3 relevant Case Studies. </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1FE7717F"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A1335D" w:rsidRPr="00A1335D">
        <w:rPr>
          <w:rFonts w:ascii="Arial" w:hAnsi="Arial" w:cs="Arial"/>
        </w:rPr>
        <w:t>Supplier Pre-Qualification Questionnaire</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32" w:name="_Toc178069446"/>
      <w:r w:rsidRPr="00834004">
        <w:t>Tender Submission and Clarifications</w:t>
      </w:r>
      <w:bookmarkEnd w:id="32"/>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0D4487"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2DA8A227"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 xml:space="preserve">12:00 (Noon) </w:t>
      </w:r>
      <w:r w:rsidR="000D4487">
        <w:rPr>
          <w:rFonts w:ascii="Arial" w:eastAsia="Calibri" w:hAnsi="Arial" w:cs="Arial"/>
          <w:b/>
          <w:bCs/>
          <w:highlight w:val="yellow"/>
          <w:lang w:bidi="en-US"/>
        </w:rPr>
        <w:t>17</w:t>
      </w:r>
      <w:r w:rsidR="00362613" w:rsidRPr="00362613">
        <w:rPr>
          <w:rFonts w:ascii="Arial" w:eastAsia="Calibri" w:hAnsi="Arial" w:cs="Arial"/>
          <w:b/>
          <w:bCs/>
          <w:highlight w:val="yellow"/>
          <w:vertAlign w:val="superscript"/>
          <w:lang w:bidi="en-US"/>
        </w:rPr>
        <w:t>th</w:t>
      </w:r>
      <w:r w:rsidR="00362613">
        <w:rPr>
          <w:rFonts w:ascii="Arial" w:eastAsia="Calibri" w:hAnsi="Arial" w:cs="Arial"/>
          <w:b/>
          <w:bCs/>
          <w:highlight w:val="yellow"/>
          <w:lang w:bidi="en-US"/>
        </w:rPr>
        <w:t xml:space="preserve"> October</w:t>
      </w:r>
      <w:r w:rsidR="00CA17D6" w:rsidRPr="00F24525">
        <w:rPr>
          <w:rFonts w:ascii="Arial" w:eastAsia="Calibri" w:hAnsi="Arial" w:cs="Arial"/>
          <w:b/>
          <w:bCs/>
          <w:highlight w:val="yellow"/>
          <w:lang w:bidi="en-US"/>
        </w:rPr>
        <w:t xml:space="preserve">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27A44A50" w14:textId="48B4CACA" w:rsidR="00367722" w:rsidRDefault="00367722" w:rsidP="00BB1BDB">
      <w:pPr>
        <w:pStyle w:val="Default"/>
        <w:rPr>
          <w:b/>
          <w:bCs/>
          <w:lang w:val="en-US"/>
        </w:rPr>
      </w:pPr>
      <w:r w:rsidRPr="00BB1BDB">
        <w:rPr>
          <w:rFonts w:ascii="Arial" w:hAnsi="Arial" w:cs="Arial"/>
          <w:sz w:val="22"/>
          <w:szCs w:val="22"/>
        </w:rPr>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F24525">
        <w:rPr>
          <w:rFonts w:ascii="Arial" w:hAnsi="Arial" w:cs="Arial"/>
          <w:b/>
          <w:bCs/>
          <w:sz w:val="22"/>
          <w:szCs w:val="22"/>
          <w:highlight w:val="yellow"/>
          <w:lang w:val="en-US"/>
        </w:rPr>
        <w:t xml:space="preserve">12:00 (Noon) </w:t>
      </w:r>
      <w:r w:rsidR="000D4487">
        <w:rPr>
          <w:rFonts w:ascii="Arial" w:hAnsi="Arial" w:cs="Arial"/>
          <w:b/>
          <w:bCs/>
          <w:sz w:val="22"/>
          <w:szCs w:val="22"/>
          <w:highlight w:val="yellow"/>
          <w:lang w:val="en-US"/>
        </w:rPr>
        <w:t>1</w:t>
      </w:r>
      <w:r w:rsidR="000D4487" w:rsidRPr="000D4487">
        <w:rPr>
          <w:rFonts w:ascii="Arial" w:hAnsi="Arial" w:cs="Arial"/>
          <w:b/>
          <w:bCs/>
          <w:sz w:val="22"/>
          <w:szCs w:val="22"/>
          <w:highlight w:val="yellow"/>
          <w:vertAlign w:val="superscript"/>
          <w:lang w:val="en-US"/>
        </w:rPr>
        <w:t>st</w:t>
      </w:r>
      <w:r w:rsidR="000D4487">
        <w:rPr>
          <w:rFonts w:ascii="Arial" w:hAnsi="Arial" w:cs="Arial"/>
          <w:b/>
          <w:bCs/>
          <w:sz w:val="22"/>
          <w:szCs w:val="22"/>
          <w:highlight w:val="yellow"/>
          <w:vertAlign w:val="superscript"/>
          <w:lang w:val="en-US"/>
        </w:rPr>
        <w:t xml:space="preserve"> </w:t>
      </w:r>
      <w:r w:rsidR="00362613">
        <w:rPr>
          <w:rFonts w:ascii="Arial" w:hAnsi="Arial" w:cs="Arial"/>
          <w:b/>
          <w:bCs/>
          <w:sz w:val="22"/>
          <w:szCs w:val="22"/>
          <w:highlight w:val="yellow"/>
          <w:lang w:val="en-US"/>
        </w:rPr>
        <w:t>November</w:t>
      </w:r>
      <w:r w:rsidR="00CA17D6" w:rsidRPr="00F24525">
        <w:rPr>
          <w:rFonts w:ascii="Arial" w:hAnsi="Arial" w:cs="Arial"/>
          <w:b/>
          <w:bCs/>
          <w:sz w:val="22"/>
          <w:szCs w:val="22"/>
          <w:highlight w:val="yellow"/>
          <w:lang w:val="en-US"/>
        </w:rPr>
        <w:t xml:space="preserve"> 2024.</w:t>
      </w:r>
      <w:r w:rsidR="009B7090">
        <w:rPr>
          <w:b/>
          <w:bCs/>
          <w:lang w:val="en-US"/>
        </w:rPr>
        <w:br/>
      </w:r>
    </w:p>
    <w:p w14:paraId="68CA9137" w14:textId="77777777" w:rsidR="00DB2067" w:rsidRDefault="00DB2067" w:rsidP="00BB1BDB">
      <w:pPr>
        <w:pStyle w:val="Default"/>
        <w:rPr>
          <w:b/>
          <w:bCs/>
          <w:lang w:val="en-US"/>
        </w:rPr>
      </w:pPr>
    </w:p>
    <w:p w14:paraId="7586F3C5" w14:textId="77777777" w:rsidR="00DB2067" w:rsidRDefault="00DB2067" w:rsidP="00BB1BDB">
      <w:pPr>
        <w:pStyle w:val="Default"/>
        <w:rPr>
          <w:b/>
          <w:bCs/>
          <w:lang w:val="en-US"/>
        </w:rPr>
      </w:pPr>
    </w:p>
    <w:p w14:paraId="2CD9E422" w14:textId="74B500C6" w:rsidR="008C38B3" w:rsidRPr="002058EB" w:rsidRDefault="002473BB" w:rsidP="00363492">
      <w:pPr>
        <w:pStyle w:val="Heading2"/>
      </w:pPr>
      <w:bookmarkStart w:id="33" w:name="_Toc178069447"/>
      <w:r w:rsidRPr="00834004">
        <w:lastRenderedPageBreak/>
        <w:t>Tender Evaluation</w:t>
      </w:r>
      <w:bookmarkEnd w:id="33"/>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4" w:name="_Hlk99458645"/>
      <w:r w:rsidR="00D9199D" w:rsidRPr="00777EE8">
        <w:rPr>
          <w:rFonts w:ascii="Arial" w:hAnsi="Arial" w:cs="Arial"/>
        </w:rPr>
        <w:t xml:space="preserve">PIRBRIGHT </w:t>
      </w:r>
      <w:bookmarkEnd w:id="34"/>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5" w:name="_Toc466968547"/>
      <w:bookmarkStart w:id="36" w:name="_Toc178069448"/>
      <w:r w:rsidRPr="0050743C">
        <w:t>Confidentiality</w:t>
      </w:r>
      <w:bookmarkEnd w:id="35"/>
      <w:bookmarkEnd w:id="36"/>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lastRenderedPageBreak/>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7" w:name="_Toc178069449"/>
      <w:r w:rsidRPr="00834004">
        <w:t>Conditions</w:t>
      </w:r>
      <w:r w:rsidR="008D4D8C" w:rsidRPr="00834004">
        <w:t xml:space="preserve"> of Tender</w:t>
      </w:r>
      <w:bookmarkEnd w:id="37"/>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lastRenderedPageBreak/>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38" w:name="_Toc466968548"/>
      <w:bookmarkStart w:id="39" w:name="_Toc178069450"/>
      <w:r w:rsidRPr="00834004">
        <w:t>APPENDICES</w:t>
      </w:r>
      <w:bookmarkEnd w:id="38"/>
      <w:bookmarkEnd w:id="39"/>
      <w:r w:rsidRPr="00834004">
        <w:t xml:space="preserve"> </w:t>
      </w:r>
    </w:p>
    <w:p w14:paraId="52AD730F" w14:textId="77302F0F" w:rsidR="00042B7B" w:rsidRPr="004A7555" w:rsidRDefault="005B7C37" w:rsidP="00042B7B">
      <w:pPr>
        <w:spacing w:line="276" w:lineRule="auto"/>
        <w:rPr>
          <w:rFonts w:ascii="Arial" w:eastAsia="Calibri" w:hAnsi="Arial" w:cs="Arial"/>
          <w:b/>
        </w:rPr>
      </w:pPr>
      <w:r w:rsidRPr="004A7555">
        <w:rPr>
          <w:rFonts w:ascii="Arial" w:eastAsia="Calibri" w:hAnsi="Arial" w:cs="Arial"/>
          <w:b/>
        </w:rPr>
        <w:t xml:space="preserve">Appendix A - </w:t>
      </w:r>
      <w:r w:rsidR="00A1335D" w:rsidRPr="00A1335D">
        <w:rPr>
          <w:rFonts w:ascii="Arial" w:eastAsia="Calibri" w:hAnsi="Arial" w:cs="Arial"/>
          <w:b/>
        </w:rPr>
        <w:t>Supplier Pre-Qualification Questionnaire</w:t>
      </w:r>
    </w:p>
    <w:p w14:paraId="6323E276" w14:textId="77777777" w:rsidR="00042B7B" w:rsidRPr="004A7555" w:rsidRDefault="00042B7B" w:rsidP="00042B7B">
      <w:pPr>
        <w:spacing w:line="276" w:lineRule="auto"/>
        <w:rPr>
          <w:rFonts w:ascii="Arial" w:eastAsia="Calibri" w:hAnsi="Arial" w:cs="Arial"/>
          <w:b/>
        </w:rPr>
      </w:pPr>
    </w:p>
    <w:p w14:paraId="30D33CD0" w14:textId="2B648083" w:rsidR="00115328" w:rsidRPr="004A7555" w:rsidRDefault="00115328" w:rsidP="00042B7B">
      <w:pPr>
        <w:spacing w:line="276" w:lineRule="auto"/>
        <w:rPr>
          <w:rFonts w:ascii="Arial" w:eastAsia="Calibri" w:hAnsi="Arial" w:cs="Arial"/>
          <w:b/>
        </w:rPr>
      </w:pPr>
      <w:r w:rsidRPr="004A7555">
        <w:rPr>
          <w:rFonts w:ascii="Arial" w:eastAsia="Calibri" w:hAnsi="Arial" w:cs="Arial"/>
          <w:b/>
        </w:rPr>
        <w:t xml:space="preserve">Appendix B </w:t>
      </w:r>
      <w:r w:rsidR="00F5263C">
        <w:rPr>
          <w:rFonts w:ascii="Arial" w:eastAsia="Calibri" w:hAnsi="Arial" w:cs="Arial"/>
          <w:b/>
        </w:rPr>
        <w:t xml:space="preserve">- </w:t>
      </w:r>
      <w:r w:rsidR="00062F83" w:rsidRPr="004A7555">
        <w:rPr>
          <w:rFonts w:ascii="Arial" w:eastAsia="Calibri" w:hAnsi="Arial" w:cs="Arial"/>
          <w:b/>
        </w:rPr>
        <w:t xml:space="preserve">PMINCIN Life Extension Work Package </w:t>
      </w:r>
      <w:r w:rsidR="00362613">
        <w:rPr>
          <w:rFonts w:ascii="Arial" w:eastAsia="Calibri" w:hAnsi="Arial" w:cs="Arial"/>
          <w:b/>
        </w:rPr>
        <w:t>6</w:t>
      </w:r>
      <w:r w:rsidR="00397BF0" w:rsidRPr="004A7555">
        <w:rPr>
          <w:rFonts w:ascii="Arial" w:eastAsia="Calibri" w:hAnsi="Arial" w:cs="Arial"/>
          <w:b/>
        </w:rPr>
        <w:t xml:space="preserve"> </w:t>
      </w:r>
      <w:r w:rsidRPr="004A7555">
        <w:rPr>
          <w:rFonts w:ascii="Arial" w:eastAsia="Calibri" w:hAnsi="Arial" w:cs="Arial"/>
          <w:b/>
        </w:rPr>
        <w:t xml:space="preserve">Contract Scoring Matrix </w:t>
      </w:r>
    </w:p>
    <w:p w14:paraId="0D88AA6A" w14:textId="77777777" w:rsidR="00115328" w:rsidRPr="004A7555" w:rsidRDefault="00115328" w:rsidP="00042B7B">
      <w:pPr>
        <w:spacing w:line="276" w:lineRule="auto"/>
        <w:rPr>
          <w:rFonts w:ascii="Arial" w:eastAsia="Calibri" w:hAnsi="Arial" w:cs="Arial"/>
          <w:b/>
        </w:rPr>
      </w:pPr>
    </w:p>
    <w:p w14:paraId="72B3A4CD" w14:textId="2C557881" w:rsidR="00042B7B" w:rsidRPr="004A7555" w:rsidRDefault="00115328" w:rsidP="00042B7B">
      <w:pPr>
        <w:spacing w:line="276" w:lineRule="auto"/>
        <w:rPr>
          <w:rFonts w:ascii="Arial" w:eastAsia="Calibri" w:hAnsi="Arial" w:cs="Arial"/>
          <w:b/>
        </w:rPr>
      </w:pPr>
      <w:r w:rsidRPr="004A7555">
        <w:rPr>
          <w:rFonts w:ascii="Arial" w:eastAsia="Calibri" w:hAnsi="Arial" w:cs="Arial"/>
          <w:b/>
        </w:rPr>
        <w:t>Appendix C</w:t>
      </w:r>
      <w:r w:rsidR="00C7233C" w:rsidRPr="004A7555">
        <w:rPr>
          <w:rFonts w:ascii="Arial" w:eastAsia="Calibri" w:hAnsi="Arial" w:cs="Arial"/>
          <w:b/>
        </w:rPr>
        <w:t xml:space="preserve"> - </w:t>
      </w:r>
      <w:r w:rsidRPr="004A7555">
        <w:rPr>
          <w:rFonts w:ascii="Arial" w:eastAsia="Calibri" w:hAnsi="Arial" w:cs="Arial"/>
          <w:b/>
        </w:rPr>
        <w:t>Pricing Schedule</w:t>
      </w:r>
      <w:r w:rsidR="00042B7B" w:rsidRPr="004A7555">
        <w:rPr>
          <w:rFonts w:ascii="Arial" w:eastAsia="Calibri" w:hAnsi="Arial" w:cs="Arial"/>
          <w:b/>
        </w:rPr>
        <w:br/>
      </w:r>
    </w:p>
    <w:p w14:paraId="70C647CD" w14:textId="2C808DC5" w:rsidR="00042B7B" w:rsidRPr="004A7555" w:rsidRDefault="00042B7B" w:rsidP="00042B7B">
      <w:pPr>
        <w:spacing w:line="276" w:lineRule="auto"/>
        <w:rPr>
          <w:rFonts w:ascii="Arial" w:eastAsia="Calibri" w:hAnsi="Arial" w:cs="Arial"/>
          <w:b/>
        </w:rPr>
      </w:pPr>
      <w:bookmarkStart w:id="40" w:name="_Hlk131060647"/>
      <w:r w:rsidRPr="004A7555">
        <w:rPr>
          <w:rFonts w:ascii="Arial" w:eastAsia="Calibri" w:hAnsi="Arial" w:cs="Arial"/>
          <w:b/>
        </w:rPr>
        <w:t xml:space="preserve">Appendix </w:t>
      </w:r>
      <w:r w:rsidR="00115328" w:rsidRPr="004A7555">
        <w:rPr>
          <w:rFonts w:ascii="Arial" w:eastAsia="Calibri" w:hAnsi="Arial" w:cs="Arial"/>
          <w:b/>
        </w:rPr>
        <w:t>D</w:t>
      </w:r>
      <w:r w:rsidR="00C7233C" w:rsidRPr="004A7555">
        <w:rPr>
          <w:rFonts w:ascii="Arial" w:eastAsia="Calibri" w:hAnsi="Arial" w:cs="Arial"/>
          <w:b/>
        </w:rPr>
        <w:t xml:space="preserve"> </w:t>
      </w:r>
      <w:r w:rsidRPr="004A7555">
        <w:rPr>
          <w:rFonts w:ascii="Arial" w:eastAsia="Calibri" w:hAnsi="Arial" w:cs="Arial"/>
          <w:b/>
        </w:rPr>
        <w:t xml:space="preserve">- </w:t>
      </w:r>
      <w:r w:rsidR="00E3798B" w:rsidRPr="004A7555">
        <w:rPr>
          <w:rFonts w:ascii="Arial" w:eastAsia="Calibri" w:hAnsi="Arial" w:cs="Arial"/>
          <w:b/>
        </w:rPr>
        <w:t>NEC4</w:t>
      </w:r>
      <w:r w:rsidR="00CA2649" w:rsidRPr="004A7555">
        <w:rPr>
          <w:rFonts w:ascii="Arial" w:eastAsia="Calibri" w:hAnsi="Arial" w:cs="Arial"/>
          <w:b/>
        </w:rPr>
        <w:t xml:space="preserve"> </w:t>
      </w:r>
    </w:p>
    <w:bookmarkEnd w:id="40"/>
    <w:p w14:paraId="01BD8314" w14:textId="77777777" w:rsidR="00042B7B" w:rsidRPr="004A7555" w:rsidRDefault="00042B7B" w:rsidP="00042B7B">
      <w:pPr>
        <w:spacing w:line="276" w:lineRule="auto"/>
        <w:rPr>
          <w:rFonts w:ascii="Arial" w:eastAsia="Calibri" w:hAnsi="Arial" w:cs="Arial"/>
          <w:b/>
        </w:rPr>
      </w:pPr>
    </w:p>
    <w:p w14:paraId="23413FD8" w14:textId="0BF9439F" w:rsidR="00AF20F2" w:rsidRDefault="00443BA6" w:rsidP="00AF20F2">
      <w:pPr>
        <w:spacing w:line="276" w:lineRule="auto"/>
        <w:rPr>
          <w:rFonts w:ascii="Arial" w:eastAsia="Calibri" w:hAnsi="Arial" w:cs="Arial"/>
          <w:b/>
        </w:rPr>
      </w:pPr>
      <w:r w:rsidRPr="004A7555">
        <w:rPr>
          <w:rFonts w:ascii="Arial" w:eastAsia="Calibri" w:hAnsi="Arial" w:cs="Arial"/>
          <w:b/>
        </w:rPr>
        <w:t xml:space="preserve">Appendix E </w:t>
      </w:r>
      <w:r w:rsidR="00F5263C">
        <w:rPr>
          <w:rFonts w:ascii="Arial" w:eastAsia="Calibri" w:hAnsi="Arial" w:cs="Arial"/>
          <w:b/>
        </w:rPr>
        <w:t>-</w:t>
      </w:r>
      <w:r w:rsidRPr="004A7555">
        <w:rPr>
          <w:rFonts w:ascii="Arial" w:eastAsia="Calibri" w:hAnsi="Arial" w:cs="Arial"/>
          <w:b/>
        </w:rPr>
        <w:t xml:space="preserve"> </w:t>
      </w:r>
      <w:r w:rsidR="00AF20F2" w:rsidRPr="00AF20F2">
        <w:rPr>
          <w:rFonts w:ascii="Arial" w:eastAsia="Calibri" w:hAnsi="Arial" w:cs="Arial"/>
          <w:b/>
        </w:rPr>
        <w:t>WP</w:t>
      </w:r>
      <w:r w:rsidR="00362613">
        <w:rPr>
          <w:rFonts w:ascii="Arial" w:eastAsia="Calibri" w:hAnsi="Arial" w:cs="Arial"/>
          <w:b/>
        </w:rPr>
        <w:t>6 Diesel Tank</w:t>
      </w:r>
      <w:r w:rsidR="00AF20F2" w:rsidRPr="00AF20F2">
        <w:rPr>
          <w:rFonts w:ascii="Arial" w:eastAsia="Calibri" w:hAnsi="Arial" w:cs="Arial"/>
          <w:b/>
        </w:rPr>
        <w:t xml:space="preserve"> Replacement Specification</w:t>
      </w:r>
    </w:p>
    <w:p w14:paraId="0279B5BC" w14:textId="00173E65"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1</w:t>
      </w:r>
      <w:r w:rsidRPr="0050743C">
        <w:rPr>
          <w:rFonts w:ascii="Arial" w:eastAsia="Times New Roman" w:hAnsi="Arial" w:cs="Arial"/>
          <w:b/>
        </w:rPr>
        <w:t xml:space="preserve"> </w:t>
      </w:r>
      <w:r w:rsidR="00856716">
        <w:rPr>
          <w:rFonts w:ascii="Arial" w:eastAsia="Times New Roman" w:hAnsi="Arial" w:cs="Arial"/>
          <w:b/>
        </w:rPr>
        <w:t>-</w:t>
      </w:r>
      <w:r w:rsidRPr="0050743C">
        <w:rPr>
          <w:rFonts w:ascii="Arial" w:eastAsia="Times New Roman" w:hAnsi="Arial" w:cs="Arial"/>
          <w:b/>
        </w:rPr>
        <w:t xml:space="preserve"> Site Documents</w:t>
      </w:r>
    </w:p>
    <w:p w14:paraId="123DAAD1" w14:textId="132D6CF8"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2</w:t>
      </w:r>
      <w:r w:rsidRPr="0050743C">
        <w:rPr>
          <w:rFonts w:ascii="Arial" w:eastAsia="Times New Roman" w:hAnsi="Arial" w:cs="Arial"/>
          <w:b/>
        </w:rPr>
        <w:t xml:space="preserve"> </w:t>
      </w:r>
      <w:r w:rsidR="00856716">
        <w:rPr>
          <w:rFonts w:ascii="Arial" w:eastAsia="Times New Roman" w:hAnsi="Arial" w:cs="Arial"/>
          <w:b/>
        </w:rPr>
        <w:t>-</w:t>
      </w:r>
      <w:r w:rsidRPr="0050743C">
        <w:rPr>
          <w:rFonts w:ascii="Arial" w:eastAsia="Times New Roman" w:hAnsi="Arial" w:cs="Arial"/>
          <w:b/>
        </w:rPr>
        <w:t xml:space="preserve"> </w:t>
      </w:r>
      <w:r w:rsidR="00362613">
        <w:rPr>
          <w:rFonts w:ascii="Arial" w:eastAsia="Times New Roman" w:hAnsi="Arial" w:cs="Arial"/>
          <w:b/>
        </w:rPr>
        <w:t>Fuel Sample Report</w:t>
      </w:r>
    </w:p>
    <w:p w14:paraId="62CECC46" w14:textId="10D02486" w:rsid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3</w:t>
      </w:r>
      <w:r w:rsidRPr="0050743C">
        <w:rPr>
          <w:rFonts w:ascii="Arial" w:eastAsia="Times New Roman" w:hAnsi="Arial" w:cs="Arial"/>
          <w:b/>
        </w:rPr>
        <w:t xml:space="preserve"> </w:t>
      </w:r>
      <w:r w:rsidR="00856716">
        <w:rPr>
          <w:rFonts w:ascii="Arial" w:eastAsia="Times New Roman" w:hAnsi="Arial" w:cs="Arial"/>
          <w:b/>
        </w:rPr>
        <w:t>-</w:t>
      </w:r>
      <w:r w:rsidRPr="0050743C">
        <w:rPr>
          <w:rFonts w:ascii="Arial" w:eastAsia="Times New Roman" w:hAnsi="Arial" w:cs="Arial"/>
          <w:b/>
        </w:rPr>
        <w:t xml:space="preserve"> </w:t>
      </w:r>
      <w:r w:rsidR="00362613">
        <w:rPr>
          <w:rFonts w:ascii="Arial" w:eastAsia="Times New Roman" w:hAnsi="Arial" w:cs="Arial"/>
          <w:b/>
        </w:rPr>
        <w:t>Existing Diesel Fuel System Schematic</w:t>
      </w:r>
    </w:p>
    <w:p w14:paraId="3C286FA1" w14:textId="0E8BF21E" w:rsidR="00F05F83" w:rsidRPr="00C94073" w:rsidRDefault="00362613" w:rsidP="00F276B1">
      <w:pPr>
        <w:pStyle w:val="ListParagraph"/>
        <w:numPr>
          <w:ilvl w:val="0"/>
          <w:numId w:val="35"/>
        </w:numPr>
        <w:spacing w:line="276" w:lineRule="auto"/>
        <w:rPr>
          <w:rFonts w:ascii="Arial" w:eastAsia="Calibri" w:hAnsi="Arial" w:cs="Arial"/>
          <w:b/>
        </w:rPr>
      </w:pPr>
      <w:r w:rsidRPr="00C94073">
        <w:rPr>
          <w:rFonts w:ascii="Arial" w:eastAsia="Times New Roman" w:hAnsi="Arial" w:cs="Arial"/>
          <w:b/>
        </w:rPr>
        <w:t xml:space="preserve">Appendix E4 </w:t>
      </w:r>
      <w:r w:rsidR="00856716">
        <w:rPr>
          <w:rFonts w:ascii="Arial" w:eastAsia="Times New Roman" w:hAnsi="Arial" w:cs="Arial"/>
          <w:b/>
        </w:rPr>
        <w:t>-</w:t>
      </w:r>
      <w:r w:rsidRPr="00C94073">
        <w:rPr>
          <w:rFonts w:ascii="Arial" w:eastAsia="Times New Roman" w:hAnsi="Arial" w:cs="Arial"/>
          <w:b/>
        </w:rPr>
        <w:t xml:space="preserve"> </w:t>
      </w:r>
      <w:r w:rsidR="00C94073" w:rsidRPr="00C94073">
        <w:rPr>
          <w:rFonts w:ascii="Arial" w:eastAsia="Times New Roman" w:hAnsi="Arial" w:cs="Arial"/>
          <w:b/>
        </w:rPr>
        <w:t>Diesel Tank System Location Map</w:t>
      </w:r>
    </w:p>
    <w:p w14:paraId="7D32CE32" w14:textId="77777777" w:rsidR="00C94073" w:rsidRPr="00C94073" w:rsidRDefault="00C94073" w:rsidP="00C94073">
      <w:pPr>
        <w:pStyle w:val="ListParagraph"/>
        <w:spacing w:line="276" w:lineRule="auto"/>
        <w:rPr>
          <w:rFonts w:ascii="Arial" w:eastAsia="Calibri" w:hAnsi="Arial" w:cs="Arial"/>
          <w:b/>
        </w:rPr>
      </w:pPr>
    </w:p>
    <w:p w14:paraId="653AF540" w14:textId="199EE4CF" w:rsidR="00042B7B" w:rsidRPr="004A7555" w:rsidRDefault="00042B7B" w:rsidP="00042B7B">
      <w:pPr>
        <w:spacing w:line="276" w:lineRule="auto"/>
        <w:rPr>
          <w:rFonts w:ascii="Arial" w:eastAsia="Calibri" w:hAnsi="Arial" w:cs="Arial"/>
          <w:b/>
        </w:rPr>
      </w:pPr>
      <w:r w:rsidRPr="004A7555">
        <w:rPr>
          <w:rFonts w:ascii="Arial" w:eastAsia="Calibri" w:hAnsi="Arial" w:cs="Arial"/>
          <w:b/>
        </w:rPr>
        <w:t>Appendix</w:t>
      </w:r>
      <w:r w:rsidR="00115328" w:rsidRPr="004A7555">
        <w:rPr>
          <w:rFonts w:ascii="Arial" w:eastAsia="Calibri" w:hAnsi="Arial" w:cs="Arial"/>
          <w:b/>
        </w:rPr>
        <w:t xml:space="preserve"> F</w:t>
      </w:r>
      <w:r w:rsidR="00856716">
        <w:rPr>
          <w:rFonts w:ascii="Arial" w:eastAsia="Calibri" w:hAnsi="Arial" w:cs="Arial"/>
          <w:b/>
        </w:rPr>
        <w:t xml:space="preserve"> </w:t>
      </w:r>
      <w:r w:rsidRPr="004A7555">
        <w:rPr>
          <w:rFonts w:ascii="Arial" w:eastAsia="Calibri" w:hAnsi="Arial" w:cs="Arial"/>
          <w:b/>
        </w:rPr>
        <w:t>- Form of Offer</w:t>
      </w:r>
    </w:p>
    <w:p w14:paraId="066967F2" w14:textId="77777777" w:rsidR="00EC54AD" w:rsidRPr="004A7555" w:rsidRDefault="00EC54AD" w:rsidP="00042B7B">
      <w:pPr>
        <w:spacing w:line="276" w:lineRule="auto"/>
        <w:rPr>
          <w:rFonts w:ascii="Arial" w:eastAsia="Calibri" w:hAnsi="Arial" w:cs="Arial"/>
          <w:b/>
        </w:rPr>
      </w:pPr>
    </w:p>
    <w:p w14:paraId="74145FB8" w14:textId="58289F7C" w:rsidR="00EC54AD" w:rsidRPr="004A7555" w:rsidRDefault="00EC54AD" w:rsidP="00042B7B">
      <w:pPr>
        <w:spacing w:line="276" w:lineRule="auto"/>
        <w:rPr>
          <w:rFonts w:ascii="Arial" w:eastAsia="Calibri" w:hAnsi="Arial" w:cs="Arial"/>
          <w:b/>
        </w:rPr>
      </w:pPr>
      <w:r w:rsidRPr="004A7555">
        <w:rPr>
          <w:rFonts w:ascii="Arial" w:eastAsia="Calibri" w:hAnsi="Arial" w:cs="Arial"/>
          <w:b/>
        </w:rPr>
        <w:t>Appendix G - The Pirbright Institute's use of animals in research</w:t>
      </w:r>
    </w:p>
    <w:p w14:paraId="476E9C2C" w14:textId="77777777" w:rsidR="00E549B4" w:rsidRPr="004A7555" w:rsidRDefault="00E549B4" w:rsidP="00042B7B">
      <w:pPr>
        <w:spacing w:line="276" w:lineRule="auto"/>
        <w:rPr>
          <w:rFonts w:ascii="Arial" w:eastAsia="Calibri" w:hAnsi="Arial" w:cs="Arial"/>
          <w:b/>
        </w:rPr>
      </w:pPr>
    </w:p>
    <w:p w14:paraId="6CA57227" w14:textId="471B24A2" w:rsidR="000F0BB6" w:rsidRPr="0004029A" w:rsidRDefault="00E549B4" w:rsidP="00187C2A">
      <w:pPr>
        <w:spacing w:line="276" w:lineRule="auto"/>
        <w:rPr>
          <w:rFonts w:cstheme="minorHAnsi"/>
          <w:b/>
          <w:lang w:val="en-US"/>
        </w:rPr>
      </w:pPr>
      <w:r w:rsidRPr="0050743C">
        <w:rPr>
          <w:rFonts w:ascii="Arial" w:eastAsia="Calibri" w:hAnsi="Arial" w:cs="Arial"/>
          <w:b/>
        </w:rPr>
        <w:t xml:space="preserve">Appendix H </w:t>
      </w:r>
      <w:r w:rsidR="00F5263C">
        <w:rPr>
          <w:rFonts w:ascii="Arial" w:eastAsia="Calibri" w:hAnsi="Arial" w:cs="Arial"/>
          <w:b/>
        </w:rPr>
        <w:t>-</w:t>
      </w:r>
      <w:r w:rsidRPr="0050743C">
        <w:rPr>
          <w:rFonts w:ascii="Arial" w:eastAsia="Calibri" w:hAnsi="Arial" w:cs="Arial"/>
          <w:b/>
        </w:rPr>
        <w:t xml:space="preserve"> Confidentiality</w:t>
      </w:r>
      <w:r w:rsidR="00A1335D">
        <w:rPr>
          <w:rFonts w:ascii="Arial" w:eastAsia="Calibri" w:hAnsi="Arial" w:cs="Arial"/>
          <w:b/>
        </w:rPr>
        <w:t xml:space="preserve"> Agreement</w:t>
      </w:r>
      <w:r w:rsidRPr="0050743C">
        <w:rPr>
          <w:rFonts w:ascii="Arial" w:eastAsia="Calibri" w:hAnsi="Arial" w:cs="Arial"/>
          <w:b/>
        </w:rPr>
        <w:t xml:space="preserve">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C80E6" w14:textId="77777777" w:rsidR="008E0F46" w:rsidRDefault="008E0F46" w:rsidP="0086379E">
      <w:pPr>
        <w:spacing w:line="240" w:lineRule="auto"/>
      </w:pPr>
      <w:r>
        <w:separator/>
      </w:r>
    </w:p>
  </w:endnote>
  <w:endnote w:type="continuationSeparator" w:id="0">
    <w:p w14:paraId="0C76C025" w14:textId="77777777" w:rsidR="008E0F46" w:rsidRDefault="008E0F46"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1E6DC" w14:textId="77777777" w:rsidR="008E0F46" w:rsidRDefault="008E0F46" w:rsidP="0086379E">
      <w:pPr>
        <w:spacing w:line="240" w:lineRule="auto"/>
      </w:pPr>
      <w:r>
        <w:separator/>
      </w:r>
    </w:p>
  </w:footnote>
  <w:footnote w:type="continuationSeparator" w:id="0">
    <w:p w14:paraId="253D0181" w14:textId="77777777" w:rsidR="008E0F46" w:rsidRDefault="008E0F46"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4"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6"/>
  </w:num>
  <w:num w:numId="2" w16cid:durableId="95639917">
    <w:abstractNumId w:val="7"/>
  </w:num>
  <w:num w:numId="3" w16cid:durableId="1568032341">
    <w:abstractNumId w:val="16"/>
  </w:num>
  <w:num w:numId="4" w16cid:durableId="153762825">
    <w:abstractNumId w:val="14"/>
  </w:num>
  <w:num w:numId="5" w16cid:durableId="2059740467">
    <w:abstractNumId w:val="17"/>
  </w:num>
  <w:num w:numId="6" w16cid:durableId="669984624">
    <w:abstractNumId w:val="0"/>
  </w:num>
  <w:num w:numId="7" w16cid:durableId="1547528851">
    <w:abstractNumId w:val="28"/>
  </w:num>
  <w:num w:numId="8" w16cid:durableId="778724674">
    <w:abstractNumId w:val="25"/>
  </w:num>
  <w:num w:numId="9" w16cid:durableId="168982234">
    <w:abstractNumId w:val="4"/>
  </w:num>
  <w:num w:numId="10" w16cid:durableId="1911574027">
    <w:abstractNumId w:val="2"/>
  </w:num>
  <w:num w:numId="11" w16cid:durableId="405037962">
    <w:abstractNumId w:val="8"/>
  </w:num>
  <w:num w:numId="12" w16cid:durableId="438530390">
    <w:abstractNumId w:val="27"/>
  </w:num>
  <w:num w:numId="13" w16cid:durableId="790126510">
    <w:abstractNumId w:val="29"/>
  </w:num>
  <w:num w:numId="14" w16cid:durableId="850336442">
    <w:abstractNumId w:val="31"/>
  </w:num>
  <w:num w:numId="15" w16cid:durableId="1831602363">
    <w:abstractNumId w:val="19"/>
  </w:num>
  <w:num w:numId="16" w16cid:durableId="42409551">
    <w:abstractNumId w:val="1"/>
  </w:num>
  <w:num w:numId="17" w16cid:durableId="1279020621">
    <w:abstractNumId w:val="11"/>
  </w:num>
  <w:num w:numId="18" w16cid:durableId="712660496">
    <w:abstractNumId w:val="30"/>
  </w:num>
  <w:num w:numId="19" w16cid:durableId="1991402037">
    <w:abstractNumId w:val="24"/>
  </w:num>
  <w:num w:numId="20" w16cid:durableId="388000995">
    <w:abstractNumId w:val="5"/>
  </w:num>
  <w:num w:numId="21" w16cid:durableId="1180924082">
    <w:abstractNumId w:val="23"/>
  </w:num>
  <w:num w:numId="22" w16cid:durableId="904874113">
    <w:abstractNumId w:val="20"/>
  </w:num>
  <w:num w:numId="23" w16cid:durableId="1630895184">
    <w:abstractNumId w:val="13"/>
  </w:num>
  <w:num w:numId="24" w16cid:durableId="461308861">
    <w:abstractNumId w:val="0"/>
  </w:num>
  <w:num w:numId="25" w16cid:durableId="1920676267">
    <w:abstractNumId w:val="0"/>
  </w:num>
  <w:num w:numId="26" w16cid:durableId="166599548">
    <w:abstractNumId w:val="0"/>
  </w:num>
  <w:num w:numId="27" w16cid:durableId="942690587">
    <w:abstractNumId w:val="15"/>
  </w:num>
  <w:num w:numId="28" w16cid:durableId="75322393">
    <w:abstractNumId w:val="9"/>
  </w:num>
  <w:num w:numId="29" w16cid:durableId="1875846713">
    <w:abstractNumId w:val="10"/>
  </w:num>
  <w:num w:numId="30" w16cid:durableId="1336613941">
    <w:abstractNumId w:val="18"/>
  </w:num>
  <w:num w:numId="31" w16cid:durableId="992566772">
    <w:abstractNumId w:val="12"/>
  </w:num>
  <w:num w:numId="32" w16cid:durableId="1078943870">
    <w:abstractNumId w:val="6"/>
  </w:num>
  <w:num w:numId="33" w16cid:durableId="1202283754">
    <w:abstractNumId w:val="3"/>
  </w:num>
  <w:num w:numId="34" w16cid:durableId="1532301638">
    <w:abstractNumId w:val="21"/>
  </w:num>
  <w:num w:numId="35" w16cid:durableId="1438478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CBA"/>
    <w:rsid w:val="00062F83"/>
    <w:rsid w:val="000852F9"/>
    <w:rsid w:val="000875B5"/>
    <w:rsid w:val="0009124B"/>
    <w:rsid w:val="000A500A"/>
    <w:rsid w:val="000D4487"/>
    <w:rsid w:val="000F0883"/>
    <w:rsid w:val="000F0BB6"/>
    <w:rsid w:val="000F1F16"/>
    <w:rsid w:val="000F68C3"/>
    <w:rsid w:val="000F7A70"/>
    <w:rsid w:val="001051FA"/>
    <w:rsid w:val="00115328"/>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B75F7"/>
    <w:rsid w:val="001C271F"/>
    <w:rsid w:val="001C2CE2"/>
    <w:rsid w:val="001E201E"/>
    <w:rsid w:val="001F16B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2116"/>
    <w:rsid w:val="002C44AD"/>
    <w:rsid w:val="002C668E"/>
    <w:rsid w:val="002C7593"/>
    <w:rsid w:val="002D5B73"/>
    <w:rsid w:val="002E17AB"/>
    <w:rsid w:val="002E793D"/>
    <w:rsid w:val="002F2C6C"/>
    <w:rsid w:val="002F3961"/>
    <w:rsid w:val="002F59F1"/>
    <w:rsid w:val="00300A85"/>
    <w:rsid w:val="00301C9F"/>
    <w:rsid w:val="00303287"/>
    <w:rsid w:val="0031253D"/>
    <w:rsid w:val="00312FE6"/>
    <w:rsid w:val="00327326"/>
    <w:rsid w:val="00337FC5"/>
    <w:rsid w:val="00342AA2"/>
    <w:rsid w:val="0034303D"/>
    <w:rsid w:val="003551AC"/>
    <w:rsid w:val="00362613"/>
    <w:rsid w:val="00363492"/>
    <w:rsid w:val="003661A4"/>
    <w:rsid w:val="00367722"/>
    <w:rsid w:val="00381DDD"/>
    <w:rsid w:val="003821C5"/>
    <w:rsid w:val="003972E9"/>
    <w:rsid w:val="00397BF0"/>
    <w:rsid w:val="003C0450"/>
    <w:rsid w:val="003C10C9"/>
    <w:rsid w:val="003E006C"/>
    <w:rsid w:val="003E43B1"/>
    <w:rsid w:val="003E6F28"/>
    <w:rsid w:val="003F465C"/>
    <w:rsid w:val="00402954"/>
    <w:rsid w:val="00403CC4"/>
    <w:rsid w:val="004238CA"/>
    <w:rsid w:val="00431282"/>
    <w:rsid w:val="00433FAC"/>
    <w:rsid w:val="00443BA6"/>
    <w:rsid w:val="00447DA9"/>
    <w:rsid w:val="00450D8C"/>
    <w:rsid w:val="00457FDF"/>
    <w:rsid w:val="004775DE"/>
    <w:rsid w:val="004821A6"/>
    <w:rsid w:val="004821DB"/>
    <w:rsid w:val="00482E35"/>
    <w:rsid w:val="00493066"/>
    <w:rsid w:val="004A46F5"/>
    <w:rsid w:val="004A7555"/>
    <w:rsid w:val="004B1D45"/>
    <w:rsid w:val="004B46DB"/>
    <w:rsid w:val="004B471B"/>
    <w:rsid w:val="004C01C1"/>
    <w:rsid w:val="004C7F5D"/>
    <w:rsid w:val="004D0A42"/>
    <w:rsid w:val="004D1946"/>
    <w:rsid w:val="004D5A69"/>
    <w:rsid w:val="004D64A7"/>
    <w:rsid w:val="004E4063"/>
    <w:rsid w:val="004F125B"/>
    <w:rsid w:val="004F28A4"/>
    <w:rsid w:val="00502C75"/>
    <w:rsid w:val="00503E2D"/>
    <w:rsid w:val="00504320"/>
    <w:rsid w:val="0050743C"/>
    <w:rsid w:val="00507D4D"/>
    <w:rsid w:val="0051156A"/>
    <w:rsid w:val="005133CD"/>
    <w:rsid w:val="00524333"/>
    <w:rsid w:val="00535766"/>
    <w:rsid w:val="00535EFC"/>
    <w:rsid w:val="005378DD"/>
    <w:rsid w:val="00537AF5"/>
    <w:rsid w:val="00543D48"/>
    <w:rsid w:val="00547E8D"/>
    <w:rsid w:val="005519BA"/>
    <w:rsid w:val="005524D6"/>
    <w:rsid w:val="005526A0"/>
    <w:rsid w:val="00552793"/>
    <w:rsid w:val="00562C37"/>
    <w:rsid w:val="00571622"/>
    <w:rsid w:val="00572D92"/>
    <w:rsid w:val="00587484"/>
    <w:rsid w:val="005921CA"/>
    <w:rsid w:val="005B1542"/>
    <w:rsid w:val="005B3D61"/>
    <w:rsid w:val="005B42E1"/>
    <w:rsid w:val="005B7C37"/>
    <w:rsid w:val="005C53F7"/>
    <w:rsid w:val="005D0CB2"/>
    <w:rsid w:val="005D5384"/>
    <w:rsid w:val="005E1E82"/>
    <w:rsid w:val="005E3D6C"/>
    <w:rsid w:val="005E5BEA"/>
    <w:rsid w:val="00611938"/>
    <w:rsid w:val="0061595D"/>
    <w:rsid w:val="006237F1"/>
    <w:rsid w:val="006239CF"/>
    <w:rsid w:val="00624167"/>
    <w:rsid w:val="00632BB7"/>
    <w:rsid w:val="00637176"/>
    <w:rsid w:val="0064037C"/>
    <w:rsid w:val="00650DC0"/>
    <w:rsid w:val="0065745C"/>
    <w:rsid w:val="00661D4B"/>
    <w:rsid w:val="00677167"/>
    <w:rsid w:val="00692C85"/>
    <w:rsid w:val="006932F0"/>
    <w:rsid w:val="006A222B"/>
    <w:rsid w:val="006A6FC8"/>
    <w:rsid w:val="006C1F7B"/>
    <w:rsid w:val="006C53C4"/>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56716"/>
    <w:rsid w:val="00860F94"/>
    <w:rsid w:val="0086379E"/>
    <w:rsid w:val="008668B7"/>
    <w:rsid w:val="008743C4"/>
    <w:rsid w:val="0087517B"/>
    <w:rsid w:val="0088045C"/>
    <w:rsid w:val="0088235D"/>
    <w:rsid w:val="008825A7"/>
    <w:rsid w:val="0089768C"/>
    <w:rsid w:val="008B5A62"/>
    <w:rsid w:val="008C2649"/>
    <w:rsid w:val="008C38B3"/>
    <w:rsid w:val="008C436D"/>
    <w:rsid w:val="008D4D8C"/>
    <w:rsid w:val="008E0F46"/>
    <w:rsid w:val="008E2648"/>
    <w:rsid w:val="0091119D"/>
    <w:rsid w:val="00950660"/>
    <w:rsid w:val="00960ACE"/>
    <w:rsid w:val="00966B65"/>
    <w:rsid w:val="00985B97"/>
    <w:rsid w:val="00986D2E"/>
    <w:rsid w:val="009940BD"/>
    <w:rsid w:val="009A7182"/>
    <w:rsid w:val="009A778A"/>
    <w:rsid w:val="009B62E3"/>
    <w:rsid w:val="009B7090"/>
    <w:rsid w:val="009B7CB2"/>
    <w:rsid w:val="009C084A"/>
    <w:rsid w:val="009F2579"/>
    <w:rsid w:val="009F28F7"/>
    <w:rsid w:val="009F4962"/>
    <w:rsid w:val="00A004F5"/>
    <w:rsid w:val="00A1335D"/>
    <w:rsid w:val="00A20BA6"/>
    <w:rsid w:val="00A228C8"/>
    <w:rsid w:val="00A24A55"/>
    <w:rsid w:val="00A24DF0"/>
    <w:rsid w:val="00A34574"/>
    <w:rsid w:val="00A42419"/>
    <w:rsid w:val="00A60BC0"/>
    <w:rsid w:val="00A67062"/>
    <w:rsid w:val="00A85BC0"/>
    <w:rsid w:val="00AA4DAD"/>
    <w:rsid w:val="00AC70A8"/>
    <w:rsid w:val="00AD7354"/>
    <w:rsid w:val="00AF20F2"/>
    <w:rsid w:val="00B02786"/>
    <w:rsid w:val="00B2431E"/>
    <w:rsid w:val="00B25BAD"/>
    <w:rsid w:val="00B70E3D"/>
    <w:rsid w:val="00B922E8"/>
    <w:rsid w:val="00B94E98"/>
    <w:rsid w:val="00B96379"/>
    <w:rsid w:val="00BA6A3C"/>
    <w:rsid w:val="00BB1BDB"/>
    <w:rsid w:val="00BB21D1"/>
    <w:rsid w:val="00BB4041"/>
    <w:rsid w:val="00BF32AA"/>
    <w:rsid w:val="00BF3DBF"/>
    <w:rsid w:val="00BF4ED3"/>
    <w:rsid w:val="00C014E8"/>
    <w:rsid w:val="00C02355"/>
    <w:rsid w:val="00C15F09"/>
    <w:rsid w:val="00C16336"/>
    <w:rsid w:val="00C36C60"/>
    <w:rsid w:val="00C468DC"/>
    <w:rsid w:val="00C51789"/>
    <w:rsid w:val="00C55022"/>
    <w:rsid w:val="00C64DD9"/>
    <w:rsid w:val="00C7233C"/>
    <w:rsid w:val="00C727A6"/>
    <w:rsid w:val="00C72C6A"/>
    <w:rsid w:val="00C865C0"/>
    <w:rsid w:val="00C907EF"/>
    <w:rsid w:val="00C94073"/>
    <w:rsid w:val="00CA17D6"/>
    <w:rsid w:val="00CA2649"/>
    <w:rsid w:val="00CA7B94"/>
    <w:rsid w:val="00CB2D79"/>
    <w:rsid w:val="00CB461D"/>
    <w:rsid w:val="00CD28CE"/>
    <w:rsid w:val="00CD72EA"/>
    <w:rsid w:val="00CE4411"/>
    <w:rsid w:val="00CE5EEB"/>
    <w:rsid w:val="00CE6DE7"/>
    <w:rsid w:val="00CF1A3F"/>
    <w:rsid w:val="00CF262D"/>
    <w:rsid w:val="00CF4194"/>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2067"/>
    <w:rsid w:val="00DB5F38"/>
    <w:rsid w:val="00DD2910"/>
    <w:rsid w:val="00DD36EC"/>
    <w:rsid w:val="00DD657F"/>
    <w:rsid w:val="00DD6CDD"/>
    <w:rsid w:val="00DE496B"/>
    <w:rsid w:val="00DF40D3"/>
    <w:rsid w:val="00DF5F6E"/>
    <w:rsid w:val="00E01A66"/>
    <w:rsid w:val="00E21499"/>
    <w:rsid w:val="00E22C0B"/>
    <w:rsid w:val="00E26AC5"/>
    <w:rsid w:val="00E36B0B"/>
    <w:rsid w:val="00E3798B"/>
    <w:rsid w:val="00E432B6"/>
    <w:rsid w:val="00E47AAB"/>
    <w:rsid w:val="00E53844"/>
    <w:rsid w:val="00E549B4"/>
    <w:rsid w:val="00E55444"/>
    <w:rsid w:val="00E625B2"/>
    <w:rsid w:val="00E62715"/>
    <w:rsid w:val="00E662B1"/>
    <w:rsid w:val="00E719AA"/>
    <w:rsid w:val="00E75850"/>
    <w:rsid w:val="00E84756"/>
    <w:rsid w:val="00E9368C"/>
    <w:rsid w:val="00E962FB"/>
    <w:rsid w:val="00EA05D9"/>
    <w:rsid w:val="00EB6A60"/>
    <w:rsid w:val="00EC3F16"/>
    <w:rsid w:val="00EC46BD"/>
    <w:rsid w:val="00EC54AD"/>
    <w:rsid w:val="00EC79BC"/>
    <w:rsid w:val="00ED3111"/>
    <w:rsid w:val="00ED3A84"/>
    <w:rsid w:val="00EE6FEA"/>
    <w:rsid w:val="00EF3403"/>
    <w:rsid w:val="00F02F35"/>
    <w:rsid w:val="00F05F83"/>
    <w:rsid w:val="00F07F20"/>
    <w:rsid w:val="00F10B54"/>
    <w:rsid w:val="00F13E9E"/>
    <w:rsid w:val="00F17F01"/>
    <w:rsid w:val="00F24525"/>
    <w:rsid w:val="00F36DA4"/>
    <w:rsid w:val="00F5263C"/>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1519"/>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10</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40</cp:revision>
  <cp:lastPrinted>2023-07-03T09:51:00Z</cp:lastPrinted>
  <dcterms:created xsi:type="dcterms:W3CDTF">2024-01-03T13:26:00Z</dcterms:created>
  <dcterms:modified xsi:type="dcterms:W3CDTF">2024-09-24T15:19:00Z</dcterms:modified>
</cp:coreProperties>
</file>