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mallCaps w:val="1"/>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sectPr>
      </w:pPr>
      <w:bookmarkStart w:colFirst="0" w:colLast="0" w:name="_heading=h.30j0zll" w:id="0"/>
      <w:bookmarkEnd w:id="0"/>
      <w:r w:rsidDel="00000000" w:rsidR="00000000" w:rsidRPr="00000000">
        <w:rPr>
          <w:rFonts w:ascii="Arial" w:cs="Arial" w:eastAsia="Arial" w:hAnsi="Arial"/>
          <w:b w:val="1"/>
          <w:smallCaps w:val="1"/>
          <w:sz w:val="24"/>
          <w:szCs w:val="24"/>
        </w:rPr>
        <mc:AlternateContent>
          <mc:Choice Requires="wpg">
            <w:drawing>
              <wp:anchor allowOverlap="1" behindDoc="0" distB="0" distT="0" distL="114300" distR="114300" hidden="0" layoutInCell="1" locked="0" relativeHeight="0" simplePos="0">
                <wp:simplePos x="0" y="0"/>
                <wp:positionH relativeFrom="page">
                  <wp:posOffset>914400</wp:posOffset>
                </wp:positionH>
                <wp:positionV relativeFrom="margin">
                  <wp:posOffset>2695575</wp:posOffset>
                </wp:positionV>
                <wp:extent cx="6286500" cy="7549498"/>
                <wp:effectExtent b="0" l="0" r="0" t="0"/>
                <wp:wrapNone/>
                <wp:docPr id="13" name=""/>
                <a:graphic>
                  <a:graphicData uri="http://schemas.microsoft.com/office/word/2010/wordprocessingGroup">
                    <wpg:wgp>
                      <wpg:cNvGrpSpPr/>
                      <wpg:grpSpPr>
                        <a:xfrm>
                          <a:off x="2202750" y="5251"/>
                          <a:ext cx="6286500" cy="7549498"/>
                          <a:chOff x="2202750" y="5251"/>
                          <a:chExt cx="6286500" cy="7549498"/>
                        </a:xfrm>
                      </wpg:grpSpPr>
                      <wpg:grpSp>
                        <wpg:cNvGrpSpPr/>
                        <wpg:grpSpPr>
                          <a:xfrm>
                            <a:off x="2202750" y="5251"/>
                            <a:ext cx="6286500" cy="7549498"/>
                            <a:chOff x="2202750" y="5251"/>
                            <a:chExt cx="6286500" cy="7549498"/>
                          </a:xfrm>
                        </wpg:grpSpPr>
                        <wps:wsp>
                          <wps:cNvSpPr/>
                          <wps:cNvPr id="3" name="Shape 3"/>
                          <wps:spPr>
                            <a:xfrm>
                              <a:off x="2202750" y="5251"/>
                              <a:ext cx="6286500" cy="7549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5251"/>
                              <a:ext cx="6286500" cy="7549498"/>
                              <a:chOff x="2202750" y="0"/>
                              <a:chExt cx="6286500" cy="7560000"/>
                            </a:xfrm>
                          </wpg:grpSpPr>
                          <wps:wsp>
                            <wps:cNvSpPr/>
                            <wps:cNvPr id="5" name="Shape 5"/>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2202750" y="0"/>
                                <a:chExt cx="6286500" cy="7560000"/>
                              </a:xfrm>
                            </wpg:grpSpPr>
                            <wps:wsp>
                              <wps:cNvSpPr/>
                              <wps:cNvPr id="7" name="Shape 7"/>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2202750" y="0"/>
                                  <a:chExt cx="6286500" cy="7560000"/>
                                </a:xfrm>
                              </wpg:grpSpPr>
                              <wps:wsp>
                                <wps:cNvSpPr/>
                                <wps:cNvPr id="9" name="Shape 9"/>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11" name="Shape 11"/>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13" name="Shape 13"/>
                                  <wps:spPr>
                                    <a:xfrm>
                                      <a:off x="-133357" y="-2276513"/>
                                      <a:ext cx="5485128" cy="4615177"/>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3.0000114440918"/>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3.0000114440918"/>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3.0000114440918"/>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p>
                                    </w:txbxContent>
                                  </wps:txbx>
                                  <wps:bodyPr anchorCtr="0" anchor="b" bIns="45700" lIns="91425" spcFirstLastPara="1" rIns="91425" wrap="square" tIns="45700">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914400</wp:posOffset>
                </wp:positionH>
                <wp:positionV relativeFrom="margin">
                  <wp:posOffset>2695575</wp:posOffset>
                </wp:positionV>
                <wp:extent cx="6286500" cy="7549498"/>
                <wp:effectExtent b="0" l="0" r="0" t="0"/>
                <wp:wrapNone/>
                <wp:docPr id="1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286500" cy="7549498"/>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96525</wp:posOffset>
            </wp:positionH>
            <wp:positionV relativeFrom="paragraph">
              <wp:posOffset>1698625</wp:posOffset>
            </wp:positionV>
            <wp:extent cx="1647190" cy="1371600"/>
            <wp:effectExtent b="0" l="0" r="0" t="0"/>
            <wp:wrapNone/>
            <wp:docPr descr="Crown Commercial Service" id="14" name="image1.png"/>
            <a:graphic>
              <a:graphicData uri="http://schemas.openxmlformats.org/drawingml/2006/picture">
                <pic:pic>
                  <pic:nvPicPr>
                    <pic:cNvPr descr="Crown Commercial Service" id="0" name="image1.png"/>
                    <pic:cNvPicPr preferRelativeResize="0"/>
                  </pic:nvPicPr>
                  <pic:blipFill>
                    <a:blip r:embed="rId12"/>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 creates the Framework Contract. It summarises the main features of the procurement and includes CCS and the Supplier’s contact details.</w:t>
      </w:r>
    </w:p>
    <w:tbl>
      <w:tblPr>
        <w:tblStyle w:val="Table1"/>
        <w:tblW w:w="10531.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2025"/>
        <w:gridCol w:w="8070"/>
        <w:tblGridChange w:id="0">
          <w:tblGrid>
            <w:gridCol w:w="436"/>
            <w:gridCol w:w="2025"/>
            <w:gridCol w:w="8070"/>
          </w:tblGrid>
        </w:tblGridChange>
      </w:tblGrid>
      <w:tr>
        <w:trPr>
          <w:cantSplit w:val="0"/>
          <w:trHeight w:val="1072" w:hRule="atLeast"/>
          <w:tblHeader w:val="0"/>
        </w:trPr>
        <w:tc>
          <w:tcPr/>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tc>
        <w:tc>
          <w:tcPr/>
          <w:p w:rsidR="00000000" w:rsidDel="00000000" w:rsidP="00000000" w:rsidRDefault="00000000" w:rsidRPr="00000000" w14:paraId="0000000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is represented by its executive agency the Crown Commercial Service (CCS). </w:t>
            </w:r>
          </w:p>
          <w:p w:rsidR="00000000" w:rsidDel="00000000" w:rsidP="00000000" w:rsidRDefault="00000000" w:rsidRPr="00000000" w14:paraId="00000007">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offices are on: 9th Floor, The Capital, Old Hall Street, Liverpool L3 9PP.</w:t>
            </w:r>
          </w:p>
          <w:p w:rsidR="00000000" w:rsidDel="00000000" w:rsidP="00000000" w:rsidRDefault="00000000" w:rsidRPr="00000000" w14:paraId="00000009">
            <w:pPr>
              <w:spacing w:after="0" w:lineRule="auto"/>
              <w:rPr>
                <w:rFonts w:ascii="Arial" w:cs="Arial" w:eastAsia="Arial" w:hAnsi="Arial"/>
                <w:b w:val="1"/>
                <w:sz w:val="24"/>
                <w:szCs w:val="24"/>
                <w:highlight w:val="yellow"/>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color w:val="000000"/>
                <w:sz w:val="24"/>
                <w:szCs w:val="24"/>
              </w:rPr>
            </w:pPr>
            <w:r w:rsidDel="00000000" w:rsidR="00000000" w:rsidRPr="00000000">
              <w:rPr>
                <w:rtl w:val="0"/>
              </w:rPr>
            </w:r>
          </w:p>
          <w:tbl>
            <w:tblPr>
              <w:tblStyle w:val="Table2"/>
              <w:tblW w:w="728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96"/>
              <w:gridCol w:w="4991"/>
              <w:tblGridChange w:id="0">
                <w:tblGrid>
                  <w:gridCol w:w="2296"/>
                  <w:gridCol w:w="4991"/>
                </w:tblGrid>
              </w:tblGridChange>
            </w:tblGrid>
            <w:tr>
              <w:trPr>
                <w:cantSplit w:val="0"/>
                <w:tblHeader w:val="0"/>
              </w:trPr>
              <w:tc>
                <w:tcPr>
                  <w:shd w:fill="auto" w:val="clear"/>
                </w:tcPr>
                <w:p w:rsidR="00000000" w:rsidDel="00000000" w:rsidP="00000000" w:rsidRDefault="00000000" w:rsidRPr="00000000" w14:paraId="0000000D">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tc>
              <w:tc>
                <w:tcPr/>
                <w:p w:rsidR="00000000" w:rsidDel="00000000" w:rsidP="00000000" w:rsidRDefault="00000000" w:rsidRPr="00000000" w14:paraId="0000000E">
                  <w:pPr>
                    <w:spacing w:after="0"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name (registered name if registered)]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w:t>
                  </w:r>
                </w:p>
              </w:tc>
              <w:tc>
                <w:tcPr/>
                <w:p w:rsidR="00000000" w:rsidDel="00000000" w:rsidP="00000000" w:rsidRDefault="00000000" w:rsidRPr="00000000" w14:paraId="00000010">
                  <w:pPr>
                    <w:spacing w:after="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address registered address if registered]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number:    </w:t>
                  </w:r>
                </w:p>
              </w:tc>
              <w:tc>
                <w:tcPr/>
                <w:p w:rsidR="00000000" w:rsidDel="00000000" w:rsidP="00000000" w:rsidRDefault="00000000" w:rsidRPr="00000000" w14:paraId="00000012">
                  <w:pPr>
                    <w:spacing w:after="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registration number if registered]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SID4GOV ID:</w:t>
                  </w:r>
                </w:p>
              </w:tc>
              <w:tc>
                <w:tcPr/>
                <w:p w:rsidR="00000000" w:rsidDel="00000000" w:rsidP="00000000" w:rsidRDefault="00000000" w:rsidRPr="00000000" w14:paraId="00000014">
                  <w:pPr>
                    <w:spacing w:after="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SID4GOV ID if you have on</w:t>
                  </w:r>
                  <w:r w:rsidDel="00000000" w:rsidR="00000000" w:rsidRPr="00000000">
                    <w:rPr>
                      <w:rFonts w:ascii="Arial" w:cs="Arial" w:eastAsia="Arial" w:hAnsi="Arial"/>
                      <w:sz w:val="20"/>
                      <w:szCs w:val="20"/>
                      <w:rtl w:val="0"/>
                    </w:rPr>
                    <w:t xml:space="preserv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after="0" w:lineRule="auto"/>
                    <w:ind w:left="-7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6">
                  <w:pPr>
                    <w:spacing w:after="0" w:lineRule="auto"/>
                    <w:rPr>
                      <w:rFonts w:ascii="Arial" w:cs="Arial" w:eastAsia="Arial" w:hAnsi="Arial"/>
                      <w:sz w:val="24"/>
                      <w:szCs w:val="24"/>
                      <w:highlight w:val="yellow"/>
                    </w:rPr>
                  </w:pPr>
                  <w:r w:rsidDel="00000000" w:rsidR="00000000" w:rsidRPr="00000000">
                    <w:rPr>
                      <w:rtl w:val="0"/>
                    </w:rPr>
                  </w:r>
                </w:p>
              </w:tc>
            </w:tr>
          </w:tbl>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tc>
      </w:tr>
      <w:tr>
        <w:trPr>
          <w:cantSplit w:val="0"/>
          <w:trHeight w:val="1446" w:hRule="atLeast"/>
          <w:tblHeader w:val="0"/>
        </w:trPr>
        <w:tc>
          <w:tcPr/>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contract between CCS and the Supplier allows the Supplier to be considered for Call-Off Contracts to supply the Deliverables </w:t>
            </w:r>
            <w:r w:rsidDel="00000000" w:rsidR="00000000" w:rsidRPr="00000000">
              <w:rPr>
                <w:rFonts w:ascii="Arial" w:cs="Arial" w:eastAsia="Arial" w:hAnsi="Arial"/>
                <w:color w:val="000000"/>
                <w:sz w:val="24"/>
                <w:szCs w:val="24"/>
                <w:highlight w:val="white"/>
                <w:rtl w:val="0"/>
              </w:rPr>
              <w:t xml:space="preserve">in Lot(s) 1a 1b 1c, Lots(s) 2a 2b 2c and Lot 3. Yo</w:t>
            </w:r>
            <w:r w:rsidDel="00000000" w:rsidR="00000000" w:rsidRPr="00000000">
              <w:rPr>
                <w:rFonts w:ascii="Arial" w:cs="Arial" w:eastAsia="Arial" w:hAnsi="Arial"/>
                <w:color w:val="000000"/>
                <w:sz w:val="24"/>
                <w:szCs w:val="24"/>
                <w:rtl w:val="0"/>
              </w:rPr>
              <w:t xml:space="preserve">u cannot deliver in any other Lot under this Contract. Any references made to other Lots in this Contract do not apply.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bookmarkStart w:colFirst="0" w:colLast="0" w:name="_heading=h.gjdgxs" w:id="1"/>
            <w:bookmarkEnd w:id="1"/>
            <w:r w:rsidDel="00000000" w:rsidR="00000000" w:rsidRPr="00000000">
              <w:rPr>
                <w:rFonts w:ascii="Arial" w:cs="Arial" w:eastAsia="Arial" w:hAnsi="Arial"/>
                <w:color w:val="000000"/>
                <w:sz w:val="24"/>
                <w:szCs w:val="24"/>
                <w:rtl w:val="0"/>
              </w:rPr>
              <w:t xml:space="preserve">This opportunity is advertised in the Contract Notice in the Find a Tender Service reference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reference number]</w:t>
            </w:r>
            <w:r w:rsidDel="00000000" w:rsidR="00000000" w:rsidRPr="00000000">
              <w:rPr>
                <w:rFonts w:ascii="Arial" w:cs="Arial" w:eastAsia="Arial" w:hAnsi="Arial"/>
                <w:color w:val="000000"/>
                <w:sz w:val="24"/>
                <w:szCs w:val="24"/>
                <w:rtl w:val="0"/>
              </w:rPr>
              <w:t xml:space="preserve"> (FTS Contract Notice).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tl w:val="0"/>
              </w:rPr>
            </w:r>
          </w:p>
        </w:tc>
      </w:tr>
      <w:tr>
        <w:trPr>
          <w:cantSplit w:val="0"/>
          <w:trHeight w:val="327" w:hRule="atLeast"/>
          <w:tblHeader w:val="0"/>
        </w:trPr>
        <w:tc>
          <w:tcPr/>
          <w:p w:rsidR="00000000" w:rsidDel="00000000" w:rsidP="00000000" w:rsidRDefault="00000000" w:rsidRPr="00000000" w14:paraId="0000001D">
            <w:pPr>
              <w:keepNext w:val="1"/>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 </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1 (Specification) for further details.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463" w:hRule="atLeast"/>
          <w:tblHeader w:val="0"/>
        </w:trPr>
        <w:tc>
          <w:tcPr/>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5">
            <w:pPr>
              <w:spacing w:after="0" w:lineRule="auto"/>
              <w:ind w:right="936"/>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Day Month Year]</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9">
            <w:pPr>
              <w:spacing w:after="0" w:lineRule="auto"/>
              <w:ind w:right="936"/>
              <w:rPr>
                <w:rFonts w:ascii="Arial" w:cs="Arial" w:eastAsia="Arial" w:hAnsi="Arial"/>
                <w:sz w:val="24"/>
                <w:szCs w:val="24"/>
                <w:highlight w:val="white"/>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Day Month Year]</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Optional</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w:t>
            </w:r>
          </w:p>
        </w:tc>
        <w:tc>
          <w:tcPr/>
          <w:p w:rsidR="00000000" w:rsidDel="00000000" w:rsidP="00000000" w:rsidRDefault="00000000" w:rsidRPr="00000000" w14:paraId="0000002F">
            <w:pPr>
              <w:spacing w:after="0" w:lineRule="auto"/>
              <w:ind w:right="936"/>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N/A</w:t>
            </w:r>
          </w:p>
        </w:tc>
      </w:tr>
      <w:tr>
        <w:trPr>
          <w:cantSplit w:val="0"/>
          <w:trHeight w:val="837" w:hRule="atLeast"/>
          <w:tblHeader w:val="0"/>
        </w:trPr>
        <w:tc>
          <w:tcPr/>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w:t>
            </w:r>
          </w:p>
        </w:tc>
        <w:tc>
          <w:tcPr/>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di</w:t>
            </w:r>
            <w:r w:rsidDel="00000000" w:rsidR="00000000" w:rsidRPr="00000000">
              <w:rPr>
                <w:rFonts w:ascii="Arial" w:cs="Arial" w:eastAsia="Arial" w:hAnsi="Arial"/>
                <w:color w:val="000000"/>
                <w:sz w:val="24"/>
                <w:szCs w:val="24"/>
                <w:rtl w:val="0"/>
              </w:rPr>
              <w:t xml:space="preserve">rect award</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further competition</w:t>
            </w:r>
          </w:p>
          <w:p w:rsidR="00000000" w:rsidDel="00000000" w:rsidP="00000000" w:rsidRDefault="00000000" w:rsidRPr="00000000" w14:paraId="00000035">
            <w:pPr>
              <w:spacing w:after="0" w:lineRule="auto"/>
              <w:ind w:right="936"/>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6">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7 (Call-Off Award Procedure)</w:t>
            </w:r>
          </w:p>
          <w:p w:rsidR="00000000" w:rsidDel="00000000" w:rsidP="00000000" w:rsidRDefault="00000000" w:rsidRPr="00000000" w14:paraId="00000037">
            <w:pPr>
              <w:spacing w:after="0" w:lineRule="auto"/>
              <w:ind w:right="936"/>
              <w:rPr>
                <w:rFonts w:ascii="Arial" w:cs="Arial" w:eastAsia="Arial" w:hAnsi="Arial"/>
                <w:sz w:val="24"/>
                <w:szCs w:val="24"/>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 </w:t>
            </w:r>
          </w:p>
          <w:p w:rsidR="00000000" w:rsidDel="00000000" w:rsidP="00000000" w:rsidRDefault="00000000" w:rsidRPr="00000000" w14:paraId="0000003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(together these documents form the ‘the Framework Contract’)</w:t>
            </w:r>
          </w:p>
          <w:p w:rsidR="00000000" w:rsidDel="00000000" w:rsidP="00000000" w:rsidRDefault="00000000" w:rsidRPr="00000000" w14:paraId="0000003C">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C">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Award Form</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Framework Special Terms (see Section 10 ‘Framework Special Terms’ in this Framework Award Form)</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RM6240 </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 RM6240</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for RM6240 (in equal order of precedence):</w:t>
            </w:r>
          </w:p>
          <w:p w:rsidR="00000000" w:rsidDel="00000000" w:rsidP="00000000" w:rsidRDefault="00000000" w:rsidRPr="00000000" w14:paraId="00000052">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1 (Specification) </w:t>
            </w:r>
          </w:p>
          <w:p w:rsidR="00000000" w:rsidDel="00000000" w:rsidP="00000000" w:rsidRDefault="00000000" w:rsidRPr="00000000" w14:paraId="00000053">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3 (Framework Prices)</w:t>
            </w:r>
          </w:p>
          <w:p w:rsidR="00000000" w:rsidDel="00000000" w:rsidP="00000000" w:rsidRDefault="00000000" w:rsidRPr="00000000" w14:paraId="00000054">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4 (Framework Management)</w:t>
            </w:r>
          </w:p>
          <w:p w:rsidR="00000000" w:rsidDel="00000000" w:rsidP="00000000" w:rsidRDefault="00000000" w:rsidRPr="00000000" w14:paraId="00000055">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5 (Management Charges and Information)</w:t>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6 (Order Form Template and Call-Off Schedules) including the following template Call-Off Schedules: </w:t>
            </w:r>
          </w:p>
          <w:p w:rsidR="00000000" w:rsidDel="00000000" w:rsidP="00000000" w:rsidRDefault="00000000" w:rsidRPr="00000000" w14:paraId="00000057">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58">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59">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5A">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w:t>
              <w:tab/>
              <w:tab/>
              <w:t xml:space="preserve">]</w:t>
            </w:r>
          </w:p>
          <w:p w:rsidR="00000000" w:rsidDel="00000000" w:rsidP="00000000" w:rsidRDefault="00000000" w:rsidRPr="00000000" w14:paraId="0000005B">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5 </w:t>
            </w:r>
            <w:r w:rsidDel="00000000" w:rsidR="00000000" w:rsidRPr="00000000">
              <w:rPr>
                <w:rFonts w:ascii="Arial" w:cs="Arial" w:eastAsia="Arial" w:hAnsi="Arial"/>
                <w:i w:val="1"/>
                <w:color w:val="000000"/>
                <w:sz w:val="24"/>
                <w:szCs w:val="24"/>
                <w:highlight w:val="yellow"/>
                <w:rtl w:val="0"/>
              </w:rPr>
              <w:t xml:space="preserve">(</w:t>
            </w:r>
            <w:r w:rsidDel="00000000" w:rsidR="00000000" w:rsidRPr="00000000">
              <w:rPr>
                <w:rFonts w:ascii="Arial" w:cs="Arial" w:eastAsia="Arial" w:hAnsi="Arial"/>
                <w:color w:val="000000"/>
                <w:sz w:val="24"/>
                <w:szCs w:val="24"/>
                <w:highlight w:val="yellow"/>
                <w:rtl w:val="0"/>
              </w:rPr>
              <w:t xml:space="preserve">Pricing Details)</w:t>
              <w:tab/>
              <w:t xml:space="preserve">           ]</w:t>
            </w:r>
          </w:p>
          <w:p w:rsidR="00000000" w:rsidDel="00000000" w:rsidP="00000000" w:rsidRDefault="00000000" w:rsidRPr="00000000" w14:paraId="0000005C">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6 (ICT Services) </w:t>
              <w:tab/>
              <w:tab/>
              <w:t xml:space="preserve">]</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7 (Key Supplier Staff)</w:t>
              <w:tab/>
              <w:tab/>
              <w:t xml:space="preserve">]</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8 (Business Continuity and Disaster Recovery) ]</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9 (Security) ]</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10 (Exit Management) </w:t>
              <w:tab/>
              <w:t xml:space="preserve">]</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12 (Clustering) </w:t>
              <w:tab/>
              <w:tab/>
              <w:t xml:space="preserve">]</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13 (Implementation Plan and Testing)]</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14 (Service Levels) </w:t>
              <w:tab/>
              <w:tab/>
              <w:t xml:space="preserve">]</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15 (Call-Off Contract Management)]</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16 (Benchmarking) </w:t>
              <w:tab/>
              <w:tab/>
              <w:t xml:space="preserve">]</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17 (MOD Terms) </w:t>
              <w:tab/>
              <w:tab/>
              <w:t xml:space="preserve">]               </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18 (Background Checks) </w:t>
              <w:tab/>
              <w:t xml:space="preserve">]</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19 (Scottish Law)</w:t>
              <w:tab/>
              <w:tab/>
              <w:t xml:space="preserve">]      </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20 (Call-Off Specification)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21 (Northern Ireland Law)    ]</w:t>
            </w:r>
            <w:r w:rsidDel="00000000" w:rsidR="00000000" w:rsidRPr="00000000">
              <w:rPr>
                <w:rtl w:val="0"/>
              </w:rPr>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shd w:fill="ffff00" w:val="clea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23 (HMRC Terms)                ] </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25a (Civil Service Secondment Agreement Template)]</w:t>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25b (Public Sector Secondment Agreement Template)]  </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26 (Ethical Walls Agreement)       </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7 (Call-Off Award Procedure)</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8 (Self Audit Certificate)</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[Framework Schedule 9 (Cyber Essentials Scheme)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6 (Key Subcontractors)]</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7 (Financial Difficulties)]</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8 (Guarantee)]</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9 (Minimum Standards of Reliability)]</w:t>
            </w:r>
            <w:r w:rsidDel="00000000" w:rsidR="00000000" w:rsidRPr="00000000">
              <w:rPr>
                <w:rtl w:val="0"/>
              </w:rPr>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12 (Supply Chain Visibility)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RM6240</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2 (Framework Tender) RM6240 as long as any part of the Framework Tender that offers a better commercial position for CCS or Buyers (as decided by CCS) takes precedence over the documents above.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8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Terms – The following Clauses of the Core Terms (version 3.0.11) shall be amended with additional wording underlined and deletions scored-through as follows:</w:t>
            </w:r>
          </w:p>
          <w:p w:rsidR="00000000" w:rsidDel="00000000" w:rsidP="00000000" w:rsidRDefault="00000000" w:rsidRPr="00000000" w14:paraId="00000084">
            <w:pPr>
              <w:ind w:left="414" w:hanging="414"/>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 How the contract works</w:t>
            </w:r>
            <w:r w:rsidDel="00000000" w:rsidR="00000000" w:rsidRPr="00000000">
              <w:rPr>
                <w:rtl w:val="0"/>
              </w:rPr>
            </w:r>
          </w:p>
          <w:p w:rsidR="00000000" w:rsidDel="00000000" w:rsidP="00000000" w:rsidRDefault="00000000" w:rsidRPr="00000000" w14:paraId="00000085">
            <w:pPr>
              <w:ind w:left="424" w:hanging="42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 CCS has:</w:t>
            </w:r>
          </w:p>
          <w:p w:rsidR="00000000" w:rsidDel="00000000" w:rsidP="00000000" w:rsidRDefault="00000000" w:rsidRPr="00000000" w14:paraId="00000086">
            <w:pPr>
              <w:ind w:left="424" w:hanging="424"/>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(a)</w:t>
            </w:r>
            <w:r w:rsidDel="00000000" w:rsidR="00000000" w:rsidRPr="00000000">
              <w:rPr>
                <w:rFonts w:ascii="Arial" w:cs="Arial" w:eastAsia="Arial" w:hAnsi="Arial"/>
                <w:color w:val="000000"/>
                <w:sz w:val="24"/>
                <w:szCs w:val="24"/>
                <w:rtl w:val="0"/>
              </w:rPr>
              <w:t xml:space="preserve"> paid one penny to the Supplier legally to form the Framework Contract.  The Supplier acknowledges this payment.</w:t>
            </w:r>
          </w:p>
          <w:p w:rsidR="00000000" w:rsidDel="00000000" w:rsidP="00000000" w:rsidRDefault="00000000" w:rsidRPr="00000000" w14:paraId="00000087">
            <w:pPr>
              <w:ind w:left="424" w:hanging="424"/>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(b) has the unilateral right to remove one or more Deliverables set out in Framework Schedule 1 (Specification) by giving 2 Months written notice to the Supplier and Framework Schedule 1 (Specification) shall be amended accordingly. </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414" w:hanging="414"/>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3.1  All deliverables</w:t>
            </w:r>
          </w:p>
          <w:p w:rsidR="00000000" w:rsidDel="00000000" w:rsidP="00000000" w:rsidRDefault="00000000" w:rsidRPr="00000000" w14:paraId="00000089">
            <w:pPr>
              <w:ind w:left="414" w:hanging="41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3.1.1 The Supplier must provide Deliverables: …</w:t>
            </w:r>
          </w:p>
          <w:p w:rsidR="00000000" w:rsidDel="00000000" w:rsidP="00000000" w:rsidRDefault="00000000" w:rsidRPr="00000000" w14:paraId="0000008A">
            <w:pPr>
              <w:ind w:left="850" w:hanging="41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that comply with Law </w:t>
            </w:r>
            <w:r w:rsidDel="00000000" w:rsidR="00000000" w:rsidRPr="00000000">
              <w:rPr>
                <w:rFonts w:ascii="Arial" w:cs="Arial" w:eastAsia="Arial" w:hAnsi="Arial"/>
                <w:color w:val="000000"/>
                <w:sz w:val="24"/>
                <w:szCs w:val="24"/>
                <w:u w:val="single"/>
                <w:rtl w:val="0"/>
              </w:rPr>
              <w:t xml:space="preserve">and Regulatory Compliance requirements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B">
            <w:pPr>
              <w:ind w:left="566" w:hanging="56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3.3 Services clauses</w:t>
            </w:r>
          </w:p>
          <w:p w:rsidR="00000000" w:rsidDel="00000000" w:rsidP="00000000" w:rsidRDefault="00000000" w:rsidRPr="00000000" w14:paraId="0000008C">
            <w:pPr>
              <w:ind w:left="566" w:hanging="566"/>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rtl w:val="0"/>
              </w:rPr>
              <w:t xml:space="preserve">3.3.8 </w:t>
              <w:tab/>
            </w:r>
            <w:r w:rsidDel="00000000" w:rsidR="00000000" w:rsidRPr="00000000">
              <w:rPr>
                <w:rFonts w:ascii="Arial" w:cs="Arial" w:eastAsia="Arial" w:hAnsi="Arial"/>
                <w:color w:val="000000"/>
                <w:sz w:val="24"/>
                <w:szCs w:val="24"/>
                <w:u w:val="single"/>
                <w:rtl w:val="0"/>
              </w:rPr>
              <w:t xml:space="preserve">The Supplier shall not:</w:t>
            </w:r>
          </w:p>
          <w:p w:rsidR="00000000" w:rsidDel="00000000" w:rsidP="00000000" w:rsidRDefault="00000000" w:rsidRPr="00000000" w14:paraId="0000008D">
            <w:pPr>
              <w:ind w:left="850" w:hanging="426"/>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(a)</w:t>
              <w:tab/>
              <w:t xml:space="preserve">without the prior written consent of the Buyer, accept any commission, discount, allowance, direct or indirect payment, or any other consideration from any third party in connection with the provision of the Deliverables; </w:t>
            </w:r>
          </w:p>
          <w:p w:rsidR="00000000" w:rsidDel="00000000" w:rsidP="00000000" w:rsidRDefault="00000000" w:rsidRPr="00000000" w14:paraId="0000008E">
            <w:pPr>
              <w:ind w:left="850" w:hanging="426"/>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(b)</w:t>
              <w:tab/>
              <w:t xml:space="preserve">pledge the credit of the Buyer in any way; or</w:t>
            </w:r>
          </w:p>
          <w:p w:rsidR="00000000" w:rsidDel="00000000" w:rsidP="00000000" w:rsidRDefault="00000000" w:rsidRPr="00000000" w14:paraId="0000008F">
            <w:pPr>
              <w:ind w:left="850"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(c)</w:t>
              <w:tab/>
              <w:t xml:space="preserve">engage in any conduct which in the reasonable opinion of the Buyer is prejudicial to the Buyer or CCS.</w:t>
            </w:r>
            <w:r w:rsidDel="00000000" w:rsidR="00000000" w:rsidRPr="00000000">
              <w:rPr>
                <w:rtl w:val="0"/>
              </w:rPr>
            </w:r>
          </w:p>
          <w:p w:rsidR="00000000" w:rsidDel="00000000" w:rsidP="00000000" w:rsidRDefault="00000000" w:rsidRPr="00000000" w14:paraId="00000090">
            <w:pPr>
              <w:ind w:left="414" w:hanging="414"/>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8. Rights and protection</w:t>
            </w:r>
          </w:p>
          <w:p w:rsidR="00000000" w:rsidDel="00000000" w:rsidP="00000000" w:rsidRDefault="00000000" w:rsidRPr="00000000" w14:paraId="00000091">
            <w:pPr>
              <w:ind w:left="414" w:hanging="41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8.1 The Supplier warrants and represents that:  …</w:t>
            </w:r>
          </w:p>
          <w:p w:rsidR="00000000" w:rsidDel="00000000" w:rsidP="00000000" w:rsidRDefault="00000000" w:rsidRPr="00000000" w14:paraId="00000092">
            <w:pPr>
              <w:ind w:left="850" w:hanging="41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it is a legally valid and existing organisation</w:t>
            </w:r>
            <w:r w:rsidDel="00000000" w:rsidR="00000000" w:rsidRPr="00000000">
              <w:rPr>
                <w:rFonts w:ascii="Arial" w:cs="Arial" w:eastAsia="Arial" w:hAnsi="Arial"/>
                <w:color w:val="000000"/>
                <w:sz w:val="24"/>
                <w:szCs w:val="24"/>
                <w:u w:val="single"/>
                <w:rtl w:val="0"/>
              </w:rPr>
              <w:t xml:space="preserve">, a partnership and/or</w:t>
            </w:r>
            <w:r w:rsidDel="00000000" w:rsidR="00000000" w:rsidRPr="00000000">
              <w:rPr>
                <w:rFonts w:ascii="Arial" w:cs="Arial" w:eastAsia="Arial" w:hAnsi="Arial"/>
                <w:color w:val="000000"/>
                <w:sz w:val="24"/>
                <w:szCs w:val="24"/>
                <w:rtl w:val="0"/>
              </w:rPr>
              <w:t xml:space="preserve"> incorporated</w:t>
            </w:r>
            <w:r w:rsidDel="00000000" w:rsidR="00000000" w:rsidRPr="00000000">
              <w:rPr>
                <w:rFonts w:ascii="Arial" w:cs="Arial" w:eastAsia="Arial" w:hAnsi="Arial"/>
                <w:color w:val="000000"/>
                <w:sz w:val="24"/>
                <w:szCs w:val="24"/>
                <w:u w:val="single"/>
                <w:rtl w:val="0"/>
              </w:rPr>
              <w:t xml:space="preserve">, organised and subsisting in accordance with the laws </w:t>
            </w:r>
            <w:r w:rsidDel="00000000" w:rsidR="00000000" w:rsidRPr="00000000">
              <w:rPr>
                <w:rFonts w:ascii="Arial" w:cs="Arial" w:eastAsia="Arial" w:hAnsi="Arial"/>
                <w:color w:val="000000"/>
                <w:sz w:val="24"/>
                <w:szCs w:val="24"/>
                <w:rtl w:val="0"/>
              </w:rPr>
              <w:t xml:space="preserve">in the place it was formed; </w:t>
            </w:r>
          </w:p>
          <w:p w:rsidR="00000000" w:rsidDel="00000000" w:rsidP="00000000" w:rsidRDefault="00000000" w:rsidRPr="00000000" w14:paraId="00000093">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10.1 Contract Period</w:t>
            </w:r>
          </w:p>
          <w:p w:rsidR="00000000" w:rsidDel="00000000" w:rsidP="00000000" w:rsidRDefault="00000000" w:rsidRPr="00000000" w14:paraId="00000094">
            <w:pPr>
              <w:ind w:left="566"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10.1.3  The Supplier shall ensure any Call-Off Contract entered into under this Framework Contract shall expire no later than:</w:t>
            </w:r>
          </w:p>
          <w:p w:rsidR="00000000" w:rsidDel="00000000" w:rsidP="00000000" w:rsidRDefault="00000000" w:rsidRPr="00000000" w14:paraId="00000095">
            <w:pPr>
              <w:ind w:left="850"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 date specified in the Call-Off Contract; or</w:t>
            </w:r>
          </w:p>
          <w:p w:rsidR="00000000" w:rsidDel="00000000" w:rsidP="00000000" w:rsidRDefault="00000000" w:rsidRPr="00000000" w14:paraId="00000096">
            <w:pPr>
              <w:ind w:left="850"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2 years after expiry of this Framework Contract under the Call-Off Contract,</w:t>
            </w:r>
          </w:p>
          <w:p w:rsidR="00000000" w:rsidDel="00000000" w:rsidP="00000000" w:rsidRDefault="00000000" w:rsidRPr="00000000" w14:paraId="00000097">
            <w:pPr>
              <w:ind w:left="850"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whichever is earlier.</w:t>
            </w:r>
          </w:p>
          <w:p w:rsidR="00000000" w:rsidDel="00000000" w:rsidP="00000000" w:rsidRDefault="00000000" w:rsidRPr="00000000" w14:paraId="00000098">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10.4 When CCS or the Buyer can end a contract</w:t>
            </w:r>
          </w:p>
          <w:p w:rsidR="00000000" w:rsidDel="00000000" w:rsidP="00000000" w:rsidRDefault="00000000" w:rsidRPr="00000000" w14:paraId="00000099">
            <w:pPr>
              <w:ind w:left="412" w:hanging="41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10.4.1 If any of the following events happen, the Relevant Authority has the right to immediately terminate its Contract by issuing a Termination Notice to the Supplier: …</w:t>
            </w:r>
          </w:p>
          <w:p w:rsidR="00000000" w:rsidDel="00000000" w:rsidP="00000000" w:rsidRDefault="00000000" w:rsidRPr="00000000" w14:paraId="0000009A">
            <w:pPr>
              <w:ind w:left="838"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(k) where there is a Conflict of Interest that cannot be mitigated to the Buyer’s satisfaction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9B">
            <w:pPr>
              <w:ind w:left="838"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(l)  where in the reasonable opinion of the Buyer there is a material detrimental change in the financial standing of the Supplier which adversely impacts on the Supplier’s ability to supply the Deliverables under the Contract or could reasonably be expected to have an adverse impact on the Supplier’s ability to supply the Deliverables under the Contract.</w:t>
            </w:r>
            <w:r w:rsidDel="00000000" w:rsidR="00000000" w:rsidRPr="00000000">
              <w:rPr>
                <w:rtl w:val="0"/>
              </w:rPr>
            </w:r>
          </w:p>
          <w:p w:rsidR="00000000" w:rsidDel="00000000" w:rsidP="00000000" w:rsidRDefault="00000000" w:rsidRPr="00000000" w14:paraId="0000009C">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10.6 What happens if the contract ends</w:t>
            </w:r>
          </w:p>
          <w:p w:rsidR="00000000" w:rsidDel="00000000" w:rsidP="00000000" w:rsidRDefault="00000000" w:rsidRPr="00000000" w14:paraId="0000009D">
            <w:pPr>
              <w:ind w:left="566"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10.6.2 In addition to the consequences of termination listed in Clause 10.6.1, where the Relevant Authority terminated a Contract under Clause 10.4.1 the Supplier is also responsible for the Relevant Authority’s reasonable costs </w:t>
            </w:r>
            <w:r w:rsidDel="00000000" w:rsidR="00000000" w:rsidRPr="00000000">
              <w:rPr>
                <w:rFonts w:ascii="Arial" w:cs="Arial" w:eastAsia="Arial" w:hAnsi="Arial"/>
                <w:color w:val="000000"/>
                <w:sz w:val="24"/>
                <w:szCs w:val="24"/>
                <w:u w:val="single"/>
                <w:rtl w:val="0"/>
              </w:rPr>
              <w:t xml:space="preserve">and any additional expenditure incurred in</w:t>
            </w:r>
            <w:r w:rsidDel="00000000" w:rsidR="00000000" w:rsidRPr="00000000">
              <w:rPr>
                <w:rFonts w:ascii="Arial" w:cs="Arial" w:eastAsia="Arial" w:hAnsi="Arial"/>
                <w:color w:val="000000"/>
                <w:sz w:val="24"/>
                <w:szCs w:val="24"/>
                <w:rtl w:val="0"/>
              </w:rPr>
              <w:t xml:space="preserve"> procuring Replacement Deliverables for the rest of the Contract Period.</w:t>
            </w:r>
          </w:p>
          <w:p w:rsidR="00000000" w:rsidDel="00000000" w:rsidP="00000000" w:rsidRDefault="00000000" w:rsidRPr="00000000" w14:paraId="0000009E">
            <w:pPr>
              <w:ind w:left="566" w:hanging="56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11. How much you can be held liable for</w:t>
            </w:r>
          </w:p>
          <w:p w:rsidR="00000000" w:rsidDel="00000000" w:rsidP="00000000" w:rsidRDefault="00000000" w:rsidRPr="00000000" w14:paraId="0000009F">
            <w:pPr>
              <w:ind w:left="566"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11.1 </w:t>
            </w:r>
            <w:r w:rsidDel="00000000" w:rsidR="00000000" w:rsidRPr="00000000">
              <w:rPr>
                <w:rFonts w:ascii="Arial" w:cs="Arial" w:eastAsia="Arial" w:hAnsi="Arial"/>
                <w:color w:val="000000"/>
                <w:sz w:val="24"/>
                <w:szCs w:val="24"/>
                <w:u w:val="single"/>
                <w:rtl w:val="0"/>
              </w:rPr>
              <w:t xml:space="preserve">Subject to any applicable Regulatory Compliance requirements, e</w:t>
            </w:r>
            <w:r w:rsidDel="00000000" w:rsidR="00000000" w:rsidRPr="00000000">
              <w:rPr>
                <w:rFonts w:ascii="Arial" w:cs="Arial" w:eastAsia="Arial" w:hAnsi="Arial"/>
                <w:color w:val="000000"/>
                <w:sz w:val="24"/>
                <w:szCs w:val="24"/>
                <w:rtl w:val="0"/>
              </w:rPr>
              <w:t xml:space="preserve">ach Party’s total aggregate liability in each Contract Year under this Framework Contract (whether in tort, contract or otherwise) is not more than £1,000,000.</w:t>
            </w:r>
          </w:p>
          <w:p w:rsidR="00000000" w:rsidDel="00000000" w:rsidP="00000000" w:rsidRDefault="00000000" w:rsidRPr="00000000" w14:paraId="000000A0">
            <w:pPr>
              <w:ind w:left="554" w:hanging="55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11.2 </w:t>
            </w:r>
            <w:r w:rsidDel="00000000" w:rsidR="00000000" w:rsidRPr="00000000">
              <w:rPr>
                <w:rFonts w:ascii="Arial" w:cs="Arial" w:eastAsia="Arial" w:hAnsi="Arial"/>
                <w:color w:val="000000"/>
                <w:sz w:val="24"/>
                <w:szCs w:val="24"/>
                <w:u w:val="single"/>
                <w:rtl w:val="0"/>
              </w:rPr>
              <w:t xml:space="preserve">Subject to any applicable Regulatory Compliance requirements, e</w:t>
            </w:r>
            <w:r w:rsidDel="00000000" w:rsidR="00000000" w:rsidRPr="00000000">
              <w:rPr>
                <w:rFonts w:ascii="Arial" w:cs="Arial" w:eastAsia="Arial" w:hAnsi="Arial"/>
                <w:color w:val="000000"/>
                <w:sz w:val="24"/>
                <w:szCs w:val="24"/>
                <w:rtl w:val="0"/>
              </w:rPr>
              <w:t xml:space="preserve">ach Party’s total aggregate liability in each Contract Year under teach Call-Off Contract (whether in tort, contract or otherwise) is no more than £5 million or 150% of the Estimated Yearly Charges, unless specified in the Call-Off Order Form.</w:t>
            </w:r>
          </w:p>
          <w:p w:rsidR="00000000" w:rsidDel="00000000" w:rsidP="00000000" w:rsidRDefault="00000000" w:rsidRPr="00000000" w14:paraId="000000A1">
            <w:pPr>
              <w:ind w:left="566"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11.3 No Party is liable to the other for: </w:t>
            </w:r>
          </w:p>
          <w:p w:rsidR="00000000" w:rsidDel="00000000" w:rsidP="00000000" w:rsidRDefault="00000000" w:rsidRPr="00000000" w14:paraId="000000A2">
            <w:pPr>
              <w:ind w:left="99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any indirect</w:t>
            </w:r>
            <w:r w:rsidDel="00000000" w:rsidR="00000000" w:rsidRPr="00000000">
              <w:rPr>
                <w:rFonts w:ascii="Arial" w:cs="Arial" w:eastAsia="Arial" w:hAnsi="Arial"/>
                <w:color w:val="000000"/>
                <w:sz w:val="24"/>
                <w:szCs w:val="24"/>
                <w:u w:val="single"/>
                <w:rtl w:val="0"/>
              </w:rPr>
              <w:t xml:space="preserve">, consequential and special </w:t>
            </w:r>
            <w:r w:rsidDel="00000000" w:rsidR="00000000" w:rsidRPr="00000000">
              <w:rPr>
                <w:rFonts w:ascii="Arial" w:cs="Arial" w:eastAsia="Arial" w:hAnsi="Arial"/>
                <w:color w:val="000000"/>
                <w:sz w:val="24"/>
                <w:szCs w:val="24"/>
                <w:rtl w:val="0"/>
              </w:rPr>
              <w:t xml:space="preserve">Losses; </w:t>
            </w:r>
          </w:p>
          <w:p w:rsidR="00000000" w:rsidDel="00000000" w:rsidP="00000000" w:rsidRDefault="00000000" w:rsidRPr="00000000" w14:paraId="000000A3">
            <w:pPr>
              <w:ind w:left="99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loss of profits, turnover, savings </w:t>
            </w:r>
            <w:r w:rsidDel="00000000" w:rsidR="00000000" w:rsidRPr="00000000">
              <w:rPr>
                <w:rFonts w:ascii="Arial" w:cs="Arial" w:eastAsia="Arial" w:hAnsi="Arial"/>
                <w:color w:val="000000"/>
                <w:sz w:val="24"/>
                <w:szCs w:val="24"/>
                <w:u w:val="single"/>
                <w:rtl w:val="0"/>
              </w:rPr>
              <w:t xml:space="preserve">(including anticipated savings),</w:t>
            </w:r>
            <w:r w:rsidDel="00000000" w:rsidR="00000000" w:rsidRPr="00000000">
              <w:rPr>
                <w:rFonts w:ascii="Arial" w:cs="Arial" w:eastAsia="Arial" w:hAnsi="Arial"/>
                <w:color w:val="000000"/>
                <w:sz w:val="24"/>
                <w:szCs w:val="24"/>
                <w:rtl w:val="0"/>
              </w:rPr>
              <w:t xml:space="preserve">business opportunities or damage to goodwill (in each case whether direct or indirect).</w:t>
            </w:r>
          </w:p>
          <w:p w:rsidR="00000000" w:rsidDel="00000000" w:rsidP="00000000" w:rsidRDefault="00000000" w:rsidRPr="00000000" w14:paraId="000000A4">
            <w:pPr>
              <w:ind w:left="566"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11.5 In spite of Clauses 11.1 and 11.2, the Supplier does not limit or exclude its liability for an indemnity given under Clauses 7.5, 8.3(b), 9.5, </w:t>
            </w:r>
            <w:r w:rsidDel="00000000" w:rsidR="00000000" w:rsidRPr="00000000">
              <w:rPr>
                <w:rFonts w:ascii="Arial" w:cs="Arial" w:eastAsia="Arial" w:hAnsi="Arial"/>
                <w:color w:val="000000"/>
                <w:sz w:val="24"/>
                <w:szCs w:val="24"/>
                <w:u w:val="single"/>
                <w:rtl w:val="0"/>
              </w:rPr>
              <w:t xml:space="preserve">12.2 </w:t>
            </w:r>
            <w:r w:rsidDel="00000000" w:rsidR="00000000" w:rsidRPr="00000000">
              <w:rPr>
                <w:rFonts w:ascii="Arial" w:cs="Arial" w:eastAsia="Arial" w:hAnsi="Arial"/>
                <w:color w:val="000000"/>
                <w:sz w:val="24"/>
                <w:szCs w:val="24"/>
                <w:rtl w:val="0"/>
              </w:rPr>
              <w:t xml:space="preserve">or 31.3 or Call-Off Schedule 2 (Staff Transfer) of a Contract.</w:t>
            </w:r>
          </w:p>
          <w:p w:rsidR="00000000" w:rsidDel="00000000" w:rsidP="00000000" w:rsidRDefault="00000000" w:rsidRPr="00000000" w14:paraId="000000A5">
            <w:pPr>
              <w:ind w:left="566" w:hanging="566"/>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rtl w:val="0"/>
              </w:rPr>
              <w:t xml:space="preserve">11.10</w:t>
              <w:tab/>
            </w:r>
            <w:r w:rsidDel="00000000" w:rsidR="00000000" w:rsidRPr="00000000">
              <w:rPr>
                <w:rFonts w:ascii="Arial" w:cs="Arial" w:eastAsia="Arial" w:hAnsi="Arial"/>
                <w:color w:val="000000"/>
                <w:sz w:val="24"/>
                <w:szCs w:val="24"/>
                <w:u w:val="single"/>
                <w:rtl w:val="0"/>
              </w:rPr>
              <w:t xml:space="preserve">The Supplier shall be liable for the following types of Loss which shall be regarded as direct and shall (without in any way, limiting other categories of Loss which may be recoverable by CCS and the Buyer):</w:t>
            </w:r>
          </w:p>
          <w:p w:rsidR="00000000" w:rsidDel="00000000" w:rsidP="00000000" w:rsidRDefault="00000000" w:rsidRPr="00000000" w14:paraId="000000A6">
            <w:pPr>
              <w:ind w:left="991" w:hanging="425"/>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(a)</w:t>
              <w:tab/>
              <w:t xml:space="preserve">any wasted expenditure or charges;</w:t>
            </w:r>
          </w:p>
          <w:p w:rsidR="00000000" w:rsidDel="00000000" w:rsidP="00000000" w:rsidRDefault="00000000" w:rsidRPr="00000000" w14:paraId="000000A7">
            <w:pPr>
              <w:ind w:left="991" w:hanging="425"/>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(b)</w:t>
              <w:tab/>
              <w:t xml:space="preserve">any additional operational and/or administrative costs and expenses incurred by the Relevant Authority, including costs relating to time spent by or on behalf of the Relevant Authority in dealing with the consequences of Supplier Defaults;</w:t>
            </w:r>
          </w:p>
          <w:p w:rsidR="00000000" w:rsidDel="00000000" w:rsidP="00000000" w:rsidRDefault="00000000" w:rsidRPr="00000000" w14:paraId="000000A8">
            <w:pPr>
              <w:ind w:left="991" w:hanging="425"/>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(c)</w:t>
              <w:tab/>
              <w:t xml:space="preserve">the additional cost of procuring, implementing or operating any alternative or Replacement Deliverables to the Deliverables which shall include any incremental costs associated with the replacement of such Deliverables above those which would have been payable under the Contract;</w:t>
            </w:r>
          </w:p>
          <w:p w:rsidR="00000000" w:rsidDel="00000000" w:rsidP="00000000" w:rsidRDefault="00000000" w:rsidRPr="00000000" w14:paraId="000000A9">
            <w:pPr>
              <w:ind w:left="991" w:hanging="425"/>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(d)</w:t>
              <w:tab/>
              <w:t xml:space="preserve">any compensation or interest paid to a third party by CCS and/or the Buyer;</w:t>
            </w:r>
          </w:p>
          <w:p w:rsidR="00000000" w:rsidDel="00000000" w:rsidP="00000000" w:rsidRDefault="00000000" w:rsidRPr="00000000" w14:paraId="000000AA">
            <w:pPr>
              <w:ind w:left="99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(e)</w:t>
              <w:tab/>
              <w:t xml:space="preserve">any regulatory Losses or other losses incurred by CCS and/or the Buyer pursuant to the Law</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AB">
            <w:pPr>
              <w:ind w:left="566"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11.11 Each Party undertakes at the request of the other, and at the cost of the requesting Party to do all acts and execute all documents which may be necessary to give effect to the meaning of the Contract.</w:t>
            </w:r>
          </w:p>
          <w:p w:rsidR="00000000" w:rsidDel="00000000" w:rsidP="00000000" w:rsidRDefault="00000000" w:rsidRPr="00000000" w14:paraId="000000AC">
            <w:pPr>
              <w:ind w:left="0" w:hanging="570"/>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ab/>
            </w:r>
            <w:r w:rsidDel="00000000" w:rsidR="00000000" w:rsidRPr="00000000">
              <w:rPr>
                <w:rFonts w:ascii="Arial" w:cs="Arial" w:eastAsia="Arial" w:hAnsi="Arial"/>
                <w:color w:val="000000"/>
                <w:sz w:val="24"/>
                <w:szCs w:val="24"/>
                <w:rtl w:val="0"/>
              </w:rPr>
              <w:t xml:space="preserve">32.2 Conflict of Interest:</w:t>
            </w:r>
          </w:p>
          <w:p w:rsidR="00000000" w:rsidDel="00000000" w:rsidP="00000000" w:rsidRDefault="00000000" w:rsidRPr="00000000" w14:paraId="000000AD">
            <w:pPr>
              <w:ind w:left="566" w:hanging="566"/>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rtl w:val="0"/>
              </w:rPr>
              <w:t xml:space="preserve">32.2. The Supplier must promptly notify and, </w:t>
            </w:r>
            <w:r w:rsidDel="00000000" w:rsidR="00000000" w:rsidRPr="00000000">
              <w:rPr>
                <w:rFonts w:ascii="Arial" w:cs="Arial" w:eastAsia="Arial" w:hAnsi="Arial"/>
                <w:color w:val="000000"/>
                <w:sz w:val="24"/>
                <w:szCs w:val="24"/>
                <w:u w:val="single"/>
                <w:rtl w:val="0"/>
              </w:rPr>
              <w:t xml:space="preserve">subject to Regulatory Compliance requirements</w:t>
            </w:r>
            <w:r w:rsidDel="00000000" w:rsidR="00000000" w:rsidRPr="00000000">
              <w:rPr>
                <w:rFonts w:ascii="Arial" w:cs="Arial" w:eastAsia="Arial" w:hAnsi="Arial"/>
                <w:color w:val="000000"/>
                <w:sz w:val="24"/>
                <w:szCs w:val="24"/>
                <w:rtl w:val="0"/>
              </w:rPr>
              <w:t xml:space="preserve">, provide details to CCS and each Buyer if a Conflict of Interest happens or is expected to happen </w:t>
            </w:r>
            <w:r w:rsidDel="00000000" w:rsidR="00000000" w:rsidRPr="00000000">
              <w:rPr>
                <w:rFonts w:ascii="Arial" w:cs="Arial" w:eastAsia="Arial" w:hAnsi="Arial"/>
                <w:color w:val="000000"/>
                <w:sz w:val="24"/>
                <w:szCs w:val="24"/>
                <w:u w:val="single"/>
                <w:rtl w:val="0"/>
              </w:rPr>
              <w:t xml:space="preserve">and shall follow any direction made by the Buyer in respect of the proper management and mitigation of the same.</w:t>
            </w:r>
          </w:p>
          <w:p w:rsidR="00000000" w:rsidDel="00000000" w:rsidP="00000000" w:rsidRDefault="00000000" w:rsidRPr="00000000" w14:paraId="000000AE">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34. Resolving disputes</w:t>
            </w:r>
          </w:p>
          <w:p w:rsidR="00000000" w:rsidDel="00000000" w:rsidP="00000000" w:rsidRDefault="00000000" w:rsidRPr="00000000" w14:paraId="000000AF">
            <w:pPr>
              <w:ind w:left="554" w:hanging="554"/>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34.7 </w:t>
            </w:r>
            <w:r w:rsidDel="00000000" w:rsidR="00000000" w:rsidRPr="00000000">
              <w:rPr>
                <w:rFonts w:ascii="Arial" w:cs="Arial" w:eastAsia="Arial" w:hAnsi="Arial"/>
                <w:color w:val="000000"/>
                <w:sz w:val="24"/>
                <w:szCs w:val="24"/>
                <w:u w:val="single"/>
                <w:rtl w:val="0"/>
              </w:rPr>
              <w:t xml:space="preserve">Within 2 Working Days of a written request by CCS, the Supplier shall provide full details of a Complaint to CCS, including details of steps to achieve its resolution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rHeight w:val="55" w:hRule="atLeast"/>
          <w:tblHeader w:val="0"/>
        </w:trPr>
        <w:tc>
          <w:tcPr/>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 </w:t>
            </w:r>
          </w:p>
        </w:tc>
        <w:tc>
          <w:tcPr/>
          <w:p w:rsidR="00000000" w:rsidDel="00000000" w:rsidP="00000000" w:rsidRDefault="00000000" w:rsidRPr="00000000" w14:paraId="000000B2">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Details in Framework Schedule 3 (Framework Prices)</w:t>
            </w: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Insurance</w:t>
            </w:r>
          </w:p>
        </w:tc>
        <w:tc>
          <w:tcPr>
            <w:shd w:fill="auto"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Details in Annex of Joint Schedule 3 (Insurance Requirements).</w:t>
            </w:r>
            <w:r w:rsidDel="00000000" w:rsidR="00000000" w:rsidRPr="00000000">
              <w:rPr>
                <w:rtl w:val="0"/>
              </w:rPr>
            </w:r>
          </w:p>
        </w:tc>
      </w:tr>
      <w:tr>
        <w:trPr>
          <w:cantSplit w:val="0"/>
          <w:trHeight w:val="939" w:hRule="atLeast"/>
          <w:tblHeader w:val="0"/>
        </w:trPr>
        <w:tc>
          <w:tcPr/>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Essentials Certification</w:t>
            </w:r>
          </w:p>
        </w:tc>
        <w:tc>
          <w:tcPr/>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Cyber Essentials Scheme Plus Certificate (or equivalent). Details in Framework Schedule 9 (Cyber Essentials Scheme)</w:t>
            </w:r>
          </w:p>
        </w:tc>
      </w:tr>
      <w:tr>
        <w:trPr>
          <w:cantSplit w:val="0"/>
          <w:trHeight w:val="731" w:hRule="atLeast"/>
          <w:tblHeader w:val="0"/>
        </w:trPr>
        <w:tc>
          <w:tcPr/>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0BC">
            <w:pPr>
              <w:numPr>
                <w:ilvl w:val="0"/>
                <w:numId w:val="6"/>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pay, excluding VAT,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1.5% of all the Charges for the Deliverables invoiced to the Buyer under all Call-Off Contracts.</w:t>
            </w:r>
          </w:p>
          <w:p w:rsidR="00000000" w:rsidDel="00000000" w:rsidP="00000000" w:rsidRDefault="00000000" w:rsidRPr="00000000" w14:paraId="000000BD">
            <w:pPr>
              <w:numPr>
                <w:ilvl w:val="0"/>
                <w:numId w:val="6"/>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reserves the right, during the Contract Period, to amend the methodology for calculating the Management Charge in order to properly and compliantly collect the levy due to the authority by Suppliers.</w:t>
            </w:r>
          </w:p>
        </w:tc>
      </w:tr>
      <w:tr>
        <w:trPr>
          <w:cantSplit w:val="0"/>
          <w:trHeight w:val="1333" w:hRule="atLeast"/>
          <w:tblHeader w:val="0"/>
        </w:trPr>
        <w:tc>
          <w:tcPr/>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w:t>
            </w:r>
          </w:p>
        </w:tc>
        <w:tc>
          <w:tcPr/>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C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CA">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CB">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D0">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D1">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D2">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D3">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D4">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Data Protection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D9">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DA">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762" w:hRule="atLeast"/>
          <w:tblHeader w:val="0"/>
        </w:trPr>
        <w:tc>
          <w:tcPr/>
          <w:p w:rsidR="00000000" w:rsidDel="00000000" w:rsidP="00000000" w:rsidRDefault="00000000" w:rsidRPr="00000000" w14:paraId="000000DB">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D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£10,000,000</w:t>
            </w:r>
          </w:p>
        </w:tc>
      </w:tr>
      <w:tr>
        <w:trPr>
          <w:cantSplit w:val="0"/>
          <w:trHeight w:val="1333" w:hRule="atLeast"/>
          <w:tblHeader w:val="0"/>
        </w:trPr>
        <w:tc>
          <w:tcPr/>
          <w:p w:rsidR="00000000" w:rsidDel="00000000" w:rsidP="00000000" w:rsidRDefault="00000000" w:rsidRPr="00000000" w14:paraId="000000DE">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Marketing Contact</w:t>
            </w:r>
          </w:p>
        </w:tc>
        <w:tc>
          <w:tcPr/>
          <w:p w:rsidR="00000000" w:rsidDel="00000000" w:rsidP="00000000" w:rsidRDefault="00000000" w:rsidRPr="00000000" w14:paraId="000000E1">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E3">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r>
        <w:trPr>
          <w:cantSplit w:val="0"/>
          <w:trHeight w:val="1333" w:hRule="atLeast"/>
          <w:tblHeader w:val="0"/>
        </w:trPr>
        <w:tc>
          <w:tcPr/>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Subcontractors</w:t>
            </w:r>
          </w:p>
        </w:tc>
        <w:tc>
          <w:tcPr>
            <w:shd w:fill="auto" w:val="clear"/>
          </w:tcPr>
          <w:p w:rsidR="00000000" w:rsidDel="00000000" w:rsidP="00000000" w:rsidRDefault="00000000" w:rsidRPr="00000000" w14:paraId="000000E7">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Subcontractor 1</w:t>
            </w:r>
          </w:p>
          <w:p w:rsidR="00000000" w:rsidDel="00000000" w:rsidP="00000000" w:rsidRDefault="00000000" w:rsidRPr="00000000" w14:paraId="000000E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(Registered name if registered)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E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Registration number (if registered)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number]</w:t>
            </w:r>
          </w:p>
          <w:p w:rsidR="00000000" w:rsidDel="00000000" w:rsidP="00000000" w:rsidRDefault="00000000" w:rsidRPr="00000000" w14:paraId="000000E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 of Subcontractor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w:t>
            </w:r>
          </w:p>
          <w:p w:rsidR="00000000" w:rsidDel="00000000" w:rsidP="00000000" w:rsidRDefault="00000000" w:rsidRPr="00000000" w14:paraId="000000EB">
            <w:pPr>
              <w:spacing w:after="120" w:before="120"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copy above lines as needed]</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EF">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job title]</w:t>
            </w:r>
          </w:p>
          <w:p w:rsidR="00000000" w:rsidDel="00000000" w:rsidP="00000000" w:rsidRDefault="00000000" w:rsidRPr="00000000" w14:paraId="000000F1">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p>
          <w:p w:rsidR="00000000" w:rsidDel="00000000" w:rsidP="00000000" w:rsidRDefault="00000000" w:rsidRPr="00000000" w14:paraId="000000F2">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phone number]</w:t>
            </w:r>
          </w:p>
        </w:tc>
      </w:tr>
    </w:tbl>
    <w:p w:rsidR="00000000" w:rsidDel="00000000" w:rsidP="00000000" w:rsidRDefault="00000000" w:rsidRPr="00000000" w14:paraId="000000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rPr>
          <w:rFonts w:ascii="Arial" w:cs="Arial" w:eastAsia="Arial" w:hAnsi="Arial"/>
          <w:sz w:val="24"/>
          <w:szCs w:val="24"/>
        </w:rPr>
      </w:pPr>
      <w:r w:rsidDel="00000000" w:rsidR="00000000" w:rsidRPr="00000000">
        <w:rPr>
          <w:rtl w:val="0"/>
        </w:rPr>
      </w:r>
    </w:p>
    <w:tbl>
      <w:tblPr>
        <w:tblStyle w:val="Table3"/>
        <w:tblW w:w="10560.0" w:type="dxa"/>
        <w:jc w:val="left"/>
        <w:tblInd w:w="-765.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2295"/>
        <w:gridCol w:w="2985"/>
        <w:gridCol w:w="1695"/>
        <w:gridCol w:w="3585"/>
        <w:tblGridChange w:id="0">
          <w:tblGrid>
            <w:gridCol w:w="2295"/>
            <w:gridCol w:w="2985"/>
            <w:gridCol w:w="1695"/>
            <w:gridCol w:w="3585"/>
          </w:tblGrid>
        </w:tblGridChange>
      </w:tblGrid>
      <w:tr>
        <w:trPr>
          <w:cantSplit w:val="0"/>
          <w:trHeight w:val="635" w:hRule="atLeast"/>
          <w:tblHeader w:val="0"/>
        </w:trPr>
        <w:tc>
          <w:tcPr>
            <w:gridSpan w:val="2"/>
          </w:tcPr>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F7">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CCS:</w:t>
            </w:r>
          </w:p>
        </w:tc>
      </w:tr>
      <w:tr>
        <w:trPr>
          <w:cantSplit w:val="0"/>
          <w:trHeight w:val="635" w:hRule="atLeast"/>
          <w:tblHeader w:val="0"/>
        </w:trPr>
        <w:tc>
          <w:tcPr/>
          <w:p w:rsidR="00000000" w:rsidDel="00000000" w:rsidP="00000000" w:rsidRDefault="00000000" w:rsidRPr="00000000" w14:paraId="000000F9">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B">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FD">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FE">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F">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00">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01">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02">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03">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04">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105">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06">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07">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08">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ind w:left="792" w:firstLine="0"/>
        <w:rPr>
          <w:rFonts w:ascii="Arial" w:cs="Arial" w:eastAsia="Arial" w:hAnsi="Arial"/>
          <w:i w:val="1"/>
          <w:color w:val="000000"/>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11">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v2.9</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tabs>
        <w:tab w:val="center" w:pos="4513"/>
        <w:tab w:val="right" w:pos="9026"/>
      </w:tabs>
      <w:spacing w:after="0" w:lineRule="auto"/>
      <w:rPr>
        <w:color w:val="a6a6a6"/>
      </w:rPr>
    </w:pPr>
    <w:r w:rsidDel="00000000" w:rsidR="00000000" w:rsidRPr="00000000">
      <w:rPr>
        <w:rtl w:val="0"/>
      </w:rPr>
    </w:r>
  </w:p>
  <w:p w:rsidR="00000000" w:rsidDel="00000000" w:rsidP="00000000" w:rsidRDefault="00000000" w:rsidRPr="00000000" w14:paraId="00000115">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RM6240 Public Sector Legal Services</w:t>
      <w:tab/>
      <w:t xml:space="preserve">                                           </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v3.8</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a6a6a6"/>
        <w:sz w:val="20"/>
        <w:szCs w:val="20"/>
      </w:rPr>
    </w:pPr>
    <w:r w:rsidDel="00000000" w:rsidR="00000000" w:rsidRPr="00000000">
      <w:rPr>
        <w:rFonts w:ascii="Arial" w:cs="Arial" w:eastAsia="Arial" w:hAnsi="Arial"/>
        <w:b w:val="1"/>
        <w:color w:val="a6a6a6"/>
        <w:sz w:val="20"/>
        <w:szCs w:val="20"/>
        <w:rtl w:val="0"/>
      </w:rPr>
      <w:t xml:space="preserve">Framework Award Form</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Crown Copyright 2018</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 xml:space="preserve">Framework Award Form</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pos="4513"/>
        <w:tab w:val="right" w:pos="9026"/>
      </w:tabs>
      <w:spacing w:after="0" w:line="240" w:lineRule="auto"/>
      <w:rPr/>
    </w:pPr>
    <w:r w:rsidDel="00000000" w:rsidR="00000000" w:rsidRPr="00000000">
      <w:rPr>
        <w:color w:val="000000"/>
        <w:rtl w:val="0"/>
      </w:rPr>
      <w:t xml:space="preserve">Crown Copyright 20</w:t>
    </w:r>
    <w:r w:rsidDel="00000000" w:rsidR="00000000" w:rsidRPr="00000000">
      <w:rPr>
        <w:rtl w:val="0"/>
      </w:rPr>
      <w:t xml:space="preserve">22</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pos="4513"/>
        <w:tab w:val="right"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644" w:hanging="357"/>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abstractNum w:abstractNumId="4">
    <w:lvl w:ilvl="0">
      <w:start w:val="1"/>
      <w:numFmt w:val="decimal"/>
      <w:lvlText w:val="%1."/>
      <w:lvlJc w:val="left"/>
      <w:pPr>
        <w:ind w:left="45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pos="-5585"/>
      </w:tabs>
      <w:spacing w:after="120" w:line="240" w:lineRule="auto"/>
      <w:ind w:left="3600" w:hanging="360"/>
      <w:jc w:val="both"/>
    </w:pPr>
    <w:rPr>
      <w:rFonts w:ascii="Arial" w:cs="Arial" w:eastAsia="Arial" w:hAnsi="Arial"/>
    </w:rPr>
  </w:style>
  <w:style w:type="paragraph" w:styleId="Heading6">
    <w:name w:val="heading 6"/>
    <w:basedOn w:val="Normal"/>
    <w:next w:val="Normal"/>
    <w:pPr>
      <w:tabs>
        <w:tab w:val="left" w:pos="-8987"/>
        <w:tab w:val="left" w:pos="-8420"/>
      </w:tabs>
      <w:spacing w:after="120" w:line="240" w:lineRule="auto"/>
      <w:ind w:left="360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rPr>
      <w:lang w:eastAsia="en-US"/>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uiPriority w:val="9"/>
    <w:semiHidden w:val="1"/>
    <w:unhideWhenUsed w:val="1"/>
    <w:qFormat w:val="1"/>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uiPriority w:val="9"/>
    <w:semiHidden w:val="1"/>
    <w:unhideWhenUsed w:val="1"/>
    <w:qFormat w:val="1"/>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numbering" w:styleId="WWOutlineListStyle8" w:customStyle="1">
    <w:name w:val="WW_OutlineListStyle_8"/>
    <w:basedOn w:val="NoList"/>
  </w:style>
  <w:style w:type="paragraph" w:styleId="Level1Heading" w:customStyle="1">
    <w:name w:val="Level 1 Heading"/>
    <w:basedOn w:val="BodyText"/>
    <w:next w:val="Normal"/>
    <w:pPr>
      <w:keepNext w:val="1"/>
      <w:tabs>
        <w:tab w:val="left" w:pos="-1342"/>
      </w:tabs>
      <w:suppressAutoHyphens w:val="0"/>
      <w:spacing w:after="200" w:before="360" w:line="360" w:lineRule="auto"/>
      <w:outlineLvl w:val="0"/>
    </w:pPr>
    <w:rPr>
      <w:rFonts w:ascii="Arial" w:eastAsia="Times New Roman" w:hAnsi="Arial"/>
      <w:b w:val="1"/>
      <w:szCs w:val="20"/>
    </w:rPr>
  </w:style>
  <w:style w:type="paragraph" w:styleId="GPSL1CLAUSEHEADING" w:customStyle="1">
    <w:name w:val="GPS L1 CLAUSE HEADING"/>
    <w:basedOn w:val="Normal"/>
    <w:next w:val="Normal"/>
    <w:qFormat w:val="1"/>
    <w:pPr>
      <w:tabs>
        <w:tab w:val="left" w:pos="-3864"/>
      </w:tabs>
      <w:suppressAutoHyphens w:val="0"/>
      <w:spacing w:after="240" w:before="240" w:line="240" w:lineRule="auto"/>
      <w:jc w:val="both"/>
      <w:outlineLvl w:val="1"/>
    </w:pPr>
    <w:rPr>
      <w:rFonts w:ascii="Arial Bold" w:cs="Arial" w:eastAsia="STZhongsong" w:hAnsi="Arial Bold"/>
      <w:b w:val="1"/>
      <w:caps w:val="1"/>
      <w:lang w:eastAsia="zh-CN"/>
    </w:rPr>
  </w:style>
  <w:style w:type="character" w:styleId="Heading5Char" w:customStyle="1">
    <w:name w:val="Heading 5 Char"/>
    <w:basedOn w:val="DefaultParagraphFont"/>
    <w:rPr>
      <w:rFonts w:ascii="Arial" w:eastAsia="Times New Roman" w:hAnsi="Arial"/>
      <w:sz w:val="22"/>
      <w:szCs w:val="22"/>
      <w:lang w:eastAsia="en-US"/>
    </w:rPr>
  </w:style>
  <w:style w:type="character" w:styleId="Heading6Char" w:customStyle="1">
    <w:name w:val="Heading 6 Char"/>
    <w:basedOn w:val="DefaultParagraphFont"/>
    <w:rPr>
      <w:rFonts w:ascii="Arial" w:eastAsia="Times New Roman" w:hAnsi="Arial"/>
      <w:sz w:val="22"/>
      <w:szCs w:val="22"/>
      <w:lang w:eastAsia="en-US"/>
    </w:rPr>
  </w:style>
  <w:style w:type="paragraph" w:styleId="GPSL2NumberedBoldHeading" w:customStyle="1">
    <w:name w:val="GPS L2 Numbered Bold Heading"/>
    <w:basedOn w:val="Normal"/>
    <w:qFormat w:val="1"/>
    <w:pPr>
      <w:tabs>
        <w:tab w:val="left" w:pos="1134"/>
      </w:tabs>
      <w:suppressAutoHyphens w:val="0"/>
      <w:spacing w:after="120" w:before="120" w:line="240" w:lineRule="auto"/>
      <w:ind w:left="1494" w:hanging="218"/>
      <w:jc w:val="both"/>
    </w:pPr>
    <w:rPr>
      <w:rFonts w:cs="Arial" w:eastAsia="Times New Roman"/>
      <w:b w:val="1"/>
      <w:lang w:eastAsia="zh-CN"/>
    </w:rPr>
  </w:style>
  <w:style w:type="paragraph" w:styleId="BodyText1" w:customStyle="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val="1"/>
      <w:iCs w:val="1"/>
    </w:rPr>
  </w:style>
  <w:style w:type="paragraph" w:styleId="11table" w:customStyle="1">
    <w:name w:val="1.1 table"/>
    <w:basedOn w:val="Normal"/>
    <w:qFormat w:val="1"/>
    <w:pPr>
      <w:numPr>
        <w:numId w:val="6"/>
      </w:numPr>
      <w:suppressAutoHyphens w:val="0"/>
      <w:spacing w:after="0" w:line="240" w:lineRule="auto"/>
    </w:pPr>
    <w:rPr>
      <w:rFonts w:eastAsia="STZhongsong"/>
      <w:b w:val="1"/>
      <w:lang w:eastAsia="zh-CN"/>
    </w:rPr>
  </w:style>
  <w:style w:type="character" w:styleId="11tableChar" w:customStyle="1">
    <w:name w:val="1.1 table Char"/>
    <w:rPr>
      <w:rFonts w:eastAsia="STZhongsong"/>
      <w:b w:val="1"/>
      <w:sz w:val="22"/>
      <w:szCs w:val="22"/>
      <w:lang w:eastAsia="zh-CN"/>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hAnsi="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styleId="HeaderChar" w:customStyle="1">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sz w:val="22"/>
      <w:szCs w:val="22"/>
      <w:lang w:eastAsia="en-US"/>
    </w:rPr>
  </w:style>
  <w:style w:type="paragraph" w:styleId="MarginText" w:customStyle="1">
    <w:name w:val="Margin Text"/>
    <w:basedOn w:val="Normal"/>
    <w:pPr>
      <w:keepNext w:val="1"/>
      <w:suppressAutoHyphens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rPr>
      <w:rFonts w:ascii="Arial" w:eastAsia="STZhongsong" w:hAnsi="Arial"/>
      <w:sz w:val="18"/>
      <w:szCs w:val="18"/>
      <w:lang w:eastAsia="zh-CN"/>
    </w:rPr>
  </w:style>
  <w:style w:type="paragraph" w:styleId="GPSL2numberedclause" w:customStyle="1">
    <w:name w:val="GPS L2 numbered clause"/>
    <w:basedOn w:val="Normal"/>
    <w:qFormat w:val="1"/>
    <w:pPr>
      <w:tabs>
        <w:tab w:val="left" w:pos="1134"/>
      </w:tabs>
      <w:suppressAutoHyphens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qFormat w:val="1"/>
    <w:pPr>
      <w:tabs>
        <w:tab w:val="clear" w:pos="1134"/>
        <w:tab w:val="left" w:pos="1985"/>
        <w:tab w:val="left" w:pos="2127"/>
      </w:tabs>
      <w:ind w:left="1985" w:hanging="851"/>
    </w:pPr>
  </w:style>
  <w:style w:type="paragraph" w:styleId="GPSL4numberedclause" w:customStyle="1">
    <w:name w:val="GPS L4 numbered clause"/>
    <w:basedOn w:val="GPSL3numberedclause"/>
    <w:qFormat w:val="1"/>
    <w:pPr>
      <w:tabs>
        <w:tab w:val="clear" w:pos="2127"/>
      </w:tabs>
      <w:ind w:left="2835" w:hanging="708"/>
    </w:pPr>
    <w:rPr>
      <w:szCs w:val="20"/>
    </w:rPr>
  </w:style>
  <w:style w:type="character" w:styleId="GPSL2numberedclauseChar1" w:customStyle="1">
    <w:name w:val="GPS L2 numbered clause Char1"/>
    <w:rPr>
      <w:rFonts w:cs="Arial" w:eastAsia="Times New Roman"/>
      <w:sz w:val="22"/>
      <w:szCs w:val="22"/>
      <w:lang w:eastAsia="zh-CN"/>
    </w:rPr>
  </w:style>
  <w:style w:type="character" w:styleId="GPSL3numberedclauseChar" w:customStyle="1">
    <w:name w:val="GPS L3 numbered clause Char"/>
    <w:rPr>
      <w:rFonts w:cs="Arial" w:eastAsia="Times New Roman"/>
      <w:sz w:val="22"/>
      <w:szCs w:val="22"/>
      <w:lang w:eastAsia="zh-CN"/>
    </w:rPr>
  </w:style>
  <w:style w:type="paragraph" w:styleId="GPSL5numberedclause" w:customStyle="1">
    <w:name w:val="GPS L5 numbered clause"/>
    <w:basedOn w:val="GPSL4numberedclause"/>
    <w:qFormat w:val="1"/>
    <w:pPr>
      <w:tabs>
        <w:tab w:val="left" w:pos="3402"/>
      </w:tabs>
      <w:ind w:left="3402" w:hanging="567"/>
    </w:pPr>
  </w:style>
  <w:style w:type="paragraph" w:styleId="GPSL6numbered" w:customStyle="1">
    <w:name w:val="GPS L6 numbered"/>
    <w:basedOn w:val="GPSL5numberedclause"/>
    <w:qFormat w:val="1"/>
    <w:pPr>
      <w:tabs>
        <w:tab w:val="clear" w:pos="1985"/>
        <w:tab w:val="clear" w:pos="3402"/>
        <w:tab w:val="num" w:pos="720"/>
        <w:tab w:val="left" w:pos="24049"/>
        <w:tab w:val="left" w:pos="25466"/>
        <w:tab w:val="left" w:pos="26317"/>
      </w:tabs>
      <w:ind w:left="720" w:hanging="720"/>
    </w:pPr>
  </w:style>
  <w:style w:type="paragraph" w:styleId="Style1" w:customStyle="1">
    <w:name w:val="Style1"/>
    <w:basedOn w:val="ListParagraph"/>
    <w:pPr>
      <w:tabs>
        <w:tab w:val="num" w:pos="720"/>
      </w:tabs>
      <w:ind w:hanging="720"/>
    </w:pPr>
    <w:rPr>
      <w:b w:val="1"/>
      <w:sz w:val="20"/>
    </w:rPr>
  </w:style>
  <w:style w:type="character" w:styleId="ListParagraphChar" w:customStyle="1">
    <w:name w:val="List Paragraph Char"/>
    <w:basedOn w:val="DefaultParagraphFont"/>
    <w:rPr>
      <w:sz w:val="22"/>
      <w:szCs w:val="22"/>
      <w:lang w:eastAsia="en-US"/>
    </w:rPr>
  </w:style>
  <w:style w:type="character" w:styleId="Style1Char" w:customStyle="1">
    <w:name w:val="Style1 Char"/>
    <w:basedOn w:val="ListParagraphChar"/>
    <w:rPr>
      <w:b w:val="1"/>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lang w:eastAsia="en-US"/>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lang w:eastAsia="en-US"/>
    </w:rPr>
  </w:style>
  <w:style w:type="paragraph" w:styleId="Revision">
    <w:name w:val="Revision"/>
    <w:rPr>
      <w:lang w:eastAsia="en-US"/>
    </w:rPr>
  </w:style>
  <w:style w:type="paragraph" w:styleId="GPsDefinition" w:customStyle="1">
    <w:name w:val="GPs Definition"/>
    <w:basedOn w:val="Normal"/>
    <w:pPr>
      <w:tabs>
        <w:tab w:val="left" w:pos="-179"/>
      </w:tabs>
      <w:suppressAutoHyphens w:val="0"/>
      <w:overflowPunct w:val="0"/>
      <w:autoSpaceDE w:val="0"/>
      <w:spacing w:after="120" w:line="240" w:lineRule="auto"/>
      <w:jc w:val="both"/>
    </w:pPr>
    <w:rPr>
      <w:rFonts w:ascii="Arial" w:cs="Arial" w:eastAsia="Times New Roman" w:hAnsi="Arial"/>
    </w:rPr>
  </w:style>
  <w:style w:type="paragraph" w:styleId="GPSDefinitionL2" w:customStyle="1">
    <w:name w:val="GPS Definition L2"/>
    <w:basedOn w:val="GPsDefinition"/>
    <w:pPr>
      <w:tabs>
        <w:tab w:val="clear" w:pos="-179"/>
        <w:tab w:val="left" w:pos="-576"/>
      </w:tabs>
      <w:ind w:hanging="545"/>
    </w:pPr>
  </w:style>
  <w:style w:type="character" w:styleId="GPSDefinitionL2Char" w:customStyle="1">
    <w:name w:val="GPS Definition L2 Char"/>
    <w:rPr>
      <w:rFonts w:ascii="Arial" w:cs="Arial" w:eastAsia="Times New Roman" w:hAnsi="Arial"/>
      <w:sz w:val="22"/>
      <w:szCs w:val="22"/>
      <w:lang w:eastAsia="en-US"/>
    </w:rPr>
  </w:style>
  <w:style w:type="paragraph" w:styleId="GPSDefinitionL3" w:customStyle="1">
    <w:name w:val="GPS Definition L3"/>
    <w:basedOn w:val="GPSDefinitionL2"/>
  </w:style>
  <w:style w:type="paragraph" w:styleId="GPSDefinitionL4" w:customStyle="1">
    <w:name w:val="GPS Definition L4"/>
    <w:basedOn w:val="GPSDefinitionL3"/>
    <w:pPr>
      <w:tabs>
        <w:tab w:val="clear" w:pos="-576"/>
        <w:tab w:val="left" w:pos="-2316"/>
        <w:tab w:val="left" w:pos="-2100"/>
        <w:tab w:val="num" w:pos="720"/>
      </w:tabs>
      <w:ind w:left="720" w:hanging="720"/>
    </w:pPr>
  </w:style>
  <w:style w:type="character" w:styleId="GPSDefinitionL3Char" w:customStyle="1">
    <w:name w:val="GPS Definition L3 Char"/>
    <w:rPr>
      <w:rFonts w:ascii="Arial" w:cs="Arial" w:eastAsia="Times New Roman" w:hAnsi="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cs="Arial" w:eastAsia="Times New Roman" w:hAnsi="Arial"/>
      <w:sz w:val="20"/>
      <w:szCs w:val="20"/>
    </w:rPr>
  </w:style>
  <w:style w:type="character" w:styleId="FootnoteTextChar" w:customStyle="1">
    <w:name w:val="Footnote Text Char"/>
    <w:basedOn w:val="DefaultParagraphFont"/>
    <w:rPr>
      <w:rFonts w:ascii="Arial" w:cs="Arial" w:eastAsia="Times New Roman" w:hAnsi="Arial"/>
      <w:lang w:eastAsia="en-US"/>
    </w:rPr>
  </w:style>
  <w:style w:type="paragraph" w:styleId="BodyText">
    <w:name w:val="Body Text"/>
    <w:basedOn w:val="Normal"/>
    <w:pPr>
      <w:spacing w:after="120"/>
    </w:pPr>
  </w:style>
  <w:style w:type="character" w:styleId="BodyTextChar" w:customStyle="1">
    <w:name w:val="Body Text Char"/>
    <w:basedOn w:val="DefaultParagraphFont"/>
    <w:rPr>
      <w:sz w:val="22"/>
      <w:szCs w:val="22"/>
      <w:lang w:eastAsia="en-US"/>
    </w:rPr>
  </w:style>
  <w:style w:type="paragraph" w:styleId="Level2Heading" w:customStyle="1">
    <w:name w:val="Level 2 Heading"/>
    <w:basedOn w:val="BodyText"/>
    <w:next w:val="BodyText2"/>
    <w:pPr>
      <w:keepNext w:val="1"/>
      <w:tabs>
        <w:tab w:val="left" w:pos="360"/>
      </w:tabs>
      <w:suppressAutoHyphens w:val="0"/>
      <w:spacing w:after="200" w:before="360" w:line="360" w:lineRule="auto"/>
      <w:outlineLvl w:val="1"/>
    </w:pPr>
    <w:rPr>
      <w:rFonts w:ascii="Arial" w:eastAsia="Times New Roman" w:hAnsi="Arial"/>
      <w:b w:val="1"/>
      <w:sz w:val="20"/>
      <w:szCs w:val="20"/>
      <w:lang w:eastAsia="en-GB"/>
    </w:rPr>
  </w:style>
  <w:style w:type="paragraph" w:styleId="Level3Number" w:customStyle="1">
    <w:name w:val="Level 3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4Number" w:customStyle="1">
    <w:name w:val="Level 4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5Number" w:customStyle="1">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styleId="Level6Number" w:customStyle="1">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styleId="Level7Number" w:customStyle="1">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styleId="Level8Number" w:customStyle="1">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styleId="BodyText2Char" w:customStyle="1">
    <w:name w:val="Body Text 2 Char"/>
    <w:basedOn w:val="DefaultParagraphFont"/>
    <w:rPr>
      <w:sz w:val="22"/>
      <w:szCs w:val="22"/>
      <w:lang w:eastAsia="en-US"/>
    </w:rPr>
  </w:style>
  <w:style w:type="character" w:styleId="GPSL2NumberedBoldHeadingChar" w:customStyle="1">
    <w:name w:val="GPS L2 Numbered Bold Heading Char"/>
    <w:rPr>
      <w:rFonts w:cs="Arial" w:eastAsia="Times New Roman"/>
      <w:b w:val="1"/>
      <w:sz w:val="22"/>
      <w:szCs w:val="22"/>
      <w:lang w:eastAsia="zh-CN"/>
    </w:rPr>
  </w:style>
  <w:style w:type="paragraph" w:styleId="GPSL2Indent" w:customStyle="1">
    <w:name w:val="GPS L2 Indent"/>
    <w:basedOn w:val="Normal"/>
    <w:pPr>
      <w:tabs>
        <w:tab w:val="left" w:pos="3402"/>
      </w:tabs>
      <w:suppressAutoHyphens w:val="0"/>
      <w:overflowPunct w:val="0"/>
      <w:autoSpaceDE w:val="0"/>
      <w:spacing w:after="220" w:line="240" w:lineRule="auto"/>
      <w:ind w:left="1134"/>
      <w:jc w:val="both"/>
    </w:pPr>
    <w:rPr>
      <w:rFonts w:cs="Arial" w:eastAsia="Times New Roman"/>
      <w:szCs w:val="24"/>
    </w:rPr>
  </w:style>
  <w:style w:type="paragraph" w:styleId="GPSL2Numbered" w:customStyle="1">
    <w:name w:val="GPS L2 Numbered"/>
    <w:basedOn w:val="GPSL2NumberedBoldHeading"/>
    <w:qFormat w:val="1"/>
    <w:pPr>
      <w:tabs>
        <w:tab w:val="left" w:pos="709"/>
      </w:tabs>
      <w:ind w:hanging="360"/>
    </w:pPr>
    <w:rPr>
      <w:b w:val="0"/>
    </w:rPr>
  </w:style>
  <w:style w:type="character" w:styleId="GPSL2NumberedChar" w:customStyle="1">
    <w:name w:val="GPS L2 Numbered Char"/>
    <w:rPr>
      <w:rFonts w:cs="Arial" w:eastAsia="Times New Roman"/>
      <w:sz w:val="22"/>
      <w:szCs w:val="22"/>
      <w:lang w:eastAsia="zh-CN"/>
    </w:rPr>
  </w:style>
  <w:style w:type="character" w:styleId="GPSL2IndentChar" w:customStyle="1">
    <w:name w:val="GPS L2 Indent Char"/>
    <w:rPr>
      <w:rFonts w:cs="Arial" w:eastAsia="Times New Roman"/>
      <w:sz w:val="22"/>
      <w:szCs w:val="24"/>
      <w:lang w:eastAsia="en-US"/>
    </w:rPr>
  </w:style>
  <w:style w:type="character" w:styleId="GPSL4numberedclauseChar" w:customStyle="1">
    <w:name w:val="GPS L4 numbered clause Char"/>
    <w:rPr>
      <w:rFonts w:cs="Arial" w:eastAsia="Times New Roman"/>
      <w:sz w:val="22"/>
      <w:lang w:eastAsia="zh-CN"/>
    </w:rPr>
  </w:style>
  <w:style w:type="paragraph" w:styleId="GPSL3Indent" w:customStyle="1">
    <w:name w:val="GPS L3 Indent"/>
    <w:basedOn w:val="Normal"/>
    <w:pPr>
      <w:tabs>
        <w:tab w:val="left" w:pos="2127"/>
      </w:tabs>
      <w:suppressAutoHyphens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rPr>
      <w:rFonts w:ascii="Arial" w:cs="Arial" w:eastAsia="Times New Roman" w:hAnsi="Arial"/>
      <w:sz w:val="22"/>
      <w:szCs w:val="22"/>
      <w:lang w:eastAsia="zh-CN" w:val="en-US"/>
    </w:rPr>
  </w:style>
  <w:style w:type="character" w:styleId="GPSL5numberedclauseChar" w:customStyle="1">
    <w:name w:val="GPS L5 numbered clause Char"/>
    <w:rPr>
      <w:rFonts w:cs="Arial" w:eastAsia="Times New Roman"/>
      <w:sz w:val="22"/>
      <w:lang w:eastAsia="zh-CN"/>
    </w:rPr>
  </w:style>
  <w:style w:type="paragraph" w:styleId="Body3" w:customStyle="1">
    <w:name w:val="Body3"/>
    <w:basedOn w:val="Normal"/>
    <w:pPr>
      <w:suppressAutoHyphens w:val="0"/>
      <w:spacing w:after="220" w:line="240" w:lineRule="auto"/>
      <w:ind w:left="1412"/>
      <w:jc w:val="both"/>
    </w:pPr>
    <w:rPr>
      <w:rFonts w:ascii="Trebuchet MS" w:eastAsia="Times New Roman" w:hAnsi="Trebuchet MS"/>
      <w:sz w:val="20"/>
      <w:szCs w:val="20"/>
    </w:rPr>
  </w:style>
  <w:style w:type="paragraph" w:styleId="GPSDefinitionTerm" w:customStyle="1">
    <w:name w:val="GPS Definition Term"/>
    <w:basedOn w:val="Normal"/>
    <w:pPr>
      <w:suppressAutoHyphens w:val="0"/>
      <w:overflowPunct w:val="0"/>
      <w:autoSpaceDE w:val="0"/>
      <w:spacing w:after="120" w:line="240" w:lineRule="auto"/>
      <w:ind w:left="-108"/>
    </w:pPr>
    <w:rPr>
      <w:rFonts w:cs="Arial" w:eastAsia="Times New Roman"/>
      <w:b w:val="1"/>
    </w:rPr>
  </w:style>
  <w:style w:type="character" w:styleId="Heading7Char" w:customStyle="1">
    <w:name w:val="Heading 7 Char"/>
    <w:basedOn w:val="DefaultParagraphFont"/>
    <w:rPr>
      <w:rFonts w:ascii="Arial" w:eastAsia="Times New Roman" w:hAnsi="Arial"/>
      <w:sz w:val="22"/>
      <w:szCs w:val="22"/>
      <w:lang w:eastAsia="en-US"/>
    </w:rPr>
  </w:style>
  <w:style w:type="character" w:styleId="Heading8Char" w:customStyle="1">
    <w:name w:val="Heading 8 Char"/>
    <w:basedOn w:val="DefaultParagraphFont"/>
    <w:rPr>
      <w:rFonts w:ascii="Arial" w:eastAsia="Times New Roman" w:hAnsi="Arial"/>
      <w:sz w:val="22"/>
      <w:szCs w:val="22"/>
      <w:lang w:eastAsia="en-US"/>
    </w:rPr>
  </w:style>
  <w:style w:type="paragraph" w:styleId="GPSL4boldheading" w:customStyle="1">
    <w:name w:val="GPS L4 bold heading"/>
    <w:basedOn w:val="GPSL3numberedclause"/>
    <w:pPr>
      <w:numPr>
        <w:numId w:val="5"/>
      </w:numPr>
    </w:pPr>
    <w:rPr>
      <w:b w:val="1"/>
    </w:rPr>
  </w:style>
  <w:style w:type="character" w:styleId="GPSL4boldheadingChar" w:customStyle="1">
    <w:name w:val="GPS L4 bold heading Char"/>
    <w:rPr>
      <w:rFonts w:cs="Arial" w:eastAsia="Times New Roman"/>
      <w:b w:val="1"/>
      <w:sz w:val="22"/>
      <w:szCs w:val="22"/>
      <w:lang w:eastAsia="zh-CN"/>
    </w:rPr>
  </w:style>
  <w:style w:type="numbering" w:styleId="WWOutlineListStyle7" w:customStyle="1">
    <w:name w:val="WW_OutlineListStyle_7"/>
    <w:basedOn w:val="NoList"/>
  </w:style>
  <w:style w:type="numbering" w:styleId="WWOutlineListStyle6" w:customStyle="1">
    <w:name w:val="WW_OutlineListStyle_6"/>
    <w:basedOn w:val="NoList"/>
  </w:style>
  <w:style w:type="numbering" w:styleId="WWOutlineListStyle5" w:customStyle="1">
    <w:name w:val="WW_OutlineListStyle_5"/>
    <w:basedOn w:val="NoList"/>
  </w:style>
  <w:style w:type="numbering" w:styleId="WWOutlineListStyle4" w:customStyle="1">
    <w:name w:val="WW_OutlineListStyle_4"/>
    <w:basedOn w:val="NoList"/>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7" w:customStyle="1">
    <w:name w:val="LFO7"/>
    <w:basedOn w:val="NoList"/>
  </w:style>
  <w:style w:type="numbering" w:styleId="LFO9" w:customStyle="1">
    <w:name w:val="LFO9"/>
    <w:basedOn w:val="NoList"/>
  </w:style>
  <w:style w:type="numbering" w:styleId="LFO10" w:customStyle="1">
    <w:name w:val="LFO10"/>
    <w:basedOn w:val="NoList"/>
  </w:style>
  <w:style w:type="numbering" w:styleId="LFO12" w:customStyle="1">
    <w:name w:val="LFO12"/>
    <w:basedOn w:val="NoList"/>
  </w:style>
  <w:style w:type="numbering" w:styleId="LFO13" w:customStyle="1">
    <w:name w:val="LFO13"/>
    <w:basedOn w:val="NoList"/>
  </w:style>
  <w:style w:type="table" w:styleId="LightShading-Accent5">
    <w:name w:val="Light Shading Accent 5"/>
    <w:basedOn w:val="TableNormal"/>
    <w:uiPriority w:val="60"/>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3-Accent51" w:customStyle="1">
    <w:name w:val="List Table 3 - Accent 51"/>
    <w:basedOn w:val="TableNormal"/>
    <w:uiPriority w:val="4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GridTable2-Accent51" w:customStyle="1">
    <w:name w:val="Grid Table 2 - Accent 51"/>
    <w:basedOn w:val="TableNormal"/>
    <w:uiPriority w:val="47"/>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11" w:customStyle="1">
    <w:name w:val="Grid Table 2 - Accent 11"/>
    <w:basedOn w:val="TableNormal"/>
    <w:uiPriority w:val="47"/>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11" w:customStyle="1">
    <w:name w:val="Grid Table 4 - Accent 11"/>
    <w:basedOn w:val="TableNormal"/>
    <w:uiPriority w:val="49"/>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11" w:customStyle="1">
    <w:name w:val="Grid Table 6 Colorful - Accent 11"/>
    <w:basedOn w:val="TableNormal"/>
    <w:uiPriority w:val="51"/>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lang w:eastAsia="en-US"/>
    </w:rPr>
  </w:style>
  <w:style w:type="character" w:styleId="EndnoteReference">
    <w:name w:val="endnote reference"/>
    <w:basedOn w:val="DefaultParagraphFont"/>
    <w:uiPriority w:val="99"/>
    <w:semiHidden w:val="1"/>
    <w:unhideWhenUsed w:val="1"/>
    <w:rPr>
      <w:vertAlign w:val="superscript"/>
    </w:rPr>
  </w:style>
  <w:style w:type="table" w:styleId="LightList">
    <w:name w:val="Light List"/>
    <w:basedOn w:val="TableNormal"/>
    <w:uiPriority w:val="61"/>
    <w:rsid w:val="00AB5036"/>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0" w:customStyle="1">
    <w:basedOn w:val="TableNormal"/>
    <w:rPr>
      <w:color w:val="366091"/>
    </w:rPr>
    <w:tblPr>
      <w:tblStyleRowBandSize w:val="1"/>
      <w:tblStyleColBandSize w:val="1"/>
    </w:tblPr>
  </w:style>
  <w:style w:type="table" w:styleId="a1"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3" w:customStyle="1">
    <w:basedOn w:val="TableNormal"/>
    <w:rPr>
      <w:color w:val="366091"/>
    </w:rPr>
    <w:tblPr>
      <w:tblStyleRowBandSize w:val="1"/>
      <w:tblStyleColBandSize w:val="1"/>
    </w:tblPr>
  </w:style>
  <w:style w:type="table" w:styleId="a4"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5"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6" w:customStyle="1">
    <w:basedOn w:val="TableNormal"/>
    <w:rPr>
      <w:color w:val="366091"/>
    </w:rPr>
    <w:tblPr>
      <w:tblStyleRowBandSize w:val="1"/>
      <w:tblStyleColBandSize w:val="1"/>
    </w:tblPr>
  </w:style>
  <w:style w:type="table" w:styleId="a7"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8"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9" w:customStyle="1">
    <w:basedOn w:val="TableNormal"/>
    <w:rPr>
      <w:color w:val="366091"/>
    </w:rPr>
    <w:tblPr>
      <w:tblStyleRowBandSize w:val="1"/>
      <w:tblStyleColBandSize w:val="1"/>
    </w:tblPr>
  </w:style>
  <w:style w:type="table" w:styleId="aa" w:customStyle="1">
    <w:basedOn w:val="TableNormal"/>
    <w:rPr>
      <w:color w:val="366091"/>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1.xml"/><Relationship Id="rId12" Type="http://schemas.openxmlformats.org/officeDocument/2006/relationships/image" Target="media/image1.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19i7Qbg4qAojy+cFZlydfuY+A==">AMUW2mVH1U0jjBjyrIlQgmwbd1hv1Dq93zyjBG4/XkXjvdckehsx8ci0JD6UtW0wBfjHE6J2fUrxNc9rMxin6P18bTkrpOnqKaZ2PmV8hXptqRx99xIgVSNWXD2rjO7GikcbWlClI7LUawtBf5SJ+NMGzr7P+bxFE/0uS8imbrNOIdP3f2AsBxIEetwfMyh1kG3UGrHbq3MzDzZwArGrqlmtUeBS1yXv6y9B2EN9xcyKmL9SfkPhuEM=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2022-02-24T10:49:00Z</dcterms:created>
  <dc:creator>Eileen Waters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