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C5B52" w14:textId="77777777" w:rsidR="006D115E" w:rsidRPr="003C5743" w:rsidRDefault="006D115E" w:rsidP="006D115E">
      <w:pPr>
        <w:tabs>
          <w:tab w:val="num" w:pos="700"/>
          <w:tab w:val="num" w:pos="1100"/>
        </w:tabs>
        <w:spacing w:before="120" w:after="120"/>
        <w:jc w:val="both"/>
        <w:rPr>
          <w:rFonts w:cs="Arial"/>
          <w:b/>
          <w:sz w:val="28"/>
          <w:szCs w:val="28"/>
        </w:rPr>
      </w:pPr>
      <w:bookmarkStart w:id="0" w:name="_Toc488747433"/>
      <w:r w:rsidRPr="003C5743">
        <w:rPr>
          <w:rFonts w:cs="Arial"/>
          <w:b/>
          <w:sz w:val="28"/>
          <w:szCs w:val="28"/>
        </w:rPr>
        <w:t xml:space="preserve">Section D – Tender Evaluation </w:t>
      </w:r>
    </w:p>
    <w:p w14:paraId="3AA83CE5" w14:textId="77777777" w:rsidR="006D115E" w:rsidRPr="003C5743" w:rsidRDefault="006D115E" w:rsidP="006D115E">
      <w:pPr>
        <w:tabs>
          <w:tab w:val="num" w:pos="700"/>
          <w:tab w:val="num" w:pos="1100"/>
        </w:tabs>
        <w:spacing w:before="120" w:after="120"/>
        <w:jc w:val="both"/>
        <w:rPr>
          <w:rFonts w:cs="Arial"/>
          <w:b/>
          <w:sz w:val="28"/>
          <w:szCs w:val="28"/>
        </w:rPr>
      </w:pPr>
      <w:r w:rsidRPr="003C5743">
        <w:rPr>
          <w:rFonts w:cs="Arial"/>
          <w:b/>
          <w:sz w:val="28"/>
          <w:szCs w:val="28"/>
        </w:rPr>
        <w:t xml:space="preserve">Negotiated Procedure (NP) </w:t>
      </w:r>
    </w:p>
    <w:p w14:paraId="062F3C29" w14:textId="77777777" w:rsidR="00C9208C" w:rsidRPr="003C5743" w:rsidRDefault="00155DC3" w:rsidP="00155DC3">
      <w:pPr>
        <w:keepNext/>
        <w:overflowPunct w:val="0"/>
        <w:autoSpaceDE w:val="0"/>
        <w:autoSpaceDN w:val="0"/>
        <w:adjustRightInd w:val="0"/>
        <w:spacing w:before="240" w:after="60" w:line="240" w:lineRule="auto"/>
        <w:textAlignment w:val="baseline"/>
        <w:outlineLvl w:val="2"/>
        <w:rPr>
          <w:rFonts w:ascii="Arial" w:eastAsia="Times New Roman" w:hAnsi="Arial" w:cs="Arial"/>
          <w:b/>
          <w:kern w:val="22"/>
        </w:rPr>
      </w:pPr>
      <w:r w:rsidRPr="003C5743">
        <w:rPr>
          <w:rFonts w:ascii="Arial" w:eastAsia="Times New Roman" w:hAnsi="Arial" w:cs="Arial"/>
          <w:b/>
          <w:kern w:val="22"/>
        </w:rPr>
        <w:t>Introduction</w:t>
      </w:r>
      <w:bookmarkEnd w:id="0"/>
      <w:r w:rsidRPr="003C5743">
        <w:rPr>
          <w:rFonts w:ascii="Arial" w:eastAsia="Times New Roman" w:hAnsi="Arial" w:cs="Arial"/>
          <w:b/>
          <w:kern w:val="22"/>
        </w:rPr>
        <w:t xml:space="preserve"> </w:t>
      </w:r>
    </w:p>
    <w:p w14:paraId="5D23ADBC" w14:textId="77777777" w:rsidR="00C9208C" w:rsidRPr="003C5743" w:rsidRDefault="00C9208C" w:rsidP="00155DC3">
      <w:pPr>
        <w:keepNext/>
        <w:overflowPunct w:val="0"/>
        <w:autoSpaceDE w:val="0"/>
        <w:autoSpaceDN w:val="0"/>
        <w:adjustRightInd w:val="0"/>
        <w:spacing w:before="240" w:after="60" w:line="240" w:lineRule="auto"/>
        <w:textAlignment w:val="baseline"/>
        <w:outlineLvl w:val="2"/>
        <w:rPr>
          <w:rFonts w:ascii="Arial" w:eastAsia="Times New Roman" w:hAnsi="Arial" w:cs="Arial"/>
          <w:b/>
          <w:kern w:val="22"/>
        </w:rPr>
      </w:pPr>
    </w:p>
    <w:p w14:paraId="3CCCF205" w14:textId="77777777" w:rsidR="00155DC3" w:rsidRPr="003C5743" w:rsidRDefault="00155DC3" w:rsidP="00DD32C3">
      <w:pPr>
        <w:numPr>
          <w:ilvl w:val="0"/>
          <w:numId w:val="1"/>
        </w:numPr>
        <w:spacing w:after="0" w:line="240" w:lineRule="auto"/>
        <w:jc w:val="both"/>
        <w:rPr>
          <w:rFonts w:ascii="Arial" w:eastAsia="Times New Roman" w:hAnsi="Arial" w:cs="Arial"/>
        </w:rPr>
      </w:pPr>
      <w:r w:rsidRPr="003C5743">
        <w:rPr>
          <w:rFonts w:ascii="Arial" w:eastAsia="Times New Roman" w:hAnsi="Arial" w:cs="Arial"/>
        </w:rPr>
        <w:t>This section contains further detail on the Tender Evaluation process as well as the specific marking criteria, scores and applicable weightings for each stage of evaluation.</w:t>
      </w:r>
    </w:p>
    <w:p w14:paraId="1D6D72CD" w14:textId="77777777" w:rsidR="00155DC3" w:rsidRPr="003C5743" w:rsidRDefault="00155DC3" w:rsidP="00DD32C3">
      <w:pPr>
        <w:spacing w:after="0" w:line="240" w:lineRule="auto"/>
        <w:jc w:val="both"/>
        <w:rPr>
          <w:rFonts w:ascii="Arial" w:eastAsia="Times New Roman" w:hAnsi="Arial" w:cs="Arial"/>
        </w:rPr>
      </w:pPr>
    </w:p>
    <w:p w14:paraId="55A99907" w14:textId="06B99FD6" w:rsidR="00775637" w:rsidRPr="003C5743" w:rsidRDefault="00155DC3" w:rsidP="00775637">
      <w:pPr>
        <w:numPr>
          <w:ilvl w:val="0"/>
          <w:numId w:val="1"/>
        </w:numPr>
        <w:spacing w:after="0" w:line="240" w:lineRule="auto"/>
        <w:jc w:val="both"/>
        <w:rPr>
          <w:rFonts w:ascii="Arial" w:eastAsia="Times New Roman" w:hAnsi="Arial" w:cs="Arial"/>
        </w:rPr>
      </w:pPr>
      <w:r w:rsidRPr="003C5743">
        <w:rPr>
          <w:rFonts w:ascii="Arial" w:eastAsia="Times New Roman" w:hAnsi="Arial" w:cs="Arial"/>
        </w:rPr>
        <w:t xml:space="preserve">Tenderers are reminded that all Tender submissions will ONLY be evaluated on the information and evidence provided within the Tender. Tenderers must not assume any prior knowledge that the Authority may have, as this will not be </w:t>
      </w:r>
      <w:proofErr w:type="gramStart"/>
      <w:r w:rsidRPr="003C5743">
        <w:rPr>
          <w:rFonts w:ascii="Arial" w:eastAsia="Times New Roman" w:hAnsi="Arial" w:cs="Arial"/>
        </w:rPr>
        <w:t>taken into account</w:t>
      </w:r>
      <w:proofErr w:type="gramEnd"/>
      <w:r w:rsidRPr="003C5743">
        <w:rPr>
          <w:rFonts w:ascii="Arial" w:eastAsia="Times New Roman" w:hAnsi="Arial" w:cs="Arial"/>
        </w:rPr>
        <w:t xml:space="preserve"> in the evaluation process. In addition, Tenderers are to note that different elements of all Tender submissions will be evaluated by different members of the Authority’s evaluation team in isolation.  Therefore, the Tenderer must ensure all cross-references to other sections within its Tender are clear and accurate, and not assume that an evaluator has had sight of other sections of its Tender.</w:t>
      </w:r>
      <w:r w:rsidR="000006C1" w:rsidRPr="003C5743">
        <w:rPr>
          <w:rFonts w:ascii="Arial" w:eastAsia="Times New Roman" w:hAnsi="Arial" w:cs="Arial"/>
        </w:rPr>
        <w:t xml:space="preserve"> </w:t>
      </w:r>
      <w:r w:rsidR="00775637" w:rsidRPr="003C5743">
        <w:rPr>
          <w:rFonts w:ascii="Arial" w:eastAsia="Times New Roman" w:hAnsi="Arial" w:cs="Arial"/>
        </w:rPr>
        <w:t xml:space="preserve">Where sections of the Tender rely on or are linked to information included within other sections the Tenderer is to clearly identify these relationships within </w:t>
      </w:r>
      <w:r w:rsidR="00B85101">
        <w:rPr>
          <w:rFonts w:ascii="Arial" w:eastAsia="Times New Roman" w:hAnsi="Arial" w:cs="Arial"/>
        </w:rPr>
        <w:t>all</w:t>
      </w:r>
      <w:r w:rsidR="00775637" w:rsidRPr="003C5743">
        <w:rPr>
          <w:rFonts w:ascii="Arial" w:eastAsia="Times New Roman" w:hAnsi="Arial" w:cs="Arial"/>
        </w:rPr>
        <w:t xml:space="preserve"> sections.</w:t>
      </w:r>
    </w:p>
    <w:p w14:paraId="0AD9D2CE" w14:textId="31ED1CBA" w:rsidR="00155DC3" w:rsidRPr="003C5743" w:rsidRDefault="00155DC3" w:rsidP="00775637">
      <w:pPr>
        <w:spacing w:after="0" w:line="240" w:lineRule="auto"/>
        <w:ind w:left="360"/>
        <w:jc w:val="both"/>
        <w:rPr>
          <w:rFonts w:ascii="Arial" w:eastAsia="Times New Roman" w:hAnsi="Arial" w:cs="Arial"/>
        </w:rPr>
      </w:pPr>
    </w:p>
    <w:p w14:paraId="6178E261" w14:textId="77777777" w:rsidR="00155DC3" w:rsidRPr="003C5743" w:rsidRDefault="00155DC3" w:rsidP="00DD32C3">
      <w:pPr>
        <w:spacing w:after="0" w:line="240" w:lineRule="auto"/>
        <w:jc w:val="both"/>
        <w:rPr>
          <w:rFonts w:ascii="Arial" w:eastAsia="Times New Roman" w:hAnsi="Arial" w:cs="Arial"/>
        </w:rPr>
      </w:pPr>
    </w:p>
    <w:p w14:paraId="75919042" w14:textId="77777777" w:rsidR="00155DC3" w:rsidRPr="003C5743" w:rsidRDefault="00155DC3" w:rsidP="00155DC3">
      <w:pPr>
        <w:keepNext/>
        <w:overflowPunct w:val="0"/>
        <w:autoSpaceDE w:val="0"/>
        <w:autoSpaceDN w:val="0"/>
        <w:adjustRightInd w:val="0"/>
        <w:spacing w:after="0" w:line="276" w:lineRule="auto"/>
        <w:textAlignment w:val="baseline"/>
        <w:outlineLvl w:val="0"/>
        <w:rPr>
          <w:rFonts w:ascii="Arial" w:eastAsia="Times New Roman" w:hAnsi="Arial" w:cs="Arial"/>
          <w:b/>
          <w:bCs/>
          <w:kern w:val="32"/>
        </w:rPr>
      </w:pPr>
      <w:r w:rsidRPr="003C5743">
        <w:rPr>
          <w:rFonts w:ascii="Arial" w:eastAsia="Times New Roman" w:hAnsi="Arial" w:cs="Arial"/>
          <w:b/>
          <w:bCs/>
          <w:kern w:val="32"/>
        </w:rPr>
        <w:t>Contract Evaluation Criteria</w:t>
      </w:r>
    </w:p>
    <w:p w14:paraId="6C5818D4" w14:textId="77777777" w:rsidR="00C9208C" w:rsidRPr="003C5743" w:rsidRDefault="00C9208C" w:rsidP="00155DC3">
      <w:pPr>
        <w:keepNext/>
        <w:overflowPunct w:val="0"/>
        <w:autoSpaceDE w:val="0"/>
        <w:autoSpaceDN w:val="0"/>
        <w:adjustRightInd w:val="0"/>
        <w:spacing w:after="0" w:line="276" w:lineRule="auto"/>
        <w:textAlignment w:val="baseline"/>
        <w:outlineLvl w:val="0"/>
        <w:rPr>
          <w:rFonts w:ascii="Arial" w:eastAsia="Times New Roman" w:hAnsi="Arial" w:cs="Arial"/>
          <w:b/>
          <w:bCs/>
          <w:kern w:val="32"/>
        </w:rPr>
      </w:pPr>
    </w:p>
    <w:p w14:paraId="0ABD69BD" w14:textId="77777777" w:rsidR="00155DC3" w:rsidRPr="003C5743" w:rsidRDefault="00155DC3" w:rsidP="00DD32C3">
      <w:pPr>
        <w:numPr>
          <w:ilvl w:val="0"/>
          <w:numId w:val="1"/>
        </w:numPr>
        <w:spacing w:after="0" w:line="240" w:lineRule="auto"/>
        <w:jc w:val="both"/>
        <w:rPr>
          <w:rFonts w:ascii="Arial" w:eastAsia="Times New Roman" w:hAnsi="Arial" w:cs="Arial"/>
        </w:rPr>
      </w:pPr>
      <w:r w:rsidRPr="003C5743">
        <w:rPr>
          <w:rFonts w:ascii="Arial" w:eastAsia="Times New Roman" w:hAnsi="Arial" w:cs="Arial"/>
        </w:rPr>
        <w:t>This Contract will be awarded using the negotiated procedure under Regulation 18 of the Defence and Security Public Contract Regulations (DSPCR) 2011 (the “Negotiated Procedure”). Using the Negotiated Procedure enables the Authority to act flexibly not only at the time it awards the contract but also during prior discussions.  This allows the Authority to conduct negotiations with Tenderers and a phased down-selection may form part of the process (if appropriate). </w:t>
      </w:r>
    </w:p>
    <w:p w14:paraId="1F8E40B8" w14:textId="77777777" w:rsidR="00155DC3" w:rsidRPr="003C5743" w:rsidRDefault="00155DC3" w:rsidP="00DD32C3">
      <w:pPr>
        <w:spacing w:after="0" w:line="240" w:lineRule="auto"/>
        <w:jc w:val="both"/>
        <w:rPr>
          <w:rFonts w:ascii="Arial" w:eastAsia="Times New Roman" w:hAnsi="Arial" w:cs="Arial"/>
        </w:rPr>
      </w:pPr>
    </w:p>
    <w:p w14:paraId="2F558A24" w14:textId="55F01ABD" w:rsidR="00155DC3" w:rsidRPr="003C5743" w:rsidRDefault="00155DC3" w:rsidP="00DD32C3">
      <w:pPr>
        <w:numPr>
          <w:ilvl w:val="0"/>
          <w:numId w:val="1"/>
        </w:numPr>
        <w:spacing w:after="0" w:line="240" w:lineRule="auto"/>
        <w:jc w:val="both"/>
        <w:rPr>
          <w:rFonts w:ascii="Arial" w:eastAsia="Times New Roman" w:hAnsi="Arial" w:cs="Arial"/>
        </w:rPr>
      </w:pPr>
      <w:r w:rsidRPr="003C5743">
        <w:rPr>
          <w:rFonts w:ascii="Arial" w:eastAsia="Times New Roman" w:hAnsi="Arial" w:cs="Arial"/>
        </w:rPr>
        <w:t xml:space="preserve">The procedure to award the contract for the </w:t>
      </w:r>
      <w:r w:rsidR="006D115E" w:rsidRPr="003C5743">
        <w:rPr>
          <w:rFonts w:ascii="Arial" w:eastAsia="Times New Roman" w:hAnsi="Arial" w:cs="Arial"/>
        </w:rPr>
        <w:t>Police Patrol Craft</w:t>
      </w:r>
      <w:r w:rsidR="00963A90" w:rsidRPr="003C5743">
        <w:rPr>
          <w:rFonts w:ascii="Arial" w:eastAsia="Times New Roman" w:hAnsi="Arial" w:cs="Arial"/>
        </w:rPr>
        <w:t xml:space="preserve"> (PPC)</w:t>
      </w:r>
      <w:r w:rsidRPr="003C5743">
        <w:rPr>
          <w:rFonts w:ascii="Arial" w:eastAsia="Times New Roman" w:hAnsi="Arial" w:cs="Arial"/>
        </w:rPr>
        <w:t xml:space="preserve"> shall be conducted in accordance with the procedure set out in this ITN and shall be awarded </w:t>
      </w:r>
      <w:proofErr w:type="gramStart"/>
      <w:r w:rsidRPr="003C5743">
        <w:rPr>
          <w:rFonts w:ascii="Arial" w:eastAsia="Times New Roman" w:hAnsi="Arial" w:cs="Arial"/>
        </w:rPr>
        <w:t>on the basis of</w:t>
      </w:r>
      <w:proofErr w:type="gramEnd"/>
      <w:r w:rsidRPr="003C5743">
        <w:rPr>
          <w:rFonts w:ascii="Arial" w:eastAsia="Times New Roman" w:hAnsi="Arial" w:cs="Arial"/>
        </w:rPr>
        <w:t xml:space="preserve"> the offer which is the Most Economically Advantageous Tender (MEAT) from the point of view of the Authority.</w:t>
      </w:r>
      <w:r w:rsidRPr="003C5743">
        <w:rPr>
          <w:rFonts w:ascii="Arial" w:eastAsia="Times New Roman" w:hAnsi="Arial" w:cs="Arial"/>
          <w:lang w:val="en-US"/>
        </w:rPr>
        <w:t> </w:t>
      </w:r>
      <w:r w:rsidR="4CE75A62" w:rsidRPr="003C5743">
        <w:rPr>
          <w:rFonts w:ascii="Arial" w:eastAsia="Times New Roman" w:hAnsi="Arial" w:cs="Arial"/>
          <w:lang w:val="en-US"/>
        </w:rPr>
        <w:t>The ratio</w:t>
      </w:r>
      <w:r w:rsidR="4D1E43E0" w:rsidRPr="003C5743">
        <w:rPr>
          <w:rFonts w:ascii="Arial" w:eastAsia="Times New Roman" w:hAnsi="Arial" w:cs="Arial"/>
          <w:lang w:val="en-US"/>
        </w:rPr>
        <w:t xml:space="preserve"> between the sections are</w:t>
      </w:r>
      <w:r w:rsidR="070B7DA1" w:rsidRPr="003C5743">
        <w:rPr>
          <w:rFonts w:ascii="Arial" w:eastAsia="Times New Roman" w:hAnsi="Arial" w:cs="Arial"/>
          <w:lang w:val="en-US"/>
        </w:rPr>
        <w:t xml:space="preserve"> </w:t>
      </w:r>
      <w:r w:rsidR="17EFC567" w:rsidRPr="003C5743">
        <w:rPr>
          <w:rFonts w:ascii="Arial" w:eastAsia="Times New Roman" w:hAnsi="Arial" w:cs="Arial"/>
          <w:lang w:val="en-US"/>
        </w:rPr>
        <w:t>proportioned as follows</w:t>
      </w:r>
      <w:r w:rsidR="00430247" w:rsidRPr="003C5743">
        <w:rPr>
          <w:rFonts w:ascii="Arial" w:eastAsia="Times New Roman" w:hAnsi="Arial" w:cs="Arial"/>
          <w:lang w:val="en-US"/>
        </w:rPr>
        <w:t>:</w:t>
      </w:r>
      <w:r w:rsidR="17EFC567" w:rsidRPr="003C5743">
        <w:rPr>
          <w:rFonts w:ascii="Arial" w:eastAsia="Times New Roman" w:hAnsi="Arial" w:cs="Arial"/>
          <w:lang w:val="en-US"/>
        </w:rPr>
        <w:t xml:space="preserve"> </w:t>
      </w:r>
      <w:r w:rsidR="070B7DA1" w:rsidRPr="003C5743">
        <w:rPr>
          <w:rFonts w:ascii="Arial" w:eastAsia="Times New Roman" w:hAnsi="Arial" w:cs="Arial"/>
          <w:lang w:val="en-US"/>
        </w:rPr>
        <w:t>55.5</w:t>
      </w:r>
      <w:r w:rsidR="4D1E43E0" w:rsidRPr="003C5743">
        <w:rPr>
          <w:rFonts w:ascii="Arial" w:eastAsia="Times New Roman" w:hAnsi="Arial" w:cs="Arial"/>
          <w:lang w:val="en-US"/>
        </w:rPr>
        <w:t xml:space="preserve">% Technical, </w:t>
      </w:r>
      <w:r w:rsidR="070B7DA1" w:rsidRPr="003C5743">
        <w:rPr>
          <w:rFonts w:ascii="Arial" w:eastAsia="Times New Roman" w:hAnsi="Arial" w:cs="Arial"/>
          <w:lang w:val="en-US"/>
        </w:rPr>
        <w:t>4.5</w:t>
      </w:r>
      <w:r w:rsidR="17EFC567" w:rsidRPr="003C5743">
        <w:rPr>
          <w:rFonts w:ascii="Arial" w:eastAsia="Times New Roman" w:hAnsi="Arial" w:cs="Arial"/>
          <w:lang w:val="en-US"/>
        </w:rPr>
        <w:t xml:space="preserve">% </w:t>
      </w:r>
      <w:r w:rsidR="070B7DA1" w:rsidRPr="003C5743">
        <w:rPr>
          <w:rFonts w:ascii="Arial" w:eastAsia="Times New Roman" w:hAnsi="Arial" w:cs="Arial"/>
          <w:lang w:val="en-US"/>
        </w:rPr>
        <w:t>Supportability</w:t>
      </w:r>
      <w:r w:rsidR="17EFC567" w:rsidRPr="003C5743">
        <w:rPr>
          <w:rFonts w:ascii="Arial" w:eastAsia="Times New Roman" w:hAnsi="Arial" w:cs="Arial"/>
          <w:lang w:val="en-US"/>
        </w:rPr>
        <w:t xml:space="preserve"> and </w:t>
      </w:r>
      <w:r w:rsidR="4BB200B7" w:rsidRPr="003C5743">
        <w:rPr>
          <w:rFonts w:ascii="Arial" w:eastAsia="Times New Roman" w:hAnsi="Arial" w:cs="Arial"/>
          <w:lang w:val="en-US"/>
        </w:rPr>
        <w:t>40%</w:t>
      </w:r>
      <w:r w:rsidR="17EFC567" w:rsidRPr="003C5743">
        <w:rPr>
          <w:rFonts w:ascii="Arial" w:eastAsia="Times New Roman" w:hAnsi="Arial" w:cs="Arial"/>
          <w:lang w:val="en-US"/>
        </w:rPr>
        <w:t xml:space="preserve"> </w:t>
      </w:r>
      <w:r w:rsidR="25559BA3" w:rsidRPr="003C5743">
        <w:rPr>
          <w:rFonts w:ascii="Arial" w:eastAsia="Times New Roman" w:hAnsi="Arial" w:cs="Arial"/>
          <w:lang w:val="en-US"/>
        </w:rPr>
        <w:t>Price</w:t>
      </w:r>
      <w:r w:rsidR="17EFC567" w:rsidRPr="003C5743">
        <w:rPr>
          <w:rFonts w:ascii="Arial" w:eastAsia="Times New Roman" w:hAnsi="Arial" w:cs="Arial"/>
          <w:lang w:val="en-US"/>
        </w:rPr>
        <w:t>.</w:t>
      </w:r>
    </w:p>
    <w:p w14:paraId="7FA162DD" w14:textId="77777777" w:rsidR="00C9208C" w:rsidRPr="003C5743" w:rsidRDefault="00155DC3" w:rsidP="00155DC3">
      <w:pPr>
        <w:keepNext/>
        <w:overflowPunct w:val="0"/>
        <w:autoSpaceDE w:val="0"/>
        <w:autoSpaceDN w:val="0"/>
        <w:adjustRightInd w:val="0"/>
        <w:spacing w:before="240" w:after="60" w:line="240" w:lineRule="auto"/>
        <w:textAlignment w:val="baseline"/>
        <w:outlineLvl w:val="2"/>
        <w:rPr>
          <w:rFonts w:ascii="Arial" w:eastAsia="Times New Roman" w:hAnsi="Arial" w:cs="Arial"/>
          <w:b/>
          <w:kern w:val="22"/>
          <w:lang w:eastAsia="en-GB"/>
        </w:rPr>
      </w:pPr>
      <w:bookmarkStart w:id="1" w:name="_Toc488747436"/>
      <w:r w:rsidRPr="003C5743">
        <w:rPr>
          <w:rFonts w:ascii="Arial" w:eastAsia="Times New Roman" w:hAnsi="Arial" w:cs="Arial"/>
          <w:b/>
          <w:kern w:val="22"/>
          <w:lang w:eastAsia="en-GB"/>
        </w:rPr>
        <w:t>Evaluation of Tenderers Responses</w:t>
      </w:r>
      <w:bookmarkEnd w:id="1"/>
      <w:r w:rsidRPr="003C5743">
        <w:rPr>
          <w:rFonts w:ascii="Arial" w:eastAsia="Times New Roman" w:hAnsi="Arial" w:cs="Arial"/>
          <w:b/>
          <w:kern w:val="22"/>
          <w:lang w:eastAsia="en-GB"/>
        </w:rPr>
        <w:t xml:space="preserve"> </w:t>
      </w:r>
    </w:p>
    <w:p w14:paraId="6D5AA5AE" w14:textId="77777777" w:rsidR="00C9208C" w:rsidRPr="003C5743" w:rsidRDefault="00C9208C" w:rsidP="00155DC3">
      <w:pPr>
        <w:keepNext/>
        <w:overflowPunct w:val="0"/>
        <w:autoSpaceDE w:val="0"/>
        <w:autoSpaceDN w:val="0"/>
        <w:adjustRightInd w:val="0"/>
        <w:spacing w:before="240" w:after="60" w:line="240" w:lineRule="auto"/>
        <w:textAlignment w:val="baseline"/>
        <w:outlineLvl w:val="2"/>
        <w:rPr>
          <w:rFonts w:ascii="Arial" w:eastAsia="Times New Roman" w:hAnsi="Arial" w:cs="Arial"/>
          <w:b/>
          <w:kern w:val="22"/>
          <w:lang w:eastAsia="en-GB"/>
        </w:rPr>
      </w:pPr>
    </w:p>
    <w:p w14:paraId="4992E58B" w14:textId="7410BF2D" w:rsidR="00155DC3" w:rsidRPr="00661839" w:rsidRDefault="7E19EFB6" w:rsidP="7E19EFB6">
      <w:pPr>
        <w:numPr>
          <w:ilvl w:val="0"/>
          <w:numId w:val="1"/>
        </w:numPr>
        <w:spacing w:after="0" w:line="240" w:lineRule="auto"/>
        <w:jc w:val="both"/>
        <w:rPr>
          <w:rFonts w:ascii="Arial" w:eastAsia="Times New Roman" w:hAnsi="Arial" w:cs="Arial"/>
          <w:lang w:val="en-US"/>
        </w:rPr>
      </w:pPr>
      <w:r w:rsidRPr="7E19EFB6">
        <w:rPr>
          <w:rFonts w:ascii="Arial" w:eastAsia="Times New Roman" w:hAnsi="Arial" w:cs="Arial"/>
        </w:rPr>
        <w:t xml:space="preserve">The Authority will evaluate the Tenderers’ proposals in a process comprising of 9 Stages as detailed below. Tenderers should note that Stage 1 through 4 will run concurrently. A Tenderer shall be excluded from continuing through the latter phases (8 &amp; 9) of this tendering exercise should it be assessed as a result of the Commercial, Technical or Project Deliverables Evaluation that a Tenderer scores Zero (0), is “Non-Compliant” or FAILs any single </w:t>
      </w:r>
      <w:proofErr w:type="spellStart"/>
      <w:r w:rsidRPr="7E19EFB6">
        <w:rPr>
          <w:rFonts w:ascii="Arial" w:eastAsia="Times New Roman" w:hAnsi="Arial" w:cs="Arial"/>
        </w:rPr>
        <w:t>SoTR</w:t>
      </w:r>
      <w:proofErr w:type="spellEnd"/>
      <w:r w:rsidRPr="7E19EFB6">
        <w:rPr>
          <w:rFonts w:ascii="Arial" w:eastAsia="Times New Roman" w:hAnsi="Arial" w:cs="Arial"/>
        </w:rPr>
        <w:t xml:space="preserve"> (Statement of Technical Requirement, Schedule 2) requirement or Tender deliverable (or part thereof).</w:t>
      </w:r>
      <w:r w:rsidRPr="7E19EFB6">
        <w:rPr>
          <w:rFonts w:ascii="Arial" w:eastAsia="Times New Roman" w:hAnsi="Arial" w:cs="Arial"/>
          <w:lang w:val="en-US"/>
        </w:rPr>
        <w:t xml:space="preserve">  For the avoidance of doubt a score of zero against the WTLS MEAT score will not result in a Tenderer being excluded from the competition. </w:t>
      </w:r>
    </w:p>
    <w:p w14:paraId="237CDD8A" w14:textId="77777777" w:rsidR="00155DC3" w:rsidRPr="003C5743" w:rsidRDefault="00155DC3" w:rsidP="00155DC3">
      <w:pPr>
        <w:spacing w:after="0" w:line="240" w:lineRule="auto"/>
        <w:rPr>
          <w:rFonts w:ascii="Arial" w:eastAsia="Times New Roman" w:hAnsi="Arial" w:cs="Arial"/>
        </w:rPr>
      </w:pPr>
    </w:p>
    <w:p w14:paraId="084BBB06" w14:textId="13449A59" w:rsidR="00155DC3" w:rsidRPr="003C5743" w:rsidRDefault="00155DC3" w:rsidP="00DD32C3">
      <w:pPr>
        <w:numPr>
          <w:ilvl w:val="0"/>
          <w:numId w:val="1"/>
        </w:numPr>
        <w:spacing w:after="0" w:line="240" w:lineRule="auto"/>
        <w:jc w:val="both"/>
        <w:rPr>
          <w:rFonts w:ascii="Arial" w:eastAsia="Times New Roman" w:hAnsi="Arial" w:cs="Arial"/>
        </w:rPr>
      </w:pPr>
      <w:r w:rsidRPr="003C5743">
        <w:rPr>
          <w:rFonts w:ascii="Arial" w:eastAsia="Times New Roman" w:hAnsi="Arial" w:cs="Arial"/>
        </w:rPr>
        <w:t xml:space="preserve">Where there are two or more evaluators for any aspect of the Tender, a consensus evaluator will be allocated to agree the overall score. A moderation board at senior level within </w:t>
      </w:r>
      <w:r w:rsidR="0028357C">
        <w:rPr>
          <w:rFonts w:ascii="Arial" w:eastAsia="Times New Roman" w:hAnsi="Arial" w:cs="Arial"/>
        </w:rPr>
        <w:t>the Authority</w:t>
      </w:r>
      <w:r w:rsidRPr="003C5743">
        <w:rPr>
          <w:rFonts w:ascii="Arial" w:eastAsia="Times New Roman" w:hAnsi="Arial" w:cs="Arial"/>
        </w:rPr>
        <w:t xml:space="preserve"> will review the individual outputs from the evaluators to ensure overall consistency and robustness of scoring.</w:t>
      </w:r>
    </w:p>
    <w:p w14:paraId="5C527805" w14:textId="77777777" w:rsidR="00155DC3" w:rsidRPr="003C5743" w:rsidRDefault="00155DC3" w:rsidP="00DD32C3">
      <w:pPr>
        <w:spacing w:after="0" w:line="240" w:lineRule="auto"/>
        <w:jc w:val="both"/>
        <w:rPr>
          <w:rFonts w:ascii="Arial" w:eastAsia="Times New Roman" w:hAnsi="Arial" w:cs="Arial"/>
        </w:rPr>
      </w:pPr>
    </w:p>
    <w:p w14:paraId="62D34369" w14:textId="77777777" w:rsidR="00155DC3" w:rsidRPr="003C5743" w:rsidRDefault="00155DC3" w:rsidP="00DD32C3">
      <w:pPr>
        <w:numPr>
          <w:ilvl w:val="0"/>
          <w:numId w:val="1"/>
        </w:numPr>
        <w:spacing w:after="0" w:line="240" w:lineRule="auto"/>
        <w:jc w:val="both"/>
        <w:rPr>
          <w:rFonts w:ascii="Arial" w:eastAsia="Times New Roman" w:hAnsi="Arial" w:cs="Arial"/>
        </w:rPr>
      </w:pPr>
      <w:r w:rsidRPr="003C5743">
        <w:rPr>
          <w:rFonts w:ascii="Arial" w:eastAsia="Times New Roman" w:hAnsi="Arial" w:cs="Arial"/>
        </w:rPr>
        <w:t>The process is designed to result in a down select to one Tenderer who shall be awarded a Contract for the Design</w:t>
      </w:r>
      <w:r w:rsidR="00A4593E" w:rsidRPr="003C5743">
        <w:rPr>
          <w:rFonts w:ascii="Arial" w:eastAsia="Times New Roman" w:hAnsi="Arial" w:cs="Arial"/>
        </w:rPr>
        <w:t xml:space="preserve"> and </w:t>
      </w:r>
      <w:r w:rsidRPr="003C5743">
        <w:rPr>
          <w:rFonts w:ascii="Arial" w:eastAsia="Times New Roman" w:hAnsi="Arial" w:cs="Arial"/>
        </w:rPr>
        <w:t xml:space="preserve">Build of </w:t>
      </w:r>
      <w:r w:rsidR="00A4593E" w:rsidRPr="003C5743">
        <w:rPr>
          <w:rFonts w:ascii="Arial" w:eastAsia="Times New Roman" w:hAnsi="Arial" w:cs="Arial"/>
        </w:rPr>
        <w:t>Police Patrol Craft (PPC).</w:t>
      </w:r>
      <w:r w:rsidRPr="003C5743">
        <w:rPr>
          <w:rFonts w:ascii="Arial" w:eastAsia="Times New Roman" w:hAnsi="Arial" w:cs="Arial"/>
        </w:rPr>
        <w:t xml:space="preserve"> </w:t>
      </w:r>
    </w:p>
    <w:p w14:paraId="5DCE0D0D" w14:textId="77777777" w:rsidR="00772293" w:rsidRPr="003C5743" w:rsidRDefault="00772293" w:rsidP="00DD32C3">
      <w:pPr>
        <w:spacing w:after="0" w:line="240" w:lineRule="auto"/>
        <w:jc w:val="both"/>
        <w:rPr>
          <w:rFonts w:ascii="Arial" w:eastAsia="Times New Roman" w:hAnsi="Arial" w:cs="Arial"/>
        </w:rPr>
      </w:pPr>
    </w:p>
    <w:p w14:paraId="44D799DE" w14:textId="77777777" w:rsidR="00155DC3" w:rsidRPr="003C5743" w:rsidRDefault="00155DC3" w:rsidP="00155DC3">
      <w:pPr>
        <w:spacing w:after="0" w:line="240" w:lineRule="auto"/>
        <w:rPr>
          <w:rFonts w:ascii="Arial" w:eastAsia="Times New Roman" w:hAnsi="Arial" w:cs="Arial"/>
        </w:rPr>
      </w:pPr>
    </w:p>
    <w:p w14:paraId="62343E5C" w14:textId="14758F05"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Stage 1 – Commercial Evaluation</w:t>
      </w:r>
    </w:p>
    <w:p w14:paraId="7CFC7D4B" w14:textId="77777777" w:rsidR="002E2D02" w:rsidRPr="003C5743" w:rsidRDefault="002E2D02" w:rsidP="002E2D02">
      <w:pPr>
        <w:spacing w:after="200" w:line="276" w:lineRule="auto"/>
        <w:ind w:left="1440"/>
        <w:contextualSpacing/>
        <w:rPr>
          <w:rFonts w:ascii="Arial" w:eastAsia="Times New Roman" w:hAnsi="Arial" w:cs="Arial"/>
        </w:rPr>
      </w:pPr>
    </w:p>
    <w:p w14:paraId="09494643" w14:textId="03C6FCAF" w:rsidR="00155DC3" w:rsidRPr="003C5743" w:rsidRDefault="1D9B1110" w:rsidP="1D9B1110">
      <w:pPr>
        <w:spacing w:after="200" w:line="276" w:lineRule="auto"/>
        <w:ind w:left="1440"/>
        <w:contextualSpacing/>
        <w:rPr>
          <w:rFonts w:ascii="Arial" w:eastAsia="Times New Roman" w:hAnsi="Arial" w:cs="Arial"/>
        </w:rPr>
      </w:pPr>
      <w:r w:rsidRPr="003C5743">
        <w:rPr>
          <w:rFonts w:ascii="Arial" w:eastAsia="Times New Roman" w:hAnsi="Arial" w:cs="Arial"/>
        </w:rPr>
        <w:t>Stage 2 – Technical Compliance – Statement of Technical Requirements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Evaluation </w:t>
      </w:r>
    </w:p>
    <w:p w14:paraId="56EC3945" w14:textId="77777777" w:rsidR="002E2D02" w:rsidRPr="003C5743" w:rsidRDefault="002E2D02" w:rsidP="002E2D02">
      <w:pPr>
        <w:spacing w:after="200" w:line="276" w:lineRule="auto"/>
        <w:ind w:left="1440"/>
        <w:contextualSpacing/>
        <w:rPr>
          <w:rFonts w:ascii="Arial" w:eastAsia="Times New Roman" w:hAnsi="Arial" w:cs="Arial"/>
        </w:rPr>
      </w:pPr>
    </w:p>
    <w:p w14:paraId="5B192EF6" w14:textId="2E9A5CF4" w:rsidR="00A4593E" w:rsidRPr="003C5743" w:rsidRDefault="00A4593E" w:rsidP="002E2D02">
      <w:pPr>
        <w:spacing w:after="200" w:line="276" w:lineRule="auto"/>
        <w:ind w:left="1440"/>
        <w:contextualSpacing/>
        <w:rPr>
          <w:rFonts w:ascii="Arial" w:eastAsia="Times New Roman" w:hAnsi="Arial" w:cs="Arial"/>
        </w:rPr>
      </w:pPr>
      <w:r w:rsidRPr="003C5743">
        <w:rPr>
          <w:rFonts w:ascii="Arial" w:eastAsia="Times New Roman" w:hAnsi="Arial" w:cs="Arial"/>
        </w:rPr>
        <w:t>Stage 3 –</w:t>
      </w:r>
      <w:r w:rsidR="008D59B2" w:rsidRPr="003C5743">
        <w:rPr>
          <w:rFonts w:ascii="Arial" w:eastAsia="Times New Roman" w:hAnsi="Arial" w:cs="Arial"/>
        </w:rPr>
        <w:t xml:space="preserve"> </w:t>
      </w:r>
      <w:r w:rsidR="00017F75" w:rsidRPr="003C5743">
        <w:rPr>
          <w:rFonts w:ascii="Arial" w:eastAsia="Times New Roman" w:hAnsi="Arial" w:cs="Arial"/>
        </w:rPr>
        <w:t xml:space="preserve">Weighted Through </w:t>
      </w:r>
      <w:r w:rsidR="00A64D7B" w:rsidRPr="003C5743">
        <w:rPr>
          <w:rFonts w:ascii="Arial" w:eastAsia="Times New Roman" w:hAnsi="Arial" w:cs="Arial"/>
        </w:rPr>
        <w:t xml:space="preserve">Life Supportability </w:t>
      </w:r>
      <w:r w:rsidR="447CA9C3" w:rsidRPr="003C5743">
        <w:rPr>
          <w:rFonts w:ascii="Arial" w:eastAsia="Times New Roman" w:hAnsi="Arial" w:cs="Arial"/>
        </w:rPr>
        <w:t xml:space="preserve">(WTLS) </w:t>
      </w:r>
      <w:r w:rsidR="00A64D7B" w:rsidRPr="003C5743">
        <w:rPr>
          <w:rFonts w:ascii="Arial" w:eastAsia="Times New Roman" w:hAnsi="Arial" w:cs="Arial"/>
        </w:rPr>
        <w:t>Evaluation</w:t>
      </w:r>
      <w:r w:rsidRPr="003C5743">
        <w:rPr>
          <w:rFonts w:ascii="Arial" w:eastAsia="Times New Roman" w:hAnsi="Arial" w:cs="Arial"/>
        </w:rPr>
        <w:t xml:space="preserve"> (</w:t>
      </w:r>
      <w:r w:rsidR="004F0C8F" w:rsidRPr="003C5743">
        <w:rPr>
          <w:rFonts w:ascii="Arial" w:eastAsia="Times New Roman" w:hAnsi="Arial" w:cs="Arial"/>
        </w:rPr>
        <w:t xml:space="preserve">Appendix 2 to </w:t>
      </w:r>
      <w:r w:rsidR="00E57AEF" w:rsidRPr="003C5743">
        <w:rPr>
          <w:rFonts w:ascii="Arial" w:eastAsia="Times New Roman" w:hAnsi="Arial" w:cs="Arial"/>
        </w:rPr>
        <w:t xml:space="preserve">Annex C </w:t>
      </w:r>
      <w:r w:rsidR="3688815C" w:rsidRPr="003C5743">
        <w:rPr>
          <w:rFonts w:ascii="Arial" w:eastAsia="Times New Roman" w:hAnsi="Arial" w:cs="Arial"/>
        </w:rPr>
        <w:t>DEFFORM</w:t>
      </w:r>
      <w:r w:rsidR="00042030" w:rsidRPr="003C5743">
        <w:rPr>
          <w:rFonts w:ascii="Arial" w:eastAsia="Times New Roman" w:hAnsi="Arial" w:cs="Arial"/>
        </w:rPr>
        <w:t xml:space="preserve"> 47</w:t>
      </w:r>
      <w:r w:rsidRPr="003C5743">
        <w:rPr>
          <w:rFonts w:ascii="Arial" w:eastAsia="Times New Roman" w:hAnsi="Arial" w:cs="Arial"/>
        </w:rPr>
        <w:t>)</w:t>
      </w:r>
    </w:p>
    <w:p w14:paraId="0F978EF9" w14:textId="77777777" w:rsidR="002E2D02" w:rsidRPr="003C5743" w:rsidRDefault="002E2D02" w:rsidP="002E2D02">
      <w:pPr>
        <w:spacing w:after="200" w:line="276" w:lineRule="auto"/>
        <w:ind w:left="1440"/>
        <w:contextualSpacing/>
        <w:rPr>
          <w:rFonts w:ascii="Arial" w:eastAsia="Times New Roman" w:hAnsi="Arial" w:cs="Arial"/>
        </w:rPr>
      </w:pPr>
    </w:p>
    <w:p w14:paraId="702B7D2A" w14:textId="3BD2A057"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 xml:space="preserve">Stage </w:t>
      </w:r>
      <w:r w:rsidR="00A4593E" w:rsidRPr="003C5743">
        <w:rPr>
          <w:rFonts w:ascii="Arial" w:eastAsia="Times New Roman" w:hAnsi="Arial" w:cs="Arial"/>
        </w:rPr>
        <w:t>4</w:t>
      </w:r>
      <w:r w:rsidRPr="003C5743">
        <w:rPr>
          <w:rFonts w:ascii="Arial" w:eastAsia="Times New Roman" w:hAnsi="Arial" w:cs="Arial"/>
        </w:rPr>
        <w:t xml:space="preserve"> –</w:t>
      </w:r>
      <w:r w:rsidR="00DF69C3" w:rsidRPr="003C5743">
        <w:rPr>
          <w:rFonts w:ascii="Arial" w:eastAsia="Times New Roman" w:hAnsi="Arial" w:cs="Arial"/>
        </w:rPr>
        <w:t xml:space="preserve"> </w:t>
      </w:r>
      <w:r w:rsidRPr="003C5743">
        <w:rPr>
          <w:rFonts w:ascii="Arial" w:eastAsia="Times New Roman" w:hAnsi="Arial" w:cs="Arial"/>
        </w:rPr>
        <w:t xml:space="preserve">Integrated Project Management Plan </w:t>
      </w:r>
      <w:r w:rsidR="447CA9C3" w:rsidRPr="003C5743">
        <w:rPr>
          <w:rFonts w:ascii="Arial" w:eastAsia="Times New Roman" w:hAnsi="Arial" w:cs="Arial"/>
        </w:rPr>
        <w:t xml:space="preserve">(IPMP) </w:t>
      </w:r>
      <w:r w:rsidRPr="003C5743">
        <w:rPr>
          <w:rFonts w:ascii="Arial" w:eastAsia="Times New Roman" w:hAnsi="Arial" w:cs="Arial"/>
        </w:rPr>
        <w:t>Evaluation</w:t>
      </w:r>
    </w:p>
    <w:p w14:paraId="1F0BF897" w14:textId="77777777" w:rsidR="002E2D02" w:rsidRPr="003C5743" w:rsidRDefault="002E2D02" w:rsidP="00BC56BC">
      <w:pPr>
        <w:spacing w:after="200" w:line="276" w:lineRule="auto"/>
        <w:contextualSpacing/>
        <w:rPr>
          <w:rFonts w:ascii="Arial" w:eastAsia="Times New Roman" w:hAnsi="Arial" w:cs="Arial"/>
        </w:rPr>
      </w:pPr>
    </w:p>
    <w:p w14:paraId="3BAE8746" w14:textId="735C7ED4"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 xml:space="preserve">Stage </w:t>
      </w:r>
      <w:r w:rsidR="00BC56BC">
        <w:rPr>
          <w:rFonts w:ascii="Arial" w:eastAsia="Times New Roman" w:hAnsi="Arial" w:cs="Arial"/>
        </w:rPr>
        <w:t>5</w:t>
      </w:r>
      <w:r w:rsidRPr="003C5743">
        <w:rPr>
          <w:rFonts w:ascii="Arial" w:eastAsia="Times New Roman" w:hAnsi="Arial" w:cs="Arial"/>
        </w:rPr>
        <w:t xml:space="preserve"> – </w:t>
      </w:r>
      <w:r w:rsidR="00F121EE" w:rsidRPr="003C5743">
        <w:rPr>
          <w:rFonts w:ascii="Arial" w:eastAsia="Times New Roman" w:hAnsi="Arial" w:cs="Arial"/>
        </w:rPr>
        <w:t xml:space="preserve">Clarification Questions &amp; </w:t>
      </w:r>
      <w:r w:rsidRPr="003C5743">
        <w:rPr>
          <w:rFonts w:ascii="Arial" w:eastAsia="Times New Roman" w:hAnsi="Arial" w:cs="Arial"/>
        </w:rPr>
        <w:t>Face to Face Clarification Meetings</w:t>
      </w:r>
    </w:p>
    <w:p w14:paraId="76F2A75F" w14:textId="77777777" w:rsidR="002E2D02" w:rsidRPr="003C5743" w:rsidRDefault="002E2D02" w:rsidP="002E2D02">
      <w:pPr>
        <w:spacing w:after="200" w:line="276" w:lineRule="auto"/>
        <w:ind w:left="1440"/>
        <w:contextualSpacing/>
        <w:rPr>
          <w:rFonts w:ascii="Arial" w:eastAsia="Times New Roman" w:hAnsi="Arial" w:cs="Arial"/>
        </w:rPr>
      </w:pPr>
    </w:p>
    <w:p w14:paraId="318860B2" w14:textId="7A3C6321"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 xml:space="preserve">Stage </w:t>
      </w:r>
      <w:r w:rsidR="00BC56BC">
        <w:rPr>
          <w:rFonts w:ascii="Arial" w:eastAsia="Times New Roman" w:hAnsi="Arial" w:cs="Arial"/>
        </w:rPr>
        <w:t>6</w:t>
      </w:r>
      <w:r w:rsidRPr="003C5743">
        <w:rPr>
          <w:rFonts w:ascii="Arial" w:eastAsia="Times New Roman" w:hAnsi="Arial" w:cs="Arial"/>
        </w:rPr>
        <w:t xml:space="preserve"> – Up-Issue of Documentation</w:t>
      </w:r>
    </w:p>
    <w:p w14:paraId="2071F87D" w14:textId="77777777" w:rsidR="002E2D02" w:rsidRPr="003C5743" w:rsidRDefault="002E2D02" w:rsidP="002E2D02">
      <w:pPr>
        <w:spacing w:after="200" w:line="276" w:lineRule="auto"/>
        <w:ind w:left="1440"/>
        <w:contextualSpacing/>
        <w:rPr>
          <w:rFonts w:ascii="Arial" w:eastAsia="Times New Roman" w:hAnsi="Arial" w:cs="Arial"/>
        </w:rPr>
      </w:pPr>
    </w:p>
    <w:p w14:paraId="57F26574" w14:textId="02A4958E"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 xml:space="preserve">Stage </w:t>
      </w:r>
      <w:r w:rsidR="00BC56BC">
        <w:rPr>
          <w:rFonts w:ascii="Arial" w:eastAsia="Times New Roman" w:hAnsi="Arial" w:cs="Arial"/>
        </w:rPr>
        <w:t>7</w:t>
      </w:r>
      <w:r w:rsidRPr="003C5743">
        <w:rPr>
          <w:rFonts w:ascii="Arial" w:eastAsia="Times New Roman" w:hAnsi="Arial" w:cs="Arial"/>
        </w:rPr>
        <w:t xml:space="preserve"> – </w:t>
      </w:r>
      <w:r w:rsidR="00BF6DF7" w:rsidRPr="003C5743">
        <w:rPr>
          <w:rFonts w:ascii="Arial" w:eastAsia="Times New Roman" w:hAnsi="Arial" w:cs="Arial"/>
        </w:rPr>
        <w:t>Most Economically Advantageous Tender (</w:t>
      </w:r>
      <w:r w:rsidRPr="003C5743">
        <w:rPr>
          <w:rFonts w:ascii="Arial" w:eastAsia="Times New Roman" w:hAnsi="Arial" w:cs="Arial"/>
        </w:rPr>
        <w:t>MEAT</w:t>
      </w:r>
      <w:r w:rsidR="00BF6DF7" w:rsidRPr="003C5743">
        <w:rPr>
          <w:rFonts w:ascii="Arial" w:eastAsia="Times New Roman" w:hAnsi="Arial" w:cs="Arial"/>
        </w:rPr>
        <w:t>)</w:t>
      </w:r>
      <w:r w:rsidRPr="003C5743">
        <w:rPr>
          <w:rFonts w:ascii="Arial" w:eastAsia="Times New Roman" w:hAnsi="Arial" w:cs="Arial"/>
        </w:rPr>
        <w:t xml:space="preserve"> Analysis</w:t>
      </w:r>
    </w:p>
    <w:p w14:paraId="4A5E2C23" w14:textId="77777777" w:rsidR="002E2D02" w:rsidRPr="003C5743" w:rsidRDefault="002E2D02" w:rsidP="002E2D02">
      <w:pPr>
        <w:spacing w:after="200" w:line="276" w:lineRule="auto"/>
        <w:ind w:left="1440"/>
        <w:contextualSpacing/>
        <w:rPr>
          <w:rFonts w:ascii="Arial" w:eastAsia="Times New Roman" w:hAnsi="Arial" w:cs="Arial"/>
        </w:rPr>
      </w:pPr>
    </w:p>
    <w:p w14:paraId="092AF659" w14:textId="4017782E"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 xml:space="preserve">Stage </w:t>
      </w:r>
      <w:r w:rsidR="00BC56BC">
        <w:rPr>
          <w:rFonts w:ascii="Arial" w:eastAsia="Times New Roman" w:hAnsi="Arial" w:cs="Arial"/>
        </w:rPr>
        <w:t>8</w:t>
      </w:r>
      <w:r w:rsidRPr="003C5743">
        <w:rPr>
          <w:rFonts w:ascii="Arial" w:eastAsia="Times New Roman" w:hAnsi="Arial" w:cs="Arial"/>
        </w:rPr>
        <w:t xml:space="preserve"> – Best and Final Offer (BAFO)</w:t>
      </w:r>
    </w:p>
    <w:p w14:paraId="616BDDD4" w14:textId="77777777" w:rsidR="002E2D02" w:rsidRPr="003C5743" w:rsidRDefault="002E2D02" w:rsidP="002E2D02">
      <w:pPr>
        <w:spacing w:after="200" w:line="276" w:lineRule="auto"/>
        <w:ind w:left="1440"/>
        <w:contextualSpacing/>
        <w:rPr>
          <w:rFonts w:ascii="Arial" w:eastAsia="Times New Roman" w:hAnsi="Arial" w:cs="Arial"/>
        </w:rPr>
      </w:pPr>
    </w:p>
    <w:p w14:paraId="50397AB0" w14:textId="7B10730B" w:rsidR="00155DC3" w:rsidRPr="003C5743" w:rsidRDefault="00155DC3" w:rsidP="002E2D02">
      <w:pPr>
        <w:spacing w:after="200" w:line="276" w:lineRule="auto"/>
        <w:ind w:left="1440"/>
        <w:contextualSpacing/>
        <w:rPr>
          <w:rFonts w:ascii="Arial" w:eastAsia="Times New Roman" w:hAnsi="Arial" w:cs="Arial"/>
        </w:rPr>
      </w:pPr>
      <w:r w:rsidRPr="003C5743">
        <w:rPr>
          <w:rFonts w:ascii="Arial" w:eastAsia="Times New Roman" w:hAnsi="Arial" w:cs="Arial"/>
        </w:rPr>
        <w:t xml:space="preserve">Stage </w:t>
      </w:r>
      <w:r w:rsidR="00BC56BC">
        <w:rPr>
          <w:rFonts w:ascii="Arial" w:eastAsia="Times New Roman" w:hAnsi="Arial" w:cs="Arial"/>
        </w:rPr>
        <w:t>9</w:t>
      </w:r>
      <w:r w:rsidRPr="003C5743">
        <w:rPr>
          <w:rFonts w:ascii="Arial" w:eastAsia="Times New Roman" w:hAnsi="Arial" w:cs="Arial"/>
        </w:rPr>
        <w:t xml:space="preserve"> – Down select to winning Tenderer</w:t>
      </w:r>
    </w:p>
    <w:p w14:paraId="4824A148" w14:textId="77777777" w:rsidR="00155DC3" w:rsidRPr="003C5743" w:rsidRDefault="00155DC3" w:rsidP="00155DC3">
      <w:pPr>
        <w:spacing w:after="0" w:line="240" w:lineRule="auto"/>
        <w:rPr>
          <w:rFonts w:ascii="Arial" w:eastAsia="Times New Roman" w:hAnsi="Arial" w:cs="Arial"/>
        </w:rPr>
      </w:pPr>
    </w:p>
    <w:p w14:paraId="404C1DD9" w14:textId="77777777" w:rsidR="00155DC3" w:rsidRPr="003C5743" w:rsidRDefault="00155DC3" w:rsidP="00155DC3">
      <w:pPr>
        <w:spacing w:after="0" w:line="240" w:lineRule="auto"/>
        <w:rPr>
          <w:rFonts w:ascii="Arial" w:eastAsia="Times New Roman" w:hAnsi="Arial" w:cs="Arial"/>
        </w:rPr>
      </w:pPr>
    </w:p>
    <w:p w14:paraId="4321EDBE" w14:textId="77777777" w:rsidR="00155DC3" w:rsidRPr="003C5743" w:rsidRDefault="00155DC3" w:rsidP="00155DC3">
      <w:pPr>
        <w:tabs>
          <w:tab w:val="left" w:pos="567"/>
          <w:tab w:val="num" w:pos="720"/>
        </w:tabs>
        <w:spacing w:after="0" w:line="240" w:lineRule="auto"/>
        <w:ind w:left="567" w:hanging="567"/>
        <w:rPr>
          <w:rFonts w:ascii="Arial" w:eastAsia="Times New Roman" w:hAnsi="Arial" w:cs="Arial"/>
          <w:b/>
          <w:u w:val="single"/>
        </w:rPr>
      </w:pPr>
      <w:r w:rsidRPr="003C5743">
        <w:rPr>
          <w:rFonts w:ascii="Arial" w:eastAsia="Times New Roman" w:hAnsi="Arial" w:cs="Arial"/>
          <w:b/>
          <w:u w:val="single"/>
        </w:rPr>
        <w:t>Stage 1 – Commercial Evaluation</w:t>
      </w:r>
    </w:p>
    <w:p w14:paraId="07AA58AF" w14:textId="77777777" w:rsidR="00155DC3" w:rsidRPr="003C5743" w:rsidRDefault="00155DC3" w:rsidP="00155DC3">
      <w:pPr>
        <w:tabs>
          <w:tab w:val="left" w:pos="567"/>
        </w:tabs>
        <w:spacing w:after="0" w:line="240" w:lineRule="auto"/>
        <w:rPr>
          <w:rFonts w:ascii="Arial" w:eastAsia="Times New Roman" w:hAnsi="Arial" w:cs="Arial"/>
          <w:b/>
          <w:u w:val="single"/>
        </w:rPr>
      </w:pPr>
    </w:p>
    <w:p w14:paraId="2D18F011" w14:textId="3AA389A3"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 Tenders will be evaluated against the criteria as detailed in Table 1a below. The Authority </w:t>
      </w:r>
      <w:r w:rsidR="002D6582">
        <w:rPr>
          <w:rFonts w:ascii="Arial" w:eastAsia="Times New Roman" w:hAnsi="Arial" w:cs="Arial"/>
        </w:rPr>
        <w:t>will</w:t>
      </w:r>
      <w:r w:rsidRPr="003C5743">
        <w:rPr>
          <w:rFonts w:ascii="Arial" w:eastAsia="Times New Roman" w:hAnsi="Arial" w:cs="Arial"/>
        </w:rPr>
        <w:t xml:space="preserve"> remove from the competition any Tenderer whose bid does not achieve a Pass against any line in Table 1a.</w:t>
      </w:r>
      <w:bookmarkStart w:id="2" w:name="_Hlk5028678"/>
      <w:r w:rsidRPr="003C5743">
        <w:rPr>
          <w:rFonts w:ascii="Arial" w:eastAsia="Times New Roman" w:hAnsi="Arial" w:cs="Arial"/>
        </w:rPr>
        <w:t xml:space="preserve"> </w:t>
      </w:r>
      <w:bookmarkEnd w:id="2"/>
    </w:p>
    <w:p w14:paraId="30BE8263" w14:textId="77777777" w:rsidR="00155DC3" w:rsidRPr="003C5743" w:rsidRDefault="00155DC3" w:rsidP="00155DC3">
      <w:pPr>
        <w:tabs>
          <w:tab w:val="left" w:pos="567"/>
          <w:tab w:val="num" w:pos="720"/>
        </w:tabs>
        <w:spacing w:after="0" w:line="240" w:lineRule="auto"/>
        <w:ind w:left="567" w:hanging="567"/>
        <w:jc w:val="center"/>
        <w:rPr>
          <w:rFonts w:ascii="Arial" w:eastAsia="Times New Roman" w:hAnsi="Arial" w:cs="Arial"/>
          <w:u w:val="single"/>
        </w:rPr>
      </w:pPr>
      <w:r w:rsidRPr="003C5743">
        <w:rPr>
          <w:rFonts w:ascii="Arial" w:eastAsia="Times New Roman" w:hAnsi="Arial" w:cs="Arial"/>
          <w:u w:val="single"/>
        </w:rPr>
        <w:t>Table 1a – Commercial Evaluation</w:t>
      </w:r>
    </w:p>
    <w:p w14:paraId="179CCB03" w14:textId="77777777" w:rsidR="00155DC3" w:rsidRPr="003C5743" w:rsidRDefault="00155DC3" w:rsidP="00155DC3">
      <w:pPr>
        <w:tabs>
          <w:tab w:val="left" w:pos="567"/>
          <w:tab w:val="num" w:pos="720"/>
        </w:tabs>
        <w:spacing w:after="0" w:line="240" w:lineRule="auto"/>
        <w:ind w:left="567" w:hanging="567"/>
        <w:jc w:val="center"/>
        <w:rPr>
          <w:rFonts w:ascii="Arial" w:eastAsia="Times New Roman" w:hAnsi="Arial" w:cs="Arial"/>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472"/>
        <w:gridCol w:w="1371"/>
      </w:tblGrid>
      <w:tr w:rsidR="003C5743" w:rsidRPr="003C5743" w14:paraId="560D0CF6" w14:textId="77777777" w:rsidTr="1D9B1110">
        <w:trPr>
          <w:cantSplit/>
          <w:tblHeader/>
        </w:trPr>
        <w:tc>
          <w:tcPr>
            <w:tcW w:w="2065" w:type="dxa"/>
            <w:shd w:val="clear" w:color="auto" w:fill="D9D9D9" w:themeFill="background1" w:themeFillShade="D9"/>
          </w:tcPr>
          <w:p w14:paraId="7524EAA8"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b/>
                <w:spacing w:val="-2"/>
                <w:szCs w:val="24"/>
                <w:lang w:eastAsia="en-GB"/>
              </w:rPr>
              <w:t>Tender Documents</w:t>
            </w:r>
          </w:p>
        </w:tc>
        <w:tc>
          <w:tcPr>
            <w:tcW w:w="5472" w:type="dxa"/>
            <w:shd w:val="clear" w:color="auto" w:fill="D9D9D9" w:themeFill="background1" w:themeFillShade="D9"/>
          </w:tcPr>
          <w:p w14:paraId="244B348E"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b/>
                <w:spacing w:val="-2"/>
                <w:szCs w:val="24"/>
                <w:lang w:eastAsia="en-GB"/>
              </w:rPr>
              <w:t>Evaluation Criteria</w:t>
            </w:r>
          </w:p>
        </w:tc>
        <w:tc>
          <w:tcPr>
            <w:tcW w:w="1371" w:type="dxa"/>
            <w:shd w:val="clear" w:color="auto" w:fill="D9D9D9" w:themeFill="background1" w:themeFillShade="D9"/>
          </w:tcPr>
          <w:p w14:paraId="742BF96F"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b/>
                <w:spacing w:val="-2"/>
                <w:szCs w:val="24"/>
                <w:lang w:eastAsia="en-GB"/>
              </w:rPr>
              <w:t>Evaluation Marking</w:t>
            </w:r>
          </w:p>
        </w:tc>
      </w:tr>
      <w:tr w:rsidR="003C5743" w:rsidRPr="003C5743" w14:paraId="61DDD64A" w14:textId="77777777" w:rsidTr="1D9B1110">
        <w:trPr>
          <w:cantSplit/>
        </w:trPr>
        <w:tc>
          <w:tcPr>
            <w:tcW w:w="2065" w:type="dxa"/>
            <w:shd w:val="clear" w:color="auto" w:fill="auto"/>
          </w:tcPr>
          <w:p w14:paraId="4DB71A19"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DEFFORM 47 Annex A - Tender Submission Document (Offer)</w:t>
            </w:r>
          </w:p>
        </w:tc>
        <w:tc>
          <w:tcPr>
            <w:tcW w:w="5472" w:type="dxa"/>
            <w:shd w:val="clear" w:color="auto" w:fill="auto"/>
          </w:tcPr>
          <w:p w14:paraId="04711E08"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Submitted a completed DEFFORM 47 Annex A – Tender Submission Document (Offer) including all the Mandatory Declarations (further details are contained in Appendix 1 to DEFFORM 47 Annex A (Offer).</w:t>
            </w:r>
          </w:p>
        </w:tc>
        <w:tc>
          <w:tcPr>
            <w:tcW w:w="1371" w:type="dxa"/>
            <w:shd w:val="clear" w:color="auto" w:fill="auto"/>
          </w:tcPr>
          <w:p w14:paraId="0299D06F"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Pass or Fail</w:t>
            </w:r>
          </w:p>
        </w:tc>
      </w:tr>
      <w:tr w:rsidR="003C5743" w:rsidRPr="003C5743" w14:paraId="08753D1E" w14:textId="77777777" w:rsidTr="1D9B1110">
        <w:trPr>
          <w:cantSplit/>
        </w:trPr>
        <w:tc>
          <w:tcPr>
            <w:tcW w:w="2065" w:type="dxa"/>
            <w:shd w:val="clear" w:color="auto" w:fill="auto"/>
          </w:tcPr>
          <w:p w14:paraId="1672B5EC"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Conflict of Interest Compliance Regime</w:t>
            </w:r>
          </w:p>
        </w:tc>
        <w:tc>
          <w:tcPr>
            <w:tcW w:w="5472" w:type="dxa"/>
            <w:shd w:val="clear" w:color="auto" w:fill="auto"/>
          </w:tcPr>
          <w:p w14:paraId="49B9CB77"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Submitted an acceptable Compliance Regime as outlined at Paragraphs F7 and F8 of the DEFFORM 47. This only applies where the Tenderer identifies a potential Conflict of Interest arising from this Contract and any they currently carry out.</w:t>
            </w:r>
          </w:p>
        </w:tc>
        <w:tc>
          <w:tcPr>
            <w:tcW w:w="1371" w:type="dxa"/>
            <w:shd w:val="clear" w:color="auto" w:fill="auto"/>
          </w:tcPr>
          <w:p w14:paraId="77BF7EED"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Pass or Fail (if applicable)</w:t>
            </w:r>
          </w:p>
        </w:tc>
      </w:tr>
      <w:tr w:rsidR="003C5743" w:rsidRPr="003C5743" w14:paraId="55D331D2" w14:textId="77777777" w:rsidTr="1D9B1110">
        <w:trPr>
          <w:cantSplit/>
        </w:trPr>
        <w:tc>
          <w:tcPr>
            <w:tcW w:w="2065" w:type="dxa"/>
            <w:shd w:val="clear" w:color="auto" w:fill="auto"/>
          </w:tcPr>
          <w:p w14:paraId="14B6547C"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lastRenderedPageBreak/>
              <w:t>Validity</w:t>
            </w:r>
          </w:p>
        </w:tc>
        <w:tc>
          <w:tcPr>
            <w:tcW w:w="5472" w:type="dxa"/>
            <w:shd w:val="clear" w:color="auto" w:fill="auto"/>
          </w:tcPr>
          <w:p w14:paraId="31D3CF72" w14:textId="1AF71D9F" w:rsidR="00155DC3" w:rsidRPr="003C5743" w:rsidRDefault="4FB3B06D" w:rsidP="4FB3B06D">
            <w:pPr>
              <w:spacing w:beforeLines="60" w:before="144" w:afterLines="60" w:after="144" w:line="240" w:lineRule="auto"/>
              <w:rPr>
                <w:rFonts w:ascii="Arial" w:eastAsia="Times New Roman" w:hAnsi="Arial" w:cs="Arial"/>
                <w:lang w:eastAsia="en-GB"/>
              </w:rPr>
            </w:pPr>
            <w:r w:rsidRPr="003C5743">
              <w:rPr>
                <w:rFonts w:ascii="Arial" w:eastAsia="Times New Roman" w:hAnsi="Arial" w:cs="Arial"/>
                <w:lang w:eastAsia="en-GB"/>
              </w:rPr>
              <w:t xml:space="preserve">Tender must be valid / open for acceptance for </w:t>
            </w:r>
            <w:r w:rsidR="00F027B1">
              <w:rPr>
                <w:rFonts w:ascii="Arial" w:eastAsia="Times New Roman" w:hAnsi="Arial" w:cs="Arial"/>
                <w:lang w:eastAsia="en-GB"/>
              </w:rPr>
              <w:t>T</w:t>
            </w:r>
            <w:r w:rsidRPr="003C5743">
              <w:rPr>
                <w:rFonts w:ascii="Arial" w:eastAsia="Times New Roman" w:hAnsi="Arial" w:cs="Arial"/>
                <w:lang w:eastAsia="en-GB"/>
              </w:rPr>
              <w:t xml:space="preserve">wo </w:t>
            </w:r>
            <w:r w:rsidR="00F027B1">
              <w:rPr>
                <w:rFonts w:ascii="Arial" w:eastAsia="Times New Roman" w:hAnsi="Arial" w:cs="Arial"/>
                <w:lang w:eastAsia="en-GB"/>
              </w:rPr>
              <w:t>H</w:t>
            </w:r>
            <w:r w:rsidRPr="003C5743">
              <w:rPr>
                <w:rFonts w:ascii="Arial" w:eastAsia="Times New Roman" w:hAnsi="Arial" w:cs="Arial"/>
                <w:lang w:eastAsia="en-GB"/>
              </w:rPr>
              <w:t xml:space="preserve">undred and </w:t>
            </w:r>
            <w:proofErr w:type="gramStart"/>
            <w:r w:rsidRPr="003C5743">
              <w:rPr>
                <w:rFonts w:ascii="Arial" w:eastAsia="Times New Roman" w:hAnsi="Arial" w:cs="Arial"/>
                <w:lang w:eastAsia="en-GB"/>
              </w:rPr>
              <w:t>Seventy Four</w:t>
            </w:r>
            <w:proofErr w:type="gramEnd"/>
            <w:r w:rsidRPr="003C5743">
              <w:rPr>
                <w:rFonts w:ascii="Arial" w:eastAsia="Times New Roman" w:hAnsi="Arial" w:cs="Arial"/>
                <w:lang w:eastAsia="en-GB"/>
              </w:rPr>
              <w:t xml:space="preserve"> (274) calendar days from the Tender return date.  If successful, your Tender must be open for acceptance for a further thirty (30) calendar days. Outlined at Paragraph C4 of the DEFFORM 47.</w:t>
            </w:r>
          </w:p>
        </w:tc>
        <w:tc>
          <w:tcPr>
            <w:tcW w:w="1371" w:type="dxa"/>
            <w:shd w:val="clear" w:color="auto" w:fill="auto"/>
          </w:tcPr>
          <w:p w14:paraId="25CA1D4F" w14:textId="77777777" w:rsidR="00155DC3" w:rsidRPr="003C5743" w:rsidRDefault="00155DC3"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6976276E" w14:textId="77777777" w:rsidTr="1D9B1110">
        <w:trPr>
          <w:cantSplit/>
        </w:trPr>
        <w:tc>
          <w:tcPr>
            <w:tcW w:w="2065" w:type="dxa"/>
            <w:shd w:val="clear" w:color="auto" w:fill="auto"/>
          </w:tcPr>
          <w:p w14:paraId="222B2221"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szCs w:val="24"/>
                <w:u w:val="single"/>
                <w:lang w:eastAsia="en-GB"/>
              </w:rPr>
            </w:pPr>
            <w:r w:rsidRPr="003C5743">
              <w:rPr>
                <w:rFonts w:ascii="Arial" w:eastAsia="Times New Roman" w:hAnsi="Arial" w:cs="Arial"/>
                <w:spacing w:val="-2"/>
                <w:szCs w:val="24"/>
                <w:lang w:eastAsia="en-GB"/>
              </w:rPr>
              <w:t>Publicity</w:t>
            </w:r>
          </w:p>
        </w:tc>
        <w:tc>
          <w:tcPr>
            <w:tcW w:w="5472" w:type="dxa"/>
            <w:shd w:val="clear" w:color="auto" w:fill="auto"/>
          </w:tcPr>
          <w:p w14:paraId="6BC9017C" w14:textId="77777777" w:rsidR="00155DC3" w:rsidRPr="003C5743" w:rsidRDefault="00155DC3" w:rsidP="00155DC3">
            <w:pPr>
              <w:tabs>
                <w:tab w:val="num" w:pos="567"/>
              </w:tabs>
              <w:suppressAutoHyphens/>
              <w:spacing w:beforeLines="60" w:before="144" w:afterLines="60" w:after="144" w:line="240" w:lineRule="auto"/>
              <w:rPr>
                <w:rFonts w:ascii="Arial" w:eastAsia="Times New Roman" w:hAnsi="Arial" w:cs="Times New Roman"/>
                <w:spacing w:val="-2"/>
                <w:szCs w:val="24"/>
                <w:lang w:eastAsia="en-GB"/>
              </w:rPr>
            </w:pPr>
            <w:r w:rsidRPr="003C5743">
              <w:rPr>
                <w:rFonts w:ascii="Arial" w:eastAsia="Times New Roman" w:hAnsi="Arial" w:cs="Arial"/>
                <w:szCs w:val="24"/>
                <w:lang w:eastAsia="en-GB"/>
              </w:rPr>
              <w:t>Complete and return DEFFORM 539A as outlined in the DEFFORM 47 Annex A and associated Appendix 1. In accordance with Paragraph F11, 12 and 13 of the DEFFORM 47.</w:t>
            </w:r>
          </w:p>
        </w:tc>
        <w:tc>
          <w:tcPr>
            <w:tcW w:w="1371" w:type="dxa"/>
            <w:shd w:val="clear" w:color="auto" w:fill="auto"/>
          </w:tcPr>
          <w:p w14:paraId="194AE66A" w14:textId="77777777" w:rsidR="00155DC3" w:rsidRPr="003C5743" w:rsidRDefault="00155DC3"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26086AE3" w14:textId="77777777" w:rsidTr="1D9B1110">
        <w:trPr>
          <w:cantSplit/>
        </w:trPr>
        <w:tc>
          <w:tcPr>
            <w:tcW w:w="2065" w:type="dxa"/>
            <w:shd w:val="clear" w:color="auto" w:fill="auto"/>
          </w:tcPr>
          <w:p w14:paraId="2419A4C3" w14:textId="26BD4155" w:rsidR="00155DC3" w:rsidRPr="003C5743" w:rsidRDefault="004E7EF7"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DEFFORM 47 Annex D – Pricing and Rates</w:t>
            </w:r>
          </w:p>
        </w:tc>
        <w:tc>
          <w:tcPr>
            <w:tcW w:w="5472" w:type="dxa"/>
            <w:shd w:val="clear" w:color="auto" w:fill="auto"/>
          </w:tcPr>
          <w:p w14:paraId="06D28D0F" w14:textId="24F67DF4" w:rsidR="00155DC3" w:rsidRPr="003C5743" w:rsidRDefault="00155DC3"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Submitted prices for all items within Tables 2,3</w:t>
            </w:r>
            <w:r w:rsidR="00872325" w:rsidRPr="003C5743">
              <w:rPr>
                <w:rFonts w:ascii="Arial" w:eastAsia="Times New Roman" w:hAnsi="Arial" w:cs="Arial"/>
                <w:spacing w:val="-2"/>
                <w:szCs w:val="24"/>
                <w:lang w:eastAsia="en-GB"/>
              </w:rPr>
              <w:t xml:space="preserve"> and </w:t>
            </w:r>
            <w:r w:rsidR="004E7EF7" w:rsidRPr="003C5743">
              <w:rPr>
                <w:rFonts w:ascii="Arial" w:eastAsia="Times New Roman" w:hAnsi="Arial" w:cs="Arial"/>
                <w:spacing w:val="-2"/>
                <w:szCs w:val="24"/>
                <w:lang w:eastAsia="en-GB"/>
              </w:rPr>
              <w:t>4</w:t>
            </w:r>
            <w:r w:rsidR="001D540C" w:rsidRPr="003C5743">
              <w:rPr>
                <w:rFonts w:ascii="Arial" w:eastAsia="Times New Roman" w:hAnsi="Arial" w:cs="Arial"/>
                <w:spacing w:val="-2"/>
                <w:szCs w:val="24"/>
                <w:lang w:eastAsia="en-GB"/>
              </w:rPr>
              <w:t xml:space="preserve"> as</w:t>
            </w:r>
            <w:r w:rsidRPr="003C5743">
              <w:rPr>
                <w:rFonts w:ascii="Arial" w:eastAsia="Times New Roman" w:hAnsi="Arial" w:cs="Arial"/>
                <w:spacing w:val="-2"/>
                <w:szCs w:val="24"/>
                <w:lang w:eastAsia="en-GB"/>
              </w:rPr>
              <w:t xml:space="preserve"> detailed in Annex D (Pricing and Rates) to the DEFFORM 47 by completing the tables as detailed in the Instruction Sheet.</w:t>
            </w:r>
          </w:p>
        </w:tc>
        <w:tc>
          <w:tcPr>
            <w:tcW w:w="1371" w:type="dxa"/>
            <w:shd w:val="clear" w:color="auto" w:fill="auto"/>
          </w:tcPr>
          <w:p w14:paraId="567A1F1C" w14:textId="77777777" w:rsidR="00155DC3" w:rsidRPr="003C5743" w:rsidRDefault="00155DC3"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3A2FFFC8" w14:textId="77777777" w:rsidTr="1D9B1110">
        <w:trPr>
          <w:cantSplit/>
        </w:trPr>
        <w:tc>
          <w:tcPr>
            <w:tcW w:w="2065" w:type="dxa"/>
            <w:shd w:val="clear" w:color="auto" w:fill="auto"/>
          </w:tcPr>
          <w:p w14:paraId="67EC645D" w14:textId="18A64E86" w:rsidR="00776080" w:rsidRPr="003C5743" w:rsidRDefault="00776080"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Style w:val="normaltextrun1"/>
                <w:rFonts w:ascii="Arial" w:hAnsi="Arial" w:cs="Arial"/>
              </w:rPr>
              <w:t>Delivery Dates</w:t>
            </w:r>
            <w:r w:rsidRPr="003C5743">
              <w:rPr>
                <w:rStyle w:val="eop"/>
                <w:rFonts w:ascii="Arial" w:hAnsi="Arial" w:cs="Arial"/>
              </w:rPr>
              <w:t> </w:t>
            </w:r>
          </w:p>
        </w:tc>
        <w:tc>
          <w:tcPr>
            <w:tcW w:w="5472" w:type="dxa"/>
            <w:shd w:val="clear" w:color="auto" w:fill="auto"/>
          </w:tcPr>
          <w:p w14:paraId="5D0E230C" w14:textId="771B4CCC" w:rsidR="00F544DA" w:rsidRPr="003C5743" w:rsidRDefault="1D9B1110" w:rsidP="1D9B1110">
            <w:pPr>
              <w:spacing w:after="0" w:line="240" w:lineRule="auto"/>
              <w:textAlignment w:val="baseline"/>
              <w:rPr>
                <w:rFonts w:ascii="Arial" w:eastAsia="Times New Roman" w:hAnsi="Arial" w:cs="Arial"/>
                <w:lang w:eastAsia="en-GB"/>
              </w:rPr>
            </w:pPr>
            <w:r w:rsidRPr="003C5743">
              <w:rPr>
                <w:rFonts w:ascii="Arial" w:eastAsia="Times New Roman" w:hAnsi="Arial" w:cs="Arial"/>
                <w:lang w:eastAsia="en-GB"/>
              </w:rPr>
              <w:t xml:space="preserve">The Tenderer shall complete Table 2 and 3 (Annex D (Pricing and Rates)) to the DEFFORM 47 indicating proposed delivery dates for each </w:t>
            </w:r>
            <w:r w:rsidR="00081517">
              <w:rPr>
                <w:rFonts w:ascii="Arial" w:eastAsia="Times New Roman" w:hAnsi="Arial" w:cs="Arial"/>
                <w:lang w:eastAsia="en-GB"/>
              </w:rPr>
              <w:t>Police Patrol Craft</w:t>
            </w:r>
            <w:r w:rsidRPr="003C5743">
              <w:rPr>
                <w:rFonts w:ascii="Arial" w:eastAsia="Times New Roman" w:hAnsi="Arial" w:cs="Arial"/>
                <w:lang w:eastAsia="en-GB"/>
              </w:rPr>
              <w:t>.  </w:t>
            </w:r>
          </w:p>
          <w:p w14:paraId="35EB5998" w14:textId="77777777" w:rsidR="00871D5A" w:rsidRPr="003C5743" w:rsidRDefault="00871D5A" w:rsidP="00F544DA">
            <w:pPr>
              <w:spacing w:after="0" w:line="240" w:lineRule="auto"/>
              <w:textAlignment w:val="baseline"/>
              <w:rPr>
                <w:rFonts w:ascii="Times New Roman" w:eastAsia="Times New Roman" w:hAnsi="Times New Roman" w:cs="Times New Roman"/>
                <w:sz w:val="24"/>
                <w:szCs w:val="24"/>
                <w:lang w:eastAsia="en-GB"/>
              </w:rPr>
            </w:pPr>
          </w:p>
          <w:p w14:paraId="0EF21B3B" w14:textId="77777777" w:rsidR="00081517" w:rsidRDefault="047542DD" w:rsidP="00081517">
            <w:pPr>
              <w:rPr>
                <w:rFonts w:ascii="Arial" w:eastAsia="Arial" w:hAnsi="Arial" w:cs="Arial"/>
              </w:rPr>
            </w:pPr>
            <w:r w:rsidRPr="047542DD">
              <w:rPr>
                <w:rFonts w:ascii="Arial" w:eastAsia="Times New Roman" w:hAnsi="Arial" w:cs="Arial"/>
                <w:lang w:eastAsia="en-GB"/>
              </w:rPr>
              <w:t>Delivery dates within each financial year are negotiable but the number of Craft delivered each financial year shall remain as stated in Table 1 (Annex D (Pricing and Rates)) to the DEFFORM 47. </w:t>
            </w:r>
            <w:r w:rsidRPr="047542DD">
              <w:rPr>
                <w:rFonts w:ascii="Arial" w:eastAsia="Arial" w:hAnsi="Arial" w:cs="Arial"/>
              </w:rPr>
              <w:t xml:space="preserve"> </w:t>
            </w:r>
            <w:r w:rsidR="00CE08B4">
              <w:rPr>
                <w:rFonts w:ascii="Arial" w:eastAsia="Arial" w:hAnsi="Arial" w:cs="Arial"/>
              </w:rPr>
              <w:t xml:space="preserve">Any deviation from this </w:t>
            </w:r>
            <w:r w:rsidRPr="047542DD">
              <w:rPr>
                <w:rFonts w:ascii="Arial" w:eastAsia="Arial" w:hAnsi="Arial" w:cs="Arial"/>
              </w:rPr>
              <w:t>will result in a non-compliant bid.</w:t>
            </w:r>
          </w:p>
          <w:p w14:paraId="3388C816" w14:textId="4997663B" w:rsidR="00081517" w:rsidRPr="00081517" w:rsidRDefault="00F544DA" w:rsidP="00081517">
            <w:pPr>
              <w:rPr>
                <w:rFonts w:ascii="Times New Roman" w:eastAsia="Times New Roman" w:hAnsi="Times New Roman" w:cs="Times New Roman"/>
                <w:sz w:val="24"/>
                <w:szCs w:val="24"/>
                <w:lang w:eastAsia="en-GB"/>
              </w:rPr>
            </w:pPr>
            <w:r w:rsidRPr="003C5743">
              <w:rPr>
                <w:rFonts w:ascii="Arial" w:eastAsia="Times New Roman" w:hAnsi="Arial" w:cs="Arial"/>
                <w:lang w:eastAsia="en-GB"/>
              </w:rPr>
              <w:t>It is the Authority’s preference that each Tenderer shall accept the</w:t>
            </w:r>
            <w:r w:rsidR="009978EA" w:rsidRPr="003C5743">
              <w:rPr>
                <w:rFonts w:ascii="Arial" w:eastAsia="Times New Roman" w:hAnsi="Arial" w:cs="Arial"/>
                <w:lang w:eastAsia="en-GB"/>
              </w:rPr>
              <w:t xml:space="preserve"> Indicative</w:t>
            </w:r>
            <w:r w:rsidRPr="003C5743">
              <w:rPr>
                <w:rFonts w:ascii="Arial" w:eastAsia="Times New Roman" w:hAnsi="Arial" w:cs="Arial"/>
                <w:lang w:eastAsia="en-GB"/>
              </w:rPr>
              <w:t xml:space="preserve"> Delivery Dates as detailed in Table 1 and included as part of this ITN without any amendments. The Authority will however consider amendments to the </w:t>
            </w:r>
            <w:r w:rsidR="00AC0318" w:rsidRPr="003C5743">
              <w:rPr>
                <w:rFonts w:ascii="Arial" w:eastAsia="Times New Roman" w:hAnsi="Arial" w:cs="Arial"/>
                <w:lang w:eastAsia="en-GB"/>
              </w:rPr>
              <w:t xml:space="preserve">Indicative </w:t>
            </w:r>
            <w:r w:rsidRPr="003C5743">
              <w:rPr>
                <w:rFonts w:ascii="Arial" w:eastAsia="Times New Roman" w:hAnsi="Arial" w:cs="Arial"/>
                <w:lang w:eastAsia="en-GB"/>
              </w:rPr>
              <w:t>Delivery Dates, so long as any revised Delivery Dates do not materially a</w:t>
            </w:r>
            <w:r w:rsidR="00431763">
              <w:rPr>
                <w:rFonts w:ascii="Arial" w:eastAsia="Times New Roman" w:hAnsi="Arial" w:cs="Arial"/>
                <w:lang w:eastAsia="en-GB"/>
              </w:rPr>
              <w:t>lter</w:t>
            </w:r>
            <w:r w:rsidRPr="003C5743">
              <w:rPr>
                <w:rFonts w:ascii="Arial" w:eastAsia="Times New Roman" w:hAnsi="Arial" w:cs="Arial"/>
                <w:lang w:eastAsia="en-GB"/>
              </w:rPr>
              <w:t xml:space="preserve"> the </w:t>
            </w:r>
            <w:r w:rsidR="00AC0318" w:rsidRPr="003C5743">
              <w:rPr>
                <w:rFonts w:ascii="Arial" w:eastAsia="Times New Roman" w:hAnsi="Arial" w:cs="Arial"/>
                <w:lang w:eastAsia="en-GB"/>
              </w:rPr>
              <w:t>funding</w:t>
            </w:r>
            <w:r w:rsidRPr="003C5743">
              <w:rPr>
                <w:rFonts w:ascii="Arial" w:eastAsia="Times New Roman" w:hAnsi="Arial" w:cs="Arial"/>
                <w:lang w:eastAsia="en-GB"/>
              </w:rPr>
              <w:t xml:space="preserve"> profile the Authority has established.  </w:t>
            </w:r>
          </w:p>
          <w:p w14:paraId="72D3202B" w14:textId="5DD445DB" w:rsidR="00776080" w:rsidRPr="003C5743" w:rsidRDefault="00F544DA" w:rsidP="00081517">
            <w:pPr>
              <w:spacing w:after="30" w:line="240" w:lineRule="auto"/>
              <w:textAlignment w:val="baseline"/>
              <w:rPr>
                <w:rFonts w:ascii="Arial" w:eastAsia="Times New Roman" w:hAnsi="Arial" w:cs="Arial"/>
                <w:spacing w:val="-2"/>
                <w:szCs w:val="24"/>
                <w:lang w:eastAsia="en-GB"/>
              </w:rPr>
            </w:pPr>
            <w:r w:rsidRPr="003C5743">
              <w:rPr>
                <w:rFonts w:ascii="Arial" w:eastAsia="Times New Roman" w:hAnsi="Arial" w:cs="Arial"/>
                <w:lang w:eastAsia="en-GB"/>
              </w:rPr>
              <w:t>Any amendments to the Delivery Dates listed that the Tenderer wishes to propose should be submitted with Annex D (Pricing and Rates). </w:t>
            </w:r>
          </w:p>
        </w:tc>
        <w:tc>
          <w:tcPr>
            <w:tcW w:w="1371" w:type="dxa"/>
            <w:shd w:val="clear" w:color="auto" w:fill="auto"/>
          </w:tcPr>
          <w:p w14:paraId="28861067" w14:textId="7C5CE974" w:rsidR="00776080" w:rsidRPr="003C5743" w:rsidRDefault="00530A9B" w:rsidP="00155DC3">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1CDCD1FF" w14:textId="77777777" w:rsidTr="1D9B1110">
        <w:trPr>
          <w:cantSplit/>
        </w:trPr>
        <w:tc>
          <w:tcPr>
            <w:tcW w:w="2065" w:type="dxa"/>
            <w:shd w:val="clear" w:color="auto" w:fill="auto"/>
          </w:tcPr>
          <w:p w14:paraId="6D8B68FE"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Cyber Risk Assessment</w:t>
            </w:r>
          </w:p>
        </w:tc>
        <w:tc>
          <w:tcPr>
            <w:tcW w:w="5472" w:type="dxa"/>
            <w:shd w:val="clear" w:color="auto" w:fill="auto"/>
          </w:tcPr>
          <w:p w14:paraId="1847DD0D"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 xml:space="preserve">Submitted a completed </w:t>
            </w:r>
            <w:r w:rsidRPr="003C5743">
              <w:rPr>
                <w:rFonts w:ascii="Arial" w:eastAsia="Times New Roman" w:hAnsi="Arial" w:cs="Arial"/>
                <w:szCs w:val="24"/>
                <w:lang w:eastAsia="en-GB"/>
              </w:rPr>
              <w:t>Self Assurance Questionnaire (SAQ) against the MOD’s Cyber Risk Assessment on the Supplier Cyber Protection Service. Tenderer to submit a Cyber Implementation Plan (CIP) if applicable. See paragraph F20 (Specific Conditions of Tendering) to this DEFFORM 47, Section F, for further information</w:t>
            </w:r>
          </w:p>
        </w:tc>
        <w:tc>
          <w:tcPr>
            <w:tcW w:w="1371" w:type="dxa"/>
            <w:shd w:val="clear" w:color="auto" w:fill="auto"/>
          </w:tcPr>
          <w:p w14:paraId="17F7EA1B"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6E0E1594" w14:textId="77777777" w:rsidTr="1D9B1110">
        <w:trPr>
          <w:cantSplit/>
        </w:trPr>
        <w:tc>
          <w:tcPr>
            <w:tcW w:w="2065" w:type="dxa"/>
            <w:shd w:val="clear" w:color="auto" w:fill="auto"/>
          </w:tcPr>
          <w:p w14:paraId="5E70E25A"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lastRenderedPageBreak/>
              <w:t>Police Patrol Craft Key Data Cover Sheet</w:t>
            </w:r>
          </w:p>
        </w:tc>
        <w:tc>
          <w:tcPr>
            <w:tcW w:w="5472" w:type="dxa"/>
            <w:shd w:val="clear" w:color="auto" w:fill="auto"/>
          </w:tcPr>
          <w:p w14:paraId="2BA871CF"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Submitted a completed Police Patrol Craft Key Data Cover Sheet (Contained in DEFFORM 47 Annex C).</w:t>
            </w:r>
          </w:p>
        </w:tc>
        <w:tc>
          <w:tcPr>
            <w:tcW w:w="1371" w:type="dxa"/>
            <w:shd w:val="clear" w:color="auto" w:fill="auto"/>
          </w:tcPr>
          <w:p w14:paraId="7822E73D"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highlight w:val="yellow"/>
                <w:lang w:eastAsia="en-GB"/>
              </w:rPr>
            </w:pPr>
            <w:r w:rsidRPr="003C5743">
              <w:rPr>
                <w:rFonts w:ascii="Arial" w:eastAsia="Times New Roman" w:hAnsi="Arial" w:cs="Arial"/>
                <w:spacing w:val="-2"/>
                <w:szCs w:val="24"/>
                <w:lang w:eastAsia="en-GB"/>
              </w:rPr>
              <w:t xml:space="preserve">Pass or Fail </w:t>
            </w:r>
          </w:p>
        </w:tc>
      </w:tr>
      <w:tr w:rsidR="003C5743" w:rsidRPr="003C5743" w14:paraId="0F22228D" w14:textId="77777777" w:rsidTr="1D9B1110">
        <w:trPr>
          <w:cantSplit/>
        </w:trPr>
        <w:tc>
          <w:tcPr>
            <w:tcW w:w="2065" w:type="dxa"/>
            <w:shd w:val="clear" w:color="auto" w:fill="auto"/>
          </w:tcPr>
          <w:p w14:paraId="2D5EC9E0" w14:textId="7067408E"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 xml:space="preserve">DEFFORM 47 Annex F – GFE </w:t>
            </w:r>
          </w:p>
        </w:tc>
        <w:tc>
          <w:tcPr>
            <w:tcW w:w="5472" w:type="dxa"/>
            <w:shd w:val="clear" w:color="auto" w:fill="auto"/>
          </w:tcPr>
          <w:p w14:paraId="28735AA3" w14:textId="5291CAC3" w:rsidR="00094C4C" w:rsidRPr="003C5743" w:rsidRDefault="00175EDB"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 xml:space="preserve">Submitted a completed </w:t>
            </w:r>
            <w:r w:rsidR="00094C4C" w:rsidRPr="003C5743">
              <w:rPr>
                <w:rFonts w:ascii="Arial" w:eastAsia="Times New Roman" w:hAnsi="Arial" w:cs="Arial"/>
                <w:spacing w:val="-2"/>
                <w:szCs w:val="24"/>
                <w:lang w:eastAsia="en-GB"/>
              </w:rPr>
              <w:t>“Contract Delivery Date” for Annex F – Government Furnished Equipment</w:t>
            </w:r>
          </w:p>
        </w:tc>
        <w:tc>
          <w:tcPr>
            <w:tcW w:w="1371" w:type="dxa"/>
            <w:shd w:val="clear" w:color="auto" w:fill="auto"/>
          </w:tcPr>
          <w:p w14:paraId="6C68E4E5"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16CCD16A" w14:textId="77777777" w:rsidTr="1D9B1110">
        <w:trPr>
          <w:cantSplit/>
        </w:trPr>
        <w:tc>
          <w:tcPr>
            <w:tcW w:w="2065" w:type="dxa"/>
            <w:shd w:val="clear" w:color="auto" w:fill="auto"/>
          </w:tcPr>
          <w:p w14:paraId="2B942A5B" w14:textId="3AB63A8B"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DEFFORM 47 Annex G – Tenderer’s Commercially Sensitive Information</w:t>
            </w:r>
          </w:p>
        </w:tc>
        <w:tc>
          <w:tcPr>
            <w:tcW w:w="5472" w:type="dxa"/>
            <w:shd w:val="clear" w:color="auto" w:fill="auto"/>
          </w:tcPr>
          <w:p w14:paraId="6E29A233"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 xml:space="preserve">Submitted a completed Annex G – Tenderers’ Commercially Sensitive Information </w:t>
            </w:r>
          </w:p>
        </w:tc>
        <w:tc>
          <w:tcPr>
            <w:tcW w:w="1371" w:type="dxa"/>
            <w:shd w:val="clear" w:color="auto" w:fill="auto"/>
          </w:tcPr>
          <w:p w14:paraId="4E4060C2"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3114E8EB" w14:textId="77777777" w:rsidTr="1D9B1110">
        <w:trPr>
          <w:cantSplit/>
        </w:trPr>
        <w:tc>
          <w:tcPr>
            <w:tcW w:w="2065" w:type="dxa"/>
            <w:shd w:val="clear" w:color="auto" w:fill="auto"/>
          </w:tcPr>
          <w:p w14:paraId="4A8A884E"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DEFFORM 47 Annex J – Makers List</w:t>
            </w:r>
          </w:p>
        </w:tc>
        <w:tc>
          <w:tcPr>
            <w:tcW w:w="5472" w:type="dxa"/>
            <w:shd w:val="clear" w:color="auto" w:fill="auto"/>
          </w:tcPr>
          <w:p w14:paraId="3F9BE609" w14:textId="7DDE4EBB"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zCs w:val="24"/>
                <w:lang w:eastAsia="en-GB"/>
              </w:rPr>
            </w:pPr>
            <w:r w:rsidRPr="003C5743">
              <w:rPr>
                <w:rFonts w:ascii="Arial" w:eastAsia="Times New Roman" w:hAnsi="Arial" w:cs="Arial"/>
                <w:spacing w:val="-2"/>
                <w:szCs w:val="24"/>
                <w:lang w:eastAsia="en-GB"/>
              </w:rPr>
              <w:t xml:space="preserve">Submitted a completed Annex J – Makers List with all major equipment which costs more than </w:t>
            </w:r>
            <w:r w:rsidR="003A1DC5">
              <w:rPr>
                <w:rFonts w:ascii="Arial" w:eastAsia="Times New Roman" w:hAnsi="Arial" w:cs="Arial"/>
                <w:spacing w:val="-2"/>
                <w:szCs w:val="24"/>
                <w:lang w:eastAsia="en-GB"/>
              </w:rPr>
              <w:t>ten</w:t>
            </w:r>
            <w:r w:rsidRPr="003C5743">
              <w:rPr>
                <w:rFonts w:ascii="Arial" w:eastAsia="Times New Roman" w:hAnsi="Arial" w:cs="Arial"/>
                <w:spacing w:val="-2"/>
                <w:szCs w:val="24"/>
                <w:lang w:eastAsia="en-GB"/>
              </w:rPr>
              <w:t xml:space="preserve"> thousand pounds Sterling and/or has a procurement lead time of more than </w:t>
            </w:r>
            <w:r w:rsidR="003A1DC5">
              <w:rPr>
                <w:rFonts w:ascii="Arial" w:eastAsia="Times New Roman" w:hAnsi="Arial" w:cs="Arial"/>
                <w:spacing w:val="-2"/>
                <w:szCs w:val="24"/>
                <w:lang w:eastAsia="en-GB"/>
              </w:rPr>
              <w:t>8</w:t>
            </w:r>
            <w:r w:rsidRPr="003C5743">
              <w:rPr>
                <w:rFonts w:ascii="Arial" w:eastAsia="Times New Roman" w:hAnsi="Arial" w:cs="Arial"/>
                <w:spacing w:val="-2"/>
                <w:szCs w:val="24"/>
                <w:lang w:eastAsia="en-GB"/>
              </w:rPr>
              <w:t xml:space="preserve"> </w:t>
            </w:r>
            <w:r w:rsidR="003A1DC5">
              <w:rPr>
                <w:rFonts w:ascii="Arial" w:eastAsia="Times New Roman" w:hAnsi="Arial" w:cs="Arial"/>
                <w:spacing w:val="-2"/>
                <w:szCs w:val="24"/>
                <w:lang w:eastAsia="en-GB"/>
              </w:rPr>
              <w:t>weeks</w:t>
            </w:r>
            <w:r w:rsidRPr="003C5743">
              <w:rPr>
                <w:rFonts w:ascii="Arial" w:eastAsia="Times New Roman" w:hAnsi="Arial" w:cs="Arial"/>
                <w:spacing w:val="-2"/>
                <w:szCs w:val="24"/>
                <w:lang w:eastAsia="en-GB"/>
              </w:rPr>
              <w:t xml:space="preserve">.  For example, engines and propulsion system. </w:t>
            </w:r>
          </w:p>
        </w:tc>
        <w:tc>
          <w:tcPr>
            <w:tcW w:w="1371" w:type="dxa"/>
            <w:shd w:val="clear" w:color="auto" w:fill="auto"/>
          </w:tcPr>
          <w:p w14:paraId="5AD4CEF8"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6111A59E" w14:textId="77777777" w:rsidTr="1D9B1110">
        <w:trPr>
          <w:cantSplit/>
        </w:trPr>
        <w:tc>
          <w:tcPr>
            <w:tcW w:w="2065" w:type="dxa"/>
            <w:shd w:val="clear" w:color="auto" w:fill="auto"/>
          </w:tcPr>
          <w:p w14:paraId="0A385DA2" w14:textId="3B65E054"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 xml:space="preserve">DEFFORM 47 Annex </w:t>
            </w:r>
            <w:r w:rsidR="00201F12" w:rsidRPr="003C5743">
              <w:rPr>
                <w:rFonts w:ascii="Arial" w:eastAsia="Times New Roman" w:hAnsi="Arial" w:cs="Arial"/>
                <w:spacing w:val="-2"/>
                <w:szCs w:val="24"/>
                <w:lang w:eastAsia="en-GB"/>
              </w:rPr>
              <w:t>L</w:t>
            </w:r>
            <w:r w:rsidRPr="003C5743">
              <w:rPr>
                <w:rFonts w:ascii="Arial" w:eastAsia="Times New Roman" w:hAnsi="Arial" w:cs="Arial"/>
                <w:spacing w:val="-2"/>
                <w:szCs w:val="24"/>
                <w:lang w:eastAsia="en-GB"/>
              </w:rPr>
              <w:t xml:space="preserve"> – Commercial Compliance Matrix</w:t>
            </w:r>
          </w:p>
        </w:tc>
        <w:tc>
          <w:tcPr>
            <w:tcW w:w="5472" w:type="dxa"/>
            <w:shd w:val="clear" w:color="auto" w:fill="auto"/>
          </w:tcPr>
          <w:p w14:paraId="2F6CD6A9" w14:textId="323ABA3E"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 xml:space="preserve">Submitted a completed Annex </w:t>
            </w:r>
            <w:r w:rsidR="00201F12" w:rsidRPr="003C5743">
              <w:rPr>
                <w:rFonts w:ascii="Arial" w:eastAsia="Times New Roman" w:hAnsi="Arial" w:cs="Arial"/>
                <w:spacing w:val="-2"/>
                <w:szCs w:val="24"/>
                <w:lang w:eastAsia="en-GB"/>
              </w:rPr>
              <w:t>L</w:t>
            </w:r>
            <w:r w:rsidRPr="003C5743">
              <w:rPr>
                <w:rFonts w:ascii="Arial" w:eastAsia="Times New Roman" w:hAnsi="Arial" w:cs="Arial"/>
                <w:spacing w:val="-2"/>
                <w:szCs w:val="24"/>
                <w:lang w:eastAsia="en-GB"/>
              </w:rPr>
              <w:t xml:space="preserve"> – Commercial Compliance Matrix</w:t>
            </w:r>
            <w:r w:rsidR="00E17CCF" w:rsidRPr="003C5743">
              <w:rPr>
                <w:rFonts w:ascii="Arial" w:eastAsia="Times New Roman" w:hAnsi="Arial" w:cs="Arial"/>
                <w:spacing w:val="-2"/>
                <w:szCs w:val="24"/>
                <w:lang w:eastAsia="en-GB"/>
              </w:rPr>
              <w:t xml:space="preserve"> highlighting acceptance of each Term and Condition. Any offer made subject to additional or alternative conditions </w:t>
            </w:r>
            <w:r w:rsidR="005E5188">
              <w:rPr>
                <w:rFonts w:ascii="Arial" w:eastAsia="Times New Roman" w:hAnsi="Arial" w:cs="Arial"/>
                <w:spacing w:val="-2"/>
                <w:szCs w:val="24"/>
                <w:lang w:eastAsia="en-GB"/>
              </w:rPr>
              <w:t>will</w:t>
            </w:r>
            <w:r w:rsidR="00E17CCF" w:rsidRPr="003C5743">
              <w:rPr>
                <w:rFonts w:ascii="Arial" w:eastAsia="Times New Roman" w:hAnsi="Arial" w:cs="Arial"/>
                <w:spacing w:val="-2"/>
                <w:szCs w:val="24"/>
                <w:lang w:eastAsia="en-GB"/>
              </w:rPr>
              <w:t xml:space="preserve"> not be considered and </w:t>
            </w:r>
            <w:r w:rsidR="00984298">
              <w:rPr>
                <w:rFonts w:ascii="Arial" w:eastAsia="Times New Roman" w:hAnsi="Arial" w:cs="Arial"/>
                <w:spacing w:val="-2"/>
                <w:szCs w:val="24"/>
                <w:lang w:eastAsia="en-GB"/>
              </w:rPr>
              <w:t>will</w:t>
            </w:r>
            <w:r w:rsidR="00E17CCF" w:rsidRPr="003C5743">
              <w:rPr>
                <w:rFonts w:ascii="Arial" w:eastAsia="Times New Roman" w:hAnsi="Arial" w:cs="Arial"/>
                <w:spacing w:val="-2"/>
                <w:szCs w:val="24"/>
                <w:lang w:eastAsia="en-GB"/>
              </w:rPr>
              <w:t xml:space="preserve"> be rejected on the grounds of such conditions alone.</w:t>
            </w:r>
          </w:p>
        </w:tc>
        <w:tc>
          <w:tcPr>
            <w:tcW w:w="1371" w:type="dxa"/>
            <w:shd w:val="clear" w:color="auto" w:fill="auto"/>
          </w:tcPr>
          <w:p w14:paraId="7D73DDD1"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3C5743" w:rsidRPr="003C5743" w14:paraId="751D109B" w14:textId="77777777" w:rsidTr="1D9B1110">
        <w:trPr>
          <w:cantSplit/>
        </w:trPr>
        <w:tc>
          <w:tcPr>
            <w:tcW w:w="2065" w:type="dxa"/>
            <w:shd w:val="clear" w:color="auto" w:fill="auto"/>
          </w:tcPr>
          <w:p w14:paraId="7D0B80A0"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Schedule 20 (Gainshare) Schedule 22 (Sustainable Procurement Charter) to the Terms and Conditions</w:t>
            </w:r>
          </w:p>
        </w:tc>
        <w:tc>
          <w:tcPr>
            <w:tcW w:w="5472" w:type="dxa"/>
            <w:shd w:val="clear" w:color="auto" w:fill="auto"/>
          </w:tcPr>
          <w:p w14:paraId="3D527F59" w14:textId="77777777" w:rsidR="00094C4C" w:rsidRPr="003C5743" w:rsidRDefault="00094C4C" w:rsidP="00094C4C">
            <w:pPr>
              <w:autoSpaceDE w:val="0"/>
              <w:autoSpaceDN w:val="0"/>
              <w:adjustRightInd w:val="0"/>
              <w:spacing w:after="0" w:line="240" w:lineRule="auto"/>
              <w:rPr>
                <w:rFonts w:ascii="Arial" w:eastAsia="Times New Roman" w:hAnsi="Arial" w:cs="Arial"/>
                <w:sz w:val="24"/>
                <w:lang w:eastAsia="en-GB"/>
              </w:rPr>
            </w:pPr>
            <w:r w:rsidRPr="003C5743">
              <w:rPr>
                <w:rFonts w:ascii="Arial" w:eastAsia="Times New Roman" w:hAnsi="Arial" w:cs="Arial"/>
                <w:lang w:eastAsia="en-GB"/>
              </w:rPr>
              <w:t xml:space="preserve">Provide a statement to confirm that if selected as the winning Tenderer the relevant Schedules (20&amp;22) will be signed and agreed post Contract Award </w:t>
            </w:r>
          </w:p>
          <w:p w14:paraId="20EC51AD"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p>
        </w:tc>
        <w:tc>
          <w:tcPr>
            <w:tcW w:w="1371" w:type="dxa"/>
            <w:shd w:val="clear" w:color="auto" w:fill="auto"/>
          </w:tcPr>
          <w:p w14:paraId="2506133F"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r w:rsidR="00094C4C" w:rsidRPr="003C5743" w14:paraId="2E0A7B98" w14:textId="77777777" w:rsidTr="1D9B1110">
        <w:trPr>
          <w:cantSplit/>
        </w:trPr>
        <w:tc>
          <w:tcPr>
            <w:tcW w:w="2065" w:type="dxa"/>
            <w:shd w:val="clear" w:color="auto" w:fill="auto"/>
          </w:tcPr>
          <w:p w14:paraId="513FCBF9" w14:textId="77777777" w:rsidR="00094C4C" w:rsidRPr="003C5743" w:rsidRDefault="00094C4C" w:rsidP="2A707180">
            <w:pPr>
              <w:tabs>
                <w:tab w:val="left" w:pos="284"/>
                <w:tab w:val="left" w:pos="851"/>
                <w:tab w:val="left" w:pos="10200"/>
              </w:tabs>
              <w:spacing w:beforeLines="60" w:before="144" w:afterLines="60" w:after="144" w:line="240" w:lineRule="auto"/>
              <w:ind w:right="6"/>
              <w:rPr>
                <w:rFonts w:ascii="Arial" w:eastAsia="Arial" w:hAnsi="Arial" w:cs="Arial"/>
              </w:rPr>
            </w:pPr>
            <w:r w:rsidRPr="003C5743">
              <w:rPr>
                <w:rFonts w:ascii="Arial" w:eastAsia="Times New Roman" w:hAnsi="Arial" w:cs="Arial"/>
                <w:spacing w:val="-2"/>
                <w:lang w:eastAsia="en-GB"/>
              </w:rPr>
              <w:t>Tender Clarification Questions</w:t>
            </w:r>
          </w:p>
          <w:p w14:paraId="2DAA163E" w14:textId="56A52BD7" w:rsidR="00094C4C" w:rsidRPr="003C5743" w:rsidRDefault="2A707180" w:rsidP="2A707180">
            <w:pPr>
              <w:tabs>
                <w:tab w:val="left" w:pos="284"/>
                <w:tab w:val="left" w:pos="851"/>
                <w:tab w:val="left" w:pos="10200"/>
              </w:tabs>
              <w:spacing w:beforeLines="60" w:before="144" w:afterLines="60" w:after="144" w:line="240" w:lineRule="auto"/>
              <w:ind w:right="6"/>
              <w:rPr>
                <w:rFonts w:ascii="Arial" w:eastAsia="Arial" w:hAnsi="Arial" w:cs="Arial"/>
              </w:rPr>
            </w:pPr>
            <w:r w:rsidRPr="003C5743">
              <w:rPr>
                <w:rFonts w:ascii="Arial" w:eastAsia="Arial" w:hAnsi="Arial" w:cs="Arial"/>
              </w:rPr>
              <w:t>(applicable to Stage 7 - Up-Issue of Documentation only)</w:t>
            </w:r>
          </w:p>
        </w:tc>
        <w:tc>
          <w:tcPr>
            <w:tcW w:w="5472" w:type="dxa"/>
            <w:shd w:val="clear" w:color="auto" w:fill="auto"/>
          </w:tcPr>
          <w:p w14:paraId="71240AAF" w14:textId="1CCEE133" w:rsidR="00094C4C" w:rsidRPr="003C5743" w:rsidRDefault="00094C4C" w:rsidP="2A707180">
            <w:pPr>
              <w:tabs>
                <w:tab w:val="left" w:pos="284"/>
                <w:tab w:val="left" w:pos="851"/>
                <w:tab w:val="left" w:pos="10200"/>
              </w:tabs>
              <w:spacing w:beforeLines="60" w:before="144" w:afterLines="60" w:after="144" w:line="240" w:lineRule="auto"/>
              <w:rPr>
                <w:rFonts w:ascii="Arial" w:eastAsia="Times New Roman" w:hAnsi="Arial" w:cs="Arial"/>
                <w:lang w:eastAsia="en-GB"/>
              </w:rPr>
            </w:pPr>
            <w:r w:rsidRPr="003C5743">
              <w:rPr>
                <w:rFonts w:ascii="Arial" w:eastAsia="Times New Roman" w:hAnsi="Arial" w:cs="Arial"/>
                <w:spacing w:val="-2"/>
                <w:lang w:eastAsia="en-GB"/>
              </w:rPr>
              <w:t xml:space="preserve">Provide a statement to confirm that all applicable Tender Clarification Questions, </w:t>
            </w:r>
            <w:r w:rsidR="2A707180" w:rsidRPr="003C5743">
              <w:rPr>
                <w:rFonts w:ascii="Arial" w:eastAsia="Arial" w:hAnsi="Arial" w:cs="Arial"/>
              </w:rPr>
              <w:t xml:space="preserve">Authority Clarification Questions Post Tender Return </w:t>
            </w:r>
            <w:r w:rsidRPr="003C5743">
              <w:rPr>
                <w:rFonts w:ascii="Arial" w:eastAsia="Times New Roman" w:hAnsi="Arial" w:cs="Arial"/>
                <w:spacing w:val="-2"/>
                <w:lang w:eastAsia="en-GB"/>
              </w:rPr>
              <w:t xml:space="preserve">and responses have been included in their Tender submission. </w:t>
            </w:r>
          </w:p>
        </w:tc>
        <w:tc>
          <w:tcPr>
            <w:tcW w:w="1371" w:type="dxa"/>
            <w:shd w:val="clear" w:color="auto" w:fill="auto"/>
          </w:tcPr>
          <w:p w14:paraId="0EBAC454" w14:textId="77777777" w:rsidR="00094C4C" w:rsidRPr="003C5743" w:rsidRDefault="00094C4C" w:rsidP="00094C4C">
            <w:pPr>
              <w:tabs>
                <w:tab w:val="left" w:pos="284"/>
                <w:tab w:val="left" w:pos="851"/>
                <w:tab w:val="left" w:pos="10200"/>
              </w:tabs>
              <w:spacing w:beforeLines="60" w:before="144" w:afterLines="60" w:after="144" w:line="240" w:lineRule="auto"/>
              <w:ind w:right="6"/>
              <w:rPr>
                <w:rFonts w:ascii="Arial" w:eastAsia="Times New Roman" w:hAnsi="Arial" w:cs="Arial"/>
                <w:spacing w:val="-2"/>
                <w:szCs w:val="24"/>
                <w:lang w:eastAsia="en-GB"/>
              </w:rPr>
            </w:pPr>
            <w:r w:rsidRPr="003C5743">
              <w:rPr>
                <w:rFonts w:ascii="Arial" w:eastAsia="Times New Roman" w:hAnsi="Arial" w:cs="Arial"/>
                <w:spacing w:val="-2"/>
                <w:szCs w:val="24"/>
                <w:lang w:eastAsia="en-GB"/>
              </w:rPr>
              <w:t>Pass or Fail</w:t>
            </w:r>
          </w:p>
        </w:tc>
      </w:tr>
    </w:tbl>
    <w:p w14:paraId="63344F15" w14:textId="77777777" w:rsidR="00155DC3" w:rsidRPr="003C5743" w:rsidRDefault="00155DC3" w:rsidP="00155DC3">
      <w:pPr>
        <w:spacing w:after="0" w:line="240" w:lineRule="auto"/>
        <w:rPr>
          <w:rFonts w:ascii="Arial" w:eastAsia="Times New Roman" w:hAnsi="Arial" w:cs="Arial"/>
        </w:rPr>
      </w:pPr>
    </w:p>
    <w:p w14:paraId="68CAC2CD" w14:textId="30514660" w:rsidR="00155DC3" w:rsidRDefault="00155DC3" w:rsidP="00155DC3">
      <w:pPr>
        <w:overflowPunct w:val="0"/>
        <w:autoSpaceDE w:val="0"/>
        <w:autoSpaceDN w:val="0"/>
        <w:adjustRightInd w:val="0"/>
        <w:spacing w:after="0" w:line="240" w:lineRule="auto"/>
        <w:contextualSpacing/>
        <w:textAlignment w:val="baseline"/>
        <w:rPr>
          <w:rFonts w:ascii="Arial" w:eastAsia="Times New Roman" w:hAnsi="Arial" w:cs="Arial"/>
          <w:b/>
          <w:u w:val="single"/>
          <w:lang w:eastAsia="en-GB"/>
        </w:rPr>
      </w:pPr>
    </w:p>
    <w:p w14:paraId="39059223" w14:textId="25C42A93" w:rsidR="00AE26B5" w:rsidRDefault="00AE26B5" w:rsidP="00155DC3">
      <w:pPr>
        <w:overflowPunct w:val="0"/>
        <w:autoSpaceDE w:val="0"/>
        <w:autoSpaceDN w:val="0"/>
        <w:adjustRightInd w:val="0"/>
        <w:spacing w:after="0" w:line="240" w:lineRule="auto"/>
        <w:contextualSpacing/>
        <w:textAlignment w:val="baseline"/>
        <w:rPr>
          <w:rFonts w:ascii="Arial" w:eastAsia="Times New Roman" w:hAnsi="Arial" w:cs="Arial"/>
          <w:b/>
          <w:u w:val="single"/>
          <w:lang w:eastAsia="en-GB"/>
        </w:rPr>
      </w:pPr>
    </w:p>
    <w:p w14:paraId="71A2056B" w14:textId="77777777" w:rsidR="00AE26B5" w:rsidRPr="003C5743" w:rsidRDefault="00AE26B5" w:rsidP="00155DC3">
      <w:pPr>
        <w:overflowPunct w:val="0"/>
        <w:autoSpaceDE w:val="0"/>
        <w:autoSpaceDN w:val="0"/>
        <w:adjustRightInd w:val="0"/>
        <w:spacing w:after="0" w:line="240" w:lineRule="auto"/>
        <w:contextualSpacing/>
        <w:textAlignment w:val="baseline"/>
        <w:rPr>
          <w:rFonts w:ascii="Arial" w:eastAsia="Times New Roman" w:hAnsi="Arial" w:cs="Arial"/>
          <w:b/>
          <w:u w:val="single"/>
          <w:lang w:eastAsia="en-GB"/>
        </w:rPr>
      </w:pPr>
    </w:p>
    <w:p w14:paraId="45A01B13" w14:textId="2B601AC6" w:rsidR="00155DC3" w:rsidRPr="003C5743" w:rsidRDefault="00155DC3" w:rsidP="00155DC3">
      <w:pPr>
        <w:overflowPunct w:val="0"/>
        <w:autoSpaceDE w:val="0"/>
        <w:autoSpaceDN w:val="0"/>
        <w:adjustRightInd w:val="0"/>
        <w:spacing w:after="0" w:line="240" w:lineRule="auto"/>
        <w:contextualSpacing/>
        <w:textAlignment w:val="baseline"/>
        <w:rPr>
          <w:rFonts w:ascii="Arial" w:eastAsia="Times New Roman" w:hAnsi="Arial" w:cs="Arial"/>
          <w:b/>
          <w:u w:val="single"/>
          <w:lang w:eastAsia="en-GB"/>
        </w:rPr>
      </w:pPr>
      <w:r w:rsidRPr="003C5743">
        <w:rPr>
          <w:rFonts w:ascii="Arial" w:eastAsia="Times New Roman" w:hAnsi="Arial" w:cs="Arial"/>
          <w:b/>
          <w:u w:val="single"/>
          <w:lang w:eastAsia="en-GB"/>
        </w:rPr>
        <w:lastRenderedPageBreak/>
        <w:t xml:space="preserve">Stage 2 – Technical Compliance – </w:t>
      </w:r>
      <w:r w:rsidR="79BFDA3E" w:rsidRPr="003C5743">
        <w:rPr>
          <w:rFonts w:ascii="Arial" w:eastAsia="Times New Roman" w:hAnsi="Arial" w:cs="Arial"/>
          <w:b/>
          <w:bCs/>
          <w:u w:val="single"/>
          <w:lang w:eastAsia="en-GB"/>
        </w:rPr>
        <w:t>Statement of Technical Requirements (</w:t>
      </w:r>
      <w:proofErr w:type="spellStart"/>
      <w:r w:rsidRPr="003C5743">
        <w:rPr>
          <w:rFonts w:ascii="Arial" w:eastAsia="Times New Roman" w:hAnsi="Arial" w:cs="Arial"/>
          <w:b/>
          <w:u w:val="single"/>
          <w:lang w:eastAsia="en-GB"/>
        </w:rPr>
        <w:t>SoTR</w:t>
      </w:r>
      <w:proofErr w:type="spellEnd"/>
      <w:r w:rsidR="79BFDA3E" w:rsidRPr="003C5743">
        <w:rPr>
          <w:rFonts w:ascii="Arial" w:eastAsia="Times New Roman" w:hAnsi="Arial" w:cs="Arial"/>
          <w:b/>
          <w:bCs/>
          <w:u w:val="single"/>
          <w:lang w:eastAsia="en-GB"/>
        </w:rPr>
        <w:t>)</w:t>
      </w:r>
      <w:r w:rsidRPr="003C5743">
        <w:rPr>
          <w:rFonts w:ascii="Arial" w:eastAsia="Times New Roman" w:hAnsi="Arial" w:cs="Arial"/>
          <w:b/>
          <w:u w:val="single"/>
          <w:lang w:eastAsia="en-GB"/>
        </w:rPr>
        <w:t xml:space="preserve"> Evaluation</w:t>
      </w:r>
    </w:p>
    <w:p w14:paraId="2A3B7142" w14:textId="77777777" w:rsidR="00155DC3" w:rsidRPr="003C5743" w:rsidRDefault="00155DC3" w:rsidP="00155DC3">
      <w:pPr>
        <w:spacing w:after="0" w:line="240" w:lineRule="auto"/>
        <w:rPr>
          <w:rFonts w:ascii="Arial" w:eastAsia="Times New Roman" w:hAnsi="Arial" w:cs="Arial"/>
          <w:lang w:eastAsia="en-GB"/>
        </w:rPr>
      </w:pPr>
    </w:p>
    <w:p w14:paraId="4574C426" w14:textId="77777777"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Each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 has been attributed an evaluation type, definitions of the evaluation types are as follows: </w:t>
      </w:r>
    </w:p>
    <w:p w14:paraId="2B95B11C" w14:textId="77777777" w:rsidR="00155DC3" w:rsidRPr="003C5743" w:rsidRDefault="00155DC3" w:rsidP="00155DC3">
      <w:pPr>
        <w:numPr>
          <w:ilvl w:val="4"/>
          <w:numId w:val="7"/>
        </w:numPr>
        <w:spacing w:after="240" w:line="240" w:lineRule="auto"/>
        <w:jc w:val="both"/>
        <w:rPr>
          <w:rFonts w:ascii="Arial" w:eastAsia="Times New Roman" w:hAnsi="Arial" w:cs="Arial"/>
        </w:rPr>
      </w:pPr>
      <w:r w:rsidRPr="003C5743">
        <w:rPr>
          <w:rFonts w:ascii="Arial" w:eastAsia="Times New Roman" w:hAnsi="Arial" w:cs="Arial"/>
        </w:rPr>
        <w:t>Binary – A requirement with only one measure of performance, these will be confidence marked. The tenderer will claim either “Compliant” or “Non-Compliant” by selecting the appropriate drop-down option within the “Confirmation of Compliance” column. Tenderers are to note that binary requirements will be assessed against the Tenderers claimed level of compliance, informed by the “Statement of Compliance” submission.</w:t>
      </w:r>
    </w:p>
    <w:p w14:paraId="28B847B4" w14:textId="77777777" w:rsidR="00155DC3" w:rsidRPr="003C5743" w:rsidRDefault="00155DC3" w:rsidP="00155DC3">
      <w:pPr>
        <w:numPr>
          <w:ilvl w:val="4"/>
          <w:numId w:val="7"/>
        </w:numPr>
        <w:spacing w:after="240" w:line="240" w:lineRule="auto"/>
        <w:jc w:val="both"/>
        <w:rPr>
          <w:rFonts w:ascii="Arial" w:eastAsia="Times New Roman" w:hAnsi="Arial" w:cs="Arial"/>
        </w:rPr>
      </w:pPr>
      <w:r w:rsidRPr="003C5743">
        <w:rPr>
          <w:rFonts w:ascii="Arial" w:eastAsia="Times New Roman" w:hAnsi="Arial" w:cs="Arial"/>
        </w:rPr>
        <w:t>Ternary – A requirement with two discrete measures of performance, these will be confidence marked. The tenderer will claim either “Compliant-Threshold” or “Compliant–Objective” or “Non-Compliant” by selecting the appropriate drop-down option within the “Confirmation of Compliance” column. Tenderers are to note that ternary requirements will be assessed against the Tenderers claimed level of compliance informed by the “Statement of Compliance” submission.</w:t>
      </w:r>
    </w:p>
    <w:p w14:paraId="40A397A3" w14:textId="77777777" w:rsidR="00155DC3" w:rsidRPr="003C5743" w:rsidRDefault="00155DC3" w:rsidP="00155DC3">
      <w:pPr>
        <w:numPr>
          <w:ilvl w:val="4"/>
          <w:numId w:val="7"/>
        </w:numPr>
        <w:spacing w:after="240" w:line="240" w:lineRule="auto"/>
        <w:jc w:val="both"/>
        <w:rPr>
          <w:rFonts w:ascii="Arial" w:eastAsia="Times New Roman" w:hAnsi="Arial" w:cs="Arial"/>
        </w:rPr>
      </w:pPr>
      <w:r w:rsidRPr="003C5743">
        <w:rPr>
          <w:rFonts w:ascii="Arial" w:eastAsia="Times New Roman" w:hAnsi="Arial" w:cs="Arial"/>
        </w:rPr>
        <w:t xml:space="preserve">Continuous - A requirement with two measures of performance on a continuous scale. These will be confidence marked. The tenderer will claim either “compliant” or “non-compliant” by selecting the appropriate drop-down option within the “Confirmation of Compliance” column. In addition to the three distinct elements (para D10) requested the Tenderer’s response shall be clear as to the exact level of performance they are claiming. The maximum score will be awarded for meeting the Objective requirement, no additional credit will be awarded for exceeding Objective requirements. Tenderers are to note that Continuous requirements will be assessed against the Tenderer’s claimed level of compliance informed by the “Statement of Compliance” submission.  </w:t>
      </w:r>
    </w:p>
    <w:p w14:paraId="5EFD1A7C" w14:textId="77777777" w:rsidR="00155DC3" w:rsidRPr="003C5743" w:rsidRDefault="00155DC3" w:rsidP="00155DC3">
      <w:pPr>
        <w:numPr>
          <w:ilvl w:val="4"/>
          <w:numId w:val="7"/>
        </w:numPr>
        <w:spacing w:after="240" w:line="240" w:lineRule="auto"/>
        <w:jc w:val="both"/>
        <w:rPr>
          <w:rFonts w:ascii="Arial" w:eastAsia="Times New Roman" w:hAnsi="Arial" w:cs="Arial"/>
        </w:rPr>
      </w:pPr>
      <w:r w:rsidRPr="003C5743">
        <w:rPr>
          <w:rFonts w:ascii="Arial" w:eastAsia="Times New Roman" w:hAnsi="Arial" w:cs="Arial"/>
        </w:rPr>
        <w:t xml:space="preserve">Pass/Fail - A requirement with only one measure of performance. The Tenderer’s response will claim to either be “Compliant” or “Non-Compliant”. Tenderers are to note that Pass/Fail requirements will be assessed against the Tenderers claimed level of compliance informed by the “Statement of Compliance” submission. The criteria for a Pass or a Fail are contained in Table 2c below. </w:t>
      </w:r>
    </w:p>
    <w:p w14:paraId="2EEDF1D2" w14:textId="2F5D9A58" w:rsidR="00155DC3" w:rsidRPr="003C5743" w:rsidRDefault="7E19EFB6" w:rsidP="7E19EFB6">
      <w:pPr>
        <w:numPr>
          <w:ilvl w:val="0"/>
          <w:numId w:val="1"/>
        </w:numPr>
        <w:spacing w:after="240" w:line="240" w:lineRule="auto"/>
        <w:jc w:val="both"/>
        <w:rPr>
          <w:rFonts w:ascii="Arial" w:eastAsia="Times New Roman" w:hAnsi="Arial" w:cs="Arial"/>
        </w:rPr>
      </w:pPr>
      <w:r w:rsidRPr="7E19EFB6">
        <w:rPr>
          <w:rFonts w:ascii="Arial" w:eastAsia="Times New Roman" w:hAnsi="Arial" w:cs="Arial"/>
        </w:rPr>
        <w:t xml:space="preserve">Tenderers’ response to each </w:t>
      </w:r>
      <w:proofErr w:type="spellStart"/>
      <w:r w:rsidRPr="7E19EFB6">
        <w:rPr>
          <w:rFonts w:ascii="Arial" w:eastAsia="Times New Roman" w:hAnsi="Arial" w:cs="Arial"/>
        </w:rPr>
        <w:t>SoTR</w:t>
      </w:r>
      <w:proofErr w:type="spellEnd"/>
      <w:r w:rsidRPr="7E19EFB6">
        <w:rPr>
          <w:rFonts w:ascii="Arial" w:eastAsia="Times New Roman" w:hAnsi="Arial" w:cs="Arial"/>
        </w:rPr>
        <w:t xml:space="preserve"> line will be required to satisfy three distinct elements detailed in Table 2a below.</w:t>
      </w:r>
    </w:p>
    <w:p w14:paraId="0F66A8A3" w14:textId="77777777" w:rsidR="00761727" w:rsidRPr="00761727" w:rsidRDefault="0015555B" w:rsidP="00E70686">
      <w:pPr>
        <w:pStyle w:val="ListParagraph"/>
        <w:numPr>
          <w:ilvl w:val="0"/>
          <w:numId w:val="1"/>
        </w:numPr>
        <w:tabs>
          <w:tab w:val="left" w:pos="567"/>
        </w:tabs>
        <w:spacing w:after="0" w:line="240" w:lineRule="auto"/>
        <w:rPr>
          <w:rFonts w:ascii="Arial" w:eastAsia="Times New Roman" w:hAnsi="Arial" w:cs="Arial"/>
          <w:u w:val="single"/>
        </w:rPr>
      </w:pPr>
      <w:r>
        <w:rPr>
          <w:rFonts w:ascii="Arial" w:eastAsia="Times New Roman" w:hAnsi="Arial" w:cs="Arial"/>
        </w:rPr>
        <w:t>Failure to achieve all the elements contained in the table below will result in the</w:t>
      </w:r>
      <w:r w:rsidR="00761727">
        <w:rPr>
          <w:rFonts w:ascii="Arial" w:eastAsia="Times New Roman" w:hAnsi="Arial" w:cs="Arial"/>
        </w:rPr>
        <w:t xml:space="preserve"> Tenderers response to the</w:t>
      </w:r>
      <w:r>
        <w:rPr>
          <w:rFonts w:ascii="Arial" w:eastAsia="Times New Roman" w:hAnsi="Arial" w:cs="Arial"/>
        </w:rPr>
        <w:t xml:space="preserve"> </w:t>
      </w:r>
      <w:proofErr w:type="spellStart"/>
      <w:r w:rsidR="00761727">
        <w:rPr>
          <w:rFonts w:ascii="Arial" w:eastAsia="Times New Roman" w:hAnsi="Arial" w:cs="Arial"/>
        </w:rPr>
        <w:t>SoTR</w:t>
      </w:r>
      <w:proofErr w:type="spellEnd"/>
      <w:r w:rsidR="00761727">
        <w:rPr>
          <w:rFonts w:ascii="Arial" w:eastAsia="Times New Roman" w:hAnsi="Arial" w:cs="Arial"/>
        </w:rPr>
        <w:t xml:space="preserve"> line being found non-compliant. </w:t>
      </w:r>
    </w:p>
    <w:p w14:paraId="7566785D" w14:textId="512CAE55" w:rsidR="00E70686" w:rsidRDefault="00E70686" w:rsidP="00761727">
      <w:pPr>
        <w:pStyle w:val="ListParagraph"/>
        <w:tabs>
          <w:tab w:val="left" w:pos="567"/>
        </w:tabs>
        <w:spacing w:after="0" w:line="240" w:lineRule="auto"/>
        <w:ind w:left="360"/>
        <w:rPr>
          <w:rFonts w:ascii="Arial" w:eastAsia="Times New Roman" w:hAnsi="Arial" w:cs="Arial"/>
        </w:rPr>
      </w:pPr>
    </w:p>
    <w:p w14:paraId="2CC65EB9" w14:textId="3A28DC87" w:rsidR="00583C80" w:rsidRDefault="00583C80" w:rsidP="00761727">
      <w:pPr>
        <w:pStyle w:val="ListParagraph"/>
        <w:tabs>
          <w:tab w:val="left" w:pos="567"/>
        </w:tabs>
        <w:spacing w:after="0" w:line="240" w:lineRule="auto"/>
        <w:ind w:left="360"/>
        <w:rPr>
          <w:rFonts w:ascii="Arial" w:eastAsia="Times New Roman" w:hAnsi="Arial" w:cs="Arial"/>
        </w:rPr>
      </w:pPr>
    </w:p>
    <w:p w14:paraId="4CA1053A" w14:textId="58526845" w:rsidR="00583C80" w:rsidRDefault="00583C80" w:rsidP="00761727">
      <w:pPr>
        <w:pStyle w:val="ListParagraph"/>
        <w:tabs>
          <w:tab w:val="left" w:pos="567"/>
        </w:tabs>
        <w:spacing w:after="0" w:line="240" w:lineRule="auto"/>
        <w:ind w:left="360"/>
        <w:rPr>
          <w:rFonts w:ascii="Arial" w:eastAsia="Times New Roman" w:hAnsi="Arial" w:cs="Arial"/>
        </w:rPr>
      </w:pPr>
    </w:p>
    <w:p w14:paraId="6C7715FA" w14:textId="2F92FBC7" w:rsidR="00583C80" w:rsidRDefault="00583C80" w:rsidP="00761727">
      <w:pPr>
        <w:pStyle w:val="ListParagraph"/>
        <w:tabs>
          <w:tab w:val="left" w:pos="567"/>
        </w:tabs>
        <w:spacing w:after="0" w:line="240" w:lineRule="auto"/>
        <w:ind w:left="360"/>
        <w:rPr>
          <w:rFonts w:ascii="Arial" w:eastAsia="Times New Roman" w:hAnsi="Arial" w:cs="Arial"/>
        </w:rPr>
      </w:pPr>
    </w:p>
    <w:p w14:paraId="34D1C0C2" w14:textId="6DDCA68B" w:rsidR="00583C80" w:rsidRDefault="00583C80" w:rsidP="00761727">
      <w:pPr>
        <w:pStyle w:val="ListParagraph"/>
        <w:tabs>
          <w:tab w:val="left" w:pos="567"/>
        </w:tabs>
        <w:spacing w:after="0" w:line="240" w:lineRule="auto"/>
        <w:ind w:left="360"/>
        <w:rPr>
          <w:rFonts w:ascii="Arial" w:eastAsia="Times New Roman" w:hAnsi="Arial" w:cs="Arial"/>
        </w:rPr>
      </w:pPr>
    </w:p>
    <w:p w14:paraId="44EE1B0E" w14:textId="7D90CBF6" w:rsidR="00583C80" w:rsidRDefault="00583C80" w:rsidP="00761727">
      <w:pPr>
        <w:pStyle w:val="ListParagraph"/>
        <w:tabs>
          <w:tab w:val="left" w:pos="567"/>
        </w:tabs>
        <w:spacing w:after="0" w:line="240" w:lineRule="auto"/>
        <w:ind w:left="360"/>
        <w:rPr>
          <w:rFonts w:ascii="Arial" w:eastAsia="Times New Roman" w:hAnsi="Arial" w:cs="Arial"/>
        </w:rPr>
      </w:pPr>
    </w:p>
    <w:p w14:paraId="36EDA171" w14:textId="5557364E" w:rsidR="00583C80" w:rsidRDefault="00583C80" w:rsidP="00761727">
      <w:pPr>
        <w:pStyle w:val="ListParagraph"/>
        <w:tabs>
          <w:tab w:val="left" w:pos="567"/>
        </w:tabs>
        <w:spacing w:after="0" w:line="240" w:lineRule="auto"/>
        <w:ind w:left="360"/>
        <w:rPr>
          <w:rFonts w:ascii="Arial" w:eastAsia="Times New Roman" w:hAnsi="Arial" w:cs="Arial"/>
        </w:rPr>
      </w:pPr>
    </w:p>
    <w:p w14:paraId="0DCB2867" w14:textId="77777777" w:rsidR="00583C80" w:rsidRDefault="00583C80" w:rsidP="00761727">
      <w:pPr>
        <w:pStyle w:val="ListParagraph"/>
        <w:tabs>
          <w:tab w:val="left" w:pos="567"/>
        </w:tabs>
        <w:spacing w:after="0" w:line="240" w:lineRule="auto"/>
        <w:ind w:left="360"/>
        <w:rPr>
          <w:rFonts w:ascii="Arial" w:eastAsia="Times New Roman" w:hAnsi="Arial" w:cs="Arial"/>
          <w:u w:val="single"/>
        </w:rPr>
      </w:pPr>
    </w:p>
    <w:p w14:paraId="73979F4C" w14:textId="08010450" w:rsidR="003020C4" w:rsidRPr="003C5743" w:rsidRDefault="00E70686" w:rsidP="7E19EFB6">
      <w:pPr>
        <w:pStyle w:val="ListParagraph"/>
        <w:tabs>
          <w:tab w:val="left" w:pos="567"/>
        </w:tabs>
        <w:spacing w:after="0" w:line="240" w:lineRule="auto"/>
        <w:ind w:left="360"/>
        <w:rPr>
          <w:rFonts w:ascii="Arial" w:eastAsia="Times New Roman" w:hAnsi="Arial" w:cs="Arial"/>
          <w:u w:val="single"/>
        </w:rPr>
      </w:pPr>
      <w:r w:rsidRPr="00E70686">
        <w:rPr>
          <w:rFonts w:ascii="Arial" w:eastAsia="Times New Roman" w:hAnsi="Arial" w:cs="Arial"/>
        </w:rPr>
        <w:lastRenderedPageBreak/>
        <w:tab/>
      </w:r>
      <w:r w:rsidRPr="00E70686">
        <w:rPr>
          <w:rFonts w:ascii="Arial" w:eastAsia="Times New Roman" w:hAnsi="Arial" w:cs="Arial"/>
        </w:rPr>
        <w:tab/>
      </w:r>
      <w:r w:rsidRPr="00E70686">
        <w:rPr>
          <w:rFonts w:ascii="Arial" w:eastAsia="Times New Roman" w:hAnsi="Arial" w:cs="Arial"/>
        </w:rPr>
        <w:tab/>
      </w:r>
      <w:r w:rsidRPr="00E70686">
        <w:rPr>
          <w:rFonts w:ascii="Arial" w:eastAsia="Times New Roman" w:hAnsi="Arial" w:cs="Arial"/>
        </w:rPr>
        <w:tab/>
      </w:r>
      <w:r w:rsidR="003020C4" w:rsidRPr="003C5743">
        <w:rPr>
          <w:rFonts w:ascii="Arial" w:eastAsia="Times New Roman" w:hAnsi="Arial" w:cs="Arial"/>
          <w:u w:val="single"/>
        </w:rPr>
        <w:t>Table 2a – Statement of Compliance</w:t>
      </w:r>
    </w:p>
    <w:p w14:paraId="1AC718F4" w14:textId="77777777" w:rsidR="003020C4" w:rsidRPr="003C5743" w:rsidRDefault="003020C4" w:rsidP="003020C4">
      <w:pPr>
        <w:pStyle w:val="ListParagraph"/>
        <w:tabs>
          <w:tab w:val="left" w:pos="567"/>
        </w:tabs>
        <w:spacing w:after="0" w:line="240" w:lineRule="auto"/>
        <w:ind w:left="360"/>
        <w:rPr>
          <w:rFonts w:ascii="Arial" w:eastAsia="Times New Roman" w:hAnsi="Arial" w:cs="Arial"/>
          <w:u w:val="single"/>
        </w:rPr>
      </w:pPr>
    </w:p>
    <w:tbl>
      <w:tblPr>
        <w:tblStyle w:val="TableGrid"/>
        <w:tblW w:w="0" w:type="auto"/>
        <w:tblInd w:w="0" w:type="dxa"/>
        <w:tblLook w:val="04A0" w:firstRow="1" w:lastRow="0" w:firstColumn="1" w:lastColumn="0" w:noHBand="0" w:noVBand="1"/>
      </w:tblPr>
      <w:tblGrid>
        <w:gridCol w:w="3193"/>
        <w:gridCol w:w="5823"/>
      </w:tblGrid>
      <w:tr w:rsidR="003C5743" w:rsidRPr="003C5743" w14:paraId="2A3A5BEF" w14:textId="77777777" w:rsidTr="7E19EFB6">
        <w:tc>
          <w:tcPr>
            <w:tcW w:w="3397" w:type="dxa"/>
            <w:shd w:val="clear" w:color="auto" w:fill="E2EFD9" w:themeFill="accent6" w:themeFillTint="33"/>
          </w:tcPr>
          <w:p w14:paraId="6315034F" w14:textId="77777777" w:rsidR="003020C4" w:rsidRPr="003C5743" w:rsidRDefault="003020C4" w:rsidP="003C5743">
            <w:pPr>
              <w:rPr>
                <w:rFonts w:ascii="Arial" w:hAnsi="Arial" w:cs="Arial"/>
                <w:b/>
              </w:rPr>
            </w:pPr>
            <w:r w:rsidRPr="003C5743">
              <w:rPr>
                <w:rFonts w:ascii="Arial" w:hAnsi="Arial" w:cs="Arial"/>
                <w:b/>
              </w:rPr>
              <w:t>Confirmation of Compliance</w:t>
            </w:r>
          </w:p>
        </w:tc>
        <w:tc>
          <w:tcPr>
            <w:tcW w:w="6345" w:type="dxa"/>
            <w:shd w:val="clear" w:color="auto" w:fill="E2EFD9" w:themeFill="accent6" w:themeFillTint="33"/>
          </w:tcPr>
          <w:p w14:paraId="382CD028" w14:textId="77777777" w:rsidR="003020C4" w:rsidRPr="003C5743" w:rsidRDefault="003020C4" w:rsidP="003C5743">
            <w:pPr>
              <w:rPr>
                <w:rFonts w:ascii="Arial" w:hAnsi="Arial" w:cs="Arial"/>
                <w:b/>
              </w:rPr>
            </w:pPr>
            <w:r w:rsidRPr="003C5743">
              <w:rPr>
                <w:rFonts w:ascii="Arial" w:hAnsi="Arial" w:cs="Arial"/>
                <w:b/>
              </w:rPr>
              <w:t>Statement of Compliance</w:t>
            </w:r>
          </w:p>
        </w:tc>
      </w:tr>
      <w:tr w:rsidR="003020C4" w:rsidRPr="003C5743" w14:paraId="1912DFFD" w14:textId="77777777" w:rsidTr="7E19EFB6">
        <w:tc>
          <w:tcPr>
            <w:tcW w:w="3397" w:type="dxa"/>
          </w:tcPr>
          <w:p w14:paraId="1BE5ABA7" w14:textId="77777777" w:rsidR="003020C4" w:rsidRPr="003C5743" w:rsidRDefault="003020C4" w:rsidP="003C5743">
            <w:pPr>
              <w:rPr>
                <w:rFonts w:ascii="Arial" w:hAnsi="Arial" w:cs="Arial"/>
              </w:rPr>
            </w:pPr>
            <w:r w:rsidRPr="003C5743">
              <w:rPr>
                <w:rFonts w:ascii="Arial" w:hAnsi="Arial" w:cs="Arial"/>
              </w:rPr>
              <w:t>Compliant – Objective</w:t>
            </w:r>
          </w:p>
        </w:tc>
        <w:tc>
          <w:tcPr>
            <w:tcW w:w="6345" w:type="dxa"/>
          </w:tcPr>
          <w:p w14:paraId="54F6F89D" w14:textId="77777777" w:rsidR="003020C4" w:rsidRPr="003C5743" w:rsidRDefault="003020C4" w:rsidP="003C5743">
            <w:pPr>
              <w:rPr>
                <w:rFonts w:ascii="Arial" w:hAnsi="Arial" w:cs="Arial"/>
                <w:b/>
              </w:rPr>
            </w:pPr>
            <w:r w:rsidRPr="003C5743">
              <w:rPr>
                <w:rFonts w:ascii="Arial" w:hAnsi="Arial" w:cs="Arial"/>
                <w:b/>
              </w:rPr>
              <w:t>Claim Summary</w:t>
            </w:r>
          </w:p>
          <w:p w14:paraId="21AC7BCC" w14:textId="77777777" w:rsidR="003020C4" w:rsidRPr="003C5743" w:rsidRDefault="003020C4" w:rsidP="003C5743">
            <w:pPr>
              <w:rPr>
                <w:rFonts w:ascii="Arial" w:hAnsi="Arial" w:cs="Arial"/>
              </w:rPr>
            </w:pPr>
            <w:r w:rsidRPr="003C5743">
              <w:rPr>
                <w:rFonts w:ascii="Arial" w:hAnsi="Arial" w:cs="Arial"/>
              </w:rPr>
              <w:t>The Tenderer shall provide an in-depth description detailing how they propose to fulfil the requirement.</w:t>
            </w:r>
          </w:p>
          <w:p w14:paraId="71161600" w14:textId="77777777" w:rsidR="003020C4" w:rsidRPr="003C5743" w:rsidRDefault="003020C4" w:rsidP="003C5743">
            <w:pPr>
              <w:rPr>
                <w:rFonts w:ascii="Arial" w:hAnsi="Arial" w:cs="Arial"/>
              </w:rPr>
            </w:pPr>
          </w:p>
          <w:p w14:paraId="7756F67B" w14:textId="77777777" w:rsidR="003020C4" w:rsidRPr="003C5743" w:rsidRDefault="003020C4" w:rsidP="003C5743">
            <w:pPr>
              <w:rPr>
                <w:rFonts w:ascii="Arial" w:hAnsi="Arial" w:cs="Arial"/>
                <w:b/>
              </w:rPr>
            </w:pPr>
            <w:r w:rsidRPr="003C5743">
              <w:rPr>
                <w:rFonts w:ascii="Arial" w:hAnsi="Arial" w:cs="Arial"/>
                <w:b/>
              </w:rPr>
              <w:t xml:space="preserve">Evidence </w:t>
            </w:r>
          </w:p>
          <w:p w14:paraId="5E3ACFE2" w14:textId="3B0561B8" w:rsidR="003020C4" w:rsidRPr="003C5743" w:rsidRDefault="7E19EFB6" w:rsidP="7E19EFB6">
            <w:pPr>
              <w:rPr>
                <w:rFonts w:ascii="Arial" w:hAnsi="Arial" w:cs="Arial"/>
              </w:rPr>
            </w:pPr>
            <w:r w:rsidRPr="7E19EFB6">
              <w:rPr>
                <w:rFonts w:ascii="Arial" w:hAnsi="Arial" w:cs="Arial"/>
              </w:rPr>
              <w:t>The Tenderer shall clearly and concisely reference to the appropriate supporting evidence provided within their Tender as per that requested within the Design Information, Technical Drawings Documentation as detailed in DEFFORM 47 Annex B Tender Deliverables.</w:t>
            </w:r>
          </w:p>
          <w:p w14:paraId="1145ED0B" w14:textId="77777777" w:rsidR="003020C4" w:rsidRPr="003C5743" w:rsidRDefault="003020C4" w:rsidP="003C5743">
            <w:pPr>
              <w:rPr>
                <w:rFonts w:ascii="Arial" w:hAnsi="Arial" w:cs="Arial"/>
              </w:rPr>
            </w:pPr>
          </w:p>
          <w:p w14:paraId="42A36D9A" w14:textId="77777777" w:rsidR="003020C4" w:rsidRPr="003C5743" w:rsidRDefault="003020C4" w:rsidP="003C5743">
            <w:pPr>
              <w:rPr>
                <w:rFonts w:ascii="Arial" w:hAnsi="Arial" w:cs="Arial"/>
                <w:b/>
              </w:rPr>
            </w:pPr>
            <w:r w:rsidRPr="003C5743">
              <w:rPr>
                <w:rFonts w:ascii="Arial" w:hAnsi="Arial" w:cs="Arial"/>
                <w:b/>
              </w:rPr>
              <w:t>Risk Management</w:t>
            </w:r>
          </w:p>
          <w:p w14:paraId="12B0860A" w14:textId="799BB753" w:rsidR="003020C4" w:rsidRPr="003C5743" w:rsidRDefault="003020C4" w:rsidP="003C5743">
            <w:pPr>
              <w:rPr>
                <w:rFonts w:ascii="Arial" w:hAnsi="Arial" w:cs="Arial"/>
              </w:rPr>
            </w:pPr>
            <w:r w:rsidRPr="003C5743">
              <w:rPr>
                <w:rFonts w:ascii="Arial" w:hAnsi="Arial" w:cs="Arial"/>
              </w:rPr>
              <w:t xml:space="preserve">The Tenderer shall demonstrate appropriate understanding of any Risk associated with the </w:t>
            </w:r>
            <w:r w:rsidR="00D12DBF" w:rsidRPr="003C5743">
              <w:rPr>
                <w:rFonts w:ascii="Arial" w:hAnsi="Arial" w:cs="Arial"/>
              </w:rPr>
              <w:t>requirement</w:t>
            </w:r>
            <w:r w:rsidRPr="003C5743">
              <w:rPr>
                <w:rFonts w:ascii="Arial" w:hAnsi="Arial" w:cs="Arial"/>
              </w:rPr>
              <w:t xml:space="preserve">. The Tenderer shall demonstrate evidence of proportionate mitigation strategies to reduce the </w:t>
            </w:r>
            <w:r w:rsidR="00D12DBF" w:rsidRPr="003C5743">
              <w:rPr>
                <w:rFonts w:ascii="Arial" w:hAnsi="Arial" w:cs="Arial"/>
              </w:rPr>
              <w:t>likelihood</w:t>
            </w:r>
            <w:r w:rsidRPr="003C5743">
              <w:rPr>
                <w:rFonts w:ascii="Arial" w:hAnsi="Arial" w:cs="Arial"/>
              </w:rPr>
              <w:t xml:space="preserve"> of the Risk impacting and to mitigate the impact of the Risk should it be realised.  </w:t>
            </w:r>
          </w:p>
        </w:tc>
      </w:tr>
    </w:tbl>
    <w:p w14:paraId="4D5BC7E2" w14:textId="55101A04" w:rsidR="009F5127" w:rsidRPr="003C5743" w:rsidRDefault="009F5127" w:rsidP="00DD32C3">
      <w:pPr>
        <w:spacing w:after="0" w:line="240" w:lineRule="auto"/>
        <w:jc w:val="both"/>
        <w:rPr>
          <w:rFonts w:ascii="Arial" w:eastAsia="Calibri" w:hAnsi="Arial" w:cs="Arial"/>
        </w:rPr>
      </w:pPr>
    </w:p>
    <w:p w14:paraId="65C30163" w14:textId="77777777" w:rsidR="009F5127" w:rsidRPr="003C5743" w:rsidRDefault="009F5127" w:rsidP="00DD32C3">
      <w:pPr>
        <w:spacing w:after="0" w:line="240" w:lineRule="auto"/>
        <w:jc w:val="both"/>
        <w:rPr>
          <w:rFonts w:ascii="Arial" w:eastAsia="Times New Roman" w:hAnsi="Arial" w:cs="Arial"/>
        </w:rPr>
      </w:pPr>
    </w:p>
    <w:p w14:paraId="569355E7" w14:textId="77777777"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  For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lines marked as Binary, Ternary and Continuous, the Tenderers’ technical score will depend on three factors; an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Priority Weighting, an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Compliance Weighting, and an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Confidence Mark.</w:t>
      </w:r>
    </w:p>
    <w:p w14:paraId="6D536CFC" w14:textId="77777777"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 The Priority Weightings for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requirements are given in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in the column headed ‘PRIORITY WEIGHTING’.</w:t>
      </w:r>
    </w:p>
    <w:p w14:paraId="6B6EE1C9" w14:textId="282EC631" w:rsidR="00BB4599" w:rsidRPr="003C5743" w:rsidRDefault="00155DC3" w:rsidP="00CF4A41">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 To obtain an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Compliance Weighting, a Tenderer’s response to each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 will be compared against the stated requirements and which (where applicable) level of compliance (Threshold or Objective) is claimed.  The weighting, between 0% and 100% will depend on the Evaluation Type for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 in question and will be awarded in accordance with Table </w:t>
      </w:r>
      <w:r w:rsidR="00D00BC4" w:rsidRPr="003C5743">
        <w:rPr>
          <w:rFonts w:ascii="Arial" w:eastAsia="Times New Roman" w:hAnsi="Arial" w:cs="Arial"/>
        </w:rPr>
        <w:t xml:space="preserve">2b </w:t>
      </w:r>
      <w:r w:rsidRPr="003C5743">
        <w:rPr>
          <w:rFonts w:ascii="Arial" w:eastAsia="Times New Roman" w:hAnsi="Arial" w:cs="Arial"/>
        </w:rPr>
        <w:t xml:space="preserve">below –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Compliance Weighting.</w:t>
      </w:r>
    </w:p>
    <w:p w14:paraId="05CE25AD" w14:textId="690A98B5" w:rsidR="00155DC3" w:rsidRPr="003C5743" w:rsidRDefault="00155DC3" w:rsidP="00155DC3">
      <w:pPr>
        <w:tabs>
          <w:tab w:val="left" w:pos="567"/>
          <w:tab w:val="num" w:pos="720"/>
        </w:tabs>
        <w:spacing w:after="0" w:line="240" w:lineRule="auto"/>
        <w:ind w:left="567" w:hanging="567"/>
        <w:jc w:val="center"/>
        <w:rPr>
          <w:rFonts w:ascii="Arial" w:eastAsia="Times New Roman" w:hAnsi="Arial" w:cs="Arial"/>
          <w:u w:val="single"/>
        </w:rPr>
      </w:pPr>
      <w:r w:rsidRPr="003C5743">
        <w:rPr>
          <w:rFonts w:ascii="Arial" w:eastAsia="Times New Roman" w:hAnsi="Arial" w:cs="Arial"/>
          <w:u w:val="single"/>
        </w:rPr>
        <w:t>Table 2</w:t>
      </w:r>
      <w:r w:rsidR="006755E9" w:rsidRPr="003C5743">
        <w:rPr>
          <w:rFonts w:ascii="Arial" w:eastAsia="Times New Roman" w:hAnsi="Arial" w:cs="Arial"/>
          <w:u w:val="single"/>
        </w:rPr>
        <w:t>b</w:t>
      </w:r>
      <w:r w:rsidRPr="003C5743">
        <w:rPr>
          <w:rFonts w:ascii="Arial" w:eastAsia="Times New Roman" w:hAnsi="Arial" w:cs="Arial"/>
          <w:u w:val="single"/>
        </w:rPr>
        <w:t xml:space="preserve"> – </w:t>
      </w:r>
      <w:proofErr w:type="spellStart"/>
      <w:r w:rsidRPr="003C5743">
        <w:rPr>
          <w:rFonts w:ascii="Arial" w:eastAsia="Times New Roman" w:hAnsi="Arial" w:cs="Arial"/>
          <w:u w:val="single"/>
        </w:rPr>
        <w:t>SoTR</w:t>
      </w:r>
      <w:proofErr w:type="spellEnd"/>
      <w:r w:rsidRPr="003C5743">
        <w:rPr>
          <w:rFonts w:ascii="Arial" w:eastAsia="Times New Roman" w:hAnsi="Arial" w:cs="Arial"/>
          <w:u w:val="single"/>
        </w:rPr>
        <w:t xml:space="preserve"> Compliance Weighting</w:t>
      </w:r>
    </w:p>
    <w:p w14:paraId="50881E23" w14:textId="77777777" w:rsidR="00155DC3" w:rsidRPr="003C5743" w:rsidRDefault="00155DC3" w:rsidP="00155DC3">
      <w:pPr>
        <w:tabs>
          <w:tab w:val="left" w:pos="567"/>
          <w:tab w:val="num" w:pos="720"/>
        </w:tabs>
        <w:spacing w:after="0" w:line="240" w:lineRule="auto"/>
        <w:ind w:left="567" w:hanging="567"/>
        <w:jc w:val="center"/>
        <w:rPr>
          <w:rFonts w:ascii="Arial" w:eastAsia="Times New Roman" w:hAnsi="Arial" w:cs="Arial"/>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112"/>
        <w:gridCol w:w="2601"/>
        <w:gridCol w:w="2295"/>
      </w:tblGrid>
      <w:tr w:rsidR="003C5743" w:rsidRPr="003C5743" w14:paraId="2C50B85E" w14:textId="77777777" w:rsidTr="003C5743">
        <w:trPr>
          <w:jc w:val="center"/>
        </w:trPr>
        <w:tc>
          <w:tcPr>
            <w:tcW w:w="2134" w:type="dxa"/>
            <w:shd w:val="clear" w:color="auto" w:fill="D9D9D9"/>
          </w:tcPr>
          <w:p w14:paraId="10F8F8B6" w14:textId="77777777" w:rsidR="00155DC3" w:rsidRPr="003C5743" w:rsidRDefault="00155DC3" w:rsidP="00155DC3">
            <w:pPr>
              <w:tabs>
                <w:tab w:val="left" w:pos="0"/>
                <w:tab w:val="left" w:pos="567"/>
              </w:tabs>
              <w:spacing w:after="0" w:line="240" w:lineRule="auto"/>
              <w:rPr>
                <w:rFonts w:ascii="Arial" w:eastAsia="Times New Roman" w:hAnsi="Arial" w:cs="Arial"/>
                <w:b/>
              </w:rPr>
            </w:pPr>
          </w:p>
          <w:p w14:paraId="3A6A2959" w14:textId="77777777" w:rsidR="00155DC3" w:rsidRPr="003C5743" w:rsidRDefault="00155DC3" w:rsidP="00155DC3">
            <w:pPr>
              <w:tabs>
                <w:tab w:val="left" w:pos="0"/>
                <w:tab w:val="left" w:pos="567"/>
              </w:tabs>
              <w:spacing w:after="0" w:line="240" w:lineRule="auto"/>
              <w:rPr>
                <w:rFonts w:ascii="Arial" w:eastAsia="Times New Roman" w:hAnsi="Arial" w:cs="Arial"/>
                <w:b/>
              </w:rPr>
            </w:pPr>
            <w:r w:rsidRPr="003C5743">
              <w:rPr>
                <w:rFonts w:ascii="Arial" w:eastAsia="Times New Roman" w:hAnsi="Arial" w:cs="Arial"/>
                <w:b/>
              </w:rPr>
              <w:t xml:space="preserve">Evaluation Type as determined in the </w:t>
            </w:r>
            <w:proofErr w:type="spellStart"/>
            <w:r w:rsidRPr="003C5743">
              <w:rPr>
                <w:rFonts w:ascii="Arial" w:eastAsia="Times New Roman" w:hAnsi="Arial" w:cs="Arial"/>
                <w:b/>
              </w:rPr>
              <w:t>SoTR</w:t>
            </w:r>
            <w:proofErr w:type="spellEnd"/>
          </w:p>
          <w:p w14:paraId="15C0FCE6" w14:textId="77777777" w:rsidR="00155DC3" w:rsidRPr="003C5743" w:rsidRDefault="00155DC3" w:rsidP="00155DC3">
            <w:pPr>
              <w:tabs>
                <w:tab w:val="left" w:pos="0"/>
                <w:tab w:val="left" w:pos="567"/>
              </w:tabs>
              <w:spacing w:after="0" w:line="240" w:lineRule="auto"/>
              <w:rPr>
                <w:rFonts w:ascii="Arial" w:eastAsia="Times New Roman" w:hAnsi="Arial" w:cs="Arial"/>
                <w:b/>
              </w:rPr>
            </w:pPr>
          </w:p>
        </w:tc>
        <w:tc>
          <w:tcPr>
            <w:tcW w:w="2227" w:type="dxa"/>
            <w:shd w:val="clear" w:color="auto" w:fill="D9D9D9"/>
          </w:tcPr>
          <w:p w14:paraId="27B2B48F" w14:textId="77777777" w:rsidR="00155DC3" w:rsidRPr="003C5743" w:rsidRDefault="00155DC3" w:rsidP="00155DC3">
            <w:pPr>
              <w:tabs>
                <w:tab w:val="left" w:pos="0"/>
                <w:tab w:val="left" w:pos="567"/>
              </w:tabs>
              <w:spacing w:after="0" w:line="240" w:lineRule="auto"/>
              <w:rPr>
                <w:rFonts w:ascii="Arial" w:eastAsia="Times New Roman" w:hAnsi="Arial" w:cs="Arial"/>
                <w:b/>
              </w:rPr>
            </w:pPr>
          </w:p>
          <w:p w14:paraId="0DC5A3D9" w14:textId="77777777" w:rsidR="00155DC3" w:rsidRPr="003C5743" w:rsidRDefault="00155DC3" w:rsidP="00155DC3">
            <w:pPr>
              <w:tabs>
                <w:tab w:val="left" w:pos="0"/>
                <w:tab w:val="left" w:pos="567"/>
              </w:tabs>
              <w:spacing w:after="0" w:line="240" w:lineRule="auto"/>
              <w:rPr>
                <w:rFonts w:ascii="Arial" w:eastAsia="Times New Roman" w:hAnsi="Arial" w:cs="Arial"/>
                <w:b/>
              </w:rPr>
            </w:pPr>
            <w:r w:rsidRPr="003C5743">
              <w:rPr>
                <w:rFonts w:ascii="Arial" w:eastAsia="Times New Roman" w:hAnsi="Arial" w:cs="Arial"/>
                <w:b/>
              </w:rPr>
              <w:t>Performance claimed is below Threshold level</w:t>
            </w:r>
          </w:p>
          <w:p w14:paraId="722B83C3" w14:textId="77777777" w:rsidR="00155DC3" w:rsidRPr="003C5743" w:rsidRDefault="00155DC3" w:rsidP="00155DC3">
            <w:pPr>
              <w:tabs>
                <w:tab w:val="left" w:pos="0"/>
                <w:tab w:val="left" w:pos="567"/>
              </w:tabs>
              <w:spacing w:after="0" w:line="240" w:lineRule="auto"/>
              <w:rPr>
                <w:rFonts w:ascii="Arial" w:eastAsia="Times New Roman" w:hAnsi="Arial" w:cs="Arial"/>
                <w:b/>
              </w:rPr>
            </w:pPr>
          </w:p>
        </w:tc>
        <w:tc>
          <w:tcPr>
            <w:tcW w:w="2819" w:type="dxa"/>
            <w:shd w:val="clear" w:color="auto" w:fill="D9D9D9"/>
          </w:tcPr>
          <w:p w14:paraId="0A6AB812" w14:textId="77777777" w:rsidR="00155DC3" w:rsidRPr="003C5743" w:rsidRDefault="00155DC3" w:rsidP="00155DC3">
            <w:pPr>
              <w:tabs>
                <w:tab w:val="left" w:pos="0"/>
                <w:tab w:val="left" w:pos="567"/>
              </w:tabs>
              <w:spacing w:after="0" w:line="240" w:lineRule="auto"/>
              <w:rPr>
                <w:rFonts w:ascii="Arial" w:eastAsia="Times New Roman" w:hAnsi="Arial" w:cs="Arial"/>
                <w:b/>
              </w:rPr>
            </w:pPr>
          </w:p>
          <w:p w14:paraId="3B243121" w14:textId="77777777" w:rsidR="00155DC3" w:rsidRPr="003C5743" w:rsidRDefault="00155DC3" w:rsidP="00155DC3">
            <w:pPr>
              <w:tabs>
                <w:tab w:val="left" w:pos="0"/>
                <w:tab w:val="left" w:pos="567"/>
              </w:tabs>
              <w:spacing w:after="0" w:line="240" w:lineRule="auto"/>
              <w:rPr>
                <w:rFonts w:ascii="Arial" w:eastAsia="Times New Roman" w:hAnsi="Arial" w:cs="Arial"/>
                <w:b/>
              </w:rPr>
            </w:pPr>
            <w:r w:rsidRPr="003C5743">
              <w:rPr>
                <w:rFonts w:ascii="Arial" w:eastAsia="Times New Roman" w:hAnsi="Arial" w:cs="Arial"/>
                <w:b/>
              </w:rPr>
              <w:t>Performance claimed is at or above Threshold level but below Objective level</w:t>
            </w:r>
          </w:p>
          <w:p w14:paraId="767D875E" w14:textId="77777777" w:rsidR="00155DC3" w:rsidRPr="003C5743" w:rsidRDefault="00155DC3" w:rsidP="00155DC3">
            <w:pPr>
              <w:tabs>
                <w:tab w:val="left" w:pos="0"/>
                <w:tab w:val="left" w:pos="567"/>
              </w:tabs>
              <w:spacing w:after="0" w:line="240" w:lineRule="auto"/>
              <w:rPr>
                <w:rFonts w:ascii="Arial" w:eastAsia="Times New Roman" w:hAnsi="Arial" w:cs="Arial"/>
                <w:b/>
              </w:rPr>
            </w:pPr>
          </w:p>
        </w:tc>
        <w:tc>
          <w:tcPr>
            <w:tcW w:w="2449" w:type="dxa"/>
            <w:shd w:val="clear" w:color="auto" w:fill="D9D9D9"/>
          </w:tcPr>
          <w:p w14:paraId="48BF0CD2" w14:textId="77777777" w:rsidR="00155DC3" w:rsidRPr="003C5743" w:rsidRDefault="00155DC3" w:rsidP="00155DC3">
            <w:pPr>
              <w:tabs>
                <w:tab w:val="left" w:pos="0"/>
                <w:tab w:val="left" w:pos="567"/>
              </w:tabs>
              <w:spacing w:after="0" w:line="240" w:lineRule="auto"/>
              <w:rPr>
                <w:rFonts w:ascii="Arial" w:eastAsia="Times New Roman" w:hAnsi="Arial" w:cs="Arial"/>
                <w:b/>
              </w:rPr>
            </w:pPr>
          </w:p>
          <w:p w14:paraId="645BAEE0" w14:textId="77777777" w:rsidR="00155DC3" w:rsidRPr="003C5743" w:rsidRDefault="00155DC3" w:rsidP="00155DC3">
            <w:pPr>
              <w:tabs>
                <w:tab w:val="left" w:pos="0"/>
                <w:tab w:val="left" w:pos="567"/>
              </w:tabs>
              <w:spacing w:after="0" w:line="240" w:lineRule="auto"/>
              <w:rPr>
                <w:rFonts w:ascii="Arial" w:eastAsia="Times New Roman" w:hAnsi="Arial" w:cs="Arial"/>
                <w:b/>
              </w:rPr>
            </w:pPr>
            <w:r w:rsidRPr="003C5743">
              <w:rPr>
                <w:rFonts w:ascii="Arial" w:eastAsia="Times New Roman" w:hAnsi="Arial" w:cs="Arial"/>
                <w:b/>
              </w:rPr>
              <w:t>Performance claimed is at or above Objective level</w:t>
            </w:r>
          </w:p>
        </w:tc>
      </w:tr>
      <w:tr w:rsidR="003C5743" w:rsidRPr="003C5743" w14:paraId="08365B04" w14:textId="77777777" w:rsidTr="003C5743">
        <w:trPr>
          <w:jc w:val="center"/>
        </w:trPr>
        <w:tc>
          <w:tcPr>
            <w:tcW w:w="2134" w:type="dxa"/>
            <w:shd w:val="clear" w:color="auto" w:fill="auto"/>
            <w:vAlign w:val="center"/>
          </w:tcPr>
          <w:p w14:paraId="2FBDC4B1" w14:textId="77777777" w:rsidR="00155DC3" w:rsidRPr="003C5743" w:rsidRDefault="00155DC3" w:rsidP="00155DC3">
            <w:pPr>
              <w:tabs>
                <w:tab w:val="left" w:pos="0"/>
                <w:tab w:val="left" w:pos="567"/>
              </w:tabs>
              <w:spacing w:after="0" w:line="240" w:lineRule="auto"/>
              <w:rPr>
                <w:rFonts w:ascii="Arial" w:eastAsia="Times New Roman" w:hAnsi="Arial" w:cs="Arial"/>
              </w:rPr>
            </w:pPr>
            <w:r w:rsidRPr="003C5743">
              <w:rPr>
                <w:rFonts w:ascii="Arial" w:eastAsia="Times New Roman" w:hAnsi="Arial" w:cs="Arial"/>
              </w:rPr>
              <w:t>Binary</w:t>
            </w:r>
          </w:p>
        </w:tc>
        <w:tc>
          <w:tcPr>
            <w:tcW w:w="2227" w:type="dxa"/>
            <w:shd w:val="clear" w:color="auto" w:fill="auto"/>
            <w:vAlign w:val="center"/>
          </w:tcPr>
          <w:p w14:paraId="1E2F8C46"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0%</w:t>
            </w:r>
          </w:p>
        </w:tc>
        <w:tc>
          <w:tcPr>
            <w:tcW w:w="2819" w:type="dxa"/>
            <w:shd w:val="clear" w:color="auto" w:fill="auto"/>
            <w:vAlign w:val="center"/>
          </w:tcPr>
          <w:p w14:paraId="21252855" w14:textId="55035367" w:rsidR="00155DC3" w:rsidRPr="003C5743" w:rsidRDefault="001B58D0"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100%</w:t>
            </w:r>
          </w:p>
        </w:tc>
        <w:tc>
          <w:tcPr>
            <w:tcW w:w="2449" w:type="dxa"/>
            <w:shd w:val="clear" w:color="auto" w:fill="auto"/>
            <w:vAlign w:val="center"/>
          </w:tcPr>
          <w:p w14:paraId="2989029F"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100%</w:t>
            </w:r>
          </w:p>
        </w:tc>
      </w:tr>
      <w:tr w:rsidR="003C5743" w:rsidRPr="003C5743" w14:paraId="6D5F0E5E" w14:textId="77777777" w:rsidTr="003C5743">
        <w:trPr>
          <w:jc w:val="center"/>
        </w:trPr>
        <w:tc>
          <w:tcPr>
            <w:tcW w:w="2134" w:type="dxa"/>
            <w:shd w:val="clear" w:color="auto" w:fill="auto"/>
            <w:vAlign w:val="center"/>
          </w:tcPr>
          <w:p w14:paraId="284E6658" w14:textId="77777777" w:rsidR="00155DC3" w:rsidRPr="003C5743" w:rsidRDefault="00155DC3" w:rsidP="00155DC3">
            <w:pPr>
              <w:tabs>
                <w:tab w:val="left" w:pos="0"/>
                <w:tab w:val="left" w:pos="567"/>
              </w:tabs>
              <w:spacing w:after="0" w:line="240" w:lineRule="auto"/>
              <w:rPr>
                <w:rFonts w:ascii="Arial" w:eastAsia="Times New Roman" w:hAnsi="Arial" w:cs="Arial"/>
              </w:rPr>
            </w:pPr>
            <w:r w:rsidRPr="003C5743">
              <w:rPr>
                <w:rFonts w:ascii="Arial" w:eastAsia="Times New Roman" w:hAnsi="Arial" w:cs="Arial"/>
              </w:rPr>
              <w:t>Ternary</w:t>
            </w:r>
          </w:p>
        </w:tc>
        <w:tc>
          <w:tcPr>
            <w:tcW w:w="2227" w:type="dxa"/>
            <w:shd w:val="clear" w:color="auto" w:fill="auto"/>
            <w:vAlign w:val="center"/>
          </w:tcPr>
          <w:p w14:paraId="62B91928"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0%</w:t>
            </w:r>
          </w:p>
        </w:tc>
        <w:tc>
          <w:tcPr>
            <w:tcW w:w="2819" w:type="dxa"/>
            <w:shd w:val="clear" w:color="auto" w:fill="auto"/>
            <w:vAlign w:val="center"/>
          </w:tcPr>
          <w:p w14:paraId="7206EF8A"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50%</w:t>
            </w:r>
          </w:p>
        </w:tc>
        <w:tc>
          <w:tcPr>
            <w:tcW w:w="2449" w:type="dxa"/>
            <w:shd w:val="clear" w:color="auto" w:fill="auto"/>
            <w:vAlign w:val="center"/>
          </w:tcPr>
          <w:p w14:paraId="0F208370"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100%</w:t>
            </w:r>
          </w:p>
        </w:tc>
      </w:tr>
      <w:tr w:rsidR="003C5743" w:rsidRPr="003C5743" w14:paraId="7C50BB0A" w14:textId="77777777" w:rsidTr="003C5743">
        <w:trPr>
          <w:jc w:val="center"/>
        </w:trPr>
        <w:tc>
          <w:tcPr>
            <w:tcW w:w="2134" w:type="dxa"/>
            <w:shd w:val="clear" w:color="auto" w:fill="auto"/>
            <w:vAlign w:val="center"/>
          </w:tcPr>
          <w:p w14:paraId="72B70C34" w14:textId="77777777" w:rsidR="00155DC3" w:rsidRPr="003C5743" w:rsidRDefault="00155DC3" w:rsidP="00155DC3">
            <w:pPr>
              <w:tabs>
                <w:tab w:val="left" w:pos="0"/>
                <w:tab w:val="left" w:pos="567"/>
              </w:tabs>
              <w:spacing w:after="0" w:line="240" w:lineRule="auto"/>
              <w:rPr>
                <w:rFonts w:ascii="Arial" w:eastAsia="Times New Roman" w:hAnsi="Arial" w:cs="Arial"/>
              </w:rPr>
            </w:pPr>
            <w:r w:rsidRPr="003C5743">
              <w:rPr>
                <w:rFonts w:ascii="Arial" w:eastAsia="Times New Roman" w:hAnsi="Arial" w:cs="Arial"/>
              </w:rPr>
              <w:t>Continuous</w:t>
            </w:r>
          </w:p>
        </w:tc>
        <w:tc>
          <w:tcPr>
            <w:tcW w:w="2227" w:type="dxa"/>
            <w:shd w:val="clear" w:color="auto" w:fill="auto"/>
            <w:vAlign w:val="center"/>
          </w:tcPr>
          <w:p w14:paraId="735C21FF"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0%</w:t>
            </w:r>
          </w:p>
        </w:tc>
        <w:tc>
          <w:tcPr>
            <w:tcW w:w="2819" w:type="dxa"/>
            <w:shd w:val="clear" w:color="auto" w:fill="auto"/>
            <w:vAlign w:val="center"/>
          </w:tcPr>
          <w:p w14:paraId="30911E43"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Linearly apportioned between 50% at Threshold and 100% at Objective</w:t>
            </w:r>
          </w:p>
        </w:tc>
        <w:tc>
          <w:tcPr>
            <w:tcW w:w="2449" w:type="dxa"/>
            <w:shd w:val="clear" w:color="auto" w:fill="auto"/>
            <w:vAlign w:val="center"/>
          </w:tcPr>
          <w:p w14:paraId="4A42B619"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100%</w:t>
            </w:r>
          </w:p>
        </w:tc>
      </w:tr>
      <w:tr w:rsidR="00155DC3" w:rsidRPr="003C5743" w14:paraId="0C174D8D" w14:textId="77777777" w:rsidTr="003C5743">
        <w:trPr>
          <w:jc w:val="center"/>
        </w:trPr>
        <w:tc>
          <w:tcPr>
            <w:tcW w:w="2134" w:type="dxa"/>
            <w:shd w:val="clear" w:color="auto" w:fill="auto"/>
            <w:vAlign w:val="center"/>
          </w:tcPr>
          <w:p w14:paraId="4024664B" w14:textId="77777777" w:rsidR="00155DC3" w:rsidRPr="003C5743" w:rsidRDefault="00155DC3" w:rsidP="00155DC3">
            <w:pPr>
              <w:tabs>
                <w:tab w:val="left" w:pos="0"/>
                <w:tab w:val="left" w:pos="567"/>
              </w:tabs>
              <w:spacing w:after="0" w:line="240" w:lineRule="auto"/>
              <w:rPr>
                <w:rFonts w:ascii="Arial" w:eastAsia="Times New Roman" w:hAnsi="Arial" w:cs="Arial"/>
              </w:rPr>
            </w:pPr>
            <w:r w:rsidRPr="003C5743">
              <w:rPr>
                <w:rFonts w:ascii="Arial" w:eastAsia="Times New Roman" w:hAnsi="Arial" w:cs="Arial"/>
              </w:rPr>
              <w:t>Pass/Fail</w:t>
            </w:r>
          </w:p>
        </w:tc>
        <w:tc>
          <w:tcPr>
            <w:tcW w:w="2227" w:type="dxa"/>
            <w:shd w:val="clear" w:color="auto" w:fill="auto"/>
            <w:vAlign w:val="center"/>
          </w:tcPr>
          <w:p w14:paraId="4F75283B"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N/A</w:t>
            </w:r>
          </w:p>
        </w:tc>
        <w:tc>
          <w:tcPr>
            <w:tcW w:w="2819" w:type="dxa"/>
            <w:shd w:val="clear" w:color="auto" w:fill="auto"/>
            <w:vAlign w:val="center"/>
          </w:tcPr>
          <w:p w14:paraId="5C95493B"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N/A</w:t>
            </w:r>
          </w:p>
        </w:tc>
        <w:tc>
          <w:tcPr>
            <w:tcW w:w="2449" w:type="dxa"/>
            <w:shd w:val="clear" w:color="auto" w:fill="auto"/>
            <w:vAlign w:val="center"/>
          </w:tcPr>
          <w:p w14:paraId="6627488E"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r w:rsidRPr="003C5743">
              <w:rPr>
                <w:rFonts w:ascii="Arial" w:eastAsia="Times New Roman" w:hAnsi="Arial" w:cs="Arial"/>
              </w:rPr>
              <w:t>N/A</w:t>
            </w:r>
          </w:p>
        </w:tc>
      </w:tr>
    </w:tbl>
    <w:p w14:paraId="7506C527" w14:textId="77777777" w:rsidR="00155DC3" w:rsidRPr="003C5743" w:rsidRDefault="00155DC3" w:rsidP="00155DC3">
      <w:pPr>
        <w:spacing w:after="0" w:line="240" w:lineRule="auto"/>
        <w:rPr>
          <w:rFonts w:ascii="Arial" w:eastAsia="Times New Roman" w:hAnsi="Arial" w:cs="Arial"/>
        </w:rPr>
      </w:pPr>
    </w:p>
    <w:p w14:paraId="1FC66C72" w14:textId="77777777" w:rsidR="00155DC3" w:rsidRPr="003C5743" w:rsidRDefault="00155DC3" w:rsidP="00155DC3">
      <w:pPr>
        <w:spacing w:after="0" w:line="240" w:lineRule="auto"/>
        <w:ind w:left="720" w:hanging="360"/>
        <w:rPr>
          <w:rFonts w:ascii="Arial" w:eastAsia="Times New Roman" w:hAnsi="Arial" w:cs="Arial"/>
        </w:rPr>
      </w:pPr>
    </w:p>
    <w:p w14:paraId="1A3B0DE2" w14:textId="750D7A49" w:rsidR="00155DC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lastRenderedPageBreak/>
        <w:t>To obtain a</w:t>
      </w:r>
      <w:r w:rsidR="00F835A6" w:rsidRPr="003C5743">
        <w:rPr>
          <w:rFonts w:ascii="Arial" w:eastAsia="Times New Roman" w:hAnsi="Arial" w:cs="Arial"/>
        </w:rPr>
        <w:t>n</w:t>
      </w:r>
      <w:r w:rsidRPr="003C5743">
        <w:rPr>
          <w:rFonts w:ascii="Arial" w:eastAsia="Times New Roman" w:hAnsi="Arial" w:cs="Arial"/>
        </w:rPr>
        <w:t xml:space="preserv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Confidence Mark the Tenderers response will be required to satisfy the criteria as detailed in Table 2</w:t>
      </w:r>
      <w:r w:rsidR="00306CBD" w:rsidRPr="003C5743">
        <w:rPr>
          <w:rFonts w:ascii="Arial" w:eastAsia="Times New Roman" w:hAnsi="Arial" w:cs="Arial"/>
        </w:rPr>
        <w:t>c</w:t>
      </w:r>
      <w:r w:rsidRPr="003C5743">
        <w:rPr>
          <w:rFonts w:ascii="Arial" w:eastAsia="Times New Roman" w:hAnsi="Arial" w:cs="Arial"/>
        </w:rPr>
        <w:t xml:space="preserve"> -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Confidence Mark below.</w:t>
      </w:r>
    </w:p>
    <w:p w14:paraId="2119268D" w14:textId="5CE8B594" w:rsidR="00283947" w:rsidRDefault="00283947" w:rsidP="00283947">
      <w:pPr>
        <w:spacing w:after="240" w:line="240" w:lineRule="auto"/>
        <w:jc w:val="both"/>
        <w:rPr>
          <w:rFonts w:ascii="Arial" w:eastAsia="Times New Roman" w:hAnsi="Arial" w:cs="Arial"/>
        </w:rPr>
      </w:pPr>
    </w:p>
    <w:p w14:paraId="668ADE1B" w14:textId="77777777" w:rsidR="00283947" w:rsidRPr="003C5743" w:rsidRDefault="00283947" w:rsidP="00283947">
      <w:pPr>
        <w:spacing w:after="240" w:line="240" w:lineRule="auto"/>
        <w:jc w:val="both"/>
        <w:rPr>
          <w:rFonts w:ascii="Arial" w:eastAsia="Times New Roman" w:hAnsi="Arial" w:cs="Arial"/>
        </w:rPr>
      </w:pPr>
    </w:p>
    <w:p w14:paraId="4BE55AC5" w14:textId="1E0844C9" w:rsidR="00155DC3" w:rsidRPr="003C5743" w:rsidRDefault="00155DC3" w:rsidP="00155DC3">
      <w:pPr>
        <w:tabs>
          <w:tab w:val="left" w:pos="0"/>
          <w:tab w:val="left" w:pos="567"/>
        </w:tabs>
        <w:spacing w:after="0" w:line="240" w:lineRule="auto"/>
        <w:jc w:val="center"/>
        <w:rPr>
          <w:rFonts w:ascii="Arial" w:eastAsia="Times New Roman" w:hAnsi="Arial" w:cs="Arial"/>
          <w:u w:val="single"/>
        </w:rPr>
      </w:pPr>
      <w:r w:rsidRPr="003C5743">
        <w:rPr>
          <w:rFonts w:ascii="Arial" w:eastAsia="Times New Roman" w:hAnsi="Arial" w:cs="Arial"/>
          <w:u w:val="single"/>
        </w:rPr>
        <w:t>Table 2</w:t>
      </w:r>
      <w:r w:rsidR="006755E9" w:rsidRPr="003C5743">
        <w:rPr>
          <w:rFonts w:ascii="Arial" w:eastAsia="Times New Roman" w:hAnsi="Arial" w:cs="Arial"/>
          <w:u w:val="single"/>
        </w:rPr>
        <w:t>c</w:t>
      </w:r>
      <w:r w:rsidRPr="003C5743">
        <w:rPr>
          <w:rFonts w:ascii="Arial" w:eastAsia="Times New Roman" w:hAnsi="Arial" w:cs="Arial"/>
          <w:u w:val="single"/>
        </w:rPr>
        <w:t xml:space="preserve"> – </w:t>
      </w:r>
      <w:proofErr w:type="spellStart"/>
      <w:r w:rsidRPr="003C5743">
        <w:rPr>
          <w:rFonts w:ascii="Arial" w:eastAsia="Times New Roman" w:hAnsi="Arial" w:cs="Arial"/>
          <w:u w:val="single"/>
        </w:rPr>
        <w:t>SoTR</w:t>
      </w:r>
      <w:proofErr w:type="spellEnd"/>
      <w:r w:rsidRPr="003C5743">
        <w:rPr>
          <w:rFonts w:ascii="Arial" w:eastAsia="Times New Roman" w:hAnsi="Arial" w:cs="Arial"/>
          <w:u w:val="single"/>
        </w:rPr>
        <w:t xml:space="preserve"> Confidence Mark </w:t>
      </w:r>
    </w:p>
    <w:p w14:paraId="38D80C63" w14:textId="77777777" w:rsidR="00155DC3" w:rsidRPr="003C5743" w:rsidRDefault="00155DC3" w:rsidP="00155DC3">
      <w:pPr>
        <w:tabs>
          <w:tab w:val="left" w:pos="0"/>
          <w:tab w:val="left" w:pos="567"/>
        </w:tabs>
        <w:spacing w:after="0" w:line="240" w:lineRule="auto"/>
        <w:jc w:val="center"/>
        <w:rPr>
          <w:rFonts w:ascii="Arial" w:eastAsia="Times New Roman" w:hAnsi="Arial" w:cs="Arial"/>
          <w:u w:val="single"/>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8739"/>
      </w:tblGrid>
      <w:tr w:rsidR="003C5743" w:rsidRPr="003C5743" w14:paraId="1BBDD50C" w14:textId="77777777" w:rsidTr="00AB48AA">
        <w:trPr>
          <w:trHeight w:val="497"/>
          <w:tblHeader/>
          <w:jc w:val="center"/>
        </w:trPr>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5FFD1E" w14:textId="77777777" w:rsidR="00155DC3" w:rsidRPr="003C5743" w:rsidRDefault="00155DC3" w:rsidP="00155DC3">
            <w:pPr>
              <w:tabs>
                <w:tab w:val="left" w:pos="0"/>
                <w:tab w:val="left" w:pos="567"/>
              </w:tabs>
              <w:spacing w:after="0" w:line="240" w:lineRule="auto"/>
              <w:rPr>
                <w:rFonts w:ascii="Arial" w:eastAsia="Times New Roman" w:hAnsi="Arial" w:cs="Arial"/>
                <w:b/>
              </w:rPr>
            </w:pPr>
            <w:r w:rsidRPr="003C5743">
              <w:rPr>
                <w:rFonts w:ascii="Arial" w:eastAsia="Times New Roman" w:hAnsi="Arial" w:cs="Arial"/>
                <w:b/>
              </w:rPr>
              <w:t>Score</w:t>
            </w:r>
          </w:p>
        </w:tc>
        <w:tc>
          <w:tcPr>
            <w:tcW w:w="87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7E48DC" w14:textId="77777777" w:rsidR="00155DC3" w:rsidRPr="003C5743" w:rsidRDefault="00155DC3" w:rsidP="00155DC3">
            <w:pPr>
              <w:tabs>
                <w:tab w:val="left" w:pos="0"/>
                <w:tab w:val="left" w:pos="567"/>
              </w:tabs>
              <w:spacing w:after="0" w:line="240" w:lineRule="auto"/>
              <w:rPr>
                <w:rFonts w:ascii="Arial" w:eastAsia="Times New Roman" w:hAnsi="Arial" w:cs="Arial"/>
                <w:b/>
              </w:rPr>
            </w:pPr>
            <w:r w:rsidRPr="003C5743">
              <w:rPr>
                <w:rFonts w:ascii="Arial" w:eastAsia="Times New Roman" w:hAnsi="Arial" w:cs="Arial"/>
                <w:b/>
              </w:rPr>
              <w:t xml:space="preserve">Criteria </w:t>
            </w:r>
          </w:p>
        </w:tc>
      </w:tr>
      <w:tr w:rsidR="003C5743" w:rsidRPr="003C5743" w14:paraId="78B23B05" w14:textId="77777777" w:rsidTr="003C5743">
        <w:trPr>
          <w:trHeight w:val="420"/>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14:paraId="5CA2FEE1" w14:textId="77777777" w:rsidR="00155DC3" w:rsidRPr="003C5743" w:rsidRDefault="00155DC3" w:rsidP="00155DC3">
            <w:pPr>
              <w:spacing w:after="0" w:line="240" w:lineRule="auto"/>
              <w:jc w:val="center"/>
              <w:rPr>
                <w:rFonts w:ascii="Arial" w:eastAsia="MS ??" w:hAnsi="Arial" w:cs="Arial"/>
                <w:lang w:val="en-US"/>
              </w:rPr>
            </w:pPr>
            <w:r w:rsidRPr="003C5743">
              <w:rPr>
                <w:rFonts w:ascii="Arial" w:eastAsia="MS ??" w:hAnsi="Arial" w:cs="Arial"/>
                <w:lang w:val="en-US"/>
              </w:rPr>
              <w:t>10</w:t>
            </w:r>
          </w:p>
        </w:tc>
        <w:tc>
          <w:tcPr>
            <w:tcW w:w="8739" w:type="dxa"/>
            <w:tcBorders>
              <w:top w:val="single" w:sz="4" w:space="0" w:color="auto"/>
              <w:left w:val="single" w:sz="4" w:space="0" w:color="auto"/>
              <w:bottom w:val="single" w:sz="4" w:space="0" w:color="auto"/>
              <w:right w:val="single" w:sz="4" w:space="0" w:color="auto"/>
            </w:tcBorders>
            <w:vAlign w:val="center"/>
            <w:hideMark/>
          </w:tcPr>
          <w:p w14:paraId="7418EF8D"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The Authority considers, exercising its professional skill and judgment, that the Tenderer’s response provides: -</w:t>
            </w:r>
          </w:p>
          <w:p w14:paraId="7BAAF10D" w14:textId="77777777" w:rsidR="00155DC3" w:rsidRPr="003C5743" w:rsidRDefault="00155DC3" w:rsidP="00155DC3">
            <w:pPr>
              <w:numPr>
                <w:ilvl w:val="0"/>
                <w:numId w:val="2"/>
              </w:numPr>
              <w:spacing w:after="200" w:line="276" w:lineRule="auto"/>
              <w:contextualSpacing/>
              <w:rPr>
                <w:rFonts w:ascii="Arial" w:eastAsia="MS ??" w:hAnsi="Arial" w:cs="Arial"/>
                <w:lang w:val="en-US"/>
              </w:rPr>
            </w:pPr>
            <w:r w:rsidRPr="00E71F08">
              <w:rPr>
                <w:rFonts w:ascii="Arial" w:eastAsia="MS ??" w:hAnsi="Arial" w:cs="Arial"/>
                <w:b/>
                <w:lang w:val="en-US"/>
              </w:rPr>
              <w:t>Detail,</w:t>
            </w:r>
            <w:r w:rsidRPr="003C5743">
              <w:rPr>
                <w:rFonts w:ascii="Arial" w:eastAsia="MS ??" w:hAnsi="Arial" w:cs="Arial"/>
                <w:lang w:val="en-US"/>
              </w:rPr>
              <w:t xml:space="preserve"> the response is technically accurate, precise and contains in-depth description and relevant detail which supports all parts of the proposal;</w:t>
            </w:r>
          </w:p>
          <w:p w14:paraId="67EE713D" w14:textId="2AD819D1" w:rsidR="00155DC3" w:rsidRPr="00C41ACA" w:rsidRDefault="00155DC3" w:rsidP="00155DC3">
            <w:pPr>
              <w:numPr>
                <w:ilvl w:val="0"/>
                <w:numId w:val="2"/>
              </w:numPr>
              <w:spacing w:after="200" w:line="276" w:lineRule="auto"/>
              <w:contextualSpacing/>
              <w:rPr>
                <w:rFonts w:ascii="Arial" w:eastAsia="MS ??" w:hAnsi="Arial" w:cs="Arial"/>
                <w:lang w:val="en-US"/>
              </w:rPr>
            </w:pPr>
            <w:r w:rsidRPr="00C41ACA">
              <w:rPr>
                <w:rFonts w:ascii="Arial" w:eastAsia="MS ??" w:hAnsi="Arial" w:cs="Arial"/>
                <w:b/>
                <w:lang w:val="en-US"/>
              </w:rPr>
              <w:t>Evidence,</w:t>
            </w:r>
            <w:r w:rsidRPr="00C41ACA">
              <w:rPr>
                <w:rFonts w:ascii="Arial" w:eastAsia="MS ??" w:hAnsi="Arial" w:cs="Arial"/>
                <w:lang w:val="en-US"/>
              </w:rPr>
              <w:t xml:space="preserve"> all aspects of the requirement are addressed, evidence is robust, credible, covers the solution in its totality and is based on practical examples</w:t>
            </w:r>
            <w:r w:rsidR="00BF5408" w:rsidRPr="00C41ACA">
              <w:rPr>
                <w:rFonts w:ascii="Arial" w:eastAsia="MS ??" w:hAnsi="Arial" w:cs="Arial"/>
                <w:lang w:val="en-US"/>
              </w:rPr>
              <w:t xml:space="preserve"> demonstrating the Tenderers previous experience with </w:t>
            </w:r>
            <w:r w:rsidR="00B9379D" w:rsidRPr="00C41ACA">
              <w:rPr>
                <w:rFonts w:ascii="Arial" w:eastAsia="MS ??" w:hAnsi="Arial" w:cs="Arial"/>
                <w:lang w:val="en-US"/>
              </w:rPr>
              <w:t>a demonstrably similar requirement</w:t>
            </w:r>
            <w:r w:rsidR="00C16202" w:rsidRPr="00C41ACA">
              <w:rPr>
                <w:rFonts w:ascii="Arial" w:eastAsia="MS ??" w:hAnsi="Arial" w:cs="Arial"/>
                <w:lang w:val="en-US"/>
              </w:rPr>
              <w:t xml:space="preserve">. Where previous experience is demonstrated this evidence is supported by the </w:t>
            </w:r>
            <w:r w:rsidR="003F55C0" w:rsidRPr="00C41ACA">
              <w:rPr>
                <w:rFonts w:ascii="Arial" w:eastAsia="MS ??" w:hAnsi="Arial" w:cs="Arial"/>
                <w:lang w:val="en-US"/>
              </w:rPr>
              <w:t xml:space="preserve">demonstration of </w:t>
            </w:r>
            <w:r w:rsidR="00E71F08" w:rsidRPr="00C41ACA">
              <w:rPr>
                <w:rFonts w:ascii="Arial" w:eastAsia="MS ??" w:hAnsi="Arial" w:cs="Arial"/>
                <w:lang w:val="en-US"/>
              </w:rPr>
              <w:t>technical (Engineering and Project Management) resource and time required to deliver.</w:t>
            </w:r>
            <w:r w:rsidR="00C16202" w:rsidRPr="00C41ACA">
              <w:rPr>
                <w:rFonts w:ascii="Arial" w:eastAsia="MS ??" w:hAnsi="Arial" w:cs="Arial"/>
                <w:lang w:val="en-US"/>
              </w:rPr>
              <w:t xml:space="preserve"> </w:t>
            </w:r>
          </w:p>
          <w:p w14:paraId="417B1231" w14:textId="3814C279" w:rsidR="00155DC3" w:rsidRPr="003C5743" w:rsidRDefault="00155DC3" w:rsidP="00155DC3">
            <w:pPr>
              <w:numPr>
                <w:ilvl w:val="0"/>
                <w:numId w:val="2"/>
              </w:numPr>
              <w:spacing w:after="200" w:line="276" w:lineRule="auto"/>
              <w:contextualSpacing/>
              <w:rPr>
                <w:rFonts w:ascii="Arial" w:eastAsia="MS ??" w:hAnsi="Arial" w:cs="Arial"/>
                <w:lang w:val="en-US"/>
              </w:rPr>
            </w:pPr>
            <w:r w:rsidRPr="00E71F08">
              <w:rPr>
                <w:rFonts w:ascii="Arial" w:eastAsia="MS ??" w:hAnsi="Arial" w:cs="Arial"/>
                <w:b/>
                <w:lang w:val="en-US"/>
              </w:rPr>
              <w:t>Risk,</w:t>
            </w:r>
            <w:r w:rsidRPr="003C5743">
              <w:rPr>
                <w:rFonts w:ascii="Arial" w:eastAsia="MS ??" w:hAnsi="Arial" w:cs="Arial"/>
                <w:lang w:val="en-US"/>
              </w:rPr>
              <w:t xml:space="preserve"> all relevant risks have been identified, clearly articulated within the risk register and mitigation</w:t>
            </w:r>
            <w:r w:rsidR="00794B9A">
              <w:rPr>
                <w:rFonts w:ascii="Arial" w:eastAsia="MS ??" w:hAnsi="Arial" w:cs="Arial"/>
                <w:lang w:val="en-US"/>
              </w:rPr>
              <w:t xml:space="preserve"> plans have been appropriately detailed.</w:t>
            </w:r>
          </w:p>
          <w:p w14:paraId="2975C442" w14:textId="77777777" w:rsidR="00155DC3" w:rsidRPr="003C5743" w:rsidRDefault="00155DC3" w:rsidP="00155DC3">
            <w:pPr>
              <w:spacing w:after="200" w:line="276" w:lineRule="auto"/>
              <w:contextualSpacing/>
              <w:rPr>
                <w:rFonts w:ascii="Arial" w:eastAsia="MS ??" w:hAnsi="Arial" w:cs="Arial"/>
                <w:lang w:val="en-US"/>
              </w:rPr>
            </w:pPr>
            <w:r w:rsidRPr="003C5743">
              <w:rPr>
                <w:rFonts w:ascii="Arial" w:eastAsia="MS ??" w:hAnsi="Arial" w:cs="Arial"/>
                <w:lang w:val="en-US"/>
              </w:rPr>
              <w:t>Additionally:</w:t>
            </w:r>
          </w:p>
          <w:p w14:paraId="0BCA8612" w14:textId="77777777" w:rsidR="00155DC3" w:rsidRPr="003C5743" w:rsidRDefault="00155DC3" w:rsidP="00155DC3">
            <w:pPr>
              <w:numPr>
                <w:ilvl w:val="0"/>
                <w:numId w:val="3"/>
              </w:numPr>
              <w:spacing w:after="200" w:line="276" w:lineRule="auto"/>
              <w:contextualSpacing/>
              <w:rPr>
                <w:rFonts w:ascii="Arial" w:eastAsia="MS ??" w:hAnsi="Arial" w:cs="Arial"/>
                <w:lang w:val="en-US"/>
              </w:rPr>
            </w:pPr>
            <w:r w:rsidRPr="003C5743">
              <w:rPr>
                <w:rFonts w:ascii="Arial" w:eastAsia="MS ??" w:hAnsi="Arial" w:cs="Arial"/>
                <w:lang w:val="en-US"/>
              </w:rPr>
              <w:t xml:space="preserve">there is no adverse effect on the allocation of technical risk to the Authority (including consideration of any caveats and / or assumptions included and their impact) and / or the Authority’s rights or obligations under the Contract; and </w:t>
            </w:r>
          </w:p>
          <w:p w14:paraId="73860D1E" w14:textId="77777777" w:rsidR="00155DC3" w:rsidRPr="003C5743" w:rsidRDefault="00155DC3" w:rsidP="00155DC3">
            <w:pPr>
              <w:numPr>
                <w:ilvl w:val="0"/>
                <w:numId w:val="3"/>
              </w:numPr>
              <w:spacing w:after="200" w:line="276" w:lineRule="auto"/>
              <w:contextualSpacing/>
              <w:rPr>
                <w:rFonts w:ascii="Arial" w:eastAsia="MS ??" w:hAnsi="Arial" w:cs="Arial"/>
                <w:lang w:val="en-US"/>
              </w:rPr>
            </w:pPr>
            <w:r w:rsidRPr="003C5743">
              <w:rPr>
                <w:rFonts w:ascii="Arial" w:eastAsia="MS ??" w:hAnsi="Arial" w:cs="Arial"/>
                <w:lang w:val="en-US"/>
              </w:rPr>
              <w:t xml:space="preserve">there are features that could provide </w:t>
            </w:r>
            <w:proofErr w:type="spellStart"/>
            <w:r w:rsidRPr="003C5743">
              <w:rPr>
                <w:rFonts w:ascii="Arial" w:eastAsia="MS ??" w:hAnsi="Arial" w:cs="Arial"/>
                <w:lang w:val="en-US"/>
              </w:rPr>
              <w:t>realisable</w:t>
            </w:r>
            <w:proofErr w:type="spellEnd"/>
            <w:r w:rsidRPr="003C5743">
              <w:rPr>
                <w:rFonts w:ascii="Arial" w:eastAsia="MS ??" w:hAnsi="Arial" w:cs="Arial"/>
                <w:lang w:val="en-US"/>
              </w:rPr>
              <w:t xml:space="preserve"> reduction of technical risk to the Authority. </w:t>
            </w:r>
          </w:p>
        </w:tc>
      </w:tr>
      <w:tr w:rsidR="003C5743" w:rsidRPr="003C5743" w14:paraId="275C882D" w14:textId="77777777" w:rsidTr="003C5743">
        <w:trPr>
          <w:trHeight w:val="420"/>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14:paraId="688F2A39" w14:textId="77777777" w:rsidR="00155DC3" w:rsidRPr="003C5743" w:rsidRDefault="00155DC3" w:rsidP="00155DC3">
            <w:pPr>
              <w:spacing w:after="0" w:line="240" w:lineRule="auto"/>
              <w:jc w:val="center"/>
              <w:rPr>
                <w:rFonts w:ascii="Arial" w:eastAsia="MS ??" w:hAnsi="Arial" w:cs="Arial"/>
                <w:lang w:val="en-US"/>
              </w:rPr>
            </w:pPr>
            <w:r w:rsidRPr="003C5743">
              <w:rPr>
                <w:rFonts w:ascii="Arial" w:eastAsia="MS ??" w:hAnsi="Arial" w:cs="Arial"/>
                <w:lang w:val="en-US"/>
              </w:rPr>
              <w:t>6</w:t>
            </w:r>
          </w:p>
        </w:tc>
        <w:tc>
          <w:tcPr>
            <w:tcW w:w="8739" w:type="dxa"/>
            <w:tcBorders>
              <w:top w:val="single" w:sz="4" w:space="0" w:color="auto"/>
              <w:left w:val="single" w:sz="4" w:space="0" w:color="auto"/>
              <w:bottom w:val="single" w:sz="4" w:space="0" w:color="auto"/>
              <w:right w:val="single" w:sz="4" w:space="0" w:color="auto"/>
            </w:tcBorders>
            <w:vAlign w:val="center"/>
            <w:hideMark/>
          </w:tcPr>
          <w:p w14:paraId="5753ACD7"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The Authority considers, exercising its professional skill and judgment, that the Tenderer’s response provides: -</w:t>
            </w:r>
          </w:p>
          <w:p w14:paraId="401A8FAB" w14:textId="77777777" w:rsidR="00155DC3" w:rsidRPr="003C5743" w:rsidRDefault="00155DC3" w:rsidP="00155DC3">
            <w:pPr>
              <w:numPr>
                <w:ilvl w:val="0"/>
                <w:numId w:val="4"/>
              </w:numPr>
              <w:spacing w:after="200" w:line="276" w:lineRule="auto"/>
              <w:contextualSpacing/>
              <w:rPr>
                <w:rFonts w:ascii="Arial" w:eastAsia="MS ??" w:hAnsi="Arial" w:cs="Arial"/>
                <w:lang w:val="en-US"/>
              </w:rPr>
            </w:pPr>
            <w:r w:rsidRPr="00E71F08">
              <w:rPr>
                <w:rFonts w:ascii="Arial" w:eastAsia="MS ??" w:hAnsi="Arial" w:cs="Arial"/>
                <w:b/>
                <w:lang w:val="en-US"/>
              </w:rPr>
              <w:t>Detail,</w:t>
            </w:r>
            <w:r w:rsidRPr="003C5743">
              <w:rPr>
                <w:rFonts w:ascii="Arial" w:eastAsia="MS ??" w:hAnsi="Arial" w:cs="Arial"/>
                <w:lang w:val="en-US"/>
              </w:rPr>
              <w:t xml:space="preserve"> the response is technically accurate, and contains in-depth description which supports all parts of the proposal;</w:t>
            </w:r>
          </w:p>
          <w:p w14:paraId="56066B9C" w14:textId="77777777" w:rsidR="00155DC3" w:rsidRPr="003C5743" w:rsidRDefault="00155DC3" w:rsidP="00155DC3">
            <w:pPr>
              <w:numPr>
                <w:ilvl w:val="0"/>
                <w:numId w:val="4"/>
              </w:numPr>
              <w:spacing w:after="200" w:line="276" w:lineRule="auto"/>
              <w:contextualSpacing/>
              <w:rPr>
                <w:rFonts w:ascii="Arial" w:eastAsia="MS ??" w:hAnsi="Arial" w:cs="Arial"/>
                <w:lang w:val="en-US"/>
              </w:rPr>
            </w:pPr>
            <w:r w:rsidRPr="00E71F08">
              <w:rPr>
                <w:rFonts w:ascii="Arial" w:eastAsia="MS ??" w:hAnsi="Arial" w:cs="Arial"/>
                <w:b/>
                <w:lang w:val="en-US"/>
              </w:rPr>
              <w:t>Evidence,</w:t>
            </w:r>
            <w:r w:rsidRPr="003C5743">
              <w:rPr>
                <w:rFonts w:ascii="Arial" w:eastAsia="MS ??" w:hAnsi="Arial" w:cs="Arial"/>
                <w:lang w:val="en-US"/>
              </w:rPr>
              <w:t xml:space="preserve"> all aspects of the requirement are addressed, evidence is robust, credible, covers the solution in its totality and is based on a mixture of practical examples and, where this is lacking, an articulation of the necessary skills and technical expertise possessed by the Tenderer;</w:t>
            </w:r>
          </w:p>
          <w:p w14:paraId="23DB190B" w14:textId="246987D4" w:rsidR="00155DC3" w:rsidRPr="00B47F29" w:rsidRDefault="00155DC3" w:rsidP="00B47F29">
            <w:pPr>
              <w:numPr>
                <w:ilvl w:val="0"/>
                <w:numId w:val="4"/>
              </w:numPr>
              <w:spacing w:after="200" w:line="276" w:lineRule="auto"/>
              <w:contextualSpacing/>
              <w:rPr>
                <w:rFonts w:ascii="Arial" w:eastAsia="MS ??" w:hAnsi="Arial" w:cs="Arial"/>
                <w:lang w:val="en-US"/>
              </w:rPr>
            </w:pPr>
            <w:r w:rsidRPr="00E71F08">
              <w:rPr>
                <w:rFonts w:ascii="Arial" w:eastAsia="MS ??" w:hAnsi="Arial" w:cs="Arial"/>
                <w:b/>
                <w:lang w:val="en-US"/>
              </w:rPr>
              <w:t>Risk,</w:t>
            </w:r>
            <w:r w:rsidRPr="003C5743">
              <w:rPr>
                <w:rFonts w:ascii="Arial" w:eastAsia="MS ??" w:hAnsi="Arial" w:cs="Arial"/>
                <w:lang w:val="en-US"/>
              </w:rPr>
              <w:t xml:space="preserve"> all relevant risks have been identified within the risk register and mitigations scoped.</w:t>
            </w:r>
          </w:p>
        </w:tc>
      </w:tr>
      <w:tr w:rsidR="003C5743" w:rsidRPr="003C5743" w14:paraId="7272DCCA" w14:textId="77777777" w:rsidTr="003C5743">
        <w:trPr>
          <w:trHeight w:val="420"/>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14:paraId="23E0DD46" w14:textId="77777777" w:rsidR="00155DC3" w:rsidRPr="003C5743" w:rsidRDefault="00155DC3" w:rsidP="00155DC3">
            <w:pPr>
              <w:spacing w:after="0" w:line="240" w:lineRule="auto"/>
              <w:jc w:val="center"/>
              <w:rPr>
                <w:rFonts w:ascii="Arial" w:eastAsia="MS ??" w:hAnsi="Arial" w:cs="Arial"/>
                <w:lang w:val="en-US"/>
              </w:rPr>
            </w:pPr>
            <w:r w:rsidRPr="003C5743">
              <w:rPr>
                <w:rFonts w:ascii="Arial" w:eastAsia="MS ??" w:hAnsi="Arial" w:cs="Arial"/>
                <w:lang w:val="en-US"/>
              </w:rPr>
              <w:t>3</w:t>
            </w:r>
          </w:p>
        </w:tc>
        <w:tc>
          <w:tcPr>
            <w:tcW w:w="8739" w:type="dxa"/>
            <w:tcBorders>
              <w:top w:val="single" w:sz="4" w:space="0" w:color="auto"/>
              <w:left w:val="single" w:sz="4" w:space="0" w:color="auto"/>
              <w:bottom w:val="single" w:sz="4" w:space="0" w:color="auto"/>
              <w:right w:val="single" w:sz="4" w:space="0" w:color="auto"/>
            </w:tcBorders>
            <w:vAlign w:val="center"/>
            <w:hideMark/>
          </w:tcPr>
          <w:p w14:paraId="04957F61"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The Authority considers, exercising its professional skill and judgment, that the Tenderer’s response provides: -</w:t>
            </w:r>
          </w:p>
          <w:p w14:paraId="76446182" w14:textId="77777777" w:rsidR="00155DC3" w:rsidRPr="003C5743" w:rsidRDefault="00155DC3" w:rsidP="00155DC3">
            <w:pPr>
              <w:spacing w:after="0" w:line="240" w:lineRule="auto"/>
              <w:rPr>
                <w:rFonts w:ascii="Arial" w:eastAsia="MS ??" w:hAnsi="Arial" w:cs="Arial"/>
                <w:lang w:val="en-US"/>
              </w:rPr>
            </w:pPr>
          </w:p>
          <w:p w14:paraId="385DBE0D" w14:textId="77777777" w:rsidR="00155DC3" w:rsidRPr="003C5743" w:rsidRDefault="00155DC3" w:rsidP="00155DC3">
            <w:pPr>
              <w:numPr>
                <w:ilvl w:val="0"/>
                <w:numId w:val="8"/>
              </w:numPr>
              <w:spacing w:after="0" w:line="240" w:lineRule="auto"/>
              <w:jc w:val="both"/>
              <w:rPr>
                <w:rFonts w:ascii="Arial" w:eastAsia="MS ??" w:hAnsi="Arial" w:cs="Arial"/>
                <w:lang w:val="en-US"/>
              </w:rPr>
            </w:pPr>
            <w:r w:rsidRPr="00E71F08">
              <w:rPr>
                <w:rFonts w:ascii="Arial" w:eastAsia="MS ??" w:hAnsi="Arial" w:cs="Arial"/>
                <w:b/>
                <w:lang w:val="en-US"/>
              </w:rPr>
              <w:t>Detail,</w:t>
            </w:r>
            <w:r w:rsidRPr="003C5743">
              <w:rPr>
                <w:rFonts w:ascii="Arial" w:eastAsia="MS ??" w:hAnsi="Arial" w:cs="Arial"/>
                <w:lang w:val="en-US"/>
              </w:rPr>
              <w:t xml:space="preserve"> the response is technically accurate, and contains in-depth description for most parts of the proposal;</w:t>
            </w:r>
          </w:p>
          <w:p w14:paraId="7F50BC14" w14:textId="77777777" w:rsidR="00155DC3" w:rsidRPr="003C5743" w:rsidRDefault="00155DC3" w:rsidP="00155DC3">
            <w:pPr>
              <w:numPr>
                <w:ilvl w:val="0"/>
                <w:numId w:val="8"/>
              </w:numPr>
              <w:spacing w:after="0" w:line="240" w:lineRule="auto"/>
              <w:contextualSpacing/>
              <w:rPr>
                <w:rFonts w:ascii="Arial" w:eastAsia="MS ??" w:hAnsi="Arial" w:cs="Arial"/>
                <w:lang w:val="en-US"/>
              </w:rPr>
            </w:pPr>
            <w:r w:rsidRPr="00E71F08">
              <w:rPr>
                <w:rFonts w:ascii="Arial" w:eastAsia="MS ??" w:hAnsi="Arial" w:cs="Arial"/>
                <w:b/>
                <w:lang w:val="en-US"/>
              </w:rPr>
              <w:t>Evidence,</w:t>
            </w:r>
            <w:r w:rsidRPr="003C5743">
              <w:rPr>
                <w:rFonts w:ascii="Arial" w:eastAsia="MS ??" w:hAnsi="Arial" w:cs="Arial"/>
                <w:lang w:val="en-US"/>
              </w:rPr>
              <w:t xml:space="preserve"> most aspects of the requirement are addressed, evidence is robust, credible, covers most parts of the solution and is based on a mixture of practical examples and, where this is lacking, an articulation of the necessary skills and technical expertise possessed by the Tenderer;</w:t>
            </w:r>
          </w:p>
          <w:p w14:paraId="574C56C8" w14:textId="77777777" w:rsidR="00155DC3" w:rsidRPr="003C5743" w:rsidRDefault="00155DC3" w:rsidP="00155DC3">
            <w:pPr>
              <w:numPr>
                <w:ilvl w:val="0"/>
                <w:numId w:val="8"/>
              </w:numPr>
              <w:spacing w:after="200" w:line="276" w:lineRule="auto"/>
              <w:contextualSpacing/>
              <w:rPr>
                <w:rFonts w:ascii="Arial" w:eastAsia="MS ??" w:hAnsi="Arial" w:cs="Arial"/>
                <w:lang w:val="en-US"/>
              </w:rPr>
            </w:pPr>
            <w:r w:rsidRPr="00E71F08">
              <w:rPr>
                <w:rFonts w:ascii="Arial" w:eastAsia="MS ??" w:hAnsi="Arial" w:cs="Arial"/>
                <w:b/>
                <w:lang w:val="en-US"/>
              </w:rPr>
              <w:t>Risk,</w:t>
            </w:r>
            <w:r w:rsidRPr="003C5743">
              <w:rPr>
                <w:rFonts w:ascii="Arial" w:eastAsia="MS ??" w:hAnsi="Arial" w:cs="Arial"/>
                <w:lang w:val="en-US"/>
              </w:rPr>
              <w:t xml:space="preserve"> most relevant risks have been identified within the risk register and mitigations scoped.</w:t>
            </w:r>
          </w:p>
          <w:p w14:paraId="26AA18E4" w14:textId="77777777" w:rsidR="00155DC3" w:rsidRPr="003C5743" w:rsidRDefault="00155DC3" w:rsidP="00155DC3">
            <w:pPr>
              <w:spacing w:after="200" w:line="276" w:lineRule="auto"/>
              <w:contextualSpacing/>
              <w:rPr>
                <w:rFonts w:ascii="Arial" w:eastAsia="MS ??" w:hAnsi="Arial" w:cs="Arial"/>
                <w:lang w:val="en-US"/>
              </w:rPr>
            </w:pPr>
            <w:r w:rsidRPr="003C5743">
              <w:rPr>
                <w:rFonts w:ascii="Arial" w:eastAsia="MS ??" w:hAnsi="Arial" w:cs="Arial"/>
                <w:lang w:val="en-US"/>
              </w:rPr>
              <w:lastRenderedPageBreak/>
              <w:t>Additionally:</w:t>
            </w:r>
          </w:p>
          <w:p w14:paraId="48189758" w14:textId="77777777" w:rsidR="00155DC3" w:rsidRPr="003C5743" w:rsidRDefault="00155DC3" w:rsidP="00155DC3">
            <w:pPr>
              <w:numPr>
                <w:ilvl w:val="0"/>
                <w:numId w:val="8"/>
              </w:numPr>
              <w:spacing w:after="200" w:line="276" w:lineRule="auto"/>
              <w:contextualSpacing/>
              <w:rPr>
                <w:rFonts w:ascii="Arial" w:eastAsia="MS ??" w:hAnsi="Arial" w:cs="Arial"/>
                <w:lang w:val="en-US"/>
              </w:rPr>
            </w:pPr>
            <w:r w:rsidRPr="003C5743">
              <w:rPr>
                <w:rFonts w:ascii="Arial" w:eastAsia="MS ??" w:hAnsi="Arial" w:cs="Arial"/>
                <w:lang w:val="en-US"/>
              </w:rPr>
              <w:t xml:space="preserve">there is minimal adverse effect on the allocation of technical risk to the Authority (including consideration of any caveats and / or assumptions included and their impact) and / or the Authority’s rights or obligations under the Contract and it is not considered to materially affect performance, cost or </w:t>
            </w:r>
            <w:proofErr w:type="spellStart"/>
            <w:r w:rsidRPr="003C5743">
              <w:rPr>
                <w:rFonts w:ascii="Arial" w:eastAsia="MS ??" w:hAnsi="Arial" w:cs="Arial"/>
                <w:lang w:val="en-US"/>
              </w:rPr>
              <w:t>programme</w:t>
            </w:r>
            <w:proofErr w:type="spellEnd"/>
            <w:r w:rsidRPr="003C5743">
              <w:rPr>
                <w:rFonts w:ascii="Arial" w:eastAsia="MS ??" w:hAnsi="Arial" w:cs="Arial"/>
                <w:lang w:val="en-US"/>
              </w:rPr>
              <w:t xml:space="preserve"> timescales.</w:t>
            </w:r>
          </w:p>
        </w:tc>
      </w:tr>
      <w:tr w:rsidR="003C5743" w:rsidRPr="003C5743" w14:paraId="66C252E1" w14:textId="77777777" w:rsidTr="003C5743">
        <w:trPr>
          <w:trHeight w:val="420"/>
          <w:jc w:val="center"/>
        </w:trPr>
        <w:tc>
          <w:tcPr>
            <w:tcW w:w="1195" w:type="dxa"/>
            <w:tcBorders>
              <w:top w:val="single" w:sz="4" w:space="0" w:color="auto"/>
              <w:left w:val="single" w:sz="4" w:space="0" w:color="auto"/>
              <w:bottom w:val="single" w:sz="4" w:space="0" w:color="auto"/>
              <w:right w:val="single" w:sz="4" w:space="0" w:color="auto"/>
            </w:tcBorders>
            <w:vAlign w:val="center"/>
          </w:tcPr>
          <w:p w14:paraId="3B8D18B6" w14:textId="77777777" w:rsidR="00155DC3" w:rsidRPr="003C5743" w:rsidRDefault="00155DC3" w:rsidP="00155DC3">
            <w:pPr>
              <w:spacing w:after="0" w:line="240" w:lineRule="auto"/>
              <w:jc w:val="center"/>
              <w:rPr>
                <w:rFonts w:ascii="Arial" w:eastAsia="MS ??" w:hAnsi="Arial" w:cs="Arial"/>
                <w:lang w:val="en-US"/>
              </w:rPr>
            </w:pPr>
            <w:r w:rsidRPr="003C5743">
              <w:rPr>
                <w:rFonts w:ascii="Arial" w:eastAsia="MS ??" w:hAnsi="Arial" w:cs="Arial"/>
                <w:lang w:val="en-US"/>
              </w:rPr>
              <w:lastRenderedPageBreak/>
              <w:t>1</w:t>
            </w:r>
          </w:p>
        </w:tc>
        <w:tc>
          <w:tcPr>
            <w:tcW w:w="8739" w:type="dxa"/>
            <w:tcBorders>
              <w:top w:val="single" w:sz="4" w:space="0" w:color="auto"/>
              <w:left w:val="single" w:sz="4" w:space="0" w:color="auto"/>
              <w:bottom w:val="single" w:sz="4" w:space="0" w:color="auto"/>
              <w:right w:val="single" w:sz="4" w:space="0" w:color="auto"/>
            </w:tcBorders>
            <w:vAlign w:val="center"/>
          </w:tcPr>
          <w:p w14:paraId="2EF9C42D"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The Authority considers, exercising its professional skill and judgment, that the Tenderer’s response provides: -</w:t>
            </w:r>
          </w:p>
          <w:p w14:paraId="3EE7C5D1" w14:textId="77777777" w:rsidR="00155DC3" w:rsidRPr="003C5743" w:rsidRDefault="00155DC3" w:rsidP="00155DC3">
            <w:pPr>
              <w:spacing w:after="0" w:line="240" w:lineRule="auto"/>
              <w:rPr>
                <w:rFonts w:ascii="Arial" w:eastAsia="MS ??" w:hAnsi="Arial" w:cs="Arial"/>
                <w:lang w:val="en-US"/>
              </w:rPr>
            </w:pPr>
          </w:p>
          <w:p w14:paraId="5C9CCA1A"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E71F08">
              <w:rPr>
                <w:rFonts w:ascii="Arial" w:eastAsia="MS ??" w:hAnsi="Arial" w:cs="Arial"/>
                <w:b/>
                <w:lang w:val="en-US"/>
              </w:rPr>
              <w:t>Detail,</w:t>
            </w:r>
            <w:r w:rsidRPr="003C5743">
              <w:rPr>
                <w:rFonts w:ascii="Arial" w:eastAsia="MS ??" w:hAnsi="Arial" w:cs="Arial"/>
                <w:lang w:val="en-US"/>
              </w:rPr>
              <w:t xml:space="preserve"> only some detail is provided which is technically accurate, containing in-depth description but missing or lacking in other areas;</w:t>
            </w:r>
          </w:p>
          <w:p w14:paraId="060225DC"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E71F08">
              <w:rPr>
                <w:rFonts w:ascii="Arial" w:eastAsia="MS ??" w:hAnsi="Arial" w:cs="Arial"/>
                <w:b/>
                <w:lang w:val="en-US"/>
              </w:rPr>
              <w:t>Evidence,</w:t>
            </w:r>
            <w:r w:rsidRPr="003C5743">
              <w:rPr>
                <w:rFonts w:ascii="Arial" w:eastAsia="MS ??" w:hAnsi="Arial" w:cs="Arial"/>
                <w:lang w:val="en-US"/>
              </w:rPr>
              <w:t xml:space="preserve"> only some aspects of the requirement are addressed, some evidence is robust and credible, but evidence is missing or lacking in credibility in other areas;</w:t>
            </w:r>
          </w:p>
          <w:p w14:paraId="1B73174E"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E71F08">
              <w:rPr>
                <w:rFonts w:ascii="Arial" w:eastAsia="MS ??" w:hAnsi="Arial" w:cs="Arial"/>
                <w:b/>
                <w:lang w:val="en-US"/>
              </w:rPr>
              <w:t>Risk,</w:t>
            </w:r>
            <w:r w:rsidRPr="003C5743">
              <w:rPr>
                <w:rFonts w:ascii="Arial" w:eastAsia="MS ??" w:hAnsi="Arial" w:cs="Arial"/>
                <w:lang w:val="en-US"/>
              </w:rPr>
              <w:t xml:space="preserve"> only some relevant risks have been identified within the risk register with mitigations scoped; and</w:t>
            </w:r>
          </w:p>
          <w:p w14:paraId="2951CF86"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Additionally: -</w:t>
            </w:r>
          </w:p>
          <w:p w14:paraId="1D692BCF"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3C5743">
              <w:rPr>
                <w:rFonts w:ascii="Arial" w:eastAsia="MS ??" w:hAnsi="Arial" w:cs="Arial"/>
                <w:lang w:val="en-US"/>
              </w:rPr>
              <w:t xml:space="preserve">there is an adverse effect on the allocation of technical risk to the Authority (including consideration of any caveats and / or assumptions included and their impact) and / or the Authority’s rights or obligations under the Contract and it is considered to materially affect performance, cost or </w:t>
            </w:r>
            <w:proofErr w:type="spellStart"/>
            <w:r w:rsidRPr="003C5743">
              <w:rPr>
                <w:rFonts w:ascii="Arial" w:eastAsia="MS ??" w:hAnsi="Arial" w:cs="Arial"/>
                <w:lang w:val="en-US"/>
              </w:rPr>
              <w:t>programme</w:t>
            </w:r>
            <w:proofErr w:type="spellEnd"/>
            <w:r w:rsidRPr="003C5743">
              <w:rPr>
                <w:rFonts w:ascii="Arial" w:eastAsia="MS ??" w:hAnsi="Arial" w:cs="Arial"/>
                <w:lang w:val="en-US"/>
              </w:rPr>
              <w:t xml:space="preserve"> timescales.</w:t>
            </w:r>
          </w:p>
        </w:tc>
      </w:tr>
      <w:tr w:rsidR="00155DC3" w:rsidRPr="003C5743" w14:paraId="534DBDB9" w14:textId="77777777" w:rsidTr="003C5743">
        <w:trPr>
          <w:trHeight w:val="420"/>
          <w:jc w:val="center"/>
        </w:trPr>
        <w:tc>
          <w:tcPr>
            <w:tcW w:w="1195" w:type="dxa"/>
            <w:tcBorders>
              <w:top w:val="single" w:sz="4" w:space="0" w:color="auto"/>
              <w:left w:val="single" w:sz="4" w:space="0" w:color="auto"/>
              <w:bottom w:val="double" w:sz="4" w:space="0" w:color="auto"/>
              <w:right w:val="single" w:sz="4" w:space="0" w:color="auto"/>
            </w:tcBorders>
            <w:vAlign w:val="center"/>
          </w:tcPr>
          <w:p w14:paraId="47F261CC" w14:textId="77777777" w:rsidR="00155DC3" w:rsidRPr="003C5743" w:rsidRDefault="00155DC3" w:rsidP="00155DC3">
            <w:pPr>
              <w:spacing w:after="0" w:line="240" w:lineRule="auto"/>
              <w:jc w:val="center"/>
              <w:rPr>
                <w:rFonts w:ascii="Arial" w:eastAsia="MS ??" w:hAnsi="Arial" w:cs="Arial"/>
                <w:lang w:val="en-US"/>
              </w:rPr>
            </w:pPr>
            <w:r w:rsidRPr="003C5743">
              <w:rPr>
                <w:rFonts w:ascii="Arial" w:eastAsia="MS ??" w:hAnsi="Arial" w:cs="Arial"/>
                <w:lang w:val="en-US"/>
              </w:rPr>
              <w:t>0</w:t>
            </w:r>
          </w:p>
        </w:tc>
        <w:tc>
          <w:tcPr>
            <w:tcW w:w="8739" w:type="dxa"/>
            <w:tcBorders>
              <w:top w:val="single" w:sz="4" w:space="0" w:color="auto"/>
              <w:left w:val="single" w:sz="4" w:space="0" w:color="auto"/>
              <w:bottom w:val="double" w:sz="4" w:space="0" w:color="auto"/>
              <w:right w:val="single" w:sz="4" w:space="0" w:color="auto"/>
            </w:tcBorders>
            <w:vAlign w:val="center"/>
          </w:tcPr>
          <w:p w14:paraId="389EA3B4"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The Authority considers, exercising its professional skill and judgment, that the Tenderer’s response provides: -</w:t>
            </w:r>
          </w:p>
          <w:p w14:paraId="38FB0D01"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E71F08">
              <w:rPr>
                <w:rFonts w:ascii="Arial" w:eastAsia="MS ??" w:hAnsi="Arial" w:cs="Arial"/>
                <w:b/>
                <w:lang w:val="en-US"/>
              </w:rPr>
              <w:t>Detail,</w:t>
            </w:r>
            <w:r w:rsidRPr="003C5743">
              <w:rPr>
                <w:rFonts w:ascii="Arial" w:eastAsia="MS ??" w:hAnsi="Arial" w:cs="Arial"/>
                <w:lang w:val="en-US"/>
              </w:rPr>
              <w:t xml:space="preserve"> detail is missing;</w:t>
            </w:r>
          </w:p>
          <w:p w14:paraId="122EA653"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E71F08">
              <w:rPr>
                <w:rFonts w:ascii="Arial" w:eastAsia="MS ??" w:hAnsi="Arial" w:cs="Arial"/>
                <w:b/>
                <w:lang w:val="en-US"/>
              </w:rPr>
              <w:t>Evidence,</w:t>
            </w:r>
            <w:r w:rsidRPr="003C5743">
              <w:rPr>
                <w:rFonts w:ascii="Arial" w:eastAsia="MS ??" w:hAnsi="Arial" w:cs="Arial"/>
                <w:lang w:val="en-US"/>
              </w:rPr>
              <w:t xml:space="preserve"> the requirement is not addressed, evidence is missing;</w:t>
            </w:r>
          </w:p>
          <w:p w14:paraId="22AF7228"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E71F08">
              <w:rPr>
                <w:rFonts w:ascii="Arial" w:eastAsia="MS ??" w:hAnsi="Arial" w:cs="Arial"/>
                <w:b/>
                <w:lang w:val="en-US"/>
              </w:rPr>
              <w:t>Risk,</w:t>
            </w:r>
            <w:r w:rsidRPr="003C5743">
              <w:rPr>
                <w:rFonts w:ascii="Arial" w:eastAsia="MS ??" w:hAnsi="Arial" w:cs="Arial"/>
                <w:lang w:val="en-US"/>
              </w:rPr>
              <w:t xml:space="preserve"> risks have not been identified in the risk register and/or scoped.</w:t>
            </w:r>
          </w:p>
          <w:p w14:paraId="3FBB1E41" w14:textId="77777777" w:rsidR="00155DC3" w:rsidRPr="003C5743" w:rsidRDefault="00155DC3" w:rsidP="00155DC3">
            <w:pPr>
              <w:spacing w:after="0" w:line="240" w:lineRule="auto"/>
              <w:rPr>
                <w:rFonts w:ascii="Arial" w:eastAsia="MS ??" w:hAnsi="Arial" w:cs="Arial"/>
                <w:lang w:val="en-US"/>
              </w:rPr>
            </w:pPr>
            <w:r w:rsidRPr="003C5743">
              <w:rPr>
                <w:rFonts w:ascii="Arial" w:eastAsia="MS ??" w:hAnsi="Arial" w:cs="Arial"/>
                <w:lang w:val="en-US"/>
              </w:rPr>
              <w:t>Additionally: -</w:t>
            </w:r>
          </w:p>
          <w:p w14:paraId="5F296D2A" w14:textId="77777777" w:rsidR="00155DC3" w:rsidRPr="003C5743" w:rsidRDefault="00155DC3" w:rsidP="00155DC3">
            <w:pPr>
              <w:numPr>
                <w:ilvl w:val="0"/>
                <w:numId w:val="5"/>
              </w:numPr>
              <w:spacing w:after="200" w:line="276" w:lineRule="auto"/>
              <w:contextualSpacing/>
              <w:rPr>
                <w:rFonts w:ascii="Arial" w:eastAsia="MS ??" w:hAnsi="Arial" w:cs="Arial"/>
                <w:lang w:val="en-US"/>
              </w:rPr>
            </w:pPr>
            <w:r w:rsidRPr="003C5743">
              <w:rPr>
                <w:rFonts w:ascii="Arial" w:eastAsia="MS ??" w:hAnsi="Arial" w:cs="Arial"/>
                <w:lang w:val="en-US"/>
              </w:rPr>
              <w:t>there is a severe adverse effect on the allocation of technical risk to the Authority (including consideration of any caveats and / or assumptions included and their impact) and / or the Authority’s rights or obligations under the Contract.</w:t>
            </w:r>
          </w:p>
        </w:tc>
      </w:tr>
    </w:tbl>
    <w:p w14:paraId="2F15B246" w14:textId="543CE690" w:rsidR="00AB48AA" w:rsidRPr="003C5743" w:rsidRDefault="00AB48AA" w:rsidP="00AC2B26">
      <w:pPr>
        <w:spacing w:after="0" w:line="240" w:lineRule="auto"/>
        <w:rPr>
          <w:rFonts w:ascii="Arial" w:eastAsia="Times New Roman" w:hAnsi="Arial" w:cs="Arial"/>
          <w:u w:val="single"/>
          <w:lang w:eastAsia="en-GB"/>
        </w:rPr>
      </w:pPr>
    </w:p>
    <w:p w14:paraId="3F65F256" w14:textId="7877AEDC" w:rsidR="003559F5" w:rsidRDefault="003559F5" w:rsidP="00AC2B26">
      <w:pPr>
        <w:spacing w:after="0" w:line="240" w:lineRule="auto"/>
        <w:rPr>
          <w:rFonts w:ascii="Arial" w:eastAsia="Times New Roman" w:hAnsi="Arial" w:cs="Arial"/>
          <w:u w:val="single"/>
          <w:lang w:eastAsia="en-GB"/>
        </w:rPr>
      </w:pPr>
    </w:p>
    <w:p w14:paraId="227C3432" w14:textId="11EB28D3" w:rsidR="00283947" w:rsidRDefault="00283947" w:rsidP="00AC2B26">
      <w:pPr>
        <w:spacing w:after="0" w:line="240" w:lineRule="auto"/>
        <w:rPr>
          <w:rFonts w:ascii="Arial" w:eastAsia="Times New Roman" w:hAnsi="Arial" w:cs="Arial"/>
          <w:u w:val="single"/>
          <w:lang w:eastAsia="en-GB"/>
        </w:rPr>
      </w:pPr>
    </w:p>
    <w:p w14:paraId="0589E525" w14:textId="162882A7" w:rsidR="00283947" w:rsidRDefault="00283947" w:rsidP="00AC2B26">
      <w:pPr>
        <w:spacing w:after="0" w:line="240" w:lineRule="auto"/>
        <w:rPr>
          <w:rFonts w:ascii="Arial" w:eastAsia="Times New Roman" w:hAnsi="Arial" w:cs="Arial"/>
          <w:u w:val="single"/>
          <w:lang w:eastAsia="en-GB"/>
        </w:rPr>
      </w:pPr>
    </w:p>
    <w:p w14:paraId="2B28FBB7" w14:textId="5E4D540D" w:rsidR="00283947" w:rsidRDefault="00283947" w:rsidP="00AC2B26">
      <w:pPr>
        <w:spacing w:after="0" w:line="240" w:lineRule="auto"/>
        <w:rPr>
          <w:rFonts w:ascii="Arial" w:eastAsia="Times New Roman" w:hAnsi="Arial" w:cs="Arial"/>
          <w:u w:val="single"/>
          <w:lang w:eastAsia="en-GB"/>
        </w:rPr>
      </w:pPr>
    </w:p>
    <w:p w14:paraId="579E55E1" w14:textId="70518CCD" w:rsidR="00283947" w:rsidRDefault="00283947" w:rsidP="00AC2B26">
      <w:pPr>
        <w:spacing w:after="0" w:line="240" w:lineRule="auto"/>
        <w:rPr>
          <w:rFonts w:ascii="Arial" w:eastAsia="Times New Roman" w:hAnsi="Arial" w:cs="Arial"/>
          <w:u w:val="single"/>
          <w:lang w:eastAsia="en-GB"/>
        </w:rPr>
      </w:pPr>
    </w:p>
    <w:p w14:paraId="03937C2D" w14:textId="4C0F8CCF" w:rsidR="00283947" w:rsidRDefault="00283947" w:rsidP="00AC2B26">
      <w:pPr>
        <w:spacing w:after="0" w:line="240" w:lineRule="auto"/>
        <w:rPr>
          <w:rFonts w:ascii="Arial" w:eastAsia="Times New Roman" w:hAnsi="Arial" w:cs="Arial"/>
          <w:u w:val="single"/>
          <w:lang w:eastAsia="en-GB"/>
        </w:rPr>
      </w:pPr>
    </w:p>
    <w:p w14:paraId="0B99BF76" w14:textId="2452D8AD" w:rsidR="00283947" w:rsidRDefault="00283947" w:rsidP="00AC2B26">
      <w:pPr>
        <w:spacing w:after="0" w:line="240" w:lineRule="auto"/>
        <w:rPr>
          <w:rFonts w:ascii="Arial" w:eastAsia="Times New Roman" w:hAnsi="Arial" w:cs="Arial"/>
          <w:u w:val="single"/>
          <w:lang w:eastAsia="en-GB"/>
        </w:rPr>
      </w:pPr>
    </w:p>
    <w:p w14:paraId="194F3147" w14:textId="0E222EC3" w:rsidR="00283947" w:rsidRDefault="00283947" w:rsidP="00AC2B26">
      <w:pPr>
        <w:spacing w:after="0" w:line="240" w:lineRule="auto"/>
        <w:rPr>
          <w:rFonts w:ascii="Arial" w:eastAsia="Times New Roman" w:hAnsi="Arial" w:cs="Arial"/>
          <w:u w:val="single"/>
          <w:lang w:eastAsia="en-GB"/>
        </w:rPr>
      </w:pPr>
    </w:p>
    <w:p w14:paraId="5068AAA2" w14:textId="5A66E0BE" w:rsidR="00283947" w:rsidRDefault="00283947" w:rsidP="00AC2B26">
      <w:pPr>
        <w:spacing w:after="0" w:line="240" w:lineRule="auto"/>
        <w:rPr>
          <w:rFonts w:ascii="Arial" w:eastAsia="Times New Roman" w:hAnsi="Arial" w:cs="Arial"/>
          <w:u w:val="single"/>
          <w:lang w:eastAsia="en-GB"/>
        </w:rPr>
      </w:pPr>
    </w:p>
    <w:p w14:paraId="37C8B556" w14:textId="29E175B1" w:rsidR="00283947" w:rsidRDefault="00283947" w:rsidP="00AC2B26">
      <w:pPr>
        <w:spacing w:after="0" w:line="240" w:lineRule="auto"/>
        <w:rPr>
          <w:rFonts w:ascii="Arial" w:eastAsia="Times New Roman" w:hAnsi="Arial" w:cs="Arial"/>
          <w:u w:val="single"/>
          <w:lang w:eastAsia="en-GB"/>
        </w:rPr>
      </w:pPr>
    </w:p>
    <w:p w14:paraId="496CCBC9" w14:textId="6DD2B89B" w:rsidR="00283947" w:rsidRDefault="00283947" w:rsidP="00AC2B26">
      <w:pPr>
        <w:spacing w:after="0" w:line="240" w:lineRule="auto"/>
        <w:rPr>
          <w:rFonts w:ascii="Arial" w:eastAsia="Times New Roman" w:hAnsi="Arial" w:cs="Arial"/>
          <w:u w:val="single"/>
          <w:lang w:eastAsia="en-GB"/>
        </w:rPr>
      </w:pPr>
    </w:p>
    <w:p w14:paraId="4801034D" w14:textId="69E87783" w:rsidR="00283947" w:rsidRDefault="00283947" w:rsidP="00AC2B26">
      <w:pPr>
        <w:spacing w:after="0" w:line="240" w:lineRule="auto"/>
        <w:rPr>
          <w:rFonts w:ascii="Arial" w:eastAsia="Times New Roman" w:hAnsi="Arial" w:cs="Arial"/>
          <w:u w:val="single"/>
          <w:lang w:eastAsia="en-GB"/>
        </w:rPr>
      </w:pPr>
    </w:p>
    <w:p w14:paraId="163DD4ED" w14:textId="5D1E56FF" w:rsidR="00283947" w:rsidRDefault="00283947" w:rsidP="00AC2B26">
      <w:pPr>
        <w:spacing w:after="0" w:line="240" w:lineRule="auto"/>
        <w:rPr>
          <w:rFonts w:ascii="Arial" w:eastAsia="Times New Roman" w:hAnsi="Arial" w:cs="Arial"/>
          <w:u w:val="single"/>
          <w:lang w:eastAsia="en-GB"/>
        </w:rPr>
      </w:pPr>
    </w:p>
    <w:p w14:paraId="6FFC58BD" w14:textId="3EE53E46" w:rsidR="00283947" w:rsidRDefault="00283947" w:rsidP="00AC2B26">
      <w:pPr>
        <w:spacing w:after="0" w:line="240" w:lineRule="auto"/>
        <w:rPr>
          <w:rFonts w:ascii="Arial" w:eastAsia="Times New Roman" w:hAnsi="Arial" w:cs="Arial"/>
          <w:u w:val="single"/>
          <w:lang w:eastAsia="en-GB"/>
        </w:rPr>
      </w:pPr>
    </w:p>
    <w:p w14:paraId="7B92E7C1" w14:textId="4DD1DFA2" w:rsidR="00283947" w:rsidRDefault="00283947" w:rsidP="00AC2B26">
      <w:pPr>
        <w:spacing w:after="0" w:line="240" w:lineRule="auto"/>
        <w:rPr>
          <w:rFonts w:ascii="Arial" w:eastAsia="Times New Roman" w:hAnsi="Arial" w:cs="Arial"/>
          <w:u w:val="single"/>
          <w:lang w:eastAsia="en-GB"/>
        </w:rPr>
      </w:pPr>
    </w:p>
    <w:p w14:paraId="077D21E5" w14:textId="668A1213" w:rsidR="00283947" w:rsidRDefault="00283947" w:rsidP="00AC2B26">
      <w:pPr>
        <w:spacing w:after="0" w:line="240" w:lineRule="auto"/>
        <w:rPr>
          <w:rFonts w:ascii="Arial" w:eastAsia="Times New Roman" w:hAnsi="Arial" w:cs="Arial"/>
          <w:u w:val="single"/>
          <w:lang w:eastAsia="en-GB"/>
        </w:rPr>
      </w:pPr>
    </w:p>
    <w:p w14:paraId="59E45278" w14:textId="77777777" w:rsidR="00283947" w:rsidRPr="003C5743" w:rsidRDefault="00283947" w:rsidP="00AC2B26">
      <w:pPr>
        <w:spacing w:after="0" w:line="240" w:lineRule="auto"/>
        <w:rPr>
          <w:rFonts w:ascii="Arial" w:eastAsia="Times New Roman" w:hAnsi="Arial" w:cs="Arial"/>
          <w:u w:val="single"/>
          <w:lang w:eastAsia="en-GB"/>
        </w:rPr>
      </w:pPr>
    </w:p>
    <w:p w14:paraId="70C45B43" w14:textId="425A277A" w:rsidR="00155DC3" w:rsidRPr="003C5743" w:rsidRDefault="00155DC3" w:rsidP="00155DC3">
      <w:pPr>
        <w:spacing w:after="0" w:line="240" w:lineRule="auto"/>
        <w:ind w:left="2160" w:firstLine="720"/>
        <w:rPr>
          <w:rFonts w:ascii="Arial" w:eastAsia="Times New Roman" w:hAnsi="Arial" w:cs="Arial"/>
          <w:u w:val="single"/>
          <w:lang w:eastAsia="en-GB"/>
        </w:rPr>
      </w:pPr>
      <w:r w:rsidRPr="003C5743">
        <w:rPr>
          <w:rFonts w:ascii="Arial" w:eastAsia="Times New Roman" w:hAnsi="Arial" w:cs="Arial"/>
          <w:u w:val="single"/>
          <w:lang w:eastAsia="en-GB"/>
        </w:rPr>
        <w:lastRenderedPageBreak/>
        <w:t>Table 2</w:t>
      </w:r>
      <w:r w:rsidR="006755E9" w:rsidRPr="003C5743">
        <w:rPr>
          <w:rFonts w:ascii="Arial" w:eastAsia="Times New Roman" w:hAnsi="Arial" w:cs="Arial"/>
          <w:u w:val="single"/>
          <w:lang w:eastAsia="en-GB"/>
        </w:rPr>
        <w:t>d</w:t>
      </w:r>
      <w:r w:rsidRPr="003C5743">
        <w:rPr>
          <w:rFonts w:ascii="Arial" w:eastAsia="Times New Roman" w:hAnsi="Arial" w:cs="Arial"/>
          <w:u w:val="single"/>
          <w:lang w:eastAsia="en-GB"/>
        </w:rPr>
        <w:t xml:space="preserve"> – Pass or Fail Criteria</w:t>
      </w:r>
    </w:p>
    <w:p w14:paraId="37EDFFC5" w14:textId="77777777" w:rsidR="00155DC3" w:rsidRPr="003C5743" w:rsidRDefault="00155DC3" w:rsidP="00155DC3">
      <w:pPr>
        <w:tabs>
          <w:tab w:val="left" w:pos="0"/>
          <w:tab w:val="left" w:pos="567"/>
        </w:tabs>
        <w:spacing w:after="0" w:line="240" w:lineRule="auto"/>
        <w:jc w:val="center"/>
        <w:rPr>
          <w:rFonts w:ascii="Arial" w:eastAsia="Times New Roman" w:hAnsi="Arial" w:cs="Arial"/>
        </w:rPr>
      </w:pPr>
    </w:p>
    <w:tbl>
      <w:tblPr>
        <w:tblW w:w="9924" w:type="dxa"/>
        <w:tblInd w:w="-436" w:type="dxa"/>
        <w:tblCellMar>
          <w:left w:w="0" w:type="dxa"/>
          <w:right w:w="0" w:type="dxa"/>
        </w:tblCellMar>
        <w:tblLook w:val="04A0" w:firstRow="1" w:lastRow="0" w:firstColumn="1" w:lastColumn="0" w:noHBand="0" w:noVBand="1"/>
      </w:tblPr>
      <w:tblGrid>
        <w:gridCol w:w="2411"/>
        <w:gridCol w:w="7513"/>
      </w:tblGrid>
      <w:tr w:rsidR="003C5743" w:rsidRPr="003C5743" w14:paraId="0313F775" w14:textId="77777777" w:rsidTr="009C03D0">
        <w:tc>
          <w:tcPr>
            <w:tcW w:w="24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79E7BB"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rPr>
            </w:pPr>
            <w:r w:rsidRPr="003C5743">
              <w:rPr>
                <w:rFonts w:ascii="Arial" w:eastAsia="Times New Roman" w:hAnsi="Arial" w:cs="Arial"/>
              </w:rPr>
              <w:t>Evaluation Marking</w:t>
            </w:r>
          </w:p>
        </w:tc>
        <w:tc>
          <w:tcPr>
            <w:tcW w:w="75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BBCF7F" w14:textId="77777777" w:rsidR="00155DC3" w:rsidRPr="003C5743" w:rsidRDefault="00155DC3" w:rsidP="00155DC3">
            <w:pPr>
              <w:tabs>
                <w:tab w:val="left" w:pos="567"/>
                <w:tab w:val="num" w:pos="720"/>
              </w:tabs>
              <w:spacing w:beforeLines="60" w:before="144" w:afterLines="60" w:after="144" w:line="240" w:lineRule="auto"/>
              <w:rPr>
                <w:rFonts w:ascii="Arial" w:eastAsia="Times New Roman" w:hAnsi="Arial" w:cs="Arial"/>
              </w:rPr>
            </w:pPr>
            <w:r w:rsidRPr="003C5743">
              <w:rPr>
                <w:rFonts w:ascii="Arial" w:eastAsia="Times New Roman" w:hAnsi="Arial" w:cs="Arial"/>
              </w:rPr>
              <w:t>Evaluation Criteria</w:t>
            </w:r>
          </w:p>
        </w:tc>
      </w:tr>
      <w:tr w:rsidR="003C5743" w:rsidRPr="003C5743" w14:paraId="6E4AA60D" w14:textId="77777777" w:rsidTr="009C03D0">
        <w:trPr>
          <w:trHeight w:val="689"/>
        </w:trPr>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FF73" w14:textId="77777777" w:rsidR="00155DC3" w:rsidRPr="003C5743" w:rsidRDefault="00155DC3" w:rsidP="00155DC3">
            <w:pPr>
              <w:spacing w:after="0" w:line="240" w:lineRule="auto"/>
              <w:ind w:left="34" w:hanging="34"/>
              <w:rPr>
                <w:rFonts w:ascii="Arial" w:eastAsia="Times New Roman" w:hAnsi="Arial" w:cs="Arial"/>
              </w:rPr>
            </w:pPr>
            <w:r w:rsidRPr="003C5743">
              <w:rPr>
                <w:rFonts w:ascii="Arial" w:eastAsia="Times New Roman" w:hAnsi="Arial" w:cs="Arial"/>
              </w:rPr>
              <w:t xml:space="preserve">PASS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43C9E3E" w14:textId="3658D3C4" w:rsidR="00155DC3" w:rsidRPr="003C5743" w:rsidRDefault="00155DC3" w:rsidP="00155DC3">
            <w:pPr>
              <w:spacing w:after="0" w:line="240" w:lineRule="auto"/>
              <w:rPr>
                <w:rFonts w:ascii="Arial" w:eastAsia="Times New Roman" w:hAnsi="Arial" w:cs="Arial"/>
                <w:lang w:val="en-US"/>
              </w:rPr>
            </w:pPr>
            <w:r w:rsidRPr="003C5743">
              <w:rPr>
                <w:rFonts w:ascii="Arial" w:eastAsia="Times New Roman" w:hAnsi="Arial" w:cs="Arial"/>
              </w:rPr>
              <w:t xml:space="preserve">The response is sufficiently detailed to demonstrate a good understanding of the requirement and provides details on how the requirement will be fulfilled. </w:t>
            </w:r>
            <w:r w:rsidRPr="003C5743">
              <w:rPr>
                <w:rFonts w:ascii="Arial" w:eastAsia="Times New Roman" w:hAnsi="Arial" w:cs="Arial"/>
                <w:lang w:val="en-US"/>
              </w:rPr>
              <w:t>The Authority considers, exercising its professional skill and judgment that the Tenderer’s response provides:</w:t>
            </w:r>
          </w:p>
          <w:p w14:paraId="08C0C778" w14:textId="77777777" w:rsidR="00AB48AA" w:rsidRPr="003C5743" w:rsidRDefault="00AB48AA" w:rsidP="00155DC3">
            <w:pPr>
              <w:spacing w:after="0" w:line="240" w:lineRule="auto"/>
              <w:rPr>
                <w:rFonts w:ascii="Arial" w:eastAsia="Times New Roman" w:hAnsi="Arial" w:cs="Arial"/>
              </w:rPr>
            </w:pPr>
          </w:p>
          <w:p w14:paraId="048F9B9A" w14:textId="77777777" w:rsidR="00155DC3" w:rsidRPr="003C5743" w:rsidRDefault="00155DC3" w:rsidP="00155DC3">
            <w:pPr>
              <w:numPr>
                <w:ilvl w:val="0"/>
                <w:numId w:val="4"/>
              </w:numPr>
              <w:spacing w:after="200" w:line="276" w:lineRule="auto"/>
              <w:contextualSpacing/>
              <w:rPr>
                <w:rFonts w:ascii="Arial" w:eastAsia="MS ??" w:hAnsi="Arial" w:cs="Arial"/>
                <w:lang w:val="en-US"/>
              </w:rPr>
            </w:pPr>
            <w:r w:rsidRPr="003C5743">
              <w:rPr>
                <w:rFonts w:ascii="Arial" w:eastAsia="MS ??" w:hAnsi="Arial" w:cs="Arial"/>
                <w:lang w:val="en-US"/>
              </w:rPr>
              <w:t>Detail, the response is technically accurate, and contains in-depth description which supports all parts of the proposal.</w:t>
            </w:r>
          </w:p>
          <w:p w14:paraId="145105B7" w14:textId="77777777" w:rsidR="00155DC3" w:rsidRPr="003C5743" w:rsidRDefault="00155DC3" w:rsidP="00155DC3">
            <w:pPr>
              <w:numPr>
                <w:ilvl w:val="0"/>
                <w:numId w:val="4"/>
              </w:numPr>
              <w:spacing w:after="200" w:line="276" w:lineRule="auto"/>
              <w:contextualSpacing/>
              <w:rPr>
                <w:rFonts w:ascii="Arial" w:eastAsia="MS ??" w:hAnsi="Arial" w:cs="Arial"/>
                <w:lang w:val="en-US"/>
              </w:rPr>
            </w:pPr>
            <w:r w:rsidRPr="003C5743">
              <w:rPr>
                <w:rFonts w:ascii="Arial" w:eastAsia="MS ??" w:hAnsi="Arial" w:cs="Arial"/>
                <w:lang w:val="en-US"/>
              </w:rPr>
              <w:t>Evidence, all aspects of the requirement are addressed, evidence is robust, credible, covers the solution in its totality and is based on a mixture of practical examples and, where this is lacking, an articulation of the necessary skills and technical expertise possessed by the Tenderer; and</w:t>
            </w:r>
          </w:p>
          <w:p w14:paraId="0354FBC0" w14:textId="2C6D8E45" w:rsidR="00155DC3" w:rsidRPr="003C5743" w:rsidRDefault="00155DC3" w:rsidP="00155DC3">
            <w:pPr>
              <w:numPr>
                <w:ilvl w:val="0"/>
                <w:numId w:val="4"/>
              </w:numPr>
              <w:spacing w:after="200" w:line="276" w:lineRule="auto"/>
              <w:contextualSpacing/>
              <w:rPr>
                <w:rFonts w:ascii="Arial" w:eastAsia="MS ??" w:hAnsi="Arial" w:cs="Arial"/>
                <w:lang w:val="en-US"/>
              </w:rPr>
            </w:pPr>
            <w:r w:rsidRPr="003C5743">
              <w:rPr>
                <w:rFonts w:ascii="Arial" w:eastAsia="MS ??" w:hAnsi="Arial" w:cs="Arial"/>
                <w:lang w:val="en-US"/>
              </w:rPr>
              <w:t>Risk, most relevant risks have been identified within the risk register and mitigations scoped.</w:t>
            </w:r>
          </w:p>
        </w:tc>
      </w:tr>
      <w:tr w:rsidR="003C5743" w:rsidRPr="003C5743" w14:paraId="54AB3726" w14:textId="77777777" w:rsidTr="009C03D0">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12E7F" w14:textId="77777777" w:rsidR="00155DC3" w:rsidRPr="003C5743" w:rsidRDefault="00155DC3" w:rsidP="00155DC3">
            <w:pPr>
              <w:spacing w:after="0" w:line="240" w:lineRule="auto"/>
              <w:ind w:left="34" w:hanging="34"/>
              <w:rPr>
                <w:rFonts w:ascii="Arial" w:eastAsia="Times New Roman" w:hAnsi="Arial" w:cs="Arial"/>
              </w:rPr>
            </w:pPr>
            <w:r w:rsidRPr="003C5743">
              <w:rPr>
                <w:rFonts w:ascii="Arial" w:eastAsia="Times New Roman" w:hAnsi="Arial" w:cs="Arial"/>
              </w:rPr>
              <w:t xml:space="preserve">FAIL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3F18C96" w14:textId="77777777" w:rsidR="00155DC3" w:rsidRPr="003C5743" w:rsidRDefault="00155DC3" w:rsidP="00155DC3">
            <w:pPr>
              <w:spacing w:after="0" w:line="240" w:lineRule="auto"/>
              <w:ind w:left="13"/>
              <w:rPr>
                <w:rFonts w:ascii="Arial" w:eastAsia="Times New Roman" w:hAnsi="Arial" w:cs="Arial"/>
              </w:rPr>
            </w:pPr>
            <w:r w:rsidRPr="003C5743">
              <w:rPr>
                <w:rFonts w:ascii="Arial" w:eastAsia="Times New Roman" w:hAnsi="Arial" w:cs="Arial"/>
              </w:rPr>
              <w:t>The criteria stated for a PASS have not been met.</w:t>
            </w:r>
          </w:p>
        </w:tc>
      </w:tr>
    </w:tbl>
    <w:p w14:paraId="1E5EE4AA" w14:textId="5E316E3C" w:rsidR="00155DC3" w:rsidRPr="003C5743" w:rsidRDefault="00155DC3" w:rsidP="009D5C94">
      <w:pPr>
        <w:spacing w:after="240" w:line="240" w:lineRule="auto"/>
        <w:jc w:val="both"/>
        <w:rPr>
          <w:rFonts w:ascii="Arial" w:eastAsia="Times New Roman" w:hAnsi="Arial" w:cs="Arial"/>
          <w:highlight w:val="yellow"/>
        </w:rPr>
      </w:pPr>
    </w:p>
    <w:p w14:paraId="397717B6" w14:textId="7944A9C0"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 Score for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lines with a Confidence Score will then be calculated as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Priority Weighting (given in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multiplied by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Compliance Weighting (in accordance with Table 2</w:t>
      </w:r>
      <w:r w:rsidR="009D5C94" w:rsidRPr="003C5743">
        <w:rPr>
          <w:rFonts w:ascii="Arial" w:eastAsia="Times New Roman" w:hAnsi="Arial" w:cs="Arial"/>
        </w:rPr>
        <w:t>b</w:t>
      </w:r>
      <w:r w:rsidRPr="003C5743">
        <w:rPr>
          <w:rFonts w:ascii="Arial" w:eastAsia="Times New Roman" w:hAnsi="Arial" w:cs="Arial"/>
        </w:rPr>
        <w:t xml:space="preserve">) multiplied by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Confidence Mark (in accordance with Table 2</w:t>
      </w:r>
      <w:r w:rsidR="009D5C94" w:rsidRPr="003C5743">
        <w:rPr>
          <w:rFonts w:ascii="Arial" w:eastAsia="Times New Roman" w:hAnsi="Arial" w:cs="Arial"/>
        </w:rPr>
        <w:t>c</w:t>
      </w:r>
      <w:r w:rsidRPr="003C5743">
        <w:rPr>
          <w:rFonts w:ascii="Arial" w:eastAsia="Times New Roman" w:hAnsi="Arial" w:cs="Arial"/>
        </w:rPr>
        <w:t xml:space="preserve">). </w:t>
      </w:r>
    </w:p>
    <w:p w14:paraId="28D585AC" w14:textId="77777777"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For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lines marked as Pass/Fail the Tenderer’s Technical response must achieve a Pass, failure to do so will result in the Tenderer being removed from the competition. For the purpose of the MEAT calculation Pass/Fail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lines will not be assigned a score.  </w:t>
      </w:r>
    </w:p>
    <w:p w14:paraId="360D7B80" w14:textId="2A2A5FB0" w:rsidR="00CF4A41" w:rsidRPr="00C0253C" w:rsidRDefault="00155DC3" w:rsidP="00F97FC8">
      <w:pPr>
        <w:numPr>
          <w:ilvl w:val="0"/>
          <w:numId w:val="1"/>
        </w:numPr>
        <w:spacing w:after="200" w:line="240" w:lineRule="auto"/>
        <w:jc w:val="both"/>
        <w:rPr>
          <w:rFonts w:ascii="Arial" w:eastAsia="Times New Roman" w:hAnsi="Arial" w:cs="Arial"/>
          <w:b/>
          <w:bCs/>
          <w:u w:val="single"/>
        </w:rPr>
      </w:pPr>
      <w:r w:rsidRPr="003C5743">
        <w:rPr>
          <w:rFonts w:ascii="Arial" w:eastAsia="Times New Roman" w:hAnsi="Arial" w:cs="Arial"/>
        </w:rPr>
        <w:t xml:space="preserve">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Line Scores will be totalled to produce the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Total Score for the Tenderers Technical Proposal. The maximum available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Total Score is 100%.  Tenderers who score below </w:t>
      </w:r>
      <w:r w:rsidR="00D74C2B" w:rsidRPr="003C5743">
        <w:rPr>
          <w:rFonts w:ascii="Arial" w:eastAsia="Times New Roman" w:hAnsi="Arial" w:cs="Arial"/>
        </w:rPr>
        <w:t>4</w:t>
      </w:r>
      <w:r w:rsidRPr="003C5743">
        <w:rPr>
          <w:rFonts w:ascii="Arial" w:eastAsia="Times New Roman" w:hAnsi="Arial" w:cs="Arial"/>
        </w:rPr>
        <w:t>0% will be excluded from the competition.</w:t>
      </w:r>
    </w:p>
    <w:p w14:paraId="5C02512D" w14:textId="546ADFA1" w:rsidR="00C0253C" w:rsidRPr="00DD3F79" w:rsidRDefault="00C0253C" w:rsidP="00C0253C">
      <w:pPr>
        <w:numPr>
          <w:ilvl w:val="0"/>
          <w:numId w:val="1"/>
        </w:numPr>
        <w:spacing w:after="240" w:line="240" w:lineRule="auto"/>
        <w:jc w:val="both"/>
        <w:rPr>
          <w:rFonts w:ascii="Arial" w:eastAsia="Times New Roman" w:hAnsi="Arial" w:cs="Arial"/>
        </w:rPr>
      </w:pPr>
      <w:r w:rsidRPr="00DD3F79">
        <w:rPr>
          <w:rFonts w:ascii="Arial" w:eastAsia="Times New Roman" w:hAnsi="Arial" w:cs="Arial"/>
          <w:lang w:eastAsia="en-GB"/>
        </w:rPr>
        <w:t>The C</w:t>
      </w:r>
      <w:r w:rsidR="00EB4BD7" w:rsidRPr="00DD3F79">
        <w:rPr>
          <w:rFonts w:ascii="Arial" w:eastAsia="Times New Roman" w:hAnsi="Arial" w:cs="Arial"/>
          <w:lang w:eastAsia="en-GB"/>
        </w:rPr>
        <w:t xml:space="preserve">ontract </w:t>
      </w:r>
      <w:r w:rsidRPr="00DD3F79">
        <w:rPr>
          <w:rFonts w:ascii="Arial" w:eastAsia="Times New Roman" w:hAnsi="Arial" w:cs="Arial"/>
          <w:lang w:eastAsia="en-GB"/>
        </w:rPr>
        <w:t>M</w:t>
      </w:r>
      <w:r w:rsidR="00EB4BD7" w:rsidRPr="00DD3F79">
        <w:rPr>
          <w:rFonts w:ascii="Arial" w:eastAsia="Times New Roman" w:hAnsi="Arial" w:cs="Arial"/>
          <w:lang w:eastAsia="en-GB"/>
        </w:rPr>
        <w:t xml:space="preserve">aster </w:t>
      </w:r>
      <w:r w:rsidRPr="00DD3F79">
        <w:rPr>
          <w:rFonts w:ascii="Arial" w:eastAsia="Times New Roman" w:hAnsi="Arial" w:cs="Arial"/>
          <w:lang w:eastAsia="en-GB"/>
        </w:rPr>
        <w:t>S</w:t>
      </w:r>
      <w:r w:rsidR="00EB4BD7" w:rsidRPr="00DD3F79">
        <w:rPr>
          <w:rFonts w:ascii="Arial" w:eastAsia="Times New Roman" w:hAnsi="Arial" w:cs="Arial"/>
          <w:lang w:eastAsia="en-GB"/>
        </w:rPr>
        <w:t>ch</w:t>
      </w:r>
      <w:r w:rsidR="00DD3F79" w:rsidRPr="00DD3F79">
        <w:rPr>
          <w:rFonts w:ascii="Arial" w:eastAsia="Times New Roman" w:hAnsi="Arial" w:cs="Arial"/>
          <w:lang w:eastAsia="en-GB"/>
        </w:rPr>
        <w:t>edule (CMS)</w:t>
      </w:r>
      <w:r w:rsidRPr="00DD3F79">
        <w:rPr>
          <w:rFonts w:ascii="Arial" w:eastAsia="Times New Roman" w:hAnsi="Arial" w:cs="Arial"/>
          <w:lang w:eastAsia="en-GB"/>
        </w:rPr>
        <w:t xml:space="preserve"> and Change Control Process will be marked within the </w:t>
      </w:r>
      <w:proofErr w:type="spellStart"/>
      <w:r w:rsidRPr="00DD3F79">
        <w:rPr>
          <w:rFonts w:ascii="Arial" w:eastAsia="Times New Roman" w:hAnsi="Arial" w:cs="Arial"/>
          <w:lang w:eastAsia="en-GB"/>
        </w:rPr>
        <w:t>SoTR</w:t>
      </w:r>
      <w:proofErr w:type="spellEnd"/>
      <w:r w:rsidRPr="00DD3F79">
        <w:rPr>
          <w:rFonts w:ascii="Arial" w:eastAsia="Times New Roman" w:hAnsi="Arial" w:cs="Arial"/>
          <w:lang w:eastAsia="en-GB"/>
        </w:rPr>
        <w:t xml:space="preserve"> and the </w:t>
      </w:r>
      <w:r w:rsidRPr="00DD3F79">
        <w:rPr>
          <w:rFonts w:ascii="Arial" w:eastAsia="Times New Roman" w:hAnsi="Arial" w:cs="Arial"/>
        </w:rPr>
        <w:t>Tenderers’ response will be required to satisfy the three distinct elements detailed within Table 2a – Statement of Compliance Example.</w:t>
      </w:r>
    </w:p>
    <w:p w14:paraId="6E75F9AA" w14:textId="77777777" w:rsidR="0063537B" w:rsidRPr="00DD3F79" w:rsidRDefault="0063537B" w:rsidP="0063537B">
      <w:pPr>
        <w:numPr>
          <w:ilvl w:val="0"/>
          <w:numId w:val="1"/>
        </w:numPr>
        <w:spacing w:after="240" w:line="240" w:lineRule="auto"/>
        <w:jc w:val="both"/>
        <w:rPr>
          <w:rFonts w:ascii="Arial" w:eastAsia="Times New Roman" w:hAnsi="Arial" w:cs="Arial"/>
          <w:u w:val="single"/>
          <w:lang w:eastAsia="en-GB"/>
        </w:rPr>
      </w:pPr>
      <w:r w:rsidRPr="00DD3F79">
        <w:rPr>
          <w:rFonts w:ascii="Arial" w:eastAsia="Arial" w:hAnsi="Arial" w:cs="Arial"/>
        </w:rPr>
        <w:t xml:space="preserve">The CMS will provide evidence to the Authority on how the Tenderer intends to meet all the Contractible Deliverables as defined in Annex D – Pricing and Rates to the DEFFORM 47.  When completing the Tenderer must ensure that their CMS meets the requirements set out in Annex B to this DEFFORM 47 (Tender Deliverables). </w:t>
      </w:r>
    </w:p>
    <w:p w14:paraId="4C228B8A" w14:textId="77777777" w:rsidR="0063537B" w:rsidRPr="00DD3F79" w:rsidRDefault="0063537B" w:rsidP="0063537B">
      <w:pPr>
        <w:numPr>
          <w:ilvl w:val="0"/>
          <w:numId w:val="1"/>
        </w:numPr>
        <w:spacing w:after="240" w:line="240" w:lineRule="auto"/>
        <w:contextualSpacing/>
        <w:jc w:val="both"/>
        <w:rPr>
          <w:rFonts w:ascii="Calibri" w:eastAsia="Times New Roman" w:hAnsi="Calibri" w:cs="Times New Roman"/>
        </w:rPr>
      </w:pPr>
      <w:r w:rsidRPr="00DD3F79">
        <w:rPr>
          <w:rFonts w:ascii="Arial" w:eastAsia="Arial" w:hAnsi="Arial" w:cs="Arial"/>
        </w:rPr>
        <w:t xml:space="preserve">The Tenderer’s Change Control Process must meet the requirements set out in Annex B of this DEFFORM 47 (Tender Deliverables). </w:t>
      </w:r>
    </w:p>
    <w:p w14:paraId="5460309D" w14:textId="273CB131" w:rsidR="00CF4A41" w:rsidRDefault="00CF4A41" w:rsidP="00CF4A41">
      <w:pPr>
        <w:spacing w:after="200" w:line="276" w:lineRule="auto"/>
        <w:jc w:val="both"/>
        <w:rPr>
          <w:rFonts w:ascii="Arial" w:eastAsia="Times New Roman" w:hAnsi="Arial" w:cs="Arial"/>
          <w:b/>
          <w:bCs/>
          <w:u w:val="single"/>
        </w:rPr>
      </w:pPr>
    </w:p>
    <w:p w14:paraId="5E667858" w14:textId="1C23B61E" w:rsidR="00283947" w:rsidRDefault="00283947" w:rsidP="00CF4A41">
      <w:pPr>
        <w:spacing w:after="200" w:line="276" w:lineRule="auto"/>
        <w:jc w:val="both"/>
        <w:rPr>
          <w:rFonts w:ascii="Arial" w:eastAsia="Times New Roman" w:hAnsi="Arial" w:cs="Arial"/>
          <w:b/>
          <w:bCs/>
          <w:u w:val="single"/>
        </w:rPr>
      </w:pPr>
    </w:p>
    <w:p w14:paraId="210E50D3" w14:textId="3D3F83C5" w:rsidR="00283947" w:rsidRDefault="00283947" w:rsidP="00CF4A41">
      <w:pPr>
        <w:spacing w:after="200" w:line="276" w:lineRule="auto"/>
        <w:jc w:val="both"/>
        <w:rPr>
          <w:rFonts w:ascii="Arial" w:eastAsia="Times New Roman" w:hAnsi="Arial" w:cs="Arial"/>
          <w:b/>
          <w:bCs/>
          <w:u w:val="single"/>
        </w:rPr>
      </w:pPr>
    </w:p>
    <w:p w14:paraId="2BE6426B" w14:textId="77777777" w:rsidR="00283947" w:rsidRPr="003C5743" w:rsidRDefault="00283947" w:rsidP="00CF4A41">
      <w:pPr>
        <w:spacing w:after="200" w:line="276" w:lineRule="auto"/>
        <w:jc w:val="both"/>
        <w:rPr>
          <w:rFonts w:ascii="Arial" w:eastAsia="Times New Roman" w:hAnsi="Arial" w:cs="Arial"/>
          <w:b/>
          <w:bCs/>
          <w:u w:val="single"/>
        </w:rPr>
      </w:pPr>
    </w:p>
    <w:p w14:paraId="7A737041" w14:textId="5CA72135" w:rsidR="00A661EA" w:rsidRPr="003C5743" w:rsidRDefault="00A661EA" w:rsidP="00A661EA">
      <w:pPr>
        <w:spacing w:after="0" w:line="240" w:lineRule="auto"/>
        <w:rPr>
          <w:rFonts w:ascii="Arial" w:eastAsia="Times New Roman" w:hAnsi="Arial" w:cs="Arial"/>
          <w:b/>
          <w:u w:val="single"/>
        </w:rPr>
      </w:pPr>
      <w:r w:rsidRPr="003C5743">
        <w:rPr>
          <w:rFonts w:ascii="Arial" w:eastAsia="Times New Roman" w:hAnsi="Arial" w:cs="Arial"/>
          <w:b/>
          <w:u w:val="single"/>
        </w:rPr>
        <w:lastRenderedPageBreak/>
        <w:t xml:space="preserve">Stage 3 - </w:t>
      </w:r>
      <w:r w:rsidR="245E78D5" w:rsidRPr="003C5743">
        <w:rPr>
          <w:rFonts w:ascii="Arial" w:eastAsia="Times New Roman" w:hAnsi="Arial" w:cs="Arial"/>
          <w:b/>
          <w:bCs/>
          <w:u w:val="single"/>
        </w:rPr>
        <w:t xml:space="preserve">Weighted Through Life </w:t>
      </w:r>
      <w:proofErr w:type="gramStart"/>
      <w:r w:rsidR="245E78D5" w:rsidRPr="003C5743">
        <w:rPr>
          <w:rFonts w:ascii="Arial" w:eastAsia="Times New Roman" w:hAnsi="Arial" w:cs="Arial"/>
          <w:b/>
          <w:bCs/>
          <w:u w:val="single"/>
        </w:rPr>
        <w:t>Supportability</w:t>
      </w:r>
      <w:r w:rsidRPr="003C5743">
        <w:rPr>
          <w:rFonts w:ascii="Arial" w:eastAsia="Times New Roman" w:hAnsi="Arial" w:cs="Arial"/>
          <w:b/>
          <w:u w:val="single"/>
        </w:rPr>
        <w:t xml:space="preserve"> </w:t>
      </w:r>
      <w:r w:rsidR="79BFDA3E" w:rsidRPr="003C5743">
        <w:rPr>
          <w:rFonts w:ascii="Arial" w:eastAsia="Times New Roman" w:hAnsi="Arial" w:cs="Arial"/>
          <w:b/>
          <w:bCs/>
          <w:u w:val="single"/>
        </w:rPr>
        <w:t xml:space="preserve"> (</w:t>
      </w:r>
      <w:proofErr w:type="gramEnd"/>
      <w:r w:rsidR="79BFDA3E" w:rsidRPr="003C5743">
        <w:rPr>
          <w:rFonts w:ascii="Arial" w:eastAsia="Times New Roman" w:hAnsi="Arial" w:cs="Arial"/>
          <w:b/>
          <w:bCs/>
          <w:u w:val="single"/>
        </w:rPr>
        <w:t xml:space="preserve">WTLS) </w:t>
      </w:r>
      <w:r w:rsidRPr="003C5743">
        <w:rPr>
          <w:rFonts w:ascii="Arial" w:eastAsia="Times New Roman" w:hAnsi="Arial" w:cs="Arial"/>
          <w:b/>
          <w:u w:val="single"/>
        </w:rPr>
        <w:t>Evaluation</w:t>
      </w:r>
      <w:r w:rsidR="008B27B9" w:rsidRPr="003C5743">
        <w:rPr>
          <w:rFonts w:ascii="Arial" w:eastAsia="Times New Roman" w:hAnsi="Arial" w:cs="Arial"/>
          <w:b/>
          <w:u w:val="single"/>
        </w:rPr>
        <w:t xml:space="preserve"> </w:t>
      </w:r>
    </w:p>
    <w:p w14:paraId="39A67682" w14:textId="77777777" w:rsidR="00155DC3" w:rsidRPr="003C5743" w:rsidRDefault="00155DC3" w:rsidP="00155DC3">
      <w:pPr>
        <w:spacing w:after="200" w:line="276" w:lineRule="auto"/>
        <w:jc w:val="both"/>
        <w:rPr>
          <w:rFonts w:ascii="Arial" w:eastAsia="Times New Roman" w:hAnsi="Arial" w:cs="Arial"/>
          <w:b/>
          <w:bCs/>
          <w:u w:val="single"/>
        </w:rPr>
      </w:pPr>
    </w:p>
    <w:p w14:paraId="27DFC721" w14:textId="41B607DA" w:rsidR="00060DB4" w:rsidRPr="003C5743" w:rsidRDefault="006B61D1" w:rsidP="00060DB4">
      <w:pPr>
        <w:numPr>
          <w:ilvl w:val="0"/>
          <w:numId w:val="1"/>
        </w:numPr>
        <w:spacing w:after="240" w:line="240" w:lineRule="auto"/>
        <w:jc w:val="both"/>
        <w:rPr>
          <w:rFonts w:ascii="Arial" w:eastAsia="Times New Roman" w:hAnsi="Arial" w:cs="Arial"/>
        </w:rPr>
      </w:pPr>
      <w:r w:rsidRPr="003C5743">
        <w:rPr>
          <w:rFonts w:ascii="Arial" w:eastAsia="Times New Roman" w:hAnsi="Arial" w:cs="Arial"/>
        </w:rPr>
        <w:t>The Police Patrol Craft</w:t>
      </w:r>
      <w:r w:rsidR="000D06D1" w:rsidRPr="003C5743">
        <w:rPr>
          <w:rFonts w:ascii="Arial" w:eastAsia="Times New Roman" w:hAnsi="Arial" w:cs="Arial"/>
        </w:rPr>
        <w:t xml:space="preserve"> has a planned In-Service life of </w:t>
      </w:r>
      <w:r w:rsidR="7FB6BFA3" w:rsidRPr="003C5743">
        <w:rPr>
          <w:rFonts w:ascii="Arial" w:eastAsia="Times New Roman" w:hAnsi="Arial" w:cs="Arial"/>
        </w:rPr>
        <w:t>t</w:t>
      </w:r>
      <w:r w:rsidR="006F48AB" w:rsidRPr="003C5743">
        <w:rPr>
          <w:rFonts w:ascii="Arial" w:eastAsia="Times New Roman" w:hAnsi="Arial" w:cs="Arial"/>
        </w:rPr>
        <w:t>hirty</w:t>
      </w:r>
      <w:r w:rsidR="000D06D1" w:rsidRPr="003C5743">
        <w:rPr>
          <w:rFonts w:ascii="Arial" w:eastAsia="Times New Roman" w:hAnsi="Arial" w:cs="Arial"/>
        </w:rPr>
        <w:t xml:space="preserve"> </w:t>
      </w:r>
      <w:r w:rsidR="79BFDA3E" w:rsidRPr="003C5743">
        <w:rPr>
          <w:rFonts w:ascii="Arial" w:eastAsia="Times New Roman" w:hAnsi="Arial" w:cs="Arial"/>
        </w:rPr>
        <w:t>(</w:t>
      </w:r>
      <w:r w:rsidR="006F48AB" w:rsidRPr="003C5743">
        <w:rPr>
          <w:rFonts w:ascii="Arial" w:eastAsia="Times New Roman" w:hAnsi="Arial" w:cs="Arial"/>
        </w:rPr>
        <w:t>30</w:t>
      </w:r>
      <w:r w:rsidR="79BFDA3E" w:rsidRPr="003C5743">
        <w:rPr>
          <w:rFonts w:ascii="Arial" w:eastAsia="Times New Roman" w:hAnsi="Arial" w:cs="Arial"/>
        </w:rPr>
        <w:t xml:space="preserve">) </w:t>
      </w:r>
      <w:r w:rsidR="000D06D1" w:rsidRPr="003C5743">
        <w:rPr>
          <w:rFonts w:ascii="Arial" w:eastAsia="Times New Roman" w:hAnsi="Arial" w:cs="Arial"/>
        </w:rPr>
        <w:t>years</w:t>
      </w:r>
      <w:r w:rsidR="00FA066A" w:rsidRPr="003C5743">
        <w:rPr>
          <w:rFonts w:ascii="Arial" w:eastAsia="Times New Roman" w:hAnsi="Arial" w:cs="Arial"/>
        </w:rPr>
        <w:t>. Although the Authority are not Contracting for In-Service Support with th</w:t>
      </w:r>
      <w:r w:rsidR="00C92DD6" w:rsidRPr="003C5743">
        <w:rPr>
          <w:rFonts w:ascii="Arial" w:eastAsia="Times New Roman" w:hAnsi="Arial" w:cs="Arial"/>
        </w:rPr>
        <w:t>is</w:t>
      </w:r>
      <w:r w:rsidR="00FA066A" w:rsidRPr="003C5743">
        <w:rPr>
          <w:rFonts w:ascii="Arial" w:eastAsia="Times New Roman" w:hAnsi="Arial" w:cs="Arial"/>
        </w:rPr>
        <w:t xml:space="preserve"> Tender the expectation is that Craft shall be </w:t>
      </w:r>
      <w:r w:rsidR="00362ED0" w:rsidRPr="003C5743">
        <w:rPr>
          <w:rFonts w:ascii="Arial" w:eastAsia="Times New Roman" w:hAnsi="Arial" w:cs="Arial"/>
        </w:rPr>
        <w:t>desig</w:t>
      </w:r>
      <w:r w:rsidR="00AE5A04" w:rsidRPr="003C5743">
        <w:rPr>
          <w:rFonts w:ascii="Arial" w:eastAsia="Times New Roman" w:hAnsi="Arial" w:cs="Arial"/>
        </w:rPr>
        <w:t xml:space="preserve">ned </w:t>
      </w:r>
      <w:r w:rsidR="00C92DD6" w:rsidRPr="003C5743">
        <w:rPr>
          <w:rFonts w:ascii="Arial" w:eastAsia="Times New Roman" w:hAnsi="Arial" w:cs="Arial"/>
        </w:rPr>
        <w:t>with</w:t>
      </w:r>
      <w:r w:rsidR="00AE5A04" w:rsidRPr="003C5743">
        <w:rPr>
          <w:rFonts w:ascii="Arial" w:eastAsia="Times New Roman" w:hAnsi="Arial" w:cs="Arial"/>
        </w:rPr>
        <w:t xml:space="preserve"> a build, operation and maintenance </w:t>
      </w:r>
      <w:r w:rsidR="00C92DD6" w:rsidRPr="003C5743">
        <w:rPr>
          <w:rFonts w:ascii="Arial" w:eastAsia="Times New Roman" w:hAnsi="Arial" w:cs="Arial"/>
        </w:rPr>
        <w:t>philosophy</w:t>
      </w:r>
      <w:r w:rsidR="00AE5A04" w:rsidRPr="003C5743">
        <w:rPr>
          <w:rFonts w:ascii="Arial" w:eastAsia="Times New Roman" w:hAnsi="Arial" w:cs="Arial"/>
        </w:rPr>
        <w:t xml:space="preserve"> that</w:t>
      </w:r>
      <w:r w:rsidR="00D90565" w:rsidRPr="003C5743">
        <w:rPr>
          <w:rFonts w:ascii="Arial" w:eastAsia="Times New Roman" w:hAnsi="Arial" w:cs="Arial"/>
        </w:rPr>
        <w:t xml:space="preserve"> both meets the requirement set out within the </w:t>
      </w:r>
      <w:proofErr w:type="spellStart"/>
      <w:r w:rsidR="00D90565" w:rsidRPr="003C5743">
        <w:rPr>
          <w:rFonts w:ascii="Arial" w:eastAsia="Times New Roman" w:hAnsi="Arial" w:cs="Arial"/>
        </w:rPr>
        <w:t>SoTR</w:t>
      </w:r>
      <w:proofErr w:type="spellEnd"/>
      <w:r w:rsidR="00D90565" w:rsidRPr="003C5743">
        <w:rPr>
          <w:rFonts w:ascii="Arial" w:eastAsia="Times New Roman" w:hAnsi="Arial" w:cs="Arial"/>
        </w:rPr>
        <w:t xml:space="preserve"> and </w:t>
      </w:r>
      <w:r w:rsidR="00F76E92" w:rsidRPr="003C5743">
        <w:rPr>
          <w:rFonts w:ascii="Arial" w:eastAsia="Times New Roman" w:hAnsi="Arial" w:cs="Arial"/>
        </w:rPr>
        <w:t>provides through-life efficiency and Value for Money to the Authority.</w:t>
      </w:r>
      <w:r w:rsidR="00060DB4" w:rsidRPr="003C5743">
        <w:rPr>
          <w:rFonts w:ascii="Arial" w:eastAsia="Times New Roman" w:hAnsi="Arial" w:cs="Arial"/>
        </w:rPr>
        <w:t xml:space="preserve"> </w:t>
      </w:r>
    </w:p>
    <w:p w14:paraId="15DCD52B" w14:textId="1DD9CF51" w:rsidR="00155DC3" w:rsidRPr="003C5743" w:rsidRDefault="00060DB4" w:rsidP="00060DB4">
      <w:pPr>
        <w:numPr>
          <w:ilvl w:val="0"/>
          <w:numId w:val="1"/>
        </w:numPr>
        <w:spacing w:after="240" w:line="240" w:lineRule="auto"/>
        <w:jc w:val="both"/>
        <w:rPr>
          <w:rFonts w:ascii="Arial" w:eastAsia="Times New Roman" w:hAnsi="Arial" w:cs="Arial"/>
        </w:rPr>
      </w:pPr>
      <w:r w:rsidRPr="003C5743">
        <w:rPr>
          <w:rFonts w:ascii="Arial" w:eastAsia="Times New Roman" w:hAnsi="Arial" w:cs="Arial"/>
        </w:rPr>
        <w:t>Tenderers shall</w:t>
      </w:r>
      <w:r w:rsidR="00456EF4" w:rsidRPr="003C5743">
        <w:rPr>
          <w:rFonts w:ascii="Arial" w:eastAsia="Times New Roman" w:hAnsi="Arial" w:cs="Arial"/>
        </w:rPr>
        <w:t xml:space="preserve"> complete the</w:t>
      </w:r>
      <w:r w:rsidR="004F08D6" w:rsidRPr="003C5743">
        <w:rPr>
          <w:rFonts w:ascii="Arial" w:eastAsia="Times New Roman" w:hAnsi="Arial" w:cs="Arial"/>
        </w:rPr>
        <w:t xml:space="preserve"> </w:t>
      </w:r>
      <w:r w:rsidR="00DA7171" w:rsidRPr="003C5743">
        <w:rPr>
          <w:rFonts w:ascii="Arial" w:eastAsia="Times New Roman" w:hAnsi="Arial" w:cs="Arial"/>
        </w:rPr>
        <w:t xml:space="preserve">Supportability Table of </w:t>
      </w:r>
      <w:r w:rsidR="009C3D05" w:rsidRPr="003C5743">
        <w:rPr>
          <w:rFonts w:ascii="Arial" w:eastAsia="Times New Roman" w:hAnsi="Arial" w:cs="Arial"/>
        </w:rPr>
        <w:t xml:space="preserve">Appendix 2 to </w:t>
      </w:r>
      <w:r w:rsidR="00DA7171" w:rsidRPr="003C5743">
        <w:rPr>
          <w:rFonts w:ascii="Arial" w:eastAsia="Times New Roman" w:hAnsi="Arial" w:cs="Arial"/>
        </w:rPr>
        <w:t xml:space="preserve">Annex </w:t>
      </w:r>
      <w:r w:rsidR="009C3D05" w:rsidRPr="003C5743">
        <w:rPr>
          <w:rFonts w:ascii="Arial" w:eastAsia="Times New Roman" w:hAnsi="Arial" w:cs="Arial"/>
        </w:rPr>
        <w:t>C</w:t>
      </w:r>
      <w:r w:rsidR="00DA7171" w:rsidRPr="003C5743">
        <w:rPr>
          <w:rFonts w:ascii="Arial" w:eastAsia="Times New Roman" w:hAnsi="Arial" w:cs="Arial"/>
        </w:rPr>
        <w:t xml:space="preserve"> </w:t>
      </w:r>
      <w:r w:rsidR="009C3D05" w:rsidRPr="003C5743">
        <w:rPr>
          <w:rFonts w:ascii="Arial" w:eastAsia="Times New Roman" w:hAnsi="Arial" w:cs="Arial"/>
        </w:rPr>
        <w:t>of</w:t>
      </w:r>
      <w:r w:rsidR="00DA7171" w:rsidRPr="003C5743">
        <w:rPr>
          <w:rFonts w:ascii="Arial" w:eastAsia="Times New Roman" w:hAnsi="Arial" w:cs="Arial"/>
        </w:rPr>
        <w:t xml:space="preserve"> DEFFORM 47</w:t>
      </w:r>
      <w:r w:rsidR="00542D52" w:rsidRPr="003C5743">
        <w:rPr>
          <w:rFonts w:ascii="Arial" w:eastAsia="Times New Roman" w:hAnsi="Arial" w:cs="Arial"/>
        </w:rPr>
        <w:t xml:space="preserve"> in accordance with the instructions included within. Tenderers’ </w:t>
      </w:r>
      <w:r w:rsidR="003109D3" w:rsidRPr="003C5743">
        <w:rPr>
          <w:rFonts w:ascii="Arial" w:eastAsia="Times New Roman" w:hAnsi="Arial" w:cs="Arial"/>
        </w:rPr>
        <w:t>claims within the table shall require s</w:t>
      </w:r>
      <w:r w:rsidR="00B0703D" w:rsidRPr="003C5743">
        <w:rPr>
          <w:rFonts w:ascii="Arial" w:eastAsia="Times New Roman" w:hAnsi="Arial" w:cs="Arial"/>
        </w:rPr>
        <w:t>upplementary evidence</w:t>
      </w:r>
      <w:r w:rsidR="00A7174B" w:rsidRPr="003C5743">
        <w:rPr>
          <w:rFonts w:ascii="Arial" w:eastAsia="Times New Roman" w:hAnsi="Arial" w:cs="Arial"/>
        </w:rPr>
        <w:t xml:space="preserve"> and</w:t>
      </w:r>
      <w:r w:rsidR="00BF3F9E" w:rsidRPr="003C5743">
        <w:rPr>
          <w:rFonts w:ascii="Arial" w:eastAsia="Times New Roman" w:hAnsi="Arial" w:cs="Arial"/>
        </w:rPr>
        <w:t xml:space="preserve"> </w:t>
      </w:r>
      <w:r w:rsidR="00B73FF3" w:rsidRPr="003C5743">
        <w:rPr>
          <w:rFonts w:ascii="Arial" w:eastAsia="Times New Roman" w:hAnsi="Arial" w:cs="Arial"/>
        </w:rPr>
        <w:t>be marked as Pass/Fail</w:t>
      </w:r>
      <w:r w:rsidR="00F20809" w:rsidRPr="003C5743">
        <w:rPr>
          <w:rFonts w:ascii="Arial" w:eastAsia="Times New Roman" w:hAnsi="Arial" w:cs="Arial"/>
        </w:rPr>
        <w:t xml:space="preserve"> against the criteria within Table 2</w:t>
      </w:r>
      <w:r w:rsidR="00D61BA7" w:rsidRPr="003C5743">
        <w:rPr>
          <w:rFonts w:ascii="Arial" w:eastAsia="Times New Roman" w:hAnsi="Arial" w:cs="Arial"/>
        </w:rPr>
        <w:t>d</w:t>
      </w:r>
      <w:r w:rsidR="00A7174B" w:rsidRPr="003C5743">
        <w:rPr>
          <w:rFonts w:ascii="Arial" w:eastAsia="Times New Roman" w:hAnsi="Arial" w:cs="Arial"/>
        </w:rPr>
        <w:t xml:space="preserve"> of Section D to DEFFORM 47.</w:t>
      </w:r>
      <w:r w:rsidR="00B10522" w:rsidRPr="003C5743">
        <w:rPr>
          <w:rFonts w:ascii="Arial" w:eastAsia="Times New Roman" w:hAnsi="Arial" w:cs="Arial"/>
        </w:rPr>
        <w:t xml:space="preserve"> </w:t>
      </w:r>
    </w:p>
    <w:p w14:paraId="140262F5" w14:textId="77777777" w:rsidR="00AD026E" w:rsidRPr="003C5743" w:rsidRDefault="00AD026E" w:rsidP="00AD026E">
      <w:pPr>
        <w:spacing w:after="240" w:line="240" w:lineRule="auto"/>
        <w:jc w:val="both"/>
        <w:rPr>
          <w:rFonts w:ascii="Arial" w:eastAsia="Times New Roman" w:hAnsi="Arial" w:cs="Arial"/>
        </w:rPr>
      </w:pPr>
    </w:p>
    <w:p w14:paraId="53EA869F" w14:textId="62DAB1D0" w:rsidR="00155DC3" w:rsidRPr="003C5743" w:rsidRDefault="00155DC3" w:rsidP="00155DC3">
      <w:pPr>
        <w:spacing w:after="0" w:line="240" w:lineRule="auto"/>
        <w:rPr>
          <w:rFonts w:ascii="Arial" w:eastAsia="Times New Roman" w:hAnsi="Arial" w:cs="Arial"/>
          <w:b/>
          <w:bCs/>
          <w:u w:val="single"/>
        </w:rPr>
      </w:pPr>
      <w:r w:rsidRPr="003C5743">
        <w:rPr>
          <w:rFonts w:ascii="Arial" w:eastAsia="Times New Roman" w:hAnsi="Arial" w:cs="Arial"/>
          <w:b/>
          <w:bCs/>
          <w:u w:val="single"/>
        </w:rPr>
        <w:t xml:space="preserve">Stage </w:t>
      </w:r>
      <w:r w:rsidR="00A661EA" w:rsidRPr="003C5743">
        <w:rPr>
          <w:rFonts w:ascii="Arial" w:eastAsia="Times New Roman" w:hAnsi="Arial" w:cs="Arial"/>
          <w:b/>
          <w:bCs/>
          <w:u w:val="single"/>
        </w:rPr>
        <w:t>4</w:t>
      </w:r>
      <w:r w:rsidRPr="003C5743">
        <w:rPr>
          <w:rFonts w:ascii="Arial" w:eastAsia="Times New Roman" w:hAnsi="Arial" w:cs="Arial"/>
          <w:b/>
          <w:bCs/>
          <w:u w:val="single"/>
        </w:rPr>
        <w:t xml:space="preserve"> - </w:t>
      </w:r>
      <w:r w:rsidR="001C35EA" w:rsidRPr="003C5743">
        <w:rPr>
          <w:rFonts w:ascii="Arial" w:eastAsia="Times New Roman" w:hAnsi="Arial" w:cs="Arial"/>
          <w:b/>
          <w:u w:val="single"/>
        </w:rPr>
        <w:t>Integrated Project Management Plan</w:t>
      </w:r>
      <w:r w:rsidRPr="003C5743">
        <w:rPr>
          <w:rFonts w:ascii="Arial" w:eastAsia="Times New Roman" w:hAnsi="Arial" w:cs="Arial"/>
          <w:b/>
          <w:bCs/>
          <w:u w:val="single"/>
        </w:rPr>
        <w:t xml:space="preserve"> Evaluation</w:t>
      </w:r>
    </w:p>
    <w:p w14:paraId="673B5DD9" w14:textId="77777777" w:rsidR="00155DC3" w:rsidRPr="003C5743" w:rsidRDefault="00155DC3" w:rsidP="00155DC3">
      <w:pPr>
        <w:spacing w:after="0" w:line="240" w:lineRule="auto"/>
        <w:rPr>
          <w:rFonts w:ascii="Arial" w:eastAsia="Times New Roman" w:hAnsi="Arial" w:cs="Arial"/>
          <w:b/>
          <w:bCs/>
        </w:rPr>
      </w:pPr>
    </w:p>
    <w:p w14:paraId="6B8C30BC" w14:textId="295C4514"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The Integrated Project Management Plan (IPMP) to form Schedule 6 of the Terms and Conditions, shall detail how the Tenderer will manage performance and delivery of the services specified in the Statement of Technical Requirements (</w:t>
      </w:r>
      <w:proofErr w:type="spellStart"/>
      <w:r w:rsidRPr="003C5743">
        <w:rPr>
          <w:rFonts w:ascii="Arial" w:eastAsia="Times New Roman" w:hAnsi="Arial" w:cs="Arial"/>
        </w:rPr>
        <w:t>SoTR</w:t>
      </w:r>
      <w:proofErr w:type="spellEnd"/>
      <w:r w:rsidRPr="003C5743">
        <w:rPr>
          <w:rFonts w:ascii="Arial" w:eastAsia="Times New Roman" w:hAnsi="Arial" w:cs="Arial"/>
        </w:rPr>
        <w:t>) at Schedule 2 of the Terms and Conditions and must meet the requirements set out in Annex B to DEFFORM 47. The Tenderer’s proposal shall be clear, concise and comprehensive.</w:t>
      </w:r>
    </w:p>
    <w:p w14:paraId="7C369381" w14:textId="77777777"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Tenderers draft IPMP shall define how all contract activities shall be managed, outlining the organisation, processes, procedures and techniques to be used. It shall include details of how all activities, plans and programmes will be managed, monitored, controlled and integrated. </w:t>
      </w:r>
    </w:p>
    <w:p w14:paraId="54C5BBC4" w14:textId="6550A826"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The draft IPMP shall include an Executive Summary, detail</w:t>
      </w:r>
      <w:r w:rsidR="004E4BA7">
        <w:rPr>
          <w:rFonts w:ascii="Arial" w:eastAsia="Times New Roman" w:hAnsi="Arial" w:cs="Arial"/>
        </w:rPr>
        <w:t>ing</w:t>
      </w:r>
      <w:r w:rsidRPr="003C5743">
        <w:rPr>
          <w:rFonts w:ascii="Arial" w:eastAsia="Times New Roman" w:hAnsi="Arial" w:cs="Arial"/>
        </w:rPr>
        <w:t xml:space="preserve"> how the Tenderer proposes to manage the activities required to meet and support the Authority’s requirement and shall be comprised of the following page limited Annexes (Table </w:t>
      </w:r>
      <w:r w:rsidR="00ED5602" w:rsidRPr="003C5743">
        <w:rPr>
          <w:rFonts w:ascii="Arial" w:eastAsia="Times New Roman" w:hAnsi="Arial" w:cs="Arial"/>
        </w:rPr>
        <w:t>3</w:t>
      </w:r>
      <w:r w:rsidRPr="003C5743">
        <w:rPr>
          <w:rFonts w:ascii="Arial" w:eastAsia="Times New Roman" w:hAnsi="Arial" w:cs="Arial"/>
        </w:rPr>
        <w:t xml:space="preserve">) which address specific activities as detailed in Appendices A to </w:t>
      </w:r>
      <w:r w:rsidR="00A11BD3" w:rsidRPr="003C5743">
        <w:rPr>
          <w:rFonts w:ascii="Arial" w:eastAsia="Times New Roman" w:hAnsi="Arial" w:cs="Arial"/>
        </w:rPr>
        <w:t>J</w:t>
      </w:r>
      <w:r w:rsidRPr="003C5743">
        <w:rPr>
          <w:rFonts w:ascii="Arial" w:eastAsia="Times New Roman" w:hAnsi="Arial" w:cs="Arial"/>
        </w:rPr>
        <w:t xml:space="preserve"> to Annex B (Tender Deliverables).</w:t>
      </w:r>
    </w:p>
    <w:p w14:paraId="40C12A71" w14:textId="7FC1F5FE"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Tenderers should note that IPMP Annex page limits are intended as a guide, Tenderers must not exceed the total IPMP page count of </w:t>
      </w:r>
      <w:r w:rsidR="79BFDA3E" w:rsidRPr="003C5743">
        <w:rPr>
          <w:rFonts w:ascii="Arial" w:eastAsia="Times New Roman" w:hAnsi="Arial" w:cs="Arial"/>
        </w:rPr>
        <w:t>12</w:t>
      </w:r>
      <w:r w:rsidR="00D019C4" w:rsidRPr="003C5743">
        <w:rPr>
          <w:rFonts w:ascii="Arial" w:eastAsia="Times New Roman" w:hAnsi="Arial" w:cs="Arial"/>
        </w:rPr>
        <w:t>8</w:t>
      </w:r>
      <w:r w:rsidRPr="003C5743">
        <w:rPr>
          <w:rFonts w:ascii="Arial" w:eastAsia="Times New Roman" w:hAnsi="Arial" w:cs="Arial"/>
        </w:rPr>
        <w:t xml:space="preserve"> pages. Pages exceeding the total shall not be considered for marking.</w:t>
      </w:r>
    </w:p>
    <w:p w14:paraId="280F5903" w14:textId="73935993" w:rsidR="00155DC3" w:rsidRPr="003C5743" w:rsidRDefault="00155DC3" w:rsidP="003C5743">
      <w:pPr>
        <w:numPr>
          <w:ilvl w:val="0"/>
          <w:numId w:val="1"/>
        </w:numPr>
        <w:spacing w:after="0" w:line="240" w:lineRule="auto"/>
        <w:jc w:val="both"/>
        <w:rPr>
          <w:rFonts w:ascii="Arial" w:eastAsia="Times New Roman" w:hAnsi="Arial" w:cs="Arial"/>
        </w:rPr>
      </w:pPr>
      <w:r w:rsidRPr="003C5743">
        <w:rPr>
          <w:rFonts w:ascii="Arial" w:eastAsia="Times New Roman" w:hAnsi="Arial" w:cs="Arial"/>
        </w:rPr>
        <w:t>Each Annex of the IPMP will be marked against Table 2</w:t>
      </w:r>
      <w:r w:rsidR="00727BBB" w:rsidRPr="003C5743">
        <w:rPr>
          <w:rFonts w:ascii="Arial" w:eastAsia="Times New Roman" w:hAnsi="Arial" w:cs="Arial"/>
        </w:rPr>
        <w:t>d</w:t>
      </w:r>
      <w:r w:rsidRPr="003C5743">
        <w:rPr>
          <w:rFonts w:ascii="Arial" w:eastAsia="Times New Roman" w:hAnsi="Arial" w:cs="Arial"/>
        </w:rPr>
        <w:t xml:space="preserve"> – Pass or Fail criteria above. Should any single Annex be assessed as a FAIL the entire document shall be considered a FAIL.</w:t>
      </w:r>
    </w:p>
    <w:p w14:paraId="0ABD394F" w14:textId="77777777" w:rsidR="00AB48AA" w:rsidRPr="003C5743" w:rsidRDefault="00AB48AA" w:rsidP="00AB48AA">
      <w:pPr>
        <w:spacing w:after="0" w:line="240" w:lineRule="auto"/>
        <w:ind w:left="360"/>
        <w:jc w:val="both"/>
        <w:rPr>
          <w:rFonts w:ascii="Arial" w:eastAsia="Times New Roman" w:hAnsi="Arial" w:cs="Arial"/>
        </w:rPr>
      </w:pPr>
    </w:p>
    <w:p w14:paraId="6FD6A24D" w14:textId="18C95169" w:rsidR="00155DC3" w:rsidRPr="003C5743" w:rsidRDefault="00155DC3" w:rsidP="00155DC3">
      <w:pPr>
        <w:tabs>
          <w:tab w:val="left" w:pos="0"/>
          <w:tab w:val="left" w:pos="567"/>
        </w:tabs>
        <w:spacing w:after="0" w:line="240" w:lineRule="auto"/>
        <w:jc w:val="center"/>
        <w:rPr>
          <w:rFonts w:ascii="Arial" w:eastAsia="Times New Roman" w:hAnsi="Arial" w:cs="Arial"/>
          <w:u w:val="single"/>
        </w:rPr>
      </w:pPr>
      <w:r w:rsidRPr="003C5743">
        <w:rPr>
          <w:rFonts w:ascii="Arial" w:eastAsia="Times New Roman" w:hAnsi="Arial" w:cs="Arial"/>
          <w:u w:val="single"/>
        </w:rPr>
        <w:t xml:space="preserve">Table </w:t>
      </w:r>
      <w:r w:rsidR="00ED5602" w:rsidRPr="003C5743">
        <w:rPr>
          <w:rFonts w:ascii="Arial" w:eastAsia="Times New Roman" w:hAnsi="Arial" w:cs="Arial"/>
          <w:u w:val="single"/>
        </w:rPr>
        <w:t>3</w:t>
      </w:r>
      <w:r w:rsidRPr="003C5743">
        <w:rPr>
          <w:rFonts w:ascii="Arial" w:eastAsia="Times New Roman" w:hAnsi="Arial" w:cs="Arial"/>
          <w:u w:val="single"/>
        </w:rPr>
        <w:t xml:space="preserve"> – IPMP Structure</w:t>
      </w:r>
    </w:p>
    <w:p w14:paraId="181D587D" w14:textId="77777777" w:rsidR="00155DC3" w:rsidRPr="003C5743" w:rsidRDefault="00155DC3" w:rsidP="00155DC3">
      <w:pPr>
        <w:spacing w:after="200" w:line="276" w:lineRule="auto"/>
        <w:ind w:left="720"/>
        <w:contextualSpacing/>
        <w:rPr>
          <w:rFonts w:ascii="Arial" w:eastAsia="Calibri" w:hAnsi="Arial"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20"/>
        <w:gridCol w:w="1418"/>
      </w:tblGrid>
      <w:tr w:rsidR="003C5743" w:rsidRPr="003C5743" w14:paraId="710A4513" w14:textId="77777777" w:rsidTr="00860887">
        <w:tc>
          <w:tcPr>
            <w:tcW w:w="1560" w:type="dxa"/>
            <w:shd w:val="clear" w:color="auto" w:fill="BFBFBF"/>
          </w:tcPr>
          <w:p w14:paraId="38D87845" w14:textId="77777777" w:rsidR="00155DC3" w:rsidRPr="003C5743" w:rsidRDefault="00155DC3" w:rsidP="00155DC3">
            <w:pPr>
              <w:spacing w:after="0" w:line="240" w:lineRule="auto"/>
              <w:jc w:val="both"/>
              <w:rPr>
                <w:rFonts w:ascii="Arial" w:eastAsia="Times New Roman" w:hAnsi="Arial" w:cs="Arial"/>
                <w:b/>
              </w:rPr>
            </w:pPr>
            <w:r w:rsidRPr="003C5743">
              <w:rPr>
                <w:rFonts w:ascii="Arial" w:eastAsia="Times New Roman" w:hAnsi="Arial" w:cs="Arial"/>
                <w:b/>
              </w:rPr>
              <w:t>IPMP Annex</w:t>
            </w:r>
          </w:p>
        </w:tc>
        <w:tc>
          <w:tcPr>
            <w:tcW w:w="6520" w:type="dxa"/>
            <w:shd w:val="clear" w:color="auto" w:fill="BFBFBF"/>
          </w:tcPr>
          <w:p w14:paraId="638AC622" w14:textId="77777777" w:rsidR="00155DC3" w:rsidRPr="003C5743" w:rsidRDefault="00155DC3" w:rsidP="00155DC3">
            <w:pPr>
              <w:spacing w:after="0" w:line="240" w:lineRule="auto"/>
              <w:jc w:val="both"/>
              <w:rPr>
                <w:rFonts w:ascii="Arial" w:eastAsia="Times New Roman" w:hAnsi="Arial" w:cs="Arial"/>
                <w:b/>
              </w:rPr>
            </w:pPr>
            <w:r w:rsidRPr="003C5743">
              <w:rPr>
                <w:rFonts w:ascii="Arial" w:eastAsia="Times New Roman" w:hAnsi="Arial" w:cs="Arial"/>
                <w:b/>
              </w:rPr>
              <w:t>Title</w:t>
            </w:r>
          </w:p>
        </w:tc>
        <w:tc>
          <w:tcPr>
            <w:tcW w:w="1418" w:type="dxa"/>
            <w:shd w:val="clear" w:color="auto" w:fill="BFBFBF"/>
          </w:tcPr>
          <w:p w14:paraId="5DDFE2BD" w14:textId="77777777" w:rsidR="00155DC3" w:rsidRPr="003C5743" w:rsidRDefault="00155DC3" w:rsidP="00155DC3">
            <w:pPr>
              <w:spacing w:after="0" w:line="240" w:lineRule="auto"/>
              <w:jc w:val="both"/>
              <w:rPr>
                <w:rFonts w:ascii="Arial" w:eastAsia="Times New Roman" w:hAnsi="Arial" w:cs="Arial"/>
                <w:b/>
              </w:rPr>
            </w:pPr>
            <w:r w:rsidRPr="003C5743">
              <w:rPr>
                <w:rFonts w:ascii="Arial" w:eastAsia="Times New Roman" w:hAnsi="Arial" w:cs="Arial"/>
                <w:b/>
              </w:rPr>
              <w:t>Page Limit</w:t>
            </w:r>
          </w:p>
        </w:tc>
      </w:tr>
      <w:tr w:rsidR="003C5743" w:rsidRPr="003C5743" w14:paraId="0C6BCB15" w14:textId="77777777" w:rsidTr="00860887">
        <w:tc>
          <w:tcPr>
            <w:tcW w:w="1560" w:type="dxa"/>
            <w:shd w:val="clear" w:color="auto" w:fill="auto"/>
          </w:tcPr>
          <w:p w14:paraId="3208D0A1"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Introduction</w:t>
            </w:r>
          </w:p>
        </w:tc>
        <w:tc>
          <w:tcPr>
            <w:tcW w:w="6520" w:type="dxa"/>
            <w:shd w:val="clear" w:color="auto" w:fill="auto"/>
          </w:tcPr>
          <w:p w14:paraId="17388B87"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Executive Summary</w:t>
            </w:r>
          </w:p>
        </w:tc>
        <w:tc>
          <w:tcPr>
            <w:tcW w:w="1418" w:type="dxa"/>
            <w:shd w:val="clear" w:color="auto" w:fill="auto"/>
          </w:tcPr>
          <w:p w14:paraId="6F4D881E"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2 Pages</w:t>
            </w:r>
          </w:p>
        </w:tc>
      </w:tr>
      <w:tr w:rsidR="003C5743" w:rsidRPr="003C5743" w14:paraId="62F91D1F" w14:textId="77777777" w:rsidTr="00860887">
        <w:tc>
          <w:tcPr>
            <w:tcW w:w="1560" w:type="dxa"/>
            <w:shd w:val="clear" w:color="auto" w:fill="auto"/>
          </w:tcPr>
          <w:p w14:paraId="1E5A9290"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w:t>
            </w:r>
            <w:r w:rsidRPr="003C5743" w:rsidDel="00D804E5">
              <w:rPr>
                <w:rFonts w:ascii="Arial" w:eastAsia="Times New Roman" w:hAnsi="Arial" w:cs="Arial"/>
              </w:rPr>
              <w:t xml:space="preserve"> </w:t>
            </w:r>
            <w:r w:rsidRPr="003C5743">
              <w:rPr>
                <w:rFonts w:ascii="Arial" w:eastAsia="Times New Roman" w:hAnsi="Arial" w:cs="Arial"/>
              </w:rPr>
              <w:t>A</w:t>
            </w:r>
          </w:p>
        </w:tc>
        <w:tc>
          <w:tcPr>
            <w:tcW w:w="6520" w:type="dxa"/>
            <w:shd w:val="clear" w:color="auto" w:fill="auto"/>
          </w:tcPr>
          <w:p w14:paraId="13B55F0E"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Project Monitoring and Control Plan (</w:t>
            </w:r>
            <w:proofErr w:type="spellStart"/>
            <w:r w:rsidRPr="003C5743">
              <w:rPr>
                <w:rFonts w:ascii="Arial" w:eastAsia="Times New Roman" w:hAnsi="Arial" w:cs="Arial"/>
              </w:rPr>
              <w:t>Incl</w:t>
            </w:r>
            <w:proofErr w:type="spellEnd"/>
            <w:r w:rsidRPr="003C5743">
              <w:rPr>
                <w:rFonts w:ascii="Arial" w:eastAsia="Times New Roman" w:hAnsi="Arial" w:cs="Arial"/>
              </w:rPr>
              <w:t xml:space="preserve"> a Contract Set Up Plan)</w:t>
            </w:r>
          </w:p>
        </w:tc>
        <w:tc>
          <w:tcPr>
            <w:tcW w:w="1418" w:type="dxa"/>
            <w:shd w:val="clear" w:color="auto" w:fill="auto"/>
          </w:tcPr>
          <w:p w14:paraId="300C4D2A" w14:textId="3F8A600F"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w:t>
            </w:r>
            <w:r w:rsidR="008011E5" w:rsidRPr="003C5743">
              <w:rPr>
                <w:rFonts w:ascii="Arial" w:eastAsia="Times New Roman" w:hAnsi="Arial" w:cs="Arial"/>
              </w:rPr>
              <w:t>5</w:t>
            </w:r>
            <w:r w:rsidRPr="003C5743">
              <w:rPr>
                <w:rFonts w:ascii="Arial" w:eastAsia="Times New Roman" w:hAnsi="Arial" w:cs="Arial"/>
              </w:rPr>
              <w:t xml:space="preserve"> Pages</w:t>
            </w:r>
          </w:p>
        </w:tc>
      </w:tr>
      <w:tr w:rsidR="003C5743" w:rsidRPr="003C5743" w14:paraId="7A47004F" w14:textId="77777777" w:rsidTr="00860887">
        <w:tc>
          <w:tcPr>
            <w:tcW w:w="1560" w:type="dxa"/>
            <w:shd w:val="clear" w:color="auto" w:fill="auto"/>
          </w:tcPr>
          <w:p w14:paraId="09DF1870"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w:t>
            </w:r>
            <w:r w:rsidRPr="003C5743" w:rsidDel="00D804E5">
              <w:rPr>
                <w:rFonts w:ascii="Arial" w:eastAsia="Times New Roman" w:hAnsi="Arial" w:cs="Arial"/>
              </w:rPr>
              <w:t xml:space="preserve"> </w:t>
            </w:r>
            <w:r w:rsidRPr="003C5743">
              <w:rPr>
                <w:rFonts w:ascii="Arial" w:eastAsia="Times New Roman" w:hAnsi="Arial" w:cs="Arial"/>
              </w:rPr>
              <w:t>B</w:t>
            </w:r>
          </w:p>
        </w:tc>
        <w:tc>
          <w:tcPr>
            <w:tcW w:w="6520" w:type="dxa"/>
            <w:shd w:val="clear" w:color="auto" w:fill="auto"/>
          </w:tcPr>
          <w:p w14:paraId="4EB942EC"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Stakeholder Management, Communication and Reporting Plan</w:t>
            </w:r>
          </w:p>
        </w:tc>
        <w:tc>
          <w:tcPr>
            <w:tcW w:w="1418" w:type="dxa"/>
            <w:shd w:val="clear" w:color="auto" w:fill="auto"/>
          </w:tcPr>
          <w:p w14:paraId="34494774"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15 Pages</w:t>
            </w:r>
          </w:p>
        </w:tc>
      </w:tr>
      <w:tr w:rsidR="003C5743" w:rsidRPr="003C5743" w14:paraId="0D5B88AB" w14:textId="77777777" w:rsidTr="00860887">
        <w:tc>
          <w:tcPr>
            <w:tcW w:w="1560" w:type="dxa"/>
            <w:shd w:val="clear" w:color="auto" w:fill="auto"/>
          </w:tcPr>
          <w:p w14:paraId="10E3C85E"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 C</w:t>
            </w:r>
          </w:p>
        </w:tc>
        <w:tc>
          <w:tcPr>
            <w:tcW w:w="6520" w:type="dxa"/>
            <w:shd w:val="clear" w:color="auto" w:fill="auto"/>
          </w:tcPr>
          <w:p w14:paraId="0D8A86C2"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 xml:space="preserve">Earned Value Management Plan </w:t>
            </w:r>
          </w:p>
        </w:tc>
        <w:tc>
          <w:tcPr>
            <w:tcW w:w="1418" w:type="dxa"/>
            <w:shd w:val="clear" w:color="auto" w:fill="auto"/>
          </w:tcPr>
          <w:p w14:paraId="16607454"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10 Pages</w:t>
            </w:r>
          </w:p>
        </w:tc>
      </w:tr>
      <w:tr w:rsidR="003C5743" w:rsidRPr="003C5743" w14:paraId="17A5CC6E" w14:textId="77777777" w:rsidTr="00860887">
        <w:tc>
          <w:tcPr>
            <w:tcW w:w="1560" w:type="dxa"/>
            <w:shd w:val="clear" w:color="auto" w:fill="auto"/>
          </w:tcPr>
          <w:p w14:paraId="0B96CCE9"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 D</w:t>
            </w:r>
          </w:p>
        </w:tc>
        <w:tc>
          <w:tcPr>
            <w:tcW w:w="6520" w:type="dxa"/>
            <w:shd w:val="clear" w:color="auto" w:fill="auto"/>
          </w:tcPr>
          <w:p w14:paraId="333FB061"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Risk Management Plan</w:t>
            </w:r>
          </w:p>
        </w:tc>
        <w:tc>
          <w:tcPr>
            <w:tcW w:w="1418" w:type="dxa"/>
            <w:shd w:val="clear" w:color="auto" w:fill="auto"/>
          </w:tcPr>
          <w:p w14:paraId="2D5E59BF"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8 Pages</w:t>
            </w:r>
          </w:p>
        </w:tc>
      </w:tr>
      <w:tr w:rsidR="003C5743" w:rsidRPr="003C5743" w14:paraId="59D6D131" w14:textId="77777777" w:rsidTr="00860887">
        <w:tc>
          <w:tcPr>
            <w:tcW w:w="1560" w:type="dxa"/>
            <w:shd w:val="clear" w:color="auto" w:fill="auto"/>
          </w:tcPr>
          <w:p w14:paraId="4EA05BD8"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 xml:space="preserve">Annex E </w:t>
            </w:r>
          </w:p>
        </w:tc>
        <w:tc>
          <w:tcPr>
            <w:tcW w:w="6520" w:type="dxa"/>
            <w:shd w:val="clear" w:color="auto" w:fill="auto"/>
          </w:tcPr>
          <w:p w14:paraId="78F05D09"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Quality management Plan</w:t>
            </w:r>
          </w:p>
        </w:tc>
        <w:tc>
          <w:tcPr>
            <w:tcW w:w="1418" w:type="dxa"/>
            <w:shd w:val="clear" w:color="auto" w:fill="auto"/>
          </w:tcPr>
          <w:p w14:paraId="382E0DDE"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10 Pages</w:t>
            </w:r>
          </w:p>
        </w:tc>
      </w:tr>
      <w:tr w:rsidR="003C5743" w:rsidRPr="003C5743" w14:paraId="22C6DBC1" w14:textId="77777777" w:rsidTr="00860887">
        <w:tc>
          <w:tcPr>
            <w:tcW w:w="1560" w:type="dxa"/>
            <w:shd w:val="clear" w:color="auto" w:fill="auto"/>
          </w:tcPr>
          <w:p w14:paraId="212432F3"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 F</w:t>
            </w:r>
          </w:p>
        </w:tc>
        <w:tc>
          <w:tcPr>
            <w:tcW w:w="6520" w:type="dxa"/>
            <w:shd w:val="clear" w:color="auto" w:fill="auto"/>
          </w:tcPr>
          <w:p w14:paraId="04C34835"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Safety and Environmental Management Plan</w:t>
            </w:r>
          </w:p>
        </w:tc>
        <w:tc>
          <w:tcPr>
            <w:tcW w:w="1418" w:type="dxa"/>
            <w:shd w:val="clear" w:color="auto" w:fill="auto"/>
          </w:tcPr>
          <w:p w14:paraId="52B5C802"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10 Pages</w:t>
            </w:r>
          </w:p>
        </w:tc>
      </w:tr>
      <w:tr w:rsidR="003C5743" w:rsidRPr="003C5743" w14:paraId="42F35B05" w14:textId="77777777" w:rsidTr="00860887">
        <w:tc>
          <w:tcPr>
            <w:tcW w:w="1560" w:type="dxa"/>
            <w:shd w:val="clear" w:color="auto" w:fill="auto"/>
          </w:tcPr>
          <w:p w14:paraId="41E94B96"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 G</w:t>
            </w:r>
          </w:p>
        </w:tc>
        <w:tc>
          <w:tcPr>
            <w:tcW w:w="6520" w:type="dxa"/>
            <w:shd w:val="clear" w:color="auto" w:fill="auto"/>
          </w:tcPr>
          <w:p w14:paraId="2E05967B"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Exit Strategy Plan</w:t>
            </w:r>
          </w:p>
        </w:tc>
        <w:tc>
          <w:tcPr>
            <w:tcW w:w="1418" w:type="dxa"/>
            <w:shd w:val="clear" w:color="auto" w:fill="auto"/>
          </w:tcPr>
          <w:p w14:paraId="276AB01F"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8 Pages</w:t>
            </w:r>
          </w:p>
        </w:tc>
      </w:tr>
      <w:tr w:rsidR="003C5743" w:rsidRPr="003C5743" w14:paraId="2AA40209" w14:textId="77777777" w:rsidTr="00860887">
        <w:tc>
          <w:tcPr>
            <w:tcW w:w="1560" w:type="dxa"/>
            <w:shd w:val="clear" w:color="auto" w:fill="auto"/>
          </w:tcPr>
          <w:p w14:paraId="0CF7ACC8"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lastRenderedPageBreak/>
              <w:t>Annex H</w:t>
            </w:r>
          </w:p>
        </w:tc>
        <w:tc>
          <w:tcPr>
            <w:tcW w:w="6520" w:type="dxa"/>
            <w:shd w:val="clear" w:color="auto" w:fill="auto"/>
          </w:tcPr>
          <w:p w14:paraId="14AC1F98"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Security Management</w:t>
            </w:r>
          </w:p>
        </w:tc>
        <w:tc>
          <w:tcPr>
            <w:tcW w:w="1418" w:type="dxa"/>
            <w:shd w:val="clear" w:color="auto" w:fill="auto"/>
          </w:tcPr>
          <w:p w14:paraId="2A44C0C5"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10 pages</w:t>
            </w:r>
          </w:p>
        </w:tc>
      </w:tr>
      <w:tr w:rsidR="003C5743" w:rsidRPr="003C5743" w14:paraId="33ADE1D4" w14:textId="77777777" w:rsidTr="00860887">
        <w:tc>
          <w:tcPr>
            <w:tcW w:w="1560" w:type="dxa"/>
            <w:shd w:val="clear" w:color="auto" w:fill="auto"/>
          </w:tcPr>
          <w:p w14:paraId="70EEDD25"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 I</w:t>
            </w:r>
          </w:p>
        </w:tc>
        <w:tc>
          <w:tcPr>
            <w:tcW w:w="6520" w:type="dxa"/>
            <w:shd w:val="clear" w:color="auto" w:fill="auto"/>
          </w:tcPr>
          <w:p w14:paraId="16A6D865"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Test, Evaluation &amp; Acceptance Plan</w:t>
            </w:r>
          </w:p>
        </w:tc>
        <w:tc>
          <w:tcPr>
            <w:tcW w:w="1418" w:type="dxa"/>
            <w:shd w:val="clear" w:color="auto" w:fill="auto"/>
          </w:tcPr>
          <w:p w14:paraId="19C84939"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15 Pages</w:t>
            </w:r>
          </w:p>
        </w:tc>
      </w:tr>
      <w:tr w:rsidR="003C5743" w:rsidRPr="003C5743" w14:paraId="3710A710" w14:textId="77777777" w:rsidTr="00860887">
        <w:tc>
          <w:tcPr>
            <w:tcW w:w="1560" w:type="dxa"/>
            <w:shd w:val="clear" w:color="auto" w:fill="auto"/>
          </w:tcPr>
          <w:p w14:paraId="30BD5EDA"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Annex J</w:t>
            </w:r>
          </w:p>
        </w:tc>
        <w:tc>
          <w:tcPr>
            <w:tcW w:w="6520" w:type="dxa"/>
            <w:shd w:val="clear" w:color="auto" w:fill="auto"/>
          </w:tcPr>
          <w:p w14:paraId="6BECAD0E" w14:textId="4B2C830F" w:rsidR="00155DC3" w:rsidRPr="003C5743" w:rsidRDefault="008267B0" w:rsidP="00AB48AA">
            <w:pPr>
              <w:pStyle w:val="paragraph"/>
              <w:textAlignment w:val="baseline"/>
              <w:rPr>
                <w:bCs/>
                <w:lang w:val="en-US"/>
              </w:rPr>
            </w:pPr>
            <w:r w:rsidRPr="003C5743">
              <w:rPr>
                <w:rStyle w:val="normaltextrun1"/>
                <w:rFonts w:ascii="Arial" w:hAnsi="Arial" w:cs="Arial"/>
                <w:bCs/>
                <w:sz w:val="22"/>
                <w:szCs w:val="22"/>
              </w:rPr>
              <w:t xml:space="preserve">Through Life Capability </w:t>
            </w:r>
            <w:proofErr w:type="spellStart"/>
            <w:r w:rsidRPr="003C5743">
              <w:rPr>
                <w:rStyle w:val="spellingerror"/>
                <w:rFonts w:ascii="Arial" w:hAnsi="Arial" w:cs="Arial"/>
                <w:bCs/>
                <w:sz w:val="22"/>
                <w:szCs w:val="22"/>
              </w:rPr>
              <w:t>Maintainment</w:t>
            </w:r>
            <w:proofErr w:type="spellEnd"/>
            <w:r w:rsidRPr="003C5743">
              <w:rPr>
                <w:rStyle w:val="normaltextrun1"/>
                <w:rFonts w:ascii="Arial" w:hAnsi="Arial" w:cs="Arial"/>
                <w:bCs/>
                <w:sz w:val="22"/>
                <w:szCs w:val="22"/>
              </w:rPr>
              <w:t xml:space="preserve"> Strategy</w:t>
            </w:r>
            <w:r w:rsidRPr="003C5743">
              <w:rPr>
                <w:rStyle w:val="eop"/>
                <w:rFonts w:ascii="Arial" w:hAnsi="Arial" w:cs="Arial"/>
                <w:bCs/>
                <w:sz w:val="22"/>
                <w:szCs w:val="22"/>
                <w:lang w:val="en-US"/>
              </w:rPr>
              <w:t> </w:t>
            </w:r>
          </w:p>
        </w:tc>
        <w:tc>
          <w:tcPr>
            <w:tcW w:w="1418" w:type="dxa"/>
            <w:shd w:val="clear" w:color="auto" w:fill="auto"/>
          </w:tcPr>
          <w:p w14:paraId="71B7E672" w14:textId="77777777" w:rsidR="00155DC3" w:rsidRPr="003C5743" w:rsidRDefault="00155DC3" w:rsidP="00155DC3">
            <w:pPr>
              <w:spacing w:after="0" w:line="240" w:lineRule="auto"/>
              <w:jc w:val="both"/>
              <w:rPr>
                <w:rFonts w:ascii="Arial" w:eastAsia="Times New Roman" w:hAnsi="Arial" w:cs="Arial"/>
              </w:rPr>
            </w:pPr>
            <w:r w:rsidRPr="003C5743">
              <w:rPr>
                <w:rFonts w:ascii="Arial" w:eastAsia="Times New Roman" w:hAnsi="Arial" w:cs="Arial"/>
              </w:rPr>
              <w:t>25 Pages</w:t>
            </w:r>
          </w:p>
        </w:tc>
      </w:tr>
      <w:tr w:rsidR="003C5743" w:rsidRPr="003C5743" w14:paraId="493DF26A" w14:textId="77777777" w:rsidTr="00860887">
        <w:tc>
          <w:tcPr>
            <w:tcW w:w="1560" w:type="dxa"/>
            <w:shd w:val="clear" w:color="auto" w:fill="auto"/>
          </w:tcPr>
          <w:p w14:paraId="6C505357" w14:textId="77777777" w:rsidR="00155DC3" w:rsidRPr="003C5743" w:rsidRDefault="00155DC3" w:rsidP="00155DC3">
            <w:pPr>
              <w:spacing w:after="0" w:line="240" w:lineRule="auto"/>
              <w:jc w:val="both"/>
              <w:rPr>
                <w:rFonts w:ascii="Arial" w:eastAsia="Times New Roman" w:hAnsi="Arial" w:cs="Arial"/>
                <w:b/>
              </w:rPr>
            </w:pPr>
            <w:r w:rsidRPr="003C5743">
              <w:rPr>
                <w:rFonts w:ascii="Arial" w:eastAsia="Times New Roman" w:hAnsi="Arial" w:cs="Arial"/>
                <w:b/>
              </w:rPr>
              <w:t>Total</w:t>
            </w:r>
          </w:p>
        </w:tc>
        <w:tc>
          <w:tcPr>
            <w:tcW w:w="6520" w:type="dxa"/>
            <w:shd w:val="clear" w:color="auto" w:fill="auto"/>
          </w:tcPr>
          <w:p w14:paraId="609A2CAF" w14:textId="77777777" w:rsidR="00155DC3" w:rsidRPr="003C5743" w:rsidRDefault="00155DC3" w:rsidP="00155DC3">
            <w:pPr>
              <w:spacing w:after="0" w:line="240" w:lineRule="auto"/>
              <w:jc w:val="both"/>
              <w:rPr>
                <w:rFonts w:ascii="Arial" w:eastAsia="Times New Roman" w:hAnsi="Arial" w:cs="Arial"/>
              </w:rPr>
            </w:pPr>
          </w:p>
        </w:tc>
        <w:tc>
          <w:tcPr>
            <w:tcW w:w="1418" w:type="dxa"/>
            <w:shd w:val="clear" w:color="auto" w:fill="auto"/>
          </w:tcPr>
          <w:p w14:paraId="15B12DFD" w14:textId="575F51A0" w:rsidR="00155DC3" w:rsidRPr="003C5743" w:rsidRDefault="00155DC3" w:rsidP="00155DC3">
            <w:pPr>
              <w:spacing w:after="0" w:line="240" w:lineRule="auto"/>
              <w:jc w:val="both"/>
              <w:rPr>
                <w:rFonts w:ascii="Arial" w:eastAsia="Times New Roman" w:hAnsi="Arial" w:cs="Arial"/>
                <w:b/>
                <w:highlight w:val="yellow"/>
              </w:rPr>
            </w:pPr>
            <w:r w:rsidRPr="003C5743">
              <w:rPr>
                <w:rFonts w:ascii="Arial" w:eastAsia="Times New Roman" w:hAnsi="Arial" w:cs="Arial"/>
                <w:b/>
              </w:rPr>
              <w:t>1</w:t>
            </w:r>
            <w:r w:rsidR="008011E5" w:rsidRPr="003C5743">
              <w:rPr>
                <w:rFonts w:ascii="Arial" w:eastAsia="Times New Roman" w:hAnsi="Arial" w:cs="Arial"/>
                <w:b/>
              </w:rPr>
              <w:t>28</w:t>
            </w:r>
            <w:r w:rsidRPr="003C5743">
              <w:rPr>
                <w:rFonts w:ascii="Arial" w:eastAsia="Times New Roman" w:hAnsi="Arial" w:cs="Arial"/>
                <w:b/>
              </w:rPr>
              <w:t xml:space="preserve"> Pages</w:t>
            </w:r>
          </w:p>
        </w:tc>
      </w:tr>
    </w:tbl>
    <w:p w14:paraId="04AB2B67" w14:textId="669BC0E1" w:rsidR="00155DC3" w:rsidRPr="003C5743" w:rsidRDefault="00155DC3" w:rsidP="0025464D">
      <w:pPr>
        <w:tabs>
          <w:tab w:val="left" w:pos="0"/>
          <w:tab w:val="left" w:pos="567"/>
        </w:tabs>
        <w:spacing w:after="0" w:line="240" w:lineRule="auto"/>
        <w:rPr>
          <w:rFonts w:ascii="Arial" w:eastAsia="Times New Roman" w:hAnsi="Arial" w:cs="Arial"/>
          <w:u w:val="single"/>
        </w:rPr>
      </w:pPr>
    </w:p>
    <w:p w14:paraId="35B7D63D" w14:textId="77777777" w:rsidR="002D5644" w:rsidRPr="003C5743" w:rsidRDefault="002D5644" w:rsidP="0063537B">
      <w:pPr>
        <w:spacing w:after="200" w:line="276" w:lineRule="auto"/>
        <w:contextualSpacing/>
        <w:jc w:val="both"/>
        <w:rPr>
          <w:rFonts w:ascii="Calibri" w:eastAsia="Times New Roman" w:hAnsi="Calibri" w:cs="Times New Roman"/>
          <w:lang w:eastAsia="en-GB"/>
        </w:rPr>
      </w:pPr>
    </w:p>
    <w:p w14:paraId="2A19A4DC" w14:textId="54B93436" w:rsidR="00155DC3" w:rsidRPr="003C5743" w:rsidRDefault="00155DC3" w:rsidP="00155DC3">
      <w:pPr>
        <w:spacing w:after="0" w:line="240" w:lineRule="auto"/>
        <w:ind w:left="720" w:hanging="720"/>
        <w:rPr>
          <w:rFonts w:ascii="Arial" w:eastAsia="Times New Roman" w:hAnsi="Arial" w:cs="Arial"/>
          <w:b/>
          <w:bCs/>
          <w:u w:val="single"/>
          <w:lang w:eastAsia="en-GB"/>
        </w:rPr>
      </w:pPr>
      <w:r w:rsidRPr="003C5743">
        <w:rPr>
          <w:rFonts w:ascii="Arial" w:eastAsia="Times New Roman" w:hAnsi="Arial" w:cs="Arial"/>
          <w:b/>
          <w:bCs/>
          <w:u w:val="single"/>
          <w:lang w:eastAsia="en-GB"/>
        </w:rPr>
        <w:t xml:space="preserve">Stage </w:t>
      </w:r>
      <w:r w:rsidR="005B5A9F">
        <w:rPr>
          <w:rFonts w:ascii="Arial" w:eastAsia="Times New Roman" w:hAnsi="Arial" w:cs="Arial"/>
          <w:b/>
          <w:bCs/>
          <w:u w:val="single"/>
          <w:lang w:eastAsia="en-GB"/>
        </w:rPr>
        <w:t>5</w:t>
      </w:r>
      <w:r w:rsidRPr="003C5743">
        <w:rPr>
          <w:rFonts w:ascii="Arial" w:eastAsia="Times New Roman" w:hAnsi="Arial" w:cs="Arial"/>
          <w:b/>
          <w:bCs/>
          <w:u w:val="single"/>
          <w:lang w:eastAsia="en-GB"/>
        </w:rPr>
        <w:t xml:space="preserve"> – Clarification</w:t>
      </w:r>
      <w:r w:rsidR="00F121EE" w:rsidRPr="003C5743">
        <w:rPr>
          <w:rFonts w:ascii="Arial" w:eastAsia="Times New Roman" w:hAnsi="Arial" w:cs="Arial"/>
          <w:b/>
          <w:bCs/>
          <w:u w:val="single"/>
          <w:lang w:eastAsia="en-GB"/>
        </w:rPr>
        <w:t xml:space="preserve"> Questions</w:t>
      </w:r>
      <w:r w:rsidRPr="003C5743">
        <w:rPr>
          <w:rFonts w:ascii="Arial" w:eastAsia="Times New Roman" w:hAnsi="Arial" w:cs="Arial"/>
          <w:b/>
          <w:bCs/>
          <w:u w:val="single"/>
          <w:lang w:eastAsia="en-GB"/>
        </w:rPr>
        <w:t xml:space="preserve"> and Face to Face Clarification Meetings</w:t>
      </w:r>
    </w:p>
    <w:p w14:paraId="34D656A0" w14:textId="77777777" w:rsidR="00155DC3" w:rsidRPr="003C5743" w:rsidRDefault="00155DC3" w:rsidP="00155DC3">
      <w:pPr>
        <w:tabs>
          <w:tab w:val="left" w:pos="0"/>
          <w:tab w:val="left" w:pos="567"/>
        </w:tabs>
        <w:spacing w:after="0" w:line="240" w:lineRule="auto"/>
        <w:rPr>
          <w:rFonts w:ascii="Arial" w:eastAsia="Times New Roman" w:hAnsi="Arial" w:cs="Arial"/>
          <w:lang w:eastAsia="en-GB"/>
        </w:rPr>
      </w:pPr>
    </w:p>
    <w:p w14:paraId="1DC615A3" w14:textId="0DB9DB00"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Once each </w:t>
      </w:r>
      <w:r w:rsidR="001530E3" w:rsidRPr="003C5743">
        <w:rPr>
          <w:rFonts w:ascii="Arial" w:eastAsia="Times New Roman" w:hAnsi="Arial" w:cs="Arial"/>
        </w:rPr>
        <w:t>T</w:t>
      </w:r>
      <w:r w:rsidRPr="003C5743">
        <w:rPr>
          <w:rFonts w:ascii="Arial" w:eastAsia="Times New Roman" w:hAnsi="Arial" w:cs="Arial"/>
        </w:rPr>
        <w:t xml:space="preserve">ender has been evaluated in accordance with Stages 1, 2, </w:t>
      </w:r>
      <w:r w:rsidR="00F9544B" w:rsidRPr="003C5743">
        <w:rPr>
          <w:rFonts w:ascii="Arial" w:eastAsia="Times New Roman" w:hAnsi="Arial" w:cs="Arial"/>
        </w:rPr>
        <w:t>3</w:t>
      </w:r>
      <w:r w:rsidR="005B5A9F">
        <w:rPr>
          <w:rFonts w:ascii="Arial" w:eastAsia="Times New Roman" w:hAnsi="Arial" w:cs="Arial"/>
        </w:rPr>
        <w:t xml:space="preserve"> and</w:t>
      </w:r>
      <w:r w:rsidR="00F9544B" w:rsidRPr="003C5743">
        <w:rPr>
          <w:rFonts w:ascii="Arial" w:eastAsia="Times New Roman" w:hAnsi="Arial" w:cs="Arial"/>
        </w:rPr>
        <w:t xml:space="preserve"> 4</w:t>
      </w:r>
      <w:r w:rsidRPr="003C5743">
        <w:rPr>
          <w:rFonts w:ascii="Arial" w:eastAsia="Times New Roman" w:hAnsi="Arial" w:cs="Arial"/>
        </w:rPr>
        <w:t xml:space="preserve"> any items requiring clarification will be raised as </w:t>
      </w:r>
      <w:r w:rsidR="006734C9" w:rsidRPr="003C5743">
        <w:rPr>
          <w:rFonts w:ascii="Arial" w:eastAsia="Times New Roman" w:hAnsi="Arial" w:cs="Arial"/>
        </w:rPr>
        <w:t>Authority</w:t>
      </w:r>
      <w:r w:rsidRPr="003C5743">
        <w:rPr>
          <w:rFonts w:ascii="Arial" w:eastAsia="Times New Roman" w:hAnsi="Arial" w:cs="Arial"/>
        </w:rPr>
        <w:t xml:space="preserve"> Clarification Questions </w:t>
      </w:r>
      <w:r w:rsidR="00A446BD" w:rsidRPr="003C5743">
        <w:rPr>
          <w:rFonts w:ascii="Arial" w:eastAsia="Times New Roman" w:hAnsi="Arial" w:cs="Arial"/>
        </w:rPr>
        <w:t xml:space="preserve">Post </w:t>
      </w:r>
      <w:r w:rsidR="00F408F3" w:rsidRPr="003C5743">
        <w:rPr>
          <w:rFonts w:ascii="Arial" w:eastAsia="Times New Roman" w:hAnsi="Arial" w:cs="Arial"/>
        </w:rPr>
        <w:t>Tender Return (ACQPT</w:t>
      </w:r>
      <w:r w:rsidR="0029667A" w:rsidRPr="003C5743">
        <w:rPr>
          <w:rFonts w:ascii="Arial" w:eastAsia="Times New Roman" w:hAnsi="Arial" w:cs="Arial"/>
        </w:rPr>
        <w:t>R</w:t>
      </w:r>
      <w:r w:rsidRPr="003C5743">
        <w:rPr>
          <w:rFonts w:ascii="Arial" w:eastAsia="Times New Roman" w:hAnsi="Arial" w:cs="Arial"/>
        </w:rPr>
        <w:t xml:space="preserve">), which will be forwarded to the Tenderer for a response to be submitted in their up-issue of documentation as detailed at Stage </w:t>
      </w:r>
      <w:r w:rsidR="005B5A9F">
        <w:rPr>
          <w:rFonts w:ascii="Arial" w:eastAsia="Times New Roman" w:hAnsi="Arial" w:cs="Arial"/>
        </w:rPr>
        <w:t>6</w:t>
      </w:r>
      <w:r w:rsidRPr="003C5743">
        <w:rPr>
          <w:rFonts w:ascii="Arial" w:eastAsia="Times New Roman" w:hAnsi="Arial" w:cs="Arial"/>
        </w:rPr>
        <w:t xml:space="preserve"> below.  The Authority reserves the right to hold more than one round of Tender Clarification Questions.  </w:t>
      </w:r>
    </w:p>
    <w:p w14:paraId="5338DC11" w14:textId="536081ED"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At the end of the </w:t>
      </w:r>
      <w:r w:rsidR="0029667A" w:rsidRPr="003C5743">
        <w:rPr>
          <w:rFonts w:ascii="Arial" w:eastAsia="Times New Roman" w:hAnsi="Arial" w:cs="Arial"/>
        </w:rPr>
        <w:t>ACQPTR</w:t>
      </w:r>
      <w:r w:rsidRPr="003C5743">
        <w:rPr>
          <w:rFonts w:ascii="Arial" w:eastAsia="Times New Roman" w:hAnsi="Arial" w:cs="Arial"/>
        </w:rPr>
        <w:t xml:space="preserve"> Response Period the Authority shall hold face to face clarification meetings with each Tenderer at a location determined by the Authority. The intention of the face to face meetings </w:t>
      </w:r>
      <w:r w:rsidR="00472AF1" w:rsidRPr="003C5743">
        <w:rPr>
          <w:rFonts w:ascii="Arial" w:eastAsia="Times New Roman" w:hAnsi="Arial" w:cs="Arial"/>
        </w:rPr>
        <w:t>is</w:t>
      </w:r>
      <w:r w:rsidRPr="003C5743">
        <w:rPr>
          <w:rFonts w:ascii="Arial" w:eastAsia="Times New Roman" w:hAnsi="Arial" w:cs="Arial"/>
        </w:rPr>
        <w:t xml:space="preserve"> to discuss Tenderers’ proposals and </w:t>
      </w:r>
      <w:r w:rsidR="0029667A" w:rsidRPr="003C5743">
        <w:rPr>
          <w:rFonts w:ascii="Arial" w:eastAsia="Times New Roman" w:hAnsi="Arial" w:cs="Arial"/>
        </w:rPr>
        <w:t>ACQPTR</w:t>
      </w:r>
      <w:r w:rsidRPr="003C5743">
        <w:rPr>
          <w:rFonts w:ascii="Arial" w:eastAsia="Times New Roman" w:hAnsi="Arial" w:cs="Arial"/>
        </w:rPr>
        <w:t xml:space="preserve"> responses. The face to face meetings will be Tenderers final opportunity to engage with the Authority prior to up-issue of documentation. The Authority reserves the right to hold more than one Clarification meeting and to raise further questions at the Clarification meeting(s). </w:t>
      </w:r>
    </w:p>
    <w:p w14:paraId="475F4773" w14:textId="77777777" w:rsidR="00155DC3" w:rsidRPr="003C5743" w:rsidRDefault="00155DC3" w:rsidP="00155DC3">
      <w:pPr>
        <w:spacing w:after="0" w:line="240" w:lineRule="auto"/>
        <w:ind w:left="360"/>
        <w:rPr>
          <w:rFonts w:ascii="Arial" w:eastAsia="Times New Roman" w:hAnsi="Arial" w:cs="Arial"/>
        </w:rPr>
      </w:pPr>
    </w:p>
    <w:p w14:paraId="2D44E75D" w14:textId="196AA565" w:rsidR="00155DC3" w:rsidRPr="003C5743" w:rsidRDefault="00155DC3" w:rsidP="00155DC3">
      <w:pPr>
        <w:spacing w:after="0" w:line="240" w:lineRule="auto"/>
        <w:rPr>
          <w:rFonts w:ascii="Arial" w:eastAsia="Times New Roman" w:hAnsi="Arial" w:cs="Arial"/>
          <w:b/>
          <w:bCs/>
          <w:u w:val="single"/>
          <w:lang w:eastAsia="en-GB"/>
        </w:rPr>
      </w:pPr>
      <w:r w:rsidRPr="003C5743">
        <w:rPr>
          <w:rFonts w:ascii="Arial" w:eastAsia="Times New Roman" w:hAnsi="Arial" w:cs="Arial"/>
          <w:b/>
          <w:bCs/>
          <w:u w:val="single"/>
          <w:lang w:eastAsia="en-GB"/>
        </w:rPr>
        <w:t xml:space="preserve">Stage </w:t>
      </w:r>
      <w:r w:rsidR="005B5A9F">
        <w:rPr>
          <w:rFonts w:ascii="Arial" w:eastAsia="Times New Roman" w:hAnsi="Arial" w:cs="Arial"/>
          <w:b/>
          <w:bCs/>
          <w:u w:val="single"/>
          <w:lang w:eastAsia="en-GB"/>
        </w:rPr>
        <w:t>6</w:t>
      </w:r>
      <w:r w:rsidRPr="003C5743">
        <w:rPr>
          <w:rFonts w:ascii="Arial" w:eastAsia="Times New Roman" w:hAnsi="Arial" w:cs="Arial"/>
          <w:b/>
          <w:bCs/>
          <w:u w:val="single"/>
          <w:lang w:eastAsia="en-GB"/>
        </w:rPr>
        <w:t xml:space="preserve"> – Up-issue of Documentation</w:t>
      </w:r>
    </w:p>
    <w:p w14:paraId="476C936E" w14:textId="77777777" w:rsidR="00155DC3" w:rsidRPr="003C5743" w:rsidRDefault="00155DC3" w:rsidP="00155DC3">
      <w:pPr>
        <w:spacing w:after="0" w:line="240" w:lineRule="auto"/>
        <w:rPr>
          <w:rFonts w:ascii="Arial" w:eastAsia="Times New Roman" w:hAnsi="Arial" w:cs="Arial"/>
          <w:b/>
          <w:lang w:eastAsia="en-GB"/>
        </w:rPr>
      </w:pPr>
    </w:p>
    <w:p w14:paraId="2B60C917" w14:textId="329CA2FF"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Following the completion of Stage </w:t>
      </w:r>
      <w:r w:rsidR="005B5A9F">
        <w:rPr>
          <w:rFonts w:ascii="Arial" w:eastAsia="Times New Roman" w:hAnsi="Arial" w:cs="Arial"/>
        </w:rPr>
        <w:t>5</w:t>
      </w:r>
      <w:r w:rsidR="00791A0D" w:rsidRPr="003C5743">
        <w:rPr>
          <w:rFonts w:ascii="Arial" w:eastAsia="Times New Roman" w:hAnsi="Arial" w:cs="Arial"/>
        </w:rPr>
        <w:t>,</w:t>
      </w:r>
      <w:r w:rsidRPr="003C5743">
        <w:rPr>
          <w:rFonts w:ascii="Arial" w:eastAsia="Times New Roman" w:hAnsi="Arial" w:cs="Arial"/>
        </w:rPr>
        <w:t xml:space="preserve"> Tenderers will be invited by the Authority to submit a revised Tender</w:t>
      </w:r>
      <w:r w:rsidR="00D6088C" w:rsidRPr="003C5743">
        <w:rPr>
          <w:rFonts w:ascii="Arial" w:eastAsia="Times New Roman" w:hAnsi="Arial" w:cs="Arial"/>
        </w:rPr>
        <w:t xml:space="preserve"> (</w:t>
      </w:r>
      <w:r w:rsidR="00B25C23" w:rsidRPr="003C5743">
        <w:rPr>
          <w:rFonts w:ascii="Arial" w:eastAsia="Times New Roman" w:hAnsi="Arial" w:cs="Arial"/>
        </w:rPr>
        <w:t>excluding DEFFORM 47 Annex D – Pricing and Rates)</w:t>
      </w:r>
      <w:r w:rsidR="79BFDA3E" w:rsidRPr="003C5743">
        <w:rPr>
          <w:rFonts w:ascii="Arial" w:eastAsia="Times New Roman" w:hAnsi="Arial" w:cs="Arial"/>
        </w:rPr>
        <w:t>.</w:t>
      </w:r>
      <w:r w:rsidRPr="003C5743">
        <w:rPr>
          <w:rFonts w:ascii="Arial" w:eastAsia="Times New Roman" w:hAnsi="Arial" w:cs="Arial"/>
        </w:rPr>
        <w:t xml:space="preserve"> </w:t>
      </w:r>
    </w:p>
    <w:p w14:paraId="3B0F40F0" w14:textId="17B98203"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A revised Tender will be a submission that reflects elements of the Tender that have been </w:t>
      </w:r>
      <w:r w:rsidR="79BFDA3E" w:rsidRPr="003C5743">
        <w:rPr>
          <w:rFonts w:ascii="Arial" w:eastAsia="Times New Roman" w:hAnsi="Arial" w:cs="Arial"/>
        </w:rPr>
        <w:t>a</w:t>
      </w:r>
      <w:r w:rsidR="003F61D1" w:rsidRPr="003C5743">
        <w:rPr>
          <w:rFonts w:ascii="Arial" w:eastAsia="Times New Roman" w:hAnsi="Arial" w:cs="Arial"/>
        </w:rPr>
        <w:t>mended</w:t>
      </w:r>
      <w:r w:rsidRPr="003C5743">
        <w:rPr>
          <w:rFonts w:ascii="Arial" w:eastAsia="Times New Roman" w:hAnsi="Arial" w:cs="Arial"/>
        </w:rPr>
        <w:t xml:space="preserve"> as a result of Stage </w:t>
      </w:r>
      <w:r w:rsidR="005B5A9F">
        <w:rPr>
          <w:rFonts w:ascii="Arial" w:eastAsia="Times New Roman" w:hAnsi="Arial" w:cs="Arial"/>
        </w:rPr>
        <w:t>5</w:t>
      </w:r>
      <w:r w:rsidRPr="003C5743">
        <w:rPr>
          <w:rFonts w:ascii="Arial" w:eastAsia="Times New Roman" w:hAnsi="Arial" w:cs="Arial"/>
        </w:rPr>
        <w:t xml:space="preserve">. Changes made by a Tenderer will only be accepted for those elements or associated documentation for which </w:t>
      </w:r>
      <w:r w:rsidR="79BFDA3E" w:rsidRPr="003C5743">
        <w:rPr>
          <w:rFonts w:ascii="Arial" w:eastAsia="Times New Roman" w:hAnsi="Arial" w:cs="Arial"/>
        </w:rPr>
        <w:t>a</w:t>
      </w:r>
      <w:r w:rsidR="003A6DBD" w:rsidRPr="003C5743">
        <w:rPr>
          <w:rFonts w:ascii="Arial" w:eastAsia="Times New Roman" w:hAnsi="Arial" w:cs="Arial"/>
        </w:rPr>
        <w:t>n</w:t>
      </w:r>
      <w:r w:rsidR="79BFDA3E" w:rsidRPr="003C5743">
        <w:rPr>
          <w:rFonts w:ascii="Arial" w:eastAsia="Times New Roman" w:hAnsi="Arial" w:cs="Arial"/>
        </w:rPr>
        <w:t xml:space="preserve"> </w:t>
      </w:r>
      <w:r w:rsidR="00C228AC" w:rsidRPr="003C5743">
        <w:rPr>
          <w:rFonts w:ascii="Arial" w:eastAsia="Times New Roman" w:hAnsi="Arial" w:cs="Arial"/>
        </w:rPr>
        <w:t>A</w:t>
      </w:r>
      <w:r w:rsidR="79BFDA3E" w:rsidRPr="003C5743">
        <w:rPr>
          <w:rFonts w:ascii="Arial" w:eastAsia="Times New Roman" w:hAnsi="Arial" w:cs="Arial"/>
        </w:rPr>
        <w:t>CQ</w:t>
      </w:r>
      <w:r w:rsidR="00C228AC" w:rsidRPr="003C5743">
        <w:rPr>
          <w:rFonts w:ascii="Arial" w:eastAsia="Times New Roman" w:hAnsi="Arial" w:cs="Arial"/>
        </w:rPr>
        <w:t>PTR</w:t>
      </w:r>
      <w:r w:rsidRPr="003C5743">
        <w:rPr>
          <w:rFonts w:ascii="Arial" w:eastAsia="Times New Roman" w:hAnsi="Arial" w:cs="Arial"/>
        </w:rPr>
        <w:t xml:space="preserve"> has been issued by the Authority. At this Stage changes shall be</w:t>
      </w:r>
      <w:r w:rsidR="00FC73A1" w:rsidRPr="003C5743">
        <w:rPr>
          <w:rFonts w:ascii="Arial" w:eastAsia="Times New Roman" w:hAnsi="Arial" w:cs="Arial"/>
        </w:rPr>
        <w:t xml:space="preserve"> limited </w:t>
      </w:r>
      <w:r w:rsidR="00506370" w:rsidRPr="003C5743">
        <w:rPr>
          <w:rFonts w:ascii="Arial" w:eastAsia="Times New Roman" w:hAnsi="Arial" w:cs="Arial"/>
        </w:rPr>
        <w:t>to</w:t>
      </w:r>
      <w:r w:rsidR="00FC73A1" w:rsidRPr="003C5743">
        <w:rPr>
          <w:rFonts w:ascii="Arial" w:eastAsia="Times New Roman" w:hAnsi="Arial" w:cs="Arial"/>
        </w:rPr>
        <w:t xml:space="preserve"> </w:t>
      </w:r>
      <w:r w:rsidRPr="003C5743">
        <w:rPr>
          <w:rFonts w:ascii="Arial" w:eastAsia="Times New Roman" w:hAnsi="Arial" w:cs="Arial"/>
        </w:rPr>
        <w:t>Tenderers Commercial, Technical</w:t>
      </w:r>
      <w:r w:rsidR="00B73E1A" w:rsidRPr="003C5743">
        <w:rPr>
          <w:rFonts w:ascii="Arial" w:eastAsia="Times New Roman" w:hAnsi="Arial" w:cs="Arial"/>
        </w:rPr>
        <w:t>, Supportability</w:t>
      </w:r>
      <w:r w:rsidRPr="003C5743">
        <w:rPr>
          <w:rFonts w:ascii="Arial" w:eastAsia="Times New Roman" w:hAnsi="Arial" w:cs="Arial"/>
        </w:rPr>
        <w:t xml:space="preserve"> and/or </w:t>
      </w:r>
      <w:r w:rsidR="00366E5C" w:rsidRPr="003C5743">
        <w:rPr>
          <w:rFonts w:ascii="Arial" w:eastAsia="Times New Roman" w:hAnsi="Arial" w:cs="Arial"/>
        </w:rPr>
        <w:t xml:space="preserve">Contractor Master </w:t>
      </w:r>
      <w:r w:rsidRPr="003C5743">
        <w:rPr>
          <w:rFonts w:ascii="Arial" w:eastAsia="Times New Roman" w:hAnsi="Arial" w:cs="Arial"/>
        </w:rPr>
        <w:t>Schedule</w:t>
      </w:r>
      <w:r w:rsidR="00366E5C" w:rsidRPr="003C5743">
        <w:rPr>
          <w:rFonts w:ascii="Arial" w:eastAsia="Times New Roman" w:hAnsi="Arial" w:cs="Arial"/>
        </w:rPr>
        <w:t>.</w:t>
      </w:r>
      <w:r w:rsidRPr="003C5743">
        <w:rPr>
          <w:rFonts w:ascii="Arial" w:eastAsia="Times New Roman" w:hAnsi="Arial" w:cs="Arial"/>
        </w:rPr>
        <w:t xml:space="preserve"> </w:t>
      </w:r>
      <w:r w:rsidR="00BC7371" w:rsidRPr="003C5743">
        <w:rPr>
          <w:rFonts w:ascii="Arial" w:eastAsia="Times New Roman" w:hAnsi="Arial" w:cs="Arial"/>
        </w:rPr>
        <w:t>Best and Final Offer (</w:t>
      </w:r>
      <w:r w:rsidRPr="003C5743">
        <w:rPr>
          <w:rFonts w:ascii="Arial" w:eastAsia="Times New Roman" w:hAnsi="Arial" w:cs="Arial"/>
        </w:rPr>
        <w:t>BAFO</w:t>
      </w:r>
      <w:r w:rsidR="00BC7371" w:rsidRPr="003C5743">
        <w:rPr>
          <w:rFonts w:ascii="Arial" w:eastAsia="Times New Roman" w:hAnsi="Arial" w:cs="Arial"/>
        </w:rPr>
        <w:t>)</w:t>
      </w:r>
      <w:r w:rsidRPr="003C5743">
        <w:rPr>
          <w:rFonts w:ascii="Arial" w:eastAsia="Times New Roman" w:hAnsi="Arial" w:cs="Arial"/>
        </w:rPr>
        <w:t xml:space="preserve"> changes to Price will be addressed at Stage </w:t>
      </w:r>
      <w:r w:rsidR="00E24326">
        <w:rPr>
          <w:rFonts w:ascii="Arial" w:eastAsia="Times New Roman" w:hAnsi="Arial" w:cs="Arial"/>
        </w:rPr>
        <w:t>8</w:t>
      </w:r>
      <w:r w:rsidRPr="003C5743">
        <w:rPr>
          <w:rFonts w:ascii="Arial" w:eastAsia="Times New Roman" w:hAnsi="Arial" w:cs="Arial"/>
        </w:rPr>
        <w:t xml:space="preserve"> and shall not be considered at this Stage. The revised Tender must remain within the page count limits outlined at section C3 of this DEFFORM 47.</w:t>
      </w:r>
      <w:r w:rsidR="00064774" w:rsidRPr="003C5743">
        <w:rPr>
          <w:rFonts w:ascii="Arial" w:eastAsia="Times New Roman" w:hAnsi="Arial" w:cs="Arial"/>
        </w:rPr>
        <w:t xml:space="preserve">  </w:t>
      </w:r>
    </w:p>
    <w:p w14:paraId="533AF8E6" w14:textId="76C3E59F"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Tenderers must identify by way of mark up, all elements from their original Tendered proposal which have changed as a result of Stage </w:t>
      </w:r>
      <w:r w:rsidR="00E24326">
        <w:rPr>
          <w:rFonts w:ascii="Arial" w:eastAsia="Times New Roman" w:hAnsi="Arial" w:cs="Arial"/>
        </w:rPr>
        <w:t>5</w:t>
      </w:r>
      <w:r w:rsidRPr="003C5743">
        <w:rPr>
          <w:rFonts w:ascii="Arial" w:eastAsia="Times New Roman" w:hAnsi="Arial" w:cs="Arial"/>
        </w:rPr>
        <w:t>, together with any impact on delivery as may be appropriate. Tenderers must provide a table that summarises the changes that have been made in their revised Tender for reference purposes noting that the Authority will only evaluate those changes that have been clearly highlighted</w:t>
      </w:r>
      <w:r w:rsidR="00503EA4" w:rsidRPr="003C5743">
        <w:rPr>
          <w:rFonts w:ascii="Arial" w:eastAsia="Times New Roman" w:hAnsi="Arial" w:cs="Arial"/>
        </w:rPr>
        <w:t xml:space="preserve"> and referenced</w:t>
      </w:r>
      <w:r w:rsidRPr="003C5743">
        <w:rPr>
          <w:rFonts w:ascii="Arial" w:eastAsia="Times New Roman" w:hAnsi="Arial" w:cs="Arial"/>
        </w:rPr>
        <w:t xml:space="preserve">. </w:t>
      </w:r>
    </w:p>
    <w:p w14:paraId="3B8C8040" w14:textId="2F7E3D1C" w:rsidR="00ED5AE3" w:rsidRPr="003C5743" w:rsidRDefault="00ED5AE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Revised Tenders must be submitted to the Commercial Officer name</w:t>
      </w:r>
      <w:r w:rsidR="003A6DBD" w:rsidRPr="003C5743">
        <w:rPr>
          <w:rFonts w:ascii="Arial" w:eastAsia="Times New Roman" w:hAnsi="Arial" w:cs="Arial"/>
        </w:rPr>
        <w:t xml:space="preserve">d in Paragraph A25 to this DEFFORM 47. </w:t>
      </w:r>
    </w:p>
    <w:p w14:paraId="6D6EE593" w14:textId="6ADE9D64"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Following submission of revised Tender documentation, the Authority will carry out </w:t>
      </w:r>
      <w:r w:rsidR="0010297E" w:rsidRPr="003C5743">
        <w:rPr>
          <w:rFonts w:ascii="Arial" w:eastAsia="Times New Roman" w:hAnsi="Arial" w:cs="Arial"/>
        </w:rPr>
        <w:t>a re-</w:t>
      </w:r>
      <w:r w:rsidRPr="003C5743">
        <w:rPr>
          <w:rFonts w:ascii="Arial" w:eastAsia="Times New Roman" w:hAnsi="Arial" w:cs="Arial"/>
        </w:rPr>
        <w:t xml:space="preserve">evaluation </w:t>
      </w:r>
      <w:r w:rsidR="003E7F55" w:rsidRPr="003C5743">
        <w:rPr>
          <w:rFonts w:ascii="Arial" w:eastAsia="Times New Roman" w:hAnsi="Arial" w:cs="Arial"/>
        </w:rPr>
        <w:t>of the amended documentation</w:t>
      </w:r>
      <w:r w:rsidR="79BFDA3E" w:rsidRPr="003C5743">
        <w:rPr>
          <w:rFonts w:ascii="Arial" w:eastAsia="Times New Roman" w:hAnsi="Arial" w:cs="Arial"/>
        </w:rPr>
        <w:t xml:space="preserve"> </w:t>
      </w:r>
      <w:r w:rsidRPr="003C5743">
        <w:rPr>
          <w:rFonts w:ascii="Arial" w:eastAsia="Times New Roman" w:hAnsi="Arial" w:cs="Arial"/>
        </w:rPr>
        <w:t>in accordance with Stages 1-</w:t>
      </w:r>
      <w:r w:rsidR="00E24326">
        <w:rPr>
          <w:rFonts w:ascii="Arial" w:eastAsia="Times New Roman" w:hAnsi="Arial" w:cs="Arial"/>
        </w:rPr>
        <w:t>4</w:t>
      </w:r>
      <w:r w:rsidR="009540FB" w:rsidRPr="003C5743">
        <w:rPr>
          <w:rFonts w:ascii="Arial" w:eastAsia="Times New Roman" w:hAnsi="Arial" w:cs="Arial"/>
        </w:rPr>
        <w:t xml:space="preserve"> to determine the Final Commercial and Total Technical &amp; Supportability Scores</w:t>
      </w:r>
      <w:r w:rsidRPr="003C5743">
        <w:rPr>
          <w:rFonts w:ascii="Arial" w:eastAsia="Times New Roman" w:hAnsi="Arial" w:cs="Arial"/>
        </w:rPr>
        <w:t xml:space="preserve">. In order to move forward to Stage </w:t>
      </w:r>
      <w:r w:rsidR="00471CF8">
        <w:rPr>
          <w:rFonts w:ascii="Arial" w:eastAsia="Times New Roman" w:hAnsi="Arial" w:cs="Arial"/>
        </w:rPr>
        <w:t>7</w:t>
      </w:r>
      <w:r w:rsidRPr="003C5743">
        <w:rPr>
          <w:rFonts w:ascii="Arial" w:eastAsia="Times New Roman" w:hAnsi="Arial" w:cs="Arial"/>
        </w:rPr>
        <w:t xml:space="preserve"> (MEAT) and Stage </w:t>
      </w:r>
      <w:r w:rsidR="00471CF8">
        <w:rPr>
          <w:rFonts w:ascii="Arial" w:eastAsia="Times New Roman" w:hAnsi="Arial" w:cs="Arial"/>
        </w:rPr>
        <w:t>8</w:t>
      </w:r>
      <w:r w:rsidRPr="003C5743">
        <w:rPr>
          <w:rFonts w:ascii="Arial" w:eastAsia="Times New Roman" w:hAnsi="Arial" w:cs="Arial"/>
        </w:rPr>
        <w:t xml:space="preserve"> (BAFO) </w:t>
      </w:r>
      <w:r w:rsidR="003E173E" w:rsidRPr="003C5743">
        <w:rPr>
          <w:rFonts w:ascii="Arial" w:eastAsia="Times New Roman" w:hAnsi="Arial" w:cs="Arial"/>
        </w:rPr>
        <w:t>t</w:t>
      </w:r>
      <w:r w:rsidRPr="003C5743">
        <w:rPr>
          <w:rFonts w:ascii="Arial" w:eastAsia="Times New Roman" w:hAnsi="Arial" w:cs="Arial"/>
        </w:rPr>
        <w:t>he Tenderer must achieve:</w:t>
      </w:r>
    </w:p>
    <w:p w14:paraId="526A2772" w14:textId="77777777" w:rsidR="00155DC3" w:rsidRPr="003C5743" w:rsidRDefault="00155DC3" w:rsidP="00155DC3">
      <w:pPr>
        <w:numPr>
          <w:ilvl w:val="0"/>
          <w:numId w:val="9"/>
        </w:numPr>
        <w:spacing w:after="200" w:line="276" w:lineRule="auto"/>
        <w:contextualSpacing/>
        <w:rPr>
          <w:rFonts w:ascii="Arial" w:eastAsia="Calibri" w:hAnsi="Arial" w:cs="Arial"/>
        </w:rPr>
      </w:pPr>
      <w:r w:rsidRPr="003C5743">
        <w:rPr>
          <w:rFonts w:ascii="Arial" w:eastAsia="Calibri" w:hAnsi="Arial" w:cs="Arial"/>
        </w:rPr>
        <w:t>A Pass mark against all elements detailed in Stage 1 (Commercial Evaluations);</w:t>
      </w:r>
    </w:p>
    <w:p w14:paraId="4D7821BF" w14:textId="5AE12C4D" w:rsidR="003E173E" w:rsidRPr="003C5743" w:rsidRDefault="5C68C009" w:rsidP="5C68C009">
      <w:pPr>
        <w:numPr>
          <w:ilvl w:val="0"/>
          <w:numId w:val="9"/>
        </w:numPr>
        <w:spacing w:after="200" w:line="276" w:lineRule="auto"/>
        <w:contextualSpacing/>
        <w:rPr>
          <w:rFonts w:ascii="Arial" w:eastAsia="Calibri" w:hAnsi="Arial" w:cs="Arial"/>
        </w:rPr>
      </w:pPr>
      <w:r w:rsidRPr="003C5743">
        <w:rPr>
          <w:rFonts w:ascii="Arial" w:eastAsia="Calibri" w:hAnsi="Arial" w:cs="Arial"/>
        </w:rPr>
        <w:lastRenderedPageBreak/>
        <w:t xml:space="preserve">A “Compliant” and/or “Pass” Assessment against all elements and a Total Score of </w:t>
      </w:r>
      <w:r w:rsidR="00471CF8">
        <w:rPr>
          <w:rFonts w:ascii="Arial" w:eastAsia="Calibri" w:hAnsi="Arial" w:cs="Arial"/>
        </w:rPr>
        <w:t>4</w:t>
      </w:r>
      <w:r w:rsidRPr="003C5743">
        <w:rPr>
          <w:rFonts w:ascii="Arial" w:eastAsia="Calibri" w:hAnsi="Arial" w:cs="Arial"/>
        </w:rPr>
        <w:t xml:space="preserve">0% or above against the </w:t>
      </w:r>
      <w:proofErr w:type="spellStart"/>
      <w:r w:rsidRPr="003C5743">
        <w:rPr>
          <w:rFonts w:ascii="Arial" w:eastAsia="Calibri" w:hAnsi="Arial" w:cs="Arial"/>
        </w:rPr>
        <w:t>SoTR</w:t>
      </w:r>
      <w:proofErr w:type="spellEnd"/>
      <w:r w:rsidRPr="003C5743">
        <w:rPr>
          <w:rFonts w:ascii="Arial" w:eastAsia="Calibri" w:hAnsi="Arial" w:cs="Arial"/>
        </w:rPr>
        <w:t xml:space="preserve"> in Stage 2 (Technical Evaluation);</w:t>
      </w:r>
    </w:p>
    <w:p w14:paraId="14B3745B" w14:textId="67760A7E" w:rsidR="00155DC3" w:rsidRPr="00FD347E" w:rsidRDefault="5C68C009" w:rsidP="5C68C009">
      <w:pPr>
        <w:numPr>
          <w:ilvl w:val="0"/>
          <w:numId w:val="9"/>
        </w:numPr>
        <w:spacing w:after="200" w:line="276" w:lineRule="auto"/>
        <w:contextualSpacing/>
        <w:rPr>
          <w:rFonts w:ascii="Arial" w:eastAsia="Calibri" w:hAnsi="Arial" w:cs="Arial"/>
        </w:rPr>
      </w:pPr>
      <w:r w:rsidRPr="00FD347E">
        <w:rPr>
          <w:rFonts w:ascii="Arial" w:eastAsia="Calibri" w:hAnsi="Arial" w:cs="Arial"/>
        </w:rPr>
        <w:t>A “Compliant” and/or “Pass” Assessment against all elements detailed in Stage 3 (WTLS);</w:t>
      </w:r>
    </w:p>
    <w:p w14:paraId="438383FA" w14:textId="5B23C9AE" w:rsidR="00155DC3" w:rsidRPr="003C5743" w:rsidRDefault="5C68C009" w:rsidP="00155DC3">
      <w:pPr>
        <w:numPr>
          <w:ilvl w:val="0"/>
          <w:numId w:val="9"/>
        </w:numPr>
        <w:spacing w:after="200" w:line="276" w:lineRule="auto"/>
        <w:contextualSpacing/>
        <w:rPr>
          <w:rFonts w:ascii="Arial" w:eastAsia="Calibri" w:hAnsi="Arial" w:cs="Arial"/>
        </w:rPr>
      </w:pPr>
      <w:r w:rsidRPr="003C5743">
        <w:rPr>
          <w:rFonts w:ascii="Arial" w:eastAsia="Calibri" w:hAnsi="Arial" w:cs="Arial"/>
        </w:rPr>
        <w:t>A “Pass” Assessm</w:t>
      </w:r>
      <w:bookmarkStart w:id="3" w:name="_GoBack"/>
      <w:bookmarkEnd w:id="3"/>
      <w:r w:rsidRPr="003C5743">
        <w:rPr>
          <w:rFonts w:ascii="Arial" w:eastAsia="Calibri" w:hAnsi="Arial" w:cs="Arial"/>
        </w:rPr>
        <w:t>ent against all elements detailed in Stage 4 (IPMP);</w:t>
      </w:r>
    </w:p>
    <w:p w14:paraId="496605AA" w14:textId="77777777" w:rsidR="003E173E" w:rsidRPr="003C5743" w:rsidRDefault="003E173E" w:rsidP="003E173E">
      <w:pPr>
        <w:spacing w:after="200" w:line="276" w:lineRule="auto"/>
        <w:ind w:left="1800"/>
        <w:contextualSpacing/>
        <w:rPr>
          <w:rFonts w:ascii="Arial" w:eastAsia="Calibri" w:hAnsi="Arial" w:cs="Arial"/>
          <w:szCs w:val="24"/>
        </w:rPr>
      </w:pPr>
    </w:p>
    <w:p w14:paraId="55C2780A" w14:textId="606300C0" w:rsidR="00155DC3" w:rsidRPr="003C5743" w:rsidRDefault="00B13636"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Any Tender</w:t>
      </w:r>
      <w:r w:rsidR="009D23C1" w:rsidRPr="003C5743">
        <w:rPr>
          <w:rFonts w:ascii="Arial" w:eastAsia="Times New Roman" w:hAnsi="Arial" w:cs="Arial"/>
        </w:rPr>
        <w:t>er</w:t>
      </w:r>
      <w:r w:rsidRPr="003C5743">
        <w:rPr>
          <w:rFonts w:ascii="Arial" w:eastAsia="Times New Roman" w:hAnsi="Arial" w:cs="Arial"/>
        </w:rPr>
        <w:t xml:space="preserve"> </w:t>
      </w:r>
      <w:r w:rsidR="0003416B">
        <w:rPr>
          <w:rFonts w:ascii="Arial" w:eastAsia="Times New Roman" w:hAnsi="Arial" w:cs="Arial"/>
        </w:rPr>
        <w:t>deemed non-compliant at</w:t>
      </w:r>
      <w:r w:rsidRPr="003C5743">
        <w:rPr>
          <w:rFonts w:ascii="Arial" w:eastAsia="Times New Roman" w:hAnsi="Arial" w:cs="Arial"/>
        </w:rPr>
        <w:t xml:space="preserve"> Stage </w:t>
      </w:r>
      <w:r w:rsidR="00F62391">
        <w:rPr>
          <w:rFonts w:ascii="Arial" w:eastAsia="Times New Roman" w:hAnsi="Arial" w:cs="Arial"/>
        </w:rPr>
        <w:t>6</w:t>
      </w:r>
      <w:r w:rsidRPr="003C5743">
        <w:rPr>
          <w:rFonts w:ascii="Arial" w:eastAsia="Times New Roman" w:hAnsi="Arial" w:cs="Arial"/>
        </w:rPr>
        <w:t xml:space="preserve"> in accordance with D3</w:t>
      </w:r>
      <w:r w:rsidR="00D96F27" w:rsidRPr="003C5743">
        <w:rPr>
          <w:rFonts w:ascii="Arial" w:eastAsia="Times New Roman" w:hAnsi="Arial" w:cs="Arial"/>
        </w:rPr>
        <w:t>5</w:t>
      </w:r>
      <w:r w:rsidRPr="003C5743">
        <w:rPr>
          <w:rFonts w:ascii="Arial" w:eastAsia="Times New Roman" w:hAnsi="Arial" w:cs="Arial"/>
        </w:rPr>
        <w:t xml:space="preserve"> above</w:t>
      </w:r>
      <w:r w:rsidR="79BFDA3E" w:rsidRPr="003C5743">
        <w:rPr>
          <w:rFonts w:ascii="Arial" w:eastAsia="Times New Roman" w:hAnsi="Arial" w:cs="Arial"/>
        </w:rPr>
        <w:t xml:space="preserve"> will</w:t>
      </w:r>
      <w:r w:rsidRPr="003C5743">
        <w:rPr>
          <w:rFonts w:ascii="Arial" w:eastAsia="Times New Roman" w:hAnsi="Arial" w:cs="Arial"/>
        </w:rPr>
        <w:t xml:space="preserve"> be </w:t>
      </w:r>
      <w:r w:rsidR="79BFDA3E" w:rsidRPr="003C5743">
        <w:rPr>
          <w:rFonts w:ascii="Arial" w:eastAsia="Times New Roman" w:hAnsi="Arial" w:cs="Arial"/>
        </w:rPr>
        <w:t>remove</w:t>
      </w:r>
      <w:r w:rsidRPr="003C5743">
        <w:rPr>
          <w:rFonts w:ascii="Arial" w:eastAsia="Times New Roman" w:hAnsi="Arial" w:cs="Arial"/>
        </w:rPr>
        <w:t>d</w:t>
      </w:r>
      <w:r w:rsidR="79BFDA3E" w:rsidRPr="003C5743">
        <w:rPr>
          <w:rFonts w:ascii="Arial" w:eastAsia="Times New Roman" w:hAnsi="Arial" w:cs="Arial"/>
        </w:rPr>
        <w:t xml:space="preserve"> from the procurement process.</w:t>
      </w:r>
    </w:p>
    <w:p w14:paraId="2083F00D" w14:textId="6ED4BE37" w:rsidR="00155DC3" w:rsidRPr="003C5743" w:rsidRDefault="00155DC3" w:rsidP="00155DC3">
      <w:pPr>
        <w:tabs>
          <w:tab w:val="left" w:pos="567"/>
        </w:tabs>
        <w:overflowPunct w:val="0"/>
        <w:autoSpaceDE w:val="0"/>
        <w:autoSpaceDN w:val="0"/>
        <w:adjustRightInd w:val="0"/>
        <w:spacing w:after="0" w:line="240" w:lineRule="auto"/>
        <w:textAlignment w:val="baseline"/>
        <w:rPr>
          <w:rFonts w:ascii="Arial" w:eastAsia="Times New Roman" w:hAnsi="Arial" w:cs="Arial"/>
          <w:b/>
          <w:bCs/>
          <w:u w:val="single"/>
          <w:lang w:eastAsia="en-GB"/>
        </w:rPr>
      </w:pPr>
      <w:r w:rsidRPr="003C5743">
        <w:rPr>
          <w:rFonts w:ascii="Arial" w:eastAsia="Times New Roman" w:hAnsi="Arial" w:cs="Arial"/>
          <w:b/>
          <w:bCs/>
          <w:u w:val="single"/>
          <w:lang w:eastAsia="en-GB"/>
        </w:rPr>
        <w:t xml:space="preserve">Stage </w:t>
      </w:r>
      <w:r w:rsidR="00131921">
        <w:rPr>
          <w:rFonts w:ascii="Arial" w:eastAsia="Times New Roman" w:hAnsi="Arial" w:cs="Arial"/>
          <w:b/>
          <w:bCs/>
          <w:u w:val="single"/>
          <w:lang w:eastAsia="en-GB"/>
        </w:rPr>
        <w:t>7</w:t>
      </w:r>
      <w:r w:rsidRPr="003C5743">
        <w:rPr>
          <w:rFonts w:ascii="Arial" w:eastAsia="Times New Roman" w:hAnsi="Arial" w:cs="Arial"/>
          <w:b/>
          <w:bCs/>
          <w:u w:val="single"/>
          <w:lang w:eastAsia="en-GB"/>
        </w:rPr>
        <w:t xml:space="preserve"> – </w:t>
      </w:r>
      <w:r w:rsidR="00440413" w:rsidRPr="003C5743">
        <w:rPr>
          <w:rFonts w:ascii="Arial" w:eastAsia="Times New Roman" w:hAnsi="Arial" w:cs="Arial"/>
          <w:b/>
          <w:bCs/>
          <w:u w:val="single"/>
          <w:lang w:eastAsia="en-GB"/>
        </w:rPr>
        <w:t>Most Economically Advantageous Tender (</w:t>
      </w:r>
      <w:r w:rsidRPr="003C5743">
        <w:rPr>
          <w:rFonts w:ascii="Arial" w:eastAsia="Times New Roman" w:hAnsi="Arial" w:cs="Arial"/>
          <w:b/>
          <w:bCs/>
          <w:u w:val="single"/>
          <w:lang w:eastAsia="en-GB"/>
        </w:rPr>
        <w:t>MEAT</w:t>
      </w:r>
      <w:r w:rsidR="00440413" w:rsidRPr="003C5743">
        <w:rPr>
          <w:rFonts w:ascii="Arial" w:eastAsia="Times New Roman" w:hAnsi="Arial" w:cs="Arial"/>
          <w:b/>
          <w:bCs/>
          <w:u w:val="single"/>
          <w:lang w:eastAsia="en-GB"/>
        </w:rPr>
        <w:t>)</w:t>
      </w:r>
      <w:r w:rsidRPr="003C5743">
        <w:rPr>
          <w:rFonts w:ascii="Arial" w:eastAsia="Times New Roman" w:hAnsi="Arial" w:cs="Arial"/>
          <w:b/>
          <w:bCs/>
          <w:u w:val="single"/>
          <w:lang w:eastAsia="en-GB"/>
        </w:rPr>
        <w:t xml:space="preserve"> Evaluation</w:t>
      </w:r>
      <w:r w:rsidR="00B35656" w:rsidRPr="003C5743">
        <w:rPr>
          <w:rFonts w:ascii="Arial" w:eastAsia="Times New Roman" w:hAnsi="Arial" w:cs="Arial"/>
          <w:b/>
          <w:bCs/>
          <w:u w:val="single"/>
          <w:lang w:eastAsia="en-GB"/>
        </w:rPr>
        <w:t xml:space="preserve"> </w:t>
      </w:r>
    </w:p>
    <w:p w14:paraId="009CE317" w14:textId="77777777" w:rsidR="00155DC3" w:rsidRPr="003C5743" w:rsidRDefault="00155DC3" w:rsidP="00155DC3">
      <w:pPr>
        <w:tabs>
          <w:tab w:val="left" w:pos="567"/>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DC09DF5" w14:textId="77777777"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total tendered prices submitted on Annex D (Pricing and Rates) Table 6 (Calculation Sheet) to the DEFFORM 47 will be added together to produce an overall cost of the contract. The overall cost of the contract will then be adjusted to account for Net Present Value (NPV). </w:t>
      </w:r>
      <w:r w:rsidRPr="003C5743">
        <w:rPr>
          <w:rFonts w:ascii="Arial" w:eastAsia="Times New Roman" w:hAnsi="Arial" w:cs="Arial"/>
          <w:lang w:eastAsia="en-GB"/>
        </w:rPr>
        <w:t xml:space="preserve">The NPV adjustment will involve converting the outturn prices (tendered prices) to constant prices by the application of a GDP deflator and then applying the Treasury Discount Factor of 3.5% to produce a Net Present Value </w:t>
      </w:r>
      <w:r w:rsidRPr="003C5743">
        <w:rPr>
          <w:rFonts w:ascii="Arial" w:eastAsia="Times New Roman" w:hAnsi="Arial" w:cs="Arial"/>
        </w:rPr>
        <w:t>by the Authority. This NPV Adjusted Price of the contract is what will be taken forward for MEAT evaluation.</w:t>
      </w:r>
    </w:p>
    <w:p w14:paraId="0178871E" w14:textId="5B111FAF"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Total Technical Score will be calculated as the total </w:t>
      </w:r>
      <w:proofErr w:type="spellStart"/>
      <w:r w:rsidRPr="003C5743">
        <w:rPr>
          <w:rFonts w:ascii="Arial" w:eastAsia="Times New Roman" w:hAnsi="Arial" w:cs="Arial"/>
        </w:rPr>
        <w:t>SoTR</w:t>
      </w:r>
      <w:proofErr w:type="spellEnd"/>
      <w:r w:rsidRPr="003C5743">
        <w:rPr>
          <w:rFonts w:ascii="Arial" w:eastAsia="Times New Roman" w:hAnsi="Arial" w:cs="Arial"/>
        </w:rPr>
        <w:t xml:space="preserve"> score</w:t>
      </w:r>
      <w:r w:rsidR="007D4E6A" w:rsidRPr="003C5743">
        <w:rPr>
          <w:rFonts w:ascii="Arial" w:eastAsia="Times New Roman" w:hAnsi="Arial" w:cs="Arial"/>
        </w:rPr>
        <w:t>.</w:t>
      </w:r>
    </w:p>
    <w:p w14:paraId="63EE59EB" w14:textId="642B9901" w:rsidR="00ED6BFF" w:rsidRPr="003C5743" w:rsidRDefault="007D4E6A" w:rsidP="0018799A">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Total Supportability Score will be </w:t>
      </w:r>
      <w:r w:rsidR="00520EED" w:rsidRPr="003C5743">
        <w:rPr>
          <w:rFonts w:ascii="Arial" w:eastAsia="Times New Roman" w:hAnsi="Arial" w:cs="Arial"/>
        </w:rPr>
        <w:t>calculated as</w:t>
      </w:r>
      <w:r w:rsidR="00EE679C" w:rsidRPr="003C5743">
        <w:rPr>
          <w:rFonts w:ascii="Arial" w:eastAsia="Times New Roman" w:hAnsi="Arial" w:cs="Arial"/>
        </w:rPr>
        <w:t xml:space="preserve"> the Weighted Through Life Supportability Evaluation</w:t>
      </w:r>
      <w:r w:rsidR="001744C2" w:rsidRPr="003C5743">
        <w:rPr>
          <w:rFonts w:ascii="Arial" w:eastAsia="Times New Roman" w:hAnsi="Arial" w:cs="Arial"/>
        </w:rPr>
        <w:t xml:space="preserve"> </w:t>
      </w:r>
      <w:r w:rsidR="00467E9A" w:rsidRPr="003C5743">
        <w:rPr>
          <w:rFonts w:ascii="Arial" w:eastAsia="Times New Roman" w:hAnsi="Arial" w:cs="Arial"/>
        </w:rPr>
        <w:t>in accordance</w:t>
      </w:r>
      <w:r w:rsidR="001744C2" w:rsidRPr="003C5743">
        <w:rPr>
          <w:rFonts w:ascii="Arial" w:eastAsia="Times New Roman" w:hAnsi="Arial" w:cs="Arial"/>
        </w:rPr>
        <w:t xml:space="preserve"> </w:t>
      </w:r>
      <w:r w:rsidR="00CF3683" w:rsidRPr="003C5743">
        <w:rPr>
          <w:rFonts w:ascii="Arial" w:eastAsia="Times New Roman" w:hAnsi="Arial" w:cs="Arial"/>
        </w:rPr>
        <w:t>with D</w:t>
      </w:r>
      <w:r w:rsidR="00467E9A" w:rsidRPr="003C5743">
        <w:rPr>
          <w:rFonts w:ascii="Arial" w:eastAsia="Times New Roman" w:hAnsi="Arial" w:cs="Arial"/>
        </w:rPr>
        <w:t>42 for those Tenderers that passed</w:t>
      </w:r>
      <w:r w:rsidR="00EE679C" w:rsidRPr="003C5743">
        <w:rPr>
          <w:rFonts w:ascii="Arial" w:eastAsia="Times New Roman" w:hAnsi="Arial" w:cs="Arial"/>
        </w:rPr>
        <w:t xml:space="preserve"> Stage 3</w:t>
      </w:r>
      <w:r w:rsidR="00CF3683" w:rsidRPr="003C5743">
        <w:rPr>
          <w:rFonts w:ascii="Arial" w:eastAsia="Times New Roman" w:hAnsi="Arial" w:cs="Arial"/>
        </w:rPr>
        <w:t xml:space="preserve"> (D20 refers)</w:t>
      </w:r>
      <w:r w:rsidR="00EE679C" w:rsidRPr="003C5743">
        <w:rPr>
          <w:rFonts w:ascii="Arial" w:eastAsia="Times New Roman" w:hAnsi="Arial" w:cs="Arial"/>
        </w:rPr>
        <w:t>.</w:t>
      </w:r>
    </w:p>
    <w:p w14:paraId="07E430FA" w14:textId="7BB519EB"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In the MEAT evaluation process Tenders will be allocated comparative scores and the scoring method worked out using the Technical</w:t>
      </w:r>
      <w:r w:rsidR="001D61F9" w:rsidRPr="003C5743">
        <w:rPr>
          <w:rFonts w:ascii="Arial" w:eastAsia="Times New Roman" w:hAnsi="Arial" w:cs="Arial"/>
        </w:rPr>
        <w:t>, Supportability</w:t>
      </w:r>
      <w:r w:rsidRPr="003C5743">
        <w:rPr>
          <w:rFonts w:ascii="Arial" w:eastAsia="Times New Roman" w:hAnsi="Arial" w:cs="Arial"/>
        </w:rPr>
        <w:t xml:space="preserve"> and Price scoring ratio of </w:t>
      </w:r>
      <w:proofErr w:type="gramStart"/>
      <w:r w:rsidR="001D61F9" w:rsidRPr="003C5743">
        <w:rPr>
          <w:rFonts w:ascii="Arial" w:eastAsia="Times New Roman" w:hAnsi="Arial" w:cs="Arial"/>
        </w:rPr>
        <w:t>55.5</w:t>
      </w:r>
      <w:r w:rsidR="00706F02" w:rsidRPr="003C5743">
        <w:rPr>
          <w:rFonts w:ascii="Arial" w:eastAsia="Times New Roman" w:hAnsi="Arial" w:cs="Arial"/>
        </w:rPr>
        <w:t xml:space="preserve"> </w:t>
      </w:r>
      <w:r w:rsidRPr="003C5743">
        <w:rPr>
          <w:rFonts w:ascii="Arial" w:eastAsia="Times New Roman" w:hAnsi="Arial" w:cs="Arial"/>
          <w:b/>
        </w:rPr>
        <w:t>:</w:t>
      </w:r>
      <w:proofErr w:type="gramEnd"/>
      <w:r w:rsidR="00706F02" w:rsidRPr="003C5743">
        <w:rPr>
          <w:rFonts w:ascii="Arial" w:eastAsia="Times New Roman" w:hAnsi="Arial" w:cs="Arial"/>
        </w:rPr>
        <w:t xml:space="preserve"> 4.5 </w:t>
      </w:r>
      <w:r w:rsidR="00706F02" w:rsidRPr="003C5743">
        <w:rPr>
          <w:rFonts w:ascii="Arial" w:eastAsia="Times New Roman" w:hAnsi="Arial" w:cs="Arial"/>
          <w:b/>
        </w:rPr>
        <w:t>:</w:t>
      </w:r>
      <w:r w:rsidR="00706F02" w:rsidRPr="003C5743">
        <w:rPr>
          <w:rFonts w:ascii="Arial" w:eastAsia="Times New Roman" w:hAnsi="Arial" w:cs="Arial"/>
        </w:rPr>
        <w:t xml:space="preserve"> 40</w:t>
      </w:r>
      <w:r w:rsidRPr="003C5743">
        <w:rPr>
          <w:rFonts w:ascii="Arial" w:eastAsia="Times New Roman" w:hAnsi="Arial" w:cs="Arial"/>
        </w:rPr>
        <w:t xml:space="preserve"> respectively. </w:t>
      </w:r>
    </w:p>
    <w:p w14:paraId="6537A6A6" w14:textId="6FE4D7F6" w:rsidR="00AC33E1" w:rsidRPr="003C5743" w:rsidRDefault="00155DC3" w:rsidP="001C4E9D">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highest Total Technical Score of all Compliant Tenderers </w:t>
      </w:r>
      <w:r w:rsidR="00FA469C" w:rsidRPr="003C5743">
        <w:rPr>
          <w:rFonts w:ascii="Arial" w:eastAsia="Times New Roman" w:hAnsi="Arial" w:cs="Arial"/>
        </w:rPr>
        <w:t>will</w:t>
      </w:r>
      <w:r w:rsidRPr="003C5743">
        <w:rPr>
          <w:rFonts w:ascii="Arial" w:eastAsia="Times New Roman" w:hAnsi="Arial" w:cs="Arial"/>
        </w:rPr>
        <w:t xml:space="preserve"> be awarded 5</w:t>
      </w:r>
      <w:r w:rsidR="00EE679C" w:rsidRPr="003C5743">
        <w:rPr>
          <w:rFonts w:ascii="Arial" w:eastAsia="Times New Roman" w:hAnsi="Arial" w:cs="Arial"/>
        </w:rPr>
        <w:t>5.5</w:t>
      </w:r>
      <w:r w:rsidRPr="003C5743">
        <w:rPr>
          <w:rFonts w:ascii="Arial" w:eastAsia="Times New Roman" w:hAnsi="Arial" w:cs="Arial"/>
        </w:rPr>
        <w:t xml:space="preserve"> points and all other Compliant Tenderers will be awarded a proportion of 5</w:t>
      </w:r>
      <w:r w:rsidR="00EE679C" w:rsidRPr="003C5743">
        <w:rPr>
          <w:rFonts w:ascii="Arial" w:eastAsia="Times New Roman" w:hAnsi="Arial" w:cs="Arial"/>
        </w:rPr>
        <w:t>5.5</w:t>
      </w:r>
      <w:r w:rsidRPr="003C5743">
        <w:rPr>
          <w:rFonts w:ascii="Arial" w:eastAsia="Times New Roman" w:hAnsi="Arial" w:cs="Arial"/>
        </w:rPr>
        <w:t xml:space="preserve"> points in line with the ratio of their Total Technical Score and the Highest Total Technical Score.</w:t>
      </w:r>
      <w:r w:rsidR="00BB2787" w:rsidRPr="003C5743">
        <w:rPr>
          <w:rFonts w:ascii="Arial" w:eastAsia="Times New Roman" w:hAnsi="Arial" w:cs="Arial"/>
        </w:rPr>
        <w:t xml:space="preserve"> </w:t>
      </w:r>
    </w:p>
    <w:p w14:paraId="7B5CF132" w14:textId="2B01A905" w:rsidR="00AC33E1" w:rsidRPr="003C5743" w:rsidRDefault="00AD026E" w:rsidP="001C4E9D">
      <w:pPr>
        <w:numPr>
          <w:ilvl w:val="0"/>
          <w:numId w:val="1"/>
        </w:numPr>
        <w:spacing w:after="240" w:line="240" w:lineRule="auto"/>
        <w:jc w:val="both"/>
        <w:rPr>
          <w:rFonts w:ascii="Arial" w:eastAsia="Times New Roman" w:hAnsi="Arial" w:cs="Arial"/>
        </w:rPr>
      </w:pPr>
      <w:r w:rsidRPr="003C5743">
        <w:rPr>
          <w:rFonts w:ascii="Arial" w:eastAsia="Times New Roman" w:hAnsi="Arial" w:cs="Arial"/>
        </w:rPr>
        <w:t>F</w:t>
      </w:r>
      <w:r w:rsidR="00BB2787" w:rsidRPr="003C5743">
        <w:rPr>
          <w:rFonts w:ascii="Arial" w:eastAsia="Times New Roman" w:hAnsi="Arial" w:cs="Arial"/>
        </w:rPr>
        <w:t>or Supportability, the Tenderer scoring the lowest Weighted Through Life Supportability</w:t>
      </w:r>
      <w:r w:rsidR="008B2EE7" w:rsidRPr="003C5743">
        <w:rPr>
          <w:rFonts w:ascii="Arial" w:eastAsia="Times New Roman" w:hAnsi="Arial" w:cs="Arial"/>
        </w:rPr>
        <w:t xml:space="preserve"> (WTLS)</w:t>
      </w:r>
      <w:r w:rsidR="00BB2787" w:rsidRPr="003C5743">
        <w:rPr>
          <w:rFonts w:ascii="Arial" w:eastAsia="Times New Roman" w:hAnsi="Arial" w:cs="Arial"/>
        </w:rPr>
        <w:t xml:space="preserve"> Evaluation Score </w:t>
      </w:r>
      <w:r w:rsidR="00FA469C" w:rsidRPr="003C5743">
        <w:rPr>
          <w:rFonts w:ascii="Arial" w:eastAsia="Times New Roman" w:hAnsi="Arial" w:cs="Arial"/>
        </w:rPr>
        <w:t>will</w:t>
      </w:r>
      <w:r w:rsidR="00BB2787" w:rsidRPr="003C5743">
        <w:rPr>
          <w:rFonts w:ascii="Arial" w:eastAsia="Times New Roman" w:hAnsi="Arial" w:cs="Arial"/>
        </w:rPr>
        <w:t xml:space="preserve"> be awarded 4.5</w:t>
      </w:r>
      <w:r w:rsidR="00AC33E1" w:rsidRPr="003C5743">
        <w:rPr>
          <w:rFonts w:ascii="Arial" w:eastAsia="Times New Roman" w:hAnsi="Arial" w:cs="Arial"/>
        </w:rPr>
        <w:t xml:space="preserve"> points</w:t>
      </w:r>
      <w:r w:rsidR="00BB2787" w:rsidRPr="003C5743">
        <w:rPr>
          <w:rFonts w:ascii="Arial" w:eastAsia="Times New Roman" w:hAnsi="Arial" w:cs="Arial"/>
        </w:rPr>
        <w:t xml:space="preserve"> against the Supportability section of the ITN. The Tenderer scoring the highest Supportability Score </w:t>
      </w:r>
      <w:r w:rsidR="00FA469C" w:rsidRPr="003C5743">
        <w:rPr>
          <w:rFonts w:ascii="Arial" w:eastAsia="Times New Roman" w:hAnsi="Arial" w:cs="Arial"/>
        </w:rPr>
        <w:t>will</w:t>
      </w:r>
      <w:r w:rsidR="00BB2787" w:rsidRPr="003C5743">
        <w:rPr>
          <w:rFonts w:ascii="Arial" w:eastAsia="Times New Roman" w:hAnsi="Arial" w:cs="Arial"/>
        </w:rPr>
        <w:t xml:space="preserve"> be awarded 0</w:t>
      </w:r>
      <w:r w:rsidR="00D303B4" w:rsidRPr="003C5743">
        <w:rPr>
          <w:rFonts w:ascii="Arial" w:eastAsia="Times New Roman" w:hAnsi="Arial" w:cs="Arial"/>
        </w:rPr>
        <w:t xml:space="preserve"> points</w:t>
      </w:r>
      <w:r w:rsidR="00BB2787" w:rsidRPr="003C5743">
        <w:rPr>
          <w:rFonts w:ascii="Arial" w:eastAsia="Times New Roman" w:hAnsi="Arial" w:cs="Arial"/>
        </w:rPr>
        <w:t xml:space="preserve"> against the Supportability section of the ITN. All other Compliant Tenderers will be awarded a proportion of 4.5</w:t>
      </w:r>
      <w:r w:rsidR="00D303B4" w:rsidRPr="003C5743">
        <w:rPr>
          <w:rFonts w:ascii="Arial" w:eastAsia="Times New Roman" w:hAnsi="Arial" w:cs="Arial"/>
        </w:rPr>
        <w:t xml:space="preserve"> points</w:t>
      </w:r>
      <w:r w:rsidR="00BB2787" w:rsidRPr="003C5743">
        <w:rPr>
          <w:rFonts w:ascii="Arial" w:eastAsia="Times New Roman" w:hAnsi="Arial" w:cs="Arial"/>
        </w:rPr>
        <w:t xml:space="preserve"> linearly interpolated between the highest and lowest score. </w:t>
      </w:r>
      <w:r w:rsidR="00155DC3" w:rsidRPr="003C5743">
        <w:rPr>
          <w:rFonts w:ascii="Arial" w:eastAsia="Times New Roman" w:hAnsi="Arial" w:cs="Arial"/>
        </w:rPr>
        <w:t xml:space="preserve"> </w:t>
      </w:r>
    </w:p>
    <w:p w14:paraId="46B1EB2A" w14:textId="4C93B29E" w:rsidR="003C7278" w:rsidRDefault="00155DC3" w:rsidP="003C7278">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Similarly, the Lowest NPV Adjusted Price of all Compliant Tenderers will be awarded </w:t>
      </w:r>
      <w:r w:rsidR="00514F6E" w:rsidRPr="003C5743">
        <w:rPr>
          <w:rFonts w:ascii="Arial" w:eastAsia="Times New Roman" w:hAnsi="Arial" w:cs="Arial"/>
        </w:rPr>
        <w:t>4</w:t>
      </w:r>
      <w:r w:rsidRPr="003C5743">
        <w:rPr>
          <w:rFonts w:ascii="Arial" w:eastAsia="Times New Roman" w:hAnsi="Arial" w:cs="Arial"/>
        </w:rPr>
        <w:t xml:space="preserve">0 points and all other Compliant Tenderers will be awarded a proportion of </w:t>
      </w:r>
      <w:r w:rsidR="00514F6E" w:rsidRPr="003C5743">
        <w:rPr>
          <w:rFonts w:ascii="Arial" w:eastAsia="Times New Roman" w:hAnsi="Arial" w:cs="Arial"/>
        </w:rPr>
        <w:t>4</w:t>
      </w:r>
      <w:r w:rsidRPr="003C5743">
        <w:rPr>
          <w:rFonts w:ascii="Arial" w:eastAsia="Times New Roman" w:hAnsi="Arial" w:cs="Arial"/>
        </w:rPr>
        <w:t>0 points in line with the ratio of the Lowest NPV Adjusted Price and their NPV Adjusted Price. The total MEAT Score will be the sum of MEAT Technical Score</w:t>
      </w:r>
      <w:r w:rsidR="00514F6E" w:rsidRPr="003C5743">
        <w:rPr>
          <w:rFonts w:ascii="Arial" w:eastAsia="Times New Roman" w:hAnsi="Arial" w:cs="Arial"/>
        </w:rPr>
        <w:t>, the Supportability Score</w:t>
      </w:r>
      <w:r w:rsidRPr="003C5743">
        <w:rPr>
          <w:rFonts w:ascii="Arial" w:eastAsia="Times New Roman" w:hAnsi="Arial" w:cs="Arial"/>
        </w:rPr>
        <w:t xml:space="preserve"> and the MEAT Price Score. If one tenderer had the highest Technical Score</w:t>
      </w:r>
      <w:r w:rsidR="00831CE5" w:rsidRPr="003C5743">
        <w:rPr>
          <w:rFonts w:ascii="Arial" w:eastAsia="Times New Roman" w:hAnsi="Arial" w:cs="Arial"/>
        </w:rPr>
        <w:t xml:space="preserve">, Lowest Supportability </w:t>
      </w:r>
      <w:r w:rsidR="00C373C7" w:rsidRPr="003C5743">
        <w:rPr>
          <w:rFonts w:ascii="Arial" w:eastAsia="Times New Roman" w:hAnsi="Arial" w:cs="Arial"/>
        </w:rPr>
        <w:t>Score</w:t>
      </w:r>
      <w:r w:rsidRPr="003C5743">
        <w:rPr>
          <w:rFonts w:ascii="Arial" w:eastAsia="Times New Roman" w:hAnsi="Arial" w:cs="Arial"/>
        </w:rPr>
        <w:t xml:space="preserve"> and the Lowest NPV Adjusted Price, then they would score the maximum 100 points. An example of the MEAT process is set out in D</w:t>
      </w:r>
      <w:r w:rsidR="00644C79" w:rsidRPr="003C5743">
        <w:rPr>
          <w:rFonts w:ascii="Arial" w:eastAsia="Times New Roman" w:hAnsi="Arial" w:cs="Arial"/>
        </w:rPr>
        <w:t>45</w:t>
      </w:r>
      <w:r w:rsidRPr="003C5743">
        <w:rPr>
          <w:rFonts w:ascii="Arial" w:eastAsia="Times New Roman" w:hAnsi="Arial" w:cs="Arial"/>
        </w:rPr>
        <w:t xml:space="preserve"> to D4</w:t>
      </w:r>
      <w:r w:rsidR="00247750" w:rsidRPr="003C5743">
        <w:rPr>
          <w:rFonts w:ascii="Arial" w:eastAsia="Times New Roman" w:hAnsi="Arial" w:cs="Arial"/>
        </w:rPr>
        <w:t>9</w:t>
      </w:r>
      <w:r w:rsidR="00644C79" w:rsidRPr="003C5743">
        <w:rPr>
          <w:rFonts w:ascii="Arial" w:eastAsia="Times New Roman" w:hAnsi="Arial" w:cs="Arial"/>
        </w:rPr>
        <w:t xml:space="preserve"> and Tables </w:t>
      </w:r>
      <w:r w:rsidR="00CF3683" w:rsidRPr="003C5743">
        <w:rPr>
          <w:rFonts w:ascii="Arial" w:eastAsia="Times New Roman" w:hAnsi="Arial" w:cs="Arial"/>
        </w:rPr>
        <w:t>4</w:t>
      </w:r>
      <w:r w:rsidR="00644C79" w:rsidRPr="003C5743">
        <w:rPr>
          <w:rFonts w:ascii="Arial" w:eastAsia="Times New Roman" w:hAnsi="Arial" w:cs="Arial"/>
        </w:rPr>
        <w:t xml:space="preserve"> &amp; </w:t>
      </w:r>
      <w:r w:rsidR="00CF3683" w:rsidRPr="003C5743">
        <w:rPr>
          <w:rFonts w:ascii="Arial" w:eastAsia="Times New Roman" w:hAnsi="Arial" w:cs="Arial"/>
        </w:rPr>
        <w:t>5</w:t>
      </w:r>
      <w:r w:rsidRPr="003C5743">
        <w:rPr>
          <w:rFonts w:ascii="Arial" w:eastAsia="Times New Roman" w:hAnsi="Arial" w:cs="Arial"/>
        </w:rPr>
        <w:t xml:space="preserve"> </w:t>
      </w:r>
      <w:r w:rsidR="00CB7098" w:rsidRPr="003C5743">
        <w:rPr>
          <w:rFonts w:ascii="Arial" w:eastAsia="Times New Roman" w:hAnsi="Arial" w:cs="Arial"/>
        </w:rPr>
        <w:t>in the following pages:</w:t>
      </w:r>
    </w:p>
    <w:p w14:paraId="59383BE0" w14:textId="3C869928" w:rsidR="00131921" w:rsidRDefault="00131921" w:rsidP="00131921">
      <w:pPr>
        <w:spacing w:after="240" w:line="240" w:lineRule="auto"/>
        <w:jc w:val="both"/>
        <w:rPr>
          <w:rFonts w:ascii="Arial" w:eastAsia="Times New Roman" w:hAnsi="Arial" w:cs="Arial"/>
        </w:rPr>
      </w:pPr>
    </w:p>
    <w:p w14:paraId="12AE5B64" w14:textId="77777777" w:rsidR="00283947" w:rsidRPr="00131921" w:rsidRDefault="00283947" w:rsidP="00131921">
      <w:pPr>
        <w:spacing w:after="240" w:line="240" w:lineRule="auto"/>
        <w:jc w:val="both"/>
        <w:rPr>
          <w:rFonts w:ascii="Arial" w:eastAsia="Times New Roman" w:hAnsi="Arial" w:cs="Arial"/>
        </w:rPr>
      </w:pPr>
    </w:p>
    <w:p w14:paraId="697333D8" w14:textId="77777777" w:rsidR="00155DC3" w:rsidRPr="003C5743" w:rsidRDefault="00155DC3" w:rsidP="00155DC3">
      <w:pPr>
        <w:tabs>
          <w:tab w:val="num" w:pos="567"/>
        </w:tabs>
        <w:overflowPunct w:val="0"/>
        <w:autoSpaceDE w:val="0"/>
        <w:autoSpaceDN w:val="0"/>
        <w:adjustRightInd w:val="0"/>
        <w:spacing w:after="220" w:line="240" w:lineRule="auto"/>
        <w:ind w:left="567" w:hanging="567"/>
        <w:textAlignment w:val="baseline"/>
        <w:rPr>
          <w:rFonts w:ascii="Arial" w:eastAsia="Times New Roman" w:hAnsi="Arial" w:cs="Arial"/>
          <w:u w:val="single"/>
        </w:rPr>
      </w:pPr>
      <w:r w:rsidRPr="003C5743">
        <w:rPr>
          <w:rFonts w:ascii="Arial" w:eastAsia="Times New Roman" w:hAnsi="Arial" w:cs="Arial"/>
          <w:u w:val="single"/>
        </w:rPr>
        <w:lastRenderedPageBreak/>
        <w:t>Worked example of the MEAT process</w:t>
      </w:r>
    </w:p>
    <w:p w14:paraId="13238187" w14:textId="46E13361" w:rsidR="004213B5" w:rsidRPr="003C5743" w:rsidRDefault="00155DC3" w:rsidP="00A811A4">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For the purposes of a worked example of the MEAT process, Table </w:t>
      </w:r>
      <w:r w:rsidR="00CF3683" w:rsidRPr="003C5743">
        <w:rPr>
          <w:rFonts w:ascii="Arial" w:eastAsia="Times New Roman" w:hAnsi="Arial" w:cs="Arial"/>
        </w:rPr>
        <w:t>4</w:t>
      </w:r>
      <w:r w:rsidRPr="003C5743">
        <w:rPr>
          <w:rFonts w:ascii="Arial" w:eastAsia="Times New Roman" w:hAnsi="Arial" w:cs="Arial"/>
        </w:rPr>
        <w:t xml:space="preserve"> gives the hypothetical results of </w:t>
      </w:r>
      <w:r w:rsidR="00651BB9" w:rsidRPr="003C5743">
        <w:rPr>
          <w:rFonts w:ascii="Arial" w:eastAsia="Times New Roman" w:hAnsi="Arial" w:cs="Arial"/>
        </w:rPr>
        <w:t>6</w:t>
      </w:r>
      <w:r w:rsidRPr="003C5743">
        <w:rPr>
          <w:rFonts w:ascii="Arial" w:eastAsia="Times New Roman" w:hAnsi="Arial" w:cs="Arial"/>
        </w:rPr>
        <w:t xml:space="preserve"> </w:t>
      </w:r>
      <w:r w:rsidR="00651BB9" w:rsidRPr="003C5743">
        <w:rPr>
          <w:rFonts w:ascii="Arial" w:eastAsia="Times New Roman" w:hAnsi="Arial" w:cs="Arial"/>
        </w:rPr>
        <w:t>T</w:t>
      </w:r>
      <w:r w:rsidRPr="003C5743">
        <w:rPr>
          <w:rFonts w:ascii="Arial" w:eastAsia="Times New Roman" w:hAnsi="Arial" w:cs="Arial"/>
        </w:rPr>
        <w:t>enders:</w:t>
      </w:r>
    </w:p>
    <w:p w14:paraId="490099FE" w14:textId="77777777" w:rsidR="004213B5" w:rsidRPr="003C5743" w:rsidRDefault="004213B5" w:rsidP="004213B5">
      <w:pPr>
        <w:spacing w:after="0" w:line="240" w:lineRule="auto"/>
        <w:rPr>
          <w:rFonts w:ascii="Arial" w:eastAsia="Times New Roman" w:hAnsi="Arial" w:cs="Arial"/>
          <w:u w:val="single"/>
        </w:rPr>
      </w:pPr>
    </w:p>
    <w:p w14:paraId="2D61F033" w14:textId="4811AB81" w:rsidR="00155DC3" w:rsidRPr="003C5743" w:rsidRDefault="00155DC3" w:rsidP="00155DC3">
      <w:pPr>
        <w:spacing w:after="0" w:line="240" w:lineRule="auto"/>
        <w:jc w:val="center"/>
        <w:rPr>
          <w:rFonts w:ascii="Arial" w:eastAsia="Times New Roman" w:hAnsi="Arial" w:cs="Arial"/>
          <w:u w:val="single"/>
        </w:rPr>
      </w:pPr>
      <w:r w:rsidRPr="003C5743">
        <w:rPr>
          <w:rFonts w:ascii="Arial" w:eastAsia="Times New Roman" w:hAnsi="Arial" w:cs="Arial"/>
          <w:u w:val="single"/>
        </w:rPr>
        <w:t xml:space="preserve">Table </w:t>
      </w:r>
      <w:r w:rsidR="00CF3683" w:rsidRPr="003C5743">
        <w:rPr>
          <w:rFonts w:ascii="Arial" w:eastAsia="Times New Roman" w:hAnsi="Arial" w:cs="Arial"/>
          <w:u w:val="single"/>
        </w:rPr>
        <w:t>4</w:t>
      </w:r>
      <w:r w:rsidRPr="003C5743">
        <w:rPr>
          <w:rFonts w:ascii="Arial" w:eastAsia="Times New Roman" w:hAnsi="Arial" w:cs="Arial"/>
          <w:u w:val="single"/>
        </w:rPr>
        <w:t xml:space="preserve"> – Example – scores of </w:t>
      </w:r>
      <w:r w:rsidR="00D00EE3" w:rsidRPr="003C5743">
        <w:rPr>
          <w:rFonts w:ascii="Arial" w:eastAsia="Times New Roman" w:hAnsi="Arial" w:cs="Arial"/>
          <w:u w:val="single"/>
        </w:rPr>
        <w:t>6</w:t>
      </w:r>
      <w:r w:rsidRPr="003C5743">
        <w:rPr>
          <w:rFonts w:ascii="Arial" w:eastAsia="Times New Roman" w:hAnsi="Arial" w:cs="Arial"/>
          <w:u w:val="single"/>
        </w:rPr>
        <w:t xml:space="preserve"> </w:t>
      </w:r>
      <w:r w:rsidR="00651BB9" w:rsidRPr="003C5743">
        <w:rPr>
          <w:rFonts w:ascii="Arial" w:eastAsia="Times New Roman" w:hAnsi="Arial" w:cs="Arial"/>
          <w:u w:val="single"/>
        </w:rPr>
        <w:t>T</w:t>
      </w:r>
      <w:r w:rsidRPr="003C5743">
        <w:rPr>
          <w:rFonts w:ascii="Arial" w:eastAsia="Times New Roman" w:hAnsi="Arial" w:cs="Arial"/>
          <w:u w:val="single"/>
        </w:rPr>
        <w:t>enders</w:t>
      </w:r>
    </w:p>
    <w:p w14:paraId="2148A9A6" w14:textId="77777777" w:rsidR="00155DC3" w:rsidRPr="003C5743" w:rsidRDefault="00155DC3" w:rsidP="00155DC3">
      <w:pPr>
        <w:spacing w:after="0" w:line="240" w:lineRule="auto"/>
        <w:jc w:val="center"/>
        <w:rPr>
          <w:rFonts w:ascii="Arial" w:eastAsia="Times New Roman" w:hAnsi="Arial" w:cs="Arial"/>
          <w:u w:val="single"/>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476"/>
        <w:gridCol w:w="1463"/>
        <w:gridCol w:w="1695"/>
        <w:gridCol w:w="1231"/>
        <w:gridCol w:w="1695"/>
        <w:gridCol w:w="1318"/>
      </w:tblGrid>
      <w:tr w:rsidR="003C5743" w:rsidRPr="003C5743" w14:paraId="23322FFE" w14:textId="0E4A2C63" w:rsidTr="00A05060">
        <w:trPr>
          <w:jc w:val="center"/>
        </w:trPr>
        <w:tc>
          <w:tcPr>
            <w:tcW w:w="950" w:type="dxa"/>
            <w:shd w:val="clear" w:color="auto" w:fill="BFBFBF"/>
          </w:tcPr>
          <w:p w14:paraId="7BA105F7"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Tender</w:t>
            </w:r>
          </w:p>
        </w:tc>
        <w:tc>
          <w:tcPr>
            <w:tcW w:w="1476" w:type="dxa"/>
            <w:shd w:val="clear" w:color="auto" w:fill="BFBFBF"/>
          </w:tcPr>
          <w:p w14:paraId="6B6ECB90" w14:textId="7B4115A1"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Stage 1 Commercial Compliance (Example Only)</w:t>
            </w:r>
          </w:p>
        </w:tc>
        <w:tc>
          <w:tcPr>
            <w:tcW w:w="1463" w:type="dxa"/>
            <w:shd w:val="clear" w:color="auto" w:fill="BFBFBF"/>
          </w:tcPr>
          <w:p w14:paraId="148456D1" w14:textId="205E6555"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Stage 2 Technical Compliance (Example Only)</w:t>
            </w:r>
          </w:p>
        </w:tc>
        <w:tc>
          <w:tcPr>
            <w:tcW w:w="1695" w:type="dxa"/>
            <w:shd w:val="clear" w:color="auto" w:fill="BFBFBF"/>
          </w:tcPr>
          <w:p w14:paraId="627E83F8" w14:textId="62DCF1FF"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bCs/>
              </w:rPr>
            </w:pPr>
            <w:r w:rsidRPr="003C5743">
              <w:rPr>
                <w:rFonts w:ascii="Arial" w:eastAsia="Times New Roman" w:hAnsi="Arial" w:cs="Arial"/>
                <w:b/>
                <w:bCs/>
              </w:rPr>
              <w:t xml:space="preserve">Stage 3 </w:t>
            </w:r>
            <w:r w:rsidRPr="003C5743">
              <w:rPr>
                <w:rFonts w:ascii="Arial" w:eastAsia="Times New Roman" w:hAnsi="Arial" w:cs="Arial"/>
                <w:b/>
              </w:rPr>
              <w:t>Supportability Pass / Fail</w:t>
            </w:r>
            <w:r w:rsidRPr="003C5743">
              <w:rPr>
                <w:rFonts w:ascii="Arial" w:eastAsia="Times New Roman" w:hAnsi="Arial" w:cs="Arial"/>
                <w:b/>
                <w:bCs/>
              </w:rPr>
              <w:t xml:space="preserve"> (Example Only)</w:t>
            </w:r>
          </w:p>
        </w:tc>
        <w:tc>
          <w:tcPr>
            <w:tcW w:w="1231" w:type="dxa"/>
            <w:shd w:val="clear" w:color="auto" w:fill="BFBFBF"/>
          </w:tcPr>
          <w:p w14:paraId="34033B03" w14:textId="5134AE70"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bCs/>
              </w:rPr>
            </w:pPr>
            <w:r w:rsidRPr="003C5743">
              <w:rPr>
                <w:rFonts w:ascii="Arial" w:eastAsia="Times New Roman" w:hAnsi="Arial" w:cs="Arial"/>
                <w:b/>
                <w:bCs/>
              </w:rPr>
              <w:t>Stage 2 Total Technical Score (Example Only)</w:t>
            </w:r>
          </w:p>
        </w:tc>
        <w:tc>
          <w:tcPr>
            <w:tcW w:w="1695" w:type="dxa"/>
            <w:shd w:val="clear" w:color="auto" w:fill="BFBFBF"/>
          </w:tcPr>
          <w:p w14:paraId="752E456F" w14:textId="237AE2DD"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bCs/>
              </w:rPr>
              <w:t xml:space="preserve">Stage 3 </w:t>
            </w:r>
            <w:r w:rsidRPr="003C5743">
              <w:rPr>
                <w:rFonts w:ascii="Arial" w:eastAsia="Times New Roman" w:hAnsi="Arial" w:cs="Arial"/>
                <w:b/>
              </w:rPr>
              <w:t>Weighted Through Life Supportability Evaluation</w:t>
            </w:r>
            <w:r w:rsidRPr="003C5743">
              <w:rPr>
                <w:rFonts w:ascii="Arial" w:eastAsia="Times New Roman" w:hAnsi="Arial" w:cs="Arial"/>
                <w:b/>
                <w:bCs/>
              </w:rPr>
              <w:t xml:space="preserve"> (Example Only)</w:t>
            </w:r>
          </w:p>
        </w:tc>
        <w:tc>
          <w:tcPr>
            <w:tcW w:w="1318" w:type="dxa"/>
            <w:shd w:val="clear" w:color="auto" w:fill="BFBFBF"/>
          </w:tcPr>
          <w:p w14:paraId="7AFBA692" w14:textId="0BB66D9E"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NPV Adjusted Price (Example Only)</w:t>
            </w:r>
          </w:p>
        </w:tc>
      </w:tr>
      <w:tr w:rsidR="003C5743" w:rsidRPr="003C5743" w14:paraId="6C87C9C0" w14:textId="1F3B19E8" w:rsidTr="00A05060">
        <w:trPr>
          <w:jc w:val="center"/>
        </w:trPr>
        <w:tc>
          <w:tcPr>
            <w:tcW w:w="950" w:type="dxa"/>
            <w:shd w:val="clear" w:color="auto" w:fill="auto"/>
          </w:tcPr>
          <w:p w14:paraId="5767EDFA"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A</w:t>
            </w:r>
          </w:p>
        </w:tc>
        <w:tc>
          <w:tcPr>
            <w:tcW w:w="1476" w:type="dxa"/>
          </w:tcPr>
          <w:p w14:paraId="49216D55"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463" w:type="dxa"/>
          </w:tcPr>
          <w:p w14:paraId="226C23BB"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695" w:type="dxa"/>
          </w:tcPr>
          <w:p w14:paraId="47F9FD83" w14:textId="4A94FA3F"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PASS</w:t>
            </w:r>
          </w:p>
        </w:tc>
        <w:tc>
          <w:tcPr>
            <w:tcW w:w="1231" w:type="dxa"/>
            <w:shd w:val="clear" w:color="auto" w:fill="auto"/>
          </w:tcPr>
          <w:p w14:paraId="29A38C36" w14:textId="316F35F2"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176</w:t>
            </w:r>
          </w:p>
        </w:tc>
        <w:tc>
          <w:tcPr>
            <w:tcW w:w="1695" w:type="dxa"/>
          </w:tcPr>
          <w:p w14:paraId="48A2121D" w14:textId="3C6CCA12" w:rsidR="00A05060" w:rsidRPr="003C5743" w:rsidRDefault="00007186"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5357</w:t>
            </w:r>
          </w:p>
        </w:tc>
        <w:tc>
          <w:tcPr>
            <w:tcW w:w="1318" w:type="dxa"/>
            <w:shd w:val="clear" w:color="auto" w:fill="auto"/>
          </w:tcPr>
          <w:p w14:paraId="0246ADD7" w14:textId="0CA225A9"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£1,235,732</w:t>
            </w:r>
          </w:p>
        </w:tc>
      </w:tr>
      <w:tr w:rsidR="003C5743" w:rsidRPr="003C5743" w14:paraId="11B43B9C" w14:textId="64BD0EAB" w:rsidTr="00A05060">
        <w:trPr>
          <w:jc w:val="center"/>
        </w:trPr>
        <w:tc>
          <w:tcPr>
            <w:tcW w:w="950" w:type="dxa"/>
            <w:shd w:val="clear" w:color="auto" w:fill="auto"/>
          </w:tcPr>
          <w:p w14:paraId="3053B0E2"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B</w:t>
            </w:r>
          </w:p>
        </w:tc>
        <w:tc>
          <w:tcPr>
            <w:tcW w:w="1476" w:type="dxa"/>
          </w:tcPr>
          <w:p w14:paraId="15B58853"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463" w:type="dxa"/>
          </w:tcPr>
          <w:p w14:paraId="703B90CC"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No</w:t>
            </w:r>
          </w:p>
        </w:tc>
        <w:tc>
          <w:tcPr>
            <w:tcW w:w="1695" w:type="dxa"/>
          </w:tcPr>
          <w:p w14:paraId="2ED472C8" w14:textId="1BCFFACB"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PASS</w:t>
            </w:r>
          </w:p>
        </w:tc>
        <w:tc>
          <w:tcPr>
            <w:tcW w:w="1231" w:type="dxa"/>
            <w:shd w:val="clear" w:color="auto" w:fill="auto"/>
          </w:tcPr>
          <w:p w14:paraId="382EC83D" w14:textId="5C30EB1A"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112</w:t>
            </w:r>
          </w:p>
        </w:tc>
        <w:tc>
          <w:tcPr>
            <w:tcW w:w="1695" w:type="dxa"/>
          </w:tcPr>
          <w:p w14:paraId="37D45BB5" w14:textId="3FB109BF" w:rsidR="00A05060" w:rsidRPr="003C5743" w:rsidRDefault="00C346AD"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4500</w:t>
            </w:r>
          </w:p>
        </w:tc>
        <w:tc>
          <w:tcPr>
            <w:tcW w:w="1318" w:type="dxa"/>
            <w:shd w:val="clear" w:color="auto" w:fill="auto"/>
          </w:tcPr>
          <w:p w14:paraId="75C495D0" w14:textId="0B1A8552"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£950,000</w:t>
            </w:r>
          </w:p>
        </w:tc>
      </w:tr>
      <w:tr w:rsidR="003C5743" w:rsidRPr="003C5743" w14:paraId="6DDE69D3" w14:textId="64B41FF0" w:rsidTr="00A05060">
        <w:trPr>
          <w:jc w:val="center"/>
        </w:trPr>
        <w:tc>
          <w:tcPr>
            <w:tcW w:w="950" w:type="dxa"/>
            <w:shd w:val="clear" w:color="auto" w:fill="auto"/>
          </w:tcPr>
          <w:p w14:paraId="4A5F8AA4"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C</w:t>
            </w:r>
          </w:p>
        </w:tc>
        <w:tc>
          <w:tcPr>
            <w:tcW w:w="1476" w:type="dxa"/>
          </w:tcPr>
          <w:p w14:paraId="4E568D8B"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 xml:space="preserve">Yes </w:t>
            </w:r>
          </w:p>
        </w:tc>
        <w:tc>
          <w:tcPr>
            <w:tcW w:w="1463" w:type="dxa"/>
          </w:tcPr>
          <w:p w14:paraId="6980F0C6"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695" w:type="dxa"/>
          </w:tcPr>
          <w:p w14:paraId="36861A0C" w14:textId="1B15DDA8"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PASS</w:t>
            </w:r>
          </w:p>
        </w:tc>
        <w:tc>
          <w:tcPr>
            <w:tcW w:w="1231" w:type="dxa"/>
            <w:shd w:val="clear" w:color="auto" w:fill="auto"/>
          </w:tcPr>
          <w:p w14:paraId="12A1CF9F" w14:textId="51F55A3C"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153</w:t>
            </w:r>
          </w:p>
        </w:tc>
        <w:tc>
          <w:tcPr>
            <w:tcW w:w="1695" w:type="dxa"/>
          </w:tcPr>
          <w:p w14:paraId="59AEAF6F" w14:textId="50B92B44" w:rsidR="00A05060" w:rsidRPr="003C5743" w:rsidRDefault="00C346AD"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6754</w:t>
            </w:r>
          </w:p>
        </w:tc>
        <w:tc>
          <w:tcPr>
            <w:tcW w:w="1318" w:type="dxa"/>
            <w:shd w:val="clear" w:color="auto" w:fill="auto"/>
          </w:tcPr>
          <w:p w14:paraId="64A6CB9E" w14:textId="32D4A3B4"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£1,356,721</w:t>
            </w:r>
          </w:p>
        </w:tc>
      </w:tr>
      <w:tr w:rsidR="003C5743" w:rsidRPr="003C5743" w14:paraId="7F6BE070" w14:textId="2C2336AC" w:rsidTr="00A05060">
        <w:trPr>
          <w:jc w:val="center"/>
        </w:trPr>
        <w:tc>
          <w:tcPr>
            <w:tcW w:w="950" w:type="dxa"/>
            <w:shd w:val="clear" w:color="auto" w:fill="auto"/>
          </w:tcPr>
          <w:p w14:paraId="088EC668"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D</w:t>
            </w:r>
          </w:p>
        </w:tc>
        <w:tc>
          <w:tcPr>
            <w:tcW w:w="1476" w:type="dxa"/>
          </w:tcPr>
          <w:p w14:paraId="685E35E8"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463" w:type="dxa"/>
          </w:tcPr>
          <w:p w14:paraId="0146F2FB"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695" w:type="dxa"/>
          </w:tcPr>
          <w:p w14:paraId="072E777A" w14:textId="181770C3"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FAIL</w:t>
            </w:r>
          </w:p>
        </w:tc>
        <w:tc>
          <w:tcPr>
            <w:tcW w:w="1231" w:type="dxa"/>
            <w:shd w:val="clear" w:color="auto" w:fill="auto"/>
          </w:tcPr>
          <w:p w14:paraId="19E437AA" w14:textId="047AD9A1"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151</w:t>
            </w:r>
          </w:p>
        </w:tc>
        <w:tc>
          <w:tcPr>
            <w:tcW w:w="1695" w:type="dxa"/>
          </w:tcPr>
          <w:p w14:paraId="63C16BB7" w14:textId="64FC33D2" w:rsidR="00A05060" w:rsidRPr="003C5743" w:rsidRDefault="006C3C87"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3022</w:t>
            </w:r>
          </w:p>
        </w:tc>
        <w:tc>
          <w:tcPr>
            <w:tcW w:w="1318" w:type="dxa"/>
            <w:shd w:val="clear" w:color="auto" w:fill="auto"/>
          </w:tcPr>
          <w:p w14:paraId="63383C3D" w14:textId="409C8ED4"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£1,189,621</w:t>
            </w:r>
          </w:p>
        </w:tc>
      </w:tr>
      <w:tr w:rsidR="003C5743" w:rsidRPr="003C5743" w14:paraId="4673B1F5" w14:textId="49FE3883" w:rsidTr="00A05060">
        <w:trPr>
          <w:jc w:val="center"/>
        </w:trPr>
        <w:tc>
          <w:tcPr>
            <w:tcW w:w="950" w:type="dxa"/>
            <w:shd w:val="clear" w:color="auto" w:fill="auto"/>
          </w:tcPr>
          <w:p w14:paraId="688E1CF9"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E</w:t>
            </w:r>
          </w:p>
        </w:tc>
        <w:tc>
          <w:tcPr>
            <w:tcW w:w="1476" w:type="dxa"/>
          </w:tcPr>
          <w:p w14:paraId="2EFA7910"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No</w:t>
            </w:r>
          </w:p>
        </w:tc>
        <w:tc>
          <w:tcPr>
            <w:tcW w:w="1463" w:type="dxa"/>
          </w:tcPr>
          <w:p w14:paraId="5A033746" w14:textId="7777777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695" w:type="dxa"/>
          </w:tcPr>
          <w:p w14:paraId="0428ECBE" w14:textId="6EA8739E"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PASS</w:t>
            </w:r>
          </w:p>
        </w:tc>
        <w:tc>
          <w:tcPr>
            <w:tcW w:w="1231" w:type="dxa"/>
            <w:shd w:val="clear" w:color="auto" w:fill="auto"/>
          </w:tcPr>
          <w:p w14:paraId="486C57D0" w14:textId="43208191"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196</w:t>
            </w:r>
          </w:p>
        </w:tc>
        <w:tc>
          <w:tcPr>
            <w:tcW w:w="1695" w:type="dxa"/>
          </w:tcPr>
          <w:p w14:paraId="1C729B4B" w14:textId="5463BA10" w:rsidR="00A05060" w:rsidRPr="003C5743" w:rsidRDefault="00C346AD"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8011</w:t>
            </w:r>
          </w:p>
        </w:tc>
        <w:tc>
          <w:tcPr>
            <w:tcW w:w="1318" w:type="dxa"/>
            <w:shd w:val="clear" w:color="auto" w:fill="auto"/>
          </w:tcPr>
          <w:p w14:paraId="7F71A92A" w14:textId="688524B9"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£1,798,598</w:t>
            </w:r>
          </w:p>
        </w:tc>
      </w:tr>
      <w:tr w:rsidR="00A05060" w:rsidRPr="003C5743" w14:paraId="3C3CFD0E" w14:textId="77777777" w:rsidTr="00A05060">
        <w:trPr>
          <w:jc w:val="center"/>
        </w:trPr>
        <w:tc>
          <w:tcPr>
            <w:tcW w:w="950" w:type="dxa"/>
            <w:shd w:val="clear" w:color="auto" w:fill="auto"/>
          </w:tcPr>
          <w:p w14:paraId="37D1FB96" w14:textId="0AC4DC87"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F</w:t>
            </w:r>
          </w:p>
        </w:tc>
        <w:tc>
          <w:tcPr>
            <w:tcW w:w="1476" w:type="dxa"/>
          </w:tcPr>
          <w:p w14:paraId="0DAD6CC8" w14:textId="3FF1CDB2"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463" w:type="dxa"/>
          </w:tcPr>
          <w:p w14:paraId="5132EC7A" w14:textId="56122D1D"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Yes</w:t>
            </w:r>
          </w:p>
        </w:tc>
        <w:tc>
          <w:tcPr>
            <w:tcW w:w="1695" w:type="dxa"/>
          </w:tcPr>
          <w:p w14:paraId="29A6EA86" w14:textId="09459B72"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PASS</w:t>
            </w:r>
          </w:p>
        </w:tc>
        <w:tc>
          <w:tcPr>
            <w:tcW w:w="1231" w:type="dxa"/>
            <w:shd w:val="clear" w:color="auto" w:fill="auto"/>
          </w:tcPr>
          <w:p w14:paraId="5CD68006" w14:textId="7178DE3B"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160</w:t>
            </w:r>
          </w:p>
        </w:tc>
        <w:tc>
          <w:tcPr>
            <w:tcW w:w="1695" w:type="dxa"/>
          </w:tcPr>
          <w:p w14:paraId="0C75B94A" w14:textId="4D75E77B" w:rsidR="00A05060" w:rsidRPr="003C5743" w:rsidRDefault="00007186"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4960</w:t>
            </w:r>
          </w:p>
        </w:tc>
        <w:tc>
          <w:tcPr>
            <w:tcW w:w="1318" w:type="dxa"/>
            <w:shd w:val="clear" w:color="auto" w:fill="auto"/>
          </w:tcPr>
          <w:p w14:paraId="2BFA4BDC" w14:textId="31BC5D4A" w:rsidR="00A05060" w:rsidRPr="003C5743" w:rsidRDefault="00A05060" w:rsidP="00A05060">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£1,047,068</w:t>
            </w:r>
          </w:p>
        </w:tc>
      </w:tr>
    </w:tbl>
    <w:p w14:paraId="5F7EEE07" w14:textId="77777777" w:rsidR="00155DC3" w:rsidRPr="003C5743" w:rsidRDefault="00155DC3" w:rsidP="00155DC3">
      <w:pPr>
        <w:spacing w:after="0" w:line="240" w:lineRule="auto"/>
        <w:ind w:left="567"/>
        <w:rPr>
          <w:rFonts w:ascii="Arial" w:eastAsia="Times New Roman" w:hAnsi="Arial" w:cs="Arial"/>
        </w:rPr>
      </w:pPr>
    </w:p>
    <w:p w14:paraId="2BD67F54" w14:textId="1EDDD036" w:rsidR="001E7798" w:rsidRPr="003C5743" w:rsidRDefault="00155DC3" w:rsidP="00EC24CB">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The evaluation is out of 100 (as this represents 100% of the total score) and in this example the split is </w:t>
      </w:r>
      <w:proofErr w:type="gramStart"/>
      <w:r w:rsidRPr="003C5743">
        <w:rPr>
          <w:rFonts w:ascii="Arial" w:eastAsia="Times New Roman" w:hAnsi="Arial" w:cs="Arial"/>
        </w:rPr>
        <w:t>5</w:t>
      </w:r>
      <w:r w:rsidR="00F732C9" w:rsidRPr="003C5743">
        <w:rPr>
          <w:rFonts w:ascii="Arial" w:eastAsia="Times New Roman" w:hAnsi="Arial" w:cs="Arial"/>
        </w:rPr>
        <w:t xml:space="preserve">5.5 </w:t>
      </w:r>
      <w:r w:rsidRPr="003C5743">
        <w:rPr>
          <w:rFonts w:ascii="Arial" w:eastAsia="Times New Roman" w:hAnsi="Arial" w:cs="Arial"/>
          <w:b/>
        </w:rPr>
        <w:t>:</w:t>
      </w:r>
      <w:proofErr w:type="gramEnd"/>
      <w:r w:rsidR="00F732C9" w:rsidRPr="003C5743">
        <w:rPr>
          <w:rFonts w:ascii="Arial" w:eastAsia="Times New Roman" w:hAnsi="Arial" w:cs="Arial"/>
        </w:rPr>
        <w:t xml:space="preserve"> 4.5 </w:t>
      </w:r>
      <w:r w:rsidR="00F732C9" w:rsidRPr="003C5743">
        <w:rPr>
          <w:rFonts w:ascii="Arial" w:eastAsia="Times New Roman" w:hAnsi="Arial" w:cs="Arial"/>
          <w:b/>
        </w:rPr>
        <w:t>:</w:t>
      </w:r>
      <w:r w:rsidR="00F732C9" w:rsidRPr="003C5743">
        <w:rPr>
          <w:rFonts w:ascii="Arial" w:eastAsia="Times New Roman" w:hAnsi="Arial" w:cs="Arial"/>
        </w:rPr>
        <w:t xml:space="preserve"> 40</w:t>
      </w:r>
      <w:r w:rsidRPr="003C5743">
        <w:rPr>
          <w:rFonts w:ascii="Arial" w:eastAsia="Times New Roman" w:hAnsi="Arial" w:cs="Arial"/>
        </w:rPr>
        <w:t>; Technical</w:t>
      </w:r>
      <w:r w:rsidR="00F732C9" w:rsidRPr="003C5743">
        <w:rPr>
          <w:rFonts w:ascii="Arial" w:eastAsia="Times New Roman" w:hAnsi="Arial" w:cs="Arial"/>
        </w:rPr>
        <w:t xml:space="preserve"> : Supportability :</w:t>
      </w:r>
      <w:r w:rsidRPr="003C5743">
        <w:rPr>
          <w:rFonts w:ascii="Arial" w:eastAsia="Times New Roman" w:hAnsi="Arial" w:cs="Arial"/>
        </w:rPr>
        <w:t xml:space="preserve"> Price.  A MEAT Technical Score of </w:t>
      </w:r>
      <w:r w:rsidR="00F732C9" w:rsidRPr="003C5743">
        <w:rPr>
          <w:rFonts w:ascii="Arial" w:eastAsia="Times New Roman" w:hAnsi="Arial" w:cs="Arial"/>
        </w:rPr>
        <w:t>55.5</w:t>
      </w:r>
      <w:r w:rsidRPr="003C5743">
        <w:rPr>
          <w:rFonts w:ascii="Arial" w:eastAsia="Times New Roman" w:hAnsi="Arial" w:cs="Arial"/>
        </w:rPr>
        <w:t xml:space="preserve"> is allocated to the best Total Technical Score of all</w:t>
      </w:r>
      <w:r w:rsidR="006B3E17" w:rsidRPr="003C5743">
        <w:rPr>
          <w:rFonts w:ascii="Arial" w:eastAsia="Times New Roman" w:hAnsi="Arial" w:cs="Arial"/>
        </w:rPr>
        <w:t xml:space="preserve"> compliant Tenders (Commercial, Technical, Project &amp; Supportability)</w:t>
      </w:r>
      <w:r w:rsidR="002313C6" w:rsidRPr="003C5743">
        <w:rPr>
          <w:rFonts w:ascii="Arial" w:eastAsia="Times New Roman" w:hAnsi="Arial" w:cs="Arial"/>
        </w:rPr>
        <w:t>, in this example Tender A</w:t>
      </w:r>
      <w:r w:rsidR="00EC24CB" w:rsidRPr="003C5743">
        <w:rPr>
          <w:rFonts w:ascii="Arial" w:eastAsia="Times New Roman" w:hAnsi="Arial" w:cs="Arial"/>
        </w:rPr>
        <w:t>.</w:t>
      </w:r>
    </w:p>
    <w:p w14:paraId="237E5D35" w14:textId="254D93A6" w:rsidR="00155DC3" w:rsidRPr="003C5743" w:rsidRDefault="00155DC3" w:rsidP="00155DC3">
      <w:pPr>
        <w:numPr>
          <w:ilvl w:val="0"/>
          <w:numId w:val="1"/>
        </w:numPr>
        <w:spacing w:after="240" w:line="240" w:lineRule="auto"/>
        <w:jc w:val="both"/>
        <w:rPr>
          <w:rFonts w:ascii="Arial" w:eastAsia="Times New Roman" w:hAnsi="Arial" w:cs="Arial"/>
        </w:rPr>
      </w:pPr>
      <w:r w:rsidRPr="003C5743">
        <w:rPr>
          <w:rFonts w:ascii="Arial" w:eastAsia="Times New Roman" w:hAnsi="Arial" w:cs="Arial"/>
        </w:rPr>
        <w:t xml:space="preserve"> MEAT Technical Scores for </w:t>
      </w:r>
      <w:r w:rsidR="00EC24CB" w:rsidRPr="003C5743">
        <w:rPr>
          <w:rFonts w:ascii="Arial" w:eastAsia="Times New Roman" w:hAnsi="Arial" w:cs="Arial"/>
        </w:rPr>
        <w:t xml:space="preserve">all </w:t>
      </w:r>
      <w:r w:rsidRPr="003C5743">
        <w:rPr>
          <w:rFonts w:ascii="Arial" w:eastAsia="Times New Roman" w:hAnsi="Arial" w:cs="Arial"/>
        </w:rPr>
        <w:t xml:space="preserve">other compliant </w:t>
      </w:r>
      <w:r w:rsidR="00EC24CB" w:rsidRPr="003C5743">
        <w:rPr>
          <w:rFonts w:ascii="Arial" w:eastAsia="Times New Roman" w:hAnsi="Arial" w:cs="Arial"/>
        </w:rPr>
        <w:t>T</w:t>
      </w:r>
      <w:r w:rsidRPr="003C5743">
        <w:rPr>
          <w:rFonts w:ascii="Arial" w:eastAsia="Times New Roman" w:hAnsi="Arial" w:cs="Arial"/>
        </w:rPr>
        <w:t xml:space="preserve">enders are calculated using a percentage difference method. For example, the MEAT Technical Score for </w:t>
      </w:r>
      <w:r w:rsidR="00972380" w:rsidRPr="003C5743">
        <w:rPr>
          <w:rFonts w:ascii="Arial" w:eastAsia="Times New Roman" w:hAnsi="Arial" w:cs="Arial"/>
        </w:rPr>
        <w:t>T</w:t>
      </w:r>
      <w:r w:rsidRPr="003C5743">
        <w:rPr>
          <w:rFonts w:ascii="Arial" w:eastAsia="Times New Roman" w:hAnsi="Arial" w:cs="Arial"/>
        </w:rPr>
        <w:t>ender C is calculated as follows:</w:t>
      </w:r>
    </w:p>
    <w:p w14:paraId="41CA8BDA" w14:textId="77777777" w:rsidR="00155DC3" w:rsidRPr="003C5743" w:rsidRDefault="00155DC3" w:rsidP="00155DC3">
      <w:pPr>
        <w:spacing w:after="0" w:line="240" w:lineRule="auto"/>
        <w:ind w:left="567"/>
        <w:rPr>
          <w:rFonts w:ascii="Arial" w:eastAsia="Times New Roman" w:hAnsi="Arial" w:cs="Arial"/>
        </w:rPr>
      </w:pPr>
      <m:oMathPara>
        <m:oMath>
          <m:r>
            <w:rPr>
              <w:rFonts w:ascii="Cambria Math" w:eastAsia="Times New Roman" w:hAnsi="Cambria Math" w:cs="Times New Roman"/>
              <w:szCs w:val="24"/>
            </w:rPr>
            <m:t>MEAT</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Technical</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Score</m:t>
          </m:r>
          <m:r>
            <m:rPr>
              <m:sty m:val="p"/>
            </m:rPr>
            <w:rPr>
              <w:rFonts w:ascii="Cambria Math" w:eastAsia="Times New Roman" w:hAnsi="Cambria Math" w:cs="Times New Roman"/>
              <w:szCs w:val="24"/>
            </w:rPr>
            <m:t>=</m:t>
          </m:r>
          <m:r>
            <w:rPr>
              <w:rFonts w:ascii="Cambria Math" w:eastAsia="Times New Roman" w:hAnsi="Cambria Math" w:cs="Times New Roman"/>
              <w:szCs w:val="24"/>
            </w:rPr>
            <m:t>Technical</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Ratio</m:t>
          </m:r>
          <m:r>
            <m:rPr>
              <m:sty m:val="p"/>
            </m:rPr>
            <w:rPr>
              <w:rFonts w:ascii="Cambria Math" w:eastAsia="Times New Roman" w:hAnsi="Cambria Math" w:cs="Times New Roman"/>
              <w:szCs w:val="24"/>
            </w:rPr>
            <m:t xml:space="preserve"> ×</m:t>
          </m:r>
          <m:f>
            <m:fPr>
              <m:ctrlPr>
                <w:rPr>
                  <w:rFonts w:ascii="Cambria Math" w:eastAsia="Times New Roman" w:hAnsi="Cambria Math" w:cs="Times New Roman"/>
                  <w:szCs w:val="24"/>
                </w:rPr>
              </m:ctrlPr>
            </m:fPr>
            <m:num>
              <m:r>
                <w:rPr>
                  <w:rFonts w:ascii="Cambria Math" w:eastAsia="Times New Roman" w:hAnsi="Cambria Math" w:cs="Times New Roman"/>
                  <w:szCs w:val="24"/>
                </w:rPr>
                <m:t>Total</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Technical Score</m:t>
              </m:r>
            </m:num>
            <m:den>
              <m:r>
                <w:rPr>
                  <w:rFonts w:ascii="Cambria Math" w:eastAsia="Times New Roman" w:hAnsi="Cambria Math" w:cs="Times New Roman"/>
                  <w:szCs w:val="24"/>
                </w:rPr>
                <m:t>Highest</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Total Technical Score</m:t>
              </m:r>
            </m:den>
          </m:f>
        </m:oMath>
      </m:oMathPara>
    </w:p>
    <w:p w14:paraId="1263FC9F" w14:textId="71F23658" w:rsidR="00155DC3" w:rsidRPr="003C5743" w:rsidRDefault="00155DC3" w:rsidP="00155DC3">
      <w:pPr>
        <w:spacing w:after="0" w:line="240" w:lineRule="auto"/>
        <w:ind w:left="567"/>
        <w:rPr>
          <w:rFonts w:ascii="Arial" w:eastAsia="Times New Roman" w:hAnsi="Arial" w:cs="Arial"/>
        </w:rPr>
      </w:pPr>
      <m:oMathPara>
        <m:oMath>
          <m:r>
            <w:rPr>
              <w:rFonts w:ascii="Cambria Math" w:eastAsia="Times New Roman" w:hAnsi="Cambria Math" w:cs="Times New Roman"/>
              <w:szCs w:val="24"/>
            </w:rPr>
            <m:t>MEAT</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Technical</m:t>
          </m:r>
          <m:r>
            <m:rPr>
              <m:sty m:val="p"/>
            </m:rPr>
            <w:rPr>
              <w:rFonts w:ascii="Cambria Math" w:eastAsia="Times New Roman" w:hAnsi="Cambria Math" w:cs="Times New Roman"/>
              <w:szCs w:val="24"/>
            </w:rPr>
            <m:t xml:space="preserve"> </m:t>
          </m:r>
          <m:r>
            <w:rPr>
              <w:rFonts w:ascii="Cambria Math" w:eastAsia="Times New Roman" w:hAnsi="Cambria Math" w:cs="Times New Roman"/>
              <w:szCs w:val="24"/>
            </w:rPr>
            <m:t>Score</m:t>
          </m:r>
          <m:r>
            <m:rPr>
              <m:sty m:val="p"/>
            </m:rPr>
            <w:rPr>
              <w:rFonts w:ascii="Cambria Math" w:eastAsia="Times New Roman" w:hAnsi="Cambria Math" w:cs="Times New Roman"/>
              <w:szCs w:val="24"/>
            </w:rPr>
            <m:t>=55.5 ×</m:t>
          </m:r>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153</m:t>
              </m:r>
            </m:num>
            <m:den>
              <m:r>
                <m:rPr>
                  <m:sty m:val="p"/>
                </m:rPr>
                <w:rPr>
                  <w:rFonts w:ascii="Cambria Math" w:eastAsia="Times New Roman" w:hAnsi="Cambria Math" w:cs="Times New Roman"/>
                  <w:szCs w:val="24"/>
                </w:rPr>
                <m:t>176</m:t>
              </m:r>
            </m:den>
          </m:f>
          <m:r>
            <m:rPr>
              <m:sty m:val="p"/>
            </m:rPr>
            <w:rPr>
              <w:rFonts w:ascii="Cambria Math" w:eastAsia="Times New Roman" w:hAnsi="Cambria Math" w:cs="Times New Roman"/>
              <w:szCs w:val="24"/>
            </w:rPr>
            <m:t>=55.5 ×0.869=48.24</m:t>
          </m:r>
        </m:oMath>
      </m:oMathPara>
    </w:p>
    <w:p w14:paraId="20DF0BBF" w14:textId="77777777" w:rsidR="00155DC3" w:rsidRPr="003C5743" w:rsidRDefault="00155DC3" w:rsidP="00155DC3">
      <w:pPr>
        <w:spacing w:after="0" w:line="240" w:lineRule="auto"/>
        <w:ind w:left="567"/>
        <w:rPr>
          <w:rFonts w:ascii="Arial" w:eastAsia="Times New Roman" w:hAnsi="Arial" w:cs="Arial"/>
        </w:rPr>
      </w:pPr>
    </w:p>
    <w:p w14:paraId="27D269C4" w14:textId="72035C64" w:rsidR="00155DC3" w:rsidRPr="003C5743" w:rsidRDefault="00155DC3" w:rsidP="00155DC3">
      <w:pPr>
        <w:tabs>
          <w:tab w:val="num" w:pos="567"/>
        </w:tabs>
        <w:overflowPunct w:val="0"/>
        <w:autoSpaceDE w:val="0"/>
        <w:autoSpaceDN w:val="0"/>
        <w:adjustRightInd w:val="0"/>
        <w:spacing w:after="220" w:line="240" w:lineRule="auto"/>
        <w:ind w:left="567" w:hanging="567"/>
        <w:textAlignment w:val="baseline"/>
        <w:rPr>
          <w:rFonts w:ascii="Arial" w:eastAsia="Times New Roman" w:hAnsi="Arial" w:cs="Arial"/>
        </w:rPr>
      </w:pPr>
      <w:r w:rsidRPr="003C5743">
        <w:rPr>
          <w:rFonts w:ascii="Arial" w:eastAsia="Times New Roman" w:hAnsi="Arial" w:cs="Arial"/>
        </w:rPr>
        <w:t>MEAT Technical Score = 4</w:t>
      </w:r>
      <w:r w:rsidR="004D3AF6" w:rsidRPr="003C5743">
        <w:rPr>
          <w:rFonts w:ascii="Arial" w:eastAsia="Times New Roman" w:hAnsi="Arial" w:cs="Arial"/>
        </w:rPr>
        <w:t>8</w:t>
      </w:r>
      <w:r w:rsidRPr="003C5743">
        <w:rPr>
          <w:rFonts w:ascii="Arial" w:eastAsia="Times New Roman" w:hAnsi="Arial" w:cs="Arial"/>
        </w:rPr>
        <w:t>.</w:t>
      </w:r>
      <w:r w:rsidR="004D3AF6" w:rsidRPr="003C5743">
        <w:rPr>
          <w:rFonts w:ascii="Arial" w:eastAsia="Times New Roman" w:hAnsi="Arial" w:cs="Arial"/>
        </w:rPr>
        <w:t>2</w:t>
      </w:r>
      <w:r w:rsidRPr="003C5743">
        <w:rPr>
          <w:rFonts w:ascii="Arial" w:eastAsia="Times New Roman" w:hAnsi="Arial" w:cs="Arial"/>
        </w:rPr>
        <w:t xml:space="preserve"> </w:t>
      </w:r>
    </w:p>
    <w:p w14:paraId="1E1B2D21" w14:textId="56EC709E" w:rsidR="00A811A4" w:rsidRPr="003C5743" w:rsidRDefault="0079243A" w:rsidP="00CA1D78">
      <w:pPr>
        <w:tabs>
          <w:tab w:val="num" w:pos="567"/>
        </w:tabs>
        <w:overflowPunct w:val="0"/>
        <w:autoSpaceDE w:val="0"/>
        <w:autoSpaceDN w:val="0"/>
        <w:adjustRightInd w:val="0"/>
        <w:spacing w:after="220" w:line="240" w:lineRule="auto"/>
        <w:ind w:left="567" w:hanging="567"/>
        <w:textAlignment w:val="baseline"/>
        <w:rPr>
          <w:rFonts w:ascii="Arial" w:eastAsia="Times New Roman" w:hAnsi="Arial" w:cs="Arial"/>
        </w:rPr>
      </w:pPr>
      <w:r w:rsidRPr="003C5743">
        <w:rPr>
          <w:rFonts w:ascii="Arial" w:eastAsia="Times New Roman" w:hAnsi="Arial" w:cs="Arial"/>
        </w:rPr>
        <w:t>D4</w:t>
      </w:r>
      <w:r w:rsidR="00736C8E" w:rsidRPr="003C5743">
        <w:rPr>
          <w:rFonts w:ascii="Arial" w:eastAsia="Times New Roman" w:hAnsi="Arial" w:cs="Arial"/>
        </w:rPr>
        <w:t>7</w:t>
      </w:r>
      <w:r w:rsidRPr="003C5743">
        <w:rPr>
          <w:rFonts w:ascii="Arial" w:eastAsia="Times New Roman" w:hAnsi="Arial" w:cs="Arial"/>
        </w:rPr>
        <w:t xml:space="preserve">. </w:t>
      </w:r>
      <w:bookmarkStart w:id="4" w:name="_Hlk7680019"/>
      <w:r w:rsidRPr="003C5743">
        <w:rPr>
          <w:rFonts w:ascii="Arial" w:eastAsia="Times New Roman" w:hAnsi="Arial" w:cs="Arial"/>
        </w:rPr>
        <w:t xml:space="preserve">Similarly, for Supportability, </w:t>
      </w:r>
      <w:r w:rsidR="00CA1D78" w:rsidRPr="003C5743">
        <w:rPr>
          <w:rFonts w:ascii="Arial" w:eastAsia="Times New Roman" w:hAnsi="Arial" w:cs="Arial"/>
        </w:rPr>
        <w:t>t</w:t>
      </w:r>
      <w:r w:rsidR="00A811A4" w:rsidRPr="003C5743">
        <w:rPr>
          <w:rFonts w:ascii="Arial" w:eastAsia="Times New Roman" w:hAnsi="Arial" w:cs="Arial"/>
        </w:rPr>
        <w:t xml:space="preserve">he Tenderer scoring the lowest </w:t>
      </w:r>
      <w:r w:rsidR="008D57E7" w:rsidRPr="003C5743">
        <w:rPr>
          <w:rFonts w:ascii="Arial" w:eastAsia="Times New Roman" w:hAnsi="Arial" w:cs="Arial"/>
        </w:rPr>
        <w:t xml:space="preserve">Weighted Through Life Supportability </w:t>
      </w:r>
      <w:r w:rsidR="00DC432F" w:rsidRPr="003C5743">
        <w:rPr>
          <w:rFonts w:ascii="Arial" w:eastAsia="Times New Roman" w:hAnsi="Arial" w:cs="Arial"/>
        </w:rPr>
        <w:t>(WTLS)</w:t>
      </w:r>
      <w:r w:rsidR="008D57E7" w:rsidRPr="003C5743">
        <w:rPr>
          <w:rFonts w:ascii="Arial" w:eastAsia="Times New Roman" w:hAnsi="Arial" w:cs="Arial"/>
        </w:rPr>
        <w:t xml:space="preserve"> Evaluation </w:t>
      </w:r>
      <w:r w:rsidR="00A811A4" w:rsidRPr="003C5743">
        <w:rPr>
          <w:rFonts w:ascii="Arial" w:eastAsia="Times New Roman" w:hAnsi="Arial" w:cs="Arial"/>
        </w:rPr>
        <w:t>Score shall be awarded 4.5</w:t>
      </w:r>
      <w:r w:rsidR="00866402" w:rsidRPr="003C5743">
        <w:rPr>
          <w:rFonts w:ascii="Arial" w:eastAsia="Times New Roman" w:hAnsi="Arial" w:cs="Arial"/>
        </w:rPr>
        <w:t xml:space="preserve"> points</w:t>
      </w:r>
      <w:r w:rsidR="00A811A4" w:rsidRPr="003C5743">
        <w:rPr>
          <w:rFonts w:ascii="Arial" w:eastAsia="Times New Roman" w:hAnsi="Arial" w:cs="Arial"/>
        </w:rPr>
        <w:t xml:space="preserve"> against the Supportability section of the ITN. The Tenderer scoring the highest Supportability Score shall be awarded 0</w:t>
      </w:r>
      <w:r w:rsidR="00866402" w:rsidRPr="003C5743">
        <w:rPr>
          <w:rFonts w:ascii="Arial" w:eastAsia="Times New Roman" w:hAnsi="Arial" w:cs="Arial"/>
        </w:rPr>
        <w:t xml:space="preserve"> points</w:t>
      </w:r>
      <w:r w:rsidR="00A811A4" w:rsidRPr="003C5743">
        <w:rPr>
          <w:rFonts w:ascii="Arial" w:eastAsia="Times New Roman" w:hAnsi="Arial" w:cs="Arial"/>
        </w:rPr>
        <w:t xml:space="preserve"> against the Supportability section of the ITN. All other Compliant Tenderers will be awarded a proportion of 4.5</w:t>
      </w:r>
      <w:r w:rsidR="00F35AB1" w:rsidRPr="003C5743">
        <w:rPr>
          <w:rFonts w:ascii="Arial" w:eastAsia="Times New Roman" w:hAnsi="Arial" w:cs="Arial"/>
        </w:rPr>
        <w:t xml:space="preserve"> points</w:t>
      </w:r>
      <w:r w:rsidR="00A811A4" w:rsidRPr="003C5743">
        <w:rPr>
          <w:rFonts w:ascii="Arial" w:eastAsia="Times New Roman" w:hAnsi="Arial" w:cs="Arial"/>
        </w:rPr>
        <w:t xml:space="preserve"> linearly interpolated between the highest and lowest score. </w:t>
      </w:r>
      <w:bookmarkEnd w:id="4"/>
      <w:r w:rsidR="00CA1D78" w:rsidRPr="003C5743">
        <w:rPr>
          <w:rFonts w:ascii="Arial" w:eastAsia="Times New Roman" w:hAnsi="Arial" w:cs="Arial"/>
        </w:rPr>
        <w:t xml:space="preserve">For example, the MEAT Supportability </w:t>
      </w:r>
      <w:r w:rsidR="004F6CC6" w:rsidRPr="003C5743">
        <w:rPr>
          <w:rFonts w:ascii="Arial" w:eastAsia="Times New Roman" w:hAnsi="Arial" w:cs="Arial"/>
        </w:rPr>
        <w:t>Score for Tender C is calculated as follows:</w:t>
      </w:r>
    </w:p>
    <w:p w14:paraId="3638E61B" w14:textId="65A3E2DF" w:rsidR="004F6CC6" w:rsidRPr="003C5743" w:rsidRDefault="00040CAF" w:rsidP="004F6CC6">
      <w:pPr>
        <w:autoSpaceDE w:val="0"/>
        <w:autoSpaceDN w:val="0"/>
        <w:adjustRightInd w:val="0"/>
        <w:spacing w:after="0" w:line="240" w:lineRule="auto"/>
        <w:ind w:left="567"/>
        <w:rPr>
          <w:rFonts w:ascii="Arial" w:eastAsia="Times New Roman" w:hAnsi="Arial" w:cs="Arial"/>
        </w:rPr>
      </w:pPr>
      <m:oMathPara>
        <m:oMath>
          <m:r>
            <w:rPr>
              <w:rFonts w:ascii="Cambria Math" w:eastAsia="Times New Roman" w:hAnsi="Cambria Math" w:cs="Cambria Math"/>
              <w:szCs w:val="24"/>
            </w:rPr>
            <m:t>M</m:t>
          </m:r>
          <m:r>
            <w:rPr>
              <w:rFonts w:ascii="Cambria Math" w:eastAsia="Times New Roman" w:hAnsi="Cambria Math" w:cs="Times New Roman"/>
              <w:szCs w:val="24"/>
            </w:rPr>
            <m:t>EAT WTLS Score=WTLS Ratio ×</m:t>
          </m:r>
          <m:f>
            <m:fPr>
              <m:ctrlPr>
                <w:rPr>
                  <w:rFonts w:ascii="Cambria Math" w:eastAsia="Times New Roman" w:hAnsi="Cambria Math" w:cs="Times New Roman"/>
                  <w:i/>
                  <w:szCs w:val="24"/>
                </w:rPr>
              </m:ctrlPr>
            </m:fPr>
            <m:num>
              <m:r>
                <w:rPr>
                  <w:rFonts w:ascii="Cambria Math" w:eastAsia="Times New Roman" w:hAnsi="Cambria Math" w:cs="Times New Roman"/>
                  <w:szCs w:val="24"/>
                </w:rPr>
                <m:t>Highest WTLS Score-Tender WTLS Score</m:t>
              </m:r>
            </m:num>
            <m:den>
              <m:r>
                <w:rPr>
                  <w:rFonts w:ascii="Cambria Math" w:eastAsia="Times New Roman" w:hAnsi="Cambria Math" w:cs="Times New Roman"/>
                  <w:szCs w:val="24"/>
                </w:rPr>
                <m:t>Highest WTLS Score-Lowest WTLS Score</m:t>
              </m:r>
            </m:den>
          </m:f>
        </m:oMath>
      </m:oMathPara>
    </w:p>
    <w:p w14:paraId="3FE06DCE" w14:textId="77777777" w:rsidR="004F6CC6" w:rsidRPr="003C5743" w:rsidRDefault="004F6CC6" w:rsidP="004F6CC6">
      <w:pPr>
        <w:autoSpaceDE w:val="0"/>
        <w:autoSpaceDN w:val="0"/>
        <w:adjustRightInd w:val="0"/>
        <w:spacing w:after="0" w:line="240" w:lineRule="auto"/>
        <w:ind w:left="567"/>
        <w:rPr>
          <w:rFonts w:ascii="Arial" w:eastAsia="Times New Roman" w:hAnsi="Arial" w:cs="Arial"/>
        </w:rPr>
      </w:pPr>
    </w:p>
    <w:p w14:paraId="1FE14311" w14:textId="7373833B" w:rsidR="004F6CC6" w:rsidRPr="003C5743" w:rsidRDefault="004F6CC6" w:rsidP="004F6CC6">
      <w:pPr>
        <w:autoSpaceDE w:val="0"/>
        <w:autoSpaceDN w:val="0"/>
        <w:adjustRightInd w:val="0"/>
        <w:spacing w:after="0" w:line="240" w:lineRule="auto"/>
        <w:ind w:left="567"/>
        <w:rPr>
          <w:rFonts w:ascii="Arial" w:eastAsia="Times New Roman" w:hAnsi="Arial" w:cs="Arial"/>
        </w:rPr>
      </w:pPr>
      <m:oMathPara>
        <m:oMath>
          <m:r>
            <w:rPr>
              <w:rFonts w:ascii="Cambria Math" w:eastAsia="Times New Roman" w:hAnsi="Cambria Math" w:cs="Times New Roman"/>
              <w:szCs w:val="24"/>
            </w:rPr>
            <m:t>MEAT WTLS Score=4.5 ×</m:t>
          </m:r>
          <m:f>
            <m:fPr>
              <m:ctrlPr>
                <w:rPr>
                  <w:rFonts w:ascii="Cambria Math" w:eastAsia="Times New Roman" w:hAnsi="Cambria Math" w:cs="Times New Roman"/>
                  <w:i/>
                  <w:szCs w:val="24"/>
                </w:rPr>
              </m:ctrlPr>
            </m:fPr>
            <m:num>
              <m:r>
                <w:rPr>
                  <w:rFonts w:ascii="Cambria Math" w:eastAsia="Times New Roman" w:hAnsi="Cambria Math" w:cs="Times New Roman"/>
                  <w:szCs w:val="24"/>
                </w:rPr>
                <m:t>6754 -6754</m:t>
              </m:r>
            </m:num>
            <m:den>
              <m:r>
                <w:rPr>
                  <w:rFonts w:ascii="Cambria Math" w:eastAsia="Times New Roman" w:hAnsi="Cambria Math" w:cs="Times New Roman"/>
                  <w:szCs w:val="24"/>
                </w:rPr>
                <m:t>6754-4960</m:t>
              </m:r>
            </m:den>
          </m:f>
          <m:r>
            <w:rPr>
              <w:rFonts w:ascii="Cambria Math" w:eastAsia="Times New Roman" w:hAnsi="Cambria Math" w:cs="Times New Roman"/>
              <w:szCs w:val="24"/>
            </w:rPr>
            <m:t>=4.5 ×0 =0</m:t>
          </m:r>
        </m:oMath>
      </m:oMathPara>
    </w:p>
    <w:p w14:paraId="5677ED3E" w14:textId="67D8E470" w:rsidR="00A811A4" w:rsidRPr="003C5743" w:rsidRDefault="00A811A4" w:rsidP="00155DC3">
      <w:pPr>
        <w:tabs>
          <w:tab w:val="num" w:pos="567"/>
        </w:tabs>
        <w:overflowPunct w:val="0"/>
        <w:autoSpaceDE w:val="0"/>
        <w:autoSpaceDN w:val="0"/>
        <w:adjustRightInd w:val="0"/>
        <w:spacing w:after="220" w:line="240" w:lineRule="auto"/>
        <w:ind w:left="567" w:hanging="567"/>
        <w:textAlignment w:val="baseline"/>
        <w:rPr>
          <w:rFonts w:ascii="Arial" w:eastAsia="Times New Roman" w:hAnsi="Arial" w:cs="Arial"/>
        </w:rPr>
      </w:pPr>
    </w:p>
    <w:p w14:paraId="5C615C34" w14:textId="2B369446" w:rsidR="00A811A4" w:rsidRPr="003C5743" w:rsidRDefault="004F6CC6" w:rsidP="004F6CC6">
      <w:pPr>
        <w:tabs>
          <w:tab w:val="num" w:pos="567"/>
        </w:tabs>
        <w:overflowPunct w:val="0"/>
        <w:autoSpaceDE w:val="0"/>
        <w:autoSpaceDN w:val="0"/>
        <w:adjustRightInd w:val="0"/>
        <w:spacing w:after="220" w:line="240" w:lineRule="auto"/>
        <w:ind w:left="567" w:hanging="567"/>
        <w:textAlignment w:val="baseline"/>
        <w:rPr>
          <w:rFonts w:ascii="Arial" w:eastAsia="Times New Roman" w:hAnsi="Arial" w:cs="Arial"/>
        </w:rPr>
      </w:pPr>
      <w:r w:rsidRPr="003C5743">
        <w:rPr>
          <w:rFonts w:ascii="Arial" w:eastAsia="Times New Roman" w:hAnsi="Arial" w:cs="Arial"/>
        </w:rPr>
        <w:t xml:space="preserve">MEAT Supportability Score = </w:t>
      </w:r>
      <w:r w:rsidR="00E059DC" w:rsidRPr="003C5743">
        <w:rPr>
          <w:rFonts w:ascii="Arial" w:eastAsia="Times New Roman" w:hAnsi="Arial" w:cs="Arial"/>
        </w:rPr>
        <w:t>1.</w:t>
      </w:r>
      <w:r w:rsidR="00E13897" w:rsidRPr="003C5743">
        <w:rPr>
          <w:rFonts w:ascii="Arial" w:eastAsia="Times New Roman" w:hAnsi="Arial" w:cs="Arial"/>
        </w:rPr>
        <w:t>9</w:t>
      </w:r>
    </w:p>
    <w:p w14:paraId="4E3053B4" w14:textId="7BDB0DAC" w:rsidR="00155DC3" w:rsidRPr="003C5743" w:rsidRDefault="00155DC3" w:rsidP="00736C8E">
      <w:pPr>
        <w:numPr>
          <w:ilvl w:val="0"/>
          <w:numId w:val="11"/>
        </w:numPr>
        <w:spacing w:after="240" w:line="240" w:lineRule="auto"/>
        <w:jc w:val="both"/>
        <w:rPr>
          <w:rFonts w:ascii="Arial" w:eastAsia="Times New Roman" w:hAnsi="Arial" w:cs="Arial"/>
        </w:rPr>
      </w:pPr>
      <w:r w:rsidRPr="003C5743">
        <w:rPr>
          <w:rFonts w:ascii="Arial" w:eastAsia="Times New Roman" w:hAnsi="Arial" w:cs="Arial"/>
        </w:rPr>
        <w:t xml:space="preserve">Similarly, for </w:t>
      </w:r>
      <w:r w:rsidR="0079243A" w:rsidRPr="003C5743">
        <w:rPr>
          <w:rFonts w:ascii="Arial" w:eastAsia="Times New Roman" w:hAnsi="Arial" w:cs="Arial"/>
        </w:rPr>
        <w:t>P</w:t>
      </w:r>
      <w:r w:rsidRPr="003C5743">
        <w:rPr>
          <w:rFonts w:ascii="Arial" w:eastAsia="Times New Roman" w:hAnsi="Arial" w:cs="Arial"/>
        </w:rPr>
        <w:t xml:space="preserve">rice, a MEAT Price Score of </w:t>
      </w:r>
      <w:r w:rsidR="004D3AF6" w:rsidRPr="003C5743">
        <w:rPr>
          <w:rFonts w:ascii="Arial" w:eastAsia="Times New Roman" w:hAnsi="Arial" w:cs="Arial"/>
        </w:rPr>
        <w:t>40</w:t>
      </w:r>
      <w:r w:rsidRPr="003C5743">
        <w:rPr>
          <w:rFonts w:ascii="Arial" w:eastAsia="Times New Roman" w:hAnsi="Arial" w:cs="Arial"/>
        </w:rPr>
        <w:t xml:space="preserve"> is allocated to the lowest NPV Adjusted Price of all </w:t>
      </w:r>
      <w:r w:rsidR="004D3AF6" w:rsidRPr="003C5743">
        <w:rPr>
          <w:rFonts w:ascii="Arial" w:eastAsia="Times New Roman" w:hAnsi="Arial" w:cs="Arial"/>
        </w:rPr>
        <w:t>other c</w:t>
      </w:r>
      <w:r w:rsidRPr="003C5743">
        <w:rPr>
          <w:rFonts w:ascii="Arial" w:eastAsia="Times New Roman" w:hAnsi="Arial" w:cs="Arial"/>
        </w:rPr>
        <w:t xml:space="preserve">ompliant tenders (Tender </w:t>
      </w:r>
      <w:r w:rsidR="00E505C0" w:rsidRPr="003C5743">
        <w:rPr>
          <w:rFonts w:ascii="Arial" w:eastAsia="Times New Roman" w:hAnsi="Arial" w:cs="Arial"/>
        </w:rPr>
        <w:t>F</w:t>
      </w:r>
      <w:r w:rsidRPr="003C5743">
        <w:rPr>
          <w:rFonts w:ascii="Arial" w:eastAsia="Times New Roman" w:hAnsi="Arial" w:cs="Arial"/>
        </w:rPr>
        <w:t>). MEAT Price Scores for</w:t>
      </w:r>
      <w:r w:rsidR="00E505C0" w:rsidRPr="003C5743">
        <w:rPr>
          <w:rFonts w:ascii="Arial" w:eastAsia="Times New Roman" w:hAnsi="Arial" w:cs="Arial"/>
        </w:rPr>
        <w:t xml:space="preserve"> all</w:t>
      </w:r>
      <w:r w:rsidRPr="003C5743">
        <w:rPr>
          <w:rFonts w:ascii="Arial" w:eastAsia="Times New Roman" w:hAnsi="Arial" w:cs="Arial"/>
        </w:rPr>
        <w:t xml:space="preserve"> other </w:t>
      </w:r>
      <w:r w:rsidR="00E505C0" w:rsidRPr="003C5743">
        <w:rPr>
          <w:rFonts w:ascii="Arial" w:eastAsia="Times New Roman" w:hAnsi="Arial" w:cs="Arial"/>
        </w:rPr>
        <w:t>compliant T</w:t>
      </w:r>
      <w:r w:rsidRPr="003C5743">
        <w:rPr>
          <w:rFonts w:ascii="Arial" w:eastAsia="Times New Roman" w:hAnsi="Arial" w:cs="Arial"/>
        </w:rPr>
        <w:t xml:space="preserve">enders are using a percentage difference method. For example, the MEAT </w:t>
      </w:r>
      <w:r w:rsidR="00E505C0" w:rsidRPr="003C5743">
        <w:rPr>
          <w:rFonts w:ascii="Arial" w:eastAsia="Times New Roman" w:hAnsi="Arial" w:cs="Arial"/>
        </w:rPr>
        <w:t>P</w:t>
      </w:r>
      <w:r w:rsidRPr="003C5743">
        <w:rPr>
          <w:rFonts w:ascii="Arial" w:eastAsia="Times New Roman" w:hAnsi="Arial" w:cs="Arial"/>
        </w:rPr>
        <w:t xml:space="preserve">rice </w:t>
      </w:r>
      <w:r w:rsidR="00E505C0" w:rsidRPr="003C5743">
        <w:rPr>
          <w:rFonts w:ascii="Arial" w:eastAsia="Times New Roman" w:hAnsi="Arial" w:cs="Arial"/>
        </w:rPr>
        <w:t>S</w:t>
      </w:r>
      <w:r w:rsidRPr="003C5743">
        <w:rPr>
          <w:rFonts w:ascii="Arial" w:eastAsia="Times New Roman" w:hAnsi="Arial" w:cs="Arial"/>
        </w:rPr>
        <w:t>core for Tender C is calculated as follows:</w:t>
      </w:r>
    </w:p>
    <w:p w14:paraId="2F07EF84" w14:textId="77777777" w:rsidR="00155DC3" w:rsidRPr="003C5743" w:rsidRDefault="00155DC3" w:rsidP="00155DC3">
      <w:pPr>
        <w:autoSpaceDE w:val="0"/>
        <w:autoSpaceDN w:val="0"/>
        <w:adjustRightInd w:val="0"/>
        <w:spacing w:after="0" w:line="240" w:lineRule="auto"/>
        <w:ind w:left="567"/>
        <w:rPr>
          <w:rFonts w:ascii="Arial" w:eastAsia="Times New Roman" w:hAnsi="Arial" w:cs="Arial"/>
        </w:rPr>
      </w:pPr>
      <m:oMathPara>
        <m:oMath>
          <m:r>
            <w:rPr>
              <w:rFonts w:ascii="Cambria Math" w:eastAsia="Times New Roman" w:hAnsi="Cambria Math" w:cs="Cambria Math"/>
              <w:szCs w:val="24"/>
            </w:rPr>
            <m:t>M</m:t>
          </m:r>
          <m:r>
            <w:rPr>
              <w:rFonts w:ascii="Cambria Math" w:eastAsia="Times New Roman" w:hAnsi="Cambria Math" w:cs="Times New Roman"/>
              <w:szCs w:val="24"/>
            </w:rPr>
            <m:t>EAT Price Score=Price Ratio ×</m:t>
          </m:r>
          <m:f>
            <m:fPr>
              <m:ctrlPr>
                <w:rPr>
                  <w:rFonts w:ascii="Cambria Math" w:eastAsia="Times New Roman" w:hAnsi="Cambria Math" w:cs="Times New Roman"/>
                  <w:i/>
                  <w:szCs w:val="24"/>
                </w:rPr>
              </m:ctrlPr>
            </m:fPr>
            <m:num>
              <m:r>
                <w:rPr>
                  <w:rFonts w:ascii="Cambria Math" w:eastAsia="Times New Roman" w:hAnsi="Cambria Math" w:cs="Times New Roman"/>
                  <w:szCs w:val="24"/>
                </w:rPr>
                <m:t>Lowest NPV Adjusted Price</m:t>
              </m:r>
            </m:num>
            <m:den>
              <m:r>
                <w:rPr>
                  <w:rFonts w:ascii="Cambria Math" w:eastAsia="Times New Roman" w:hAnsi="Cambria Math" w:cs="Times New Roman"/>
                  <w:szCs w:val="24"/>
                </w:rPr>
                <m:t>Tender NPV Adjusted Price</m:t>
              </m:r>
            </m:den>
          </m:f>
        </m:oMath>
      </m:oMathPara>
    </w:p>
    <w:p w14:paraId="5E7C6D99" w14:textId="77777777" w:rsidR="00155DC3" w:rsidRPr="003C5743" w:rsidRDefault="00155DC3" w:rsidP="00155DC3">
      <w:pPr>
        <w:autoSpaceDE w:val="0"/>
        <w:autoSpaceDN w:val="0"/>
        <w:adjustRightInd w:val="0"/>
        <w:spacing w:after="0" w:line="240" w:lineRule="auto"/>
        <w:ind w:left="567"/>
        <w:rPr>
          <w:rFonts w:ascii="Arial" w:eastAsia="Times New Roman" w:hAnsi="Arial" w:cs="Arial"/>
        </w:rPr>
      </w:pPr>
    </w:p>
    <w:p w14:paraId="66856DD5" w14:textId="06315ED6" w:rsidR="00155DC3" w:rsidRPr="003C5743" w:rsidRDefault="00155DC3" w:rsidP="00155DC3">
      <w:pPr>
        <w:autoSpaceDE w:val="0"/>
        <w:autoSpaceDN w:val="0"/>
        <w:adjustRightInd w:val="0"/>
        <w:spacing w:after="0" w:line="240" w:lineRule="auto"/>
        <w:ind w:left="567"/>
        <w:rPr>
          <w:rFonts w:ascii="Arial" w:eastAsia="Times New Roman" w:hAnsi="Arial" w:cs="Arial"/>
        </w:rPr>
      </w:pPr>
      <m:oMathPara>
        <m:oMath>
          <m:r>
            <w:rPr>
              <w:rFonts w:ascii="Cambria Math" w:eastAsia="Times New Roman" w:hAnsi="Cambria Math" w:cs="Times New Roman"/>
              <w:szCs w:val="24"/>
            </w:rPr>
            <m:t>MEAT Price Score=40 ×</m:t>
          </m:r>
          <m:f>
            <m:fPr>
              <m:ctrlPr>
                <w:rPr>
                  <w:rFonts w:ascii="Cambria Math" w:eastAsia="Times New Roman" w:hAnsi="Cambria Math" w:cs="Times New Roman"/>
                  <w:i/>
                  <w:szCs w:val="24"/>
                </w:rPr>
              </m:ctrlPr>
            </m:fPr>
            <m:num>
              <m:r>
                <w:rPr>
                  <w:rFonts w:ascii="Cambria Math" w:eastAsia="Times New Roman" w:hAnsi="Cambria Math" w:cs="Times New Roman"/>
                  <w:szCs w:val="24"/>
                </w:rPr>
                <m:t>1,047,068</m:t>
              </m:r>
            </m:num>
            <m:den>
              <m:r>
                <w:rPr>
                  <w:rFonts w:ascii="Cambria Math" w:eastAsia="Times New Roman" w:hAnsi="Cambria Math" w:cs="Times New Roman"/>
                  <w:szCs w:val="24"/>
                </w:rPr>
                <m:t>1,356,721</m:t>
              </m:r>
            </m:den>
          </m:f>
          <m:r>
            <w:rPr>
              <w:rFonts w:ascii="Cambria Math" w:eastAsia="Times New Roman" w:hAnsi="Cambria Math" w:cs="Times New Roman"/>
              <w:szCs w:val="24"/>
            </w:rPr>
            <m:t>=40 ×0.77 =30.87</m:t>
          </m:r>
        </m:oMath>
      </m:oMathPara>
    </w:p>
    <w:p w14:paraId="27D369C2" w14:textId="77777777" w:rsidR="00155DC3" w:rsidRPr="003C5743" w:rsidRDefault="00155DC3" w:rsidP="00155DC3">
      <w:pPr>
        <w:autoSpaceDE w:val="0"/>
        <w:autoSpaceDN w:val="0"/>
        <w:adjustRightInd w:val="0"/>
        <w:spacing w:after="0" w:line="240" w:lineRule="auto"/>
        <w:ind w:left="567"/>
        <w:rPr>
          <w:rFonts w:ascii="Arial" w:eastAsia="Times New Roman" w:hAnsi="Arial" w:cs="Arial"/>
        </w:rPr>
      </w:pPr>
    </w:p>
    <w:p w14:paraId="748D0819" w14:textId="1874F05D" w:rsidR="00155DC3" w:rsidRPr="003C5743" w:rsidRDefault="00155DC3" w:rsidP="00155DC3">
      <w:pPr>
        <w:tabs>
          <w:tab w:val="num" w:pos="567"/>
        </w:tabs>
        <w:overflowPunct w:val="0"/>
        <w:autoSpaceDE w:val="0"/>
        <w:autoSpaceDN w:val="0"/>
        <w:adjustRightInd w:val="0"/>
        <w:spacing w:after="220" w:line="240" w:lineRule="auto"/>
        <w:ind w:left="567" w:hanging="567"/>
        <w:textAlignment w:val="baseline"/>
        <w:rPr>
          <w:rFonts w:ascii="Arial" w:eastAsia="Times New Roman" w:hAnsi="Arial" w:cs="Arial"/>
        </w:rPr>
      </w:pPr>
      <w:r w:rsidRPr="003C5743">
        <w:rPr>
          <w:rFonts w:ascii="Arial" w:eastAsia="Times New Roman" w:hAnsi="Arial" w:cs="Arial"/>
        </w:rPr>
        <w:t xml:space="preserve">MEAT Price Score = </w:t>
      </w:r>
      <w:r w:rsidR="00890AB1" w:rsidRPr="003C5743">
        <w:rPr>
          <w:rFonts w:ascii="Arial" w:eastAsia="Times New Roman" w:hAnsi="Arial" w:cs="Arial"/>
        </w:rPr>
        <w:t>3</w:t>
      </w:r>
      <w:r w:rsidR="00607A15" w:rsidRPr="003C5743">
        <w:rPr>
          <w:rFonts w:ascii="Arial" w:eastAsia="Times New Roman" w:hAnsi="Arial" w:cs="Arial"/>
        </w:rPr>
        <w:t>0</w:t>
      </w:r>
      <w:r w:rsidRPr="003C5743">
        <w:rPr>
          <w:rFonts w:ascii="Arial" w:eastAsia="Times New Roman" w:hAnsi="Arial" w:cs="Arial"/>
        </w:rPr>
        <w:t>.</w:t>
      </w:r>
      <w:r w:rsidR="00E13897" w:rsidRPr="003C5743">
        <w:rPr>
          <w:rFonts w:ascii="Arial" w:eastAsia="Times New Roman" w:hAnsi="Arial" w:cs="Arial"/>
        </w:rPr>
        <w:t>9</w:t>
      </w:r>
      <w:r w:rsidRPr="003C5743">
        <w:rPr>
          <w:rFonts w:ascii="Arial" w:eastAsia="Times New Roman" w:hAnsi="Arial" w:cs="Arial"/>
        </w:rPr>
        <w:t xml:space="preserve"> </w:t>
      </w:r>
    </w:p>
    <w:p w14:paraId="1DDB85D3" w14:textId="6C31F5C5" w:rsidR="00F9544B" w:rsidRPr="003C5743" w:rsidRDefault="00155DC3" w:rsidP="00736C8E">
      <w:pPr>
        <w:numPr>
          <w:ilvl w:val="0"/>
          <w:numId w:val="11"/>
        </w:numPr>
        <w:spacing w:after="240" w:line="240" w:lineRule="auto"/>
        <w:jc w:val="both"/>
        <w:rPr>
          <w:rFonts w:ascii="Arial" w:eastAsia="Times New Roman" w:hAnsi="Arial" w:cs="Arial"/>
        </w:rPr>
      </w:pPr>
      <w:r w:rsidRPr="003C5743">
        <w:rPr>
          <w:rFonts w:ascii="Arial" w:eastAsia="Times New Roman" w:hAnsi="Arial" w:cs="Arial"/>
        </w:rPr>
        <w:t xml:space="preserve">The </w:t>
      </w:r>
      <w:r w:rsidR="00430EC2" w:rsidRPr="003C5743">
        <w:rPr>
          <w:rFonts w:ascii="Arial" w:eastAsia="Times New Roman" w:hAnsi="Arial" w:cs="Arial"/>
        </w:rPr>
        <w:t>T</w:t>
      </w:r>
      <w:r w:rsidRPr="003C5743">
        <w:rPr>
          <w:rFonts w:ascii="Arial" w:eastAsia="Times New Roman" w:hAnsi="Arial" w:cs="Arial"/>
        </w:rPr>
        <w:t xml:space="preserve">echnical, </w:t>
      </w:r>
      <w:r w:rsidR="00186636" w:rsidRPr="003C5743">
        <w:rPr>
          <w:rFonts w:ascii="Arial" w:eastAsia="Times New Roman" w:hAnsi="Arial" w:cs="Arial"/>
        </w:rPr>
        <w:t>Weighted Through Life Supportability</w:t>
      </w:r>
      <w:r w:rsidR="00F86949" w:rsidRPr="003C5743">
        <w:rPr>
          <w:rFonts w:ascii="Arial" w:eastAsia="Times New Roman" w:hAnsi="Arial" w:cs="Arial"/>
        </w:rPr>
        <w:t xml:space="preserve"> (WTLS)</w:t>
      </w:r>
      <w:r w:rsidR="00186636" w:rsidRPr="003C5743">
        <w:rPr>
          <w:rFonts w:ascii="Arial" w:eastAsia="Times New Roman" w:hAnsi="Arial" w:cs="Arial"/>
        </w:rPr>
        <w:t xml:space="preserve"> Evaluation </w:t>
      </w:r>
      <w:r w:rsidRPr="003C5743">
        <w:rPr>
          <w:rFonts w:ascii="Arial" w:eastAsia="Times New Roman" w:hAnsi="Arial" w:cs="Arial"/>
        </w:rPr>
        <w:t xml:space="preserve">and </w:t>
      </w:r>
      <w:r w:rsidR="00430EC2" w:rsidRPr="003C5743">
        <w:rPr>
          <w:rFonts w:ascii="Arial" w:eastAsia="Times New Roman" w:hAnsi="Arial" w:cs="Arial"/>
        </w:rPr>
        <w:t>P</w:t>
      </w:r>
      <w:r w:rsidRPr="003C5743">
        <w:rPr>
          <w:rFonts w:ascii="Arial" w:eastAsia="Times New Roman" w:hAnsi="Arial" w:cs="Arial"/>
        </w:rPr>
        <w:t xml:space="preserve">ricing scores are added together to give a total score that takes account of all award criteria. For Tender C this would be </w:t>
      </w:r>
      <w:r w:rsidR="00237586" w:rsidRPr="003C5743">
        <w:rPr>
          <w:rFonts w:ascii="Arial" w:eastAsia="Times New Roman" w:hAnsi="Arial" w:cs="Arial"/>
        </w:rPr>
        <w:t>48.2 (Technical) +</w:t>
      </w:r>
      <w:r w:rsidR="00E36C61" w:rsidRPr="003C5743">
        <w:rPr>
          <w:rFonts w:ascii="Arial" w:eastAsia="Times New Roman" w:hAnsi="Arial" w:cs="Arial"/>
        </w:rPr>
        <w:t xml:space="preserve"> </w:t>
      </w:r>
      <w:r w:rsidR="001909A3">
        <w:rPr>
          <w:rFonts w:ascii="Arial" w:eastAsia="Times New Roman" w:hAnsi="Arial" w:cs="Arial"/>
        </w:rPr>
        <w:t>0</w:t>
      </w:r>
      <w:r w:rsidR="0092702C" w:rsidRPr="003C5743">
        <w:rPr>
          <w:rFonts w:ascii="Arial" w:eastAsia="Times New Roman" w:hAnsi="Arial" w:cs="Arial"/>
        </w:rPr>
        <w:t xml:space="preserve"> (Supportability)</w:t>
      </w:r>
      <w:r w:rsidRPr="003C5743">
        <w:rPr>
          <w:rFonts w:ascii="Arial" w:eastAsia="Times New Roman" w:hAnsi="Arial" w:cs="Arial"/>
        </w:rPr>
        <w:t xml:space="preserve"> +</w:t>
      </w:r>
      <w:r w:rsidR="00607A15" w:rsidRPr="003C5743">
        <w:rPr>
          <w:rFonts w:ascii="Arial" w:eastAsia="Times New Roman" w:hAnsi="Arial" w:cs="Arial"/>
        </w:rPr>
        <w:t xml:space="preserve"> 30.</w:t>
      </w:r>
      <w:r w:rsidR="00646DF1" w:rsidRPr="003C5743">
        <w:rPr>
          <w:rFonts w:ascii="Arial" w:eastAsia="Times New Roman" w:hAnsi="Arial" w:cs="Arial"/>
        </w:rPr>
        <w:t>9</w:t>
      </w:r>
      <w:r w:rsidR="00E36C61" w:rsidRPr="003C5743">
        <w:rPr>
          <w:rFonts w:ascii="Arial" w:eastAsia="Times New Roman" w:hAnsi="Arial" w:cs="Arial"/>
        </w:rPr>
        <w:t xml:space="preserve"> </w:t>
      </w:r>
      <w:r w:rsidR="0092702C" w:rsidRPr="003C5743">
        <w:rPr>
          <w:rFonts w:ascii="Arial" w:eastAsia="Times New Roman" w:hAnsi="Arial" w:cs="Arial"/>
        </w:rPr>
        <w:t>(Price)</w:t>
      </w:r>
      <w:r w:rsidRPr="003C5743">
        <w:rPr>
          <w:rFonts w:ascii="Arial" w:eastAsia="Times New Roman" w:hAnsi="Arial" w:cs="Arial"/>
        </w:rPr>
        <w:t xml:space="preserve"> = </w:t>
      </w:r>
      <w:r w:rsidR="0078024F" w:rsidRPr="003C5743">
        <w:rPr>
          <w:rFonts w:ascii="Arial" w:eastAsia="Times New Roman" w:hAnsi="Arial" w:cs="Arial"/>
        </w:rPr>
        <w:t>81.0</w:t>
      </w:r>
      <w:r w:rsidR="007721DC" w:rsidRPr="003C5743">
        <w:rPr>
          <w:rFonts w:ascii="Arial" w:eastAsia="Times New Roman" w:hAnsi="Arial" w:cs="Arial"/>
        </w:rPr>
        <w:t xml:space="preserve"> (Total).</w:t>
      </w:r>
      <w:r w:rsidRPr="003C5743">
        <w:rPr>
          <w:rFonts w:ascii="Arial" w:eastAsia="Times New Roman" w:hAnsi="Arial" w:cs="Arial"/>
        </w:rPr>
        <w:t xml:space="preserve"> The results of the MEAT analysis for all example tenderers are given in Table </w:t>
      </w:r>
      <w:r w:rsidR="00CF3683" w:rsidRPr="003C5743">
        <w:rPr>
          <w:rFonts w:ascii="Arial" w:eastAsia="Times New Roman" w:hAnsi="Arial" w:cs="Arial"/>
        </w:rPr>
        <w:t>5</w:t>
      </w:r>
      <w:r w:rsidRPr="003C5743">
        <w:rPr>
          <w:rFonts w:ascii="Arial" w:eastAsia="Times New Roman" w:hAnsi="Arial" w:cs="Arial"/>
        </w:rPr>
        <w:t>.</w:t>
      </w:r>
    </w:p>
    <w:p w14:paraId="6CEEC21A" w14:textId="19B87AE1" w:rsidR="00A73B2B" w:rsidRDefault="00A73B2B" w:rsidP="00A73B2B">
      <w:pPr>
        <w:spacing w:after="240" w:line="240" w:lineRule="auto"/>
        <w:ind w:left="360"/>
        <w:jc w:val="both"/>
        <w:rPr>
          <w:rFonts w:ascii="Arial" w:eastAsia="Times New Roman" w:hAnsi="Arial" w:cs="Arial"/>
        </w:rPr>
      </w:pPr>
    </w:p>
    <w:p w14:paraId="554EBAAA" w14:textId="77777777" w:rsidR="00302578" w:rsidRPr="003C5743" w:rsidRDefault="00302578" w:rsidP="00A73B2B">
      <w:pPr>
        <w:spacing w:after="240" w:line="240" w:lineRule="auto"/>
        <w:ind w:left="360"/>
        <w:jc w:val="both"/>
        <w:rPr>
          <w:rFonts w:ascii="Arial" w:eastAsia="Times New Roman" w:hAnsi="Arial" w:cs="Arial"/>
        </w:rPr>
      </w:pPr>
    </w:p>
    <w:p w14:paraId="50844561" w14:textId="5E7940D0" w:rsidR="00155DC3" w:rsidRPr="003C5743" w:rsidRDefault="00155DC3" w:rsidP="005F7FF3">
      <w:pPr>
        <w:spacing w:after="0" w:line="240" w:lineRule="auto"/>
        <w:jc w:val="center"/>
        <w:rPr>
          <w:rFonts w:ascii="Arial" w:eastAsia="Times New Roman" w:hAnsi="Arial" w:cs="Arial"/>
          <w:u w:val="single"/>
        </w:rPr>
      </w:pPr>
      <w:r w:rsidRPr="003C5743">
        <w:rPr>
          <w:rFonts w:ascii="Arial" w:eastAsia="Times New Roman" w:hAnsi="Arial" w:cs="Arial"/>
          <w:u w:val="single"/>
        </w:rPr>
        <w:t xml:space="preserve">Table </w:t>
      </w:r>
      <w:r w:rsidR="00CF3683" w:rsidRPr="003C5743">
        <w:rPr>
          <w:rFonts w:ascii="Arial" w:eastAsia="Times New Roman" w:hAnsi="Arial" w:cs="Arial"/>
          <w:u w:val="single"/>
        </w:rPr>
        <w:t>5</w:t>
      </w:r>
      <w:r w:rsidRPr="003C5743">
        <w:rPr>
          <w:rFonts w:ascii="Arial" w:eastAsia="Times New Roman" w:hAnsi="Arial" w:cs="Arial"/>
          <w:u w:val="single"/>
        </w:rPr>
        <w:t xml:space="preserve"> – MEAT Example – Results of </w:t>
      </w:r>
      <w:r w:rsidR="00F8213D" w:rsidRPr="003C5743">
        <w:rPr>
          <w:rFonts w:ascii="Arial" w:eastAsia="Times New Roman" w:hAnsi="Arial" w:cs="Arial"/>
          <w:u w:val="single"/>
        </w:rPr>
        <w:t>6</w:t>
      </w:r>
      <w:r w:rsidRPr="003C5743">
        <w:rPr>
          <w:rFonts w:ascii="Arial" w:eastAsia="Times New Roman" w:hAnsi="Arial" w:cs="Arial"/>
          <w:u w:val="single"/>
        </w:rPr>
        <w:t xml:space="preserve"> Tenders</w:t>
      </w:r>
    </w:p>
    <w:p w14:paraId="52DE25D6" w14:textId="77777777" w:rsidR="00155DC3" w:rsidRPr="003C5743" w:rsidRDefault="00155DC3" w:rsidP="00155DC3">
      <w:pPr>
        <w:spacing w:after="0" w:line="240" w:lineRule="auto"/>
        <w:rPr>
          <w:rFonts w:ascii="Arial" w:eastAsia="Times New Roman" w:hAnsi="Arial" w:cs="Arial"/>
          <w:highlight w:val="yellow"/>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570"/>
        <w:gridCol w:w="1601"/>
        <w:gridCol w:w="1887"/>
        <w:gridCol w:w="1513"/>
        <w:gridCol w:w="1285"/>
      </w:tblGrid>
      <w:tr w:rsidR="003C5743" w:rsidRPr="003C5743" w14:paraId="2F1E8B33" w14:textId="67D3882E" w:rsidTr="00091D4A">
        <w:trPr>
          <w:jc w:val="center"/>
        </w:trPr>
        <w:tc>
          <w:tcPr>
            <w:tcW w:w="1160" w:type="dxa"/>
            <w:shd w:val="clear" w:color="auto" w:fill="BFBFBF"/>
          </w:tcPr>
          <w:p w14:paraId="0C4F7D3E" w14:textId="77777777"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Tender</w:t>
            </w:r>
          </w:p>
        </w:tc>
        <w:tc>
          <w:tcPr>
            <w:tcW w:w="1570" w:type="dxa"/>
            <w:shd w:val="clear" w:color="auto" w:fill="BFBFBF"/>
          </w:tcPr>
          <w:p w14:paraId="0CDBC6EB" w14:textId="0624ED34"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bCs/>
              </w:rPr>
            </w:pPr>
            <w:r w:rsidRPr="003C5743">
              <w:rPr>
                <w:rFonts w:ascii="Arial" w:eastAsia="Times New Roman" w:hAnsi="Arial" w:cs="Arial"/>
                <w:b/>
                <w:bCs/>
              </w:rPr>
              <w:t>Stage 8 MEAT Technical Score (Example Only)</w:t>
            </w:r>
          </w:p>
        </w:tc>
        <w:tc>
          <w:tcPr>
            <w:tcW w:w="1601" w:type="dxa"/>
            <w:shd w:val="clear" w:color="auto" w:fill="BFBFBF"/>
          </w:tcPr>
          <w:p w14:paraId="2E34A448" w14:textId="63516D74" w:rsidR="00250E67"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bCs/>
              </w:rPr>
            </w:pPr>
            <w:r w:rsidRPr="003C5743">
              <w:rPr>
                <w:rFonts w:ascii="Arial" w:eastAsia="Times New Roman" w:hAnsi="Arial" w:cs="Arial"/>
                <w:b/>
                <w:bCs/>
              </w:rPr>
              <w:t xml:space="preserve">Stage </w:t>
            </w:r>
            <w:r w:rsidR="00250E67" w:rsidRPr="003C5743">
              <w:rPr>
                <w:rFonts w:ascii="Arial" w:eastAsia="Times New Roman" w:hAnsi="Arial" w:cs="Arial"/>
                <w:b/>
                <w:bCs/>
              </w:rPr>
              <w:t>8</w:t>
            </w:r>
          </w:p>
          <w:p w14:paraId="0E05EA2F" w14:textId="2DEDA012" w:rsidR="00091D4A" w:rsidRPr="003C5743" w:rsidRDefault="00250E67"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bCs/>
              </w:rPr>
              <w:t>MEAT</w:t>
            </w:r>
            <w:r w:rsidR="00091D4A" w:rsidRPr="003C5743">
              <w:rPr>
                <w:rFonts w:ascii="Arial" w:eastAsia="Times New Roman" w:hAnsi="Arial" w:cs="Arial"/>
                <w:b/>
                <w:bCs/>
              </w:rPr>
              <w:t xml:space="preserve"> </w:t>
            </w:r>
            <w:r w:rsidR="00091D4A" w:rsidRPr="003C5743">
              <w:rPr>
                <w:rFonts w:ascii="Arial" w:eastAsia="Times New Roman" w:hAnsi="Arial" w:cs="Arial"/>
                <w:b/>
              </w:rPr>
              <w:t>WTLS</w:t>
            </w:r>
            <w:r w:rsidR="00091D4A" w:rsidRPr="003C5743">
              <w:rPr>
                <w:rFonts w:ascii="Arial" w:eastAsia="Times New Roman" w:hAnsi="Arial" w:cs="Arial"/>
                <w:b/>
                <w:bCs/>
              </w:rPr>
              <w:t xml:space="preserve"> (Example Only)</w:t>
            </w:r>
          </w:p>
        </w:tc>
        <w:tc>
          <w:tcPr>
            <w:tcW w:w="1887" w:type="dxa"/>
            <w:shd w:val="clear" w:color="auto" w:fill="BFBFBF"/>
          </w:tcPr>
          <w:p w14:paraId="666AED4D" w14:textId="15791783"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Stage 8 MEAT Price Score (Example Only)</w:t>
            </w:r>
          </w:p>
        </w:tc>
        <w:tc>
          <w:tcPr>
            <w:tcW w:w="1513" w:type="dxa"/>
            <w:shd w:val="clear" w:color="auto" w:fill="BFBFBF"/>
          </w:tcPr>
          <w:p w14:paraId="1D857372" w14:textId="4606F82A"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Total MEAT Score (Example Only)</w:t>
            </w:r>
          </w:p>
        </w:tc>
        <w:tc>
          <w:tcPr>
            <w:tcW w:w="1285" w:type="dxa"/>
            <w:shd w:val="clear" w:color="auto" w:fill="BFBFBF"/>
          </w:tcPr>
          <w:p w14:paraId="391C4040" w14:textId="61816BFF"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b/>
              </w:rPr>
            </w:pPr>
            <w:r w:rsidRPr="003C5743">
              <w:rPr>
                <w:rFonts w:ascii="Arial" w:eastAsia="Times New Roman" w:hAnsi="Arial" w:cs="Arial"/>
                <w:b/>
              </w:rPr>
              <w:t>Tender Ranking (Example Only)</w:t>
            </w:r>
          </w:p>
        </w:tc>
      </w:tr>
      <w:tr w:rsidR="003C5743" w:rsidRPr="003C5743" w14:paraId="23831C6C" w14:textId="3F4E99E7" w:rsidTr="00091D4A">
        <w:trPr>
          <w:jc w:val="center"/>
        </w:trPr>
        <w:tc>
          <w:tcPr>
            <w:tcW w:w="1160" w:type="dxa"/>
            <w:shd w:val="clear" w:color="auto" w:fill="auto"/>
          </w:tcPr>
          <w:p w14:paraId="41CEF067" w14:textId="77777777"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A</w:t>
            </w:r>
          </w:p>
        </w:tc>
        <w:tc>
          <w:tcPr>
            <w:tcW w:w="1570" w:type="dxa"/>
            <w:shd w:val="clear" w:color="auto" w:fill="auto"/>
          </w:tcPr>
          <w:p w14:paraId="72D65636" w14:textId="4DC58788" w:rsidR="00091D4A" w:rsidRPr="003C5743" w:rsidRDefault="009A241F"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55.5</w:t>
            </w:r>
          </w:p>
        </w:tc>
        <w:tc>
          <w:tcPr>
            <w:tcW w:w="1601" w:type="dxa"/>
          </w:tcPr>
          <w:p w14:paraId="6EDCDCA3" w14:textId="5CD38BAD" w:rsidR="00091D4A" w:rsidRPr="003C5743" w:rsidRDefault="006F446C"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3.</w:t>
            </w:r>
            <w:r w:rsidR="0078024F" w:rsidRPr="003C5743">
              <w:rPr>
                <w:rFonts w:ascii="Arial" w:eastAsia="Times New Roman" w:hAnsi="Arial" w:cs="Arial"/>
              </w:rPr>
              <w:t>9</w:t>
            </w:r>
          </w:p>
        </w:tc>
        <w:tc>
          <w:tcPr>
            <w:tcW w:w="1887" w:type="dxa"/>
            <w:shd w:val="clear" w:color="auto" w:fill="auto"/>
          </w:tcPr>
          <w:p w14:paraId="23B64BB5" w14:textId="333292CD" w:rsidR="00091D4A" w:rsidRPr="003C5743" w:rsidRDefault="006A1FBE"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33.9</w:t>
            </w:r>
          </w:p>
        </w:tc>
        <w:tc>
          <w:tcPr>
            <w:tcW w:w="1513" w:type="dxa"/>
          </w:tcPr>
          <w:p w14:paraId="77EAA8AC" w14:textId="6850F825" w:rsidR="00091D4A" w:rsidRPr="003C5743" w:rsidRDefault="0048007F"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93</w:t>
            </w:r>
            <w:r w:rsidR="006A1FBE" w:rsidRPr="003C5743">
              <w:rPr>
                <w:rFonts w:ascii="Arial" w:eastAsia="Times New Roman" w:hAnsi="Arial" w:cs="Arial"/>
              </w:rPr>
              <w:t>.3</w:t>
            </w:r>
          </w:p>
        </w:tc>
        <w:tc>
          <w:tcPr>
            <w:tcW w:w="1285" w:type="dxa"/>
          </w:tcPr>
          <w:p w14:paraId="45731260" w14:textId="23D63AD7" w:rsidR="00091D4A" w:rsidRPr="003C5743" w:rsidRDefault="00815615"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2nd</w:t>
            </w:r>
          </w:p>
        </w:tc>
      </w:tr>
      <w:tr w:rsidR="003C5743" w:rsidRPr="003C5743" w14:paraId="101E5AF2" w14:textId="26A58A99" w:rsidTr="003C5743">
        <w:trPr>
          <w:jc w:val="center"/>
        </w:trPr>
        <w:tc>
          <w:tcPr>
            <w:tcW w:w="1160" w:type="dxa"/>
            <w:shd w:val="clear" w:color="auto" w:fill="auto"/>
          </w:tcPr>
          <w:p w14:paraId="77E62184" w14:textId="77777777" w:rsidR="00EE78F3" w:rsidRPr="003C5743" w:rsidRDefault="00EE78F3"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B</w:t>
            </w:r>
          </w:p>
        </w:tc>
        <w:tc>
          <w:tcPr>
            <w:tcW w:w="7856" w:type="dxa"/>
            <w:gridSpan w:val="5"/>
            <w:shd w:val="clear" w:color="auto" w:fill="auto"/>
          </w:tcPr>
          <w:p w14:paraId="37C2DFD5" w14:textId="14F141FA" w:rsidR="00EE78F3" w:rsidRPr="003C5743" w:rsidRDefault="00EE78F3"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Not Scored as Technically Non-Compliant</w:t>
            </w:r>
          </w:p>
        </w:tc>
      </w:tr>
      <w:tr w:rsidR="003C5743" w:rsidRPr="003C5743" w14:paraId="74233C43" w14:textId="013410C2" w:rsidTr="00091D4A">
        <w:trPr>
          <w:jc w:val="center"/>
        </w:trPr>
        <w:tc>
          <w:tcPr>
            <w:tcW w:w="1160" w:type="dxa"/>
            <w:shd w:val="clear" w:color="auto" w:fill="auto"/>
          </w:tcPr>
          <w:p w14:paraId="7793A44B" w14:textId="77777777"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C</w:t>
            </w:r>
          </w:p>
        </w:tc>
        <w:tc>
          <w:tcPr>
            <w:tcW w:w="1570" w:type="dxa"/>
            <w:shd w:val="clear" w:color="auto" w:fill="auto"/>
          </w:tcPr>
          <w:p w14:paraId="41227B64" w14:textId="36424265" w:rsidR="00091D4A" w:rsidRPr="003C5743" w:rsidRDefault="00EF1DF8"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48.2</w:t>
            </w:r>
          </w:p>
        </w:tc>
        <w:tc>
          <w:tcPr>
            <w:tcW w:w="1601" w:type="dxa"/>
          </w:tcPr>
          <w:p w14:paraId="084967E1" w14:textId="10CCEFCB" w:rsidR="00091D4A" w:rsidRPr="003C5743" w:rsidRDefault="001909A3"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Pr>
                <w:rFonts w:ascii="Arial" w:eastAsia="Times New Roman" w:hAnsi="Arial" w:cs="Arial"/>
              </w:rPr>
              <w:t>0</w:t>
            </w:r>
          </w:p>
        </w:tc>
        <w:tc>
          <w:tcPr>
            <w:tcW w:w="1887" w:type="dxa"/>
            <w:shd w:val="clear" w:color="auto" w:fill="auto"/>
          </w:tcPr>
          <w:p w14:paraId="62E48731" w14:textId="432DD197" w:rsidR="00091D4A" w:rsidRPr="003C5743" w:rsidRDefault="00782CBE"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30.</w:t>
            </w:r>
            <w:r w:rsidR="00FC3C9F" w:rsidRPr="003C5743">
              <w:rPr>
                <w:rFonts w:ascii="Arial" w:eastAsia="Times New Roman" w:hAnsi="Arial" w:cs="Arial"/>
              </w:rPr>
              <w:t>9</w:t>
            </w:r>
          </w:p>
        </w:tc>
        <w:tc>
          <w:tcPr>
            <w:tcW w:w="1513" w:type="dxa"/>
          </w:tcPr>
          <w:p w14:paraId="68DBF79D" w14:textId="6DA3A177" w:rsidR="00091D4A" w:rsidRPr="003C5743" w:rsidRDefault="00DD6E1C"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8</w:t>
            </w:r>
            <w:r w:rsidR="00C1334A" w:rsidRPr="003C5743">
              <w:rPr>
                <w:rFonts w:ascii="Arial" w:eastAsia="Times New Roman" w:hAnsi="Arial" w:cs="Arial"/>
              </w:rPr>
              <w:t>1.0</w:t>
            </w:r>
          </w:p>
        </w:tc>
        <w:tc>
          <w:tcPr>
            <w:tcW w:w="1285" w:type="dxa"/>
          </w:tcPr>
          <w:p w14:paraId="4573A4A3" w14:textId="750C2E0D" w:rsidR="00091D4A" w:rsidRPr="003C5743" w:rsidRDefault="00815615"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3rd</w:t>
            </w:r>
          </w:p>
        </w:tc>
      </w:tr>
      <w:tr w:rsidR="003C5743" w:rsidRPr="003C5743" w14:paraId="25A68ABB" w14:textId="0ED6FD53" w:rsidTr="003C5743">
        <w:trPr>
          <w:jc w:val="center"/>
        </w:trPr>
        <w:tc>
          <w:tcPr>
            <w:tcW w:w="1160" w:type="dxa"/>
            <w:shd w:val="clear" w:color="auto" w:fill="auto"/>
          </w:tcPr>
          <w:p w14:paraId="06CBD1E7" w14:textId="77777777" w:rsidR="00AB18DD" w:rsidRPr="003C5743" w:rsidRDefault="00AB18DD"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D</w:t>
            </w:r>
          </w:p>
        </w:tc>
        <w:tc>
          <w:tcPr>
            <w:tcW w:w="7856" w:type="dxa"/>
            <w:gridSpan w:val="5"/>
            <w:shd w:val="clear" w:color="auto" w:fill="auto"/>
          </w:tcPr>
          <w:p w14:paraId="68C11FF5" w14:textId="144B0B8B" w:rsidR="00AB18DD" w:rsidRPr="003C5743" w:rsidRDefault="00AB18DD"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Not Scored as Supportability FAIL</w:t>
            </w:r>
          </w:p>
        </w:tc>
      </w:tr>
      <w:tr w:rsidR="003C5743" w:rsidRPr="003C5743" w14:paraId="7ABCB4D8" w14:textId="7B6C170E" w:rsidTr="003C5743">
        <w:trPr>
          <w:jc w:val="center"/>
        </w:trPr>
        <w:tc>
          <w:tcPr>
            <w:tcW w:w="1160" w:type="dxa"/>
            <w:shd w:val="clear" w:color="auto" w:fill="auto"/>
          </w:tcPr>
          <w:p w14:paraId="0124FF4E" w14:textId="77777777" w:rsidR="00EE78F3" w:rsidRPr="003C5743" w:rsidRDefault="00EE78F3"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E</w:t>
            </w:r>
          </w:p>
        </w:tc>
        <w:tc>
          <w:tcPr>
            <w:tcW w:w="7856" w:type="dxa"/>
            <w:gridSpan w:val="5"/>
            <w:shd w:val="clear" w:color="auto" w:fill="auto"/>
          </w:tcPr>
          <w:p w14:paraId="7CBD7256" w14:textId="40BA4D35" w:rsidR="00EE78F3" w:rsidRPr="003C5743" w:rsidRDefault="00EE78F3"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Not Scored as Commercially Non-Compliant</w:t>
            </w:r>
          </w:p>
        </w:tc>
      </w:tr>
      <w:tr w:rsidR="00091D4A" w:rsidRPr="003C5743" w14:paraId="7096C973" w14:textId="32417589" w:rsidTr="00091D4A">
        <w:trPr>
          <w:jc w:val="center"/>
        </w:trPr>
        <w:tc>
          <w:tcPr>
            <w:tcW w:w="1160" w:type="dxa"/>
            <w:shd w:val="clear" w:color="auto" w:fill="auto"/>
          </w:tcPr>
          <w:p w14:paraId="3472B483" w14:textId="77777777" w:rsidR="00091D4A" w:rsidRPr="003C5743" w:rsidRDefault="00091D4A" w:rsidP="00F24432">
            <w:pPr>
              <w:tabs>
                <w:tab w:val="num" w:pos="567"/>
              </w:tabs>
              <w:overflowPunct w:val="0"/>
              <w:autoSpaceDE w:val="0"/>
              <w:autoSpaceDN w:val="0"/>
              <w:adjustRightInd w:val="0"/>
              <w:spacing w:before="60" w:after="60" w:line="240" w:lineRule="auto"/>
              <w:textAlignment w:val="baseline"/>
              <w:rPr>
                <w:rFonts w:ascii="Arial" w:eastAsia="Times New Roman" w:hAnsi="Arial" w:cs="Arial"/>
              </w:rPr>
            </w:pPr>
            <w:r w:rsidRPr="003C5743">
              <w:rPr>
                <w:rFonts w:ascii="Arial" w:eastAsia="Times New Roman" w:hAnsi="Arial" w:cs="Arial"/>
              </w:rPr>
              <w:t>F</w:t>
            </w:r>
          </w:p>
        </w:tc>
        <w:tc>
          <w:tcPr>
            <w:tcW w:w="1570" w:type="dxa"/>
            <w:shd w:val="clear" w:color="auto" w:fill="auto"/>
          </w:tcPr>
          <w:p w14:paraId="493DA79B" w14:textId="011FCF90" w:rsidR="00091D4A" w:rsidRPr="003C5743" w:rsidRDefault="00E57B75"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50.</w:t>
            </w:r>
            <w:r w:rsidR="00AB18DD" w:rsidRPr="003C5743">
              <w:rPr>
                <w:rFonts w:ascii="Arial" w:eastAsia="Times New Roman" w:hAnsi="Arial" w:cs="Arial"/>
              </w:rPr>
              <w:t>5</w:t>
            </w:r>
          </w:p>
        </w:tc>
        <w:tc>
          <w:tcPr>
            <w:tcW w:w="1601" w:type="dxa"/>
          </w:tcPr>
          <w:p w14:paraId="35851472" w14:textId="2FBB7067" w:rsidR="00091D4A" w:rsidRPr="003C5743" w:rsidRDefault="00637424"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4.5</w:t>
            </w:r>
          </w:p>
        </w:tc>
        <w:tc>
          <w:tcPr>
            <w:tcW w:w="1887" w:type="dxa"/>
            <w:shd w:val="clear" w:color="auto" w:fill="auto"/>
          </w:tcPr>
          <w:p w14:paraId="5D53BD6C" w14:textId="19D1E2BA" w:rsidR="00091D4A" w:rsidRPr="003C5743" w:rsidRDefault="00782CBE"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40</w:t>
            </w:r>
          </w:p>
        </w:tc>
        <w:tc>
          <w:tcPr>
            <w:tcW w:w="1513" w:type="dxa"/>
          </w:tcPr>
          <w:p w14:paraId="405E593D" w14:textId="67430D37" w:rsidR="00091D4A" w:rsidRPr="003C5743" w:rsidRDefault="00696422"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95</w:t>
            </w:r>
            <w:r w:rsidR="006A1FBE" w:rsidRPr="003C5743">
              <w:rPr>
                <w:rFonts w:ascii="Arial" w:eastAsia="Times New Roman" w:hAnsi="Arial" w:cs="Arial"/>
              </w:rPr>
              <w:t>.0</w:t>
            </w:r>
          </w:p>
        </w:tc>
        <w:tc>
          <w:tcPr>
            <w:tcW w:w="1285" w:type="dxa"/>
          </w:tcPr>
          <w:p w14:paraId="1446DF9D" w14:textId="78A6A332" w:rsidR="00091D4A" w:rsidRPr="003C5743" w:rsidRDefault="007C65D7" w:rsidP="007C65D7">
            <w:pPr>
              <w:tabs>
                <w:tab w:val="num" w:pos="567"/>
              </w:tabs>
              <w:overflowPunct w:val="0"/>
              <w:autoSpaceDE w:val="0"/>
              <w:autoSpaceDN w:val="0"/>
              <w:adjustRightInd w:val="0"/>
              <w:spacing w:before="60" w:after="60" w:line="240" w:lineRule="auto"/>
              <w:jc w:val="center"/>
              <w:textAlignment w:val="baseline"/>
              <w:rPr>
                <w:rFonts w:ascii="Arial" w:eastAsia="Times New Roman" w:hAnsi="Arial" w:cs="Arial"/>
              </w:rPr>
            </w:pPr>
            <w:r w:rsidRPr="003C5743">
              <w:rPr>
                <w:rFonts w:ascii="Arial" w:eastAsia="Times New Roman" w:hAnsi="Arial" w:cs="Arial"/>
              </w:rPr>
              <w:t>1</w:t>
            </w:r>
            <w:r w:rsidR="00815615" w:rsidRPr="003C5743">
              <w:rPr>
                <w:rFonts w:ascii="Arial" w:eastAsia="Times New Roman" w:hAnsi="Arial" w:cs="Arial"/>
              </w:rPr>
              <w:t>st</w:t>
            </w:r>
          </w:p>
        </w:tc>
      </w:tr>
    </w:tbl>
    <w:p w14:paraId="2F5E5E4E" w14:textId="77777777" w:rsidR="00155DC3" w:rsidRPr="003C5743" w:rsidRDefault="00155DC3" w:rsidP="00155DC3">
      <w:pPr>
        <w:spacing w:after="0" w:line="240" w:lineRule="auto"/>
        <w:rPr>
          <w:rFonts w:ascii="Arial" w:eastAsia="Times New Roman" w:hAnsi="Arial" w:cs="Arial"/>
          <w:highlight w:val="yellow"/>
        </w:rPr>
      </w:pPr>
    </w:p>
    <w:p w14:paraId="5254AED3" w14:textId="3DBA3BF8" w:rsidR="00155DC3" w:rsidRPr="003C5743" w:rsidRDefault="00155DC3" w:rsidP="00155DC3">
      <w:pPr>
        <w:spacing w:after="0" w:line="240" w:lineRule="auto"/>
        <w:rPr>
          <w:rFonts w:ascii="Arial" w:eastAsia="Times New Roman" w:hAnsi="Arial" w:cs="Arial"/>
          <w:highlight w:val="yellow"/>
        </w:rPr>
      </w:pPr>
    </w:p>
    <w:p w14:paraId="15C3C25A" w14:textId="0C07A7C7" w:rsidR="00155DC3" w:rsidRPr="003C5743" w:rsidRDefault="00155DC3" w:rsidP="00155DC3">
      <w:pPr>
        <w:tabs>
          <w:tab w:val="left" w:pos="567"/>
        </w:tabs>
        <w:overflowPunct w:val="0"/>
        <w:autoSpaceDE w:val="0"/>
        <w:autoSpaceDN w:val="0"/>
        <w:adjustRightInd w:val="0"/>
        <w:spacing w:after="0" w:line="240" w:lineRule="auto"/>
        <w:textAlignment w:val="baseline"/>
        <w:rPr>
          <w:rFonts w:ascii="Arial" w:eastAsia="Times New Roman" w:hAnsi="Arial" w:cs="Arial"/>
          <w:b/>
          <w:bCs/>
          <w:u w:val="single"/>
        </w:rPr>
      </w:pPr>
      <w:r w:rsidRPr="003C5743">
        <w:rPr>
          <w:rFonts w:ascii="Arial" w:eastAsia="Times New Roman" w:hAnsi="Arial" w:cs="Arial"/>
          <w:b/>
          <w:bCs/>
          <w:u w:val="single"/>
        </w:rPr>
        <w:t xml:space="preserve">Stage </w:t>
      </w:r>
      <w:r w:rsidR="00302578">
        <w:rPr>
          <w:rFonts w:ascii="Arial" w:eastAsia="Times New Roman" w:hAnsi="Arial" w:cs="Arial"/>
          <w:b/>
          <w:bCs/>
          <w:u w:val="single"/>
        </w:rPr>
        <w:t>8</w:t>
      </w:r>
      <w:r w:rsidRPr="003C5743">
        <w:rPr>
          <w:rFonts w:ascii="Arial" w:eastAsia="Times New Roman" w:hAnsi="Arial" w:cs="Arial"/>
          <w:b/>
          <w:bCs/>
          <w:u w:val="single"/>
        </w:rPr>
        <w:t xml:space="preserve"> – Best and Final Offer</w:t>
      </w:r>
    </w:p>
    <w:p w14:paraId="1203A72D" w14:textId="77777777" w:rsidR="00155DC3" w:rsidRPr="003C5743" w:rsidRDefault="00155DC3" w:rsidP="00155DC3">
      <w:pPr>
        <w:spacing w:after="0" w:line="240" w:lineRule="auto"/>
        <w:ind w:left="720" w:hanging="360"/>
        <w:rPr>
          <w:rFonts w:ascii="Arial" w:eastAsia="Times New Roman" w:hAnsi="Arial" w:cs="Arial"/>
          <w:b/>
        </w:rPr>
      </w:pPr>
    </w:p>
    <w:p w14:paraId="313130D5" w14:textId="1B52E9B3" w:rsidR="00155DC3" w:rsidRPr="003C5743" w:rsidRDefault="0436572F" w:rsidP="00736C8E">
      <w:pPr>
        <w:numPr>
          <w:ilvl w:val="0"/>
          <w:numId w:val="11"/>
        </w:numPr>
        <w:spacing w:after="240" w:line="240" w:lineRule="auto"/>
        <w:jc w:val="both"/>
        <w:rPr>
          <w:rFonts w:ascii="Arial" w:eastAsia="Times New Roman" w:hAnsi="Arial" w:cs="Arial"/>
        </w:rPr>
      </w:pPr>
      <w:r w:rsidRPr="003C5743">
        <w:rPr>
          <w:rFonts w:ascii="Arial" w:eastAsia="Times New Roman" w:hAnsi="Arial" w:cs="Arial"/>
        </w:rPr>
        <w:t xml:space="preserve">Once the revised Tenders have been evaluated each Tenderer will be informed of their </w:t>
      </w:r>
      <w:r w:rsidRPr="00283947">
        <w:rPr>
          <w:rFonts w:ascii="Arial" w:eastAsia="Times New Roman" w:hAnsi="Arial" w:cs="Arial"/>
        </w:rPr>
        <w:t>ranking</w:t>
      </w:r>
      <w:r w:rsidR="00283947" w:rsidRPr="00283947">
        <w:rPr>
          <w:rFonts w:ascii="Arial" w:eastAsia="Times New Roman" w:hAnsi="Arial" w:cs="Arial"/>
        </w:rPr>
        <w:t xml:space="preserve">, </w:t>
      </w:r>
      <w:r w:rsidRPr="003C5743">
        <w:rPr>
          <w:rFonts w:ascii="Arial" w:eastAsia="Times New Roman" w:hAnsi="Arial" w:cs="Arial"/>
        </w:rPr>
        <w:t xml:space="preserve">based on the MEAT calculation, and given the opportunity to resubmit a Best and Final Offer (BAFO), limited to changes in Annex D – Pricing and Rates only. The ranking of each Tender will be treated as being commercially sensitive and will be shared with the individual Tenderer only. </w:t>
      </w:r>
    </w:p>
    <w:p w14:paraId="472B19CB" w14:textId="7440390B" w:rsidR="00155DC3" w:rsidRDefault="00155DC3" w:rsidP="00736C8E">
      <w:pPr>
        <w:numPr>
          <w:ilvl w:val="0"/>
          <w:numId w:val="11"/>
        </w:numPr>
        <w:spacing w:after="240" w:line="240" w:lineRule="auto"/>
        <w:jc w:val="both"/>
        <w:rPr>
          <w:rFonts w:ascii="Arial" w:eastAsia="Times New Roman" w:hAnsi="Arial" w:cs="Arial"/>
        </w:rPr>
      </w:pPr>
      <w:r w:rsidRPr="003C5743">
        <w:rPr>
          <w:rFonts w:ascii="Arial" w:eastAsia="Times New Roman" w:hAnsi="Arial" w:cs="Arial"/>
        </w:rPr>
        <w:lastRenderedPageBreak/>
        <w:t>The Tenderers will be advised by the Authority of the date on which the BAFO is to be submitted to the Authority which shall be submitted in accordance with Section E of this DEFFORM 47.</w:t>
      </w:r>
    </w:p>
    <w:p w14:paraId="5ED9410C" w14:textId="2DBC79C5" w:rsidR="00A31C9D" w:rsidRPr="003C5743" w:rsidRDefault="00CF318B" w:rsidP="00736C8E">
      <w:pPr>
        <w:numPr>
          <w:ilvl w:val="0"/>
          <w:numId w:val="11"/>
        </w:numPr>
        <w:spacing w:after="240" w:line="240" w:lineRule="auto"/>
        <w:jc w:val="both"/>
        <w:rPr>
          <w:rFonts w:ascii="Arial" w:eastAsia="Times New Roman" w:hAnsi="Arial" w:cs="Arial"/>
        </w:rPr>
      </w:pPr>
      <w:r>
        <w:rPr>
          <w:rFonts w:ascii="Arial" w:eastAsia="Times New Roman" w:hAnsi="Arial" w:cs="Arial"/>
        </w:rPr>
        <w:t xml:space="preserve">Should there be only one Tenderer left in the competition </w:t>
      </w:r>
      <w:r w:rsidR="00EE2796">
        <w:rPr>
          <w:rFonts w:ascii="Arial" w:eastAsia="Times New Roman" w:hAnsi="Arial" w:cs="Arial"/>
        </w:rPr>
        <w:t xml:space="preserve">following completion of </w:t>
      </w:r>
      <w:r w:rsidR="009970E9">
        <w:rPr>
          <w:rFonts w:ascii="Arial" w:eastAsia="Times New Roman" w:hAnsi="Arial" w:cs="Arial"/>
        </w:rPr>
        <w:t xml:space="preserve">Stage </w:t>
      </w:r>
      <w:r w:rsidR="00302578">
        <w:rPr>
          <w:rFonts w:ascii="Arial" w:eastAsia="Times New Roman" w:hAnsi="Arial" w:cs="Arial"/>
        </w:rPr>
        <w:t>7</w:t>
      </w:r>
      <w:r w:rsidR="00F9069A">
        <w:rPr>
          <w:rFonts w:ascii="Arial" w:eastAsia="Times New Roman" w:hAnsi="Arial" w:cs="Arial"/>
        </w:rPr>
        <w:t xml:space="preserve">, Stage </w:t>
      </w:r>
      <w:r w:rsidR="00302578">
        <w:rPr>
          <w:rFonts w:ascii="Arial" w:eastAsia="Times New Roman" w:hAnsi="Arial" w:cs="Arial"/>
        </w:rPr>
        <w:t>8</w:t>
      </w:r>
      <w:r w:rsidR="00F9069A">
        <w:rPr>
          <w:rFonts w:ascii="Arial" w:eastAsia="Times New Roman" w:hAnsi="Arial" w:cs="Arial"/>
        </w:rPr>
        <w:t xml:space="preserve"> will not take place and the evaluation of tenders received will move to Stage </w:t>
      </w:r>
      <w:r w:rsidR="00302578">
        <w:rPr>
          <w:rFonts w:ascii="Arial" w:eastAsia="Times New Roman" w:hAnsi="Arial" w:cs="Arial"/>
        </w:rPr>
        <w:t>9</w:t>
      </w:r>
      <w:r w:rsidR="00F9069A">
        <w:rPr>
          <w:rFonts w:ascii="Arial" w:eastAsia="Times New Roman" w:hAnsi="Arial" w:cs="Arial"/>
        </w:rPr>
        <w:t xml:space="preserve"> below. </w:t>
      </w:r>
    </w:p>
    <w:p w14:paraId="5B896659" w14:textId="77777777" w:rsidR="00155DC3" w:rsidRPr="003C5743" w:rsidRDefault="00155DC3" w:rsidP="00155DC3">
      <w:pPr>
        <w:spacing w:after="0" w:line="240" w:lineRule="auto"/>
        <w:rPr>
          <w:rFonts w:ascii="Arial" w:eastAsia="Times New Roman" w:hAnsi="Arial" w:cs="Arial"/>
        </w:rPr>
      </w:pPr>
    </w:p>
    <w:p w14:paraId="412849DC" w14:textId="1F02A21B" w:rsidR="00155DC3" w:rsidRPr="003C5743" w:rsidRDefault="00155DC3" w:rsidP="00155DC3">
      <w:pPr>
        <w:tabs>
          <w:tab w:val="left" w:pos="567"/>
        </w:tabs>
        <w:overflowPunct w:val="0"/>
        <w:autoSpaceDE w:val="0"/>
        <w:autoSpaceDN w:val="0"/>
        <w:adjustRightInd w:val="0"/>
        <w:spacing w:after="0" w:line="240" w:lineRule="auto"/>
        <w:textAlignment w:val="baseline"/>
        <w:rPr>
          <w:rFonts w:ascii="Arial" w:eastAsia="Times New Roman" w:hAnsi="Arial" w:cs="Arial"/>
          <w:b/>
          <w:u w:val="single"/>
        </w:rPr>
      </w:pPr>
      <w:r w:rsidRPr="003C5743">
        <w:rPr>
          <w:rFonts w:ascii="Arial" w:eastAsia="Times New Roman" w:hAnsi="Arial" w:cs="Arial"/>
          <w:b/>
          <w:u w:val="single"/>
        </w:rPr>
        <w:t xml:space="preserve">Stage </w:t>
      </w:r>
      <w:r w:rsidR="00302578">
        <w:rPr>
          <w:rFonts w:ascii="Arial" w:eastAsia="Times New Roman" w:hAnsi="Arial" w:cs="Arial"/>
          <w:b/>
          <w:u w:val="single"/>
        </w:rPr>
        <w:t>9</w:t>
      </w:r>
      <w:r w:rsidRPr="003C5743">
        <w:rPr>
          <w:rFonts w:ascii="Arial" w:eastAsia="Times New Roman" w:hAnsi="Arial" w:cs="Arial"/>
          <w:b/>
          <w:u w:val="single"/>
        </w:rPr>
        <w:t xml:space="preserve"> – Down select to Winning Tenderer</w:t>
      </w:r>
    </w:p>
    <w:p w14:paraId="41A65B7B" w14:textId="77777777" w:rsidR="00155DC3" w:rsidRPr="003C5743" w:rsidRDefault="00155DC3" w:rsidP="00155DC3">
      <w:pPr>
        <w:tabs>
          <w:tab w:val="left" w:pos="567"/>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610605E" w14:textId="4F74A26C" w:rsidR="00155DC3" w:rsidRPr="003C5743" w:rsidRDefault="00155DC3" w:rsidP="00736C8E">
      <w:pPr>
        <w:numPr>
          <w:ilvl w:val="0"/>
          <w:numId w:val="11"/>
        </w:numPr>
        <w:spacing w:after="240" w:line="240" w:lineRule="auto"/>
        <w:jc w:val="both"/>
        <w:rPr>
          <w:rFonts w:ascii="Arial" w:eastAsia="Times New Roman" w:hAnsi="Arial" w:cs="Arial"/>
        </w:rPr>
      </w:pPr>
      <w:r w:rsidRPr="003C5743">
        <w:rPr>
          <w:rFonts w:ascii="Arial" w:eastAsia="Times New Roman" w:hAnsi="Arial" w:cs="Arial"/>
        </w:rPr>
        <w:t xml:space="preserve">Following submission of a Best and Final Offer (BAFO) in accordance with Stage </w:t>
      </w:r>
      <w:r w:rsidR="00302578">
        <w:rPr>
          <w:rFonts w:ascii="Arial" w:eastAsia="Times New Roman" w:hAnsi="Arial" w:cs="Arial"/>
        </w:rPr>
        <w:t>8</w:t>
      </w:r>
      <w:r w:rsidR="009970E9">
        <w:rPr>
          <w:rFonts w:ascii="Arial" w:eastAsia="Times New Roman" w:hAnsi="Arial" w:cs="Arial"/>
        </w:rPr>
        <w:t xml:space="preserve"> (if applicable)</w:t>
      </w:r>
      <w:r w:rsidRPr="003C5743">
        <w:rPr>
          <w:rFonts w:ascii="Arial" w:eastAsia="Times New Roman" w:hAnsi="Arial" w:cs="Arial"/>
        </w:rPr>
        <w:t xml:space="preserve">, Stage </w:t>
      </w:r>
      <w:r w:rsidR="00302578">
        <w:rPr>
          <w:rFonts w:ascii="Arial" w:eastAsia="Times New Roman" w:hAnsi="Arial" w:cs="Arial"/>
        </w:rPr>
        <w:t>7</w:t>
      </w:r>
      <w:r w:rsidRPr="003C5743">
        <w:rPr>
          <w:rFonts w:ascii="Arial" w:eastAsia="Times New Roman" w:hAnsi="Arial" w:cs="Arial"/>
        </w:rPr>
        <w:t xml:space="preserve"> will be repeated to produce a final ranking of the tenders, with a contract for the </w:t>
      </w:r>
      <w:r w:rsidR="00B35656" w:rsidRPr="003C5743">
        <w:rPr>
          <w:rFonts w:ascii="Arial" w:eastAsia="Times New Roman" w:hAnsi="Arial" w:cs="Arial"/>
        </w:rPr>
        <w:t>D</w:t>
      </w:r>
      <w:r w:rsidRPr="003C5743">
        <w:rPr>
          <w:rFonts w:ascii="Arial" w:eastAsia="Times New Roman" w:hAnsi="Arial" w:cs="Arial"/>
        </w:rPr>
        <w:t>esign</w:t>
      </w:r>
      <w:r w:rsidR="00B35656" w:rsidRPr="003C5743">
        <w:rPr>
          <w:rFonts w:ascii="Arial" w:eastAsia="Times New Roman" w:hAnsi="Arial" w:cs="Arial"/>
        </w:rPr>
        <w:t xml:space="preserve"> and</w:t>
      </w:r>
      <w:r w:rsidRPr="003C5743">
        <w:rPr>
          <w:rFonts w:ascii="Arial" w:eastAsia="Times New Roman" w:hAnsi="Arial" w:cs="Arial"/>
        </w:rPr>
        <w:t xml:space="preserve"> </w:t>
      </w:r>
      <w:r w:rsidR="00B35656" w:rsidRPr="003C5743">
        <w:rPr>
          <w:rFonts w:ascii="Arial" w:eastAsia="Times New Roman" w:hAnsi="Arial" w:cs="Arial"/>
        </w:rPr>
        <w:t>B</w:t>
      </w:r>
      <w:r w:rsidRPr="003C5743">
        <w:rPr>
          <w:rFonts w:ascii="Arial" w:eastAsia="Times New Roman" w:hAnsi="Arial" w:cs="Arial"/>
        </w:rPr>
        <w:t xml:space="preserve">uild </w:t>
      </w:r>
      <w:r w:rsidR="00B35656" w:rsidRPr="003C5743">
        <w:rPr>
          <w:rFonts w:ascii="Arial" w:eastAsia="Times New Roman" w:hAnsi="Arial" w:cs="Arial"/>
        </w:rPr>
        <w:t>of Police Patrol Craft</w:t>
      </w:r>
      <w:r w:rsidRPr="003C5743">
        <w:rPr>
          <w:rFonts w:ascii="Arial" w:eastAsia="Times New Roman" w:hAnsi="Arial" w:cs="Arial"/>
        </w:rPr>
        <w:t xml:space="preserve"> being awarded to the tenderer with the highest revised MEAT score. </w:t>
      </w:r>
    </w:p>
    <w:p w14:paraId="5D4DB217" w14:textId="2318DF4E" w:rsidR="00155DC3" w:rsidRPr="003C5743" w:rsidRDefault="00155DC3" w:rsidP="00736C8E">
      <w:pPr>
        <w:numPr>
          <w:ilvl w:val="0"/>
          <w:numId w:val="11"/>
        </w:numPr>
        <w:spacing w:after="240" w:line="240" w:lineRule="auto"/>
        <w:jc w:val="both"/>
        <w:rPr>
          <w:rFonts w:ascii="Arial" w:eastAsia="Times New Roman" w:hAnsi="Arial" w:cs="Arial"/>
        </w:rPr>
      </w:pPr>
      <w:r w:rsidRPr="003C5743">
        <w:rPr>
          <w:rFonts w:ascii="Arial" w:eastAsia="Times New Roman" w:hAnsi="Arial" w:cs="Arial"/>
        </w:rPr>
        <w:t xml:space="preserve">Tenderers are reminded that prior to contract award the Statement of Technical Requirements (Schedule 2) will be updated to include the Tenderers claimed performance as provided </w:t>
      </w:r>
      <w:r w:rsidR="006F399C" w:rsidRPr="003C5743">
        <w:rPr>
          <w:rFonts w:ascii="Arial" w:eastAsia="Times New Roman" w:hAnsi="Arial" w:cs="Arial"/>
        </w:rPr>
        <w:t>in their Tender and as clarified at</w:t>
      </w:r>
      <w:r w:rsidRPr="003C5743">
        <w:rPr>
          <w:rFonts w:ascii="Arial" w:eastAsia="Times New Roman" w:hAnsi="Arial" w:cs="Arial"/>
        </w:rPr>
        <w:t xml:space="preserve"> Stage </w:t>
      </w:r>
      <w:r w:rsidR="00302578">
        <w:rPr>
          <w:rFonts w:ascii="Arial" w:eastAsia="Times New Roman" w:hAnsi="Arial" w:cs="Arial"/>
        </w:rPr>
        <w:t>6</w:t>
      </w:r>
      <w:r w:rsidRPr="003C5743">
        <w:rPr>
          <w:rFonts w:ascii="Arial" w:eastAsia="Times New Roman" w:hAnsi="Arial" w:cs="Arial"/>
        </w:rPr>
        <w:t xml:space="preserve"> – Up-Issue of documentation.</w:t>
      </w:r>
    </w:p>
    <w:sectPr w:rsidR="00155DC3" w:rsidRPr="003C57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7D9F0" w14:textId="77777777" w:rsidR="008978CE" w:rsidRDefault="008978CE" w:rsidP="007A7A98">
      <w:pPr>
        <w:spacing w:after="0" w:line="240" w:lineRule="auto"/>
      </w:pPr>
      <w:r>
        <w:separator/>
      </w:r>
    </w:p>
  </w:endnote>
  <w:endnote w:type="continuationSeparator" w:id="0">
    <w:p w14:paraId="7324A465" w14:textId="77777777" w:rsidR="008978CE" w:rsidRDefault="008978CE" w:rsidP="007A7A98">
      <w:pPr>
        <w:spacing w:after="0" w:line="240" w:lineRule="auto"/>
      </w:pPr>
      <w:r>
        <w:continuationSeparator/>
      </w:r>
    </w:p>
  </w:endnote>
  <w:endnote w:type="continuationNotice" w:id="1">
    <w:p w14:paraId="72BC5BF7" w14:textId="77777777" w:rsidR="008978CE" w:rsidRDefault="00897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82A17" w14:textId="77777777" w:rsidR="008978CE" w:rsidRDefault="008978CE" w:rsidP="007A7A98">
      <w:pPr>
        <w:spacing w:after="0" w:line="240" w:lineRule="auto"/>
      </w:pPr>
      <w:r>
        <w:separator/>
      </w:r>
    </w:p>
  </w:footnote>
  <w:footnote w:type="continuationSeparator" w:id="0">
    <w:p w14:paraId="0F6601C6" w14:textId="77777777" w:rsidR="008978CE" w:rsidRDefault="008978CE" w:rsidP="007A7A98">
      <w:pPr>
        <w:spacing w:after="0" w:line="240" w:lineRule="auto"/>
      </w:pPr>
      <w:r>
        <w:continuationSeparator/>
      </w:r>
    </w:p>
  </w:footnote>
  <w:footnote w:type="continuationNotice" w:id="1">
    <w:p w14:paraId="69887DC8" w14:textId="77777777" w:rsidR="008978CE" w:rsidRDefault="00897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98682" w14:textId="77777777" w:rsidR="0040703D" w:rsidRPr="00C6407C" w:rsidRDefault="007A7A98" w:rsidP="0040703D">
    <w:pPr>
      <w:pStyle w:val="Header"/>
      <w:jc w:val="right"/>
      <w:rPr>
        <w:b/>
        <w:sz w:val="23"/>
        <w:szCs w:val="23"/>
      </w:rPr>
    </w:pPr>
    <w:r>
      <w:tab/>
    </w:r>
    <w:r>
      <w:tab/>
    </w:r>
    <w:r w:rsidR="0040703D" w:rsidRPr="00C6407C">
      <w:rPr>
        <w:b/>
        <w:sz w:val="23"/>
        <w:szCs w:val="23"/>
      </w:rPr>
      <w:t>DEFFORM 47</w:t>
    </w:r>
  </w:p>
  <w:p w14:paraId="6025F9C0" w14:textId="5E37CB05" w:rsidR="007A7A98" w:rsidRDefault="0040703D" w:rsidP="0040703D">
    <w:pPr>
      <w:pStyle w:val="Header"/>
      <w:jc w:val="right"/>
    </w:pPr>
    <w:r>
      <w:rPr>
        <w:b/>
        <w:bCs/>
        <w:sz w:val="23"/>
        <w:szCs w:val="23"/>
      </w:rPr>
      <w:t>(</w:t>
    </w:r>
    <w:proofErr w:type="spellStart"/>
    <w:r>
      <w:rPr>
        <w:b/>
        <w:bCs/>
        <w:sz w:val="23"/>
        <w:szCs w:val="23"/>
      </w:rPr>
      <w:t>Edn</w:t>
    </w:r>
    <w:proofErr w:type="spellEnd"/>
    <w:r>
      <w:rPr>
        <w:b/>
        <w:bCs/>
        <w:sz w:val="23"/>
        <w:szCs w:val="23"/>
      </w:rPr>
      <w:t xml:space="preserve"> 07</w:t>
    </w:r>
    <w:r w:rsidRPr="001C2D3C">
      <w:rPr>
        <w:b/>
        <w:bCs/>
        <w:sz w:val="23"/>
        <w:szCs w:val="23"/>
      </w:rPr>
      <w:t>/1</w:t>
    </w:r>
    <w:r>
      <w:rPr>
        <w:b/>
        <w:bCs/>
        <w:sz w:val="23"/>
        <w:szCs w:val="23"/>
      </w:rPr>
      <w:t>8)</w:t>
    </w:r>
  </w:p>
  <w:p w14:paraId="596915DD" w14:textId="77777777" w:rsidR="007A7A98" w:rsidRDefault="007A7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25B5"/>
    <w:multiLevelType w:val="hybridMultilevel"/>
    <w:tmpl w:val="E1AE4FCE"/>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7986237"/>
    <w:multiLevelType w:val="hybridMultilevel"/>
    <w:tmpl w:val="26D64AE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1ED20FE8"/>
    <w:multiLevelType w:val="hybridMultilevel"/>
    <w:tmpl w:val="D726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36A44"/>
    <w:multiLevelType w:val="hybridMultilevel"/>
    <w:tmpl w:val="C89EDA76"/>
    <w:lvl w:ilvl="0" w:tplc="7DEC547A">
      <w:start w:val="1"/>
      <w:numFmt w:val="decimal"/>
      <w:lvlText w:val="D%1. "/>
      <w:lvlJc w:val="left"/>
      <w:pPr>
        <w:ind w:left="360" w:hanging="360"/>
      </w:pPr>
      <w:rPr>
        <w:rFonts w:ascii="Arial" w:hAnsi="Arial" w:cs="Arial" w:hint="default"/>
        <w:b w:val="0"/>
        <w:sz w:val="22"/>
        <w:szCs w:val="22"/>
      </w:rPr>
    </w:lvl>
    <w:lvl w:ilvl="1" w:tplc="08090019">
      <w:start w:val="1"/>
      <w:numFmt w:val="lowerLetter"/>
      <w:lvlText w:val="%2."/>
      <w:lvlJc w:val="left"/>
      <w:pPr>
        <w:ind w:left="6543" w:hanging="360"/>
      </w:pPr>
    </w:lvl>
    <w:lvl w:ilvl="2" w:tplc="0809001B" w:tentative="1">
      <w:start w:val="1"/>
      <w:numFmt w:val="lowerRoman"/>
      <w:lvlText w:val="%3."/>
      <w:lvlJc w:val="right"/>
      <w:pPr>
        <w:ind w:left="7263" w:hanging="180"/>
      </w:pPr>
    </w:lvl>
    <w:lvl w:ilvl="3" w:tplc="0809000F" w:tentative="1">
      <w:start w:val="1"/>
      <w:numFmt w:val="decimal"/>
      <w:lvlText w:val="%4."/>
      <w:lvlJc w:val="left"/>
      <w:pPr>
        <w:ind w:left="7983" w:hanging="360"/>
      </w:pPr>
    </w:lvl>
    <w:lvl w:ilvl="4" w:tplc="08090019" w:tentative="1">
      <w:start w:val="1"/>
      <w:numFmt w:val="lowerLetter"/>
      <w:lvlText w:val="%5."/>
      <w:lvlJc w:val="left"/>
      <w:pPr>
        <w:ind w:left="8703" w:hanging="360"/>
      </w:pPr>
    </w:lvl>
    <w:lvl w:ilvl="5" w:tplc="0809001B" w:tentative="1">
      <w:start w:val="1"/>
      <w:numFmt w:val="lowerRoman"/>
      <w:lvlText w:val="%6."/>
      <w:lvlJc w:val="right"/>
      <w:pPr>
        <w:ind w:left="9423" w:hanging="180"/>
      </w:pPr>
    </w:lvl>
    <w:lvl w:ilvl="6" w:tplc="0809000F" w:tentative="1">
      <w:start w:val="1"/>
      <w:numFmt w:val="decimal"/>
      <w:lvlText w:val="%7."/>
      <w:lvlJc w:val="left"/>
      <w:pPr>
        <w:ind w:left="10143" w:hanging="360"/>
      </w:pPr>
    </w:lvl>
    <w:lvl w:ilvl="7" w:tplc="08090019" w:tentative="1">
      <w:start w:val="1"/>
      <w:numFmt w:val="lowerLetter"/>
      <w:lvlText w:val="%8."/>
      <w:lvlJc w:val="left"/>
      <w:pPr>
        <w:ind w:left="10863" w:hanging="360"/>
      </w:pPr>
    </w:lvl>
    <w:lvl w:ilvl="8" w:tplc="0809001B" w:tentative="1">
      <w:start w:val="1"/>
      <w:numFmt w:val="lowerRoman"/>
      <w:lvlText w:val="%9."/>
      <w:lvlJc w:val="right"/>
      <w:pPr>
        <w:ind w:left="11583" w:hanging="180"/>
      </w:pPr>
    </w:lvl>
  </w:abstractNum>
  <w:abstractNum w:abstractNumId="4" w15:restartNumberingAfterBreak="0">
    <w:nsid w:val="38A726D4"/>
    <w:multiLevelType w:val="hybridMultilevel"/>
    <w:tmpl w:val="AFC6C686"/>
    <w:lvl w:ilvl="0" w:tplc="DCF40E5E">
      <w:start w:val="48"/>
      <w:numFmt w:val="decimal"/>
      <w:lvlText w:val="D%1. "/>
      <w:lvlJc w:val="left"/>
      <w:pPr>
        <w:ind w:left="36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CA3406"/>
    <w:multiLevelType w:val="hybridMultilevel"/>
    <w:tmpl w:val="35AA12D0"/>
    <w:lvl w:ilvl="0" w:tplc="AB3243C8">
      <w:start w:val="1"/>
      <w:numFmt w:val="decimal"/>
      <w:lvlText w:val="D%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DE2593"/>
    <w:multiLevelType w:val="hybridMultilevel"/>
    <w:tmpl w:val="69EA9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5413A3"/>
    <w:multiLevelType w:val="hybridMultilevel"/>
    <w:tmpl w:val="EC004BF0"/>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8" w15:restartNumberingAfterBreak="0">
    <w:nsid w:val="4B0A739B"/>
    <w:multiLevelType w:val="hybridMultilevel"/>
    <w:tmpl w:val="E1AE4FCE"/>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6931EBD"/>
    <w:multiLevelType w:val="hybridMultilevel"/>
    <w:tmpl w:val="02365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6D0C73"/>
    <w:multiLevelType w:val="multilevel"/>
    <w:tmpl w:val="92766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7"/>
  </w:num>
  <w:num w:numId="3">
    <w:abstractNumId w:val="1"/>
  </w:num>
  <w:num w:numId="4">
    <w:abstractNumId w:val="9"/>
  </w:num>
  <w:num w:numId="5">
    <w:abstractNumId w:val="6"/>
  </w:num>
  <w:num w:numId="6">
    <w:abstractNumId w:val="0"/>
  </w:num>
  <w:num w:numId="7">
    <w:abstractNumId w:val="10"/>
  </w:num>
  <w:num w:numId="8">
    <w:abstractNumId w:val="2"/>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C3"/>
    <w:rsid w:val="00000478"/>
    <w:rsid w:val="000006C1"/>
    <w:rsid w:val="00001FAC"/>
    <w:rsid w:val="000065C1"/>
    <w:rsid w:val="00007186"/>
    <w:rsid w:val="00013B8C"/>
    <w:rsid w:val="00015328"/>
    <w:rsid w:val="00017F75"/>
    <w:rsid w:val="0003416B"/>
    <w:rsid w:val="00040CAF"/>
    <w:rsid w:val="00042030"/>
    <w:rsid w:val="0004216C"/>
    <w:rsid w:val="00042305"/>
    <w:rsid w:val="00042524"/>
    <w:rsid w:val="000450B6"/>
    <w:rsid w:val="0004655C"/>
    <w:rsid w:val="00046E40"/>
    <w:rsid w:val="000508DF"/>
    <w:rsid w:val="00056137"/>
    <w:rsid w:val="00060DB4"/>
    <w:rsid w:val="00064774"/>
    <w:rsid w:val="0007214E"/>
    <w:rsid w:val="00076FE3"/>
    <w:rsid w:val="00077326"/>
    <w:rsid w:val="00080AC3"/>
    <w:rsid w:val="00081517"/>
    <w:rsid w:val="00091D4A"/>
    <w:rsid w:val="00092214"/>
    <w:rsid w:val="0009269A"/>
    <w:rsid w:val="00094C4C"/>
    <w:rsid w:val="00096BAD"/>
    <w:rsid w:val="000A48DE"/>
    <w:rsid w:val="000B4087"/>
    <w:rsid w:val="000C149E"/>
    <w:rsid w:val="000C683D"/>
    <w:rsid w:val="000D06D1"/>
    <w:rsid w:val="000D1CB8"/>
    <w:rsid w:val="000D2C34"/>
    <w:rsid w:val="000E0433"/>
    <w:rsid w:val="000E1085"/>
    <w:rsid w:val="000E4313"/>
    <w:rsid w:val="000F0A99"/>
    <w:rsid w:val="000F6CCE"/>
    <w:rsid w:val="000F7C72"/>
    <w:rsid w:val="000F7EBF"/>
    <w:rsid w:val="0010297E"/>
    <w:rsid w:val="00124A09"/>
    <w:rsid w:val="00126E3C"/>
    <w:rsid w:val="00130483"/>
    <w:rsid w:val="00131921"/>
    <w:rsid w:val="001347AB"/>
    <w:rsid w:val="00147D43"/>
    <w:rsid w:val="00150D4C"/>
    <w:rsid w:val="001530E3"/>
    <w:rsid w:val="0015555B"/>
    <w:rsid w:val="00155DC3"/>
    <w:rsid w:val="00167E50"/>
    <w:rsid w:val="001744C2"/>
    <w:rsid w:val="00175EDB"/>
    <w:rsid w:val="001776DC"/>
    <w:rsid w:val="001851FB"/>
    <w:rsid w:val="001861D3"/>
    <w:rsid w:val="00186636"/>
    <w:rsid w:val="0018799A"/>
    <w:rsid w:val="001909A3"/>
    <w:rsid w:val="001A6D41"/>
    <w:rsid w:val="001B13C4"/>
    <w:rsid w:val="001B56B2"/>
    <w:rsid w:val="001B58D0"/>
    <w:rsid w:val="001C22BA"/>
    <w:rsid w:val="001C35EA"/>
    <w:rsid w:val="001C4E9D"/>
    <w:rsid w:val="001D0BC0"/>
    <w:rsid w:val="001D540C"/>
    <w:rsid w:val="001D61F9"/>
    <w:rsid w:val="001E373D"/>
    <w:rsid w:val="001E7798"/>
    <w:rsid w:val="001F4176"/>
    <w:rsid w:val="001F537C"/>
    <w:rsid w:val="00201F12"/>
    <w:rsid w:val="0020449D"/>
    <w:rsid w:val="00204946"/>
    <w:rsid w:val="0021216B"/>
    <w:rsid w:val="002140C2"/>
    <w:rsid w:val="002143C7"/>
    <w:rsid w:val="002313C6"/>
    <w:rsid w:val="00237586"/>
    <w:rsid w:val="0023778F"/>
    <w:rsid w:val="00247750"/>
    <w:rsid w:val="00250E67"/>
    <w:rsid w:val="0025464D"/>
    <w:rsid w:val="00254D2E"/>
    <w:rsid w:val="002613C8"/>
    <w:rsid w:val="00262B8B"/>
    <w:rsid w:val="00270F58"/>
    <w:rsid w:val="002756A6"/>
    <w:rsid w:val="0028357C"/>
    <w:rsid w:val="00283947"/>
    <w:rsid w:val="00286E13"/>
    <w:rsid w:val="0029441C"/>
    <w:rsid w:val="0029667A"/>
    <w:rsid w:val="00297E7D"/>
    <w:rsid w:val="002A2863"/>
    <w:rsid w:val="002B0BB1"/>
    <w:rsid w:val="002B48AB"/>
    <w:rsid w:val="002B73DA"/>
    <w:rsid w:val="002C34B3"/>
    <w:rsid w:val="002C5149"/>
    <w:rsid w:val="002D5644"/>
    <w:rsid w:val="002D6582"/>
    <w:rsid w:val="002E1474"/>
    <w:rsid w:val="002E2D02"/>
    <w:rsid w:val="002E4C5F"/>
    <w:rsid w:val="002F3B40"/>
    <w:rsid w:val="002F65D9"/>
    <w:rsid w:val="003020C4"/>
    <w:rsid w:val="00302578"/>
    <w:rsid w:val="0030379D"/>
    <w:rsid w:val="00306CBD"/>
    <w:rsid w:val="003109D3"/>
    <w:rsid w:val="003142AD"/>
    <w:rsid w:val="003153C3"/>
    <w:rsid w:val="003252CE"/>
    <w:rsid w:val="00344BDE"/>
    <w:rsid w:val="003528D6"/>
    <w:rsid w:val="003559F5"/>
    <w:rsid w:val="00360680"/>
    <w:rsid w:val="00362834"/>
    <w:rsid w:val="00362ED0"/>
    <w:rsid w:val="00366288"/>
    <w:rsid w:val="00366E5C"/>
    <w:rsid w:val="00377BA3"/>
    <w:rsid w:val="003819EF"/>
    <w:rsid w:val="00387EDD"/>
    <w:rsid w:val="00390304"/>
    <w:rsid w:val="003939EC"/>
    <w:rsid w:val="003A110D"/>
    <w:rsid w:val="003A1589"/>
    <w:rsid w:val="003A1DC5"/>
    <w:rsid w:val="003A6098"/>
    <w:rsid w:val="003A6DBD"/>
    <w:rsid w:val="003B12CC"/>
    <w:rsid w:val="003B34D6"/>
    <w:rsid w:val="003C2AE7"/>
    <w:rsid w:val="003C2EEF"/>
    <w:rsid w:val="003C2F76"/>
    <w:rsid w:val="003C3801"/>
    <w:rsid w:val="003C46DA"/>
    <w:rsid w:val="003C5743"/>
    <w:rsid w:val="003C7278"/>
    <w:rsid w:val="003D0128"/>
    <w:rsid w:val="003D2C0F"/>
    <w:rsid w:val="003D6EE9"/>
    <w:rsid w:val="003E173E"/>
    <w:rsid w:val="003E5E32"/>
    <w:rsid w:val="003E7F55"/>
    <w:rsid w:val="003F0732"/>
    <w:rsid w:val="003F0EF2"/>
    <w:rsid w:val="003F1F78"/>
    <w:rsid w:val="003F28C8"/>
    <w:rsid w:val="003F2F45"/>
    <w:rsid w:val="003F3AAD"/>
    <w:rsid w:val="003F55C0"/>
    <w:rsid w:val="003F61D1"/>
    <w:rsid w:val="00402802"/>
    <w:rsid w:val="0040703D"/>
    <w:rsid w:val="004141A3"/>
    <w:rsid w:val="00414888"/>
    <w:rsid w:val="004213B5"/>
    <w:rsid w:val="004219CE"/>
    <w:rsid w:val="00430247"/>
    <w:rsid w:val="00430EC2"/>
    <w:rsid w:val="00431763"/>
    <w:rsid w:val="00433FBA"/>
    <w:rsid w:val="00440413"/>
    <w:rsid w:val="00443080"/>
    <w:rsid w:val="00456EF4"/>
    <w:rsid w:val="00460E91"/>
    <w:rsid w:val="00466261"/>
    <w:rsid w:val="00467922"/>
    <w:rsid w:val="00467E9A"/>
    <w:rsid w:val="00471B4A"/>
    <w:rsid w:val="00471CF8"/>
    <w:rsid w:val="00472350"/>
    <w:rsid w:val="00472AF1"/>
    <w:rsid w:val="0048007F"/>
    <w:rsid w:val="004817D0"/>
    <w:rsid w:val="00485A13"/>
    <w:rsid w:val="004A0171"/>
    <w:rsid w:val="004A16BC"/>
    <w:rsid w:val="004A1782"/>
    <w:rsid w:val="004A20C8"/>
    <w:rsid w:val="004A583F"/>
    <w:rsid w:val="004A5C65"/>
    <w:rsid w:val="004B1A1A"/>
    <w:rsid w:val="004B443E"/>
    <w:rsid w:val="004B5729"/>
    <w:rsid w:val="004B64B5"/>
    <w:rsid w:val="004C41DC"/>
    <w:rsid w:val="004D35C4"/>
    <w:rsid w:val="004D3AF6"/>
    <w:rsid w:val="004E0DC3"/>
    <w:rsid w:val="004E4BA7"/>
    <w:rsid w:val="004E4BDF"/>
    <w:rsid w:val="004E7EF7"/>
    <w:rsid w:val="004F08D6"/>
    <w:rsid w:val="004F0C8F"/>
    <w:rsid w:val="004F2D59"/>
    <w:rsid w:val="004F6CC6"/>
    <w:rsid w:val="004F7F95"/>
    <w:rsid w:val="00503EA4"/>
    <w:rsid w:val="00506370"/>
    <w:rsid w:val="00514F6E"/>
    <w:rsid w:val="00520C2B"/>
    <w:rsid w:val="00520EED"/>
    <w:rsid w:val="00524EFF"/>
    <w:rsid w:val="005265E2"/>
    <w:rsid w:val="00530A9B"/>
    <w:rsid w:val="00530CCF"/>
    <w:rsid w:val="00535D57"/>
    <w:rsid w:val="00542D52"/>
    <w:rsid w:val="00551988"/>
    <w:rsid w:val="00557E38"/>
    <w:rsid w:val="0056151C"/>
    <w:rsid w:val="0056160C"/>
    <w:rsid w:val="005630A9"/>
    <w:rsid w:val="005704DC"/>
    <w:rsid w:val="005720B8"/>
    <w:rsid w:val="00572A29"/>
    <w:rsid w:val="0057773C"/>
    <w:rsid w:val="00583C80"/>
    <w:rsid w:val="0058459E"/>
    <w:rsid w:val="00591A6F"/>
    <w:rsid w:val="005A4C0B"/>
    <w:rsid w:val="005A711A"/>
    <w:rsid w:val="005B2917"/>
    <w:rsid w:val="005B342C"/>
    <w:rsid w:val="005B5A9F"/>
    <w:rsid w:val="005C251F"/>
    <w:rsid w:val="005C4B2D"/>
    <w:rsid w:val="005C5267"/>
    <w:rsid w:val="005D5495"/>
    <w:rsid w:val="005E2C55"/>
    <w:rsid w:val="005E5188"/>
    <w:rsid w:val="005E66D4"/>
    <w:rsid w:val="005F5C8D"/>
    <w:rsid w:val="005F7FF3"/>
    <w:rsid w:val="00605582"/>
    <w:rsid w:val="00606029"/>
    <w:rsid w:val="00607A15"/>
    <w:rsid w:val="006225FF"/>
    <w:rsid w:val="00622E8E"/>
    <w:rsid w:val="00626465"/>
    <w:rsid w:val="006271BD"/>
    <w:rsid w:val="00631BB6"/>
    <w:rsid w:val="006343E8"/>
    <w:rsid w:val="00635201"/>
    <w:rsid w:val="0063537B"/>
    <w:rsid w:val="00637424"/>
    <w:rsid w:val="00642A38"/>
    <w:rsid w:val="00644C79"/>
    <w:rsid w:val="006459AD"/>
    <w:rsid w:val="00646DF1"/>
    <w:rsid w:val="00651BB9"/>
    <w:rsid w:val="0065236C"/>
    <w:rsid w:val="006562D2"/>
    <w:rsid w:val="00661839"/>
    <w:rsid w:val="00663C24"/>
    <w:rsid w:val="00664128"/>
    <w:rsid w:val="006734C9"/>
    <w:rsid w:val="006755E9"/>
    <w:rsid w:val="006759A3"/>
    <w:rsid w:val="006772B2"/>
    <w:rsid w:val="00677FEF"/>
    <w:rsid w:val="00681C1A"/>
    <w:rsid w:val="00687713"/>
    <w:rsid w:val="00687A6C"/>
    <w:rsid w:val="00694631"/>
    <w:rsid w:val="00696422"/>
    <w:rsid w:val="006A1FBE"/>
    <w:rsid w:val="006B1FB8"/>
    <w:rsid w:val="006B3E17"/>
    <w:rsid w:val="006B61D1"/>
    <w:rsid w:val="006B65CB"/>
    <w:rsid w:val="006C3C87"/>
    <w:rsid w:val="006D115E"/>
    <w:rsid w:val="006D132A"/>
    <w:rsid w:val="006D1363"/>
    <w:rsid w:val="006E5F36"/>
    <w:rsid w:val="006E6DB6"/>
    <w:rsid w:val="006F399C"/>
    <w:rsid w:val="006F446C"/>
    <w:rsid w:val="006F48AB"/>
    <w:rsid w:val="0070184E"/>
    <w:rsid w:val="00705020"/>
    <w:rsid w:val="00706F02"/>
    <w:rsid w:val="007116AF"/>
    <w:rsid w:val="00720BC1"/>
    <w:rsid w:val="00723E70"/>
    <w:rsid w:val="0072715E"/>
    <w:rsid w:val="00727564"/>
    <w:rsid w:val="00727BBB"/>
    <w:rsid w:val="007366AC"/>
    <w:rsid w:val="00736C8E"/>
    <w:rsid w:val="007523B1"/>
    <w:rsid w:val="00761727"/>
    <w:rsid w:val="007640AD"/>
    <w:rsid w:val="00767331"/>
    <w:rsid w:val="007721DC"/>
    <w:rsid w:val="00772293"/>
    <w:rsid w:val="00775637"/>
    <w:rsid w:val="00776080"/>
    <w:rsid w:val="0078024F"/>
    <w:rsid w:val="00782C55"/>
    <w:rsid w:val="00782CBE"/>
    <w:rsid w:val="00791A0D"/>
    <w:rsid w:val="0079243A"/>
    <w:rsid w:val="00794B9A"/>
    <w:rsid w:val="007A0658"/>
    <w:rsid w:val="007A7A98"/>
    <w:rsid w:val="007B0B9E"/>
    <w:rsid w:val="007B5BAE"/>
    <w:rsid w:val="007C1D2F"/>
    <w:rsid w:val="007C65D7"/>
    <w:rsid w:val="007D4E6A"/>
    <w:rsid w:val="007D5A6D"/>
    <w:rsid w:val="007E6282"/>
    <w:rsid w:val="007F170C"/>
    <w:rsid w:val="007F6D86"/>
    <w:rsid w:val="008011E5"/>
    <w:rsid w:val="00804023"/>
    <w:rsid w:val="00812EC9"/>
    <w:rsid w:val="00814E1D"/>
    <w:rsid w:val="00815615"/>
    <w:rsid w:val="008267B0"/>
    <w:rsid w:val="00826CBE"/>
    <w:rsid w:val="00831CE5"/>
    <w:rsid w:val="0083334F"/>
    <w:rsid w:val="00836059"/>
    <w:rsid w:val="00842C81"/>
    <w:rsid w:val="00851228"/>
    <w:rsid w:val="00860887"/>
    <w:rsid w:val="00860ACC"/>
    <w:rsid w:val="00861957"/>
    <w:rsid w:val="00866402"/>
    <w:rsid w:val="008718DB"/>
    <w:rsid w:val="00871D5A"/>
    <w:rsid w:val="00872325"/>
    <w:rsid w:val="00880D69"/>
    <w:rsid w:val="00881BBE"/>
    <w:rsid w:val="00887ADE"/>
    <w:rsid w:val="0089034A"/>
    <w:rsid w:val="00890AB1"/>
    <w:rsid w:val="00893CB0"/>
    <w:rsid w:val="008978CE"/>
    <w:rsid w:val="008A64BB"/>
    <w:rsid w:val="008B27B9"/>
    <w:rsid w:val="008B2DBA"/>
    <w:rsid w:val="008B2EE7"/>
    <w:rsid w:val="008C64FF"/>
    <w:rsid w:val="008D57E7"/>
    <w:rsid w:val="008D59B2"/>
    <w:rsid w:val="008E15B3"/>
    <w:rsid w:val="008E1E85"/>
    <w:rsid w:val="008F1FCE"/>
    <w:rsid w:val="008F33A1"/>
    <w:rsid w:val="00904DD2"/>
    <w:rsid w:val="00910636"/>
    <w:rsid w:val="00914BD6"/>
    <w:rsid w:val="00914CFE"/>
    <w:rsid w:val="0091532D"/>
    <w:rsid w:val="00921BA8"/>
    <w:rsid w:val="00924BA1"/>
    <w:rsid w:val="0092702C"/>
    <w:rsid w:val="009271DB"/>
    <w:rsid w:val="009378AF"/>
    <w:rsid w:val="00940BA6"/>
    <w:rsid w:val="00943E86"/>
    <w:rsid w:val="009540FB"/>
    <w:rsid w:val="009544A6"/>
    <w:rsid w:val="00954907"/>
    <w:rsid w:val="00960AC3"/>
    <w:rsid w:val="00960B98"/>
    <w:rsid w:val="00963A90"/>
    <w:rsid w:val="00972380"/>
    <w:rsid w:val="009731A1"/>
    <w:rsid w:val="00976420"/>
    <w:rsid w:val="00977EFF"/>
    <w:rsid w:val="00980821"/>
    <w:rsid w:val="00984298"/>
    <w:rsid w:val="00986797"/>
    <w:rsid w:val="00986DF3"/>
    <w:rsid w:val="0099048A"/>
    <w:rsid w:val="00995B9A"/>
    <w:rsid w:val="009970E9"/>
    <w:rsid w:val="009978EA"/>
    <w:rsid w:val="009A241F"/>
    <w:rsid w:val="009A4B84"/>
    <w:rsid w:val="009A7908"/>
    <w:rsid w:val="009B07E5"/>
    <w:rsid w:val="009B0E0D"/>
    <w:rsid w:val="009C03D0"/>
    <w:rsid w:val="009C1E5C"/>
    <w:rsid w:val="009C3D05"/>
    <w:rsid w:val="009C3DA8"/>
    <w:rsid w:val="009D23C1"/>
    <w:rsid w:val="009D59F5"/>
    <w:rsid w:val="009D5C94"/>
    <w:rsid w:val="009E04D1"/>
    <w:rsid w:val="009E0B49"/>
    <w:rsid w:val="009E71D6"/>
    <w:rsid w:val="009F116F"/>
    <w:rsid w:val="009F2431"/>
    <w:rsid w:val="009F2FEF"/>
    <w:rsid w:val="009F5127"/>
    <w:rsid w:val="009F6EB8"/>
    <w:rsid w:val="009F7022"/>
    <w:rsid w:val="009F7D65"/>
    <w:rsid w:val="00A000C8"/>
    <w:rsid w:val="00A03355"/>
    <w:rsid w:val="00A05060"/>
    <w:rsid w:val="00A06552"/>
    <w:rsid w:val="00A11BD3"/>
    <w:rsid w:val="00A1401C"/>
    <w:rsid w:val="00A154D7"/>
    <w:rsid w:val="00A208DA"/>
    <w:rsid w:val="00A224F4"/>
    <w:rsid w:val="00A27F7B"/>
    <w:rsid w:val="00A31C9D"/>
    <w:rsid w:val="00A446BD"/>
    <w:rsid w:val="00A4593E"/>
    <w:rsid w:val="00A536F4"/>
    <w:rsid w:val="00A55C3C"/>
    <w:rsid w:val="00A624D5"/>
    <w:rsid w:val="00A64D7B"/>
    <w:rsid w:val="00A661EA"/>
    <w:rsid w:val="00A679C7"/>
    <w:rsid w:val="00A71691"/>
    <w:rsid w:val="00A716B1"/>
    <w:rsid w:val="00A7174B"/>
    <w:rsid w:val="00A73B2B"/>
    <w:rsid w:val="00A76232"/>
    <w:rsid w:val="00A811A4"/>
    <w:rsid w:val="00A839D3"/>
    <w:rsid w:val="00A84663"/>
    <w:rsid w:val="00A95D8D"/>
    <w:rsid w:val="00AB18DD"/>
    <w:rsid w:val="00AB48AA"/>
    <w:rsid w:val="00AC0318"/>
    <w:rsid w:val="00AC2B26"/>
    <w:rsid w:val="00AC33E1"/>
    <w:rsid w:val="00AC6FC2"/>
    <w:rsid w:val="00AD026E"/>
    <w:rsid w:val="00AD1C2C"/>
    <w:rsid w:val="00AD44CD"/>
    <w:rsid w:val="00AE26B5"/>
    <w:rsid w:val="00AE5A04"/>
    <w:rsid w:val="00AE60C8"/>
    <w:rsid w:val="00AE70E9"/>
    <w:rsid w:val="00AF7996"/>
    <w:rsid w:val="00B00E9D"/>
    <w:rsid w:val="00B0703D"/>
    <w:rsid w:val="00B10522"/>
    <w:rsid w:val="00B13636"/>
    <w:rsid w:val="00B138B2"/>
    <w:rsid w:val="00B13F51"/>
    <w:rsid w:val="00B17A08"/>
    <w:rsid w:val="00B25C23"/>
    <w:rsid w:val="00B30458"/>
    <w:rsid w:val="00B35656"/>
    <w:rsid w:val="00B35C9C"/>
    <w:rsid w:val="00B46893"/>
    <w:rsid w:val="00B47F29"/>
    <w:rsid w:val="00B60E7F"/>
    <w:rsid w:val="00B6227D"/>
    <w:rsid w:val="00B6315B"/>
    <w:rsid w:val="00B71905"/>
    <w:rsid w:val="00B71908"/>
    <w:rsid w:val="00B73E1A"/>
    <w:rsid w:val="00B73FF3"/>
    <w:rsid w:val="00B77F5E"/>
    <w:rsid w:val="00B85101"/>
    <w:rsid w:val="00B93671"/>
    <w:rsid w:val="00B9379D"/>
    <w:rsid w:val="00B97B7B"/>
    <w:rsid w:val="00BA0950"/>
    <w:rsid w:val="00BA675E"/>
    <w:rsid w:val="00BA6A68"/>
    <w:rsid w:val="00BB088A"/>
    <w:rsid w:val="00BB2787"/>
    <w:rsid w:val="00BB2A1D"/>
    <w:rsid w:val="00BB4599"/>
    <w:rsid w:val="00BB5FCD"/>
    <w:rsid w:val="00BB640E"/>
    <w:rsid w:val="00BC1CD9"/>
    <w:rsid w:val="00BC54F6"/>
    <w:rsid w:val="00BC56BC"/>
    <w:rsid w:val="00BC5CC6"/>
    <w:rsid w:val="00BC6369"/>
    <w:rsid w:val="00BC693A"/>
    <w:rsid w:val="00BC6E1A"/>
    <w:rsid w:val="00BC7371"/>
    <w:rsid w:val="00BE2EB5"/>
    <w:rsid w:val="00BE44E1"/>
    <w:rsid w:val="00BE5597"/>
    <w:rsid w:val="00BE5D6D"/>
    <w:rsid w:val="00BF088E"/>
    <w:rsid w:val="00BF3F9E"/>
    <w:rsid w:val="00BF5408"/>
    <w:rsid w:val="00BF6DF7"/>
    <w:rsid w:val="00C0253C"/>
    <w:rsid w:val="00C03BE5"/>
    <w:rsid w:val="00C046FC"/>
    <w:rsid w:val="00C079EB"/>
    <w:rsid w:val="00C1334A"/>
    <w:rsid w:val="00C16202"/>
    <w:rsid w:val="00C163A5"/>
    <w:rsid w:val="00C2061A"/>
    <w:rsid w:val="00C21511"/>
    <w:rsid w:val="00C21D9C"/>
    <w:rsid w:val="00C224A1"/>
    <w:rsid w:val="00C228AC"/>
    <w:rsid w:val="00C23920"/>
    <w:rsid w:val="00C272DA"/>
    <w:rsid w:val="00C33F52"/>
    <w:rsid w:val="00C346AD"/>
    <w:rsid w:val="00C373C7"/>
    <w:rsid w:val="00C37E92"/>
    <w:rsid w:val="00C41445"/>
    <w:rsid w:val="00C41ABC"/>
    <w:rsid w:val="00C41ACA"/>
    <w:rsid w:val="00C423FB"/>
    <w:rsid w:val="00C4271B"/>
    <w:rsid w:val="00C44E38"/>
    <w:rsid w:val="00C46465"/>
    <w:rsid w:val="00C544FF"/>
    <w:rsid w:val="00C6149E"/>
    <w:rsid w:val="00C617CC"/>
    <w:rsid w:val="00C63BF6"/>
    <w:rsid w:val="00C652E2"/>
    <w:rsid w:val="00C6733A"/>
    <w:rsid w:val="00C74794"/>
    <w:rsid w:val="00C76F85"/>
    <w:rsid w:val="00C840E2"/>
    <w:rsid w:val="00C84BA3"/>
    <w:rsid w:val="00C90E68"/>
    <w:rsid w:val="00C9208C"/>
    <w:rsid w:val="00C92DD6"/>
    <w:rsid w:val="00C956F7"/>
    <w:rsid w:val="00C96DC1"/>
    <w:rsid w:val="00CA1D78"/>
    <w:rsid w:val="00CA4A8E"/>
    <w:rsid w:val="00CB05DE"/>
    <w:rsid w:val="00CB5A01"/>
    <w:rsid w:val="00CB7098"/>
    <w:rsid w:val="00CD126E"/>
    <w:rsid w:val="00CD31C8"/>
    <w:rsid w:val="00CE08B4"/>
    <w:rsid w:val="00CE1F39"/>
    <w:rsid w:val="00CE5E86"/>
    <w:rsid w:val="00CF2840"/>
    <w:rsid w:val="00CF318B"/>
    <w:rsid w:val="00CF3683"/>
    <w:rsid w:val="00CF4582"/>
    <w:rsid w:val="00CF4A41"/>
    <w:rsid w:val="00CF5EC3"/>
    <w:rsid w:val="00D00BC4"/>
    <w:rsid w:val="00D00DF1"/>
    <w:rsid w:val="00D00EE3"/>
    <w:rsid w:val="00D019C4"/>
    <w:rsid w:val="00D10C9C"/>
    <w:rsid w:val="00D10F2C"/>
    <w:rsid w:val="00D11C31"/>
    <w:rsid w:val="00D12DBF"/>
    <w:rsid w:val="00D225D7"/>
    <w:rsid w:val="00D303B4"/>
    <w:rsid w:val="00D31C70"/>
    <w:rsid w:val="00D33BC3"/>
    <w:rsid w:val="00D4180F"/>
    <w:rsid w:val="00D43050"/>
    <w:rsid w:val="00D4381A"/>
    <w:rsid w:val="00D52C31"/>
    <w:rsid w:val="00D57157"/>
    <w:rsid w:val="00D6088C"/>
    <w:rsid w:val="00D60E2D"/>
    <w:rsid w:val="00D61BA7"/>
    <w:rsid w:val="00D63EB2"/>
    <w:rsid w:val="00D64616"/>
    <w:rsid w:val="00D66357"/>
    <w:rsid w:val="00D74C2B"/>
    <w:rsid w:val="00D77624"/>
    <w:rsid w:val="00D902E6"/>
    <w:rsid w:val="00D90565"/>
    <w:rsid w:val="00D913DB"/>
    <w:rsid w:val="00D96F27"/>
    <w:rsid w:val="00DA61CC"/>
    <w:rsid w:val="00DA7171"/>
    <w:rsid w:val="00DB6696"/>
    <w:rsid w:val="00DC1CE6"/>
    <w:rsid w:val="00DC432F"/>
    <w:rsid w:val="00DD32C3"/>
    <w:rsid w:val="00DD3F79"/>
    <w:rsid w:val="00DD4A7A"/>
    <w:rsid w:val="00DD5C07"/>
    <w:rsid w:val="00DD6E1C"/>
    <w:rsid w:val="00DE0E44"/>
    <w:rsid w:val="00DF6249"/>
    <w:rsid w:val="00DF69C3"/>
    <w:rsid w:val="00E03493"/>
    <w:rsid w:val="00E056CD"/>
    <w:rsid w:val="00E059DC"/>
    <w:rsid w:val="00E067E1"/>
    <w:rsid w:val="00E12504"/>
    <w:rsid w:val="00E13897"/>
    <w:rsid w:val="00E17CCF"/>
    <w:rsid w:val="00E24029"/>
    <w:rsid w:val="00E24326"/>
    <w:rsid w:val="00E309B4"/>
    <w:rsid w:val="00E36C61"/>
    <w:rsid w:val="00E40BC9"/>
    <w:rsid w:val="00E479A0"/>
    <w:rsid w:val="00E505C0"/>
    <w:rsid w:val="00E57AEF"/>
    <w:rsid w:val="00E57B75"/>
    <w:rsid w:val="00E6174C"/>
    <w:rsid w:val="00E619D4"/>
    <w:rsid w:val="00E70686"/>
    <w:rsid w:val="00E71E9E"/>
    <w:rsid w:val="00E71F08"/>
    <w:rsid w:val="00E744D2"/>
    <w:rsid w:val="00E74D5B"/>
    <w:rsid w:val="00E81FB5"/>
    <w:rsid w:val="00E967D4"/>
    <w:rsid w:val="00EA5C57"/>
    <w:rsid w:val="00EB4BD7"/>
    <w:rsid w:val="00EC024F"/>
    <w:rsid w:val="00EC1119"/>
    <w:rsid w:val="00EC19CA"/>
    <w:rsid w:val="00EC24CB"/>
    <w:rsid w:val="00EC4B2A"/>
    <w:rsid w:val="00ED1BF7"/>
    <w:rsid w:val="00ED5602"/>
    <w:rsid w:val="00ED5AE3"/>
    <w:rsid w:val="00ED6BFF"/>
    <w:rsid w:val="00EE209A"/>
    <w:rsid w:val="00EE2796"/>
    <w:rsid w:val="00EE679C"/>
    <w:rsid w:val="00EE78F3"/>
    <w:rsid w:val="00EF1DF8"/>
    <w:rsid w:val="00F00A54"/>
    <w:rsid w:val="00F027B1"/>
    <w:rsid w:val="00F058B8"/>
    <w:rsid w:val="00F07AB0"/>
    <w:rsid w:val="00F121EE"/>
    <w:rsid w:val="00F141D7"/>
    <w:rsid w:val="00F17617"/>
    <w:rsid w:val="00F20809"/>
    <w:rsid w:val="00F2394B"/>
    <w:rsid w:val="00F23BFC"/>
    <w:rsid w:val="00F24432"/>
    <w:rsid w:val="00F353AB"/>
    <w:rsid w:val="00F35AB1"/>
    <w:rsid w:val="00F3715C"/>
    <w:rsid w:val="00F408F3"/>
    <w:rsid w:val="00F4746F"/>
    <w:rsid w:val="00F51BE9"/>
    <w:rsid w:val="00F521ED"/>
    <w:rsid w:val="00F544DA"/>
    <w:rsid w:val="00F62391"/>
    <w:rsid w:val="00F732C9"/>
    <w:rsid w:val="00F76E92"/>
    <w:rsid w:val="00F81F5B"/>
    <w:rsid w:val="00F8213D"/>
    <w:rsid w:val="00F832F2"/>
    <w:rsid w:val="00F835A6"/>
    <w:rsid w:val="00F86949"/>
    <w:rsid w:val="00F9069A"/>
    <w:rsid w:val="00F95398"/>
    <w:rsid w:val="00F9544B"/>
    <w:rsid w:val="00F97FC8"/>
    <w:rsid w:val="00FA066A"/>
    <w:rsid w:val="00FA469C"/>
    <w:rsid w:val="00FB506B"/>
    <w:rsid w:val="00FC3C9F"/>
    <w:rsid w:val="00FC405D"/>
    <w:rsid w:val="00FC73A1"/>
    <w:rsid w:val="00FC7FF4"/>
    <w:rsid w:val="00FD347E"/>
    <w:rsid w:val="00FE23E5"/>
    <w:rsid w:val="00FE7057"/>
    <w:rsid w:val="00FE77B9"/>
    <w:rsid w:val="00FF6D4C"/>
    <w:rsid w:val="0436572F"/>
    <w:rsid w:val="047542DD"/>
    <w:rsid w:val="070B7DA1"/>
    <w:rsid w:val="17EFC567"/>
    <w:rsid w:val="1A833CC7"/>
    <w:rsid w:val="1D9B1110"/>
    <w:rsid w:val="21722138"/>
    <w:rsid w:val="245E78D5"/>
    <w:rsid w:val="25559BA3"/>
    <w:rsid w:val="2A707180"/>
    <w:rsid w:val="2F685673"/>
    <w:rsid w:val="316C5E97"/>
    <w:rsid w:val="3688815C"/>
    <w:rsid w:val="447CA9C3"/>
    <w:rsid w:val="4BB200B7"/>
    <w:rsid w:val="4CE75A62"/>
    <w:rsid w:val="4D1E43E0"/>
    <w:rsid w:val="4FB3B06D"/>
    <w:rsid w:val="56385719"/>
    <w:rsid w:val="5C68C009"/>
    <w:rsid w:val="6DE190DC"/>
    <w:rsid w:val="79BFDA3E"/>
    <w:rsid w:val="7E19EFB6"/>
    <w:rsid w:val="7FB6B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011F"/>
  <w15:chartTrackingRefBased/>
  <w15:docId w15:val="{AB8FFD89-8FDA-41AB-97BC-3CF97BDC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93"/>
    <w:pPr>
      <w:ind w:left="720"/>
      <w:contextualSpacing/>
    </w:pPr>
  </w:style>
  <w:style w:type="character" w:styleId="CommentReference">
    <w:name w:val="annotation reference"/>
    <w:basedOn w:val="DefaultParagraphFont"/>
    <w:semiHidden/>
    <w:unhideWhenUsed/>
    <w:rsid w:val="00B35656"/>
    <w:rPr>
      <w:sz w:val="16"/>
      <w:szCs w:val="16"/>
    </w:rPr>
  </w:style>
  <w:style w:type="paragraph" w:styleId="CommentText">
    <w:name w:val="annotation text"/>
    <w:basedOn w:val="Normal"/>
    <w:link w:val="CommentTextChar"/>
    <w:semiHidden/>
    <w:unhideWhenUsed/>
    <w:rsid w:val="00B35656"/>
    <w:pPr>
      <w:spacing w:line="240" w:lineRule="auto"/>
    </w:pPr>
    <w:rPr>
      <w:sz w:val="20"/>
      <w:szCs w:val="20"/>
    </w:rPr>
  </w:style>
  <w:style w:type="character" w:customStyle="1" w:styleId="CommentTextChar">
    <w:name w:val="Comment Text Char"/>
    <w:basedOn w:val="DefaultParagraphFont"/>
    <w:link w:val="CommentText"/>
    <w:semiHidden/>
    <w:rsid w:val="00B35656"/>
    <w:rPr>
      <w:sz w:val="20"/>
      <w:szCs w:val="20"/>
    </w:rPr>
  </w:style>
  <w:style w:type="paragraph" w:styleId="CommentSubject">
    <w:name w:val="annotation subject"/>
    <w:basedOn w:val="CommentText"/>
    <w:next w:val="CommentText"/>
    <w:link w:val="CommentSubjectChar"/>
    <w:uiPriority w:val="99"/>
    <w:semiHidden/>
    <w:unhideWhenUsed/>
    <w:rsid w:val="00B35656"/>
    <w:rPr>
      <w:b/>
      <w:bCs/>
    </w:rPr>
  </w:style>
  <w:style w:type="character" w:customStyle="1" w:styleId="CommentSubjectChar">
    <w:name w:val="Comment Subject Char"/>
    <w:basedOn w:val="CommentTextChar"/>
    <w:link w:val="CommentSubject"/>
    <w:uiPriority w:val="99"/>
    <w:semiHidden/>
    <w:rsid w:val="00B35656"/>
    <w:rPr>
      <w:b/>
      <w:bCs/>
      <w:sz w:val="20"/>
      <w:szCs w:val="20"/>
    </w:rPr>
  </w:style>
  <w:style w:type="paragraph" w:styleId="Revision">
    <w:name w:val="Revision"/>
    <w:hidden/>
    <w:uiPriority w:val="99"/>
    <w:semiHidden/>
    <w:rsid w:val="00B35656"/>
    <w:pPr>
      <w:spacing w:after="0" w:line="240" w:lineRule="auto"/>
    </w:pPr>
  </w:style>
  <w:style w:type="paragraph" w:styleId="BalloonText">
    <w:name w:val="Balloon Text"/>
    <w:basedOn w:val="Normal"/>
    <w:link w:val="BalloonTextChar"/>
    <w:uiPriority w:val="99"/>
    <w:semiHidden/>
    <w:unhideWhenUsed/>
    <w:rsid w:val="00B3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56"/>
    <w:rPr>
      <w:rFonts w:ascii="Segoe UI" w:hAnsi="Segoe UI" w:cs="Segoe UI"/>
      <w:sz w:val="18"/>
      <w:szCs w:val="18"/>
    </w:rPr>
  </w:style>
  <w:style w:type="table" w:styleId="TableGrid">
    <w:name w:val="Table Grid"/>
    <w:basedOn w:val="TableNormal"/>
    <w:uiPriority w:val="59"/>
    <w:rsid w:val="006D11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A7A98"/>
    <w:pPr>
      <w:tabs>
        <w:tab w:val="center" w:pos="4513"/>
        <w:tab w:val="right" w:pos="9026"/>
      </w:tabs>
      <w:spacing w:after="0" w:line="240" w:lineRule="auto"/>
    </w:pPr>
  </w:style>
  <w:style w:type="character" w:customStyle="1" w:styleId="HeaderChar">
    <w:name w:val="Header Char"/>
    <w:basedOn w:val="DefaultParagraphFont"/>
    <w:link w:val="Header"/>
    <w:rsid w:val="007A7A98"/>
  </w:style>
  <w:style w:type="paragraph" w:styleId="Footer">
    <w:name w:val="footer"/>
    <w:basedOn w:val="Normal"/>
    <w:link w:val="FooterChar"/>
    <w:uiPriority w:val="99"/>
    <w:unhideWhenUsed/>
    <w:rsid w:val="007A7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A98"/>
  </w:style>
  <w:style w:type="character" w:customStyle="1" w:styleId="normaltextrun1">
    <w:name w:val="normaltextrun1"/>
    <w:basedOn w:val="DefaultParagraphFont"/>
    <w:rsid w:val="00776080"/>
  </w:style>
  <w:style w:type="character" w:customStyle="1" w:styleId="eop">
    <w:name w:val="eop"/>
    <w:basedOn w:val="DefaultParagraphFont"/>
    <w:rsid w:val="00776080"/>
  </w:style>
  <w:style w:type="paragraph" w:customStyle="1" w:styleId="paragraph">
    <w:name w:val="paragraph"/>
    <w:basedOn w:val="Normal"/>
    <w:rsid w:val="00F544DA"/>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F544DA"/>
  </w:style>
  <w:style w:type="character" w:customStyle="1" w:styleId="spellingerror">
    <w:name w:val="spellingerror"/>
    <w:basedOn w:val="DefaultParagraphFont"/>
    <w:rsid w:val="0082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37611">
      <w:bodyDiv w:val="1"/>
      <w:marLeft w:val="0"/>
      <w:marRight w:val="0"/>
      <w:marTop w:val="0"/>
      <w:marBottom w:val="0"/>
      <w:divBdr>
        <w:top w:val="none" w:sz="0" w:space="0" w:color="auto"/>
        <w:left w:val="none" w:sz="0" w:space="0" w:color="auto"/>
        <w:bottom w:val="none" w:sz="0" w:space="0" w:color="auto"/>
        <w:right w:val="none" w:sz="0" w:space="0" w:color="auto"/>
      </w:divBdr>
      <w:divsChild>
        <w:div w:id="1059671516">
          <w:marLeft w:val="0"/>
          <w:marRight w:val="0"/>
          <w:marTop w:val="0"/>
          <w:marBottom w:val="0"/>
          <w:divBdr>
            <w:top w:val="none" w:sz="0" w:space="0" w:color="auto"/>
            <w:left w:val="none" w:sz="0" w:space="0" w:color="auto"/>
            <w:bottom w:val="none" w:sz="0" w:space="0" w:color="auto"/>
            <w:right w:val="none" w:sz="0" w:space="0" w:color="auto"/>
          </w:divBdr>
          <w:divsChild>
            <w:div w:id="99761528">
              <w:marLeft w:val="0"/>
              <w:marRight w:val="0"/>
              <w:marTop w:val="0"/>
              <w:marBottom w:val="0"/>
              <w:divBdr>
                <w:top w:val="none" w:sz="0" w:space="0" w:color="auto"/>
                <w:left w:val="none" w:sz="0" w:space="0" w:color="auto"/>
                <w:bottom w:val="none" w:sz="0" w:space="0" w:color="auto"/>
                <w:right w:val="none" w:sz="0" w:space="0" w:color="auto"/>
              </w:divBdr>
              <w:divsChild>
                <w:div w:id="1300765995">
                  <w:marLeft w:val="0"/>
                  <w:marRight w:val="0"/>
                  <w:marTop w:val="0"/>
                  <w:marBottom w:val="0"/>
                  <w:divBdr>
                    <w:top w:val="none" w:sz="0" w:space="0" w:color="auto"/>
                    <w:left w:val="none" w:sz="0" w:space="0" w:color="auto"/>
                    <w:bottom w:val="none" w:sz="0" w:space="0" w:color="auto"/>
                    <w:right w:val="none" w:sz="0" w:space="0" w:color="auto"/>
                  </w:divBdr>
                  <w:divsChild>
                    <w:div w:id="362633111">
                      <w:marLeft w:val="0"/>
                      <w:marRight w:val="0"/>
                      <w:marTop w:val="0"/>
                      <w:marBottom w:val="0"/>
                      <w:divBdr>
                        <w:top w:val="none" w:sz="0" w:space="0" w:color="auto"/>
                        <w:left w:val="none" w:sz="0" w:space="0" w:color="auto"/>
                        <w:bottom w:val="none" w:sz="0" w:space="0" w:color="auto"/>
                        <w:right w:val="none" w:sz="0" w:space="0" w:color="auto"/>
                      </w:divBdr>
                      <w:divsChild>
                        <w:div w:id="1027100171">
                          <w:marLeft w:val="0"/>
                          <w:marRight w:val="0"/>
                          <w:marTop w:val="0"/>
                          <w:marBottom w:val="0"/>
                          <w:divBdr>
                            <w:top w:val="none" w:sz="0" w:space="0" w:color="auto"/>
                            <w:left w:val="none" w:sz="0" w:space="0" w:color="auto"/>
                            <w:bottom w:val="none" w:sz="0" w:space="0" w:color="auto"/>
                            <w:right w:val="none" w:sz="0" w:space="0" w:color="auto"/>
                          </w:divBdr>
                          <w:divsChild>
                            <w:div w:id="1574122318">
                              <w:marLeft w:val="0"/>
                              <w:marRight w:val="0"/>
                              <w:marTop w:val="0"/>
                              <w:marBottom w:val="0"/>
                              <w:divBdr>
                                <w:top w:val="none" w:sz="0" w:space="0" w:color="auto"/>
                                <w:left w:val="none" w:sz="0" w:space="0" w:color="auto"/>
                                <w:bottom w:val="none" w:sz="0" w:space="0" w:color="auto"/>
                                <w:right w:val="none" w:sz="0" w:space="0" w:color="auto"/>
                              </w:divBdr>
                              <w:divsChild>
                                <w:div w:id="889420300">
                                  <w:marLeft w:val="0"/>
                                  <w:marRight w:val="0"/>
                                  <w:marTop w:val="0"/>
                                  <w:marBottom w:val="0"/>
                                  <w:divBdr>
                                    <w:top w:val="none" w:sz="0" w:space="0" w:color="auto"/>
                                    <w:left w:val="none" w:sz="0" w:space="0" w:color="auto"/>
                                    <w:bottom w:val="none" w:sz="0" w:space="0" w:color="auto"/>
                                    <w:right w:val="none" w:sz="0" w:space="0" w:color="auto"/>
                                  </w:divBdr>
                                  <w:divsChild>
                                    <w:div w:id="2087729424">
                                      <w:marLeft w:val="0"/>
                                      <w:marRight w:val="0"/>
                                      <w:marTop w:val="0"/>
                                      <w:marBottom w:val="0"/>
                                      <w:divBdr>
                                        <w:top w:val="none" w:sz="0" w:space="0" w:color="auto"/>
                                        <w:left w:val="none" w:sz="0" w:space="0" w:color="auto"/>
                                        <w:bottom w:val="none" w:sz="0" w:space="0" w:color="auto"/>
                                        <w:right w:val="none" w:sz="0" w:space="0" w:color="auto"/>
                                      </w:divBdr>
                                      <w:divsChild>
                                        <w:div w:id="1356808964">
                                          <w:marLeft w:val="0"/>
                                          <w:marRight w:val="0"/>
                                          <w:marTop w:val="0"/>
                                          <w:marBottom w:val="0"/>
                                          <w:divBdr>
                                            <w:top w:val="none" w:sz="0" w:space="0" w:color="auto"/>
                                            <w:left w:val="none" w:sz="0" w:space="0" w:color="auto"/>
                                            <w:bottom w:val="none" w:sz="0" w:space="0" w:color="auto"/>
                                            <w:right w:val="none" w:sz="0" w:space="0" w:color="auto"/>
                                          </w:divBdr>
                                          <w:divsChild>
                                            <w:div w:id="90125001">
                                              <w:marLeft w:val="0"/>
                                              <w:marRight w:val="0"/>
                                              <w:marTop w:val="0"/>
                                              <w:marBottom w:val="0"/>
                                              <w:divBdr>
                                                <w:top w:val="none" w:sz="0" w:space="0" w:color="auto"/>
                                                <w:left w:val="none" w:sz="0" w:space="0" w:color="auto"/>
                                                <w:bottom w:val="none" w:sz="0" w:space="0" w:color="auto"/>
                                                <w:right w:val="none" w:sz="0" w:space="0" w:color="auto"/>
                                              </w:divBdr>
                                              <w:divsChild>
                                                <w:div w:id="1539463418">
                                                  <w:marLeft w:val="0"/>
                                                  <w:marRight w:val="0"/>
                                                  <w:marTop w:val="0"/>
                                                  <w:marBottom w:val="0"/>
                                                  <w:divBdr>
                                                    <w:top w:val="none" w:sz="0" w:space="0" w:color="auto"/>
                                                    <w:left w:val="none" w:sz="0" w:space="0" w:color="auto"/>
                                                    <w:bottom w:val="none" w:sz="0" w:space="0" w:color="auto"/>
                                                    <w:right w:val="none" w:sz="0" w:space="0" w:color="auto"/>
                                                  </w:divBdr>
                                                  <w:divsChild>
                                                    <w:div w:id="1135567134">
                                                      <w:marLeft w:val="0"/>
                                                      <w:marRight w:val="0"/>
                                                      <w:marTop w:val="0"/>
                                                      <w:marBottom w:val="0"/>
                                                      <w:divBdr>
                                                        <w:top w:val="single" w:sz="12" w:space="0" w:color="ABABAB"/>
                                                        <w:left w:val="single" w:sz="6" w:space="0" w:color="ABABAB"/>
                                                        <w:bottom w:val="none" w:sz="0" w:space="0" w:color="auto"/>
                                                        <w:right w:val="single" w:sz="6" w:space="0" w:color="ABABAB"/>
                                                      </w:divBdr>
                                                      <w:divsChild>
                                                        <w:div w:id="2099130990">
                                                          <w:marLeft w:val="0"/>
                                                          <w:marRight w:val="0"/>
                                                          <w:marTop w:val="0"/>
                                                          <w:marBottom w:val="0"/>
                                                          <w:divBdr>
                                                            <w:top w:val="none" w:sz="0" w:space="0" w:color="auto"/>
                                                            <w:left w:val="none" w:sz="0" w:space="0" w:color="auto"/>
                                                            <w:bottom w:val="none" w:sz="0" w:space="0" w:color="auto"/>
                                                            <w:right w:val="none" w:sz="0" w:space="0" w:color="auto"/>
                                                          </w:divBdr>
                                                          <w:divsChild>
                                                            <w:div w:id="375351156">
                                                              <w:marLeft w:val="0"/>
                                                              <w:marRight w:val="0"/>
                                                              <w:marTop w:val="0"/>
                                                              <w:marBottom w:val="0"/>
                                                              <w:divBdr>
                                                                <w:top w:val="none" w:sz="0" w:space="0" w:color="auto"/>
                                                                <w:left w:val="none" w:sz="0" w:space="0" w:color="auto"/>
                                                                <w:bottom w:val="none" w:sz="0" w:space="0" w:color="auto"/>
                                                                <w:right w:val="none" w:sz="0" w:space="0" w:color="auto"/>
                                                              </w:divBdr>
                                                              <w:divsChild>
                                                                <w:div w:id="123278778">
                                                                  <w:marLeft w:val="0"/>
                                                                  <w:marRight w:val="0"/>
                                                                  <w:marTop w:val="0"/>
                                                                  <w:marBottom w:val="0"/>
                                                                  <w:divBdr>
                                                                    <w:top w:val="none" w:sz="0" w:space="0" w:color="auto"/>
                                                                    <w:left w:val="none" w:sz="0" w:space="0" w:color="auto"/>
                                                                    <w:bottom w:val="none" w:sz="0" w:space="0" w:color="auto"/>
                                                                    <w:right w:val="none" w:sz="0" w:space="0" w:color="auto"/>
                                                                  </w:divBdr>
                                                                  <w:divsChild>
                                                                    <w:div w:id="749692678">
                                                                      <w:marLeft w:val="0"/>
                                                                      <w:marRight w:val="0"/>
                                                                      <w:marTop w:val="0"/>
                                                                      <w:marBottom w:val="0"/>
                                                                      <w:divBdr>
                                                                        <w:top w:val="none" w:sz="0" w:space="0" w:color="auto"/>
                                                                        <w:left w:val="none" w:sz="0" w:space="0" w:color="auto"/>
                                                                        <w:bottom w:val="none" w:sz="0" w:space="0" w:color="auto"/>
                                                                        <w:right w:val="none" w:sz="0" w:space="0" w:color="auto"/>
                                                                      </w:divBdr>
                                                                      <w:divsChild>
                                                                        <w:div w:id="169033396">
                                                                          <w:marLeft w:val="0"/>
                                                                          <w:marRight w:val="0"/>
                                                                          <w:marTop w:val="0"/>
                                                                          <w:marBottom w:val="0"/>
                                                                          <w:divBdr>
                                                                            <w:top w:val="none" w:sz="0" w:space="0" w:color="auto"/>
                                                                            <w:left w:val="none" w:sz="0" w:space="0" w:color="auto"/>
                                                                            <w:bottom w:val="none" w:sz="0" w:space="0" w:color="auto"/>
                                                                            <w:right w:val="none" w:sz="0" w:space="0" w:color="auto"/>
                                                                          </w:divBdr>
                                                                          <w:divsChild>
                                                                            <w:div w:id="840701927">
                                                                              <w:marLeft w:val="0"/>
                                                                              <w:marRight w:val="0"/>
                                                                              <w:marTop w:val="0"/>
                                                                              <w:marBottom w:val="0"/>
                                                                              <w:divBdr>
                                                                                <w:top w:val="none" w:sz="0" w:space="0" w:color="auto"/>
                                                                                <w:left w:val="none" w:sz="0" w:space="0" w:color="auto"/>
                                                                                <w:bottom w:val="none" w:sz="0" w:space="0" w:color="auto"/>
                                                                                <w:right w:val="none" w:sz="0" w:space="0" w:color="auto"/>
                                                                              </w:divBdr>
                                                                              <w:divsChild>
                                                                                <w:div w:id="21208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223335">
      <w:bodyDiv w:val="1"/>
      <w:marLeft w:val="0"/>
      <w:marRight w:val="0"/>
      <w:marTop w:val="0"/>
      <w:marBottom w:val="0"/>
      <w:divBdr>
        <w:top w:val="none" w:sz="0" w:space="0" w:color="auto"/>
        <w:left w:val="none" w:sz="0" w:space="0" w:color="auto"/>
        <w:bottom w:val="none" w:sz="0" w:space="0" w:color="auto"/>
        <w:right w:val="none" w:sz="0" w:space="0" w:color="auto"/>
      </w:divBdr>
    </w:div>
    <w:div w:id="1398550711">
      <w:bodyDiv w:val="1"/>
      <w:marLeft w:val="0"/>
      <w:marRight w:val="0"/>
      <w:marTop w:val="0"/>
      <w:marBottom w:val="0"/>
      <w:divBdr>
        <w:top w:val="none" w:sz="0" w:space="0" w:color="auto"/>
        <w:left w:val="none" w:sz="0" w:space="0" w:color="auto"/>
        <w:bottom w:val="none" w:sz="0" w:space="0" w:color="auto"/>
        <w:right w:val="none" w:sz="0" w:space="0" w:color="auto"/>
      </w:divBdr>
      <w:divsChild>
        <w:div w:id="74322340">
          <w:marLeft w:val="0"/>
          <w:marRight w:val="0"/>
          <w:marTop w:val="0"/>
          <w:marBottom w:val="0"/>
          <w:divBdr>
            <w:top w:val="none" w:sz="0" w:space="0" w:color="auto"/>
            <w:left w:val="none" w:sz="0" w:space="0" w:color="auto"/>
            <w:bottom w:val="none" w:sz="0" w:space="0" w:color="auto"/>
            <w:right w:val="none" w:sz="0" w:space="0" w:color="auto"/>
          </w:divBdr>
          <w:divsChild>
            <w:div w:id="1696807246">
              <w:marLeft w:val="0"/>
              <w:marRight w:val="0"/>
              <w:marTop w:val="0"/>
              <w:marBottom w:val="0"/>
              <w:divBdr>
                <w:top w:val="none" w:sz="0" w:space="0" w:color="auto"/>
                <w:left w:val="none" w:sz="0" w:space="0" w:color="auto"/>
                <w:bottom w:val="none" w:sz="0" w:space="0" w:color="auto"/>
                <w:right w:val="none" w:sz="0" w:space="0" w:color="auto"/>
              </w:divBdr>
              <w:divsChild>
                <w:div w:id="1513764940">
                  <w:marLeft w:val="0"/>
                  <w:marRight w:val="0"/>
                  <w:marTop w:val="0"/>
                  <w:marBottom w:val="0"/>
                  <w:divBdr>
                    <w:top w:val="none" w:sz="0" w:space="0" w:color="auto"/>
                    <w:left w:val="none" w:sz="0" w:space="0" w:color="auto"/>
                    <w:bottom w:val="none" w:sz="0" w:space="0" w:color="auto"/>
                    <w:right w:val="none" w:sz="0" w:space="0" w:color="auto"/>
                  </w:divBdr>
                  <w:divsChild>
                    <w:div w:id="1151169093">
                      <w:marLeft w:val="0"/>
                      <w:marRight w:val="0"/>
                      <w:marTop w:val="0"/>
                      <w:marBottom w:val="0"/>
                      <w:divBdr>
                        <w:top w:val="none" w:sz="0" w:space="0" w:color="auto"/>
                        <w:left w:val="none" w:sz="0" w:space="0" w:color="auto"/>
                        <w:bottom w:val="none" w:sz="0" w:space="0" w:color="auto"/>
                        <w:right w:val="none" w:sz="0" w:space="0" w:color="auto"/>
                      </w:divBdr>
                      <w:divsChild>
                        <w:div w:id="643195089">
                          <w:marLeft w:val="0"/>
                          <w:marRight w:val="0"/>
                          <w:marTop w:val="0"/>
                          <w:marBottom w:val="0"/>
                          <w:divBdr>
                            <w:top w:val="none" w:sz="0" w:space="0" w:color="auto"/>
                            <w:left w:val="none" w:sz="0" w:space="0" w:color="auto"/>
                            <w:bottom w:val="none" w:sz="0" w:space="0" w:color="auto"/>
                            <w:right w:val="none" w:sz="0" w:space="0" w:color="auto"/>
                          </w:divBdr>
                          <w:divsChild>
                            <w:div w:id="2022006935">
                              <w:marLeft w:val="0"/>
                              <w:marRight w:val="0"/>
                              <w:marTop w:val="0"/>
                              <w:marBottom w:val="0"/>
                              <w:divBdr>
                                <w:top w:val="none" w:sz="0" w:space="0" w:color="auto"/>
                                <w:left w:val="none" w:sz="0" w:space="0" w:color="auto"/>
                                <w:bottom w:val="none" w:sz="0" w:space="0" w:color="auto"/>
                                <w:right w:val="none" w:sz="0" w:space="0" w:color="auto"/>
                              </w:divBdr>
                              <w:divsChild>
                                <w:div w:id="651833807">
                                  <w:marLeft w:val="0"/>
                                  <w:marRight w:val="0"/>
                                  <w:marTop w:val="0"/>
                                  <w:marBottom w:val="0"/>
                                  <w:divBdr>
                                    <w:top w:val="none" w:sz="0" w:space="0" w:color="auto"/>
                                    <w:left w:val="none" w:sz="0" w:space="0" w:color="auto"/>
                                    <w:bottom w:val="none" w:sz="0" w:space="0" w:color="auto"/>
                                    <w:right w:val="none" w:sz="0" w:space="0" w:color="auto"/>
                                  </w:divBdr>
                                  <w:divsChild>
                                    <w:div w:id="709191208">
                                      <w:marLeft w:val="0"/>
                                      <w:marRight w:val="0"/>
                                      <w:marTop w:val="0"/>
                                      <w:marBottom w:val="0"/>
                                      <w:divBdr>
                                        <w:top w:val="none" w:sz="0" w:space="0" w:color="auto"/>
                                        <w:left w:val="none" w:sz="0" w:space="0" w:color="auto"/>
                                        <w:bottom w:val="none" w:sz="0" w:space="0" w:color="auto"/>
                                        <w:right w:val="none" w:sz="0" w:space="0" w:color="auto"/>
                                      </w:divBdr>
                                      <w:divsChild>
                                        <w:div w:id="1791625651">
                                          <w:marLeft w:val="0"/>
                                          <w:marRight w:val="0"/>
                                          <w:marTop w:val="0"/>
                                          <w:marBottom w:val="0"/>
                                          <w:divBdr>
                                            <w:top w:val="none" w:sz="0" w:space="0" w:color="auto"/>
                                            <w:left w:val="none" w:sz="0" w:space="0" w:color="auto"/>
                                            <w:bottom w:val="none" w:sz="0" w:space="0" w:color="auto"/>
                                            <w:right w:val="none" w:sz="0" w:space="0" w:color="auto"/>
                                          </w:divBdr>
                                          <w:divsChild>
                                            <w:div w:id="1757630255">
                                              <w:marLeft w:val="0"/>
                                              <w:marRight w:val="0"/>
                                              <w:marTop w:val="0"/>
                                              <w:marBottom w:val="0"/>
                                              <w:divBdr>
                                                <w:top w:val="none" w:sz="0" w:space="0" w:color="auto"/>
                                                <w:left w:val="none" w:sz="0" w:space="0" w:color="auto"/>
                                                <w:bottom w:val="none" w:sz="0" w:space="0" w:color="auto"/>
                                                <w:right w:val="none" w:sz="0" w:space="0" w:color="auto"/>
                                              </w:divBdr>
                                              <w:divsChild>
                                                <w:div w:id="561866652">
                                                  <w:marLeft w:val="0"/>
                                                  <w:marRight w:val="0"/>
                                                  <w:marTop w:val="0"/>
                                                  <w:marBottom w:val="0"/>
                                                  <w:divBdr>
                                                    <w:top w:val="none" w:sz="0" w:space="0" w:color="auto"/>
                                                    <w:left w:val="none" w:sz="0" w:space="0" w:color="auto"/>
                                                    <w:bottom w:val="none" w:sz="0" w:space="0" w:color="auto"/>
                                                    <w:right w:val="none" w:sz="0" w:space="0" w:color="auto"/>
                                                  </w:divBdr>
                                                  <w:divsChild>
                                                    <w:div w:id="190539437">
                                                      <w:marLeft w:val="0"/>
                                                      <w:marRight w:val="0"/>
                                                      <w:marTop w:val="0"/>
                                                      <w:marBottom w:val="0"/>
                                                      <w:divBdr>
                                                        <w:top w:val="single" w:sz="12" w:space="0" w:color="ABABAB"/>
                                                        <w:left w:val="single" w:sz="6" w:space="0" w:color="ABABAB"/>
                                                        <w:bottom w:val="single" w:sz="12" w:space="0" w:color="ABABAB"/>
                                                        <w:right w:val="single" w:sz="6" w:space="0" w:color="ABABAB"/>
                                                      </w:divBdr>
                                                      <w:divsChild>
                                                        <w:div w:id="1402487706">
                                                          <w:marLeft w:val="0"/>
                                                          <w:marRight w:val="0"/>
                                                          <w:marTop w:val="0"/>
                                                          <w:marBottom w:val="0"/>
                                                          <w:divBdr>
                                                            <w:top w:val="none" w:sz="0" w:space="0" w:color="auto"/>
                                                            <w:left w:val="none" w:sz="0" w:space="0" w:color="auto"/>
                                                            <w:bottom w:val="none" w:sz="0" w:space="0" w:color="auto"/>
                                                            <w:right w:val="none" w:sz="0" w:space="0" w:color="auto"/>
                                                          </w:divBdr>
                                                          <w:divsChild>
                                                            <w:div w:id="1613780833">
                                                              <w:marLeft w:val="0"/>
                                                              <w:marRight w:val="0"/>
                                                              <w:marTop w:val="0"/>
                                                              <w:marBottom w:val="0"/>
                                                              <w:divBdr>
                                                                <w:top w:val="none" w:sz="0" w:space="0" w:color="auto"/>
                                                                <w:left w:val="none" w:sz="0" w:space="0" w:color="auto"/>
                                                                <w:bottom w:val="none" w:sz="0" w:space="0" w:color="auto"/>
                                                                <w:right w:val="none" w:sz="0" w:space="0" w:color="auto"/>
                                                              </w:divBdr>
                                                              <w:divsChild>
                                                                <w:div w:id="1714847725">
                                                                  <w:marLeft w:val="0"/>
                                                                  <w:marRight w:val="0"/>
                                                                  <w:marTop w:val="0"/>
                                                                  <w:marBottom w:val="0"/>
                                                                  <w:divBdr>
                                                                    <w:top w:val="none" w:sz="0" w:space="0" w:color="auto"/>
                                                                    <w:left w:val="none" w:sz="0" w:space="0" w:color="auto"/>
                                                                    <w:bottom w:val="none" w:sz="0" w:space="0" w:color="auto"/>
                                                                    <w:right w:val="none" w:sz="0" w:space="0" w:color="auto"/>
                                                                  </w:divBdr>
                                                                  <w:divsChild>
                                                                    <w:div w:id="142087452">
                                                                      <w:marLeft w:val="0"/>
                                                                      <w:marRight w:val="0"/>
                                                                      <w:marTop w:val="0"/>
                                                                      <w:marBottom w:val="0"/>
                                                                      <w:divBdr>
                                                                        <w:top w:val="none" w:sz="0" w:space="0" w:color="auto"/>
                                                                        <w:left w:val="none" w:sz="0" w:space="0" w:color="auto"/>
                                                                        <w:bottom w:val="none" w:sz="0" w:space="0" w:color="auto"/>
                                                                        <w:right w:val="none" w:sz="0" w:space="0" w:color="auto"/>
                                                                      </w:divBdr>
                                                                      <w:divsChild>
                                                                        <w:div w:id="577832020">
                                                                          <w:marLeft w:val="-75"/>
                                                                          <w:marRight w:val="0"/>
                                                                          <w:marTop w:val="30"/>
                                                                          <w:marBottom w:val="30"/>
                                                                          <w:divBdr>
                                                                            <w:top w:val="none" w:sz="0" w:space="0" w:color="auto"/>
                                                                            <w:left w:val="none" w:sz="0" w:space="0" w:color="auto"/>
                                                                            <w:bottom w:val="none" w:sz="0" w:space="0" w:color="auto"/>
                                                                            <w:right w:val="none" w:sz="0" w:space="0" w:color="auto"/>
                                                                          </w:divBdr>
                                                                          <w:divsChild>
                                                                            <w:div w:id="824587716">
                                                                              <w:marLeft w:val="0"/>
                                                                              <w:marRight w:val="0"/>
                                                                              <w:marTop w:val="0"/>
                                                                              <w:marBottom w:val="0"/>
                                                                              <w:divBdr>
                                                                                <w:top w:val="none" w:sz="0" w:space="0" w:color="auto"/>
                                                                                <w:left w:val="none" w:sz="0" w:space="0" w:color="auto"/>
                                                                                <w:bottom w:val="none" w:sz="0" w:space="0" w:color="auto"/>
                                                                                <w:right w:val="none" w:sz="0" w:space="0" w:color="auto"/>
                                                                              </w:divBdr>
                                                                              <w:divsChild>
                                                                                <w:div w:id="285047698">
                                                                                  <w:marLeft w:val="0"/>
                                                                                  <w:marRight w:val="0"/>
                                                                                  <w:marTop w:val="0"/>
                                                                                  <w:marBottom w:val="0"/>
                                                                                  <w:divBdr>
                                                                                    <w:top w:val="none" w:sz="0" w:space="0" w:color="auto"/>
                                                                                    <w:left w:val="none" w:sz="0" w:space="0" w:color="auto"/>
                                                                                    <w:bottom w:val="none" w:sz="0" w:space="0" w:color="auto"/>
                                                                                    <w:right w:val="none" w:sz="0" w:space="0" w:color="auto"/>
                                                                                  </w:divBdr>
                                                                                  <w:divsChild>
                                                                                    <w:div w:id="980769996">
                                                                                      <w:marLeft w:val="0"/>
                                                                                      <w:marRight w:val="0"/>
                                                                                      <w:marTop w:val="0"/>
                                                                                      <w:marBottom w:val="0"/>
                                                                                      <w:divBdr>
                                                                                        <w:top w:val="none" w:sz="0" w:space="0" w:color="auto"/>
                                                                                        <w:left w:val="none" w:sz="0" w:space="0" w:color="auto"/>
                                                                                        <w:bottom w:val="none" w:sz="0" w:space="0" w:color="auto"/>
                                                                                        <w:right w:val="none" w:sz="0" w:space="0" w:color="auto"/>
                                                                                      </w:divBdr>
                                                                                      <w:divsChild>
                                                                                        <w:div w:id="2073699996">
                                                                                          <w:marLeft w:val="0"/>
                                                                                          <w:marRight w:val="0"/>
                                                                                          <w:marTop w:val="0"/>
                                                                                          <w:marBottom w:val="0"/>
                                                                                          <w:divBdr>
                                                                                            <w:top w:val="none" w:sz="0" w:space="0" w:color="auto"/>
                                                                                            <w:left w:val="none" w:sz="0" w:space="0" w:color="auto"/>
                                                                                            <w:bottom w:val="none" w:sz="0" w:space="0" w:color="auto"/>
                                                                                            <w:right w:val="none" w:sz="0" w:space="0" w:color="auto"/>
                                                                                          </w:divBdr>
                                                                                          <w:divsChild>
                                                                                            <w:div w:id="660356035">
                                                                                              <w:marLeft w:val="0"/>
                                                                                              <w:marRight w:val="0"/>
                                                                                              <w:marTop w:val="0"/>
                                                                                              <w:marBottom w:val="0"/>
                                                                                              <w:divBdr>
                                                                                                <w:top w:val="none" w:sz="0" w:space="0" w:color="auto"/>
                                                                                                <w:left w:val="none" w:sz="0" w:space="0" w:color="auto"/>
                                                                                                <w:bottom w:val="none" w:sz="0" w:space="0" w:color="auto"/>
                                                                                                <w:right w:val="none" w:sz="0" w:space="0" w:color="auto"/>
                                                                                              </w:divBdr>
                                                                                            </w:div>
                                                                                            <w:div w:id="906844922">
                                                                                              <w:marLeft w:val="0"/>
                                                                                              <w:marRight w:val="0"/>
                                                                                              <w:marTop w:val="0"/>
                                                                                              <w:marBottom w:val="0"/>
                                                                                              <w:divBdr>
                                                                                                <w:top w:val="none" w:sz="0" w:space="0" w:color="auto"/>
                                                                                                <w:left w:val="none" w:sz="0" w:space="0" w:color="auto"/>
                                                                                                <w:bottom w:val="none" w:sz="0" w:space="0" w:color="auto"/>
                                                                                                <w:right w:val="none" w:sz="0" w:space="0" w:color="auto"/>
                                                                                              </w:divBdr>
                                                                                            </w:div>
                                                                                            <w:div w:id="13547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8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EFE09-D3B9-4442-9FFB-A5CB8EA5347F}">
  <ds:schemaRefs>
    <ds:schemaRef ds:uri="http://schemas.microsoft.com/office/2006/metadata/properties"/>
    <ds:schemaRef ds:uri="http://schemas.microsoft.com/office/infopath/2007/PartnerControls"/>
    <ds:schemaRef ds:uri="7345e1af-3397-4a68-ad99-146ccd565869"/>
    <ds:schemaRef ds:uri="04738c6d-ecc8-46f1-821f-82e308eab3d9"/>
  </ds:schemaRefs>
</ds:datastoreItem>
</file>

<file path=customXml/itemProps2.xml><?xml version="1.0" encoding="utf-8"?>
<ds:datastoreItem xmlns:ds="http://schemas.openxmlformats.org/officeDocument/2006/customXml" ds:itemID="{CA77B531-85DE-47F4-8F85-638511558DF4}">
  <ds:schemaRefs>
    <ds:schemaRef ds:uri="http://schemas.microsoft.com/sharepoint/v3/contenttype/forms"/>
  </ds:schemaRefs>
</ds:datastoreItem>
</file>

<file path=customXml/itemProps3.xml><?xml version="1.0" encoding="utf-8"?>
<ds:datastoreItem xmlns:ds="http://schemas.openxmlformats.org/officeDocument/2006/customXml" ds:itemID="{17072B9C-812E-460C-9AB8-4CE2A5C4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e1af-3397-4a68-ad99-146ccd565869"/>
    <ds:schemaRef ds:uri="04738c6d-ecc8-46f1-821f-82e308eab3d9"/>
    <ds:schemaRef ds:uri="3a00fe44-1c0e-46f4-b473-dcf98be1cf49"/>
    <ds:schemaRef ds:uri="ed08f280-d38d-4d9d-98f6-8b960c98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4934</Words>
  <Characters>28129</Characters>
  <Application>Microsoft Office Word</Application>
  <DocSecurity>0</DocSecurity>
  <Lines>234</Lines>
  <Paragraphs>65</Paragraphs>
  <ScaleCrop>false</ScaleCrop>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Richard Mr (DES Ships CSS-Boats1e2)</dc:creator>
  <cp:keywords/>
  <dc:description/>
  <cp:lastModifiedBy>Hazel, Michael C2 (DES Ships Comrcl-CSS-3c)</cp:lastModifiedBy>
  <cp:revision>579</cp:revision>
  <cp:lastPrinted>2019-05-02T07:16:00Z</cp:lastPrinted>
  <dcterms:created xsi:type="dcterms:W3CDTF">2019-04-29T08:24:00Z</dcterms:created>
  <dcterms:modified xsi:type="dcterms:W3CDTF">2019-10-01T12:11:00Z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0x01010052ADBDF22A02EC45B6CBF0D0705B2A67</vt:lpwstr>
  </property>
  <property fmtid="{D5CDD505-2E9C-101B-9397-08002B2CF9AE}" pid="3" name="BoatsKeywords">
    <vt:lpwstr/>
  </property>
</Properties>
</file>